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35809">
      <w:pPr>
        <w:pStyle w:val="20"/>
        <w:ind w:left="0" w:leftChars="0" w:firstLine="0" w:firstLineChars="0"/>
        <w:rPr>
          <w:rFonts w:hint="eastAsia"/>
          <w:color w:val="auto"/>
          <w:highlight w:val="none"/>
        </w:rPr>
      </w:pPr>
      <w:bookmarkStart w:id="0" w:name="_Toc152045511"/>
      <w:bookmarkStart w:id="1" w:name="_Toc179632527"/>
      <w:bookmarkStart w:id="2" w:name="_Toc144974479"/>
      <w:bookmarkStart w:id="3" w:name="_Toc152042287"/>
      <w:bookmarkStart w:id="4" w:name="OLE_LINK4"/>
      <w:bookmarkStart w:id="5" w:name="OLE_LINK3"/>
      <w:bookmarkStart w:id="6" w:name="OLE_LINK5"/>
      <w:bookmarkStart w:id="7" w:name="OLE_LINK1"/>
      <w:bookmarkStart w:id="8" w:name="OLE_LINK2"/>
    </w:p>
    <w:p w14:paraId="050F0212">
      <w:pPr>
        <w:rPr>
          <w:rFonts w:hint="eastAsia"/>
          <w:color w:val="auto"/>
          <w:highlight w:val="none"/>
        </w:rPr>
      </w:pPr>
    </w:p>
    <w:p w14:paraId="43E45B29">
      <w:pPr>
        <w:adjustRightInd w:val="0"/>
        <w:snapToGrid w:val="0"/>
        <w:spacing w:line="360" w:lineRule="auto"/>
        <w:jc w:val="center"/>
        <w:rPr>
          <w:rFonts w:hint="eastAsia" w:ascii="宋体" w:hAnsi="宋体" w:cs="宋体"/>
          <w:b/>
          <w:bCs/>
          <w:color w:val="auto"/>
          <w:sz w:val="44"/>
          <w:szCs w:val="44"/>
          <w:highlight w:val="none"/>
          <w:u w:val="none"/>
          <w:lang w:val="en-US" w:eastAsia="zh-CN"/>
        </w:rPr>
      </w:pPr>
      <w:r>
        <w:rPr>
          <w:rFonts w:hint="eastAsia" w:ascii="宋体" w:hAnsi="宋体" w:cs="宋体"/>
          <w:b/>
          <w:bCs/>
          <w:color w:val="auto"/>
          <w:sz w:val="44"/>
          <w:szCs w:val="44"/>
          <w:highlight w:val="none"/>
          <w:u w:val="none"/>
          <w:lang w:val="en-US" w:eastAsia="zh-CN"/>
        </w:rPr>
        <w:t>滁州经开区永阳路标准化厂房及宿舍等配套设施项目改造三期工程</w:t>
      </w:r>
    </w:p>
    <w:p w14:paraId="60580A37">
      <w:pPr>
        <w:adjustRightInd w:val="0"/>
        <w:snapToGrid w:val="0"/>
        <w:spacing w:line="360" w:lineRule="auto"/>
        <w:jc w:val="center"/>
        <w:rPr>
          <w:rFonts w:hint="eastAsia" w:ascii="宋体" w:hAnsi="宋体" w:cs="宋体"/>
          <w:b/>
          <w:bCs/>
          <w:color w:val="auto"/>
          <w:sz w:val="72"/>
          <w:szCs w:val="72"/>
          <w:highlight w:val="none"/>
        </w:rPr>
      </w:pPr>
      <w:r>
        <w:rPr>
          <w:rFonts w:hint="eastAsia" w:ascii="宋体" w:hAnsi="宋体" w:cs="宋体"/>
          <w:b/>
          <w:bCs/>
          <w:color w:val="auto"/>
          <w:sz w:val="72"/>
          <w:szCs w:val="72"/>
          <w:highlight w:val="none"/>
        </w:rPr>
        <w:t>招 标 文 件</w:t>
      </w:r>
    </w:p>
    <w:p w14:paraId="5135369E">
      <w:pPr>
        <w:adjustRightInd w:val="0"/>
        <w:snapToGrid w:val="0"/>
        <w:spacing w:line="360" w:lineRule="auto"/>
        <w:ind w:firstLine="2550" w:firstLineChars="850"/>
        <w:jc w:val="both"/>
        <w:rPr>
          <w:rFonts w:hint="default" w:ascii="宋体" w:hAnsi="宋体" w:cs="宋体"/>
          <w:color w:val="auto"/>
          <w:spacing w:val="140"/>
          <w:sz w:val="28"/>
          <w:szCs w:val="28"/>
          <w:highlight w:val="none"/>
          <w:lang w:val="en-US"/>
        </w:rPr>
      </w:pPr>
      <w:r>
        <w:rPr>
          <w:rFonts w:hint="eastAsia" w:ascii="宋体" w:hAnsi="宋体" w:cs="宋体"/>
          <w:color w:val="auto"/>
          <w:sz w:val="30"/>
          <w:szCs w:val="30"/>
          <w:highlight w:val="none"/>
        </w:rPr>
        <w:t>招标项目编号：</w:t>
      </w:r>
      <w:r>
        <w:rPr>
          <w:rFonts w:hint="eastAsia" w:ascii="宋体" w:hAnsi="宋体" w:cs="宋体"/>
          <w:color w:val="auto"/>
          <w:sz w:val="30"/>
          <w:szCs w:val="30"/>
          <w:highlight w:val="none"/>
          <w:lang w:val="en-US" w:eastAsia="zh-CN"/>
        </w:rPr>
        <w:t>czsjgc202610-005</w:t>
      </w:r>
    </w:p>
    <w:p w14:paraId="55FF87E5">
      <w:pPr>
        <w:adjustRightInd w:val="0"/>
        <w:snapToGrid w:val="0"/>
        <w:spacing w:line="360" w:lineRule="auto"/>
        <w:ind w:firstLine="4760" w:firstLineChars="850"/>
        <w:rPr>
          <w:rFonts w:hint="eastAsia" w:ascii="宋体" w:hAnsi="宋体" w:cs="宋体"/>
          <w:color w:val="auto"/>
          <w:spacing w:val="140"/>
          <w:sz w:val="28"/>
          <w:szCs w:val="28"/>
          <w:highlight w:val="none"/>
        </w:rPr>
      </w:pPr>
      <w:r>
        <w:rPr>
          <w:rFonts w:hint="eastAsia" w:ascii="宋体" w:hAnsi="宋体" w:cs="宋体"/>
          <w:color w:val="auto"/>
          <w:spacing w:val="140"/>
          <w:sz w:val="28"/>
          <w:szCs w:val="28"/>
          <w:highlight w:val="none"/>
        </w:rPr>
        <w:t xml:space="preserve">     </w:t>
      </w:r>
    </w:p>
    <w:p w14:paraId="463C7BA2">
      <w:pPr>
        <w:jc w:val="center"/>
        <w:rPr>
          <w:rFonts w:hint="eastAsia" w:ascii="宋体" w:hAnsi="宋体" w:cs="宋体"/>
          <w:color w:val="auto"/>
          <w:sz w:val="72"/>
          <w:szCs w:val="72"/>
          <w:highlight w:val="none"/>
        </w:rPr>
      </w:pPr>
    </w:p>
    <w:p w14:paraId="6C1E999A">
      <w:pPr>
        <w:spacing w:line="540" w:lineRule="exact"/>
        <w:ind w:firstLine="437"/>
        <w:jc w:val="right"/>
        <w:rPr>
          <w:rFonts w:hint="eastAsia" w:ascii="宋体" w:hAnsi="宋体" w:cs="宋体"/>
          <w:color w:val="auto"/>
          <w:szCs w:val="21"/>
          <w:highlight w:val="none"/>
        </w:rPr>
      </w:pPr>
    </w:p>
    <w:p w14:paraId="2C109266">
      <w:pPr>
        <w:spacing w:line="540" w:lineRule="exact"/>
        <w:ind w:firstLine="437"/>
        <w:rPr>
          <w:rFonts w:hint="eastAsia" w:ascii="宋体" w:hAnsi="宋体" w:cs="宋体"/>
          <w:color w:val="auto"/>
          <w:szCs w:val="21"/>
          <w:highlight w:val="none"/>
        </w:rPr>
      </w:pPr>
    </w:p>
    <w:p w14:paraId="2A924898">
      <w:pPr>
        <w:spacing w:line="540" w:lineRule="exact"/>
        <w:rPr>
          <w:rFonts w:hint="eastAsia" w:ascii="宋体" w:hAnsi="宋体" w:cs="宋体"/>
          <w:color w:val="auto"/>
          <w:szCs w:val="21"/>
          <w:highlight w:val="none"/>
        </w:rPr>
      </w:pPr>
    </w:p>
    <w:p w14:paraId="53515CDD">
      <w:pPr>
        <w:pStyle w:val="20"/>
        <w:rPr>
          <w:rFonts w:hint="eastAsia"/>
          <w:color w:val="auto"/>
          <w:highlight w:val="none"/>
        </w:rPr>
      </w:pPr>
    </w:p>
    <w:p w14:paraId="51211977">
      <w:pPr>
        <w:rPr>
          <w:rFonts w:hint="eastAsia"/>
          <w:color w:val="auto"/>
          <w:highlight w:val="none"/>
        </w:rPr>
      </w:pPr>
    </w:p>
    <w:p w14:paraId="06FA0141">
      <w:pPr>
        <w:spacing w:line="540" w:lineRule="exact"/>
        <w:rPr>
          <w:rFonts w:hint="eastAsia" w:ascii="宋体" w:hAnsi="宋体" w:cs="宋体"/>
          <w:color w:val="auto"/>
          <w:szCs w:val="21"/>
          <w:highlight w:val="none"/>
        </w:rPr>
      </w:pPr>
    </w:p>
    <w:p w14:paraId="11E126B2">
      <w:pPr>
        <w:pStyle w:val="20"/>
        <w:rPr>
          <w:rFonts w:hint="eastAsia" w:ascii="宋体" w:hAnsi="宋体" w:cs="宋体"/>
          <w:color w:val="auto"/>
          <w:szCs w:val="21"/>
          <w:highlight w:val="none"/>
        </w:rPr>
      </w:pPr>
    </w:p>
    <w:p w14:paraId="5658F748">
      <w:pPr>
        <w:rPr>
          <w:rFonts w:hint="eastAsia"/>
          <w:color w:val="auto"/>
          <w:highlight w:val="none"/>
        </w:rPr>
      </w:pPr>
    </w:p>
    <w:p w14:paraId="5122B687">
      <w:pPr>
        <w:adjustRightInd w:val="0"/>
        <w:snapToGrid w:val="0"/>
        <w:spacing w:line="480" w:lineRule="auto"/>
        <w:ind w:firstLine="437"/>
        <w:rPr>
          <w:rFonts w:hint="eastAsia" w:ascii="宋体" w:hAnsi="宋体" w:cs="宋体"/>
          <w:color w:val="auto"/>
          <w:szCs w:val="21"/>
          <w:highlight w:val="none"/>
        </w:rPr>
      </w:pPr>
    </w:p>
    <w:p w14:paraId="09E8297E">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   标   人：</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安徽同康实业发展有限公司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1D90FE98">
      <w:pPr>
        <w:adjustRightInd w:val="0"/>
        <w:snapToGrid w:val="0"/>
        <w:spacing w:line="480" w:lineRule="auto"/>
        <w:ind w:firstLine="960" w:firstLineChars="300"/>
        <w:jc w:val="center"/>
        <w:rPr>
          <w:rFonts w:hint="eastAsia" w:ascii="宋体" w:hAnsi="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（隶属于国家级经济技术开发区的国有企业）</w:t>
      </w:r>
    </w:p>
    <w:p w14:paraId="5204D77C">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招标代理机构：</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滁州市城投工程咨询管理有限公司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0EAC0282">
      <w:pPr>
        <w:pStyle w:val="20"/>
        <w:ind w:left="0" w:leftChars="0" w:firstLine="0" w:firstLineChars="0"/>
        <w:rPr>
          <w:rFonts w:hint="eastAsia"/>
          <w:color w:val="auto"/>
          <w:highlight w:val="none"/>
        </w:rPr>
      </w:pPr>
    </w:p>
    <w:p w14:paraId="543ED3CC">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2026</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10</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30</w:t>
      </w:r>
      <w:r>
        <w:rPr>
          <w:rFonts w:hint="eastAsia" w:ascii="宋体" w:hAnsi="宋体" w:cs="宋体"/>
          <w:color w:val="auto"/>
          <w:sz w:val="32"/>
          <w:szCs w:val="32"/>
          <w:highlight w:val="none"/>
        </w:rPr>
        <w:t>日</w:t>
      </w:r>
    </w:p>
    <w:p w14:paraId="008FC09E">
      <w:pPr>
        <w:pStyle w:val="20"/>
        <w:rPr>
          <w:rFonts w:hint="eastAsia"/>
          <w:color w:val="auto"/>
          <w:highlight w:val="none"/>
        </w:rPr>
      </w:pPr>
    </w:p>
    <w:p w14:paraId="5783F72A">
      <w:pPr>
        <w:rPr>
          <w:color w:val="auto"/>
          <w:sz w:val="52"/>
          <w:highlight w:val="none"/>
          <w:lang w:val="zh-CN"/>
        </w:rPr>
      </w:pPr>
      <w:r>
        <w:rPr>
          <w:color w:val="auto"/>
          <w:sz w:val="52"/>
          <w:highlight w:val="none"/>
          <w:lang w:val="zh-CN"/>
        </w:rPr>
        <w:br w:type="page"/>
      </w:r>
    </w:p>
    <w:p w14:paraId="65D97FCF">
      <w:pPr>
        <w:pStyle w:val="37"/>
        <w:adjustRightInd w:val="0"/>
        <w:snapToGrid w:val="0"/>
        <w:spacing w:before="0" w:line="240" w:lineRule="auto"/>
        <w:ind w:right="210" w:rightChars="100"/>
        <w:jc w:val="center"/>
        <w:rPr>
          <w:color w:val="auto"/>
          <w:sz w:val="52"/>
          <w:highlight w:val="none"/>
        </w:rPr>
      </w:pPr>
      <w:r>
        <w:rPr>
          <w:color w:val="auto"/>
          <w:sz w:val="52"/>
          <w:highlight w:val="none"/>
          <w:lang w:val="zh-CN"/>
        </w:rPr>
        <w:t>目</w:t>
      </w:r>
      <w:r>
        <w:rPr>
          <w:rFonts w:hint="eastAsia"/>
          <w:color w:val="auto"/>
          <w:sz w:val="52"/>
          <w:highlight w:val="none"/>
          <w:lang w:val="zh-CN"/>
        </w:rPr>
        <w:t xml:space="preserve">  </w:t>
      </w:r>
      <w:r>
        <w:rPr>
          <w:color w:val="auto"/>
          <w:sz w:val="52"/>
          <w:highlight w:val="none"/>
          <w:lang w:val="zh-CN"/>
        </w:rPr>
        <w:t>录</w:t>
      </w:r>
    </w:p>
    <w:p w14:paraId="09AD6086">
      <w:pPr>
        <w:pStyle w:val="16"/>
        <w:tabs>
          <w:tab w:val="right" w:leader="dot" w:pos="10120"/>
        </w:tabs>
        <w:rPr>
          <w:rFonts w:ascii="Calibri" w:hAnsi="Calibri"/>
          <w:b w:val="0"/>
          <w:bCs w:val="0"/>
          <w:caps w:val="0"/>
          <w:color w:val="auto"/>
          <w:sz w:val="32"/>
          <w:szCs w:val="22"/>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"_Toc95223332"</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color w:val="auto"/>
          <w:sz w:val="28"/>
          <w:highlight w:val="none"/>
        </w:rPr>
        <w:t>第一章</w:t>
      </w:r>
      <w:r>
        <w:rPr>
          <w:rStyle w:val="31"/>
          <w:color w:val="auto"/>
          <w:sz w:val="28"/>
          <w:highlight w:val="none"/>
        </w:rPr>
        <w:t xml:space="preserve"> </w:t>
      </w:r>
      <w:r>
        <w:rPr>
          <w:rStyle w:val="31"/>
          <w:rFonts w:hint="eastAsia"/>
          <w:color w:val="auto"/>
          <w:sz w:val="28"/>
          <w:highlight w:val="none"/>
        </w:rPr>
        <w:t>招标公告</w:t>
      </w:r>
      <w:r>
        <w:rPr>
          <w:color w:val="auto"/>
          <w:sz w:val="28"/>
          <w:highlight w:val="none"/>
        </w:rPr>
        <w:tab/>
      </w:r>
      <w:r>
        <w:rPr>
          <w:color w:val="auto"/>
          <w:sz w:val="28"/>
          <w:highlight w:val="none"/>
        </w:rPr>
        <w:fldChar w:fldCharType="begin"/>
      </w:r>
      <w:r>
        <w:rPr>
          <w:color w:val="auto"/>
          <w:sz w:val="28"/>
          <w:highlight w:val="none"/>
        </w:rPr>
        <w:instrText xml:space="preserve"> PAGEREF _Toc95223332 \h </w:instrText>
      </w:r>
      <w:r>
        <w:rPr>
          <w:color w:val="auto"/>
          <w:sz w:val="28"/>
          <w:highlight w:val="none"/>
        </w:rPr>
        <w:fldChar w:fldCharType="separate"/>
      </w:r>
      <w:r>
        <w:rPr>
          <w:color w:val="auto"/>
          <w:sz w:val="28"/>
          <w:highlight w:val="none"/>
        </w:rPr>
        <w:t>1</w:t>
      </w:r>
      <w:r>
        <w:rPr>
          <w:color w:val="auto"/>
          <w:sz w:val="28"/>
          <w:highlight w:val="none"/>
        </w:rPr>
        <w:fldChar w:fldCharType="end"/>
      </w:r>
      <w:r>
        <w:rPr>
          <w:rStyle w:val="31"/>
          <w:color w:val="auto"/>
          <w:sz w:val="28"/>
          <w:highlight w:val="none"/>
        </w:rPr>
        <w:fldChar w:fldCharType="end"/>
      </w:r>
    </w:p>
    <w:p w14:paraId="300B6861">
      <w:pPr>
        <w:pStyle w:val="16"/>
        <w:tabs>
          <w:tab w:val="right" w:leader="dot" w:pos="10120"/>
        </w:tabs>
        <w:rPr>
          <w:rFonts w:hint="eastAsia"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"_Toc95223333"</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color w:val="auto"/>
          <w:sz w:val="28"/>
          <w:highlight w:val="none"/>
        </w:rPr>
        <w:t>第二章</w:t>
      </w:r>
      <w:r>
        <w:rPr>
          <w:rStyle w:val="31"/>
          <w:color w:val="auto"/>
          <w:sz w:val="28"/>
          <w:highlight w:val="none"/>
        </w:rPr>
        <w:t xml:space="preserve"> </w:t>
      </w:r>
      <w:r>
        <w:rPr>
          <w:rStyle w:val="31"/>
          <w:rFonts w:hint="eastAsia"/>
          <w:color w:val="auto"/>
          <w:sz w:val="28"/>
          <w:highlight w:val="none"/>
        </w:rPr>
        <w:t>投标人须知</w:t>
      </w:r>
      <w:r>
        <w:rPr>
          <w:color w:val="auto"/>
          <w:sz w:val="28"/>
          <w:highlight w:val="none"/>
        </w:rPr>
        <w:tab/>
      </w:r>
      <w:r>
        <w:rPr>
          <w:rFonts w:hint="eastAsia"/>
          <w:color w:val="auto"/>
          <w:sz w:val="28"/>
          <w:highlight w:val="none"/>
          <w:lang w:val="en-US" w:eastAsia="zh-CN"/>
        </w:rPr>
        <w:t>1</w:t>
      </w:r>
      <w:r>
        <w:rPr>
          <w:rStyle w:val="31"/>
          <w:color w:val="auto"/>
          <w:sz w:val="28"/>
          <w:highlight w:val="none"/>
        </w:rPr>
        <w:fldChar w:fldCharType="end"/>
      </w:r>
      <w:r>
        <w:rPr>
          <w:rStyle w:val="31"/>
          <w:rFonts w:hint="eastAsia"/>
          <w:color w:val="auto"/>
          <w:sz w:val="28"/>
          <w:highlight w:val="none"/>
          <w:lang w:val="en-US" w:eastAsia="zh-CN"/>
        </w:rPr>
        <w:t>1</w:t>
      </w:r>
    </w:p>
    <w:p w14:paraId="086EA147">
      <w:pPr>
        <w:pStyle w:val="16"/>
        <w:tabs>
          <w:tab w:val="right" w:leader="dot" w:pos="10120"/>
        </w:tabs>
        <w:rPr>
          <w:rFonts w:ascii="Calibri" w:hAnsi="Calibri"/>
          <w:b w:val="0"/>
          <w:bCs w:val="0"/>
          <w:caps w:val="0"/>
          <w:color w:val="auto"/>
          <w:sz w:val="32"/>
          <w:szCs w:val="22"/>
          <w:highlight w:val="none"/>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"_Toc95223391"</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color w:val="auto"/>
          <w:sz w:val="28"/>
          <w:highlight w:val="none"/>
        </w:rPr>
        <w:t>第三章</w:t>
      </w:r>
      <w:r>
        <w:rPr>
          <w:rStyle w:val="31"/>
          <w:color w:val="auto"/>
          <w:sz w:val="28"/>
          <w:highlight w:val="none"/>
        </w:rPr>
        <w:t xml:space="preserve"> </w:t>
      </w:r>
      <w:r>
        <w:rPr>
          <w:rStyle w:val="31"/>
          <w:rFonts w:hint="eastAsia"/>
          <w:color w:val="auto"/>
          <w:sz w:val="28"/>
          <w:highlight w:val="none"/>
        </w:rPr>
        <w:t>资格审查办法</w:t>
      </w:r>
      <w:r>
        <w:rPr>
          <w:color w:val="auto"/>
          <w:sz w:val="28"/>
          <w:highlight w:val="none"/>
        </w:rPr>
        <w:tab/>
      </w:r>
      <w:r>
        <w:rPr>
          <w:rFonts w:hint="eastAsia"/>
          <w:color w:val="auto"/>
          <w:sz w:val="28"/>
          <w:highlight w:val="none"/>
          <w:lang w:val="en-US" w:eastAsia="zh-CN"/>
        </w:rPr>
        <w:t xml:space="preserve">50 </w:t>
      </w:r>
      <w:r>
        <w:rPr>
          <w:rStyle w:val="31"/>
          <w:color w:val="auto"/>
          <w:sz w:val="28"/>
          <w:highlight w:val="none"/>
        </w:rPr>
        <w:fldChar w:fldCharType="end"/>
      </w:r>
    </w:p>
    <w:p w14:paraId="54AFF59A">
      <w:pPr>
        <w:pStyle w:val="16"/>
        <w:tabs>
          <w:tab w:val="right" w:leader="dot" w:pos="10120"/>
        </w:tabs>
        <w:rPr>
          <w:rFonts w:hint="eastAsia"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"_Toc95223428"</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color w:val="auto"/>
          <w:sz w:val="28"/>
          <w:highlight w:val="none"/>
        </w:rPr>
        <w:t>第四章 评标办法（</w:t>
      </w:r>
      <w:r>
        <w:rPr>
          <w:rStyle w:val="31"/>
          <w:rFonts w:hint="eastAsia"/>
          <w:color w:val="auto"/>
          <w:sz w:val="28"/>
          <w:highlight w:val="none"/>
          <w:lang w:val="en-US" w:eastAsia="zh-CN"/>
        </w:rPr>
        <w:t>综合评估法-评定分离</w:t>
      </w:r>
      <w:r>
        <w:rPr>
          <w:rStyle w:val="31"/>
          <w:rFonts w:hint="eastAsia"/>
          <w:color w:val="auto"/>
          <w:sz w:val="28"/>
          <w:highlight w:val="none"/>
        </w:rPr>
        <w:t>）</w:t>
      </w:r>
      <w:r>
        <w:rPr>
          <w:color w:val="auto"/>
          <w:sz w:val="28"/>
          <w:highlight w:val="none"/>
        </w:rPr>
        <w:tab/>
      </w:r>
      <w:r>
        <w:rPr>
          <w:rFonts w:hint="eastAsia"/>
          <w:color w:val="auto"/>
          <w:sz w:val="28"/>
          <w:highlight w:val="none"/>
          <w:lang w:val="en-US" w:eastAsia="zh-CN"/>
        </w:rPr>
        <w:t>5</w:t>
      </w:r>
      <w:r>
        <w:rPr>
          <w:rStyle w:val="31"/>
          <w:color w:val="auto"/>
          <w:sz w:val="28"/>
          <w:highlight w:val="none"/>
        </w:rPr>
        <w:fldChar w:fldCharType="end"/>
      </w:r>
      <w:r>
        <w:rPr>
          <w:rStyle w:val="31"/>
          <w:rFonts w:hint="eastAsia"/>
          <w:color w:val="auto"/>
          <w:sz w:val="28"/>
          <w:highlight w:val="none"/>
          <w:lang w:val="en-US" w:eastAsia="zh-CN"/>
        </w:rPr>
        <w:t>4</w:t>
      </w:r>
    </w:p>
    <w:p w14:paraId="0DDA44EC">
      <w:pPr>
        <w:pStyle w:val="16"/>
        <w:tabs>
          <w:tab w:val="right" w:leader="dot" w:pos="10120"/>
        </w:tabs>
        <w:rPr>
          <w:rFonts w:hint="eastAsia"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"_Toc95223458"</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color w:val="auto"/>
          <w:sz w:val="28"/>
          <w:highlight w:val="none"/>
        </w:rPr>
        <w:t>第五章</w:t>
      </w:r>
      <w:r>
        <w:rPr>
          <w:rStyle w:val="31"/>
          <w:color w:val="auto"/>
          <w:sz w:val="28"/>
          <w:highlight w:val="none"/>
        </w:rPr>
        <w:t xml:space="preserve"> </w:t>
      </w:r>
      <w:r>
        <w:rPr>
          <w:rStyle w:val="31"/>
          <w:rFonts w:hint="eastAsia"/>
          <w:color w:val="auto"/>
          <w:sz w:val="28"/>
          <w:highlight w:val="none"/>
        </w:rPr>
        <w:t>合同条款及格式</w:t>
      </w:r>
      <w:r>
        <w:rPr>
          <w:color w:val="auto"/>
          <w:sz w:val="28"/>
          <w:highlight w:val="none"/>
        </w:rPr>
        <w:tab/>
      </w:r>
      <w:r>
        <w:rPr>
          <w:rFonts w:hint="eastAsia"/>
          <w:color w:val="auto"/>
          <w:sz w:val="28"/>
          <w:highlight w:val="none"/>
          <w:lang w:val="en-US" w:eastAsia="zh-CN"/>
        </w:rPr>
        <w:t>7</w:t>
      </w:r>
      <w:r>
        <w:rPr>
          <w:rStyle w:val="31"/>
          <w:color w:val="auto"/>
          <w:sz w:val="28"/>
          <w:highlight w:val="none"/>
        </w:rPr>
        <w:fldChar w:fldCharType="end"/>
      </w:r>
      <w:r>
        <w:rPr>
          <w:rStyle w:val="31"/>
          <w:rFonts w:hint="eastAsia"/>
          <w:color w:val="auto"/>
          <w:sz w:val="28"/>
          <w:highlight w:val="none"/>
          <w:lang w:val="en-US" w:eastAsia="zh-CN"/>
        </w:rPr>
        <w:t>1</w:t>
      </w:r>
    </w:p>
    <w:p w14:paraId="32E2092A">
      <w:pPr>
        <w:pStyle w:val="16"/>
        <w:tabs>
          <w:tab w:val="right" w:leader="dot" w:pos="10120"/>
        </w:tabs>
        <w:rPr>
          <w:rFonts w:hint="default"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"_Toc95223515"</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ascii="宋体" w:hAnsi="宋体" w:cs="宋体"/>
          <w:color w:val="auto"/>
          <w:kern w:val="44"/>
          <w:sz w:val="28"/>
          <w:highlight w:val="none"/>
        </w:rPr>
        <w:t xml:space="preserve">第六章 </w:t>
      </w:r>
      <w:r>
        <w:rPr>
          <w:rStyle w:val="31"/>
          <w:rFonts w:hint="eastAsia" w:ascii="宋体" w:hAnsi="宋体" w:cs="宋体"/>
          <w:color w:val="000000"/>
          <w:kern w:val="44"/>
          <w:sz w:val="28"/>
          <w:lang w:eastAsia="zh-CN"/>
        </w:rPr>
        <w:t>招标</w:t>
      </w:r>
      <w:r>
        <w:rPr>
          <w:rStyle w:val="31"/>
          <w:rFonts w:hint="eastAsia" w:ascii="宋体" w:hAnsi="宋体" w:cs="宋体"/>
          <w:color w:val="000000"/>
          <w:kern w:val="44"/>
          <w:sz w:val="28"/>
        </w:rPr>
        <w:t>工程量清单、最高投标限价、投标报价的相关要求</w:t>
      </w:r>
      <w:r>
        <w:rPr>
          <w:color w:val="auto"/>
          <w:sz w:val="28"/>
          <w:highlight w:val="none"/>
        </w:rPr>
        <w:tab/>
      </w:r>
      <w:r>
        <w:rPr>
          <w:rFonts w:hint="eastAsia"/>
          <w:color w:val="auto"/>
          <w:sz w:val="28"/>
          <w:highlight w:val="none"/>
          <w:lang w:val="en-US" w:eastAsia="zh-CN"/>
        </w:rPr>
        <w:t>1</w:t>
      </w:r>
      <w:r>
        <w:rPr>
          <w:rStyle w:val="31"/>
          <w:color w:val="auto"/>
          <w:sz w:val="28"/>
          <w:highlight w:val="none"/>
        </w:rPr>
        <w:fldChar w:fldCharType="end"/>
      </w:r>
      <w:r>
        <w:rPr>
          <w:rStyle w:val="31"/>
          <w:rFonts w:hint="eastAsia"/>
          <w:color w:val="auto"/>
          <w:sz w:val="28"/>
          <w:highlight w:val="none"/>
          <w:lang w:val="en-US" w:eastAsia="zh-CN"/>
        </w:rPr>
        <w:t>25</w:t>
      </w:r>
    </w:p>
    <w:p w14:paraId="413BA21A">
      <w:pPr>
        <w:pStyle w:val="16"/>
        <w:tabs>
          <w:tab w:val="right" w:leader="dot" w:pos="10120"/>
        </w:tabs>
        <w:rPr>
          <w:rFonts w:hint="default"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"_Toc95223522"</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ascii="宋体" w:hAnsi="宋体" w:cs="宋体"/>
          <w:color w:val="auto"/>
          <w:kern w:val="44"/>
          <w:sz w:val="28"/>
          <w:highlight w:val="none"/>
        </w:rPr>
        <w:t>第七章</w:t>
      </w:r>
      <w:r>
        <w:rPr>
          <w:rStyle w:val="31"/>
          <w:rFonts w:ascii="宋体" w:hAnsi="宋体" w:cs="宋体"/>
          <w:color w:val="auto"/>
          <w:kern w:val="44"/>
          <w:sz w:val="28"/>
          <w:highlight w:val="none"/>
        </w:rPr>
        <w:t xml:space="preserve"> </w:t>
      </w:r>
      <w:r>
        <w:rPr>
          <w:rStyle w:val="31"/>
          <w:rFonts w:hint="eastAsia" w:ascii="宋体" w:hAnsi="宋体" w:cs="宋体"/>
          <w:color w:val="auto"/>
          <w:kern w:val="44"/>
          <w:sz w:val="28"/>
          <w:highlight w:val="none"/>
        </w:rPr>
        <w:t>图</w:t>
      </w:r>
      <w:r>
        <w:rPr>
          <w:rStyle w:val="31"/>
          <w:rFonts w:ascii="宋体" w:hAnsi="宋体" w:cs="宋体"/>
          <w:color w:val="auto"/>
          <w:kern w:val="44"/>
          <w:sz w:val="28"/>
          <w:highlight w:val="none"/>
        </w:rPr>
        <w:t xml:space="preserve">  </w:t>
      </w:r>
      <w:r>
        <w:rPr>
          <w:rStyle w:val="31"/>
          <w:rFonts w:hint="eastAsia" w:ascii="宋体" w:hAnsi="宋体" w:cs="宋体"/>
          <w:color w:val="auto"/>
          <w:kern w:val="44"/>
          <w:sz w:val="28"/>
          <w:highlight w:val="none"/>
        </w:rPr>
        <w:t>纸</w:t>
      </w:r>
      <w:r>
        <w:rPr>
          <w:color w:val="auto"/>
          <w:sz w:val="28"/>
          <w:highlight w:val="none"/>
        </w:rPr>
        <w:tab/>
      </w:r>
      <w:r>
        <w:rPr>
          <w:rFonts w:hint="eastAsia"/>
          <w:color w:val="auto"/>
          <w:sz w:val="28"/>
          <w:highlight w:val="none"/>
          <w:lang w:val="en-US" w:eastAsia="zh-CN"/>
        </w:rPr>
        <w:t>1</w:t>
      </w:r>
      <w:r>
        <w:rPr>
          <w:rStyle w:val="31"/>
          <w:color w:val="auto"/>
          <w:sz w:val="28"/>
          <w:highlight w:val="none"/>
        </w:rPr>
        <w:fldChar w:fldCharType="end"/>
      </w:r>
      <w:r>
        <w:rPr>
          <w:rStyle w:val="31"/>
          <w:rFonts w:hint="eastAsia"/>
          <w:color w:val="auto"/>
          <w:sz w:val="28"/>
          <w:highlight w:val="none"/>
          <w:lang w:val="en-US" w:eastAsia="zh-CN"/>
        </w:rPr>
        <w:t>29</w:t>
      </w:r>
    </w:p>
    <w:p w14:paraId="45EE4135">
      <w:pPr>
        <w:pStyle w:val="16"/>
        <w:tabs>
          <w:tab w:val="right" w:leader="dot" w:pos="10120"/>
        </w:tabs>
        <w:rPr>
          <w:rFonts w:hint="default"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"_Toc95223525"</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ascii="宋体" w:hAnsi="宋体" w:cs="宋体"/>
          <w:color w:val="auto"/>
          <w:kern w:val="44"/>
          <w:sz w:val="28"/>
          <w:highlight w:val="none"/>
        </w:rPr>
        <w:t>第八章 技术标准和要求</w:t>
      </w:r>
      <w:r>
        <w:rPr>
          <w:color w:val="auto"/>
          <w:sz w:val="28"/>
          <w:highlight w:val="none"/>
        </w:rPr>
        <w:tab/>
      </w:r>
      <w:r>
        <w:rPr>
          <w:rFonts w:hint="eastAsia"/>
          <w:color w:val="auto"/>
          <w:sz w:val="28"/>
          <w:highlight w:val="none"/>
          <w:lang w:val="en-US" w:eastAsia="zh-CN"/>
        </w:rPr>
        <w:t>1</w:t>
      </w:r>
      <w:r>
        <w:rPr>
          <w:rStyle w:val="31"/>
          <w:color w:val="auto"/>
          <w:sz w:val="28"/>
          <w:highlight w:val="none"/>
        </w:rPr>
        <w:fldChar w:fldCharType="end"/>
      </w:r>
      <w:r>
        <w:rPr>
          <w:rStyle w:val="31"/>
          <w:rFonts w:hint="eastAsia"/>
          <w:color w:val="auto"/>
          <w:sz w:val="28"/>
          <w:highlight w:val="none"/>
          <w:lang w:val="en-US" w:eastAsia="zh-CN"/>
        </w:rPr>
        <w:t>30</w:t>
      </w:r>
    </w:p>
    <w:p w14:paraId="60117182">
      <w:pPr>
        <w:pStyle w:val="16"/>
        <w:tabs>
          <w:tab w:val="right" w:leader="dot" w:pos="10120"/>
        </w:tabs>
        <w:rPr>
          <w:rFonts w:hint="default"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"_Toc95223531"</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color w:val="auto"/>
          <w:sz w:val="28"/>
          <w:highlight w:val="none"/>
        </w:rPr>
        <w:t>第九章 投标文件格式</w:t>
      </w:r>
      <w:r>
        <w:rPr>
          <w:color w:val="auto"/>
          <w:sz w:val="28"/>
          <w:highlight w:val="none"/>
        </w:rPr>
        <w:tab/>
      </w:r>
      <w:r>
        <w:rPr>
          <w:rFonts w:hint="eastAsia"/>
          <w:color w:val="auto"/>
          <w:sz w:val="28"/>
          <w:highlight w:val="none"/>
          <w:lang w:val="en-US" w:eastAsia="zh-CN"/>
        </w:rPr>
        <w:t>1</w:t>
      </w:r>
      <w:r>
        <w:rPr>
          <w:rStyle w:val="31"/>
          <w:color w:val="auto"/>
          <w:sz w:val="28"/>
          <w:highlight w:val="none"/>
        </w:rPr>
        <w:fldChar w:fldCharType="end"/>
      </w:r>
      <w:r>
        <w:rPr>
          <w:rStyle w:val="31"/>
          <w:rFonts w:hint="eastAsia"/>
          <w:color w:val="auto"/>
          <w:sz w:val="28"/>
          <w:highlight w:val="none"/>
          <w:lang w:val="en-US" w:eastAsia="zh-CN"/>
        </w:rPr>
        <w:t>31</w:t>
      </w:r>
    </w:p>
    <w:p w14:paraId="61D104FB">
      <w:pPr>
        <w:pStyle w:val="16"/>
        <w:tabs>
          <w:tab w:val="right" w:leader="dot" w:pos="10120"/>
        </w:tabs>
        <w:rPr>
          <w:rFonts w:hint="default" w:ascii="Calibri" w:hAnsi="Calibri" w:eastAsia="宋体"/>
          <w:b w:val="0"/>
          <w:bCs w:val="0"/>
          <w:caps w:val="0"/>
          <w:color w:val="auto"/>
          <w:sz w:val="32"/>
          <w:szCs w:val="22"/>
          <w:highlight w:val="none"/>
          <w:lang w:val="en-US" w:eastAsia="zh-CN"/>
        </w:rPr>
      </w:pPr>
      <w:r>
        <w:rPr>
          <w:rStyle w:val="31"/>
          <w:color w:val="auto"/>
          <w:sz w:val="28"/>
          <w:highlight w:val="none"/>
        </w:rPr>
        <w:fldChar w:fldCharType="begin"/>
      </w:r>
      <w:r>
        <w:rPr>
          <w:rStyle w:val="31"/>
          <w:color w:val="auto"/>
          <w:sz w:val="28"/>
          <w:highlight w:val="none"/>
        </w:rPr>
        <w:instrText xml:space="preserve"> </w:instrText>
      </w:r>
      <w:r>
        <w:rPr>
          <w:color w:val="auto"/>
          <w:sz w:val="28"/>
          <w:highlight w:val="none"/>
        </w:rPr>
        <w:instrText xml:space="preserve">HYPERLINK \l "_Toc95223547"</w:instrText>
      </w:r>
      <w:r>
        <w:rPr>
          <w:rStyle w:val="31"/>
          <w:color w:val="auto"/>
          <w:sz w:val="28"/>
          <w:highlight w:val="none"/>
        </w:rPr>
        <w:instrText xml:space="preserve"> </w:instrText>
      </w:r>
      <w:r>
        <w:rPr>
          <w:rStyle w:val="31"/>
          <w:color w:val="auto"/>
          <w:sz w:val="28"/>
          <w:highlight w:val="none"/>
        </w:rPr>
        <w:fldChar w:fldCharType="separate"/>
      </w:r>
      <w:r>
        <w:rPr>
          <w:rStyle w:val="31"/>
          <w:rFonts w:hint="eastAsia" w:eastAsia="黑体"/>
          <w:color w:val="auto"/>
          <w:sz w:val="28"/>
          <w:highlight w:val="none"/>
        </w:rPr>
        <w:t>第十章</w:t>
      </w:r>
      <w:r>
        <w:rPr>
          <w:rStyle w:val="31"/>
          <w:rFonts w:eastAsia="黑体"/>
          <w:color w:val="auto"/>
          <w:sz w:val="28"/>
          <w:highlight w:val="none"/>
        </w:rPr>
        <w:t xml:space="preserve"> </w:t>
      </w:r>
      <w:r>
        <w:rPr>
          <w:rStyle w:val="31"/>
          <w:rFonts w:hint="eastAsia" w:eastAsia="黑体"/>
          <w:color w:val="auto"/>
          <w:sz w:val="28"/>
          <w:highlight w:val="none"/>
        </w:rPr>
        <w:t>招标人、招标代理机构对本招标文件的确认</w:t>
      </w:r>
      <w:bookmarkStart w:id="9" w:name="_Hlt95223551"/>
      <w:bookmarkStart w:id="10" w:name="_Hlt95223550"/>
      <w:r>
        <w:rPr>
          <w:color w:val="auto"/>
          <w:sz w:val="28"/>
          <w:highlight w:val="none"/>
        </w:rPr>
        <w:tab/>
      </w:r>
      <w:bookmarkEnd w:id="9"/>
      <w:bookmarkEnd w:id="10"/>
      <w:r>
        <w:rPr>
          <w:rFonts w:hint="eastAsia"/>
          <w:color w:val="auto"/>
          <w:sz w:val="28"/>
          <w:highlight w:val="none"/>
          <w:lang w:val="en-US" w:eastAsia="zh-CN"/>
        </w:rPr>
        <w:t>1</w:t>
      </w:r>
      <w:r>
        <w:rPr>
          <w:rStyle w:val="31"/>
          <w:color w:val="auto"/>
          <w:sz w:val="28"/>
          <w:highlight w:val="none"/>
        </w:rPr>
        <w:fldChar w:fldCharType="end"/>
      </w:r>
      <w:r>
        <w:rPr>
          <w:rStyle w:val="31"/>
          <w:rFonts w:hint="eastAsia"/>
          <w:color w:val="auto"/>
          <w:sz w:val="28"/>
          <w:highlight w:val="none"/>
          <w:lang w:val="en-US" w:eastAsia="zh-CN"/>
        </w:rPr>
        <w:t>60</w:t>
      </w:r>
    </w:p>
    <w:p w14:paraId="3380691C">
      <w:pPr>
        <w:rPr>
          <w:rFonts w:hint="eastAsia"/>
          <w:color w:val="auto"/>
          <w:sz w:val="24"/>
          <w:highlight w:val="none"/>
        </w:rPr>
      </w:pPr>
    </w:p>
    <w:p w14:paraId="11B60752">
      <w:pPr>
        <w:pStyle w:val="16"/>
        <w:rPr>
          <w:rFonts w:hint="eastAsia"/>
          <w:color w:val="auto"/>
          <w:highlight w:val="none"/>
        </w:rPr>
      </w:pPr>
    </w:p>
    <w:p w14:paraId="4B0D1865">
      <w:pPr>
        <w:rPr>
          <w:rFonts w:hint="eastAsia"/>
          <w:color w:val="auto"/>
          <w:highlight w:val="none"/>
        </w:rPr>
      </w:pPr>
    </w:p>
    <w:p w14:paraId="48026030">
      <w:pPr>
        <w:pStyle w:val="16"/>
        <w:rPr>
          <w:rFonts w:hint="eastAsia"/>
          <w:color w:val="auto"/>
          <w:highlight w:val="none"/>
        </w:rPr>
      </w:pPr>
    </w:p>
    <w:p w14:paraId="649BF94E">
      <w:pPr>
        <w:rPr>
          <w:rFonts w:hint="eastAsia"/>
          <w:color w:val="auto"/>
          <w:highlight w:val="none"/>
        </w:rPr>
      </w:pPr>
    </w:p>
    <w:p w14:paraId="6AA2E4B5">
      <w:pPr>
        <w:pStyle w:val="16"/>
        <w:rPr>
          <w:rFonts w:hint="eastAsia"/>
          <w:color w:val="auto"/>
          <w:highlight w:val="none"/>
        </w:rPr>
      </w:pPr>
    </w:p>
    <w:p w14:paraId="50FB2B52">
      <w:pPr>
        <w:rPr>
          <w:rFonts w:hint="eastAsia"/>
          <w:color w:val="auto"/>
          <w:highlight w:val="none"/>
        </w:rPr>
      </w:pPr>
    </w:p>
    <w:p w14:paraId="34542F3E">
      <w:pPr>
        <w:pStyle w:val="16"/>
        <w:rPr>
          <w:rFonts w:hint="eastAsia"/>
          <w:color w:val="auto"/>
          <w:highlight w:val="none"/>
        </w:rPr>
      </w:pPr>
    </w:p>
    <w:p w14:paraId="54CE676D">
      <w:pPr>
        <w:rPr>
          <w:rFonts w:hint="eastAsia"/>
          <w:color w:val="auto"/>
          <w:highlight w:val="none"/>
        </w:rPr>
      </w:pPr>
    </w:p>
    <w:p w14:paraId="063FB5CA">
      <w:pPr>
        <w:pStyle w:val="16"/>
        <w:rPr>
          <w:rFonts w:hint="eastAsia"/>
          <w:color w:val="auto"/>
          <w:highlight w:val="none"/>
        </w:rPr>
      </w:pPr>
    </w:p>
    <w:p w14:paraId="7C1918CC">
      <w:pPr>
        <w:rPr>
          <w:rFonts w:hint="eastAsia"/>
          <w:color w:val="auto"/>
          <w:highlight w:val="none"/>
        </w:rPr>
      </w:pPr>
    </w:p>
    <w:p w14:paraId="54CC6D7A">
      <w:pPr>
        <w:rPr>
          <w:rFonts w:hint="eastAsia"/>
          <w:color w:val="auto"/>
          <w:highlight w:val="none"/>
        </w:rPr>
        <w:sectPr>
          <w:headerReference r:id="rId3" w:type="default"/>
          <w:pgSz w:w="11910" w:h="16850"/>
          <w:pgMar w:top="1600" w:right="660" w:bottom="1100" w:left="1120" w:header="0" w:footer="746" w:gutter="0"/>
          <w:pgNumType w:start="1"/>
          <w:cols w:space="720" w:num="1"/>
        </w:sectPr>
      </w:pPr>
    </w:p>
    <w:p w14:paraId="5AE3A9C9">
      <w:pPr>
        <w:pStyle w:val="3"/>
        <w:spacing w:before="0" w:after="0" w:line="240" w:lineRule="auto"/>
        <w:jc w:val="center"/>
        <w:rPr>
          <w:rFonts w:hint="eastAsia"/>
          <w:color w:val="auto"/>
          <w:highlight w:val="none"/>
          <w:lang w:val="zh-CN"/>
        </w:rPr>
      </w:pPr>
      <w:r>
        <w:rPr>
          <w:color w:val="auto"/>
          <w:highlight w:val="none"/>
          <w:lang w:val="zh-CN"/>
        </w:rPr>
        <w:fldChar w:fldCharType="end"/>
      </w:r>
      <w:bookmarkStart w:id="11" w:name="_Toc95223332"/>
      <w:r>
        <w:rPr>
          <w:rFonts w:hint="eastAsia"/>
          <w:color w:val="auto"/>
          <w:highlight w:val="none"/>
        </w:rPr>
        <w:t>第一章  招标公告</w:t>
      </w:r>
      <w:bookmarkEnd w:id="11"/>
    </w:p>
    <w:p w14:paraId="784D47FE">
      <w:pPr>
        <w:pStyle w:val="20"/>
        <w:ind w:left="0" w:leftChars="0" w:right="-279" w:rightChars="-133" w:firstLine="472" w:firstLineChars="196"/>
        <w:jc w:val="center"/>
        <w:rPr>
          <w:b/>
          <w:color w:val="auto"/>
          <w:sz w:val="24"/>
          <w:highlight w:val="none"/>
        </w:rPr>
      </w:pPr>
      <w:r>
        <w:rPr>
          <w:rFonts w:hint="eastAsia"/>
          <w:b/>
          <w:color w:val="auto"/>
          <w:sz w:val="24"/>
          <w:highlight w:val="none"/>
          <w:lang w:eastAsia="zh-CN"/>
        </w:rPr>
        <w:t>滁州经开区永阳路标准化厂房及宿舍等配套设施</w:t>
      </w:r>
      <w:r>
        <w:rPr>
          <w:rFonts w:hint="eastAsia"/>
          <w:b/>
          <w:color w:val="auto"/>
          <w:sz w:val="24"/>
          <w:highlight w:val="none"/>
          <w:lang w:val="en-US" w:eastAsia="zh-CN"/>
        </w:rPr>
        <w:t>项目</w:t>
      </w:r>
      <w:r>
        <w:rPr>
          <w:rFonts w:hint="eastAsia"/>
          <w:b/>
          <w:color w:val="auto"/>
          <w:sz w:val="24"/>
          <w:highlight w:val="none"/>
          <w:lang w:eastAsia="zh-CN"/>
        </w:rPr>
        <w:t>改造三期工程</w:t>
      </w:r>
      <w:r>
        <w:rPr>
          <w:rFonts w:hint="eastAsia"/>
          <w:b/>
          <w:color w:val="auto"/>
          <w:sz w:val="24"/>
          <w:highlight w:val="none"/>
        </w:rPr>
        <w:t>招标公告信息（电子招标投标）</w:t>
      </w:r>
    </w:p>
    <w:tbl>
      <w:tblPr>
        <w:tblStyle w:val="21"/>
        <w:tblW w:w="10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8313"/>
      </w:tblGrid>
      <w:tr w14:paraId="1E76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2FAFA1E8">
            <w:pPr>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541A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678CB5F">
            <w:pPr>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8313" w:type="dxa"/>
            <w:noWrap w:val="0"/>
            <w:vAlign w:val="top"/>
          </w:tcPr>
          <w:p w14:paraId="64CC8059">
            <w:pPr>
              <w:keepNext w:val="0"/>
              <w:keepLines w:val="0"/>
              <w:pageBreakBefore w:val="0"/>
              <w:kinsoku/>
              <w:overflowPunct/>
              <w:topLinePunct w:val="0"/>
              <w:autoSpaceDE/>
              <w:autoSpaceDN/>
              <w:bidi w:val="0"/>
              <w:spacing w:line="500" w:lineRule="exact"/>
              <w:jc w:val="left"/>
              <w:textAlignment w:val="auto"/>
              <w:rPr>
                <w:rFonts w:hint="eastAsia" w:ascii="宋体" w:hAnsi="宋体" w:eastAsia="宋体" w:cs="宋体"/>
                <w:bCs/>
                <w:color w:val="auto"/>
                <w:kern w:val="1"/>
                <w:sz w:val="21"/>
                <w:szCs w:val="21"/>
                <w:highlight w:val="none"/>
                <w:lang w:eastAsia="zh-CN"/>
              </w:rPr>
            </w:pPr>
            <w:r>
              <w:rPr>
                <w:rFonts w:hint="eastAsia" w:ascii="宋体" w:hAnsi="宋体" w:cs="宋体"/>
                <w:bCs/>
                <w:color w:val="auto"/>
                <w:kern w:val="1"/>
                <w:sz w:val="21"/>
                <w:szCs w:val="21"/>
                <w:highlight w:val="none"/>
                <w:lang w:eastAsia="zh-CN"/>
              </w:rPr>
              <w:t>滁州经开区永阳路标准化厂房及宿舍等配套设施</w:t>
            </w:r>
            <w:r>
              <w:rPr>
                <w:rFonts w:hint="eastAsia" w:ascii="宋体" w:hAnsi="宋体" w:cs="宋体"/>
                <w:bCs/>
                <w:color w:val="auto"/>
                <w:kern w:val="1"/>
                <w:sz w:val="21"/>
                <w:szCs w:val="21"/>
                <w:highlight w:val="none"/>
                <w:lang w:val="en-US" w:eastAsia="zh-CN"/>
              </w:rPr>
              <w:t>项目</w:t>
            </w:r>
            <w:r>
              <w:rPr>
                <w:rFonts w:hint="eastAsia" w:ascii="宋体" w:hAnsi="宋体" w:cs="宋体"/>
                <w:bCs/>
                <w:color w:val="auto"/>
                <w:kern w:val="1"/>
                <w:sz w:val="21"/>
                <w:szCs w:val="21"/>
                <w:highlight w:val="none"/>
                <w:lang w:eastAsia="zh-CN"/>
              </w:rPr>
              <w:t>改造三期工程</w:t>
            </w:r>
          </w:p>
        </w:tc>
      </w:tr>
      <w:tr w14:paraId="682A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AC2788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项目审批、核准或备案机关名称</w:t>
            </w:r>
          </w:p>
        </w:tc>
        <w:tc>
          <w:tcPr>
            <w:tcW w:w="8313" w:type="dxa"/>
            <w:noWrap w:val="0"/>
            <w:vAlign w:val="center"/>
          </w:tcPr>
          <w:p w14:paraId="28FCDD7D">
            <w:pPr>
              <w:keepNext w:val="0"/>
              <w:keepLines w:val="0"/>
              <w:pageBreakBefore w:val="0"/>
              <w:widowControl/>
              <w:kinsoku/>
              <w:overflowPunct/>
              <w:topLinePunct w:val="0"/>
              <w:autoSpaceDE/>
              <w:autoSpaceDN/>
              <w:bidi w:val="0"/>
              <w:spacing w:line="50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滁州经济技术开发区经贸发展局</w:t>
            </w:r>
          </w:p>
        </w:tc>
      </w:tr>
      <w:tr w14:paraId="5AA8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E728929">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批文名称及编号</w:t>
            </w:r>
          </w:p>
        </w:tc>
        <w:tc>
          <w:tcPr>
            <w:tcW w:w="8313" w:type="dxa"/>
            <w:noWrap w:val="0"/>
            <w:vAlign w:val="center"/>
          </w:tcPr>
          <w:p w14:paraId="3EC199CF">
            <w:pPr>
              <w:widowControl/>
              <w:spacing w:line="560" w:lineRule="exact"/>
              <w:jc w:val="left"/>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 xml:space="preserve">滁州经开区经贸发展局备案表      </w:t>
            </w:r>
          </w:p>
        </w:tc>
      </w:tr>
      <w:tr w14:paraId="629E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CFAAC4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8313" w:type="dxa"/>
            <w:noWrap w:val="0"/>
            <w:vAlign w:val="center"/>
          </w:tcPr>
          <w:p w14:paraId="777E87E6">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bCs/>
                <w:color w:val="auto"/>
                <w:kern w:val="1"/>
                <w:sz w:val="21"/>
                <w:szCs w:val="21"/>
                <w:highlight w:val="none"/>
                <w:lang w:val="en-US" w:eastAsia="zh-CN"/>
              </w:rPr>
              <w:t>安徽同康实业发展有限公司</w:t>
            </w:r>
            <w:r>
              <w:rPr>
                <w:rFonts w:hint="eastAsia" w:ascii="宋体" w:hAnsi="宋体" w:eastAsia="宋体" w:cs="宋体"/>
                <w:color w:val="auto"/>
                <w:sz w:val="21"/>
                <w:szCs w:val="21"/>
                <w:highlight w:val="none"/>
              </w:rPr>
              <w:t xml:space="preserve"> </w:t>
            </w:r>
          </w:p>
        </w:tc>
      </w:tr>
      <w:tr w14:paraId="550F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6C6BCAF">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8313" w:type="dxa"/>
            <w:noWrap w:val="0"/>
            <w:vAlign w:val="center"/>
          </w:tcPr>
          <w:p w14:paraId="4AF4CD07">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安徽同康实业发展有限公司</w:t>
            </w:r>
            <w:r>
              <w:rPr>
                <w:rFonts w:hint="eastAsia" w:ascii="宋体" w:hAnsi="宋体" w:eastAsia="宋体" w:cs="宋体"/>
                <w:color w:val="auto"/>
                <w:sz w:val="21"/>
                <w:szCs w:val="21"/>
                <w:highlight w:val="none"/>
              </w:rPr>
              <w:t xml:space="preserve"> </w:t>
            </w:r>
          </w:p>
        </w:tc>
      </w:tr>
      <w:tr w14:paraId="3274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9C3AB46">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8313" w:type="dxa"/>
            <w:noWrap w:val="0"/>
            <w:vAlign w:val="center"/>
          </w:tcPr>
          <w:p w14:paraId="46E590F6">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自筹资金</w:t>
            </w:r>
            <w:r>
              <w:rPr>
                <w:rFonts w:hint="eastAsia" w:ascii="宋体" w:hAnsi="宋体" w:eastAsia="宋体" w:cs="宋体"/>
                <w:color w:val="auto"/>
                <w:sz w:val="21"/>
                <w:szCs w:val="21"/>
                <w:highlight w:val="none"/>
              </w:rPr>
              <w:t xml:space="preserve"> </w:t>
            </w:r>
          </w:p>
        </w:tc>
      </w:tr>
      <w:tr w14:paraId="40189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646654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8313" w:type="dxa"/>
            <w:noWrap w:val="0"/>
            <w:vAlign w:val="center"/>
          </w:tcPr>
          <w:p w14:paraId="21E28AE5">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r>
              <w:rPr>
                <w:rFonts w:hint="eastAsia" w:ascii="宋体" w:hAnsi="宋体" w:eastAsia="宋体" w:cs="宋体"/>
                <w:color w:val="auto"/>
                <w:sz w:val="21"/>
                <w:szCs w:val="21"/>
                <w:highlight w:val="none"/>
                <w:lang w:val="en-US" w:eastAsia="zh-CN"/>
              </w:rPr>
              <w:t xml:space="preserve"> </w:t>
            </w:r>
          </w:p>
        </w:tc>
      </w:tr>
      <w:tr w14:paraId="10B1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6B0653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8313" w:type="dxa"/>
            <w:noWrap w:val="0"/>
            <w:vAlign w:val="center"/>
          </w:tcPr>
          <w:p w14:paraId="361CACB1">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公开招标 </w:t>
            </w:r>
          </w:p>
        </w:tc>
      </w:tr>
      <w:tr w14:paraId="7576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F252C12">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8313" w:type="dxa"/>
            <w:noWrap w:val="0"/>
            <w:vAlign w:val="center"/>
          </w:tcPr>
          <w:p w14:paraId="0909A16E">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综合评估法</w:t>
            </w:r>
            <w:r>
              <w:rPr>
                <w:rFonts w:hint="eastAsia" w:ascii="宋体" w:hAnsi="宋体" w:cs="宋体"/>
                <w:color w:val="auto"/>
                <w:sz w:val="21"/>
                <w:szCs w:val="21"/>
                <w:highlight w:val="none"/>
                <w:lang w:val="en-US" w:eastAsia="zh-CN"/>
              </w:rPr>
              <w:t xml:space="preserve">（评定分离） </w:t>
            </w:r>
          </w:p>
        </w:tc>
      </w:tr>
      <w:tr w14:paraId="7579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39EC091A">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04F4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8A8B139">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8313" w:type="dxa"/>
            <w:noWrap w:val="0"/>
            <w:vAlign w:val="center"/>
          </w:tcPr>
          <w:p w14:paraId="09F6BEA8">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bCs/>
                <w:color w:val="auto"/>
                <w:kern w:val="1"/>
                <w:sz w:val="21"/>
                <w:szCs w:val="21"/>
                <w:highlight w:val="none"/>
                <w:lang w:val="en-US" w:eastAsia="zh-CN"/>
              </w:rPr>
              <w:t>滁州经开区永阳路标准化厂房及宿舍等配套设施项目改造三期工程</w:t>
            </w:r>
          </w:p>
        </w:tc>
      </w:tr>
      <w:tr w14:paraId="0CB0C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ABBCC3C">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招标项目编号</w:t>
            </w:r>
          </w:p>
        </w:tc>
        <w:tc>
          <w:tcPr>
            <w:tcW w:w="8313" w:type="dxa"/>
            <w:noWrap w:val="0"/>
            <w:vAlign w:val="center"/>
          </w:tcPr>
          <w:p w14:paraId="06438952">
            <w:pPr>
              <w:keepNext w:val="0"/>
              <w:keepLines w:val="0"/>
              <w:pageBreakBefore w:val="0"/>
              <w:widowControl/>
              <w:kinsoku/>
              <w:overflowPunct/>
              <w:topLinePunct w:val="0"/>
              <w:autoSpaceDE/>
              <w:autoSpaceDN/>
              <w:bidi w:val="0"/>
              <w:spacing w:line="500" w:lineRule="exact"/>
              <w:jc w:val="lef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czsjgc2026</w:t>
            </w:r>
            <w:r>
              <w:rPr>
                <w:rFonts w:hint="eastAsia" w:ascii="宋体" w:hAnsi="宋体" w:cs="宋体"/>
                <w:color w:val="auto"/>
                <w:sz w:val="21"/>
                <w:szCs w:val="21"/>
                <w:highlight w:val="none"/>
                <w:lang w:val="en-US" w:eastAsia="zh-CN"/>
              </w:rPr>
              <w:t>10-005</w:t>
            </w:r>
          </w:p>
        </w:tc>
      </w:tr>
      <w:tr w14:paraId="08A8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5" w:type="dxa"/>
            <w:noWrap w:val="0"/>
            <w:vAlign w:val="center"/>
          </w:tcPr>
          <w:p w14:paraId="4C575A29">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8313" w:type="dxa"/>
            <w:noWrap w:val="0"/>
            <w:vAlign w:val="center"/>
          </w:tcPr>
          <w:p w14:paraId="77FA4E6A">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一个标段</w:t>
            </w:r>
            <w:r>
              <w:rPr>
                <w:rFonts w:hint="eastAsia" w:ascii="宋体" w:hAnsi="宋体" w:eastAsia="宋体" w:cs="宋体"/>
                <w:color w:val="auto"/>
                <w:sz w:val="21"/>
                <w:szCs w:val="21"/>
                <w:highlight w:val="none"/>
              </w:rPr>
              <w:t xml:space="preserve"> </w:t>
            </w:r>
          </w:p>
        </w:tc>
      </w:tr>
      <w:tr w14:paraId="1225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0F467C7">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招标项目标段编号</w:t>
            </w:r>
          </w:p>
        </w:tc>
        <w:tc>
          <w:tcPr>
            <w:tcW w:w="8313" w:type="dxa"/>
            <w:noWrap w:val="0"/>
            <w:vAlign w:val="center"/>
          </w:tcPr>
          <w:p w14:paraId="78DFB7A7">
            <w:pPr>
              <w:keepNext w:val="0"/>
              <w:keepLines w:val="0"/>
              <w:pageBreakBefore w:val="0"/>
              <w:widowControl/>
              <w:kinsoku/>
              <w:overflowPunct/>
              <w:topLinePunct w:val="0"/>
              <w:autoSpaceDE/>
              <w:autoSpaceDN/>
              <w:bidi w:val="0"/>
              <w:spacing w:line="500" w:lineRule="exact"/>
              <w:jc w:val="lef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czsjgc2026</w:t>
            </w:r>
            <w:r>
              <w:rPr>
                <w:rFonts w:hint="eastAsia" w:ascii="宋体" w:hAnsi="宋体" w:cs="宋体"/>
                <w:color w:val="auto"/>
                <w:sz w:val="21"/>
                <w:szCs w:val="21"/>
                <w:highlight w:val="none"/>
                <w:lang w:val="en-US" w:eastAsia="zh-CN"/>
              </w:rPr>
              <w:t>10-005</w:t>
            </w:r>
          </w:p>
        </w:tc>
      </w:tr>
      <w:tr w14:paraId="44A2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0EB9ED6">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8313" w:type="dxa"/>
            <w:noWrap w:val="0"/>
            <w:vAlign w:val="center"/>
          </w:tcPr>
          <w:p w14:paraId="677EA88A">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永阳路以北、浦东大道以西</w:t>
            </w:r>
          </w:p>
        </w:tc>
      </w:tr>
      <w:tr w14:paraId="7DD7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26AC1872">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建设规模</w:t>
            </w:r>
          </w:p>
        </w:tc>
        <w:tc>
          <w:tcPr>
            <w:tcW w:w="8313" w:type="dxa"/>
            <w:noWrap w:val="0"/>
            <w:vAlign w:val="center"/>
          </w:tcPr>
          <w:p w14:paraId="4154BAA6">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rPr>
            </w:pPr>
            <w:r>
              <w:rPr>
                <w:rFonts w:hint="eastAsia" w:ascii="宋体" w:hAnsi="宋体" w:cs="宋体"/>
                <w:bCs/>
                <w:color w:val="auto"/>
                <w:kern w:val="1"/>
                <w:sz w:val="21"/>
                <w:szCs w:val="21"/>
                <w:highlight w:val="none"/>
                <w:lang w:val="en-US" w:eastAsia="zh-CN"/>
              </w:rPr>
              <w:t>本项目永阳路以北、浦东大道以西，建设内容包括：4号楼二层改造和机电安装工程，包含暖通、供电、工艺工程、洁净装修及室外配套工程等，</w:t>
            </w:r>
            <w:r>
              <w:rPr>
                <w:rFonts w:hint="eastAsia" w:ascii="宋体" w:hAnsi="宋体" w:eastAsia="宋体" w:cs="宋体"/>
                <w:color w:val="auto"/>
                <w:szCs w:val="21"/>
                <w:highlight w:val="none"/>
                <w:lang w:val="en-US" w:eastAsia="zh-CN"/>
              </w:rPr>
              <w:t>具体详见施工图纸及工程量清单。</w:t>
            </w:r>
          </w:p>
        </w:tc>
      </w:tr>
      <w:tr w14:paraId="7DA4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6C3E0EA">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8313" w:type="dxa"/>
            <w:noWrap w:val="0"/>
            <w:vAlign w:val="center"/>
          </w:tcPr>
          <w:p w14:paraId="29836316">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约</w:t>
            </w:r>
            <w:r>
              <w:rPr>
                <w:rFonts w:hint="eastAsia" w:ascii="宋体" w:hAnsi="宋体" w:cs="宋体"/>
                <w:color w:val="auto"/>
                <w:sz w:val="21"/>
                <w:szCs w:val="21"/>
                <w:highlight w:val="none"/>
                <w:lang w:val="en-US" w:eastAsia="zh-CN"/>
              </w:rPr>
              <w:t>5800</w:t>
            </w:r>
            <w:r>
              <w:rPr>
                <w:rFonts w:hint="eastAsia" w:ascii="宋体" w:hAnsi="宋体" w:eastAsia="宋体" w:cs="宋体"/>
                <w:color w:val="auto"/>
                <w:sz w:val="21"/>
                <w:szCs w:val="21"/>
                <w:highlight w:val="none"/>
                <w:lang w:val="en-US" w:eastAsia="zh-CN"/>
              </w:rPr>
              <w:t>万元</w:t>
            </w:r>
          </w:p>
        </w:tc>
      </w:tr>
      <w:tr w14:paraId="35C2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067826C">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8313" w:type="dxa"/>
            <w:noWrap w:val="0"/>
            <w:vAlign w:val="center"/>
          </w:tcPr>
          <w:p w14:paraId="467EF291">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详见招标文件</w:t>
            </w:r>
          </w:p>
        </w:tc>
      </w:tr>
      <w:tr w14:paraId="391E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BB90DF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8313" w:type="dxa"/>
            <w:noWrap w:val="0"/>
            <w:vAlign w:val="center"/>
          </w:tcPr>
          <w:p w14:paraId="4AB67251">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依据招标人提供的施工图纸及工程量清单</w:t>
            </w:r>
            <w:r>
              <w:rPr>
                <w:rFonts w:hint="eastAsia" w:ascii="宋体" w:hAnsi="宋体" w:eastAsia="宋体" w:cs="宋体"/>
                <w:color w:val="auto"/>
                <w:sz w:val="21"/>
                <w:szCs w:val="21"/>
                <w:highlight w:val="none"/>
              </w:rPr>
              <w:t>中的全部内容</w:t>
            </w:r>
            <w:r>
              <w:rPr>
                <w:rFonts w:hint="eastAsia" w:ascii="宋体" w:hAnsi="宋体" w:eastAsia="宋体" w:cs="宋体"/>
                <w:color w:val="auto"/>
                <w:sz w:val="21"/>
                <w:szCs w:val="21"/>
                <w:highlight w:val="none"/>
                <w:lang w:eastAsia="zh-CN"/>
              </w:rPr>
              <w:t>。</w:t>
            </w:r>
          </w:p>
        </w:tc>
      </w:tr>
      <w:tr w14:paraId="481F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7A997F7">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项目类别</w:t>
            </w:r>
          </w:p>
        </w:tc>
        <w:tc>
          <w:tcPr>
            <w:tcW w:w="8313" w:type="dxa"/>
            <w:noWrap w:val="0"/>
            <w:vAlign w:val="center"/>
          </w:tcPr>
          <w:p w14:paraId="365AABC7">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建筑</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 xml:space="preserve">  </w:t>
            </w:r>
          </w:p>
        </w:tc>
      </w:tr>
      <w:tr w14:paraId="7706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79FBB5A">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8313" w:type="dxa"/>
            <w:noWrap w:val="0"/>
            <w:vAlign w:val="center"/>
          </w:tcPr>
          <w:p w14:paraId="6C47DFAF">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39D5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2AD1605B">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4710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553459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投标人资质条件</w:t>
            </w:r>
          </w:p>
        </w:tc>
        <w:tc>
          <w:tcPr>
            <w:tcW w:w="8313" w:type="dxa"/>
            <w:noWrap w:val="0"/>
            <w:vAlign w:val="center"/>
          </w:tcPr>
          <w:p w14:paraId="757EEAD2">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投标人须</w:t>
            </w:r>
            <w:r>
              <w:rPr>
                <w:rFonts w:hint="eastAsia" w:ascii="宋体" w:hAnsi="宋体" w:cs="宋体"/>
                <w:color w:val="auto"/>
                <w:sz w:val="21"/>
                <w:szCs w:val="21"/>
                <w:highlight w:val="none"/>
                <w:lang w:val="en-US" w:eastAsia="zh-CN"/>
              </w:rPr>
              <w:t>同时</w:t>
            </w:r>
            <w:r>
              <w:rPr>
                <w:rFonts w:hint="eastAsia" w:ascii="宋体" w:hAnsi="宋体" w:eastAsia="宋体" w:cs="宋体"/>
                <w:color w:val="auto"/>
                <w:sz w:val="21"/>
                <w:szCs w:val="21"/>
                <w:highlight w:val="none"/>
              </w:rPr>
              <w:t>具备</w:t>
            </w:r>
            <w:r>
              <w:rPr>
                <w:rFonts w:hint="eastAsia"/>
                <w:color w:val="auto"/>
                <w:szCs w:val="21"/>
                <w:highlight w:val="none"/>
                <w:lang w:val="en-US" w:eastAsia="zh-CN"/>
              </w:rPr>
              <w:t>建筑</w:t>
            </w:r>
            <w:r>
              <w:rPr>
                <w:rFonts w:hint="eastAsia"/>
                <w:color w:val="auto"/>
                <w:szCs w:val="21"/>
                <w:highlight w:val="none"/>
                <w:lang w:eastAsia="zh-CN"/>
              </w:rPr>
              <w:t>工程施工总承包三级</w:t>
            </w:r>
            <w:r>
              <w:rPr>
                <w:rFonts w:hint="eastAsia"/>
                <w:color w:val="auto"/>
                <w:szCs w:val="21"/>
                <w:highlight w:val="none"/>
                <w:lang w:val="en-US" w:eastAsia="zh-CN"/>
              </w:rPr>
              <w:t>及</w:t>
            </w:r>
            <w:r>
              <w:rPr>
                <w:rFonts w:hint="eastAsia"/>
                <w:color w:val="auto"/>
                <w:szCs w:val="21"/>
                <w:highlight w:val="none"/>
                <w:lang w:eastAsia="zh-CN"/>
              </w:rPr>
              <w:t>以上</w:t>
            </w:r>
            <w:r>
              <w:rPr>
                <w:rFonts w:hint="eastAsia" w:ascii="Times New Roman" w:hAnsi="Times New Roman" w:eastAsia="宋体" w:cs="Times New Roman"/>
                <w:color w:val="auto"/>
                <w:szCs w:val="21"/>
                <w:highlight w:val="none"/>
                <w:lang w:eastAsia="zh-CN"/>
              </w:rPr>
              <w:t>资</w:t>
            </w:r>
            <w:r>
              <w:rPr>
                <w:rFonts w:hint="eastAsia" w:ascii="Times New Roman" w:hAnsi="Times New Roman" w:eastAsia="宋体" w:cs="Times New Roman"/>
                <w:color w:val="auto"/>
                <w:szCs w:val="21"/>
                <w:highlight w:val="none"/>
                <w:lang w:val="en-US" w:eastAsia="zh-CN"/>
              </w:rPr>
              <w:t>质和</w:t>
            </w:r>
            <w:r>
              <w:rPr>
                <w:rFonts w:hint="eastAsia" w:ascii="宋体" w:hAnsi="宋体" w:cs="宋体"/>
                <w:color w:val="auto"/>
                <w:sz w:val="21"/>
                <w:szCs w:val="21"/>
                <w:highlight w:val="none"/>
                <w:lang w:val="en-US" w:eastAsia="zh-CN"/>
              </w:rPr>
              <w:t>机电</w:t>
            </w:r>
            <w:r>
              <w:rPr>
                <w:rFonts w:hint="eastAsia" w:ascii="宋体" w:hAnsi="宋体" w:eastAsia="宋体" w:cs="宋体"/>
                <w:color w:val="auto"/>
                <w:sz w:val="21"/>
                <w:szCs w:val="21"/>
                <w:highlight w:val="none"/>
                <w:lang w:val="en-US" w:eastAsia="zh-CN"/>
              </w:rPr>
              <w:t>工程施工总承包</w:t>
            </w:r>
            <w:r>
              <w:rPr>
                <w:rFonts w:hint="eastAsia" w:ascii="宋体" w:hAnsi="宋体" w:cs="宋体"/>
                <w:color w:val="auto"/>
                <w:sz w:val="21"/>
                <w:szCs w:val="21"/>
                <w:highlight w:val="none"/>
                <w:lang w:val="en-US" w:eastAsia="zh-CN"/>
              </w:rPr>
              <w:t>一级</w:t>
            </w:r>
            <w:r>
              <w:rPr>
                <w:rFonts w:hint="eastAsia" w:ascii="宋体" w:hAnsi="宋体" w:eastAsia="宋体" w:cs="宋体"/>
                <w:color w:val="auto"/>
                <w:sz w:val="21"/>
                <w:szCs w:val="21"/>
                <w:highlight w:val="none"/>
              </w:rPr>
              <w:t>资质</w:t>
            </w:r>
          </w:p>
        </w:tc>
      </w:tr>
      <w:tr w14:paraId="7917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DAC44A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项目经理资格要求</w:t>
            </w:r>
          </w:p>
        </w:tc>
        <w:tc>
          <w:tcPr>
            <w:tcW w:w="8313" w:type="dxa"/>
            <w:noWrap w:val="0"/>
            <w:vAlign w:val="center"/>
          </w:tcPr>
          <w:p w14:paraId="2B35FECF">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投标人拟委任项目经理须具备</w:t>
            </w:r>
            <w:r>
              <w:rPr>
                <w:rFonts w:hint="eastAsia" w:ascii="宋体" w:hAnsi="宋体" w:eastAsia="宋体" w:cs="宋体"/>
                <w:color w:val="auto"/>
                <w:szCs w:val="21"/>
                <w:highlight w:val="none"/>
                <w:u w:val="single"/>
              </w:rPr>
              <w:t>注册在投标单位的</w:t>
            </w:r>
            <w:r>
              <w:rPr>
                <w:rFonts w:hint="eastAsia" w:ascii="宋体" w:hAnsi="宋体" w:eastAsia="宋体" w:cs="宋体"/>
                <w:color w:val="auto"/>
                <w:szCs w:val="21"/>
                <w:highlight w:val="none"/>
                <w:u w:val="single"/>
                <w:lang w:val="en-US" w:eastAsia="zh-CN"/>
              </w:rPr>
              <w:t>机电</w:t>
            </w:r>
            <w:r>
              <w:rPr>
                <w:rFonts w:hint="eastAsia" w:ascii="宋体" w:hAnsi="宋体" w:eastAsia="宋体" w:cs="宋体"/>
                <w:color w:val="auto"/>
                <w:szCs w:val="21"/>
                <w:highlight w:val="none"/>
                <w:u w:val="single"/>
                <w:lang w:eastAsia="zh-CN"/>
              </w:rPr>
              <w:t>工程</w:t>
            </w:r>
            <w:r>
              <w:rPr>
                <w:rFonts w:hint="eastAsia" w:ascii="宋体" w:hAnsi="宋体" w:eastAsia="宋体" w:cs="宋体"/>
                <w:color w:val="auto"/>
                <w:szCs w:val="21"/>
                <w:highlight w:val="none"/>
                <w:u w:val="single"/>
                <w:lang w:val="en-US" w:eastAsia="zh-CN"/>
              </w:rPr>
              <w:t>专业</w:t>
            </w:r>
            <w:r>
              <w:rPr>
                <w:rFonts w:hint="eastAsia" w:ascii="宋体" w:hAnsi="宋体" w:cs="宋体"/>
                <w:color w:val="auto"/>
                <w:sz w:val="21"/>
                <w:szCs w:val="21"/>
                <w:highlight w:val="none"/>
                <w:u w:val="single"/>
                <w:lang w:val="en-US" w:eastAsia="zh-CN"/>
              </w:rPr>
              <w:t>一</w:t>
            </w:r>
            <w:r>
              <w:rPr>
                <w:rFonts w:hint="eastAsia" w:ascii="宋体" w:hAnsi="宋体" w:eastAsia="宋体" w:cs="宋体"/>
                <w:color w:val="auto"/>
                <w:sz w:val="21"/>
                <w:szCs w:val="21"/>
                <w:highlight w:val="none"/>
                <w:u w:val="single"/>
                <w:lang w:val="en-US" w:eastAsia="zh-CN"/>
              </w:rPr>
              <w:t>级</w:t>
            </w:r>
            <w:r>
              <w:rPr>
                <w:rFonts w:hint="eastAsia" w:ascii="宋体" w:hAnsi="宋体" w:eastAsia="宋体" w:cs="宋体"/>
                <w:color w:val="auto"/>
                <w:szCs w:val="21"/>
                <w:highlight w:val="none"/>
                <w:u w:val="single"/>
                <w:lang w:val="en-US" w:eastAsia="zh-CN"/>
              </w:rPr>
              <w:t>和建筑</w:t>
            </w:r>
            <w:r>
              <w:rPr>
                <w:rFonts w:hint="eastAsia" w:ascii="宋体" w:hAnsi="宋体" w:eastAsia="宋体" w:cs="宋体"/>
                <w:color w:val="auto"/>
                <w:szCs w:val="21"/>
                <w:highlight w:val="none"/>
                <w:u w:val="single"/>
                <w:lang w:eastAsia="zh-CN"/>
              </w:rPr>
              <w:t>工程</w:t>
            </w:r>
            <w:r>
              <w:rPr>
                <w:rFonts w:hint="eastAsia" w:ascii="宋体" w:hAnsi="宋体" w:eastAsia="宋体" w:cs="宋体"/>
                <w:color w:val="auto"/>
                <w:szCs w:val="21"/>
                <w:highlight w:val="none"/>
                <w:u w:val="single"/>
                <w:lang w:val="en-US" w:eastAsia="zh-CN"/>
              </w:rPr>
              <w:t>专业</w:t>
            </w:r>
            <w:r>
              <w:rPr>
                <w:rFonts w:hint="eastAsia" w:ascii="宋体" w:hAnsi="宋体" w:cs="宋体"/>
                <w:color w:val="auto"/>
                <w:szCs w:val="21"/>
                <w:highlight w:val="none"/>
                <w:u w:val="single"/>
                <w:lang w:val="en-US" w:eastAsia="zh-CN"/>
              </w:rPr>
              <w:t>二</w:t>
            </w:r>
            <w:r>
              <w:rPr>
                <w:rFonts w:hint="eastAsia" w:ascii="宋体" w:hAnsi="宋体" w:eastAsia="宋体" w:cs="宋体"/>
                <w:color w:val="auto"/>
                <w:szCs w:val="21"/>
                <w:highlight w:val="none"/>
                <w:u w:val="single"/>
                <w:lang w:val="en-US" w:eastAsia="zh-CN"/>
              </w:rPr>
              <w:t>级</w:t>
            </w:r>
            <w:r>
              <w:rPr>
                <w:rFonts w:hint="eastAsia" w:ascii="宋体" w:hAnsi="宋体" w:cs="宋体"/>
                <w:color w:val="auto"/>
                <w:szCs w:val="21"/>
                <w:highlight w:val="none"/>
                <w:u w:val="single"/>
                <w:lang w:val="en-US" w:eastAsia="zh-CN"/>
              </w:rPr>
              <w:t>及以上</w:t>
            </w:r>
            <w:r>
              <w:rPr>
                <w:rFonts w:hint="eastAsia" w:ascii="宋体" w:hAnsi="宋体" w:eastAsia="宋体" w:cs="宋体"/>
                <w:color w:val="auto"/>
                <w:szCs w:val="21"/>
                <w:highlight w:val="none"/>
                <w:u w:val="single"/>
              </w:rPr>
              <w:t>注册建造师</w:t>
            </w:r>
            <w:r>
              <w:rPr>
                <w:rFonts w:hint="eastAsia" w:ascii="宋体" w:hAnsi="宋体" w:eastAsia="宋体" w:cs="宋体"/>
                <w:color w:val="auto"/>
                <w:szCs w:val="21"/>
                <w:highlight w:val="none"/>
                <w:u w:val="single"/>
                <w:lang w:val="en-US" w:eastAsia="zh-CN"/>
              </w:rPr>
              <w:t>资格</w:t>
            </w:r>
            <w:r>
              <w:rPr>
                <w:rFonts w:hint="eastAsia" w:ascii="宋体" w:hAnsi="宋体" w:eastAsia="宋体" w:cs="宋体"/>
                <w:color w:val="auto"/>
                <w:szCs w:val="21"/>
                <w:highlight w:val="none"/>
                <w:u w:val="single"/>
              </w:rPr>
              <w:t>，具备有效的安全生产考核合格</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B类</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证书</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若以联合体形式参加本项目投标，</w:t>
            </w:r>
            <w:r>
              <w:rPr>
                <w:rFonts w:hint="eastAsia" w:ascii="宋体" w:hAnsi="宋体" w:eastAsia="宋体" w:cs="宋体"/>
                <w:color w:val="auto"/>
                <w:kern w:val="0"/>
                <w:szCs w:val="21"/>
                <w:highlight w:val="none"/>
                <w:u w:val="single"/>
              </w:rPr>
              <w:t>联合体成员方</w:t>
            </w:r>
            <w:r>
              <w:rPr>
                <w:rFonts w:hint="eastAsia" w:ascii="宋体" w:hAnsi="宋体" w:eastAsia="宋体" w:cs="宋体"/>
                <w:color w:val="auto"/>
                <w:kern w:val="0"/>
                <w:szCs w:val="21"/>
                <w:highlight w:val="none"/>
                <w:u w:val="single"/>
                <w:lang w:val="en-US" w:eastAsia="zh-CN"/>
              </w:rPr>
              <w:t>且</w:t>
            </w:r>
            <w:r>
              <w:rPr>
                <w:rFonts w:hint="eastAsia" w:ascii="宋体" w:hAnsi="宋体" w:eastAsia="宋体" w:cs="宋体"/>
                <w:color w:val="auto"/>
                <w:kern w:val="0"/>
                <w:szCs w:val="21"/>
                <w:highlight w:val="none"/>
                <w:u w:val="single"/>
              </w:rPr>
              <w:t>派驻项目经理（建造师）B岗</w:t>
            </w:r>
            <w:r>
              <w:rPr>
                <w:rFonts w:hint="eastAsia" w:ascii="宋体" w:hAnsi="宋体" w:eastAsia="宋体" w:cs="宋体"/>
                <w:color w:val="auto"/>
                <w:szCs w:val="21"/>
                <w:highlight w:val="none"/>
                <w:u w:val="single"/>
                <w:lang w:eastAsia="zh-CN"/>
              </w:rPr>
              <w:t>）的，</w:t>
            </w:r>
            <w:r>
              <w:rPr>
                <w:rFonts w:hint="eastAsia" w:ascii="宋体" w:hAnsi="宋体" w:eastAsia="宋体" w:cs="宋体"/>
                <w:color w:val="auto"/>
                <w:kern w:val="0"/>
                <w:szCs w:val="21"/>
                <w:highlight w:val="none"/>
                <w:u w:val="single"/>
              </w:rPr>
              <w:t>联合体投标牵头方派驻项目经理（建造师）A岗</w:t>
            </w:r>
            <w:r>
              <w:rPr>
                <w:rFonts w:hint="eastAsia" w:ascii="宋体" w:hAnsi="宋体" w:eastAsia="宋体" w:cs="宋体"/>
                <w:color w:val="auto"/>
                <w:kern w:val="0"/>
                <w:szCs w:val="21"/>
                <w:highlight w:val="none"/>
                <w:u w:val="single"/>
                <w:lang w:val="en-US" w:eastAsia="zh-CN"/>
              </w:rPr>
              <w:t>必须具有</w:t>
            </w:r>
            <w:r>
              <w:rPr>
                <w:rFonts w:hint="eastAsia" w:ascii="宋体" w:hAnsi="宋体" w:eastAsia="宋体" w:cs="宋体"/>
                <w:color w:val="auto"/>
                <w:szCs w:val="21"/>
                <w:highlight w:val="none"/>
                <w:u w:val="single"/>
                <w:lang w:val="en-US" w:eastAsia="zh-CN"/>
              </w:rPr>
              <w:t>机电</w:t>
            </w:r>
            <w:r>
              <w:rPr>
                <w:rFonts w:hint="eastAsia" w:ascii="宋体" w:hAnsi="宋体" w:eastAsia="宋体" w:cs="宋体"/>
                <w:color w:val="auto"/>
                <w:szCs w:val="21"/>
                <w:highlight w:val="none"/>
                <w:u w:val="single"/>
                <w:lang w:eastAsia="zh-CN"/>
              </w:rPr>
              <w:t>工程</w:t>
            </w:r>
            <w:r>
              <w:rPr>
                <w:rFonts w:hint="eastAsia" w:ascii="宋体" w:hAnsi="宋体" w:eastAsia="宋体" w:cs="宋体"/>
                <w:color w:val="auto"/>
                <w:szCs w:val="21"/>
                <w:highlight w:val="none"/>
                <w:u w:val="single"/>
                <w:lang w:val="en-US" w:eastAsia="zh-CN"/>
              </w:rPr>
              <w:t>专业</w:t>
            </w:r>
            <w:r>
              <w:rPr>
                <w:rFonts w:hint="eastAsia" w:ascii="宋体" w:hAnsi="宋体" w:cs="宋体"/>
                <w:color w:val="auto"/>
                <w:szCs w:val="21"/>
                <w:highlight w:val="none"/>
                <w:u w:val="single"/>
                <w:lang w:val="en-US" w:eastAsia="zh-CN"/>
              </w:rPr>
              <w:t>一</w:t>
            </w:r>
            <w:r>
              <w:rPr>
                <w:rFonts w:hint="eastAsia" w:ascii="宋体" w:hAnsi="宋体" w:eastAsia="宋体" w:cs="宋体"/>
                <w:color w:val="auto"/>
                <w:sz w:val="21"/>
                <w:szCs w:val="21"/>
                <w:highlight w:val="none"/>
                <w:u w:val="single"/>
                <w:lang w:val="en-US" w:eastAsia="zh-CN"/>
              </w:rPr>
              <w:t>级</w:t>
            </w:r>
            <w:r>
              <w:rPr>
                <w:rFonts w:hint="eastAsia" w:ascii="宋体" w:hAnsi="宋体" w:eastAsia="宋体" w:cs="宋体"/>
                <w:color w:val="auto"/>
                <w:szCs w:val="21"/>
                <w:highlight w:val="none"/>
                <w:u w:val="single"/>
              </w:rPr>
              <w:t>注册建造师</w:t>
            </w:r>
            <w:r>
              <w:rPr>
                <w:rFonts w:hint="eastAsia" w:ascii="宋体" w:hAnsi="宋体" w:eastAsia="宋体" w:cs="宋体"/>
                <w:color w:val="auto"/>
                <w:szCs w:val="21"/>
                <w:highlight w:val="none"/>
                <w:u w:val="single"/>
                <w:lang w:val="en-US" w:eastAsia="zh-CN"/>
              </w:rPr>
              <w:t>资格和</w:t>
            </w:r>
            <w:r>
              <w:rPr>
                <w:rFonts w:hint="eastAsia" w:ascii="宋体" w:hAnsi="宋体" w:eastAsia="宋体" w:cs="宋体"/>
                <w:color w:val="auto"/>
                <w:szCs w:val="21"/>
                <w:highlight w:val="none"/>
                <w:u w:val="single"/>
              </w:rPr>
              <w:t>有效的安全生产考核合格</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B类</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证书</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kern w:val="0"/>
                <w:szCs w:val="21"/>
                <w:highlight w:val="none"/>
                <w:u w:val="single"/>
              </w:rPr>
              <w:t>联合体成员方派驻项目经理（建造师）B岗</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kern w:val="0"/>
                <w:szCs w:val="21"/>
                <w:highlight w:val="none"/>
                <w:u w:val="single"/>
                <w:lang w:val="en-US" w:eastAsia="zh-CN"/>
              </w:rPr>
              <w:t>必须具有</w:t>
            </w:r>
            <w:r>
              <w:rPr>
                <w:rFonts w:hint="eastAsia" w:ascii="宋体" w:hAnsi="宋体" w:eastAsia="宋体" w:cs="宋体"/>
                <w:color w:val="auto"/>
                <w:szCs w:val="21"/>
                <w:highlight w:val="none"/>
                <w:u w:val="single"/>
                <w:lang w:val="en-US" w:eastAsia="zh-CN"/>
              </w:rPr>
              <w:t>建筑</w:t>
            </w:r>
            <w:r>
              <w:rPr>
                <w:rFonts w:hint="eastAsia" w:ascii="宋体" w:hAnsi="宋体" w:eastAsia="宋体" w:cs="宋体"/>
                <w:color w:val="auto"/>
                <w:szCs w:val="21"/>
                <w:highlight w:val="none"/>
                <w:u w:val="single"/>
                <w:lang w:eastAsia="zh-CN"/>
              </w:rPr>
              <w:t>工程</w:t>
            </w:r>
            <w:r>
              <w:rPr>
                <w:rFonts w:hint="eastAsia" w:ascii="宋体" w:hAnsi="宋体" w:eastAsia="宋体" w:cs="宋体"/>
                <w:color w:val="auto"/>
                <w:szCs w:val="21"/>
                <w:highlight w:val="none"/>
                <w:u w:val="single"/>
                <w:lang w:val="en-US" w:eastAsia="zh-CN"/>
              </w:rPr>
              <w:t>专业</w:t>
            </w:r>
            <w:r>
              <w:rPr>
                <w:rFonts w:hint="eastAsia" w:ascii="宋体" w:hAnsi="宋体" w:cs="宋体"/>
                <w:color w:val="auto"/>
                <w:szCs w:val="21"/>
                <w:highlight w:val="none"/>
                <w:u w:val="single"/>
                <w:lang w:val="en-US" w:eastAsia="zh-CN"/>
              </w:rPr>
              <w:t>二</w:t>
            </w:r>
            <w:r>
              <w:rPr>
                <w:rFonts w:hint="eastAsia" w:ascii="宋体" w:hAnsi="宋体" w:eastAsia="宋体" w:cs="宋体"/>
                <w:color w:val="auto"/>
                <w:szCs w:val="21"/>
                <w:highlight w:val="none"/>
                <w:u w:val="single"/>
                <w:lang w:val="en-US" w:eastAsia="zh-CN"/>
              </w:rPr>
              <w:t>级</w:t>
            </w:r>
            <w:r>
              <w:rPr>
                <w:rFonts w:hint="eastAsia" w:ascii="宋体" w:hAnsi="宋体" w:cs="宋体"/>
                <w:color w:val="auto"/>
                <w:szCs w:val="21"/>
                <w:highlight w:val="none"/>
                <w:u w:val="single"/>
                <w:lang w:val="en-US" w:eastAsia="zh-CN"/>
              </w:rPr>
              <w:t>及以上</w:t>
            </w:r>
            <w:r>
              <w:rPr>
                <w:rFonts w:hint="eastAsia" w:ascii="宋体" w:hAnsi="宋体" w:eastAsia="宋体" w:cs="宋体"/>
                <w:color w:val="auto"/>
                <w:szCs w:val="21"/>
                <w:highlight w:val="none"/>
                <w:u w:val="single"/>
              </w:rPr>
              <w:t>注册建造师</w:t>
            </w:r>
            <w:r>
              <w:rPr>
                <w:rFonts w:hint="eastAsia" w:ascii="宋体" w:hAnsi="宋体" w:eastAsia="宋体" w:cs="宋体"/>
                <w:color w:val="auto"/>
                <w:szCs w:val="21"/>
                <w:highlight w:val="none"/>
                <w:u w:val="single"/>
                <w:lang w:val="en-US" w:eastAsia="zh-CN"/>
              </w:rPr>
              <w:t>资格和</w:t>
            </w:r>
            <w:r>
              <w:rPr>
                <w:rFonts w:hint="eastAsia" w:ascii="宋体" w:hAnsi="宋体" w:eastAsia="宋体" w:cs="宋体"/>
                <w:color w:val="auto"/>
                <w:szCs w:val="21"/>
                <w:highlight w:val="none"/>
                <w:u w:val="single"/>
              </w:rPr>
              <w:t>有效的安全生产考核合格</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B类</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u w:val="single"/>
              </w:rPr>
              <w:t>证书</w:t>
            </w:r>
            <w:r>
              <w:rPr>
                <w:rFonts w:hint="eastAsia" w:ascii="宋体" w:hAnsi="宋体" w:eastAsia="宋体" w:cs="宋体"/>
                <w:color w:val="auto"/>
                <w:szCs w:val="21"/>
                <w:highlight w:val="none"/>
                <w:u w:val="single"/>
                <w:lang w:eastAsia="zh-CN"/>
              </w:rPr>
              <w:t>）。</w:t>
            </w:r>
          </w:p>
        </w:tc>
      </w:tr>
      <w:tr w14:paraId="2E1A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10198A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信誉要求</w:t>
            </w:r>
          </w:p>
        </w:tc>
        <w:tc>
          <w:tcPr>
            <w:tcW w:w="8313" w:type="dxa"/>
            <w:noWrap w:val="0"/>
            <w:vAlign w:val="center"/>
          </w:tcPr>
          <w:p w14:paraId="280E3932">
            <w:pPr>
              <w:widowControl/>
              <w:spacing w:line="560" w:lineRule="exact"/>
              <w:jc w:val="left"/>
              <w:rPr>
                <w:color w:val="000000"/>
                <w:szCs w:val="21"/>
              </w:rPr>
            </w:pPr>
            <w:r>
              <w:rPr>
                <w:rFonts w:hint="eastAsia"/>
                <w:color w:val="000000"/>
                <w:szCs w:val="21"/>
              </w:rPr>
              <w:t>1</w:t>
            </w:r>
            <w:bookmarkStart w:id="12" w:name="OLE_LINK35"/>
            <w:bookmarkStart w:id="13" w:name="OLE_LINK36"/>
            <w:r>
              <w:rPr>
                <w:rFonts w:hint="eastAsia"/>
                <w:color w:val="000000"/>
                <w:szCs w:val="21"/>
                <w:lang w:val="en-US" w:eastAsia="zh-CN"/>
              </w:rPr>
              <w:t>.</w:t>
            </w:r>
            <w:r>
              <w:rPr>
                <w:rFonts w:hint="eastAsia"/>
                <w:color w:val="000000"/>
                <w:szCs w:val="21"/>
              </w:rPr>
              <w:t>投标人</w:t>
            </w:r>
            <w:r>
              <w:rPr>
                <w:rFonts w:hint="eastAsia" w:ascii="Times New Roman" w:hAnsi="Times New Roman"/>
                <w:smallCaps w:val="0"/>
              </w:rPr>
              <w:t>（包括联合体各成员）</w:t>
            </w:r>
            <w:r>
              <w:rPr>
                <w:rFonts w:hint="eastAsia"/>
                <w:color w:val="000000"/>
                <w:szCs w:val="21"/>
              </w:rPr>
              <w:t>存在以下情形之一的，不得被确定为中标人：</w:t>
            </w:r>
          </w:p>
          <w:p w14:paraId="7BA2165F">
            <w:pPr>
              <w:widowControl/>
              <w:spacing w:line="560" w:lineRule="exact"/>
              <w:jc w:val="left"/>
              <w:rPr>
                <w:rFonts w:hint="eastAsia" w:eastAsia="宋体"/>
                <w:color w:val="000000"/>
                <w:szCs w:val="21"/>
                <w:lang w:eastAsia="zh-CN"/>
              </w:rPr>
            </w:pPr>
            <w:r>
              <w:rPr>
                <w:rFonts w:hint="eastAsia"/>
                <w:color w:val="000000"/>
                <w:szCs w:val="21"/>
              </w:rPr>
              <w:t>①被列入“信用中国”网站</w:t>
            </w:r>
            <w:r>
              <w:rPr>
                <w:rFonts w:hint="eastAsia" w:ascii="宋体" w:hAnsi="宋体" w:eastAsia="宋体" w:cs="宋体"/>
                <w:color w:val="000000"/>
                <w:sz w:val="21"/>
                <w:szCs w:val="21"/>
              </w:rPr>
              <w:t>（www.creditchina.gov.cn）</w:t>
            </w:r>
            <w:r>
              <w:rPr>
                <w:rFonts w:hint="eastAsia"/>
                <w:color w:val="000000"/>
                <w:szCs w:val="21"/>
              </w:rPr>
              <w:t>“失信被执行人”的</w:t>
            </w:r>
            <w:r>
              <w:rPr>
                <w:rFonts w:hint="eastAsia"/>
                <w:color w:val="000000"/>
                <w:szCs w:val="21"/>
                <w:lang w:eastAsia="zh-CN"/>
              </w:rPr>
              <w:t>；</w:t>
            </w:r>
          </w:p>
          <w:p w14:paraId="112B0A39">
            <w:pPr>
              <w:widowControl/>
              <w:spacing w:line="560" w:lineRule="exact"/>
              <w:jc w:val="left"/>
              <w:rPr>
                <w:rFonts w:hint="eastAsia"/>
                <w:color w:val="000000"/>
                <w:szCs w:val="21"/>
              </w:rPr>
            </w:pPr>
            <w:r>
              <w:rPr>
                <w:rFonts w:hint="eastAsia"/>
                <w:color w:val="000000"/>
                <w:szCs w:val="21"/>
              </w:rPr>
              <w:t>②被列入“信用中国”网站</w:t>
            </w:r>
            <w:r>
              <w:rPr>
                <w:rFonts w:hint="eastAsia" w:ascii="宋体" w:hAnsi="宋体" w:eastAsia="宋体" w:cs="宋体"/>
                <w:color w:val="000000"/>
                <w:sz w:val="21"/>
                <w:szCs w:val="21"/>
              </w:rPr>
              <w:t>（www.creditchina.gov.cn）</w:t>
            </w:r>
            <w:r>
              <w:rPr>
                <w:rFonts w:hint="eastAsia"/>
                <w:color w:val="000000"/>
                <w:szCs w:val="21"/>
              </w:rPr>
              <w:t>“重大税收违法失信主体”的；</w:t>
            </w:r>
          </w:p>
          <w:p w14:paraId="200BAA43">
            <w:pPr>
              <w:widowControl/>
              <w:spacing w:line="560" w:lineRule="exact"/>
              <w:jc w:val="left"/>
              <w:rPr>
                <w:rFonts w:hint="eastAsia"/>
                <w:color w:val="000000"/>
                <w:szCs w:val="21"/>
              </w:rPr>
            </w:pPr>
            <w:r>
              <w:rPr>
                <w:rFonts w:hint="eastAsia"/>
                <w:color w:val="000000"/>
                <w:szCs w:val="21"/>
              </w:rPr>
              <w:t>③被列入“信用中国”网站</w:t>
            </w:r>
            <w:r>
              <w:rPr>
                <w:rFonts w:hint="eastAsia" w:ascii="宋体" w:hAnsi="宋体" w:eastAsia="宋体" w:cs="宋体"/>
                <w:color w:val="000000"/>
                <w:sz w:val="21"/>
                <w:szCs w:val="21"/>
              </w:rPr>
              <w:t>（www.creditchina.gov.cn）</w:t>
            </w:r>
            <w:r>
              <w:rPr>
                <w:rFonts w:hint="eastAsia"/>
                <w:color w:val="000000"/>
                <w:szCs w:val="21"/>
              </w:rPr>
              <w:t>“拖欠农民工工资失信联合惩戒对象名单”的；</w:t>
            </w:r>
          </w:p>
          <w:p w14:paraId="55DFF9E2">
            <w:pPr>
              <w:widowControl/>
              <w:spacing w:line="560" w:lineRule="exact"/>
              <w:jc w:val="left"/>
              <w:rPr>
                <w:rFonts w:hint="eastAsia"/>
                <w:color w:val="000000"/>
                <w:szCs w:val="21"/>
              </w:rPr>
            </w:pPr>
            <w:r>
              <w:rPr>
                <w:rFonts w:hint="eastAsia"/>
                <w:color w:val="000000"/>
                <w:szCs w:val="21"/>
              </w:rPr>
              <w:t>④被列入“信用中国”网站</w:t>
            </w:r>
            <w:r>
              <w:rPr>
                <w:rFonts w:hint="eastAsia" w:ascii="宋体" w:hAnsi="宋体" w:eastAsia="宋体" w:cs="宋体"/>
                <w:color w:val="000000"/>
                <w:sz w:val="21"/>
                <w:szCs w:val="21"/>
              </w:rPr>
              <w:t>（www.creditchina.gov.cn）</w:t>
            </w:r>
            <w:r>
              <w:rPr>
                <w:rFonts w:hint="eastAsia"/>
                <w:color w:val="000000"/>
                <w:szCs w:val="21"/>
              </w:rPr>
              <w:t xml:space="preserve"> “</w:t>
            </w:r>
            <w:r>
              <w:rPr>
                <w:rFonts w:hint="eastAsia" w:ascii="Times New Roman" w:hAnsi="Times New Roman"/>
                <w:smallCaps w:val="0"/>
                <w:lang w:eastAsia="zh-CN"/>
              </w:rPr>
              <w:t>安全生产严重失信主体名单</w:t>
            </w:r>
            <w:r>
              <w:rPr>
                <w:rFonts w:hint="eastAsia"/>
                <w:color w:val="000000"/>
                <w:szCs w:val="21"/>
              </w:rPr>
              <w:t>”的；</w:t>
            </w:r>
          </w:p>
          <w:p w14:paraId="32B5830E">
            <w:pPr>
              <w:widowControl/>
              <w:spacing w:line="560" w:lineRule="exact"/>
              <w:jc w:val="left"/>
              <w:rPr>
                <w:rFonts w:hint="eastAsia"/>
                <w:color w:val="000000"/>
                <w:szCs w:val="21"/>
              </w:rPr>
            </w:pPr>
            <w:r>
              <w:rPr>
                <w:rFonts w:hint="eastAsia"/>
                <w:color w:val="000000"/>
                <w:szCs w:val="21"/>
              </w:rPr>
              <w:t>⑤被列入国家企业信用信息公示系统网站</w:t>
            </w:r>
            <w:r>
              <w:rPr>
                <w:rFonts w:hint="eastAsia" w:ascii="宋体" w:hAnsi="宋体" w:eastAsia="宋体" w:cs="宋体"/>
                <w:color w:val="000000"/>
                <w:sz w:val="21"/>
                <w:szCs w:val="21"/>
              </w:rPr>
              <w:t>（</w:t>
            </w: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HYPERLINK "http://www.gsxt.gov.cn）查询" </w:instrText>
            </w:r>
            <w:r>
              <w:rPr>
                <w:rFonts w:hint="eastAsia" w:ascii="宋体" w:hAnsi="宋体" w:eastAsia="宋体" w:cs="宋体"/>
                <w:color w:val="000000"/>
                <w:sz w:val="21"/>
                <w:szCs w:val="21"/>
              </w:rPr>
              <w:fldChar w:fldCharType="separate"/>
            </w:r>
            <w:r>
              <w:rPr>
                <w:rStyle w:val="31"/>
                <w:rFonts w:hint="eastAsia" w:ascii="宋体" w:hAnsi="宋体" w:eastAsia="宋体" w:cs="宋体"/>
                <w:color w:val="000000"/>
                <w:sz w:val="21"/>
                <w:szCs w:val="21"/>
              </w:rPr>
              <w:t>www.gsxt.gov.cn）</w:t>
            </w:r>
            <w:r>
              <w:rPr>
                <w:rFonts w:hint="eastAsia" w:ascii="宋体" w:hAnsi="宋体" w:eastAsia="宋体" w:cs="宋体"/>
                <w:color w:val="000000"/>
                <w:sz w:val="21"/>
                <w:szCs w:val="21"/>
              </w:rPr>
              <w:fldChar w:fldCharType="end"/>
            </w:r>
            <w:r>
              <w:rPr>
                <w:rFonts w:hint="eastAsia"/>
                <w:color w:val="000000"/>
                <w:szCs w:val="21"/>
              </w:rPr>
              <w:t>“严重违法失信名单”的。</w:t>
            </w:r>
          </w:p>
          <w:p w14:paraId="62FE7E77">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color w:val="000000"/>
                <w:szCs w:val="21"/>
              </w:rPr>
              <w:t>2</w:t>
            </w:r>
            <w:r>
              <w:rPr>
                <w:rFonts w:hint="eastAsia"/>
                <w:color w:val="000000"/>
                <w:szCs w:val="21"/>
                <w:lang w:val="en-US" w:eastAsia="zh-CN"/>
              </w:rPr>
              <w:t>.</w:t>
            </w:r>
            <w:r>
              <w:rPr>
                <w:rFonts w:hint="eastAsia"/>
                <w:color w:val="000000"/>
                <w:szCs w:val="21"/>
              </w:rPr>
              <w:t>投标人</w:t>
            </w:r>
            <w:r>
              <w:rPr>
                <w:rFonts w:hint="eastAsia" w:ascii="Times New Roman" w:hAnsi="Times New Roman"/>
                <w:smallCaps w:val="0"/>
              </w:rPr>
              <w:t>（包括联合体各成员）</w:t>
            </w:r>
            <w:r>
              <w:rPr>
                <w:rFonts w:hint="eastAsia"/>
                <w:color w:val="000000"/>
                <w:szCs w:val="21"/>
              </w:rPr>
              <w:t>所属分公司、办事处等分支机构存在第1条信誉要求①-⑤项情形之一的，</w:t>
            </w:r>
            <w:r>
              <w:rPr>
                <w:rFonts w:hint="eastAsia" w:ascii="宋体" w:hAnsi="宋体" w:cs="宋体"/>
                <w:color w:val="000000"/>
                <w:kern w:val="0"/>
                <w:szCs w:val="21"/>
              </w:rPr>
              <w:t>接受</w:t>
            </w:r>
            <w:r>
              <w:rPr>
                <w:rFonts w:hint="eastAsia"/>
                <w:color w:val="000000"/>
                <w:szCs w:val="21"/>
              </w:rPr>
              <w:t>其被确定为中标人。</w:t>
            </w:r>
            <w:bookmarkEnd w:id="12"/>
            <w:bookmarkEnd w:id="13"/>
          </w:p>
        </w:tc>
      </w:tr>
      <w:tr w14:paraId="466B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2B66BC4">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8313" w:type="dxa"/>
            <w:noWrap w:val="0"/>
            <w:vAlign w:val="center"/>
          </w:tcPr>
          <w:p w14:paraId="082A677B">
            <w:pPr>
              <w:widowControl/>
              <w:adjustRightInd w:val="0"/>
              <w:snapToGrid w:val="0"/>
              <w:spacing w:line="560" w:lineRule="exact"/>
              <w:jc w:val="left"/>
              <w:rPr>
                <w:rFonts w:ascii="宋体" w:hAnsi="宋体" w:cs="宋体"/>
                <w:color w:val="auto"/>
                <w:kern w:val="0"/>
                <w:highlight w:val="none"/>
              </w:rPr>
            </w:pPr>
            <w:r>
              <w:rPr>
                <w:rFonts w:hint="eastAsia"/>
                <w:color w:val="auto"/>
                <w:highlight w:val="none"/>
              </w:rPr>
              <w:t>本次招标</w:t>
            </w:r>
            <w:r>
              <w:rPr>
                <w:rFonts w:hint="eastAsia" w:ascii="宋体" w:hAnsi="宋体" w:cs="宋体"/>
                <w:color w:val="auto"/>
                <w:kern w:val="0"/>
                <w:highlight w:val="none"/>
              </w:rPr>
              <w:t>接受</w:t>
            </w:r>
            <w:r>
              <w:rPr>
                <w:rFonts w:hint="eastAsia"/>
                <w:color w:val="auto"/>
                <w:highlight w:val="none"/>
              </w:rPr>
              <w:t>联合体投标</w:t>
            </w:r>
            <w:r>
              <w:rPr>
                <w:rFonts w:hint="eastAsia" w:ascii="宋体" w:hAnsi="宋体" w:cs="宋体"/>
                <w:color w:val="auto"/>
                <w:kern w:val="0"/>
                <w:highlight w:val="none"/>
              </w:rPr>
              <w:t>，应满足下列要求：</w:t>
            </w:r>
          </w:p>
          <w:p w14:paraId="3A31A6ED">
            <w:pPr>
              <w:widowControl/>
              <w:adjustRightInd w:val="0"/>
              <w:snapToGrid w:val="0"/>
              <w:spacing w:line="560" w:lineRule="exact"/>
              <w:jc w:val="left"/>
              <w:rPr>
                <w:rFonts w:hint="eastAsia" w:ascii="宋体" w:hAnsi="宋体" w:cs="宋体"/>
                <w:bCs/>
                <w:color w:val="auto"/>
                <w:kern w:val="0"/>
                <w:szCs w:val="21"/>
                <w:highlight w:val="none"/>
              </w:rPr>
            </w:pPr>
            <w:bookmarkStart w:id="14" w:name="OLE_LINK37"/>
            <w:r>
              <w:rPr>
                <w:rFonts w:hint="eastAsia" w:ascii="宋体" w:hAnsi="宋体" w:cs="宋体"/>
                <w:bCs/>
                <w:color w:val="auto"/>
                <w:kern w:val="0"/>
                <w:szCs w:val="21"/>
                <w:highlight w:val="none"/>
              </w:rPr>
              <w:t>1</w:t>
            </w:r>
            <w:r>
              <w:rPr>
                <w:rFonts w:hint="eastAsia" w:ascii="宋体" w:hAnsi="宋体" w:cs="宋体"/>
                <w:bCs/>
                <w:color w:val="auto"/>
                <w:kern w:val="0"/>
                <w:szCs w:val="21"/>
                <w:highlight w:val="none"/>
                <w:lang w:val="en-US" w:eastAsia="zh-CN"/>
              </w:rPr>
              <w:t>.若为联合体投标，联合体牵头方须为具备机电工程施工总承包一级资质，成员方须为具备建筑工程施工总承包三级及以上资质单位</w:t>
            </w:r>
            <w:r>
              <w:rPr>
                <w:rFonts w:hint="eastAsia" w:ascii="宋体" w:hAnsi="宋体" w:cs="宋体"/>
                <w:bCs/>
                <w:color w:val="auto"/>
                <w:kern w:val="0"/>
                <w:szCs w:val="21"/>
                <w:highlight w:val="none"/>
              </w:rPr>
              <w:t>。</w:t>
            </w:r>
          </w:p>
          <w:p w14:paraId="76A81E11">
            <w:pPr>
              <w:widowControl/>
              <w:adjustRightInd w:val="0"/>
              <w:snapToGrid w:val="0"/>
              <w:spacing w:line="560" w:lineRule="exact"/>
              <w:jc w:val="left"/>
              <w:rPr>
                <w:rFonts w:ascii="宋体" w:hAnsi="宋体" w:cs="宋体"/>
                <w:color w:val="auto"/>
                <w:kern w:val="0"/>
                <w:szCs w:val="21"/>
                <w:highlight w:val="none"/>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w:t>
            </w:r>
            <w:r>
              <w:rPr>
                <w:rFonts w:hint="eastAsia" w:ascii="宋体" w:hAnsi="宋体" w:cs="宋体"/>
                <w:bCs/>
                <w:color w:val="auto"/>
                <w:kern w:val="0"/>
                <w:szCs w:val="21"/>
                <w:highlight w:val="none"/>
              </w:rPr>
              <w:t>联合体参加投标的，</w:t>
            </w:r>
            <w:r>
              <w:rPr>
                <w:rFonts w:hint="eastAsia" w:ascii="宋体" w:hAnsi="宋体" w:cs="宋体"/>
                <w:b/>
                <w:color w:val="auto"/>
                <w:kern w:val="0"/>
                <w:szCs w:val="21"/>
                <w:highlight w:val="none"/>
              </w:rPr>
              <w:t xml:space="preserve">联合体（牵头方和成员方）总数不得超过 </w:t>
            </w:r>
            <w:r>
              <w:rPr>
                <w:rFonts w:hint="eastAsia" w:ascii="宋体" w:hAnsi="宋体" w:cs="宋体"/>
                <w:b/>
                <w:color w:val="auto"/>
                <w:kern w:val="0"/>
                <w:szCs w:val="21"/>
                <w:highlight w:val="none"/>
                <w:u w:val="single"/>
              </w:rPr>
              <w:t>不得2</w:t>
            </w:r>
            <w:r>
              <w:rPr>
                <w:rFonts w:hint="eastAsia" w:ascii="宋体" w:hAnsi="宋体" w:cs="宋体"/>
                <w:b/>
                <w:color w:val="auto"/>
                <w:kern w:val="0"/>
                <w:szCs w:val="21"/>
                <w:highlight w:val="none"/>
              </w:rPr>
              <w:t>家</w:t>
            </w:r>
            <w:r>
              <w:rPr>
                <w:color w:val="auto"/>
                <w:spacing w:val="-2"/>
                <w:szCs w:val="21"/>
                <w:highlight w:val="none"/>
              </w:rPr>
              <w:t>。</w:t>
            </w:r>
            <w:r>
              <w:rPr>
                <w:rFonts w:hint="eastAsia" w:ascii="宋体" w:hAnsi="宋体" w:cs="宋体"/>
                <w:bCs/>
                <w:color w:val="auto"/>
                <w:kern w:val="0"/>
                <w:szCs w:val="21"/>
                <w:highlight w:val="none"/>
              </w:rPr>
              <w:t>同一专业工程由一个单位承担的，按照承担单位资质确定资质等级；同一专业工程由两个单位共同承担的，按照资质等级较低的单位确定资质等级；不同专业工程由不同单位分别承担的，按照各单位的相应资质确定联合体</w:t>
            </w:r>
            <w:r>
              <w:rPr>
                <w:rFonts w:hint="eastAsia" w:ascii="宋体" w:hAnsi="宋体" w:cs="宋体"/>
                <w:color w:val="auto"/>
                <w:kern w:val="0"/>
                <w:szCs w:val="21"/>
                <w:highlight w:val="none"/>
              </w:rPr>
              <w:t>的资质。联合体牵头人和联合体成员按专业分工确定的联合体资质须满足招标文件的要求。</w:t>
            </w:r>
          </w:p>
          <w:p w14:paraId="57CEBD3B">
            <w:pPr>
              <w:widowControl/>
              <w:adjustRightInd w:val="0"/>
              <w:snapToGrid w:val="0"/>
              <w:spacing w:line="5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联合体参加投标的，招标文件下载、投标保证金缴纳、投标文件编制、电子签章、网上递交标书、解密等工作均由其牵头人负责办理，其他联合体成员方按招标文件要求提供相关材料即可。</w:t>
            </w:r>
          </w:p>
          <w:p w14:paraId="0D86B502">
            <w:pPr>
              <w:adjustRightInd w:val="0"/>
              <w:snapToGrid w:val="0"/>
              <w:spacing w:line="560" w:lineRule="exact"/>
              <w:rPr>
                <w:rFonts w:ascii="宋体" w:hAnsi="宋体" w:cs="宋体"/>
                <w:color w:val="auto"/>
                <w:kern w:val="0"/>
                <w:szCs w:val="21"/>
                <w:highlight w:val="none"/>
              </w:rPr>
            </w:pPr>
            <w:r>
              <w:rPr>
                <w:rFonts w:hint="eastAsia" w:ascii="宋体" w:hAnsi="宋体" w:cs="宋体"/>
                <w:color w:val="auto"/>
                <w:kern w:val="0"/>
                <w:szCs w:val="21"/>
                <w:highlight w:val="none"/>
              </w:rPr>
              <w:t>4</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联合体参加投标的，一旦中标，联合体各方将向招标人承担连带责任，各方应服从招标人的管理。</w:t>
            </w:r>
          </w:p>
          <w:p w14:paraId="63EDEF81">
            <w:pPr>
              <w:spacing w:line="56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若为联合体投标的，联合体投标牵头方必须在投标文件中填报派驻项目经理（建造师）A岗，联合体成员方可根据项目情况自行选择是否在投标文件中填报派驻项目经理（建造师）B岗，若派驻，AB岗须满足项目经理资格要求。如联合体成员方没有在投标文件中填报派驻项目经理（建造师） B岗的，视为放弃填报派驻项目经理（建造师） B岗的权利，中标后不予填报增派。</w:t>
            </w:r>
          </w:p>
          <w:p w14:paraId="08C9DEA4">
            <w:pPr>
              <w:keepNext w:val="0"/>
              <w:keepLines w:val="0"/>
              <w:pageBreakBefore w:val="0"/>
              <w:widowControl/>
              <w:kinsoku/>
              <w:overflowPunct/>
              <w:topLinePunct w:val="0"/>
              <w:autoSpaceDE/>
              <w:autoSpaceDN/>
              <w:bidi w:val="0"/>
              <w:spacing w:line="5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Cs w:val="21"/>
                <w:highlight w:val="none"/>
              </w:rPr>
              <w:t>6</w:t>
            </w:r>
            <w:r>
              <w:rPr>
                <w:rFonts w:hint="eastAsia" w:ascii="宋体" w:hAnsi="宋体" w:cs="宋体"/>
                <w:color w:val="auto"/>
                <w:kern w:val="0"/>
                <w:szCs w:val="21"/>
                <w:highlight w:val="none"/>
                <w:lang w:val="en-US" w:eastAsia="zh-CN"/>
              </w:rPr>
              <w:t>.</w:t>
            </w:r>
            <w:r>
              <w:rPr>
                <w:rFonts w:hint="eastAsia" w:ascii="宋体" w:hAnsi="宋体" w:cs="宋体"/>
                <w:color w:val="auto"/>
                <w:kern w:val="0"/>
                <w:szCs w:val="21"/>
                <w:highlight w:val="none"/>
              </w:rPr>
              <w:t>联合体牵头人及成员单位共同对所提交的投标文件及相关证书材料的真实合规性负责。如联合体任一方出现保证金不予退还的情形，联合体所缴纳的投标保证金均不予退还。</w:t>
            </w:r>
            <w:bookmarkEnd w:id="14"/>
          </w:p>
        </w:tc>
      </w:tr>
      <w:tr w14:paraId="6D8E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875" w:type="dxa"/>
            <w:noWrap w:val="0"/>
            <w:vAlign w:val="center"/>
          </w:tcPr>
          <w:p w14:paraId="085905AE">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多标段投标</w:t>
            </w:r>
          </w:p>
        </w:tc>
        <w:tc>
          <w:tcPr>
            <w:tcW w:w="8313" w:type="dxa"/>
            <w:noWrap w:val="0"/>
            <w:vAlign w:val="center"/>
          </w:tcPr>
          <w:p w14:paraId="3466A6FF">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各投标人均可就本招标项目上述标段中的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具体数量</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个标段投标，但最多允许中标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具体数量</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个标段</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适用于分标段的招标项目</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。（关于多标段投标的其他说明）。</w:t>
            </w:r>
          </w:p>
        </w:tc>
      </w:tr>
      <w:tr w14:paraId="345A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jc w:val="center"/>
        </w:trPr>
        <w:tc>
          <w:tcPr>
            <w:tcW w:w="1875" w:type="dxa"/>
            <w:shd w:val="clear" w:color="auto" w:fill="auto"/>
            <w:noWrap w:val="0"/>
            <w:vAlign w:val="center"/>
          </w:tcPr>
          <w:p w14:paraId="00B814FA">
            <w:pPr>
              <w:widowControl/>
              <w:spacing w:line="560" w:lineRule="exact"/>
              <w:jc w:val="center"/>
              <w:rPr>
                <w:rFonts w:hint="eastAsia" w:ascii="宋体" w:hAnsi="宋体" w:eastAsia="宋体" w:cs="宋体"/>
                <w:color w:val="000000"/>
                <w:kern w:val="0"/>
                <w:sz w:val="21"/>
                <w:szCs w:val="21"/>
                <w:highlight w:val="none"/>
                <w:lang w:val="en-US" w:eastAsia="zh-CN" w:bidi="ar-SA"/>
              </w:rPr>
            </w:pPr>
            <w:r>
              <w:rPr>
                <w:rFonts w:hint="eastAsia" w:ascii="Times New Roman" w:hAnsi="Times New Roman"/>
                <w:smallCaps w:val="0"/>
                <w:highlight w:val="none"/>
                <w:lang w:val="en-US" w:eastAsia="zh-CN"/>
              </w:rPr>
              <w:t>落实政府采购政策需满足的资格要求</w:t>
            </w:r>
          </w:p>
        </w:tc>
        <w:tc>
          <w:tcPr>
            <w:tcW w:w="8313" w:type="dxa"/>
            <w:shd w:val="clear" w:color="auto" w:fill="auto"/>
            <w:noWrap w:val="0"/>
            <w:vAlign w:val="center"/>
          </w:tcPr>
          <w:p w14:paraId="5A4927BD">
            <w:pPr>
              <w:pStyle w:val="60"/>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rPr>
                <w:rFonts w:hint="eastAsia" w:ascii="宋体" w:hAnsi="黑体" w:eastAsia="宋体" w:cs="宋体-18030"/>
                <w:bCs/>
                <w:snapToGrid w:val="0"/>
                <w:color w:val="000000"/>
                <w:kern w:val="2"/>
                <w:sz w:val="21"/>
                <w:szCs w:val="21"/>
                <w:highlight w:val="none"/>
                <w:lang w:val="en-US" w:eastAsia="zh-CN" w:bidi="ar-SA"/>
              </w:rPr>
            </w:pPr>
            <w:r>
              <w:rPr>
                <w:rFonts w:hint="eastAsia" w:ascii="宋体" w:hAnsi="宋体" w:cs="宋体"/>
                <w:bCs w:val="0"/>
                <w:smallCaps w:val="0"/>
                <w:snapToGrid/>
                <w:color w:val="000000"/>
                <w:kern w:val="0"/>
                <w:szCs w:val="21"/>
                <w:highlight w:val="none"/>
                <w:lang w:val="en-US" w:eastAsia="zh-CN"/>
              </w:rPr>
              <w:t>/</w:t>
            </w:r>
          </w:p>
        </w:tc>
      </w:tr>
      <w:tr w14:paraId="01F5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3501FD32">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其他要求</w:t>
            </w:r>
          </w:p>
        </w:tc>
        <w:tc>
          <w:tcPr>
            <w:tcW w:w="8313" w:type="dxa"/>
            <w:noWrap w:val="0"/>
            <w:vAlign w:val="center"/>
          </w:tcPr>
          <w:p w14:paraId="32146666">
            <w:pPr>
              <w:keepNext w:val="0"/>
              <w:keepLines w:val="0"/>
              <w:pageBreakBefore w:val="0"/>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无</w:t>
            </w:r>
          </w:p>
        </w:tc>
      </w:tr>
      <w:tr w14:paraId="1346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09A06A99">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64B0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79348A5">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8313" w:type="dxa"/>
            <w:noWrap w:val="0"/>
            <w:vAlign w:val="center"/>
          </w:tcPr>
          <w:p w14:paraId="4F678C6A">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lang w:val="en-US" w:eastAsia="zh-CN"/>
              </w:rPr>
              <w:t>2026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rPr>
              <w:t>日</w:t>
            </w:r>
            <w:r>
              <w:rPr>
                <w:rFonts w:hint="eastAsia" w:ascii="宋体" w:hAnsi="宋体" w:eastAsia="宋体" w:cs="宋体"/>
                <w:bCs/>
                <w:snapToGrid w:val="0"/>
                <w:color w:val="auto"/>
                <w:kern w:val="0"/>
                <w:sz w:val="21"/>
                <w:szCs w:val="21"/>
                <w:highlight w:val="none"/>
                <w:u w:val="single"/>
              </w:rPr>
              <w:t xml:space="preserve"> </w:t>
            </w:r>
            <w:r>
              <w:rPr>
                <w:rFonts w:hint="eastAsia" w:ascii="宋体" w:hAnsi="宋体" w:eastAsia="宋体" w:cs="宋体"/>
                <w:bCs/>
                <w:snapToGrid w:val="0"/>
                <w:color w:val="auto"/>
                <w:kern w:val="0"/>
                <w:sz w:val="21"/>
                <w:szCs w:val="21"/>
                <w:highlight w:val="none"/>
                <w:u w:val="single"/>
                <w:lang w:val="en-US" w:eastAsia="zh-CN"/>
              </w:rPr>
              <w:t>17</w:t>
            </w:r>
            <w:r>
              <w:rPr>
                <w:rFonts w:hint="eastAsia" w:ascii="宋体" w:hAnsi="宋体" w:eastAsia="宋体" w:cs="宋体"/>
                <w:bCs/>
                <w:snapToGrid w:val="0"/>
                <w:color w:val="auto"/>
                <w:kern w:val="0"/>
                <w:sz w:val="21"/>
                <w:szCs w:val="21"/>
                <w:highlight w:val="none"/>
                <w:u w:val="single"/>
              </w:rPr>
              <w:t xml:space="preserve"> </w:t>
            </w:r>
            <w:r>
              <w:rPr>
                <w:rFonts w:hint="eastAsia" w:ascii="宋体" w:hAnsi="宋体" w:eastAsia="宋体" w:cs="宋体"/>
                <w:bCs/>
                <w:snapToGrid w:val="0"/>
                <w:color w:val="auto"/>
                <w:kern w:val="0"/>
                <w:sz w:val="21"/>
                <w:szCs w:val="21"/>
                <w:highlight w:val="none"/>
              </w:rPr>
              <w:t>时</w:t>
            </w:r>
            <w:r>
              <w:rPr>
                <w:rFonts w:hint="eastAsia" w:ascii="宋体" w:hAnsi="宋体" w:eastAsia="宋体" w:cs="宋体"/>
                <w:bCs/>
                <w:snapToGrid w:val="0"/>
                <w:color w:val="auto"/>
                <w:kern w:val="0"/>
                <w:sz w:val="21"/>
                <w:szCs w:val="21"/>
                <w:highlight w:val="none"/>
                <w:u w:val="single"/>
              </w:rPr>
              <w:t xml:space="preserve"> </w:t>
            </w:r>
            <w:r>
              <w:rPr>
                <w:rFonts w:hint="eastAsia" w:ascii="宋体" w:hAnsi="宋体" w:eastAsia="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u w:val="single"/>
              </w:rPr>
              <w:t xml:space="preserve"> </w:t>
            </w:r>
            <w:r>
              <w:rPr>
                <w:rFonts w:hint="eastAsia" w:ascii="宋体" w:hAnsi="宋体" w:eastAsia="宋体" w:cs="宋体"/>
                <w:bCs/>
                <w:snapToGrid w:val="0"/>
                <w:color w:val="auto"/>
                <w:kern w:val="0"/>
                <w:sz w:val="21"/>
                <w:szCs w:val="21"/>
                <w:highlight w:val="none"/>
              </w:rPr>
              <w:t>分至</w:t>
            </w:r>
            <w:r>
              <w:rPr>
                <w:rFonts w:hint="eastAsia" w:ascii="宋体" w:hAnsi="宋体" w:eastAsia="宋体" w:cs="宋体"/>
                <w:bCs/>
                <w:snapToGrid w:val="0"/>
                <w:color w:val="auto"/>
                <w:kern w:val="0"/>
                <w:sz w:val="21"/>
                <w:szCs w:val="21"/>
                <w:highlight w:val="none"/>
                <w:u w:val="single"/>
                <w:lang w:val="en-US" w:eastAsia="zh-CN"/>
              </w:rPr>
              <w:t>2026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11</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23</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8</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30</w:t>
            </w:r>
            <w:r>
              <w:rPr>
                <w:rFonts w:hint="eastAsia" w:ascii="宋体" w:hAnsi="宋体" w:eastAsia="宋体" w:cs="宋体"/>
                <w:bCs/>
                <w:snapToGrid w:val="0"/>
                <w:color w:val="auto"/>
                <w:kern w:val="0"/>
                <w:sz w:val="21"/>
                <w:szCs w:val="21"/>
                <w:highlight w:val="none"/>
              </w:rPr>
              <w:t>分。</w:t>
            </w:r>
          </w:p>
        </w:tc>
      </w:tr>
      <w:tr w14:paraId="6163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253D155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获取方式</w:t>
            </w:r>
          </w:p>
        </w:tc>
        <w:tc>
          <w:tcPr>
            <w:tcW w:w="8313" w:type="dxa"/>
            <w:noWrap w:val="0"/>
            <w:vAlign w:val="center"/>
          </w:tcPr>
          <w:p w14:paraId="46508255">
            <w:pPr>
              <w:keepNext w:val="0"/>
              <w:keepLines w:val="0"/>
              <w:pageBreakBefore w:val="0"/>
              <w:kinsoku/>
              <w:overflowPunct/>
              <w:topLinePunct w:val="0"/>
              <w:autoSpaceDE/>
              <w:autoSpaceDN/>
              <w:bidi w:val="0"/>
              <w:adjustRightInd w:val="0"/>
              <w:snapToGrid w:val="0"/>
              <w:spacing w:line="500" w:lineRule="exact"/>
              <w:textAlignment w:val="auto"/>
              <w:rPr>
                <w:rFonts w:hint="eastAsia" w:ascii="宋体" w:hAnsi="宋体" w:eastAsia="宋体" w:cs="宋体"/>
                <w:bCs/>
                <w:snapToGrid w:val="0"/>
                <w:color w:val="auto"/>
                <w:kern w:val="0"/>
                <w:sz w:val="21"/>
                <w:szCs w:val="21"/>
                <w:highlight w:val="none"/>
              </w:rPr>
            </w:pPr>
            <w:r>
              <w:rPr>
                <w:rFonts w:hint="eastAsia" w:ascii="宋体" w:hAnsi="宋体" w:eastAsia="宋体" w:cs="宋体"/>
                <w:bCs/>
                <w:snapToGrid w:val="0"/>
                <w:color w:val="auto"/>
                <w:kern w:val="0"/>
                <w:sz w:val="21"/>
                <w:szCs w:val="21"/>
                <w:highlight w:val="none"/>
              </w:rPr>
              <w:t>潜在投标人须登录</w:t>
            </w:r>
            <w:r>
              <w:rPr>
                <w:rFonts w:hint="eastAsia" w:ascii="宋体" w:hAnsi="宋体" w:eastAsia="宋体" w:cs="宋体"/>
                <w:bCs/>
                <w:snapToGrid w:val="0"/>
                <w:color w:val="auto"/>
                <w:kern w:val="0"/>
                <w:sz w:val="21"/>
                <w:szCs w:val="21"/>
                <w:highlight w:val="none"/>
                <w:u w:val="single"/>
              </w:rPr>
              <w:t>滁州市公共资源交易中心网站（http://ggzy.chuzhou.gov.cn/）</w:t>
            </w:r>
            <w:r>
              <w:rPr>
                <w:rFonts w:hint="eastAsia" w:ascii="宋体" w:hAnsi="宋体" w:eastAsia="宋体" w:cs="宋体"/>
                <w:bCs/>
                <w:snapToGrid w:val="0"/>
                <w:color w:val="auto"/>
                <w:kern w:val="0"/>
                <w:sz w:val="21"/>
                <w:szCs w:val="21"/>
                <w:highlight w:val="none"/>
              </w:rPr>
              <w:t>查阅并下载电子招标文件。</w:t>
            </w:r>
          </w:p>
          <w:p w14:paraId="781D7573">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rPr>
              <w:t>招标文件获取过程中有任何疑问，请在工作时间（工作时间：工作日</w:t>
            </w:r>
            <w:r>
              <w:rPr>
                <w:rFonts w:hint="eastAsia" w:ascii="宋体" w:hAnsi="宋体" w:eastAsia="宋体" w:cs="宋体"/>
                <w:bCs/>
                <w:snapToGrid w:val="0"/>
                <w:color w:val="auto"/>
                <w:kern w:val="0"/>
                <w:sz w:val="21"/>
                <w:szCs w:val="21"/>
                <w:highlight w:val="none"/>
                <w:u w:val="single"/>
              </w:rPr>
              <w:t>8:00-12:00,14:30-17:30</w:t>
            </w:r>
            <w:r>
              <w:rPr>
                <w:rFonts w:hint="eastAsia" w:ascii="宋体" w:hAnsi="宋体" w:eastAsia="宋体" w:cs="宋体"/>
                <w:bCs/>
                <w:snapToGrid w:val="0"/>
                <w:color w:val="auto"/>
                <w:kern w:val="0"/>
                <w:sz w:val="21"/>
                <w:szCs w:val="21"/>
                <w:highlight w:val="none"/>
              </w:rPr>
              <w:t>）拨打</w:t>
            </w:r>
            <w:r>
              <w:rPr>
                <w:rFonts w:hint="eastAsia" w:ascii="宋体" w:hAnsi="宋体" w:eastAsia="宋体" w:cs="宋体"/>
                <w:bCs/>
                <w:snapToGrid w:val="0"/>
                <w:color w:val="auto"/>
                <w:kern w:val="0"/>
                <w:sz w:val="21"/>
                <w:szCs w:val="21"/>
                <w:highlight w:val="none"/>
                <w:u w:val="single"/>
              </w:rPr>
              <w:t>0550-3801701</w:t>
            </w:r>
            <w:r>
              <w:rPr>
                <w:rFonts w:hint="eastAsia" w:ascii="宋体" w:hAnsi="宋体" w:eastAsia="宋体" w:cs="宋体"/>
                <w:bCs/>
                <w:snapToGrid w:val="0"/>
                <w:color w:val="auto"/>
                <w:kern w:val="0"/>
                <w:sz w:val="21"/>
                <w:szCs w:val="21"/>
                <w:highlight w:val="none"/>
              </w:rPr>
              <w:t>。</w:t>
            </w:r>
          </w:p>
        </w:tc>
      </w:tr>
      <w:tr w14:paraId="4789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5B400A8">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8313" w:type="dxa"/>
            <w:noWrap w:val="0"/>
            <w:vAlign w:val="center"/>
          </w:tcPr>
          <w:p w14:paraId="44E299F9">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日</w:t>
            </w:r>
          </w:p>
        </w:tc>
      </w:tr>
      <w:tr w14:paraId="331E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4127F5DE">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8313" w:type="dxa"/>
            <w:noWrap w:val="0"/>
            <w:vAlign w:val="center"/>
          </w:tcPr>
          <w:p w14:paraId="2483476A">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23</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r>
      <w:tr w14:paraId="48C9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59A3C57">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投标文件递交的方式</w:t>
            </w:r>
          </w:p>
        </w:tc>
        <w:tc>
          <w:tcPr>
            <w:tcW w:w="8313" w:type="dxa"/>
            <w:noWrap w:val="0"/>
            <w:vAlign w:val="center"/>
          </w:tcPr>
          <w:p w14:paraId="00AC7753">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投标人应在投标截止时间前通过滁州市公共资源交易中心交易系统递交电子投标文件。</w:t>
            </w:r>
          </w:p>
        </w:tc>
      </w:tr>
      <w:tr w14:paraId="6A90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875" w:type="dxa"/>
            <w:noWrap w:val="0"/>
            <w:vAlign w:val="center"/>
          </w:tcPr>
          <w:p w14:paraId="58B80AD7">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8313" w:type="dxa"/>
            <w:noWrap w:val="0"/>
            <w:vAlign w:val="center"/>
          </w:tcPr>
          <w:p w14:paraId="3822CC0C">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23</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r>
      <w:tr w14:paraId="17C4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875" w:type="dxa"/>
            <w:noWrap w:val="0"/>
            <w:vAlign w:val="center"/>
          </w:tcPr>
          <w:p w14:paraId="65810FCB">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8313" w:type="dxa"/>
            <w:noWrap w:val="0"/>
            <w:vAlign w:val="center"/>
          </w:tcPr>
          <w:p w14:paraId="3F3FFD2E">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网上开标，投标人登录滁州市不见面开标系统参与网上开标（网址：</w:t>
            </w:r>
            <w:r>
              <w:rPr>
                <w:rFonts w:hint="eastAsia" w:ascii="宋体" w:hAnsi="宋体" w:eastAsia="宋体" w:cs="宋体"/>
                <w:color w:val="auto"/>
                <w:kern w:val="0"/>
                <w:sz w:val="21"/>
                <w:szCs w:val="21"/>
                <w:highlight w:val="none"/>
              </w:rPr>
              <w:fldChar w:fldCharType="begin"/>
            </w:r>
            <w:r>
              <w:rPr>
                <w:rFonts w:hint="eastAsia" w:ascii="宋体" w:hAnsi="宋体" w:eastAsia="宋体" w:cs="宋体"/>
                <w:color w:val="auto"/>
                <w:kern w:val="0"/>
                <w:sz w:val="21"/>
                <w:szCs w:val="21"/>
                <w:highlight w:val="none"/>
              </w:rPr>
              <w:instrText xml:space="preserve"> HYPERLINK "https://ggzy.chuzhou.gov.cn/BidOpening/bidopeninghallaction/hall/login）。操作手册见" </w:instrText>
            </w:r>
            <w:r>
              <w:rPr>
                <w:rFonts w:hint="eastAsia" w:ascii="宋体" w:hAnsi="宋体" w:eastAsia="宋体" w:cs="宋体"/>
                <w:color w:val="auto"/>
                <w:kern w:val="0"/>
                <w:sz w:val="21"/>
                <w:szCs w:val="21"/>
                <w:highlight w:val="none"/>
              </w:rPr>
              <w:fldChar w:fldCharType="separate"/>
            </w:r>
            <w:r>
              <w:rPr>
                <w:rStyle w:val="31"/>
                <w:rFonts w:hint="eastAsia" w:ascii="宋体" w:hAnsi="宋体" w:eastAsia="宋体" w:cs="宋体"/>
                <w:color w:val="auto"/>
                <w:kern w:val="0"/>
                <w:sz w:val="21"/>
                <w:szCs w:val="21"/>
                <w:highlight w:val="none"/>
              </w:rPr>
              <w:t>https://ggzy.chuzhou.gov.cn/BidOpening/bidopeninghallaction/hall/login）。操作手册见</w:t>
            </w:r>
            <w:r>
              <w:rPr>
                <w:rFonts w:hint="eastAsia" w:ascii="宋体" w:hAnsi="宋体" w:eastAsia="宋体" w:cs="宋体"/>
                <w:color w:val="auto"/>
                <w:kern w:val="0"/>
                <w:sz w:val="21"/>
                <w:szCs w:val="21"/>
                <w:highlight w:val="none"/>
              </w:rPr>
              <w:fldChar w:fldCharType="end"/>
            </w:r>
            <w:r>
              <w:rPr>
                <w:rFonts w:hint="eastAsia" w:ascii="宋体" w:hAnsi="宋体" w:eastAsia="宋体" w:cs="宋体"/>
                <w:color w:val="auto"/>
                <w:kern w:val="0"/>
                <w:sz w:val="21"/>
                <w:szCs w:val="21"/>
                <w:highlight w:val="none"/>
              </w:rPr>
              <w:t>https://ggzy.chuzhou.gov.cn/fwzn/011006/20240510/f0637388-583d-4c69-8331-05b6adfcf24d.html。</w:t>
            </w:r>
          </w:p>
        </w:tc>
      </w:tr>
      <w:tr w14:paraId="5B94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7EC1F09">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8313" w:type="dxa"/>
            <w:noWrap w:val="0"/>
            <w:vAlign w:val="center"/>
          </w:tcPr>
          <w:p w14:paraId="66C8A667">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0元</w:t>
            </w:r>
          </w:p>
        </w:tc>
      </w:tr>
      <w:tr w14:paraId="1BD6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0E5A49B">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8313" w:type="dxa"/>
            <w:noWrap w:val="0"/>
            <w:vAlign w:val="center"/>
          </w:tcPr>
          <w:p w14:paraId="032A6C55">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本次招标公告同时在滁州市公共资源交易中心、安徽省公共资源交易监管网、安徽省招标投标信息网等网站发布。</w:t>
            </w:r>
          </w:p>
        </w:tc>
      </w:tr>
      <w:tr w14:paraId="4894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0909D6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投标人提出异议的截止时间及方式</w:t>
            </w:r>
          </w:p>
        </w:tc>
        <w:tc>
          <w:tcPr>
            <w:tcW w:w="8313" w:type="dxa"/>
            <w:noWrap w:val="0"/>
            <w:vAlign w:val="center"/>
          </w:tcPr>
          <w:p w14:paraId="3FE43371">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如投标人对招标文件有异议，请于</w:t>
            </w:r>
            <w:r>
              <w:rPr>
                <w:rFonts w:hint="eastAsia" w:ascii="宋体" w:hAnsi="宋体" w:eastAsia="宋体" w:cs="宋体"/>
                <w:b/>
                <w:color w:val="auto"/>
                <w:kern w:val="0"/>
                <w:sz w:val="21"/>
                <w:szCs w:val="21"/>
                <w:highlight w:val="none"/>
                <w:u w:val="single"/>
                <w:lang w:val="en-US" w:eastAsia="zh-CN"/>
              </w:rPr>
              <w:t>2026</w:t>
            </w:r>
            <w:r>
              <w:rPr>
                <w:rFonts w:hint="eastAsia" w:ascii="宋体" w:hAnsi="宋体" w:eastAsia="宋体" w:cs="宋体"/>
                <w:b/>
                <w:color w:val="auto"/>
                <w:kern w:val="0"/>
                <w:sz w:val="21"/>
                <w:szCs w:val="21"/>
                <w:highlight w:val="none"/>
              </w:rPr>
              <w:t>年</w:t>
            </w:r>
            <w:r>
              <w:rPr>
                <w:rFonts w:hint="eastAsia" w:ascii="宋体" w:hAnsi="宋体" w:cs="宋体"/>
                <w:b/>
                <w:color w:val="auto"/>
                <w:kern w:val="0"/>
                <w:sz w:val="21"/>
                <w:szCs w:val="21"/>
                <w:highlight w:val="none"/>
                <w:u w:val="single"/>
                <w:lang w:val="en-US" w:eastAsia="zh-CN"/>
              </w:rPr>
              <w:t>11</w:t>
            </w:r>
            <w:r>
              <w:rPr>
                <w:rFonts w:hint="eastAsia" w:ascii="宋体" w:hAnsi="宋体" w:eastAsia="宋体" w:cs="宋体"/>
                <w:b/>
                <w:color w:val="auto"/>
                <w:kern w:val="0"/>
                <w:sz w:val="21"/>
                <w:szCs w:val="21"/>
                <w:highlight w:val="none"/>
              </w:rPr>
              <w:t>月</w:t>
            </w:r>
            <w:r>
              <w:rPr>
                <w:rFonts w:hint="eastAsia" w:ascii="宋体" w:hAnsi="宋体" w:cs="宋体"/>
                <w:b/>
                <w:color w:val="auto"/>
                <w:kern w:val="0"/>
                <w:sz w:val="21"/>
                <w:szCs w:val="21"/>
                <w:highlight w:val="none"/>
                <w:u w:val="single"/>
                <w:lang w:val="en-US" w:eastAsia="zh-CN"/>
              </w:rPr>
              <w:t>13</w:t>
            </w:r>
            <w:r>
              <w:rPr>
                <w:rFonts w:hint="eastAsia" w:ascii="宋体" w:hAnsi="宋体" w:eastAsia="宋体" w:cs="宋体"/>
                <w:b/>
                <w:color w:val="auto"/>
                <w:kern w:val="0"/>
                <w:sz w:val="21"/>
                <w:szCs w:val="21"/>
                <w:highlight w:val="none"/>
              </w:rPr>
              <w:t>日</w:t>
            </w:r>
            <w:r>
              <w:rPr>
                <w:rFonts w:hint="eastAsia" w:ascii="宋体" w:hAnsi="宋体" w:cs="宋体"/>
                <w:b/>
                <w:color w:val="auto"/>
                <w:kern w:val="0"/>
                <w:sz w:val="21"/>
                <w:szCs w:val="21"/>
                <w:highlight w:val="none"/>
                <w:u w:val="single"/>
                <w:lang w:val="en-US" w:eastAsia="zh-CN"/>
              </w:rPr>
              <w:t>8</w:t>
            </w:r>
            <w:r>
              <w:rPr>
                <w:rFonts w:hint="eastAsia" w:ascii="宋体" w:hAnsi="宋体" w:eastAsia="宋体" w:cs="宋体"/>
                <w:b/>
                <w:color w:val="auto"/>
                <w:kern w:val="0"/>
                <w:sz w:val="21"/>
                <w:szCs w:val="21"/>
                <w:highlight w:val="none"/>
              </w:rPr>
              <w:t>时</w:t>
            </w:r>
            <w:r>
              <w:rPr>
                <w:rFonts w:hint="eastAsia" w:ascii="宋体" w:hAnsi="宋体" w:cs="宋体"/>
                <w:b/>
                <w:color w:val="auto"/>
                <w:kern w:val="0"/>
                <w:sz w:val="21"/>
                <w:szCs w:val="21"/>
                <w:highlight w:val="none"/>
                <w:u w:val="single"/>
                <w:lang w:val="en-US" w:eastAsia="zh-CN"/>
              </w:rPr>
              <w:t>30</w:t>
            </w:r>
            <w:r>
              <w:rPr>
                <w:rFonts w:hint="eastAsia" w:ascii="宋体" w:hAnsi="宋体" w:cs="宋体"/>
                <w:b/>
                <w:color w:val="auto"/>
                <w:kern w:val="0"/>
                <w:sz w:val="21"/>
                <w:szCs w:val="21"/>
                <w:highlight w:val="none"/>
                <w:lang w:val="en-US" w:eastAsia="zh-CN"/>
              </w:rPr>
              <w:t>分</w:t>
            </w:r>
            <w:r>
              <w:rPr>
                <w:rFonts w:hint="eastAsia" w:ascii="宋体" w:hAnsi="宋体" w:eastAsia="宋体" w:cs="宋体"/>
                <w:b/>
                <w:color w:val="auto"/>
                <w:kern w:val="0"/>
                <w:sz w:val="21"/>
                <w:szCs w:val="21"/>
                <w:highlight w:val="none"/>
              </w:rPr>
              <w:t>（投标截止10日）前在滁州市公共资源交易中心网电子交易系统中在线进行异议，具体操作步骤和程序请参见服务指南</w:t>
            </w:r>
            <w:r>
              <w:rPr>
                <w:rFonts w:hint="eastAsia" w:ascii="宋体" w:hAnsi="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rPr>
              <w:t>交易须知</w:t>
            </w:r>
            <w:r>
              <w:rPr>
                <w:rFonts w:hint="eastAsia" w:ascii="宋体" w:hAnsi="宋体" w:cs="宋体"/>
                <w:b/>
                <w:color w:val="auto"/>
                <w:kern w:val="0"/>
                <w:sz w:val="21"/>
                <w:szCs w:val="21"/>
                <w:highlight w:val="none"/>
                <w:lang w:eastAsia="zh-CN"/>
              </w:rPr>
              <w:t>〉</w:t>
            </w:r>
            <w:r>
              <w:rPr>
                <w:rFonts w:hint="eastAsia" w:ascii="宋体" w:hAnsi="宋体" w:eastAsia="宋体" w:cs="宋体"/>
                <w:b/>
                <w:color w:val="auto"/>
                <w:kern w:val="0"/>
                <w:sz w:val="21"/>
                <w:szCs w:val="21"/>
                <w:highlight w:val="none"/>
              </w:rPr>
              <w:t>在线异议、质疑和投诉操作手册。</w:t>
            </w:r>
          </w:p>
        </w:tc>
      </w:tr>
      <w:tr w14:paraId="7D1C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3C12578">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受理异议的联系人及联系方式</w:t>
            </w:r>
          </w:p>
        </w:tc>
        <w:tc>
          <w:tcPr>
            <w:tcW w:w="8313" w:type="dxa"/>
            <w:noWrap w:val="0"/>
            <w:vAlign w:val="center"/>
          </w:tcPr>
          <w:p w14:paraId="6412C0F9">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联系人：</w:t>
            </w:r>
            <w:r>
              <w:rPr>
                <w:rFonts w:hint="eastAsia" w:ascii="宋体" w:hAnsi="宋体" w:cs="宋体"/>
                <w:color w:val="auto"/>
                <w:kern w:val="0"/>
                <w:sz w:val="21"/>
                <w:szCs w:val="21"/>
                <w:highlight w:val="none"/>
                <w:u w:val="none"/>
                <w:lang w:val="en-US" w:eastAsia="zh-CN"/>
              </w:rPr>
              <w:t>李庆延</w:t>
            </w:r>
            <w:r>
              <w:rPr>
                <w:rFonts w:hint="eastAsia" w:ascii="宋体" w:hAnsi="宋体" w:eastAsia="宋体" w:cs="宋体"/>
                <w:color w:val="auto"/>
                <w:kern w:val="0"/>
                <w:sz w:val="21"/>
                <w:szCs w:val="21"/>
                <w:highlight w:val="none"/>
                <w:u w:val="none"/>
                <w:lang w:val="en-US" w:eastAsia="zh-CN"/>
              </w:rPr>
              <w:t xml:space="preserve">、杨韦       </w:t>
            </w:r>
            <w:r>
              <w:rPr>
                <w:rFonts w:hint="eastAsia" w:ascii="宋体" w:hAnsi="宋体" w:eastAsia="宋体" w:cs="宋体"/>
                <w:color w:val="auto"/>
                <w:kern w:val="0"/>
                <w:sz w:val="21"/>
                <w:szCs w:val="21"/>
                <w:highlight w:val="none"/>
              </w:rPr>
              <w:t>联系方式</w:t>
            </w:r>
            <w:r>
              <w:rPr>
                <w:rFonts w:hint="eastAsia" w:ascii="宋体" w:hAnsi="宋体" w:cs="宋体"/>
                <w:color w:val="auto"/>
                <w:kern w:val="0"/>
                <w:sz w:val="21"/>
                <w:szCs w:val="21"/>
                <w:highlight w:val="none"/>
                <w:lang w:eastAsia="zh-CN"/>
              </w:rPr>
              <w:t>：0550-3060260</w:t>
            </w:r>
            <w:r>
              <w:rPr>
                <w:rFonts w:hint="eastAsia" w:ascii="宋体" w:hAnsi="宋体" w:eastAsia="宋体" w:cs="宋体"/>
                <w:color w:val="auto"/>
                <w:kern w:val="0"/>
                <w:sz w:val="21"/>
                <w:szCs w:val="21"/>
                <w:highlight w:val="none"/>
                <w:lang w:val="en-US" w:eastAsia="zh-CN"/>
              </w:rPr>
              <w:t>、0550-3519590</w:t>
            </w:r>
          </w:p>
        </w:tc>
      </w:tr>
      <w:tr w14:paraId="2C78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A5A25C8">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sz w:val="21"/>
                <w:szCs w:val="21"/>
                <w:highlight w:val="none"/>
              </w:rPr>
              <w:t>投标人提出投诉的方式</w:t>
            </w:r>
          </w:p>
        </w:tc>
        <w:tc>
          <w:tcPr>
            <w:tcW w:w="8313" w:type="dxa"/>
            <w:noWrap w:val="0"/>
            <w:vAlign w:val="top"/>
          </w:tcPr>
          <w:p w14:paraId="4EA7F928">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bookmarkStart w:id="15" w:name="OLE_LINK59"/>
            <w:r>
              <w:rPr>
                <w:rFonts w:hint="eastAsia" w:ascii="宋体" w:hAnsi="宋体" w:cs="宋体"/>
                <w:color w:val="000000"/>
                <w:kern w:val="0"/>
                <w:szCs w:val="21"/>
                <w:u w:val="none"/>
              </w:rPr>
              <w:t>投标人或者其他利害关系人认为招标投标活动违反</w:t>
            </w:r>
            <w:r>
              <w:rPr>
                <w:rFonts w:hint="eastAsia" w:ascii="宋体" w:hAnsi="宋体" w:cs="宋体"/>
                <w:color w:val="000000"/>
                <w:kern w:val="0"/>
                <w:szCs w:val="21"/>
                <w:u w:val="none"/>
                <w:lang w:eastAsia="zh-CN"/>
              </w:rPr>
              <w:t>法律法规</w:t>
            </w:r>
            <w:r>
              <w:rPr>
                <w:rFonts w:hint="eastAsia" w:ascii="宋体" w:hAnsi="宋体" w:cs="宋体"/>
                <w:color w:val="000000"/>
                <w:kern w:val="0"/>
                <w:szCs w:val="21"/>
                <w:u w:val="none"/>
              </w:rPr>
              <w:t>和规章规定的，有权向相关行政监督部门投诉。在线投诉具体步骤和程序请参照服务指南</w:t>
            </w:r>
            <w:r>
              <w:rPr>
                <w:rFonts w:hint="eastAsia" w:ascii="宋体" w:hAnsi="宋体" w:cs="宋体"/>
                <w:color w:val="000000"/>
                <w:kern w:val="0"/>
                <w:szCs w:val="21"/>
                <w:u w:val="none"/>
                <w:lang w:eastAsia="zh-CN"/>
              </w:rPr>
              <w:t>〉</w:t>
            </w:r>
            <w:r>
              <w:rPr>
                <w:rFonts w:hint="eastAsia" w:ascii="宋体" w:hAnsi="宋体" w:cs="宋体"/>
                <w:color w:val="000000"/>
                <w:kern w:val="0"/>
                <w:szCs w:val="21"/>
                <w:u w:val="none"/>
              </w:rPr>
              <w:t xml:space="preserve">投诉渠道 </w:t>
            </w:r>
            <w:r>
              <w:rPr>
                <w:rFonts w:ascii="宋体" w:hAnsi="宋体" w:cs="宋体"/>
                <w:color w:val="000000"/>
                <w:kern w:val="0"/>
                <w:szCs w:val="21"/>
                <w:u w:val="none"/>
              </w:rPr>
              <w:fldChar w:fldCharType="begin"/>
            </w:r>
            <w:r>
              <w:rPr>
                <w:rFonts w:ascii="宋体" w:hAnsi="宋体" w:cs="宋体"/>
                <w:color w:val="000000"/>
                <w:kern w:val="0"/>
                <w:szCs w:val="21"/>
                <w:u w:val="none"/>
              </w:rPr>
              <w:instrText xml:space="preserve"> HYPERLINK "https://ggzy.chuzhou.gov.cn/fwzn/011001/serviceGuide.html" </w:instrText>
            </w:r>
            <w:r>
              <w:rPr>
                <w:rFonts w:ascii="宋体" w:hAnsi="宋体" w:cs="宋体"/>
                <w:color w:val="000000"/>
                <w:kern w:val="0"/>
                <w:szCs w:val="21"/>
                <w:u w:val="none"/>
              </w:rPr>
              <w:fldChar w:fldCharType="separate"/>
            </w:r>
            <w:r>
              <w:rPr>
                <w:rFonts w:ascii="宋体" w:hAnsi="宋体" w:cs="宋体"/>
                <w:color w:val="000000"/>
                <w:kern w:val="0"/>
                <w:szCs w:val="21"/>
                <w:u w:val="none"/>
              </w:rPr>
              <w:t>https://ggzy.chuzhou.gov.cn/fwzn/011001/serviceGuide.html</w:t>
            </w:r>
            <w:r>
              <w:rPr>
                <w:rFonts w:ascii="宋体" w:hAnsi="宋体" w:cs="宋体"/>
                <w:color w:val="000000"/>
                <w:kern w:val="0"/>
                <w:szCs w:val="21"/>
                <w:u w:val="none"/>
              </w:rPr>
              <w:fldChar w:fldCharType="end"/>
            </w:r>
            <w:r>
              <w:rPr>
                <w:rFonts w:hint="eastAsia" w:ascii="宋体" w:hAnsi="宋体" w:cs="宋体"/>
                <w:color w:val="000000"/>
                <w:kern w:val="0"/>
                <w:szCs w:val="21"/>
                <w:u w:val="none"/>
              </w:rPr>
              <w:t>；投诉书格式等内容参见服务指南</w:t>
            </w:r>
            <w:r>
              <w:rPr>
                <w:rFonts w:hint="eastAsia" w:ascii="宋体" w:hAnsi="宋体" w:cs="宋体"/>
                <w:color w:val="000000"/>
                <w:kern w:val="0"/>
                <w:szCs w:val="21"/>
                <w:u w:val="none"/>
                <w:lang w:eastAsia="zh-CN"/>
              </w:rPr>
              <w:t>〉</w:t>
            </w:r>
            <w:r>
              <w:rPr>
                <w:rFonts w:hint="eastAsia" w:ascii="宋体" w:hAnsi="宋体" w:cs="宋体"/>
                <w:color w:val="000000"/>
                <w:kern w:val="0"/>
                <w:szCs w:val="21"/>
                <w:u w:val="none"/>
              </w:rPr>
              <w:t>办事指南</w:t>
            </w:r>
            <w:r>
              <w:rPr>
                <w:rFonts w:hint="eastAsia" w:ascii="宋体" w:hAnsi="宋体" w:cs="宋体"/>
                <w:color w:val="000000"/>
                <w:kern w:val="0"/>
                <w:szCs w:val="21"/>
                <w:u w:val="none"/>
                <w:lang w:eastAsia="zh-CN"/>
              </w:rPr>
              <w:t>〉</w:t>
            </w:r>
            <w:r>
              <w:rPr>
                <w:rFonts w:hint="eastAsia" w:ascii="宋体" w:hAnsi="宋体" w:cs="宋体"/>
                <w:color w:val="000000"/>
                <w:kern w:val="0"/>
                <w:szCs w:val="21"/>
                <w:u w:val="none"/>
              </w:rPr>
              <w:t>投标人服务</w:t>
            </w:r>
            <w:r>
              <w:rPr>
                <w:rFonts w:hint="eastAsia" w:ascii="宋体" w:hAnsi="宋体" w:cs="宋体"/>
                <w:color w:val="000000"/>
                <w:kern w:val="0"/>
                <w:szCs w:val="21"/>
                <w:u w:val="none"/>
                <w:lang w:eastAsia="zh-CN"/>
              </w:rPr>
              <w:t>〉</w:t>
            </w:r>
            <w:r>
              <w:rPr>
                <w:rFonts w:hint="eastAsia" w:ascii="宋体" w:hAnsi="宋体" w:cs="宋体"/>
                <w:color w:val="000000"/>
                <w:kern w:val="0"/>
                <w:szCs w:val="21"/>
                <w:u w:val="none"/>
              </w:rPr>
              <w:t>投诉受理一次告知书</w:t>
            </w:r>
            <w:r>
              <w:rPr>
                <w:rFonts w:ascii="宋体" w:hAnsi="宋体" w:cs="宋体"/>
                <w:color w:val="000000"/>
                <w:kern w:val="0"/>
                <w:szCs w:val="21"/>
                <w:u w:val="none"/>
              </w:rPr>
              <w:t>https://ggzy.chuzhou.gov.cn/fwzn/011001/011001001/011001001003/20211022/4b7d87ec-2c58-49b0-b76c-3a6277377930.html</w:t>
            </w:r>
            <w:r>
              <w:rPr>
                <w:rFonts w:hint="eastAsia" w:ascii="宋体" w:hAnsi="宋体" w:cs="宋体"/>
                <w:color w:val="000000"/>
                <w:kern w:val="0"/>
                <w:szCs w:val="21"/>
                <w:u w:val="none"/>
              </w:rPr>
              <w:t>。</w:t>
            </w:r>
            <w:bookmarkEnd w:id="15"/>
          </w:p>
        </w:tc>
      </w:tr>
      <w:tr w14:paraId="7926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4F1CCE6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73F5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2FA606A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投标保证金收取</w:t>
            </w:r>
          </w:p>
        </w:tc>
        <w:tc>
          <w:tcPr>
            <w:tcW w:w="8313" w:type="dxa"/>
            <w:noWrap w:val="0"/>
            <w:vAlign w:val="center"/>
          </w:tcPr>
          <w:p w14:paraId="3EAAE161">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投标保证金的金额：</w:t>
            </w:r>
            <w:r>
              <w:rPr>
                <w:rFonts w:hint="eastAsia" w:ascii="宋体" w:hAnsi="宋体" w:cs="宋体"/>
                <w:color w:val="auto"/>
                <w:kern w:val="0"/>
                <w:sz w:val="21"/>
                <w:szCs w:val="21"/>
                <w:highlight w:val="none"/>
                <w:lang w:val="en-US" w:eastAsia="zh-CN"/>
              </w:rPr>
              <w:t>50</w:t>
            </w:r>
            <w:r>
              <w:rPr>
                <w:rFonts w:hint="eastAsia" w:ascii="宋体" w:hAnsi="宋体" w:eastAsia="宋体" w:cs="宋体"/>
                <w:color w:val="auto"/>
                <w:kern w:val="0"/>
                <w:sz w:val="21"/>
                <w:szCs w:val="21"/>
                <w:highlight w:val="none"/>
              </w:rPr>
              <w:t>万元，要求投标人提交投标保证金。</w:t>
            </w:r>
          </w:p>
        </w:tc>
      </w:tr>
      <w:tr w14:paraId="60F9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top"/>
          </w:tcPr>
          <w:p w14:paraId="27681C1A">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投标保证金形式</w:t>
            </w:r>
          </w:p>
        </w:tc>
        <w:tc>
          <w:tcPr>
            <w:tcW w:w="8313" w:type="dxa"/>
            <w:noWrap w:val="0"/>
            <w:vAlign w:val="top"/>
          </w:tcPr>
          <w:p w14:paraId="38802FDD">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支持现金（银行转账、银行电汇等）、非现金形式（支票、银行汇票、本票等）、电子保函、纸质银行保函</w:t>
            </w:r>
          </w:p>
        </w:tc>
      </w:tr>
      <w:tr w14:paraId="2E8A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1A9B57A9">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接收投标保证金的账户信息</w:t>
            </w:r>
          </w:p>
        </w:tc>
        <w:tc>
          <w:tcPr>
            <w:tcW w:w="8313" w:type="dxa"/>
            <w:noWrap w:val="0"/>
            <w:vAlign w:val="center"/>
          </w:tcPr>
          <w:p w14:paraId="045C91FD">
            <w:pPr>
              <w:widowControl/>
              <w:spacing w:line="560" w:lineRule="exact"/>
              <w:jc w:val="left"/>
              <w:rPr>
                <w:rFonts w:hint="eastAsia" w:ascii="宋体" w:hAnsi="宋体" w:cs="宋体"/>
                <w:color w:val="000000"/>
                <w:kern w:val="0"/>
                <w:szCs w:val="21"/>
              </w:rPr>
            </w:pPr>
            <w:bookmarkStart w:id="16" w:name="OLE_LINK72"/>
            <w:bookmarkStart w:id="17" w:name="OLE_LINK64"/>
            <w:bookmarkStart w:id="18" w:name="OLE_LINK70"/>
            <w:bookmarkStart w:id="19" w:name="OLE_LINK65"/>
            <w:bookmarkStart w:id="20" w:name="OLE_LINK63"/>
            <w:r>
              <w:rPr>
                <w:rFonts w:hint="eastAsia" w:ascii="宋体" w:hAnsi="宋体" w:cs="宋体"/>
                <w:color w:val="000000"/>
                <w:kern w:val="0"/>
                <w:szCs w:val="21"/>
                <w:lang w:val="en-US" w:eastAsia="zh-CN"/>
              </w:rPr>
              <w:t>1.</w:t>
            </w:r>
            <w:r>
              <w:rPr>
                <w:rFonts w:hint="eastAsia" w:ascii="宋体" w:hAnsi="宋体" w:cs="宋体"/>
                <w:color w:val="000000"/>
                <w:kern w:val="0"/>
                <w:szCs w:val="21"/>
              </w:rPr>
              <w:t>1</w:t>
            </w:r>
            <w:r>
              <w:rPr>
                <w:rFonts w:hint="eastAsia" w:ascii="宋体" w:hAnsi="宋体" w:cs="宋体"/>
                <w:color w:val="000000"/>
                <w:kern w:val="0"/>
                <w:szCs w:val="21"/>
                <w:lang w:eastAsia="zh-CN"/>
              </w:rPr>
              <w:t>）</w:t>
            </w:r>
            <w:r>
              <w:rPr>
                <w:rFonts w:hint="eastAsia" w:ascii="宋体" w:hAnsi="宋体" w:cs="宋体"/>
                <w:color w:val="000000"/>
                <w:kern w:val="0"/>
                <w:szCs w:val="21"/>
              </w:rPr>
              <w:t>采用现金形式的，投标保证金应当从投标人基本存款账户转出，投标保证金的到账截止时间为投标截止时间。投标保证金转出账户与投标人投标文件提供的基本存款账户不一致的，视为未按照招标文件规定提交投标保证金。提交投标保证金的开户银行及账号如下（选择任何一家银行提交即可）：</w:t>
            </w:r>
          </w:p>
          <w:p w14:paraId="11F24A72">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①户名：滁州市公共资源交易中心</w:t>
            </w:r>
          </w:p>
          <w:p w14:paraId="7F3254F0">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 xml:space="preserve">开户行：中国银行滁州分行 </w:t>
            </w:r>
          </w:p>
          <w:p w14:paraId="23F4748A">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账  号：176715706715</w:t>
            </w:r>
          </w:p>
          <w:p w14:paraId="178B7538">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 xml:space="preserve">②户  名：滁州市公共资源交易中心 </w:t>
            </w:r>
          </w:p>
          <w:p w14:paraId="626F9784">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开户行：中国建设银行股份有限公司滁州南谯支行</w:t>
            </w:r>
          </w:p>
          <w:p w14:paraId="789D770B">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账  号：6232811720000036702</w:t>
            </w:r>
          </w:p>
          <w:p w14:paraId="5DEE1B70">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 xml:space="preserve">③户  名：滁州市公共资源交易中心        </w:t>
            </w:r>
          </w:p>
          <w:p w14:paraId="6EE82ED1">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 xml:space="preserve">开户行：中国农业银行滁州中都支行                </w:t>
            </w:r>
          </w:p>
          <w:p w14:paraId="4A867136">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账  号：123340010400044210000000729</w:t>
            </w:r>
          </w:p>
          <w:p w14:paraId="07496CD7">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采用现金形式缴纳保证金时须在交易附言中注明</w:t>
            </w:r>
            <w:r>
              <w:rPr>
                <w:rFonts w:hint="eastAsia" w:ascii="宋体" w:hAnsi="宋体" w:cs="宋体"/>
                <w:color w:val="000000"/>
                <w:kern w:val="0"/>
                <w:szCs w:val="21"/>
                <w:highlight w:val="none"/>
              </w:rPr>
              <w:t>：“czsjgc202610-005项目投</w:t>
            </w:r>
            <w:r>
              <w:rPr>
                <w:rFonts w:hint="eastAsia" w:ascii="宋体" w:hAnsi="宋体" w:cs="宋体"/>
                <w:color w:val="000000"/>
                <w:kern w:val="0"/>
                <w:szCs w:val="21"/>
              </w:rPr>
              <w:t>标保证金”。</w:t>
            </w:r>
          </w:p>
          <w:p w14:paraId="731AD286">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2）采用支票、银行汇票、本票等非现金形式提交投标保证金时，投标人应在付款人开户行申请书附言处注</w:t>
            </w:r>
            <w:r>
              <w:rPr>
                <w:rFonts w:hint="eastAsia" w:ascii="宋体" w:hAnsi="宋体" w:cs="宋体"/>
                <w:color w:val="000000"/>
                <w:kern w:val="0"/>
                <w:szCs w:val="21"/>
                <w:highlight w:val="none"/>
              </w:rPr>
              <w:t>明“czsjgc202610-005项目投</w:t>
            </w:r>
            <w:r>
              <w:rPr>
                <w:rFonts w:hint="eastAsia" w:ascii="宋体" w:hAnsi="宋体" w:cs="宋体"/>
                <w:color w:val="000000"/>
                <w:kern w:val="0"/>
                <w:szCs w:val="21"/>
              </w:rPr>
              <w:t>标保证金”字样，应确保收款人开户行进账单完整反映交易附言内容，由此导致无法识别投标保证金对应的投标项目，其后果由投标人负责。</w:t>
            </w:r>
          </w:p>
          <w:p w14:paraId="773F4EBB">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lang w:eastAsia="zh-CN"/>
              </w:rPr>
              <w:t>3）</w:t>
            </w:r>
            <w:r>
              <w:rPr>
                <w:rFonts w:hint="eastAsia" w:ascii="宋体" w:hAnsi="宋体" w:cs="宋体"/>
                <w:color w:val="000000"/>
                <w:kern w:val="0"/>
                <w:szCs w:val="21"/>
              </w:rPr>
              <w:t>采用电子保函形式具体要求如下：</w:t>
            </w:r>
          </w:p>
          <w:p w14:paraId="15E7E65B">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①电子保函提交要求：</w:t>
            </w:r>
          </w:p>
          <w:p w14:paraId="682D3D91">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a.投标人须在投标文件提交截止时间前提供与</w:t>
            </w:r>
            <w:r>
              <w:rPr>
                <w:rFonts w:hint="eastAsia" w:ascii="宋体" w:hAnsi="宋体" w:cs="宋体"/>
                <w:color w:val="000000"/>
                <w:kern w:val="0"/>
                <w:szCs w:val="21"/>
                <w:u w:val="none"/>
              </w:rPr>
              <w:t>滁州市公共资源交易中心金融服务平台对</w:t>
            </w:r>
            <w:r>
              <w:rPr>
                <w:rFonts w:hint="eastAsia" w:ascii="宋体" w:hAnsi="宋体" w:cs="宋体"/>
                <w:color w:val="000000"/>
                <w:kern w:val="0"/>
                <w:szCs w:val="21"/>
              </w:rPr>
              <w:t>接的电子保函，否则视为投标保证金未按规定要求缴纳。</w:t>
            </w:r>
          </w:p>
          <w:p w14:paraId="79230D09">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b.电子保函生效时间须为所投项目规定的保证金到账截止时间之前，电子保函的有效期截止时间不得短于招标文件约定的投标有效期截止时间，否则视为投标保证金未按规定要求缴纳。</w:t>
            </w:r>
          </w:p>
          <w:p w14:paraId="64AC6A31">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c.投标有效期内未能确定中标结果，需要延长投标有效期，投标人同意延长投标有效期的，须相应延长电子保函的有效期。</w:t>
            </w:r>
          </w:p>
          <w:p w14:paraId="798401F6">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d.投标人存在投标保证金不予退还的情形，采用电子保函形式的将予以追缴。</w:t>
            </w:r>
          </w:p>
          <w:p w14:paraId="0943A57D">
            <w:pPr>
              <w:pStyle w:val="5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 w:val="21"/>
                <w:szCs w:val="21"/>
                <w:lang w:val="en-US" w:eastAsia="zh-CN" w:bidi="ar-SA"/>
              </w:rPr>
              <w:t>4）</w:t>
            </w:r>
            <w:r>
              <w:rPr>
                <w:rFonts w:hint="eastAsia" w:ascii="宋体" w:hAnsi="宋体" w:eastAsia="宋体" w:cs="宋体"/>
                <w:color w:val="000000"/>
                <w:kern w:val="0"/>
                <w:sz w:val="21"/>
                <w:szCs w:val="21"/>
                <w:lang w:val="en-US" w:eastAsia="zh-CN" w:bidi="ar-SA"/>
              </w:rPr>
              <w:t>采用纸质银行保函形式具体要求如下：</w:t>
            </w:r>
          </w:p>
          <w:p w14:paraId="2956F2B2">
            <w:pPr>
              <w:pStyle w:val="5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①应为投标人基本账户开户银行出具的不可撤销、不可转让的见索即付独立保函</w:t>
            </w:r>
            <w:r>
              <w:rPr>
                <w:rFonts w:hint="eastAsia" w:ascii="宋体" w:hAnsi="宋体" w:cs="宋体"/>
                <w:color w:val="000000"/>
                <w:kern w:val="0"/>
                <w:sz w:val="21"/>
                <w:szCs w:val="21"/>
                <w:lang w:val="en-US" w:eastAsia="zh-CN" w:bidi="ar-SA"/>
              </w:rPr>
              <w:t>，</w:t>
            </w:r>
            <w:r>
              <w:rPr>
                <w:rFonts w:hint="eastAsia" w:ascii="宋体" w:hAnsi="宋体" w:eastAsia="宋体" w:cs="宋体"/>
                <w:color w:val="000000"/>
                <w:kern w:val="0"/>
                <w:sz w:val="21"/>
                <w:szCs w:val="21"/>
                <w:lang w:val="en-US" w:eastAsia="zh-CN" w:bidi="ar-SA"/>
              </w:rPr>
              <w:t>所需费用由投标人承担。</w:t>
            </w:r>
          </w:p>
          <w:p w14:paraId="1CEB5A60">
            <w:pPr>
              <w:pStyle w:val="5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②投标人在投标文件中必须提供基本存款账户证明（如基本存款账户开户许可证或基本存款账户信息），同时将纸质保函扫描件提供在投标文件中。</w:t>
            </w:r>
          </w:p>
          <w:p w14:paraId="1B8DC0EF">
            <w:pPr>
              <w:pStyle w:val="57"/>
              <w:keepNext w:val="0"/>
              <w:keepLines w:val="0"/>
              <w:pageBreakBefore w:val="0"/>
              <w:kinsoku/>
              <w:wordWrap/>
              <w:overflowPunct/>
              <w:topLinePunct w:val="0"/>
              <w:autoSpaceDE/>
              <w:autoSpaceDN/>
              <w:bidi w:val="0"/>
              <w:snapToGrid/>
              <w:spacing w:line="560" w:lineRule="exact"/>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③投标人在投标文件中必须提供明确有效的查询途径（ 网址链接及查询方式），否则该纸质银行保函无效。</w:t>
            </w:r>
          </w:p>
          <w:p w14:paraId="5D0AE98A">
            <w:pPr>
              <w:pStyle w:val="57"/>
              <w:keepNext w:val="0"/>
              <w:keepLines w:val="0"/>
              <w:pageBreakBefore w:val="0"/>
              <w:kinsoku/>
              <w:wordWrap/>
              <w:overflowPunct/>
              <w:topLinePunct w:val="0"/>
              <w:autoSpaceDE/>
              <w:autoSpaceDN/>
              <w:bidi w:val="0"/>
              <w:snapToGrid/>
              <w:spacing w:line="560" w:lineRule="exact"/>
              <w:textAlignment w:val="auto"/>
              <w:rPr>
                <w:rFonts w:hint="eastAsia" w:ascii="宋体" w:hAnsi="宋体" w:cs="宋体"/>
                <w:color w:val="000000"/>
                <w:kern w:val="0"/>
                <w:szCs w:val="21"/>
              </w:rPr>
            </w:pPr>
            <w:r>
              <w:rPr>
                <w:rFonts w:hint="eastAsia" w:ascii="宋体" w:hAnsi="宋体" w:eastAsia="宋体" w:cs="宋体"/>
                <w:color w:val="000000"/>
                <w:kern w:val="0"/>
                <w:sz w:val="21"/>
                <w:szCs w:val="21"/>
                <w:lang w:val="en-US" w:eastAsia="zh-CN" w:bidi="ar-SA"/>
              </w:rPr>
              <w:t>④中标候选人须在中标候选人公示期间将其开具至本招标项目的保函原件提交招标人（或招标代理机构），且原件须与投标文件中提供的扫描件一致，如存在未按照规定提交或提交内容不一致的，招标人有权取消其中标候选人资格；发现弄虚作假的，招标人（或招标代理机构）应报公共资源交易监管部门依法处理。</w:t>
            </w:r>
          </w:p>
          <w:p w14:paraId="2E35B949">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2.保证金电子保函业务应急处置措施。由于自然灾害、事故灾难、突发公共网络安全事件或者系统原因，以及保证金电子保函系统使用过程中出现的以下情况：</w:t>
            </w:r>
          </w:p>
          <w:p w14:paraId="211E60E8">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（1）开标时，系统获取明文保函文件异常，无法正常获取保函文件；</w:t>
            </w:r>
          </w:p>
          <w:p w14:paraId="11C2AD73">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（2）保证金电子保函系统的软件或数据库出现错误，不能进行正常操作；</w:t>
            </w:r>
          </w:p>
          <w:p w14:paraId="2310C752">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（3）保证金电子保函系统服务器发生故障等情况，无法访问或无法使用电子保函；</w:t>
            </w:r>
          </w:p>
          <w:p w14:paraId="718C529F">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（4）保证金电子保函系统服务器受到病毒或其他外来的攻击；</w:t>
            </w:r>
          </w:p>
          <w:p w14:paraId="1A379A02">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（5）其他影响电子保函出具的异常情形。</w:t>
            </w:r>
          </w:p>
          <w:p w14:paraId="2945BE99">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由于上述原因导致投标人无法正常参加开评标的，招标人或招标代理机构应及时报告公共资源交易服务平台核实问题原因。投标人确实已购买电子保函，经监管部门同意后，投标人可以继续参加开评标。</w:t>
            </w:r>
          </w:p>
          <w:p w14:paraId="10153777">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3.本次招标失败，再次进行招标的，投标人须按照新的账户重新缴纳投标保证金。</w:t>
            </w:r>
          </w:p>
          <w:p w14:paraId="4BB8C791">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4.投标人为联合体投标的，由牵头人基本账户转出投标保证金或由牵头人办理保函。</w:t>
            </w:r>
          </w:p>
          <w:p w14:paraId="0BFF23DD">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5.是否适用免缴投标保证金政策</w:t>
            </w:r>
          </w:p>
          <w:p w14:paraId="732935FB">
            <w:pPr>
              <w:keepNext w:val="0"/>
              <w:keepLines w:val="0"/>
              <w:pageBreakBefore w:val="0"/>
              <w:widowControl/>
              <w:kinsoku/>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000000"/>
                <w:kern w:val="0"/>
                <w:szCs w:val="21"/>
              </w:rPr>
              <w:t>不适用</w:t>
            </w:r>
            <w:bookmarkEnd w:id="16"/>
            <w:bookmarkEnd w:id="17"/>
            <w:bookmarkEnd w:id="18"/>
            <w:bookmarkEnd w:id="19"/>
            <w:bookmarkEnd w:id="20"/>
            <w:r>
              <w:rPr>
                <w:rFonts w:hint="eastAsia" w:ascii="宋体" w:hAnsi="宋体" w:cs="宋体"/>
                <w:color w:val="000000"/>
                <w:kern w:val="0"/>
                <w:szCs w:val="21"/>
                <w:lang w:eastAsia="zh-CN"/>
              </w:rPr>
              <w:t>。</w:t>
            </w:r>
          </w:p>
        </w:tc>
      </w:tr>
      <w:tr w14:paraId="6883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D91A70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pacing w:val="-6"/>
                <w:sz w:val="21"/>
                <w:szCs w:val="21"/>
                <w:highlight w:val="none"/>
              </w:rPr>
              <w:t>备注</w:t>
            </w:r>
          </w:p>
        </w:tc>
        <w:tc>
          <w:tcPr>
            <w:tcW w:w="8313" w:type="dxa"/>
            <w:noWrap w:val="0"/>
            <w:vAlign w:val="center"/>
          </w:tcPr>
          <w:p w14:paraId="3D934127">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w:t>
            </w:r>
            <w:r>
              <w:rPr>
                <w:rFonts w:hint="eastAsia" w:ascii="宋体" w:hAnsi="宋体" w:cs="宋体"/>
                <w:color w:val="000000"/>
                <w:kern w:val="0"/>
                <w:szCs w:val="21"/>
                <w:lang w:val="en-US" w:eastAsia="zh-CN"/>
              </w:rPr>
              <w:t>.</w:t>
            </w:r>
            <w:r>
              <w:rPr>
                <w:rFonts w:hint="eastAsia" w:ascii="宋体" w:hAnsi="宋体" w:cs="宋体"/>
                <w:color w:val="000000"/>
                <w:kern w:val="0"/>
                <w:szCs w:val="21"/>
              </w:rPr>
              <w:t>投标人为联合体投标的，保证金由牵头人基本账户转入交易中心账户或由牵头人办理投标担保。</w:t>
            </w:r>
          </w:p>
          <w:p w14:paraId="3E313AE8">
            <w:pPr>
              <w:widowControl/>
              <w:spacing w:line="560" w:lineRule="exact"/>
              <w:jc w:val="left"/>
              <w:rPr>
                <w:rFonts w:hint="eastAsia" w:ascii="宋体" w:hAnsi="宋体" w:cs="宋体"/>
                <w:color w:val="000000"/>
                <w:kern w:val="0"/>
                <w:szCs w:val="21"/>
              </w:rPr>
            </w:pPr>
            <w:r>
              <w:rPr>
                <w:rFonts w:hint="eastAsia" w:ascii="宋体" w:hAnsi="宋体" w:cs="宋体"/>
                <w:color w:val="000000"/>
                <w:kern w:val="0"/>
                <w:szCs w:val="21"/>
              </w:rPr>
              <w:t>2</w:t>
            </w:r>
            <w:r>
              <w:rPr>
                <w:rFonts w:hint="eastAsia" w:ascii="宋体" w:hAnsi="宋体" w:cs="宋体"/>
                <w:color w:val="000000"/>
                <w:kern w:val="0"/>
                <w:szCs w:val="21"/>
                <w:lang w:val="en-US" w:eastAsia="zh-CN"/>
              </w:rPr>
              <w:t>.</w:t>
            </w:r>
            <w:r>
              <w:rPr>
                <w:rFonts w:hint="eastAsia" w:ascii="宋体" w:hAnsi="宋体" w:cs="宋体"/>
                <w:color w:val="000000"/>
                <w:kern w:val="0"/>
                <w:szCs w:val="21"/>
              </w:rPr>
              <w:t>本项目不缴纳投标保证金条款仅针对在投标过程中未违反本招标文件第二章“投标人须知”中第3.4.4项约定的投标人。如在投标过程中投标人存在本招标文件第二章“投标人须知”中第3.4.4项约定情形，则无条件按招标人要求的金额、时间、账号缴纳投标保证金。投标人采用银行保函、担保机构担保、保证保险方式提交投标保证金的，如出现本招标文件“投标人须知”第 3.4.4 项所列情形的，提供担保的银行、担保机构及保险机构将无条件向招标人支付保函所列的全部投标保证金金额，该支付行为视同投标保证金不予退还。</w:t>
            </w:r>
          </w:p>
          <w:p w14:paraId="0C1E7753">
            <w:pPr>
              <w:keepNext w:val="0"/>
              <w:keepLines w:val="0"/>
              <w:pageBreakBefore w:val="0"/>
              <w:kinsoku/>
              <w:overflowPunct/>
              <w:topLinePunct w:val="0"/>
              <w:autoSpaceDE/>
              <w:autoSpaceDN/>
              <w:bidi w:val="0"/>
              <w:spacing w:line="500" w:lineRule="exact"/>
              <w:textAlignment w:val="auto"/>
              <w:rPr>
                <w:rFonts w:hint="eastAsia" w:ascii="宋体" w:hAnsi="宋体" w:eastAsia="宋体" w:cs="宋体"/>
                <w:color w:val="auto"/>
                <w:sz w:val="21"/>
                <w:szCs w:val="21"/>
                <w:highlight w:val="none"/>
              </w:rPr>
            </w:pPr>
            <w:r>
              <w:rPr>
                <w:rFonts w:hint="eastAsia"/>
                <w:color w:val="000000"/>
              </w:rPr>
              <w:t>3</w:t>
            </w:r>
            <w:r>
              <w:rPr>
                <w:rFonts w:hint="eastAsia"/>
                <w:color w:val="000000"/>
                <w:lang w:val="en-US" w:eastAsia="zh-CN"/>
              </w:rPr>
              <w:t>.</w:t>
            </w:r>
            <w:r>
              <w:rPr>
                <w:rFonts w:hint="eastAsia"/>
                <w:color w:val="000000"/>
              </w:rPr>
              <w:t>投标人采用虚假银行保函、担保机构担保、保证保险方式提交投标保证金的，应依法承担弄虚作假、骗取中标的法律责任。</w:t>
            </w:r>
          </w:p>
        </w:tc>
      </w:tr>
      <w:tr w14:paraId="689B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299F8D8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其他说明</w:t>
            </w:r>
          </w:p>
        </w:tc>
      </w:tr>
      <w:tr w14:paraId="2103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7ED70F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重要说明</w:t>
            </w:r>
          </w:p>
        </w:tc>
        <w:tc>
          <w:tcPr>
            <w:tcW w:w="8313" w:type="dxa"/>
            <w:noWrap w:val="0"/>
            <w:vAlign w:val="center"/>
          </w:tcPr>
          <w:p w14:paraId="5562A5D7">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w:t>
            </w:r>
            <w:r>
              <w:rPr>
                <w:rFonts w:hint="eastAsia" w:ascii="宋体" w:hAnsi="宋体" w:cs="宋体"/>
                <w:color w:val="000000"/>
                <w:kern w:val="0"/>
                <w:szCs w:val="21"/>
                <w:lang w:val="en-US" w:eastAsia="zh-CN"/>
              </w:rPr>
              <w:t>.</w:t>
            </w:r>
            <w:r>
              <w:rPr>
                <w:rFonts w:hint="eastAsia" w:ascii="宋体" w:hAnsi="宋体" w:cs="宋体"/>
                <w:color w:val="000000"/>
                <w:kern w:val="0"/>
                <w:szCs w:val="21"/>
              </w:rPr>
              <w:t>本项目只接受在安徽省公共资源交易市场主体库（</w:t>
            </w:r>
            <w:r>
              <w:rPr>
                <w:rFonts w:ascii="宋体" w:hAnsi="宋体" w:cs="宋体"/>
                <w:color w:val="000000"/>
                <w:kern w:val="0"/>
                <w:szCs w:val="21"/>
              </w:rPr>
              <w:t>http://ggzy.ah.gov.cn/ahggfwpt-zhutiku/dengludenglu</w:t>
            </w:r>
            <w:r>
              <w:rPr>
                <w:rFonts w:hint="eastAsia" w:ascii="宋体" w:hAnsi="宋体" w:cs="宋体"/>
                <w:color w:val="000000"/>
                <w:kern w:val="0"/>
                <w:szCs w:val="21"/>
              </w:rPr>
              <w:t>）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50AF2C6B">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2</w:t>
            </w:r>
            <w:r>
              <w:rPr>
                <w:rFonts w:hint="eastAsia" w:ascii="宋体" w:hAnsi="宋体" w:cs="宋体"/>
                <w:color w:val="000000"/>
                <w:kern w:val="0"/>
                <w:szCs w:val="21"/>
                <w:lang w:val="en-US" w:eastAsia="zh-CN"/>
              </w:rPr>
              <w:t>.</w:t>
            </w:r>
            <w:r>
              <w:rPr>
                <w:rFonts w:hint="eastAsia" w:ascii="宋体" w:hAnsi="宋体" w:cs="宋体"/>
                <w:color w:val="000000"/>
                <w:kern w:val="0"/>
                <w:szCs w:val="21"/>
              </w:rPr>
              <w:t>请投标人登录滁州市公共资源交易中心网站查看参加本项目的程序（具体操作步骤和程序请参见服务指南&gt;交易须知&gt;投标人填写投标信息、下载文件及网上提问操作手册）。</w:t>
            </w:r>
          </w:p>
          <w:p w14:paraId="5274B87A">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3</w:t>
            </w:r>
            <w:r>
              <w:rPr>
                <w:rFonts w:hint="eastAsia" w:ascii="宋体" w:hAnsi="宋体" w:cs="宋体"/>
                <w:color w:val="000000"/>
                <w:kern w:val="0"/>
                <w:szCs w:val="21"/>
                <w:lang w:val="en-US" w:eastAsia="zh-CN"/>
              </w:rPr>
              <w:t>.</w:t>
            </w:r>
            <w:r>
              <w:rPr>
                <w:rFonts w:hint="eastAsia" w:ascii="宋体" w:hAnsi="宋体" w:cs="宋体"/>
                <w:color w:val="000000"/>
                <w:kern w:val="0"/>
                <w:szCs w:val="21"/>
              </w:rPr>
              <w:t>本项目采用不见面开标</w:t>
            </w:r>
            <w:r>
              <w:rPr>
                <w:rFonts w:hint="eastAsia" w:ascii="宋体" w:hAnsi="宋体" w:cs="宋体"/>
                <w:color w:val="000000"/>
                <w:kern w:val="0"/>
                <w:szCs w:val="21"/>
                <w:lang w:eastAsia="zh-CN"/>
              </w:rPr>
              <w:t>（</w:t>
            </w:r>
            <w:r>
              <w:rPr>
                <w:rFonts w:hint="eastAsia" w:ascii="宋体" w:hAnsi="宋体" w:cs="宋体"/>
                <w:color w:val="000000"/>
                <w:kern w:val="0"/>
                <w:szCs w:val="21"/>
              </w:rPr>
              <w:t>远程解密</w:t>
            </w:r>
            <w:r>
              <w:rPr>
                <w:rFonts w:hint="eastAsia" w:ascii="宋体" w:hAnsi="宋体" w:cs="宋体"/>
                <w:color w:val="000000"/>
                <w:kern w:val="0"/>
                <w:szCs w:val="21"/>
                <w:lang w:eastAsia="zh-CN"/>
              </w:rPr>
              <w:t>）</w:t>
            </w:r>
            <w:r>
              <w:rPr>
                <w:rFonts w:hint="eastAsia" w:ascii="宋体" w:hAnsi="宋体" w:cs="宋体"/>
                <w:color w:val="000000"/>
                <w:kern w:val="0"/>
                <w:szCs w:val="21"/>
              </w:rPr>
              <w:t>方式，开标时投标人无须至开标现场进行解密，开标采取远程解密方式解密投标文件，投标人远程解密方式：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w:t>
            </w:r>
            <w:r>
              <w:rPr>
                <w:rFonts w:hint="eastAsia" w:ascii="宋体" w:hAnsi="宋体" w:cs="宋体"/>
                <w:color w:val="000000"/>
                <w:kern w:val="0"/>
                <w:szCs w:val="21"/>
                <w:lang w:eastAsia="zh-CN"/>
              </w:rPr>
              <w:t>〉</w:t>
            </w:r>
            <w:r>
              <w:rPr>
                <w:rFonts w:hint="eastAsia" w:ascii="宋体" w:hAnsi="宋体" w:cs="宋体"/>
                <w:color w:val="000000"/>
                <w:kern w:val="0"/>
                <w:szCs w:val="21"/>
              </w:rPr>
              <w:t>服务指南</w:t>
            </w:r>
            <w:r>
              <w:rPr>
                <w:rFonts w:hint="eastAsia" w:ascii="宋体" w:hAnsi="宋体" w:cs="宋体"/>
                <w:color w:val="000000"/>
                <w:kern w:val="0"/>
                <w:szCs w:val="21"/>
                <w:lang w:eastAsia="zh-CN"/>
              </w:rPr>
              <w:t>〉</w:t>
            </w:r>
            <w:r>
              <w:rPr>
                <w:rFonts w:hint="eastAsia" w:ascii="宋体" w:hAnsi="宋体" w:cs="宋体"/>
                <w:color w:val="000000"/>
                <w:kern w:val="0"/>
                <w:szCs w:val="21"/>
              </w:rPr>
              <w:t>交易须知中的《滁州市不见面开标系统操作手册》。解密时间要求为：从本项目解密程序开始时计时，至完成投标文件解密时间，不得超过60分钟，否则投标文件将被拒绝。</w:t>
            </w:r>
          </w:p>
          <w:p w14:paraId="624DDE8F">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000000"/>
                <w:kern w:val="0"/>
                <w:szCs w:val="21"/>
              </w:rPr>
              <w:t>4</w:t>
            </w:r>
            <w:r>
              <w:rPr>
                <w:rFonts w:hint="eastAsia" w:ascii="宋体" w:hAnsi="宋体" w:cs="宋体"/>
                <w:color w:val="000000"/>
                <w:kern w:val="0"/>
                <w:szCs w:val="21"/>
                <w:lang w:val="en-US" w:eastAsia="zh-CN"/>
              </w:rPr>
              <w:t>.</w:t>
            </w:r>
            <w:r>
              <w:rPr>
                <w:rFonts w:hint="eastAsia" w:ascii="宋体" w:hAnsi="宋体" w:cs="宋体"/>
                <w:color w:val="000000"/>
                <w:kern w:val="0"/>
                <w:szCs w:val="21"/>
              </w:rPr>
              <w:t>投标文件格式、内容和制作要求以招标文件为准，投标文件制作工具中提供的相关格式及内容仅供参考，投标企业可根据招标文件要求自行调整。</w:t>
            </w:r>
          </w:p>
        </w:tc>
      </w:tr>
      <w:tr w14:paraId="34B0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F2CE77A">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特别提示</w:t>
            </w:r>
          </w:p>
          <w:p w14:paraId="07630F26">
            <w:pPr>
              <w:pStyle w:val="20"/>
              <w:keepNext w:val="0"/>
              <w:keepLines w:val="0"/>
              <w:pageBreakBefore w:val="0"/>
              <w:kinsoku/>
              <w:overflowPunct/>
              <w:topLinePunct w:val="0"/>
              <w:autoSpaceDE/>
              <w:autoSpaceDN/>
              <w:bidi w:val="0"/>
              <w:spacing w:after="0" w:afterLines="0" w:line="500" w:lineRule="exact"/>
              <w:textAlignment w:val="auto"/>
              <w:rPr>
                <w:rFonts w:hint="eastAsia" w:ascii="宋体" w:hAnsi="宋体" w:eastAsia="宋体" w:cs="宋体"/>
                <w:color w:val="auto"/>
                <w:sz w:val="21"/>
                <w:szCs w:val="21"/>
                <w:highlight w:val="none"/>
              </w:rPr>
            </w:pPr>
          </w:p>
        </w:tc>
        <w:tc>
          <w:tcPr>
            <w:tcW w:w="8313" w:type="dxa"/>
            <w:noWrap w:val="0"/>
            <w:vAlign w:val="center"/>
          </w:tcPr>
          <w:p w14:paraId="4C3A956F">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w:t>
            </w:r>
            <w:r>
              <w:rPr>
                <w:rFonts w:ascii="宋体" w:hAnsi="宋体" w:cs="宋体"/>
                <w:color w:val="000000"/>
                <w:kern w:val="0"/>
                <w:szCs w:val="21"/>
              </w:rPr>
              <w:t>.</w:t>
            </w:r>
            <w:r>
              <w:rPr>
                <w:rFonts w:hint="eastAsia" w:ascii="宋体" w:hAnsi="宋体" w:cs="宋体"/>
                <w:color w:val="000000"/>
                <w:kern w:val="0"/>
                <w:szCs w:val="21"/>
              </w:rPr>
              <w:t>本项目投标保证金、履约保证金、工程质量保证金、农民工工资保证金均支持保函使用。以现金形式提交保证金的，应当同时退还保证金本金和银行同期存款利息。</w:t>
            </w:r>
          </w:p>
          <w:p w14:paraId="0CD3033B">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2.投标人应填写投标信息并下载招标文件，否则无法上传投标文件。</w:t>
            </w:r>
          </w:p>
          <w:p w14:paraId="52BAD56A">
            <w:pPr>
              <w:widowControl/>
              <w:wordWrap w:val="0"/>
              <w:spacing w:line="560" w:lineRule="exact"/>
              <w:jc w:val="left"/>
              <w:rPr>
                <w:rFonts w:hint="eastAsia" w:ascii="宋体" w:hAnsi="宋体" w:cs="宋体"/>
                <w:b/>
                <w:bCs/>
                <w:color w:val="000000"/>
                <w:kern w:val="0"/>
                <w:szCs w:val="21"/>
              </w:rPr>
            </w:pPr>
            <w:r>
              <w:rPr>
                <w:rFonts w:hint="eastAsia" w:ascii="宋体" w:hAnsi="宋体" w:cs="宋体"/>
                <w:b/>
                <w:bCs/>
                <w:color w:val="000000"/>
                <w:kern w:val="0"/>
                <w:szCs w:val="21"/>
              </w:rPr>
              <w:t>注：投标人如为联合体的，牵头人必须完善投标人信息，并在上传投标文件环节添加联合体投标信息。</w:t>
            </w:r>
          </w:p>
          <w:p w14:paraId="4894C88D">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3.本项目采用电子招标投标，请投标人在滁州市公共资源交易中心网站</w:t>
            </w:r>
            <w:r>
              <w:rPr>
                <w:rFonts w:hint="eastAsia" w:ascii="宋体" w:hAnsi="宋体" w:cs="宋体"/>
                <w:color w:val="000000"/>
                <w:kern w:val="0"/>
                <w:szCs w:val="21"/>
                <w:lang w:eastAsia="zh-CN"/>
              </w:rPr>
              <w:t>〉</w:t>
            </w:r>
            <w:r>
              <w:rPr>
                <w:rFonts w:hint="eastAsia" w:ascii="宋体" w:hAnsi="宋体" w:cs="宋体"/>
                <w:color w:val="000000"/>
                <w:kern w:val="0"/>
                <w:szCs w:val="21"/>
              </w:rPr>
              <w:t>服务指南</w:t>
            </w:r>
            <w:r>
              <w:rPr>
                <w:rFonts w:hint="eastAsia" w:ascii="宋体" w:hAnsi="宋体" w:cs="宋体"/>
                <w:color w:val="000000"/>
                <w:kern w:val="0"/>
                <w:szCs w:val="21"/>
                <w:lang w:eastAsia="zh-CN"/>
              </w:rPr>
              <w:t>〉</w:t>
            </w:r>
            <w:r>
              <w:rPr>
                <w:rFonts w:hint="eastAsia" w:ascii="宋体" w:hAnsi="宋体" w:cs="宋体"/>
                <w:color w:val="000000"/>
                <w:kern w:val="0"/>
                <w:szCs w:val="21"/>
              </w:rPr>
              <w: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0512-58188516。</w:t>
            </w:r>
          </w:p>
          <w:p w14:paraId="30456D5C">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4.如果过程中出现招标文件更改，应以最后发布的招标答疑澄清文件中的模板制作本项目最新投标文件。</w:t>
            </w:r>
          </w:p>
          <w:p w14:paraId="1CCA6836">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 xml:space="preserve">5.投标人应当用本单位CA数字证书制作投标文件，制作成功后进行投标文件上传。 </w:t>
            </w:r>
          </w:p>
          <w:p w14:paraId="780A0C16">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6.投标人须用CA数字证书盖章和加密投标文件，建议使用主锁。（如未办理CA数字证书请及时办理，网上办理和窗口办理均可。查看办理所需资料请登录滁州市公共资源交易中心网站</w:t>
            </w:r>
            <w:r>
              <w:rPr>
                <w:rFonts w:hint="eastAsia" w:ascii="宋体" w:hAnsi="宋体" w:cs="宋体"/>
                <w:color w:val="000000"/>
                <w:kern w:val="0"/>
                <w:szCs w:val="21"/>
                <w:lang w:eastAsia="zh-CN"/>
              </w:rPr>
              <w:t>〉</w:t>
            </w:r>
            <w:r>
              <w:rPr>
                <w:rFonts w:hint="eastAsia" w:ascii="宋体" w:hAnsi="宋体" w:cs="宋体"/>
                <w:color w:val="000000"/>
                <w:kern w:val="0"/>
                <w:szCs w:val="21"/>
              </w:rPr>
              <w:t>服务指南</w:t>
            </w:r>
            <w:r>
              <w:rPr>
                <w:rFonts w:hint="eastAsia" w:ascii="宋体" w:hAnsi="宋体" w:cs="宋体"/>
                <w:color w:val="000000"/>
                <w:kern w:val="0"/>
                <w:szCs w:val="21"/>
                <w:lang w:eastAsia="zh-CN"/>
              </w:rPr>
              <w:t>〉</w:t>
            </w:r>
            <w:r>
              <w:rPr>
                <w:rFonts w:hint="eastAsia" w:ascii="宋体" w:hAnsi="宋体" w:cs="宋体"/>
                <w:color w:val="000000"/>
                <w:kern w:val="0"/>
                <w:szCs w:val="21"/>
              </w:rPr>
              <w:t>办事指南&gt;CA数字证书和电子签章。因未及时办理CA数字证书手续导致无法投标的，责任自负）</w:t>
            </w:r>
          </w:p>
          <w:p w14:paraId="59310E59">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7.请投标人注意加密投标文件CA数字证书的有效期，不在有效期的CA数字证书无法解密投标文件。</w:t>
            </w:r>
          </w:p>
          <w:p w14:paraId="1E5A957A">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8.投标人投标MAC地址一致或申请开具电子保函MAC地址一致的，由评标委员会否决其投标。</w:t>
            </w:r>
          </w:p>
          <w:p w14:paraId="48E43226">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9.投标人投标文件中单方面出现其他投标人材料的（依法组成联合体投标的除外），由评标委员会否决其投标。</w:t>
            </w:r>
          </w:p>
          <w:p w14:paraId="56014784">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10.评标时查询投标文件制作机器码、文件创建标识码及造价软件加密锁号。若存在投标文件制作机器码或创建标识码或造价软件加密锁号信息与其他投标人雷同的，由评标委员会否决其投标，依法依规予以处理。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03F0FFC">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11.若存在不予退还投标人投标保证金的情形，银行转账的，由公共资源交易中心代为收缴，递交保函的，由招标人予以追缴。</w:t>
            </w:r>
          </w:p>
          <w:p w14:paraId="229C21CD">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12.投标人以联合体名义投标的，其异议投诉应当由联合体全体成员共同提出。联合体成员单独进行异议投诉的，应当书面征得联合体其他成员同意，联合体成员之间投诉的除外。</w:t>
            </w:r>
          </w:p>
          <w:p w14:paraId="3C96E949">
            <w:pPr>
              <w:widowControl/>
              <w:wordWrap w:val="0"/>
              <w:spacing w:line="560" w:lineRule="exact"/>
              <w:jc w:val="left"/>
              <w:rPr>
                <w:rFonts w:hint="eastAsia" w:ascii="宋体" w:hAnsi="宋体" w:cs="宋体"/>
                <w:color w:val="000000"/>
                <w:kern w:val="0"/>
                <w:szCs w:val="21"/>
              </w:rPr>
            </w:pPr>
            <w:r>
              <w:rPr>
                <w:rFonts w:hint="eastAsia" w:ascii="宋体" w:hAnsi="宋体" w:cs="宋体"/>
                <w:color w:val="000000"/>
                <w:kern w:val="0"/>
                <w:szCs w:val="21"/>
              </w:rPr>
              <w:t>13.投标人联系人或联系电话相同的，由评标委员会否决其投标，并报告监管部门作不良行为处理和进一步调查。</w:t>
            </w:r>
          </w:p>
          <w:p w14:paraId="07267834">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000000"/>
                <w:kern w:val="0"/>
                <w:szCs w:val="21"/>
              </w:rPr>
              <w:t>14.注册地在安徽省内且未在安徽省外开展业务、省外无违法违规行为的企业可通过安徽政务服务网开具由安徽省公共信用信息服务中心出具的《公共信用信息报告（无违法违规证明版或核查版）》代替《诚信投标承诺书》，信用报告出具有关问题可咨询滁州市信用办0550-3035032。</w:t>
            </w:r>
          </w:p>
        </w:tc>
      </w:tr>
      <w:tr w14:paraId="2209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noWrap w:val="0"/>
            <w:vAlign w:val="center"/>
          </w:tcPr>
          <w:p w14:paraId="6EC8400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联系方式（受理异议的联系人及联系方式）</w:t>
            </w:r>
          </w:p>
        </w:tc>
      </w:tr>
      <w:tr w14:paraId="7E84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595AE52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招标人名称</w:t>
            </w:r>
          </w:p>
        </w:tc>
        <w:tc>
          <w:tcPr>
            <w:tcW w:w="8313" w:type="dxa"/>
            <w:noWrap w:val="0"/>
            <w:vAlign w:val="center"/>
          </w:tcPr>
          <w:p w14:paraId="35C959BD">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安徽同康实业发展有限公司</w:t>
            </w:r>
          </w:p>
        </w:tc>
      </w:tr>
      <w:tr w14:paraId="2266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70BD6E8C">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招标人地址</w:t>
            </w:r>
          </w:p>
        </w:tc>
        <w:tc>
          <w:tcPr>
            <w:tcW w:w="8313" w:type="dxa"/>
            <w:noWrap w:val="0"/>
            <w:vAlign w:val="center"/>
          </w:tcPr>
          <w:p w14:paraId="3408BF5A">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安徽省滁州市中都大道2887号（滁州原创科技城）</w:t>
            </w:r>
          </w:p>
        </w:tc>
      </w:tr>
      <w:tr w14:paraId="47A8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01F8DE7C">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招标人联系人</w:t>
            </w:r>
          </w:p>
        </w:tc>
        <w:tc>
          <w:tcPr>
            <w:tcW w:w="8313" w:type="dxa"/>
            <w:noWrap w:val="0"/>
            <w:vAlign w:val="center"/>
          </w:tcPr>
          <w:p w14:paraId="3985ABB1">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李</w:t>
            </w:r>
            <w:r>
              <w:rPr>
                <w:rFonts w:hint="eastAsia" w:ascii="宋体" w:hAnsi="宋体" w:cs="宋体"/>
                <w:color w:val="auto"/>
                <w:sz w:val="21"/>
                <w:szCs w:val="21"/>
                <w:highlight w:val="none"/>
                <w:lang w:val="en-US" w:eastAsia="zh-CN"/>
              </w:rPr>
              <w:t>庆延</w:t>
            </w:r>
            <w:r>
              <w:rPr>
                <w:rFonts w:hint="eastAsia" w:ascii="宋体" w:hAnsi="宋体" w:eastAsia="宋体" w:cs="宋体"/>
                <w:color w:val="auto"/>
                <w:sz w:val="21"/>
                <w:szCs w:val="21"/>
                <w:highlight w:val="none"/>
              </w:rPr>
              <w:t xml:space="preserve"> </w:t>
            </w:r>
          </w:p>
        </w:tc>
      </w:tr>
      <w:tr w14:paraId="546C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noWrap w:val="0"/>
            <w:vAlign w:val="center"/>
          </w:tcPr>
          <w:p w14:paraId="6B20928E">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招标人电话</w:t>
            </w:r>
          </w:p>
        </w:tc>
        <w:tc>
          <w:tcPr>
            <w:tcW w:w="8313" w:type="dxa"/>
            <w:noWrap w:val="0"/>
            <w:vAlign w:val="center"/>
          </w:tcPr>
          <w:p w14:paraId="117A637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0550-3060260</w:t>
            </w:r>
          </w:p>
        </w:tc>
      </w:tr>
      <w:tr w14:paraId="0F8C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shd w:val="clear" w:color="auto" w:fill="auto"/>
            <w:noWrap w:val="0"/>
            <w:vAlign w:val="center"/>
          </w:tcPr>
          <w:p w14:paraId="70A55F66">
            <w:pPr>
              <w:widowControl/>
              <w:spacing w:line="440" w:lineRule="exact"/>
              <w:jc w:val="center"/>
              <w:rPr>
                <w:rFonts w:hint="eastAsia" w:ascii="Times New Roman" w:hAnsi="Times New Roman" w:eastAsia="宋体" w:cs="Times New Roman"/>
                <w:bCs/>
                <w:color w:val="000000"/>
                <w:spacing w:val="-6"/>
                <w:kern w:val="2"/>
                <w:sz w:val="21"/>
                <w:szCs w:val="21"/>
                <w:lang w:val="en-US" w:eastAsia="zh-CN" w:bidi="ar-SA"/>
              </w:rPr>
            </w:pPr>
            <w:r>
              <w:rPr>
                <w:rFonts w:hint="eastAsia"/>
                <w:bCs/>
                <w:color w:val="000000"/>
                <w:spacing w:val="-6"/>
                <w:szCs w:val="21"/>
              </w:rPr>
              <w:t>招标代理机构名称</w:t>
            </w:r>
          </w:p>
        </w:tc>
        <w:tc>
          <w:tcPr>
            <w:tcW w:w="8313" w:type="dxa"/>
            <w:shd w:val="clear" w:color="auto" w:fill="auto"/>
            <w:noWrap w:val="0"/>
            <w:vAlign w:val="center"/>
          </w:tcPr>
          <w:p w14:paraId="0B87F63A">
            <w:pPr>
              <w:widowControl/>
              <w:spacing w:line="440" w:lineRule="exact"/>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滁州市城投工程咨询管理有限公司</w:t>
            </w:r>
            <w:r>
              <w:rPr>
                <w:rFonts w:hint="eastAsia" w:ascii="宋体" w:hAnsi="宋体" w:cs="宋体"/>
                <w:color w:val="000000"/>
                <w:kern w:val="0"/>
                <w:szCs w:val="21"/>
              </w:rPr>
              <w:t xml:space="preserve">  </w:t>
            </w:r>
          </w:p>
        </w:tc>
      </w:tr>
      <w:tr w14:paraId="464C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shd w:val="clear" w:color="auto" w:fill="auto"/>
            <w:noWrap w:val="0"/>
            <w:vAlign w:val="center"/>
          </w:tcPr>
          <w:p w14:paraId="1769F352">
            <w:pPr>
              <w:widowControl/>
              <w:spacing w:line="440" w:lineRule="exact"/>
              <w:jc w:val="center"/>
              <w:rPr>
                <w:rFonts w:hint="eastAsia" w:ascii="Times New Roman" w:hAnsi="Times New Roman" w:eastAsia="宋体" w:cs="Times New Roman"/>
                <w:bCs/>
                <w:color w:val="000000"/>
                <w:spacing w:val="-6"/>
                <w:kern w:val="2"/>
                <w:sz w:val="21"/>
                <w:szCs w:val="21"/>
                <w:lang w:val="en-US" w:eastAsia="zh-CN" w:bidi="ar-SA"/>
              </w:rPr>
            </w:pPr>
            <w:r>
              <w:rPr>
                <w:rFonts w:hint="eastAsia"/>
                <w:bCs/>
                <w:color w:val="000000"/>
                <w:spacing w:val="-6"/>
                <w:szCs w:val="21"/>
              </w:rPr>
              <w:t>招标代理机构地址</w:t>
            </w:r>
          </w:p>
        </w:tc>
        <w:tc>
          <w:tcPr>
            <w:tcW w:w="8313" w:type="dxa"/>
            <w:shd w:val="clear" w:color="auto" w:fill="auto"/>
            <w:noWrap w:val="0"/>
            <w:vAlign w:val="center"/>
          </w:tcPr>
          <w:p w14:paraId="17E3976A">
            <w:pPr>
              <w:widowControl/>
              <w:spacing w:line="440" w:lineRule="exact"/>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滁州市龙蟠大道109号房产大厦6楼</w:t>
            </w:r>
            <w:r>
              <w:rPr>
                <w:rFonts w:hint="eastAsia" w:ascii="宋体" w:hAnsi="宋体" w:cs="宋体"/>
                <w:color w:val="000000"/>
                <w:kern w:val="0"/>
                <w:szCs w:val="21"/>
              </w:rPr>
              <w:t xml:space="preserve">  </w:t>
            </w:r>
          </w:p>
        </w:tc>
      </w:tr>
      <w:tr w14:paraId="156D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shd w:val="clear" w:color="auto" w:fill="auto"/>
            <w:noWrap w:val="0"/>
            <w:vAlign w:val="center"/>
          </w:tcPr>
          <w:p w14:paraId="3CE29730">
            <w:pPr>
              <w:widowControl/>
              <w:spacing w:line="440" w:lineRule="exact"/>
              <w:jc w:val="center"/>
              <w:rPr>
                <w:rFonts w:hint="eastAsia" w:ascii="Times New Roman" w:hAnsi="Times New Roman" w:eastAsia="宋体" w:cs="Times New Roman"/>
                <w:bCs/>
                <w:color w:val="000000"/>
                <w:spacing w:val="-6"/>
                <w:kern w:val="2"/>
                <w:sz w:val="21"/>
                <w:szCs w:val="21"/>
                <w:lang w:val="en-US" w:eastAsia="zh-CN" w:bidi="ar-SA"/>
              </w:rPr>
            </w:pPr>
            <w:r>
              <w:rPr>
                <w:rFonts w:hint="eastAsia"/>
                <w:bCs/>
                <w:color w:val="000000"/>
                <w:spacing w:val="-6"/>
                <w:szCs w:val="21"/>
              </w:rPr>
              <w:t xml:space="preserve">招标代理机构    </w:t>
            </w:r>
            <w:r>
              <w:rPr>
                <w:rFonts w:hint="eastAsia"/>
                <w:bCs/>
                <w:color w:val="000000"/>
                <w:spacing w:val="-6"/>
                <w:szCs w:val="21"/>
                <w:lang w:eastAsia="zh-CN"/>
              </w:rPr>
              <w:t>项目负责人</w:t>
            </w:r>
          </w:p>
        </w:tc>
        <w:tc>
          <w:tcPr>
            <w:tcW w:w="8313" w:type="dxa"/>
            <w:shd w:val="clear" w:color="auto" w:fill="auto"/>
            <w:noWrap w:val="0"/>
            <w:vAlign w:val="center"/>
          </w:tcPr>
          <w:p w14:paraId="64DAB382">
            <w:pPr>
              <w:widowControl/>
              <w:spacing w:line="440" w:lineRule="exact"/>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杨韦</w:t>
            </w:r>
            <w:r>
              <w:rPr>
                <w:rFonts w:hint="eastAsia" w:ascii="宋体" w:hAnsi="宋体" w:cs="宋体"/>
                <w:color w:val="000000"/>
                <w:kern w:val="0"/>
                <w:szCs w:val="21"/>
              </w:rPr>
              <w:t xml:space="preserve"> </w:t>
            </w:r>
          </w:p>
        </w:tc>
      </w:tr>
      <w:tr w14:paraId="5A32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shd w:val="clear" w:color="auto" w:fill="auto"/>
            <w:noWrap w:val="0"/>
            <w:vAlign w:val="center"/>
          </w:tcPr>
          <w:p w14:paraId="52A3507E">
            <w:pPr>
              <w:widowControl/>
              <w:spacing w:line="440" w:lineRule="exact"/>
              <w:jc w:val="center"/>
              <w:rPr>
                <w:rFonts w:hint="eastAsia" w:ascii="Times New Roman" w:hAnsi="Times New Roman" w:eastAsia="宋体" w:cs="Times New Roman"/>
                <w:bCs/>
                <w:color w:val="000000"/>
                <w:spacing w:val="-6"/>
                <w:kern w:val="2"/>
                <w:sz w:val="21"/>
                <w:szCs w:val="21"/>
                <w:lang w:val="en-US" w:eastAsia="zh-CN" w:bidi="ar-SA"/>
              </w:rPr>
            </w:pPr>
            <w:r>
              <w:rPr>
                <w:rFonts w:hint="eastAsia"/>
                <w:bCs/>
                <w:color w:val="000000"/>
                <w:spacing w:val="-6"/>
                <w:szCs w:val="21"/>
              </w:rPr>
              <w:t>代理机构电话</w:t>
            </w:r>
          </w:p>
        </w:tc>
        <w:tc>
          <w:tcPr>
            <w:tcW w:w="8313" w:type="dxa"/>
            <w:shd w:val="clear" w:color="auto" w:fill="auto"/>
            <w:noWrap w:val="0"/>
            <w:vAlign w:val="center"/>
          </w:tcPr>
          <w:p w14:paraId="65D2DCCC">
            <w:pPr>
              <w:widowControl/>
              <w:spacing w:line="440" w:lineRule="exact"/>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0550-3519590/18005501210</w:t>
            </w:r>
            <w:r>
              <w:rPr>
                <w:rFonts w:hint="eastAsia" w:ascii="宋体" w:hAnsi="宋体" w:cs="宋体"/>
                <w:color w:val="000000"/>
                <w:kern w:val="0"/>
                <w:szCs w:val="21"/>
              </w:rPr>
              <w:t xml:space="preserve">  </w:t>
            </w:r>
          </w:p>
        </w:tc>
      </w:tr>
      <w:tr w14:paraId="17BD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shd w:val="clear" w:color="auto" w:fill="auto"/>
            <w:noWrap w:val="0"/>
            <w:vAlign w:val="center"/>
          </w:tcPr>
          <w:p w14:paraId="607A3201">
            <w:pPr>
              <w:widowControl/>
              <w:spacing w:line="440" w:lineRule="exact"/>
              <w:jc w:val="center"/>
              <w:rPr>
                <w:rFonts w:hint="eastAsia" w:ascii="Times New Roman" w:hAnsi="Times New Roman" w:eastAsia="宋体" w:cs="Times New Roman"/>
                <w:bCs/>
                <w:color w:val="000000"/>
                <w:spacing w:val="-6"/>
                <w:kern w:val="2"/>
                <w:sz w:val="21"/>
                <w:szCs w:val="21"/>
                <w:lang w:val="en-US" w:eastAsia="zh-CN" w:bidi="ar-SA"/>
              </w:rPr>
            </w:pPr>
            <w:r>
              <w:rPr>
                <w:rFonts w:hint="eastAsia"/>
                <w:bCs/>
                <w:color w:val="000000"/>
                <w:spacing w:val="-6"/>
                <w:szCs w:val="21"/>
              </w:rPr>
              <w:t>招标投标行政监督部门</w:t>
            </w:r>
            <w:r>
              <w:rPr>
                <w:rFonts w:hint="eastAsia"/>
                <w:bCs/>
                <w:color w:val="000000"/>
                <w:spacing w:val="-6"/>
                <w:szCs w:val="21"/>
                <w:lang w:eastAsia="zh-CN"/>
              </w:rPr>
              <w:t>名称</w:t>
            </w:r>
          </w:p>
        </w:tc>
        <w:tc>
          <w:tcPr>
            <w:tcW w:w="8313" w:type="dxa"/>
            <w:shd w:val="clear" w:color="auto" w:fill="auto"/>
            <w:noWrap w:val="0"/>
            <w:vAlign w:val="center"/>
          </w:tcPr>
          <w:p w14:paraId="5FE51065">
            <w:pPr>
              <w:widowControl/>
              <w:spacing w:line="440" w:lineRule="exact"/>
              <w:jc w:val="left"/>
              <w:rPr>
                <w:rFonts w:hint="eastAsia" w:ascii="宋体" w:hAnsi="宋体" w:eastAsia="宋体" w:cs="宋体"/>
                <w:color w:val="000000"/>
                <w:kern w:val="0"/>
                <w:sz w:val="21"/>
                <w:szCs w:val="21"/>
                <w:lang w:val="en-US" w:eastAsia="zh-CN" w:bidi="ar-SA"/>
              </w:rPr>
            </w:pPr>
            <w:r>
              <w:rPr>
                <w:rFonts w:hint="eastAsia" w:ascii="宋体" w:hAnsi="宋体" w:cs="宋体"/>
                <w:color w:val="auto"/>
                <w:kern w:val="0"/>
                <w:szCs w:val="21"/>
                <w:highlight w:val="none"/>
              </w:rPr>
              <w:t>滁州市公共资源交易监督管理局</w:t>
            </w:r>
            <w:r>
              <w:rPr>
                <w:rFonts w:hint="eastAsia" w:ascii="宋体" w:hAnsi="宋体" w:cs="宋体"/>
                <w:color w:val="000000"/>
                <w:kern w:val="0"/>
                <w:szCs w:val="21"/>
              </w:rPr>
              <w:t xml:space="preserve">  </w:t>
            </w:r>
          </w:p>
        </w:tc>
      </w:tr>
      <w:tr w14:paraId="504D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shd w:val="clear" w:color="auto" w:fill="auto"/>
            <w:noWrap w:val="0"/>
            <w:vAlign w:val="center"/>
          </w:tcPr>
          <w:p w14:paraId="49537022">
            <w:pPr>
              <w:widowControl/>
              <w:spacing w:line="440" w:lineRule="exact"/>
              <w:jc w:val="center"/>
              <w:rPr>
                <w:rFonts w:hint="eastAsia" w:ascii="Times New Roman" w:hAnsi="Times New Roman" w:eastAsia="宋体" w:cs="Times New Roman"/>
                <w:bCs/>
                <w:color w:val="000000"/>
                <w:spacing w:val="-6"/>
                <w:kern w:val="2"/>
                <w:sz w:val="21"/>
                <w:szCs w:val="21"/>
                <w:lang w:val="en-US" w:eastAsia="zh-CN" w:bidi="ar-SA"/>
              </w:rPr>
            </w:pPr>
            <w:bookmarkStart w:id="21" w:name="_Toc152045527"/>
            <w:bookmarkStart w:id="22" w:name="_Toc60061431"/>
            <w:bookmarkStart w:id="23" w:name="_Toc246996173"/>
            <w:bookmarkStart w:id="24" w:name="_Toc95223333"/>
            <w:bookmarkStart w:id="25" w:name="_Toc15058844"/>
            <w:bookmarkStart w:id="26" w:name="_Toc152042303"/>
            <w:bookmarkStart w:id="27" w:name="_Toc324404813"/>
            <w:bookmarkStart w:id="28" w:name="_Toc144974495"/>
            <w:bookmarkStart w:id="29" w:name="_Toc506107267"/>
            <w:bookmarkStart w:id="30" w:name="_Toc246996916"/>
            <w:bookmarkStart w:id="31" w:name="_Toc179632544"/>
            <w:bookmarkStart w:id="32" w:name="_Toc247085687"/>
            <w:r>
              <w:rPr>
                <w:rFonts w:hint="eastAsia"/>
                <w:bCs/>
                <w:color w:val="000000"/>
                <w:spacing w:val="-6"/>
                <w:szCs w:val="21"/>
              </w:rPr>
              <w:t>招标投标行政监督部门</w:t>
            </w:r>
            <w:r>
              <w:rPr>
                <w:rFonts w:hint="eastAsia"/>
                <w:bCs/>
                <w:color w:val="000000"/>
                <w:spacing w:val="-6"/>
                <w:szCs w:val="21"/>
                <w:lang w:eastAsia="zh-CN"/>
              </w:rPr>
              <w:t>地址</w:t>
            </w:r>
          </w:p>
        </w:tc>
        <w:tc>
          <w:tcPr>
            <w:tcW w:w="8313" w:type="dxa"/>
            <w:shd w:val="clear" w:color="auto" w:fill="auto"/>
            <w:noWrap w:val="0"/>
            <w:vAlign w:val="center"/>
          </w:tcPr>
          <w:p w14:paraId="32A8DBC6">
            <w:pPr>
              <w:widowControl/>
              <w:spacing w:line="440" w:lineRule="exact"/>
              <w:jc w:val="left"/>
              <w:rPr>
                <w:rFonts w:hint="eastAsia" w:ascii="宋体" w:hAnsi="宋体" w:eastAsia="宋体" w:cs="宋体"/>
                <w:color w:val="000000"/>
                <w:kern w:val="0"/>
                <w:sz w:val="21"/>
                <w:szCs w:val="21"/>
                <w:lang w:val="en-US" w:eastAsia="zh-CN" w:bidi="ar-SA"/>
              </w:rPr>
            </w:pPr>
            <w:r>
              <w:rPr>
                <w:rFonts w:hint="eastAsia" w:ascii="宋体" w:hAnsi="宋体" w:cs="宋体"/>
                <w:color w:val="auto"/>
                <w:kern w:val="0"/>
                <w:szCs w:val="21"/>
                <w:highlight w:val="none"/>
              </w:rPr>
              <w:t>滁州市龙蟠大道房产商务大厦三楼316室、322室</w:t>
            </w:r>
            <w:r>
              <w:rPr>
                <w:rFonts w:hint="eastAsia" w:ascii="宋体" w:hAnsi="宋体" w:cs="宋体"/>
                <w:color w:val="000000"/>
                <w:kern w:val="0"/>
                <w:szCs w:val="21"/>
                <w:lang w:val="en-US" w:eastAsia="zh-CN"/>
              </w:rPr>
              <w:t xml:space="preserve"> </w:t>
            </w:r>
          </w:p>
        </w:tc>
      </w:tr>
      <w:bookmarkEnd w:id="0"/>
      <w:bookmarkEnd w:id="1"/>
      <w:bookmarkEnd w:id="2"/>
      <w:bookmarkEnd w:id="3"/>
      <w:tr w14:paraId="0262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44B640B">
            <w:pPr>
              <w:widowControl/>
              <w:spacing w:line="440" w:lineRule="exact"/>
              <w:jc w:val="center"/>
              <w:rPr>
                <w:rFonts w:hint="eastAsia" w:ascii="Times New Roman" w:hAnsi="Times New Roman" w:eastAsia="宋体" w:cs="Times New Roman"/>
                <w:bCs/>
                <w:color w:val="000000"/>
                <w:spacing w:val="-6"/>
                <w:kern w:val="2"/>
                <w:sz w:val="21"/>
                <w:szCs w:val="21"/>
                <w:lang w:val="en-US" w:eastAsia="zh-CN" w:bidi="ar-SA"/>
              </w:rPr>
            </w:pPr>
            <w:r>
              <w:rPr>
                <w:rFonts w:hint="eastAsia"/>
                <w:bCs/>
                <w:color w:val="000000"/>
                <w:spacing w:val="-6"/>
                <w:szCs w:val="21"/>
              </w:rPr>
              <w:t>招标投标行政监督部门</w:t>
            </w:r>
            <w:r>
              <w:rPr>
                <w:rFonts w:hint="eastAsia"/>
                <w:bCs/>
                <w:color w:val="000000"/>
                <w:spacing w:val="-6"/>
                <w:szCs w:val="21"/>
                <w:lang w:eastAsia="zh-CN"/>
              </w:rPr>
              <w:t>联系方式</w:t>
            </w:r>
          </w:p>
        </w:tc>
        <w:tc>
          <w:tcPr>
            <w:tcW w:w="8313" w:type="dxa"/>
            <w:shd w:val="clear" w:color="auto" w:fill="auto"/>
            <w:vAlign w:val="center"/>
          </w:tcPr>
          <w:p w14:paraId="291351EF">
            <w:pPr>
              <w:widowControl/>
              <w:spacing w:line="440" w:lineRule="exact"/>
              <w:jc w:val="left"/>
              <w:rPr>
                <w:rFonts w:hint="eastAsia" w:ascii="宋体" w:hAnsi="宋体" w:eastAsia="宋体" w:cs="宋体"/>
                <w:color w:val="000000"/>
                <w:kern w:val="0"/>
                <w:sz w:val="21"/>
                <w:szCs w:val="21"/>
                <w:lang w:val="en-US" w:eastAsia="zh-CN" w:bidi="ar-SA"/>
              </w:rPr>
            </w:pPr>
            <w:r>
              <w:rPr>
                <w:rFonts w:hint="eastAsia" w:ascii="宋体" w:hAnsi="宋体" w:cs="宋体"/>
                <w:color w:val="auto"/>
                <w:kern w:val="0"/>
                <w:szCs w:val="21"/>
                <w:highlight w:val="none"/>
                <w:lang w:val="en-US" w:eastAsia="zh-CN"/>
              </w:rPr>
              <w:t>0550-3801631、0550-3801656</w:t>
            </w:r>
            <w:r>
              <w:rPr>
                <w:rFonts w:hint="eastAsia" w:ascii="宋体" w:hAnsi="宋体" w:cs="宋体"/>
                <w:color w:val="000000"/>
                <w:kern w:val="0"/>
                <w:szCs w:val="21"/>
                <w:lang w:val="en-US" w:eastAsia="zh-CN"/>
              </w:rPr>
              <w:t xml:space="preserve"> </w:t>
            </w:r>
          </w:p>
        </w:tc>
      </w:tr>
    </w:tbl>
    <w:p w14:paraId="6AA8C89B">
      <w:pPr>
        <w:pStyle w:val="3"/>
        <w:pageBreakBefore/>
        <w:adjustRightInd w:val="0"/>
        <w:snapToGrid w:val="0"/>
        <w:spacing w:before="0" w:after="0" w:line="560" w:lineRule="exact"/>
        <w:jc w:val="center"/>
        <w:rPr>
          <w:rFonts w:hint="eastAsia"/>
          <w:color w:val="auto"/>
          <w:highlight w:val="none"/>
        </w:rPr>
      </w:pPr>
      <w:r>
        <w:rPr>
          <w:rFonts w:hint="eastAsia"/>
          <w:color w:val="auto"/>
          <w:highlight w:val="none"/>
        </w:rPr>
        <w:t>第二章 投标人须知</w:t>
      </w:r>
      <w:bookmarkEnd w:id="21"/>
      <w:bookmarkEnd w:id="22"/>
      <w:bookmarkEnd w:id="23"/>
      <w:bookmarkEnd w:id="24"/>
      <w:bookmarkEnd w:id="25"/>
      <w:bookmarkEnd w:id="26"/>
      <w:bookmarkEnd w:id="27"/>
      <w:bookmarkEnd w:id="28"/>
      <w:bookmarkEnd w:id="29"/>
      <w:bookmarkEnd w:id="30"/>
      <w:bookmarkEnd w:id="31"/>
      <w:bookmarkEnd w:id="32"/>
    </w:p>
    <w:p w14:paraId="785179E1">
      <w:pPr>
        <w:pStyle w:val="2"/>
        <w:adjustRightInd w:val="0"/>
        <w:snapToGrid w:val="0"/>
        <w:spacing w:before="0" w:after="0" w:line="560" w:lineRule="exact"/>
        <w:jc w:val="center"/>
        <w:rPr>
          <w:rFonts w:hint="eastAsia"/>
          <w:color w:val="auto"/>
          <w:highlight w:val="none"/>
        </w:rPr>
      </w:pPr>
      <w:bookmarkStart w:id="33" w:name="_Toc179632545"/>
      <w:bookmarkStart w:id="34" w:name="_Toc246996917"/>
      <w:bookmarkStart w:id="35" w:name="_Toc83301687"/>
      <w:bookmarkStart w:id="36" w:name="_Toc152042304"/>
      <w:bookmarkStart w:id="37" w:name="_Toc60061432"/>
      <w:bookmarkStart w:id="38" w:name="_Toc95223334"/>
      <w:bookmarkStart w:id="39" w:name="_Toc506107268"/>
      <w:bookmarkStart w:id="40" w:name="_Toc247085688"/>
      <w:bookmarkStart w:id="41" w:name="_Toc324404814"/>
      <w:bookmarkStart w:id="42" w:name="_Toc15058845"/>
      <w:bookmarkStart w:id="43" w:name="_Toc246996174"/>
      <w:bookmarkStart w:id="44" w:name="_Toc152045528"/>
      <w:bookmarkStart w:id="45" w:name="_Toc144974496"/>
      <w:bookmarkStart w:id="46" w:name="_Toc324404815"/>
      <w:bookmarkStart w:id="47" w:name="_Toc179632546"/>
      <w:bookmarkStart w:id="48" w:name="_Toc246996175"/>
      <w:bookmarkStart w:id="49" w:name="_Toc152045529"/>
      <w:bookmarkStart w:id="50" w:name="_Toc246996918"/>
      <w:bookmarkStart w:id="51" w:name="_Toc144974497"/>
      <w:bookmarkStart w:id="52" w:name="_Toc15058846"/>
      <w:bookmarkStart w:id="53" w:name="_Toc152042305"/>
      <w:bookmarkStart w:id="54" w:name="_Toc247085689"/>
      <w:bookmarkStart w:id="55" w:name="_Toc506107269"/>
      <w:r>
        <w:rPr>
          <w:rFonts w:hint="eastAsia"/>
          <w:color w:val="auto"/>
          <w:highlight w:val="none"/>
        </w:rPr>
        <w:t>投标人须知前附表</w:t>
      </w:r>
      <w:bookmarkEnd w:id="33"/>
      <w:bookmarkEnd w:id="34"/>
      <w:bookmarkEnd w:id="35"/>
      <w:bookmarkEnd w:id="36"/>
      <w:bookmarkEnd w:id="37"/>
      <w:bookmarkEnd w:id="38"/>
      <w:bookmarkEnd w:id="39"/>
      <w:bookmarkEnd w:id="40"/>
      <w:bookmarkEnd w:id="41"/>
      <w:bookmarkEnd w:id="42"/>
      <w:bookmarkEnd w:id="43"/>
      <w:bookmarkEnd w:id="44"/>
      <w:bookmarkEnd w:id="45"/>
    </w:p>
    <w:tbl>
      <w:tblPr>
        <w:tblStyle w:val="21"/>
        <w:tblW w:w="10175" w:type="dxa"/>
        <w:jc w:val="center"/>
        <w:tblLayout w:type="fixed"/>
        <w:tblCellMar>
          <w:top w:w="0" w:type="dxa"/>
          <w:left w:w="108" w:type="dxa"/>
          <w:bottom w:w="0" w:type="dxa"/>
          <w:right w:w="108" w:type="dxa"/>
        </w:tblCellMar>
      </w:tblPr>
      <w:tblGrid>
        <w:gridCol w:w="1016"/>
        <w:gridCol w:w="1860"/>
        <w:gridCol w:w="7299"/>
      </w:tblGrid>
      <w:tr w14:paraId="7937B584">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766B0FE">
            <w:pPr>
              <w:adjustRightInd w:val="0"/>
              <w:snapToGrid w:val="0"/>
              <w:spacing w:line="5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E1244C0">
            <w:pPr>
              <w:adjustRightInd w:val="0"/>
              <w:snapToGrid w:val="0"/>
              <w:spacing w:line="5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条  款  名  称</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DA1CC38">
            <w:pPr>
              <w:adjustRightInd w:val="0"/>
              <w:snapToGrid w:val="0"/>
              <w:spacing w:line="5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编  列  内  容</w:t>
            </w:r>
          </w:p>
        </w:tc>
      </w:tr>
      <w:tr w14:paraId="59566856">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5782758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E0FBB3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招标人</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CBBA0A8">
            <w:pPr>
              <w:pStyle w:val="38"/>
              <w:adjustRightInd w:val="0"/>
              <w:snapToGrid w:val="0"/>
              <w:spacing w:line="560" w:lineRule="exact"/>
              <w:jc w:val="left"/>
              <w:rPr>
                <w:rFonts w:hint="eastAsia" w:ascii="宋体" w:hAnsi="宋体" w:cs="宋体"/>
                <w:color w:val="auto"/>
                <w:kern w:val="2"/>
                <w:sz w:val="24"/>
                <w:szCs w:val="24"/>
                <w:highlight w:val="none"/>
              </w:rPr>
            </w:pPr>
            <w:r>
              <w:rPr>
                <w:rFonts w:hint="eastAsia" w:ascii="宋体" w:hAnsi="宋体" w:cs="宋体"/>
                <w:color w:val="auto"/>
                <w:sz w:val="24"/>
                <w:highlight w:val="none"/>
              </w:rPr>
              <w:t>见招标公告</w:t>
            </w:r>
          </w:p>
        </w:tc>
      </w:tr>
      <w:tr w14:paraId="0A014B5E">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16B312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34A4AC8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招标代理机构及其项目负责人</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38F398E">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22EDA78E">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938112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1.1.4</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0641A6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招标项目名称</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59B00B6">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311BA5CF">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5AD2E7B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1.1.5</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2A983F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建设地点</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CDED281">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381513DD">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4CF25D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1.2.1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6BE832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资金来源及出资比例</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11E51155">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见招标公告</w:t>
            </w:r>
          </w:p>
        </w:tc>
      </w:tr>
      <w:tr w14:paraId="64E83A2E">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0F80072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1.2.2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289D8B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资金落实情况</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191C560">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lang w:val="en-US" w:eastAsia="zh-CN"/>
              </w:rPr>
              <w:t>已落实</w:t>
            </w:r>
            <w:r>
              <w:rPr>
                <w:rFonts w:hint="eastAsia" w:ascii="宋体" w:hAnsi="宋体" w:cs="宋体"/>
                <w:color w:val="auto"/>
                <w:sz w:val="24"/>
                <w:highlight w:val="none"/>
              </w:rPr>
              <w:t xml:space="preserve"> </w:t>
            </w:r>
          </w:p>
        </w:tc>
      </w:tr>
      <w:tr w14:paraId="3B583621">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3F4D38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1.3.1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17F178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招标范围</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8EDF12E">
            <w:pPr>
              <w:adjustRightInd w:val="0"/>
              <w:snapToGrid w:val="0"/>
              <w:spacing w:line="560" w:lineRule="exact"/>
              <w:rPr>
                <w:rFonts w:hint="eastAsia" w:ascii="宋体" w:hAnsi="宋体" w:eastAsia="宋体" w:cs="宋体"/>
                <w:color w:val="auto"/>
                <w:sz w:val="24"/>
                <w:highlight w:val="none"/>
                <w:lang w:eastAsia="zh-CN"/>
              </w:rPr>
            </w:pPr>
            <w:r>
              <w:rPr>
                <w:rFonts w:hint="eastAsia" w:ascii="宋体" w:hAnsi="宋体" w:cs="宋体"/>
                <w:color w:val="auto"/>
                <w:sz w:val="24"/>
                <w:highlight w:val="none"/>
              </w:rPr>
              <w:t>见招标公告</w:t>
            </w:r>
            <w:r>
              <w:rPr>
                <w:rFonts w:hint="eastAsia" w:ascii="宋体" w:hAnsi="宋体" w:cs="宋体"/>
                <w:color w:val="auto"/>
                <w:sz w:val="24"/>
                <w:highlight w:val="none"/>
                <w:lang w:eastAsia="zh-CN"/>
              </w:rPr>
              <w:t>。</w:t>
            </w:r>
          </w:p>
        </w:tc>
      </w:tr>
      <w:tr w14:paraId="24D51BF5">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60BFF42">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1.3.2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F05833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计划工期</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47489CB">
            <w:pPr>
              <w:adjustRightInd w:val="0"/>
              <w:snapToGrid w:val="0"/>
              <w:spacing w:line="560" w:lineRule="exact"/>
              <w:rPr>
                <w:rFonts w:hint="eastAsia" w:ascii="宋体" w:hAnsi="宋体" w:cs="宋体"/>
                <w:b/>
                <w:color w:val="auto"/>
                <w:sz w:val="24"/>
                <w:highlight w:val="none"/>
              </w:rPr>
            </w:pPr>
            <w:r>
              <w:rPr>
                <w:rFonts w:hint="eastAsia" w:ascii="宋体" w:hAnsi="宋体" w:cs="宋体"/>
                <w:b/>
                <w:color w:val="auto"/>
                <w:sz w:val="24"/>
                <w:highlight w:val="none"/>
              </w:rPr>
              <w:t>计划工期：</w:t>
            </w:r>
            <w:r>
              <w:rPr>
                <w:rFonts w:hint="eastAsia" w:ascii="宋体" w:hAnsi="宋体" w:eastAsia="宋体" w:cs="宋体"/>
                <w:b/>
                <w:color w:val="auto"/>
                <w:sz w:val="24"/>
                <w:highlight w:val="none"/>
              </w:rPr>
              <w:t>不高于</w:t>
            </w:r>
            <w:r>
              <w:rPr>
                <w:rFonts w:hint="eastAsia" w:ascii="宋体" w:hAnsi="宋体" w:cs="宋体"/>
                <w:b/>
                <w:color w:val="auto"/>
                <w:sz w:val="24"/>
                <w:highlight w:val="none"/>
                <w:u w:val="single"/>
                <w:lang w:val="en-US" w:eastAsia="zh-CN"/>
              </w:rPr>
              <w:t xml:space="preserve"> 90</w:t>
            </w:r>
            <w:r>
              <w:rPr>
                <w:rFonts w:hint="eastAsia" w:ascii="宋体" w:hAnsi="宋体" w:eastAsia="宋体" w:cs="宋体"/>
                <w:b/>
                <w:color w:val="auto"/>
                <w:sz w:val="24"/>
                <w:highlight w:val="none"/>
              </w:rPr>
              <w:t>个日历天。</w:t>
            </w:r>
          </w:p>
          <w:p w14:paraId="2FD96DD0">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计划开工日期：具体开工日期以开工通知为准</w:t>
            </w:r>
          </w:p>
          <w:p w14:paraId="0772C865">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计划竣工日期：以最终实际要求工期为准</w:t>
            </w:r>
          </w:p>
          <w:p w14:paraId="02EA7C28">
            <w:pPr>
              <w:adjustRightInd w:val="0"/>
              <w:snapToGrid w:val="0"/>
              <w:spacing w:line="560" w:lineRule="exac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除上述总工期外，招标人还要求以下区段工期（如有）</w:t>
            </w:r>
            <w:r>
              <w:rPr>
                <w:rFonts w:hint="eastAsia" w:ascii="宋体" w:hAnsi="宋体" w:cs="宋体"/>
                <w:color w:val="auto"/>
                <w:sz w:val="24"/>
                <w:highlight w:val="none"/>
                <w:lang w:eastAsia="zh-CN"/>
              </w:rPr>
              <w:t>：</w:t>
            </w:r>
          </w:p>
          <w:p w14:paraId="6E8C0A4C">
            <w:pPr>
              <w:adjustRightInd w:val="0"/>
              <w:snapToGrid w:val="0"/>
              <w:spacing w:line="560" w:lineRule="exact"/>
              <w:rPr>
                <w:rFonts w:hint="eastAsia" w:ascii="宋体" w:hAnsi="宋体" w:cs="宋体"/>
                <w:color w:val="auto"/>
                <w:sz w:val="24"/>
                <w:highlight w:val="none"/>
              </w:rPr>
            </w:pPr>
            <w:r>
              <w:rPr>
                <w:rFonts w:hint="eastAsia" w:ascii="宋体" w:hAnsi="宋体" w:eastAsia="宋体" w:cs="宋体"/>
                <w:b/>
                <w:bCs/>
                <w:color w:val="auto"/>
                <w:sz w:val="24"/>
                <w:highlight w:val="none"/>
                <w:lang w:val="en-US" w:eastAsia="zh-CN"/>
              </w:rPr>
              <w:t>注：因承包方原因造成的工期延误，每延期一天</w:t>
            </w:r>
            <w:r>
              <w:rPr>
                <w:rFonts w:hint="eastAsia" w:ascii="宋体" w:hAnsi="宋体" w:cs="宋体"/>
                <w:b/>
                <w:bCs/>
                <w:color w:val="auto"/>
                <w:sz w:val="24"/>
                <w:highlight w:val="none"/>
                <w:lang w:val="en-US" w:eastAsia="zh-CN"/>
              </w:rPr>
              <w:t>向招标人支付10000元/天</w:t>
            </w:r>
            <w:r>
              <w:rPr>
                <w:rFonts w:hint="eastAsia" w:ascii="宋体" w:hAnsi="宋体" w:eastAsia="宋体" w:cs="宋体"/>
                <w:b/>
                <w:bCs/>
                <w:color w:val="auto"/>
                <w:sz w:val="24"/>
                <w:highlight w:val="none"/>
                <w:lang w:val="en-US" w:eastAsia="zh-CN"/>
              </w:rPr>
              <w:t>的违约金，工期提前不奖励</w:t>
            </w:r>
            <w:r>
              <w:rPr>
                <w:rFonts w:hint="eastAsia" w:ascii="宋体" w:hAnsi="宋体" w:cs="宋体"/>
                <w:b/>
                <w:bCs/>
                <w:color w:val="auto"/>
                <w:sz w:val="24"/>
                <w:highlight w:val="none"/>
                <w:lang w:eastAsia="zh-CN"/>
              </w:rPr>
              <w:t>。</w:t>
            </w:r>
          </w:p>
        </w:tc>
      </w:tr>
      <w:tr w14:paraId="0162CA23">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3BD5F987">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1.3.3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A31C19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质量要求</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2285BBA">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工程质量必须达到国家工程施工质量验收</w:t>
            </w:r>
            <w:r>
              <w:rPr>
                <w:rFonts w:hint="eastAsia" w:ascii="宋体" w:hAnsi="宋体" w:cs="宋体"/>
                <w:b/>
                <w:color w:val="auto"/>
                <w:sz w:val="24"/>
                <w:highlight w:val="none"/>
                <w:u w:val="single"/>
              </w:rPr>
              <w:t xml:space="preserve"> </w:t>
            </w:r>
            <w:r>
              <w:rPr>
                <w:rFonts w:hint="eastAsia" w:ascii="宋体" w:hAnsi="宋体" w:cs="宋体"/>
                <w:b/>
                <w:color w:val="auto"/>
                <w:sz w:val="24"/>
                <w:highlight w:val="none"/>
                <w:u w:val="single"/>
                <w:lang w:val="en-US" w:eastAsia="zh-CN"/>
              </w:rPr>
              <w:t>合格</w:t>
            </w:r>
            <w:r>
              <w:rPr>
                <w:rFonts w:hint="eastAsia" w:ascii="宋体" w:hAnsi="宋体" w:cs="宋体"/>
                <w:b/>
                <w:color w:val="auto"/>
                <w:sz w:val="24"/>
                <w:highlight w:val="none"/>
                <w:u w:val="single"/>
              </w:rPr>
              <w:t xml:space="preserve"> </w:t>
            </w:r>
            <w:r>
              <w:rPr>
                <w:rFonts w:hint="eastAsia" w:ascii="宋体" w:hAnsi="宋体" w:cs="宋体"/>
                <w:color w:val="auto"/>
                <w:sz w:val="24"/>
                <w:highlight w:val="none"/>
              </w:rPr>
              <w:t xml:space="preserve">标准。 </w:t>
            </w:r>
          </w:p>
        </w:tc>
      </w:tr>
      <w:tr w14:paraId="0E90DBF1">
        <w:tblPrEx>
          <w:tblCellMar>
            <w:top w:w="0" w:type="dxa"/>
            <w:left w:w="108" w:type="dxa"/>
            <w:bottom w:w="0" w:type="dxa"/>
            <w:right w:w="108" w:type="dxa"/>
          </w:tblCellMar>
        </w:tblPrEx>
        <w:trPr>
          <w:trHeight w:val="1232" w:hRule="atLeast"/>
          <w:jc w:val="center"/>
        </w:trPr>
        <w:tc>
          <w:tcPr>
            <w:tcW w:w="1016" w:type="dxa"/>
            <w:tcBorders>
              <w:top w:val="single" w:color="auto" w:sz="4" w:space="0"/>
              <w:left w:val="single" w:color="auto" w:sz="4" w:space="0"/>
              <w:right w:val="single" w:color="auto" w:sz="4" w:space="0"/>
            </w:tcBorders>
            <w:noWrap w:val="0"/>
            <w:vAlign w:val="center"/>
          </w:tcPr>
          <w:p w14:paraId="5CE95E05">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1.4.1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919A1ED">
            <w:pPr>
              <w:adjustRightInd w:val="0"/>
              <w:snapToGrid w:val="0"/>
              <w:spacing w:line="560" w:lineRule="exact"/>
              <w:jc w:val="center"/>
              <w:rPr>
                <w:rFonts w:hint="eastAsia" w:ascii="宋体" w:hAnsi="宋体" w:cs="宋体"/>
                <w:color w:val="auto"/>
                <w:sz w:val="24"/>
                <w:highlight w:val="none"/>
                <w:u w:val="none"/>
              </w:rPr>
            </w:pPr>
            <w:r>
              <w:rPr>
                <w:rFonts w:hint="eastAsia" w:ascii="宋体" w:hAnsi="宋体" w:cs="宋体"/>
                <w:color w:val="auto"/>
                <w:sz w:val="24"/>
                <w:highlight w:val="none"/>
                <w:u w:val="none"/>
              </w:rPr>
              <w:t>投标人资质条件、能力和信誉</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8579910">
            <w:pPr>
              <w:widowControl/>
              <w:adjustRightInd w:val="0"/>
              <w:snapToGrid w:val="0"/>
              <w:spacing w:line="560" w:lineRule="exact"/>
              <w:jc w:val="left"/>
              <w:rPr>
                <w:rFonts w:hint="eastAsia" w:ascii="宋体" w:hAnsi="宋体" w:cs="宋体"/>
                <w:color w:val="auto"/>
                <w:sz w:val="24"/>
                <w:highlight w:val="none"/>
                <w:u w:val="none"/>
              </w:rPr>
            </w:pPr>
            <w:r>
              <w:rPr>
                <w:rFonts w:hint="eastAsia" w:ascii="宋体" w:hAnsi="宋体" w:cs="宋体"/>
                <w:color w:val="auto"/>
                <w:sz w:val="24"/>
                <w:highlight w:val="none"/>
                <w:u w:val="none"/>
              </w:rPr>
              <w:t>详见招标公告</w:t>
            </w:r>
          </w:p>
        </w:tc>
      </w:tr>
      <w:tr w14:paraId="6F26DE31">
        <w:tblPrEx>
          <w:tblCellMar>
            <w:top w:w="0" w:type="dxa"/>
            <w:left w:w="108" w:type="dxa"/>
            <w:bottom w:w="0" w:type="dxa"/>
            <w:right w:w="108" w:type="dxa"/>
          </w:tblCellMar>
        </w:tblPrEx>
        <w:trPr>
          <w:trHeight w:val="683"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31EE4B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1.4.2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03E5A94">
            <w:pPr>
              <w:adjustRightInd w:val="0"/>
              <w:snapToGrid w:val="0"/>
              <w:spacing w:line="560" w:lineRule="exact"/>
              <w:jc w:val="center"/>
              <w:rPr>
                <w:rFonts w:hint="eastAsia" w:ascii="宋体" w:hAnsi="宋体" w:cs="宋体"/>
                <w:color w:val="auto"/>
                <w:spacing w:val="-4"/>
                <w:kern w:val="0"/>
                <w:sz w:val="24"/>
                <w:highlight w:val="none"/>
                <w:u w:val="none"/>
              </w:rPr>
            </w:pPr>
            <w:r>
              <w:rPr>
                <w:rFonts w:hint="eastAsia" w:ascii="宋体" w:hAnsi="宋体" w:cs="宋体"/>
                <w:color w:val="auto"/>
                <w:spacing w:val="-4"/>
                <w:kern w:val="0"/>
                <w:sz w:val="24"/>
                <w:highlight w:val="none"/>
                <w:u w:val="none"/>
              </w:rPr>
              <w:t>是否接受联合体投标</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4D4DAFE">
            <w:pPr>
              <w:pStyle w:val="10"/>
              <w:topLinePunct/>
              <w:adjustRightInd w:val="0"/>
              <w:snapToGrid w:val="0"/>
              <w:spacing w:line="560" w:lineRule="exact"/>
              <w:rPr>
                <w:rFonts w:hint="eastAsia" w:hAnsi="宋体" w:cs="宋体"/>
                <w:color w:val="auto"/>
                <w:szCs w:val="24"/>
                <w:highlight w:val="none"/>
                <w:u w:val="none"/>
              </w:rPr>
            </w:pPr>
            <w:r>
              <w:rPr>
                <w:rFonts w:hint="eastAsia" w:hAnsi="宋体" w:cs="宋体"/>
                <w:color w:val="auto"/>
                <w:szCs w:val="24"/>
                <w:highlight w:val="none"/>
                <w:u w:val="none"/>
              </w:rPr>
              <w:t>详见招标公告</w:t>
            </w:r>
          </w:p>
        </w:tc>
      </w:tr>
      <w:tr w14:paraId="1B06E17D">
        <w:tblPrEx>
          <w:tblCellMar>
            <w:top w:w="0" w:type="dxa"/>
            <w:left w:w="108" w:type="dxa"/>
            <w:bottom w:w="0" w:type="dxa"/>
            <w:right w:w="108" w:type="dxa"/>
          </w:tblCellMar>
        </w:tblPrEx>
        <w:trPr>
          <w:trHeight w:val="683"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5B67D8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1.4.3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128EF46">
            <w:pPr>
              <w:adjustRightInd w:val="0"/>
              <w:snapToGrid w:val="0"/>
              <w:spacing w:line="560" w:lineRule="exact"/>
              <w:jc w:val="center"/>
              <w:rPr>
                <w:rFonts w:hint="eastAsia" w:ascii="宋体" w:hAnsi="宋体" w:cs="宋体"/>
                <w:color w:val="auto"/>
                <w:spacing w:val="-4"/>
                <w:kern w:val="0"/>
                <w:sz w:val="24"/>
                <w:highlight w:val="none"/>
              </w:rPr>
            </w:pPr>
            <w:r>
              <w:rPr>
                <w:rFonts w:hint="eastAsia" w:ascii="宋体" w:hAnsi="宋体" w:cs="宋体"/>
                <w:color w:val="auto"/>
                <w:spacing w:val="-4"/>
                <w:kern w:val="0"/>
                <w:sz w:val="24"/>
                <w:highlight w:val="none"/>
              </w:rPr>
              <w:t>投标人不得存在的其他关联情形</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34E8FE0D">
            <w:pPr>
              <w:pStyle w:val="10"/>
              <w:topLinePunct/>
              <w:adjustRightInd w:val="0"/>
              <w:snapToGrid w:val="0"/>
              <w:spacing w:line="560" w:lineRule="exact"/>
              <w:rPr>
                <w:rFonts w:hint="eastAsia" w:hAnsi="宋体" w:cs="宋体"/>
                <w:color w:val="auto"/>
                <w:szCs w:val="24"/>
                <w:highlight w:val="none"/>
              </w:rPr>
            </w:pPr>
            <w:r>
              <w:rPr>
                <w:rFonts w:hint="eastAsia" w:hAnsi="宋体" w:cs="宋体"/>
                <w:color w:val="auto"/>
                <w:szCs w:val="24"/>
                <w:highlight w:val="none"/>
              </w:rPr>
              <w:t xml:space="preserve">详见招标公告 </w:t>
            </w:r>
          </w:p>
        </w:tc>
      </w:tr>
      <w:tr w14:paraId="1E95AAF9">
        <w:tblPrEx>
          <w:tblCellMar>
            <w:top w:w="0" w:type="dxa"/>
            <w:left w:w="108" w:type="dxa"/>
            <w:bottom w:w="0" w:type="dxa"/>
            <w:right w:w="108" w:type="dxa"/>
          </w:tblCellMar>
        </w:tblPrEx>
        <w:trPr>
          <w:trHeight w:val="683"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2447EA9">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1.9</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32519DC">
            <w:pPr>
              <w:adjustRightInd w:val="0"/>
              <w:snapToGrid w:val="0"/>
              <w:spacing w:line="560" w:lineRule="exact"/>
              <w:jc w:val="center"/>
              <w:rPr>
                <w:rFonts w:hint="eastAsia" w:ascii="宋体" w:hAnsi="宋体" w:cs="宋体"/>
                <w:color w:val="auto"/>
                <w:spacing w:val="-4"/>
                <w:kern w:val="0"/>
                <w:sz w:val="24"/>
                <w:highlight w:val="none"/>
              </w:rPr>
            </w:pPr>
            <w:r>
              <w:rPr>
                <w:rFonts w:hint="eastAsia" w:ascii="宋体" w:hAnsi="宋体" w:cs="宋体"/>
                <w:color w:val="auto"/>
                <w:spacing w:val="-4"/>
                <w:kern w:val="0"/>
                <w:sz w:val="24"/>
                <w:highlight w:val="none"/>
              </w:rPr>
              <w:t>踏勘现场</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E4802CE">
            <w:pPr>
              <w:pStyle w:val="10"/>
              <w:topLinePunct/>
              <w:adjustRightInd w:val="0"/>
              <w:snapToGrid w:val="0"/>
              <w:spacing w:line="560" w:lineRule="exact"/>
              <w:rPr>
                <w:rFonts w:hint="eastAsia" w:hAnsi="宋体" w:cs="宋体"/>
                <w:color w:val="auto"/>
                <w:szCs w:val="24"/>
                <w:highlight w:val="none"/>
              </w:rPr>
            </w:pPr>
            <w:r>
              <w:rPr>
                <w:rFonts w:hint="eastAsia" w:hAnsi="宋体" w:cs="宋体"/>
                <w:color w:val="auto"/>
                <w:spacing w:val="-4"/>
                <w:kern w:val="0"/>
                <w:szCs w:val="24"/>
                <w:highlight w:val="none"/>
              </w:rPr>
              <w:t>不组织，投标人自行组织踏勘</w:t>
            </w:r>
            <w:r>
              <w:rPr>
                <w:rFonts w:hint="eastAsia" w:hAnsi="宋体" w:cs="宋体"/>
                <w:color w:val="auto"/>
                <w:szCs w:val="24"/>
                <w:highlight w:val="none"/>
              </w:rPr>
              <w:t>。</w:t>
            </w:r>
          </w:p>
        </w:tc>
      </w:tr>
      <w:tr w14:paraId="7455166C">
        <w:tblPrEx>
          <w:tblCellMar>
            <w:top w:w="0" w:type="dxa"/>
            <w:left w:w="108" w:type="dxa"/>
            <w:bottom w:w="0" w:type="dxa"/>
            <w:right w:w="108" w:type="dxa"/>
          </w:tblCellMar>
        </w:tblPrEx>
        <w:trPr>
          <w:trHeight w:val="661"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BF01902">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1.10.1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BAD22E6">
            <w:pPr>
              <w:adjustRightInd w:val="0"/>
              <w:snapToGrid w:val="0"/>
              <w:spacing w:line="560" w:lineRule="exact"/>
              <w:jc w:val="center"/>
              <w:rPr>
                <w:rFonts w:hint="eastAsia" w:ascii="宋体" w:hAnsi="宋体" w:cs="宋体"/>
                <w:color w:val="auto"/>
                <w:spacing w:val="-4"/>
                <w:kern w:val="0"/>
                <w:sz w:val="24"/>
                <w:highlight w:val="none"/>
              </w:rPr>
            </w:pPr>
            <w:r>
              <w:rPr>
                <w:rFonts w:hint="eastAsia" w:ascii="宋体" w:hAnsi="宋体" w:cs="宋体"/>
                <w:color w:val="auto"/>
                <w:spacing w:val="-4"/>
                <w:kern w:val="0"/>
                <w:sz w:val="24"/>
                <w:highlight w:val="none"/>
              </w:rPr>
              <w:t>投标预备会</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AA801E1">
            <w:pPr>
              <w:pStyle w:val="10"/>
              <w:topLinePunct/>
              <w:adjustRightInd w:val="0"/>
              <w:snapToGrid w:val="0"/>
              <w:spacing w:line="560" w:lineRule="exact"/>
              <w:rPr>
                <w:rFonts w:hint="eastAsia" w:hAnsi="宋体" w:cs="宋体"/>
                <w:color w:val="auto"/>
                <w:szCs w:val="24"/>
                <w:highlight w:val="none"/>
              </w:rPr>
            </w:pPr>
            <w:r>
              <w:rPr>
                <w:rFonts w:hint="eastAsia" w:hAnsi="宋体" w:cs="宋体"/>
                <w:color w:val="auto"/>
                <w:szCs w:val="24"/>
                <w:highlight w:val="none"/>
                <w:u w:val="none"/>
              </w:rPr>
              <w:t>不召开。</w:t>
            </w:r>
            <w:r>
              <w:rPr>
                <w:rFonts w:hint="eastAsia" w:hAnsi="宋体" w:cs="宋体"/>
                <w:color w:val="auto"/>
                <w:szCs w:val="24"/>
                <w:highlight w:val="none"/>
              </w:rPr>
              <w:t xml:space="preserve">  </w:t>
            </w:r>
          </w:p>
        </w:tc>
      </w:tr>
      <w:tr w14:paraId="2EEFD762">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0DCD1D4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1.10.2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DD83AA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投标人在投标预备会前提出问题</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7040C44">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时间</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w:t>
            </w:r>
          </w:p>
          <w:p w14:paraId="2DC380E8">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形式</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w:t>
            </w:r>
          </w:p>
        </w:tc>
      </w:tr>
      <w:tr w14:paraId="51D64FC6">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53E28E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1.11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6FFBD4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分包</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11BC6A2">
            <w:pPr>
              <w:adjustRightInd w:val="0"/>
              <w:snapToGrid w:val="0"/>
              <w:spacing w:line="5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允许，分包内容要求：主体结构、关键性工作的范围以外的专业工程                       </w:t>
            </w:r>
          </w:p>
          <w:p w14:paraId="6BEA4DD8">
            <w:pPr>
              <w:adjustRightInd w:val="0"/>
              <w:snapToGrid w:val="0"/>
              <w:spacing w:line="5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分包金额要求：另行约定               </w:t>
            </w:r>
          </w:p>
          <w:p w14:paraId="11B9169D">
            <w:pPr>
              <w:adjustRightInd w:val="0"/>
              <w:snapToGrid w:val="0"/>
              <w:spacing w:line="56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接受分包的第三人资质要求：必须经招标人同意，且须满足分包工程的资质要求。</w:t>
            </w:r>
          </w:p>
          <w:p w14:paraId="3CA52540">
            <w:pPr>
              <w:adjustRightInd w:val="0"/>
              <w:snapToGrid w:val="0"/>
              <w:spacing w:line="560" w:lineRule="exact"/>
              <w:jc w:val="left"/>
              <w:rPr>
                <w:rFonts w:hint="eastAsia" w:ascii="宋体" w:hAnsi="宋体" w:cs="宋体"/>
                <w:color w:val="auto"/>
                <w:kern w:val="0"/>
                <w:sz w:val="24"/>
                <w:highlight w:val="none"/>
              </w:rPr>
            </w:pPr>
            <w:r>
              <w:rPr>
                <w:rFonts w:hint="eastAsia" w:ascii="宋体" w:hAnsi="宋体" w:cs="宋体"/>
                <w:b/>
                <w:bCs/>
                <w:color w:val="auto"/>
                <w:kern w:val="0"/>
                <w:sz w:val="24"/>
                <w:highlight w:val="none"/>
              </w:rPr>
              <w:t>注：允许分包的，其分包合同须报建设单位备案。</w:t>
            </w:r>
          </w:p>
        </w:tc>
      </w:tr>
      <w:tr w14:paraId="447E2BFB">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35BD5CD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2.1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F285D3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构成招标文件的其他资料</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32957186">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lang w:val="en-US" w:eastAsia="zh-CN"/>
              </w:rPr>
              <w:t>本项目</w:t>
            </w:r>
            <w:r>
              <w:rPr>
                <w:rFonts w:hint="eastAsia" w:ascii="宋体" w:hAnsi="宋体" w:cs="宋体"/>
                <w:color w:val="auto"/>
                <w:sz w:val="24"/>
                <w:highlight w:val="none"/>
              </w:rPr>
              <w:t>图纸、工程量清单、最高投标限价、澄清答疑文件（如有）</w:t>
            </w:r>
          </w:p>
        </w:tc>
      </w:tr>
      <w:tr w14:paraId="25A8D99A">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44DEA4A">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2.2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2C7E19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投标人提出异议的截止时间及方式</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727A989">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kern w:val="0"/>
                <w:sz w:val="24"/>
                <w:highlight w:val="none"/>
              </w:rPr>
              <w:t>如投标人对招标文件有异议，请于</w:t>
            </w:r>
            <w:r>
              <w:rPr>
                <w:rFonts w:hint="eastAsia" w:ascii="宋体" w:hAnsi="宋体" w:cs="宋体"/>
                <w:color w:val="auto"/>
                <w:kern w:val="0"/>
                <w:sz w:val="24"/>
                <w:highlight w:val="none"/>
                <w:lang w:val="en-US" w:eastAsia="zh-CN"/>
              </w:rPr>
              <w:t>2026</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11</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13</w:t>
            </w:r>
            <w:r>
              <w:rPr>
                <w:rFonts w:hint="eastAsia" w:ascii="宋体" w:hAnsi="宋体" w:cs="宋体"/>
                <w:color w:val="auto"/>
                <w:kern w:val="0"/>
                <w:sz w:val="24"/>
                <w:highlight w:val="none"/>
              </w:rPr>
              <w:t>日</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时</w:t>
            </w:r>
            <w:r>
              <w:rPr>
                <w:rFonts w:hint="eastAsia" w:ascii="宋体" w:hAnsi="宋体" w:cs="宋体"/>
                <w:color w:val="auto"/>
                <w:kern w:val="0"/>
                <w:sz w:val="24"/>
                <w:highlight w:val="none"/>
                <w:lang w:val="en-US" w:eastAsia="zh-CN"/>
              </w:rPr>
              <w:t>30分</w:t>
            </w:r>
            <w:r>
              <w:rPr>
                <w:rFonts w:hint="eastAsia" w:ascii="宋体" w:hAnsi="宋体" w:cs="宋体"/>
                <w:color w:val="auto"/>
                <w:kern w:val="0"/>
                <w:sz w:val="24"/>
                <w:highlight w:val="none"/>
              </w:rPr>
              <w:t>（投标截止10日）前在滁州市公共资源交易中心网电子交易系统中进行异议，具体操作步骤和程序请参见服务指南</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交易须知</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在线异议、质疑和投诉操作手册。</w:t>
            </w:r>
          </w:p>
        </w:tc>
      </w:tr>
      <w:tr w14:paraId="68B569E3">
        <w:tblPrEx>
          <w:tblCellMar>
            <w:top w:w="0" w:type="dxa"/>
            <w:left w:w="108" w:type="dxa"/>
            <w:bottom w:w="0" w:type="dxa"/>
            <w:right w:w="108" w:type="dxa"/>
          </w:tblCellMar>
        </w:tblPrEx>
        <w:trPr>
          <w:trHeight w:val="1196"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DB939D2">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2.3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D330DA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招标人澄清的时间及方式</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C2F1F1D">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11</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16</w:t>
            </w:r>
            <w:r>
              <w:rPr>
                <w:rFonts w:hint="eastAsia" w:ascii="宋体" w:hAnsi="宋体" w:cs="宋体"/>
                <w:color w:val="auto"/>
                <w:sz w:val="24"/>
                <w:highlight w:val="none"/>
              </w:rPr>
              <w:t>日</w:t>
            </w:r>
            <w:r>
              <w:rPr>
                <w:rFonts w:hint="eastAsia" w:ascii="宋体" w:hAnsi="宋体" w:cs="宋体"/>
                <w:color w:val="auto"/>
                <w:sz w:val="24"/>
                <w:highlight w:val="none"/>
                <w:u w:val="single"/>
              </w:rPr>
              <w:t>17</w:t>
            </w:r>
            <w:r>
              <w:rPr>
                <w:rFonts w:hint="eastAsia" w:ascii="宋体" w:hAnsi="宋体" w:cs="宋体"/>
                <w:color w:val="auto"/>
                <w:sz w:val="24"/>
                <w:highlight w:val="none"/>
              </w:rPr>
              <w:t>时前</w:t>
            </w:r>
            <w:r>
              <w:rPr>
                <w:rFonts w:hint="eastAsia" w:ascii="宋体" w:hAnsi="宋体" w:cs="宋体"/>
                <w:color w:val="auto"/>
                <w:kern w:val="0"/>
                <w:sz w:val="24"/>
                <w:highlight w:val="none"/>
              </w:rPr>
              <w:t>在滁州市公共资源交易中心网站</w:t>
            </w:r>
            <w:r>
              <w:rPr>
                <w:rFonts w:hint="eastAsia" w:ascii="宋体" w:hAnsi="宋体" w:cs="宋体"/>
                <w:color w:val="auto"/>
                <w:sz w:val="24"/>
                <w:highlight w:val="none"/>
              </w:rPr>
              <w:t xml:space="preserve"> “答疑澄清文件”栏目予以公告</w:t>
            </w:r>
            <w:r>
              <w:rPr>
                <w:rFonts w:hint="eastAsia" w:ascii="宋体" w:hAnsi="宋体" w:cs="宋体"/>
                <w:color w:val="auto"/>
                <w:kern w:val="0"/>
                <w:sz w:val="24"/>
                <w:highlight w:val="none"/>
              </w:rPr>
              <w:t>。</w:t>
            </w:r>
          </w:p>
        </w:tc>
      </w:tr>
      <w:tr w14:paraId="63BCA78D">
        <w:tblPrEx>
          <w:tblCellMar>
            <w:top w:w="0" w:type="dxa"/>
            <w:left w:w="108" w:type="dxa"/>
            <w:bottom w:w="0" w:type="dxa"/>
            <w:right w:w="108" w:type="dxa"/>
          </w:tblCellMar>
        </w:tblPrEx>
        <w:trPr>
          <w:trHeight w:val="681"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55118E8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3.2.1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2F34F30">
            <w:pPr>
              <w:adjustRightInd w:val="0"/>
              <w:snapToGrid w:val="0"/>
              <w:spacing w:line="560" w:lineRule="exact"/>
              <w:jc w:val="center"/>
              <w:rPr>
                <w:rFonts w:hint="eastAsia" w:ascii="宋体" w:hAnsi="宋体" w:cs="宋体"/>
                <w:color w:val="auto"/>
                <w:sz w:val="24"/>
                <w:highlight w:val="none"/>
              </w:rPr>
            </w:pPr>
            <w:r>
              <w:rPr>
                <w:rFonts w:hint="eastAsia"/>
                <w:color w:val="auto"/>
                <w:sz w:val="24"/>
                <w:highlight w:val="none"/>
              </w:rPr>
              <w:t>增值税税金</w:t>
            </w:r>
          </w:p>
        </w:tc>
        <w:tc>
          <w:tcPr>
            <w:tcW w:w="7299" w:type="dxa"/>
            <w:tcBorders>
              <w:top w:val="single" w:color="auto" w:sz="4" w:space="0"/>
              <w:left w:val="single" w:color="auto" w:sz="4" w:space="0"/>
              <w:bottom w:val="single" w:color="auto" w:sz="4" w:space="0"/>
              <w:right w:val="single" w:color="auto" w:sz="4" w:space="0"/>
            </w:tcBorders>
            <w:noWrap w:val="0"/>
            <w:vAlign w:val="top"/>
          </w:tcPr>
          <w:p w14:paraId="07FF2B2E">
            <w:pPr>
              <w:adjustRightInd w:val="0"/>
              <w:snapToGrid w:val="0"/>
              <w:spacing w:line="560" w:lineRule="exact"/>
              <w:rPr>
                <w:rFonts w:hint="eastAsia"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（1）计税方法：一般计税方法</w:t>
            </w:r>
          </w:p>
          <w:p w14:paraId="64C6E1DF">
            <w:pPr>
              <w:adjustRightInd w:val="0"/>
              <w:snapToGrid w:val="0"/>
              <w:spacing w:line="560" w:lineRule="exact"/>
              <w:rPr>
                <w:rFonts w:hint="eastAsia" w:ascii="宋体" w:hAnsi="宋体" w:cs="宋体"/>
                <w:bCs/>
                <w:snapToGrid w:val="0"/>
                <w:color w:val="auto"/>
                <w:kern w:val="0"/>
                <w:sz w:val="24"/>
                <w:highlight w:val="none"/>
                <w:u w:val="single"/>
              </w:rPr>
            </w:pPr>
            <w:r>
              <w:rPr>
                <w:rFonts w:hint="eastAsia" w:ascii="宋体" w:hAnsi="宋体" w:cs="宋体"/>
                <w:bCs/>
                <w:snapToGrid w:val="0"/>
                <w:color w:val="auto"/>
                <w:kern w:val="0"/>
                <w:sz w:val="24"/>
                <w:highlight w:val="none"/>
              </w:rPr>
              <w:t>（2）发票类型：增值税专用发票</w:t>
            </w:r>
          </w:p>
          <w:p w14:paraId="4D3E4330">
            <w:pPr>
              <w:numPr>
                <w:ilvl w:val="0"/>
                <w:numId w:val="1"/>
              </w:numPr>
              <w:adjustRightInd w:val="0"/>
              <w:snapToGrid w:val="0"/>
              <w:spacing w:line="560" w:lineRule="exact"/>
              <w:rPr>
                <w:rFonts w:hint="eastAsia"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增值税税率按照国家有关规定执行。</w:t>
            </w:r>
          </w:p>
          <w:p w14:paraId="5F17B608">
            <w:pPr>
              <w:pStyle w:val="10"/>
              <w:topLinePunct/>
              <w:adjustRightInd w:val="0"/>
              <w:snapToGrid w:val="0"/>
              <w:spacing w:line="560" w:lineRule="exact"/>
              <w:ind w:firstLine="600" w:firstLineChars="250"/>
              <w:rPr>
                <w:rFonts w:hint="eastAsia" w:hAnsi="宋体" w:cs="宋体"/>
                <w:color w:val="auto"/>
                <w:kern w:val="0"/>
                <w:szCs w:val="24"/>
                <w:highlight w:val="none"/>
              </w:rPr>
            </w:pPr>
            <w:r>
              <w:rPr>
                <w:rFonts w:hint="eastAsia" w:hAnsi="宋体" w:cs="宋体"/>
                <w:bCs/>
                <w:snapToGrid w:val="0"/>
                <w:color w:val="auto"/>
                <w:kern w:val="0"/>
                <w:szCs w:val="24"/>
                <w:highlight w:val="none"/>
                <w:lang w:eastAsia="zh-CN"/>
              </w:rPr>
              <w:t>其他</w:t>
            </w:r>
            <w:r>
              <w:rPr>
                <w:rFonts w:hint="eastAsia" w:hAnsi="宋体" w:cs="宋体"/>
                <w:bCs/>
                <w:snapToGrid w:val="0"/>
                <w:color w:val="auto"/>
                <w:kern w:val="0"/>
                <w:szCs w:val="24"/>
                <w:highlight w:val="none"/>
              </w:rPr>
              <w:t>：</w:t>
            </w:r>
            <w:r>
              <w:rPr>
                <w:rFonts w:hint="eastAsia" w:hAnsi="宋体" w:cs="宋体"/>
                <w:bCs/>
                <w:snapToGrid w:val="0"/>
                <w:color w:val="auto"/>
                <w:kern w:val="0"/>
                <w:szCs w:val="24"/>
                <w:highlight w:val="none"/>
                <w:u w:val="single"/>
              </w:rPr>
              <w:t xml:space="preserve">   </w:t>
            </w:r>
            <w:r>
              <w:rPr>
                <w:rFonts w:hint="eastAsia" w:hAnsi="宋体" w:cs="宋体"/>
                <w:bCs/>
                <w:snapToGrid w:val="0"/>
                <w:color w:val="auto"/>
                <w:kern w:val="0"/>
                <w:szCs w:val="24"/>
                <w:highlight w:val="none"/>
                <w:u w:val="single"/>
                <w:lang w:val="en-US" w:eastAsia="zh-CN"/>
              </w:rPr>
              <w:t>/</w:t>
            </w:r>
            <w:r>
              <w:rPr>
                <w:rFonts w:hint="eastAsia" w:hAnsi="宋体" w:cs="宋体"/>
                <w:bCs/>
                <w:snapToGrid w:val="0"/>
                <w:color w:val="auto"/>
                <w:kern w:val="0"/>
                <w:szCs w:val="24"/>
                <w:highlight w:val="none"/>
                <w:u w:val="single"/>
              </w:rPr>
              <w:t xml:space="preserve">       </w:t>
            </w:r>
            <w:r>
              <w:rPr>
                <w:rFonts w:hint="eastAsia" w:hAnsi="宋体" w:cs="宋体"/>
                <w:bCs/>
                <w:snapToGrid w:val="0"/>
                <w:color w:val="auto"/>
                <w:kern w:val="0"/>
                <w:szCs w:val="24"/>
                <w:highlight w:val="none"/>
              </w:rPr>
              <w:t xml:space="preserve"> 。</w:t>
            </w:r>
          </w:p>
        </w:tc>
      </w:tr>
      <w:tr w14:paraId="3C34017B">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9A2D1C4">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3.2.4</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EF6CDE1">
            <w:pPr>
              <w:adjustRightInd w:val="0"/>
              <w:snapToGrid w:val="0"/>
              <w:spacing w:line="560" w:lineRule="exact"/>
              <w:jc w:val="center"/>
              <w:rPr>
                <w:rFonts w:hint="eastAsia" w:ascii="宋体" w:hAnsi="宋体" w:eastAsia="宋体" w:cs="宋体"/>
                <w:color w:val="auto"/>
                <w:sz w:val="24"/>
                <w:highlight w:val="none"/>
                <w:lang w:eastAsia="zh-CN"/>
              </w:rPr>
            </w:pPr>
            <w:r>
              <w:rPr>
                <w:rFonts w:hint="eastAsia" w:ascii="宋体" w:hAnsi="宋体" w:cs="宋体"/>
                <w:b/>
                <w:bCs/>
                <w:color w:val="auto"/>
                <w:sz w:val="24"/>
                <w:highlight w:val="none"/>
              </w:rPr>
              <w:t>最高投标限价</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C470B73">
            <w:pPr>
              <w:adjustRightInd w:val="0"/>
              <w:snapToGrid w:val="0"/>
              <w:spacing w:line="560" w:lineRule="exact"/>
              <w:rPr>
                <w:rFonts w:hint="eastAsia" w:ascii="宋体" w:hAnsi="宋体" w:cs="宋体"/>
                <w:b/>
                <w:color w:val="auto"/>
                <w:sz w:val="24"/>
                <w:highlight w:val="none"/>
                <w:u w:val="single"/>
              </w:rPr>
            </w:pPr>
            <w:r>
              <w:rPr>
                <w:rFonts w:hint="eastAsia" w:ascii="宋体" w:hAnsi="宋体" w:cs="宋体"/>
                <w:bCs/>
                <w:color w:val="auto"/>
                <w:sz w:val="24"/>
                <w:highlight w:val="none"/>
                <w:u w:val="none"/>
              </w:rPr>
              <w:t>有</w:t>
            </w:r>
            <w:r>
              <w:rPr>
                <w:rFonts w:hint="eastAsia" w:ascii="宋体" w:hAnsi="宋体" w:cs="宋体"/>
                <w:bCs/>
                <w:color w:val="auto"/>
                <w:sz w:val="24"/>
                <w:highlight w:val="none"/>
              </w:rPr>
              <w:t>，</w:t>
            </w:r>
            <w:r>
              <w:rPr>
                <w:rFonts w:hint="eastAsia" w:ascii="宋体" w:hAnsi="宋体" w:cs="宋体"/>
                <w:color w:val="auto"/>
                <w:sz w:val="24"/>
                <w:highlight w:val="none"/>
              </w:rPr>
              <w:t>公布的最高投标限价：</w:t>
            </w:r>
            <w:r>
              <w:rPr>
                <w:rFonts w:hint="eastAsia" w:ascii="宋体" w:hAnsi="宋体" w:cs="宋体"/>
                <w:color w:val="auto"/>
                <w:sz w:val="24"/>
                <w:highlight w:val="none"/>
                <w:u w:val="single"/>
              </w:rPr>
              <w:t>57244156.85元</w:t>
            </w:r>
            <w:r>
              <w:rPr>
                <w:rFonts w:hint="eastAsia" w:ascii="宋体" w:hAnsi="宋体" w:cs="宋体"/>
                <w:color w:val="auto"/>
                <w:sz w:val="24"/>
                <w:highlight w:val="none"/>
              </w:rPr>
              <w:t>。</w:t>
            </w:r>
          </w:p>
          <w:p w14:paraId="1C49B6AB">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发布时间：</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30</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17</w:t>
            </w:r>
            <w:r>
              <w:rPr>
                <w:rFonts w:hint="eastAsia" w:ascii="宋体" w:hAnsi="宋体" w:cs="宋体"/>
                <w:color w:val="auto"/>
                <w:sz w:val="24"/>
                <w:highlight w:val="none"/>
              </w:rPr>
              <w:t>时前。</w:t>
            </w:r>
          </w:p>
          <w:p w14:paraId="262C245D">
            <w:pPr>
              <w:adjustRightInd w:val="0"/>
              <w:snapToGrid w:val="0"/>
              <w:spacing w:line="560" w:lineRule="exact"/>
              <w:rPr>
                <w:rFonts w:hint="eastAsia" w:ascii="宋体" w:hAnsi="宋体" w:cs="宋体"/>
                <w:b/>
                <w:color w:val="auto"/>
                <w:sz w:val="24"/>
                <w:highlight w:val="none"/>
              </w:rPr>
            </w:pPr>
            <w:r>
              <w:rPr>
                <w:rFonts w:hint="eastAsia" w:ascii="宋体" w:hAnsi="宋体" w:cs="宋体"/>
                <w:b/>
                <w:bCs/>
                <w:color w:val="auto"/>
                <w:sz w:val="24"/>
                <w:highlight w:val="none"/>
              </w:rPr>
              <w:t>发布媒介：</w:t>
            </w:r>
            <w:r>
              <w:rPr>
                <w:rFonts w:hint="eastAsia" w:ascii="宋体" w:hAnsi="宋体" w:cs="宋体"/>
                <w:b/>
                <w:bCs/>
                <w:color w:val="auto"/>
                <w:kern w:val="0"/>
                <w:sz w:val="24"/>
                <w:highlight w:val="none"/>
              </w:rPr>
              <w:t>滁州市公共资源交易中心网站。</w:t>
            </w:r>
          </w:p>
        </w:tc>
      </w:tr>
      <w:tr w14:paraId="24277762">
        <w:tblPrEx>
          <w:tblCellMar>
            <w:top w:w="0" w:type="dxa"/>
            <w:left w:w="108" w:type="dxa"/>
            <w:bottom w:w="0" w:type="dxa"/>
            <w:right w:w="108" w:type="dxa"/>
          </w:tblCellMar>
        </w:tblPrEx>
        <w:trPr>
          <w:trHeight w:val="681"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BE3993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3.2.5</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028B05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投标报价的</w:t>
            </w:r>
          </w:p>
          <w:p w14:paraId="05C48B6A">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其他要求</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558CC3E">
            <w:pPr>
              <w:pStyle w:val="10"/>
              <w:topLinePunct/>
              <w:adjustRightInd w:val="0"/>
              <w:snapToGrid w:val="0"/>
              <w:spacing w:line="560" w:lineRule="exact"/>
              <w:rPr>
                <w:rFonts w:hint="default" w:hAnsi="宋体" w:cs="宋体"/>
                <w:color w:val="auto"/>
                <w:kern w:val="0"/>
                <w:szCs w:val="24"/>
                <w:highlight w:val="none"/>
                <w:lang w:val="en-US"/>
              </w:rPr>
            </w:pPr>
            <w:r>
              <w:rPr>
                <w:rFonts w:hint="eastAsia" w:hAnsi="宋体" w:cs="宋体"/>
                <w:color w:val="auto"/>
                <w:kern w:val="0"/>
                <w:szCs w:val="24"/>
                <w:highlight w:val="none"/>
                <w:lang w:val="en-US" w:eastAsia="zh-CN"/>
              </w:rPr>
              <w:t xml:space="preserve"> 无</w:t>
            </w:r>
          </w:p>
        </w:tc>
      </w:tr>
      <w:tr w14:paraId="72A2F12E">
        <w:tblPrEx>
          <w:tblCellMar>
            <w:top w:w="0" w:type="dxa"/>
            <w:left w:w="108" w:type="dxa"/>
            <w:bottom w:w="0" w:type="dxa"/>
            <w:right w:w="108" w:type="dxa"/>
          </w:tblCellMar>
        </w:tblPrEx>
        <w:trPr>
          <w:trHeight w:val="681"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16C516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3.3.1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0DD7F6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投标有效期</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E14E83A">
            <w:pPr>
              <w:pStyle w:val="10"/>
              <w:topLinePunct/>
              <w:adjustRightInd w:val="0"/>
              <w:snapToGrid w:val="0"/>
              <w:spacing w:line="560" w:lineRule="exact"/>
              <w:rPr>
                <w:rFonts w:hint="eastAsia" w:hAnsi="宋体" w:cs="宋体"/>
                <w:color w:val="auto"/>
                <w:kern w:val="0"/>
                <w:szCs w:val="24"/>
                <w:highlight w:val="none"/>
              </w:rPr>
            </w:pPr>
            <w:r>
              <w:rPr>
                <w:rFonts w:hint="eastAsia" w:hAnsi="宋体" w:cs="宋体"/>
                <w:color w:val="auto"/>
                <w:kern w:val="0"/>
                <w:szCs w:val="24"/>
                <w:highlight w:val="none"/>
              </w:rPr>
              <w:t>自投标人递交投标文件截止之日起计算</w:t>
            </w:r>
            <w:r>
              <w:rPr>
                <w:rFonts w:hint="eastAsia" w:hAnsi="宋体" w:cs="宋体"/>
                <w:color w:val="auto"/>
                <w:kern w:val="0"/>
                <w:szCs w:val="24"/>
                <w:highlight w:val="none"/>
                <w:lang w:val="en-US" w:eastAsia="zh-CN"/>
              </w:rPr>
              <w:t>90</w:t>
            </w:r>
            <w:r>
              <w:rPr>
                <w:rFonts w:hint="eastAsia" w:hAnsi="宋体" w:cs="宋体"/>
                <w:color w:val="auto"/>
                <w:kern w:val="0"/>
                <w:szCs w:val="24"/>
                <w:highlight w:val="none"/>
              </w:rPr>
              <w:t>日历天。在此期限内，凡符合本招标文件要求的投标文件均保持有效。</w:t>
            </w:r>
          </w:p>
        </w:tc>
      </w:tr>
      <w:tr w14:paraId="3E2229B5">
        <w:tblPrEx>
          <w:tblCellMar>
            <w:top w:w="0" w:type="dxa"/>
            <w:left w:w="108" w:type="dxa"/>
            <w:bottom w:w="0" w:type="dxa"/>
            <w:right w:w="108" w:type="dxa"/>
          </w:tblCellMar>
        </w:tblPrEx>
        <w:trPr>
          <w:trHeight w:val="647"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4E9559E">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3.4.1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A565EB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投标保证金</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1A8B91A8">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详见招标公告。</w:t>
            </w:r>
          </w:p>
        </w:tc>
      </w:tr>
      <w:tr w14:paraId="7C98FF6C">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F8DFE5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3.5.1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EBC657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snapToGrid w:val="0"/>
                <w:color w:val="auto"/>
                <w:kern w:val="0"/>
                <w:sz w:val="24"/>
                <w:highlight w:val="none"/>
                <w:shd w:val="clear" w:color="auto" w:fill="FFFFFF"/>
              </w:rPr>
              <w:t>施工组织设计编制的特殊要求</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842A255">
            <w:pPr>
              <w:adjustRightInd w:val="0"/>
              <w:snapToGrid w:val="0"/>
              <w:spacing w:line="560" w:lineRule="exact"/>
              <w:rPr>
                <w:rFonts w:hint="default" w:ascii="宋体" w:hAnsi="宋体" w:eastAsia="宋体" w:cs="宋体"/>
                <w:snapToGrid w:val="0"/>
                <w:color w:val="auto"/>
                <w:kern w:val="0"/>
                <w:sz w:val="24"/>
                <w:highlight w:val="none"/>
                <w:u w:val="single"/>
                <w:shd w:val="clear" w:color="auto" w:fill="FFFFFF"/>
                <w:lang w:val="en-US" w:eastAsia="zh-CN"/>
              </w:rPr>
            </w:pPr>
            <w:r>
              <w:rPr>
                <w:rFonts w:hint="eastAsia" w:ascii="宋体" w:hAnsi="宋体" w:cs="宋体"/>
                <w:b/>
                <w:snapToGrid w:val="0"/>
                <w:color w:val="auto"/>
                <w:kern w:val="0"/>
                <w:sz w:val="24"/>
                <w:highlight w:val="none"/>
                <w:shd w:val="clear" w:color="auto" w:fill="FFFFFF"/>
              </w:rPr>
              <w:t>（1）本招标项目重点难点：</w:t>
            </w:r>
            <w:r>
              <w:rPr>
                <w:rFonts w:hint="eastAsia" w:ascii="宋体" w:hAnsi="宋体" w:eastAsia="宋体" w:cs="宋体"/>
                <w:b/>
                <w:snapToGrid w:val="0"/>
                <w:color w:val="auto"/>
                <w:kern w:val="0"/>
                <w:sz w:val="24"/>
                <w:highlight w:val="none"/>
                <w:u w:val="single"/>
                <w:shd w:val="clear" w:color="auto" w:fill="FFFFFF"/>
                <w:lang w:val="en-US" w:eastAsia="zh-CN"/>
              </w:rPr>
              <w:t>本项目主要为土建工程和机电工程两个部分，因机电工程具有大量机电设备需要购置，投标人须充分考虑本项目工期节点，落实项目进度，保障在规定工期内完成本项目所有工程施工。</w:t>
            </w:r>
          </w:p>
          <w:p w14:paraId="09B8B244">
            <w:pPr>
              <w:adjustRightInd w:val="0"/>
              <w:snapToGrid w:val="0"/>
              <w:spacing w:line="560" w:lineRule="exact"/>
              <w:rPr>
                <w:rFonts w:hint="eastAsia" w:ascii="宋体" w:hAnsi="宋体" w:cs="宋体"/>
                <w:snapToGrid w:val="0"/>
                <w:color w:val="auto"/>
                <w:kern w:val="0"/>
                <w:sz w:val="24"/>
                <w:highlight w:val="none"/>
                <w:shd w:val="clear" w:color="auto" w:fill="FFFFFF"/>
              </w:rPr>
            </w:pPr>
            <w:r>
              <w:rPr>
                <w:rFonts w:hint="eastAsia" w:ascii="宋体" w:hAnsi="宋体" w:cs="宋体"/>
                <w:snapToGrid w:val="0"/>
                <w:color w:val="auto"/>
                <w:kern w:val="0"/>
                <w:sz w:val="24"/>
                <w:highlight w:val="none"/>
                <w:shd w:val="clear" w:color="auto" w:fill="FFFFFF"/>
              </w:rPr>
              <w:t>（注：本项内容与施工组织设计重难点评审相对应，投标人必须在施工组织设计中全面重点阐述）</w:t>
            </w:r>
          </w:p>
          <w:p w14:paraId="21EB8DAE">
            <w:pPr>
              <w:adjustRightInd w:val="0"/>
              <w:snapToGrid w:val="0"/>
              <w:spacing w:line="560" w:lineRule="exact"/>
              <w:rPr>
                <w:rFonts w:hint="default" w:ascii="宋体" w:hAnsi="宋体" w:cs="宋体"/>
                <w:snapToGrid w:val="0"/>
                <w:color w:val="auto"/>
                <w:kern w:val="0"/>
                <w:sz w:val="24"/>
                <w:highlight w:val="none"/>
                <w:shd w:val="clear" w:color="auto" w:fill="FFFFFF"/>
                <w:lang w:val="en-US"/>
              </w:rPr>
            </w:pPr>
            <w:r>
              <w:rPr>
                <w:rFonts w:hint="eastAsia" w:ascii="宋体" w:hAnsi="宋体" w:cs="宋体"/>
                <w:b/>
                <w:snapToGrid w:val="0"/>
                <w:color w:val="auto"/>
                <w:kern w:val="0"/>
                <w:sz w:val="24"/>
                <w:highlight w:val="none"/>
                <w:shd w:val="clear" w:color="auto" w:fill="FFFFFF"/>
              </w:rPr>
              <w:t>（2）本招标项目危险性较大的分部分项工程清单：</w:t>
            </w:r>
            <w:r>
              <w:rPr>
                <w:rFonts w:hint="eastAsia" w:ascii="宋体" w:hAnsi="宋体" w:eastAsia="宋体" w:cs="宋体"/>
                <w:b/>
                <w:snapToGrid w:val="0"/>
                <w:color w:val="auto"/>
                <w:kern w:val="0"/>
                <w:sz w:val="24"/>
                <w:highlight w:val="none"/>
                <w:u w:val="single"/>
                <w:shd w:val="clear" w:color="auto" w:fill="FFFFFF"/>
                <w:lang w:val="en-US" w:eastAsia="zh-CN"/>
              </w:rPr>
              <w:t>包括但不限于起重吊装及起重机械安装拆卸工程，由投标人根据提供的技术资料和现场情况自行考虑。施工单位在投标时补充完善危大工程清单并明确相应的安全管理措施</w:t>
            </w:r>
            <w:r>
              <w:rPr>
                <w:rFonts w:hint="eastAsia" w:ascii="宋体" w:hAnsi="宋体" w:cs="宋体"/>
                <w:b/>
                <w:snapToGrid w:val="0"/>
                <w:color w:val="auto"/>
                <w:kern w:val="0"/>
                <w:sz w:val="24"/>
                <w:highlight w:val="none"/>
                <w:u w:val="single"/>
                <w:shd w:val="clear" w:color="auto" w:fill="FFFFFF"/>
                <w:lang w:val="en-US" w:eastAsia="zh-CN"/>
              </w:rPr>
              <w:t>。</w:t>
            </w:r>
          </w:p>
        </w:tc>
      </w:tr>
      <w:tr w14:paraId="5F2621E0">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57FF6077">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3.5.8</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D323D39">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投标文件份数</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DEE1B73">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加密电子投标文件应在投标截止时间前通过交易中心电子交易系统上传。</w:t>
            </w:r>
            <w:r>
              <w:rPr>
                <w:rFonts w:hint="eastAsia" w:ascii="宋体" w:hAnsi="宋体" w:cs="宋体"/>
                <w:b/>
                <w:color w:val="auto"/>
                <w:kern w:val="0"/>
                <w:sz w:val="24"/>
                <w:highlight w:val="none"/>
              </w:rPr>
              <w:t>（投标人中标后须递交与网上电子投标文件完全一致的纸质版投标文件，并按要求加盖单</w:t>
            </w:r>
            <w:r>
              <w:rPr>
                <w:rFonts w:hint="eastAsia" w:ascii="宋体" w:hAnsi="宋体" w:cs="宋体"/>
                <w:b/>
                <w:color w:val="auto"/>
                <w:kern w:val="0"/>
                <w:sz w:val="24"/>
                <w:highlight w:val="none"/>
                <w:lang w:eastAsia="zh-CN"/>
              </w:rPr>
              <w:t>位公</w:t>
            </w:r>
            <w:r>
              <w:rPr>
                <w:rFonts w:hint="eastAsia" w:ascii="宋体" w:hAnsi="宋体" w:cs="宋体"/>
                <w:b/>
                <w:color w:val="auto"/>
                <w:kern w:val="0"/>
                <w:sz w:val="24"/>
                <w:highlight w:val="none"/>
              </w:rPr>
              <w:t>章；份数：正本</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u w:val="single"/>
                <w:lang w:val="en-US" w:eastAsia="zh-CN"/>
              </w:rPr>
              <w:t>一</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rPr>
              <w:t>份，副本</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u w:val="single"/>
                <w:lang w:val="en-US" w:eastAsia="zh-CN"/>
              </w:rPr>
              <w:t>一</w:t>
            </w:r>
            <w:r>
              <w:rPr>
                <w:rFonts w:hint="eastAsia" w:ascii="宋体" w:hAnsi="宋体" w:cs="宋体"/>
                <w:b/>
                <w:color w:val="auto"/>
                <w:kern w:val="0"/>
                <w:sz w:val="24"/>
                <w:highlight w:val="none"/>
                <w:u w:val="single"/>
              </w:rPr>
              <w:t xml:space="preserve"> </w:t>
            </w:r>
            <w:r>
              <w:rPr>
                <w:rFonts w:hint="eastAsia" w:ascii="宋体" w:hAnsi="宋体" w:cs="宋体"/>
                <w:b/>
                <w:color w:val="auto"/>
                <w:kern w:val="0"/>
                <w:sz w:val="24"/>
                <w:highlight w:val="none"/>
              </w:rPr>
              <w:t>份；中标人领取中标通知书时，一并递交给招标代理机构）。</w:t>
            </w:r>
          </w:p>
        </w:tc>
      </w:tr>
      <w:tr w14:paraId="0608B580">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5BA6BF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3.6.1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549DC4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是否允许递交备选投标方案</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985EF5F">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u w:val="none"/>
              </w:rPr>
              <w:t>不允许。</w:t>
            </w:r>
          </w:p>
        </w:tc>
      </w:tr>
      <w:tr w14:paraId="7698C266">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B4A22A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4.3.2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18232A7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是否退还投标文件</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79FCB74">
            <w:pPr>
              <w:adjustRightInd w:val="0"/>
              <w:snapToGrid w:val="0"/>
              <w:spacing w:line="560" w:lineRule="exact"/>
              <w:rPr>
                <w:rFonts w:hint="eastAsia" w:ascii="宋体" w:hAnsi="宋体" w:cs="宋体"/>
                <w:color w:val="auto"/>
                <w:sz w:val="24"/>
                <w:highlight w:val="none"/>
                <w:u w:val="single"/>
              </w:rPr>
            </w:pPr>
            <w:r>
              <w:rPr>
                <w:rFonts w:hint="eastAsia" w:ascii="宋体" w:hAnsi="宋体" w:cs="宋体"/>
                <w:color w:val="auto"/>
                <w:sz w:val="24"/>
                <w:highlight w:val="none"/>
                <w:u w:val="none"/>
              </w:rPr>
              <w:t>否</w:t>
            </w:r>
          </w:p>
        </w:tc>
      </w:tr>
      <w:tr w14:paraId="150F2BAE">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0252BB5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5.1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7602E7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开标时间和地点</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FBDD87C">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开标时间：同投标截止时间</w:t>
            </w:r>
          </w:p>
          <w:p w14:paraId="4599A306">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开标地点：见招标公告</w:t>
            </w:r>
          </w:p>
        </w:tc>
      </w:tr>
      <w:tr w14:paraId="6C861EC9">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08154C5">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5.2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A14E5D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开标程序</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EFA1DAC">
            <w:pPr>
              <w:adjustRightInd w:val="0"/>
              <w:snapToGrid w:val="0"/>
              <w:spacing w:line="560" w:lineRule="exact"/>
              <w:rPr>
                <w:rFonts w:hint="eastAsia" w:ascii="宋体" w:hAnsi="宋体" w:cs="宋体"/>
                <w:bCs/>
                <w:snapToGrid w:val="0"/>
                <w:color w:val="auto"/>
                <w:kern w:val="0"/>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解密时间：解密程序开始后</w:t>
            </w:r>
            <w:r>
              <w:rPr>
                <w:rFonts w:hint="eastAsia" w:ascii="宋体" w:hAnsi="宋体" w:cs="宋体"/>
                <w:color w:val="auto"/>
                <w:sz w:val="24"/>
                <w:highlight w:val="none"/>
                <w:u w:val="single"/>
              </w:rPr>
              <w:t>60</w:t>
            </w:r>
            <w:r>
              <w:rPr>
                <w:rFonts w:hint="eastAsia" w:ascii="宋体" w:hAnsi="宋体" w:cs="宋体"/>
                <w:color w:val="auto"/>
                <w:sz w:val="24"/>
                <w:highlight w:val="none"/>
              </w:rPr>
              <w:t>分钟内</w:t>
            </w:r>
            <w:r>
              <w:rPr>
                <w:rFonts w:hint="eastAsia" w:ascii="宋体" w:hAnsi="宋体" w:cs="宋体"/>
                <w:bCs/>
                <w:snapToGrid w:val="0"/>
                <w:color w:val="auto"/>
                <w:kern w:val="0"/>
                <w:sz w:val="24"/>
                <w:highlight w:val="none"/>
              </w:rPr>
              <w:t>（以电子交易系统解密倒计时为准），</w:t>
            </w:r>
            <w:r>
              <w:rPr>
                <w:rFonts w:hint="eastAsia" w:ascii="宋体" w:hAnsi="宋体" w:cs="宋体"/>
                <w:color w:val="auto"/>
                <w:sz w:val="24"/>
                <w:highlight w:val="none"/>
              </w:rPr>
              <w:t>解密时间为</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11</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23</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rPr>
              <w:t>分至</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11</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23</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30</w:t>
            </w:r>
            <w:r>
              <w:rPr>
                <w:rFonts w:hint="eastAsia" w:ascii="宋体" w:hAnsi="宋体" w:cs="宋体"/>
                <w:color w:val="auto"/>
                <w:sz w:val="24"/>
                <w:highlight w:val="none"/>
              </w:rPr>
              <w:t>分。</w:t>
            </w:r>
          </w:p>
          <w:p w14:paraId="67A9D717">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公布投标人</w:t>
            </w:r>
            <w:r>
              <w:rPr>
                <w:rFonts w:hint="eastAsia" w:ascii="宋体" w:hAnsi="宋体" w:cs="宋体"/>
                <w:color w:val="auto"/>
                <w:sz w:val="24"/>
                <w:highlight w:val="none"/>
                <w:lang w:val="en-US" w:eastAsia="zh-CN"/>
              </w:rPr>
              <w:t>投标截止时间前通过电子交易系统完成投标文件递交的投标人名称；投标人在投标截止时间后在投标人须知前附表规定的解密时间内完成投标文件的解密工作；招标人或招标代理机构完成解密工作，导入并读取所有成功解密的投标文件；按投标人须知前附表规定公布投标人名称、标段名称、投标报价、质量目标、工期及其他内容；开标结束</w:t>
            </w:r>
            <w:r>
              <w:rPr>
                <w:rFonts w:hint="eastAsia" w:ascii="宋体" w:hAnsi="宋体" w:cs="宋体"/>
                <w:color w:val="auto"/>
                <w:sz w:val="24"/>
                <w:highlight w:val="none"/>
              </w:rPr>
              <w:t xml:space="preserve"> 。</w:t>
            </w:r>
          </w:p>
          <w:p w14:paraId="1BA3305C">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多标段开标顺序：</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tc>
      </w:tr>
      <w:tr w14:paraId="5DDD3ADD">
        <w:tblPrEx>
          <w:tblCellMar>
            <w:top w:w="0" w:type="dxa"/>
            <w:left w:w="108" w:type="dxa"/>
            <w:bottom w:w="0" w:type="dxa"/>
            <w:right w:w="108" w:type="dxa"/>
          </w:tblCellMar>
        </w:tblPrEx>
        <w:trPr>
          <w:trHeight w:val="488"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DBCD9D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6.1.1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13ECF92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评标委员会的组建</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3A0D9DA">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评标委员会构成</w:t>
            </w:r>
            <w:r>
              <w:rPr>
                <w:rFonts w:hint="eastAsia" w:ascii="宋体" w:hAnsi="宋体" w:cs="宋体"/>
                <w:color w:val="auto"/>
                <w:sz w:val="24"/>
                <w:highlight w:val="none"/>
                <w:lang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人，其中招标人代表</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人，评标专家</w:t>
            </w:r>
            <w:r>
              <w:rPr>
                <w:rFonts w:hint="eastAsia" w:ascii="宋体" w:hAnsi="宋体" w:cs="宋体"/>
                <w:color w:val="auto"/>
                <w:sz w:val="24"/>
                <w:highlight w:val="none"/>
                <w:u w:val="single"/>
                <w:lang w:val="en-US" w:eastAsia="zh-CN"/>
              </w:rPr>
              <w:t>5</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w:t>
            </w:r>
          </w:p>
          <w:p w14:paraId="47199337">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评标专家确定方式：评标专家由招标人在评标活动开始前24小时内，通过抽取终端从专家库中随机抽取。</w:t>
            </w:r>
          </w:p>
        </w:tc>
      </w:tr>
      <w:tr w14:paraId="5AB98957">
        <w:tblPrEx>
          <w:tblCellMar>
            <w:top w:w="0" w:type="dxa"/>
            <w:left w:w="108" w:type="dxa"/>
            <w:bottom w:w="0" w:type="dxa"/>
            <w:right w:w="108" w:type="dxa"/>
          </w:tblCellMar>
        </w:tblPrEx>
        <w:trPr>
          <w:trHeight w:val="88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02C5EC2B">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6.3.2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CDB08B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评标委员会确定中标候选人的人数</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13E31694">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3名</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不排序）</w:t>
            </w:r>
            <w:r>
              <w:rPr>
                <w:rFonts w:hint="eastAsia" w:ascii="宋体" w:hAnsi="宋体" w:cs="宋体"/>
                <w:color w:val="auto"/>
                <w:sz w:val="24"/>
                <w:highlight w:val="none"/>
              </w:rPr>
              <w:t>。</w:t>
            </w:r>
          </w:p>
        </w:tc>
      </w:tr>
      <w:tr w14:paraId="3EE985FC">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364ECA9">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7.1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3CD05B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中标候选人公示媒介及期限</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3ECB100D">
            <w:pPr>
              <w:widowControl/>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公示媒介：同招标公告发布媒介</w:t>
            </w:r>
          </w:p>
          <w:p w14:paraId="4121CAE5">
            <w:pPr>
              <w:widowControl/>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公示期限：公示发布次日起3日（如公示第三日为休息日或节假日，则顺延至休息日或节假日后第一个工作日）</w:t>
            </w:r>
          </w:p>
        </w:tc>
      </w:tr>
      <w:tr w14:paraId="7D60CB4F">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7FA7142">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7.5</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3A4360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是否授权评标委员会确定中标人</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E393888">
            <w:pPr>
              <w:widowControl/>
              <w:adjustRightInd w:val="0"/>
              <w:snapToGrid w:val="0"/>
              <w:spacing w:line="560" w:lineRule="exact"/>
              <w:jc w:val="left"/>
              <w:rPr>
                <w:rFonts w:hint="eastAsia" w:ascii="宋体" w:hAnsi="宋体" w:cs="宋体"/>
                <w:color w:val="auto"/>
                <w:sz w:val="24"/>
                <w:highlight w:val="none"/>
                <w:u w:val="single"/>
              </w:rPr>
            </w:pPr>
            <w:r>
              <w:rPr>
                <w:rFonts w:hint="eastAsia" w:ascii="宋体" w:hAnsi="宋体" w:cs="宋体"/>
                <w:color w:val="auto"/>
                <w:sz w:val="24"/>
                <w:highlight w:val="none"/>
                <w:u w:val="none"/>
              </w:rPr>
              <w:t>否</w:t>
            </w:r>
          </w:p>
        </w:tc>
      </w:tr>
      <w:tr w14:paraId="2DC42501">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010D916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7.6</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6DB006E7">
            <w:pPr>
              <w:adjustRightInd w:val="0"/>
              <w:snapToGrid w:val="0"/>
              <w:spacing w:line="560" w:lineRule="exact"/>
              <w:jc w:val="center"/>
              <w:rPr>
                <w:rFonts w:hint="eastAsia" w:ascii="宋体" w:hAnsi="宋体" w:cs="宋体"/>
                <w:color w:val="auto"/>
                <w:sz w:val="24"/>
                <w:highlight w:val="none"/>
              </w:rPr>
            </w:pPr>
            <w:r>
              <w:rPr>
                <w:rFonts w:hint="eastAsia"/>
                <w:color w:val="auto"/>
                <w:sz w:val="24"/>
                <w:highlight w:val="none"/>
              </w:rPr>
              <w:t>中标通知书发出形式</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0238F1B">
            <w:pPr>
              <w:widowControl/>
              <w:adjustRightInd w:val="0"/>
              <w:snapToGrid w:val="0"/>
              <w:spacing w:line="560" w:lineRule="exact"/>
              <w:rPr>
                <w:rFonts w:hint="eastAsia" w:ascii="宋体" w:hAnsi="宋体" w:cs="宋体"/>
                <w:color w:val="auto"/>
                <w:sz w:val="24"/>
                <w:highlight w:val="none"/>
              </w:rPr>
            </w:pPr>
            <w:r>
              <w:rPr>
                <w:rFonts w:hint="eastAsia"/>
                <w:color w:val="auto"/>
                <w:sz w:val="24"/>
                <w:highlight w:val="none"/>
              </w:rPr>
              <w:t>数据电文</w:t>
            </w:r>
          </w:p>
        </w:tc>
      </w:tr>
      <w:tr w14:paraId="00A7A888">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317FCB2">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7.7</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5D496E8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中标结果公示媒介</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A7E3E89">
            <w:pPr>
              <w:widowControl/>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公示媒介：同招标公告发布媒介；</w:t>
            </w:r>
          </w:p>
          <w:p w14:paraId="0302AD2B">
            <w:pPr>
              <w:widowControl/>
              <w:adjustRightInd w:val="0"/>
              <w:snapToGrid w:val="0"/>
              <w:spacing w:line="560" w:lineRule="exact"/>
              <w:jc w:val="left"/>
              <w:rPr>
                <w:rFonts w:hint="eastAsia"/>
                <w:color w:val="auto"/>
                <w:highlight w:val="none"/>
              </w:rPr>
            </w:pPr>
            <w:r>
              <w:rPr>
                <w:rFonts w:hint="eastAsia" w:ascii="宋体" w:hAnsi="宋体" w:cs="宋体"/>
                <w:color w:val="auto"/>
                <w:sz w:val="24"/>
                <w:highlight w:val="none"/>
              </w:rPr>
              <w:t>公示期限：</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日（公示期截止时间在法定休息日的顺延至首个工作日）。</w:t>
            </w:r>
          </w:p>
        </w:tc>
      </w:tr>
      <w:tr w14:paraId="7E03D617">
        <w:tblPrEx>
          <w:tblCellMar>
            <w:top w:w="0" w:type="dxa"/>
            <w:left w:w="108" w:type="dxa"/>
            <w:bottom w:w="0" w:type="dxa"/>
            <w:right w:w="108" w:type="dxa"/>
          </w:tblCellMar>
        </w:tblPrEx>
        <w:trPr>
          <w:trHeight w:val="97"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5F25CAE7">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7.8</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AED12A3">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履约担保</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98F1DCE">
            <w:pPr>
              <w:widowControl/>
              <w:spacing w:line="560" w:lineRule="exact"/>
              <w:jc w:val="left"/>
              <w:rPr>
                <w:rFonts w:hint="eastAsia" w:ascii="宋体" w:hAnsi="宋体" w:cs="宋体"/>
                <w:color w:val="auto"/>
                <w:kern w:val="0"/>
                <w:szCs w:val="21"/>
                <w:highlight w:val="none"/>
              </w:rPr>
            </w:pPr>
            <w:r>
              <w:rPr>
                <w:rFonts w:hint="eastAsia" w:ascii="宋体" w:hAnsi="宋体" w:cs="宋体"/>
                <w:color w:val="auto"/>
                <w:sz w:val="24"/>
                <w:highlight w:val="none"/>
              </w:rPr>
              <w:t>要求中标人提交履约保证金。</w:t>
            </w:r>
          </w:p>
          <w:p w14:paraId="55ED1F8D">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形式：支持银行转账、银行电汇、银行保函、担保机构担保、保证保险使用。</w:t>
            </w:r>
          </w:p>
          <w:p w14:paraId="263552BA">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金   额：中标合同金额×</w:t>
            </w:r>
            <w:r>
              <w:rPr>
                <w:rFonts w:hint="eastAsia" w:ascii="宋体" w:hAnsi="宋体" w:cs="宋体"/>
                <w:color w:val="auto"/>
                <w:sz w:val="24"/>
                <w:highlight w:val="none"/>
                <w:u w:val="none"/>
              </w:rPr>
              <w:t xml:space="preserve">2% </w:t>
            </w:r>
          </w:p>
          <w:p w14:paraId="7D363309">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收款单位：</w:t>
            </w:r>
            <w:r>
              <w:rPr>
                <w:rFonts w:hint="eastAsia" w:ascii="宋体" w:hAnsi="宋体" w:cs="宋体"/>
                <w:color w:val="auto"/>
                <w:sz w:val="24"/>
                <w:highlight w:val="none"/>
                <w:lang w:val="en-US" w:eastAsia="zh-CN"/>
              </w:rPr>
              <w:t>安徽同康实业发展有限公司</w:t>
            </w:r>
          </w:p>
          <w:p w14:paraId="06DF9DFB">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另行通知</w:t>
            </w:r>
            <w:r>
              <w:rPr>
                <w:rFonts w:hint="eastAsia" w:ascii="宋体" w:hAnsi="宋体" w:cs="宋体"/>
                <w:color w:val="auto"/>
                <w:sz w:val="24"/>
                <w:highlight w:val="none"/>
              </w:rPr>
              <w:t xml:space="preserve"> </w:t>
            </w:r>
          </w:p>
          <w:p w14:paraId="4ABD1C89">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银行账号：</w:t>
            </w:r>
            <w:r>
              <w:rPr>
                <w:rFonts w:hint="eastAsia" w:ascii="宋体" w:hAnsi="宋体" w:cs="宋体"/>
                <w:color w:val="auto"/>
                <w:sz w:val="24"/>
                <w:highlight w:val="none"/>
                <w:lang w:val="en-US" w:eastAsia="zh-CN"/>
              </w:rPr>
              <w:t>另行通知</w:t>
            </w:r>
            <w:r>
              <w:rPr>
                <w:rFonts w:hint="eastAsia" w:ascii="宋体" w:hAnsi="宋体" w:cs="宋体"/>
                <w:color w:val="auto"/>
                <w:sz w:val="24"/>
                <w:highlight w:val="none"/>
              </w:rPr>
              <w:t xml:space="preserve">                </w:t>
            </w:r>
          </w:p>
          <w:p w14:paraId="69BE8701">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缴纳时限：</w:t>
            </w:r>
            <w:r>
              <w:rPr>
                <w:rFonts w:hint="eastAsia" w:ascii="宋体" w:hAnsi="宋体" w:cs="宋体"/>
                <w:color w:val="auto"/>
                <w:sz w:val="24"/>
                <w:highlight w:val="none"/>
                <w:lang w:val="en-US" w:eastAsia="zh-CN"/>
              </w:rPr>
              <w:t>签订合同前缴纳</w:t>
            </w:r>
            <w:r>
              <w:rPr>
                <w:rFonts w:hint="eastAsia" w:ascii="宋体" w:hAnsi="宋体" w:cs="宋体"/>
                <w:color w:val="auto"/>
                <w:sz w:val="24"/>
                <w:highlight w:val="none"/>
              </w:rPr>
              <w:t xml:space="preserve"> </w:t>
            </w:r>
          </w:p>
          <w:p w14:paraId="4B7262CF">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lang w:val="en-US" w:eastAsia="zh-CN"/>
              </w:rPr>
              <w:t xml:space="preserve">中标通知书发出之日起，3个日历天内应委派代表与招标人联系办 </w:t>
            </w:r>
          </w:p>
          <w:p w14:paraId="614D27FA">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lang w:val="en-US" w:eastAsia="zh-CN"/>
              </w:rPr>
              <w:t>理履约保证金缴纳并商讨书面合同签订等事宜；30个日历天内足额交纳履约保证金（投标保证金不能转为履约保证金）并根据招标文件和中标人的投标文件订立书面合同。中标人无正当理由拒签合同的，招标人将依据招投标相关法律法规进行处理；给招标人造成的损失，中标人还应当予以赔偿。</w:t>
            </w:r>
          </w:p>
          <w:p w14:paraId="593ACB92">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履约保证金退还时限：履约保证金有效期满7日内。</w:t>
            </w:r>
          </w:p>
          <w:p w14:paraId="7FD31DDC">
            <w:pPr>
              <w:pStyle w:val="20"/>
              <w:adjustRightInd w:val="0"/>
              <w:snapToGrid w:val="0"/>
              <w:spacing w:after="0" w:line="560" w:lineRule="exact"/>
              <w:ind w:left="0" w:leftChars="0" w:firstLine="0" w:firstLineChars="0"/>
              <w:rPr>
                <w:rFonts w:hint="eastAsia" w:ascii="宋体" w:hAnsi="宋体" w:cs="宋体"/>
                <w:color w:val="auto"/>
                <w:position w:val="6"/>
                <w:sz w:val="24"/>
                <w:highlight w:val="none"/>
                <w:u w:val="none"/>
              </w:rPr>
            </w:pPr>
            <w:r>
              <w:rPr>
                <w:rFonts w:hint="eastAsia" w:ascii="宋体" w:hAnsi="宋体" w:cs="宋体"/>
                <w:color w:val="auto"/>
                <w:position w:val="6"/>
                <w:sz w:val="24"/>
                <w:highlight w:val="none"/>
                <w:u w:val="none"/>
              </w:rPr>
              <w:t>其他相关要求：</w:t>
            </w:r>
          </w:p>
          <w:p w14:paraId="3A4EC622">
            <w:pPr>
              <w:pStyle w:val="20"/>
              <w:numPr>
                <w:ilvl w:val="0"/>
                <w:numId w:val="0"/>
              </w:numPr>
              <w:adjustRightInd w:val="0"/>
              <w:snapToGrid w:val="0"/>
              <w:spacing w:after="0" w:line="560" w:lineRule="exact"/>
              <w:ind w:leftChars="0"/>
              <w:rPr>
                <w:rFonts w:hint="eastAsia" w:ascii="宋体" w:hAnsi="宋体" w:cs="宋体"/>
                <w:color w:val="auto"/>
                <w:position w:val="6"/>
                <w:sz w:val="24"/>
                <w:highlight w:val="none"/>
                <w:u w:val="single"/>
              </w:rPr>
            </w:pPr>
            <w:r>
              <w:rPr>
                <w:rFonts w:hint="eastAsia" w:ascii="宋体" w:hAnsi="宋体" w:cs="宋体"/>
                <w:color w:val="auto"/>
                <w:position w:val="6"/>
                <w:sz w:val="24"/>
                <w:highlight w:val="none"/>
                <w:u w:val="none"/>
                <w:lang w:val="en-US" w:eastAsia="zh-CN"/>
              </w:rPr>
              <w:t>1.</w:t>
            </w:r>
            <w:r>
              <w:rPr>
                <w:rFonts w:hint="eastAsia" w:ascii="宋体" w:hAnsi="宋体" w:cs="宋体"/>
                <w:color w:val="auto"/>
                <w:position w:val="6"/>
                <w:sz w:val="24"/>
                <w:highlight w:val="none"/>
                <w:u w:val="none"/>
              </w:rPr>
              <w:t>具体要求：</w:t>
            </w:r>
            <w:r>
              <w:rPr>
                <w:rFonts w:hint="eastAsia" w:ascii="宋体" w:hAnsi="宋体" w:cs="宋体"/>
                <w:color w:val="auto"/>
                <w:position w:val="6"/>
                <w:sz w:val="24"/>
                <w:highlight w:val="none"/>
                <w:u w:val="none"/>
                <w:lang w:val="en-US" w:eastAsia="zh-CN"/>
              </w:rPr>
              <w:t>满足招标人要求</w:t>
            </w:r>
            <w:r>
              <w:rPr>
                <w:rFonts w:hint="eastAsia" w:ascii="宋体" w:hAnsi="宋体" w:cs="宋体"/>
                <w:color w:val="auto"/>
                <w:position w:val="6"/>
                <w:sz w:val="24"/>
                <w:highlight w:val="none"/>
                <w:u w:val="none"/>
              </w:rPr>
              <w:t>；</w:t>
            </w:r>
          </w:p>
          <w:p w14:paraId="6D67CCAB">
            <w:pPr>
              <w:pStyle w:val="20"/>
              <w:numPr>
                <w:ilvl w:val="0"/>
                <w:numId w:val="0"/>
              </w:numPr>
              <w:adjustRightInd w:val="0"/>
              <w:snapToGrid w:val="0"/>
              <w:spacing w:after="0" w:line="560" w:lineRule="exact"/>
              <w:ind w:leftChars="0"/>
              <w:rPr>
                <w:rFonts w:hint="eastAsia"/>
                <w:color w:val="auto"/>
                <w:sz w:val="24"/>
                <w:highlight w:val="none"/>
              </w:rPr>
            </w:pPr>
            <w:r>
              <w:rPr>
                <w:rFonts w:hint="eastAsia" w:ascii="宋体" w:hAnsi="宋体" w:cs="宋体"/>
                <w:color w:val="auto"/>
                <w:position w:val="6"/>
                <w:sz w:val="24"/>
                <w:highlight w:val="none"/>
                <w:u w:val="none"/>
                <w:lang w:val="en-US" w:eastAsia="zh-CN"/>
              </w:rPr>
              <w:t>2.</w:t>
            </w:r>
            <w:r>
              <w:rPr>
                <w:rFonts w:hint="eastAsia" w:ascii="宋体" w:hAnsi="宋体" w:cs="宋体"/>
                <w:color w:val="auto"/>
                <w:position w:val="6"/>
                <w:sz w:val="24"/>
                <w:highlight w:val="none"/>
                <w:u w:val="none"/>
              </w:rPr>
              <w:t>联合体参加投标且中标的，以联合体牵头人的名义按上述要求缴纳履约担保。</w:t>
            </w:r>
          </w:p>
        </w:tc>
      </w:tr>
      <w:tr w14:paraId="0A4B6E13">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128C677">
            <w:pPr>
              <w:adjustRightInd w:val="0"/>
              <w:snapToGrid w:val="0"/>
              <w:spacing w:line="560" w:lineRule="exact"/>
              <w:jc w:val="center"/>
              <w:rPr>
                <w:rFonts w:ascii="宋体" w:hAnsi="宋体" w:cs="宋体"/>
                <w:color w:val="auto"/>
                <w:sz w:val="24"/>
                <w:highlight w:val="none"/>
              </w:rPr>
            </w:pPr>
            <w:r>
              <w:rPr>
                <w:rFonts w:hint="eastAsia" w:ascii="宋体" w:hAnsi="宋体" w:cs="宋体"/>
                <w:color w:val="auto"/>
                <w:sz w:val="24"/>
                <w:highlight w:val="none"/>
              </w:rPr>
              <w:t>7.9</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342D5BDA">
            <w:pPr>
              <w:adjustRightInd w:val="0"/>
              <w:snapToGrid w:val="0"/>
              <w:spacing w:line="560" w:lineRule="exact"/>
              <w:jc w:val="center"/>
              <w:rPr>
                <w:rFonts w:hint="eastAsia" w:ascii="宋体" w:hAnsi="宋体" w:cs="宋体"/>
                <w:color w:val="auto"/>
                <w:sz w:val="24"/>
                <w:highlight w:val="none"/>
              </w:rPr>
            </w:pPr>
            <w:r>
              <w:rPr>
                <w:rFonts w:hint="eastAsia"/>
                <w:color w:val="auto"/>
                <w:sz w:val="24"/>
                <w:highlight w:val="none"/>
              </w:rPr>
              <w:t>签订合同</w:t>
            </w:r>
          </w:p>
        </w:tc>
        <w:tc>
          <w:tcPr>
            <w:tcW w:w="7299" w:type="dxa"/>
            <w:tcBorders>
              <w:top w:val="single" w:color="auto" w:sz="4" w:space="0"/>
              <w:left w:val="single" w:color="auto" w:sz="4" w:space="0"/>
              <w:bottom w:val="single" w:color="auto" w:sz="4" w:space="0"/>
              <w:right w:val="single" w:color="auto" w:sz="4" w:space="0"/>
            </w:tcBorders>
            <w:noWrap w:val="0"/>
            <w:vAlign w:val="top"/>
          </w:tcPr>
          <w:p w14:paraId="50DE4271">
            <w:pPr>
              <w:adjustRightInd w:val="0"/>
              <w:snapToGrid w:val="0"/>
              <w:spacing w:line="560" w:lineRule="exact"/>
              <w:rPr>
                <w:rFonts w:hint="eastAsia" w:ascii="宋体" w:hAnsi="宋体" w:cs="宋体"/>
                <w:color w:val="auto"/>
                <w:sz w:val="24"/>
                <w:highlight w:val="none"/>
              </w:rPr>
            </w:pPr>
            <w:r>
              <w:rPr>
                <w:rFonts w:hint="eastAsia"/>
                <w:color w:val="auto"/>
                <w:sz w:val="24"/>
                <w:highlight w:val="none"/>
              </w:rPr>
              <w:t>中标通知书发出之日起</w:t>
            </w:r>
            <w:r>
              <w:rPr>
                <w:rFonts w:hint="eastAsia"/>
                <w:color w:val="auto"/>
                <w:sz w:val="24"/>
                <w:highlight w:val="none"/>
                <w:u w:val="single"/>
              </w:rPr>
              <w:t xml:space="preserve">  </w:t>
            </w:r>
            <w:r>
              <w:rPr>
                <w:rFonts w:hint="eastAsia"/>
                <w:color w:val="auto"/>
                <w:sz w:val="24"/>
                <w:highlight w:val="none"/>
                <w:u w:val="single"/>
                <w:lang w:val="en-US" w:eastAsia="zh-CN"/>
              </w:rPr>
              <w:t>3</w:t>
            </w:r>
            <w:r>
              <w:rPr>
                <w:rFonts w:hint="eastAsia"/>
                <w:color w:val="auto"/>
                <w:sz w:val="24"/>
                <w:highlight w:val="none"/>
                <w:u w:val="single"/>
              </w:rPr>
              <w:t xml:space="preserve"> </w:t>
            </w:r>
            <w:r>
              <w:rPr>
                <w:rFonts w:hint="eastAsia"/>
                <w:color w:val="auto"/>
                <w:sz w:val="24"/>
                <w:highlight w:val="none"/>
              </w:rPr>
              <w:t>日内，应委派代表与招标人联系并商讨书面合同签订事宜。中标人和招标人应在投标有效期内以及中标通知书发出之日起30日内，根据招标文件和中标人的投标文件订立书面合同。</w:t>
            </w:r>
          </w:p>
        </w:tc>
      </w:tr>
      <w:tr w14:paraId="45EAB547">
        <w:tblPrEx>
          <w:tblCellMar>
            <w:top w:w="0" w:type="dxa"/>
            <w:left w:w="108" w:type="dxa"/>
            <w:bottom w:w="0" w:type="dxa"/>
            <w:right w:w="108" w:type="dxa"/>
          </w:tblCellMar>
        </w:tblPrEx>
        <w:trPr>
          <w:trHeight w:val="90" w:hRule="atLeast"/>
          <w:jc w:val="center"/>
        </w:trPr>
        <w:tc>
          <w:tcPr>
            <w:tcW w:w="10175" w:type="dxa"/>
            <w:gridSpan w:val="3"/>
            <w:tcBorders>
              <w:top w:val="single" w:color="auto" w:sz="4" w:space="0"/>
              <w:left w:val="single" w:color="auto" w:sz="4" w:space="0"/>
              <w:bottom w:val="single" w:color="auto" w:sz="4" w:space="0"/>
              <w:right w:val="single" w:color="auto" w:sz="4" w:space="0"/>
            </w:tcBorders>
            <w:noWrap w:val="0"/>
            <w:vAlign w:val="center"/>
          </w:tcPr>
          <w:p w14:paraId="09AC8888">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10.需要补充的其他内容</w:t>
            </w:r>
          </w:p>
        </w:tc>
      </w:tr>
      <w:tr w14:paraId="7DCF2F31">
        <w:tblPrEx>
          <w:tblCellMar>
            <w:top w:w="0" w:type="dxa"/>
            <w:left w:w="108" w:type="dxa"/>
            <w:bottom w:w="0" w:type="dxa"/>
            <w:right w:w="108" w:type="dxa"/>
          </w:tblCellMar>
        </w:tblPrEx>
        <w:trPr>
          <w:trHeight w:val="90" w:hRule="atLeast"/>
          <w:jc w:val="center"/>
        </w:trPr>
        <w:tc>
          <w:tcPr>
            <w:tcW w:w="10175" w:type="dxa"/>
            <w:gridSpan w:val="3"/>
            <w:tcBorders>
              <w:top w:val="single" w:color="auto" w:sz="4" w:space="0"/>
              <w:left w:val="single" w:color="auto" w:sz="4" w:space="0"/>
              <w:bottom w:val="single" w:color="auto" w:sz="4" w:space="0"/>
              <w:right w:val="single" w:color="auto" w:sz="4" w:space="0"/>
            </w:tcBorders>
            <w:noWrap w:val="0"/>
            <w:vAlign w:val="center"/>
          </w:tcPr>
          <w:p w14:paraId="63EAFB36">
            <w:pPr>
              <w:adjustRightInd w:val="0"/>
              <w:snapToGrid w:val="0"/>
              <w:spacing w:line="560" w:lineRule="exact"/>
              <w:jc w:val="left"/>
              <w:rPr>
                <w:rFonts w:hint="eastAsia" w:ascii="宋体" w:hAnsi="宋体" w:cs="宋体"/>
                <w:color w:val="auto"/>
                <w:sz w:val="24"/>
                <w:highlight w:val="none"/>
              </w:rPr>
            </w:pPr>
            <w:r>
              <w:rPr>
                <w:rFonts w:hint="eastAsia" w:ascii="宋体" w:hAnsi="宋体" w:cs="宋体"/>
                <w:color w:val="auto"/>
                <w:sz w:val="24"/>
                <w:highlight w:val="none"/>
              </w:rPr>
              <w:t>10.1招标代理服务费和专家评审劳务费</w:t>
            </w:r>
          </w:p>
        </w:tc>
      </w:tr>
      <w:tr w14:paraId="0C1A896D">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B54AD1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0F31CA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招标代理服务费</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40B2493">
            <w:pPr>
              <w:adjustRightInd w:val="0"/>
              <w:snapToGrid w:val="0"/>
              <w:spacing w:line="560" w:lineRule="exact"/>
              <w:rPr>
                <w:rFonts w:hint="eastAsia" w:ascii="宋体" w:hAnsi="宋体" w:cs="宋体"/>
                <w:color w:val="auto"/>
                <w:kern w:val="0"/>
                <w:sz w:val="24"/>
                <w:highlight w:val="none"/>
                <w:u w:val="single"/>
              </w:rPr>
            </w:pPr>
            <w:r>
              <w:rPr>
                <w:rFonts w:hint="eastAsia" w:ascii="宋体" w:hAnsi="宋体" w:cs="宋体"/>
                <w:color w:val="auto"/>
                <w:sz w:val="24"/>
                <w:highlight w:val="none"/>
              </w:rPr>
              <w:t>代理服务费具体金额：</w:t>
            </w:r>
            <w:r>
              <w:rPr>
                <w:rFonts w:hint="eastAsia" w:ascii="宋体" w:hAnsi="宋体" w:cs="宋体"/>
                <w:color w:val="auto"/>
                <w:kern w:val="0"/>
                <w:sz w:val="24"/>
                <w:highlight w:val="none"/>
                <w:u w:val="single"/>
                <w:lang w:val="en-US" w:eastAsia="zh-CN"/>
              </w:rPr>
              <w:t>66400</w:t>
            </w:r>
            <w:r>
              <w:rPr>
                <w:rFonts w:hint="eastAsia" w:ascii="宋体" w:hAnsi="宋体" w:cs="宋体"/>
                <w:color w:val="auto"/>
                <w:kern w:val="0"/>
                <w:sz w:val="24"/>
                <w:highlight w:val="none"/>
                <w:u w:val="single"/>
              </w:rPr>
              <w:t>元</w:t>
            </w:r>
            <w:r>
              <w:rPr>
                <w:rFonts w:hint="eastAsia" w:ascii="宋体" w:hAnsi="宋体" w:cs="宋体"/>
                <w:color w:val="auto"/>
                <w:kern w:val="0"/>
                <w:sz w:val="24"/>
                <w:highlight w:val="none"/>
                <w:u w:val="single"/>
                <w:lang w:val="en-US" w:eastAsia="zh-CN"/>
              </w:rPr>
              <w:t>，参考计价格〔2002〕1980号文件规定的30%</w:t>
            </w:r>
            <w:r>
              <w:rPr>
                <w:rFonts w:hint="eastAsia" w:ascii="宋体" w:hAnsi="宋体" w:cs="宋体"/>
                <w:color w:val="auto"/>
                <w:kern w:val="0"/>
                <w:sz w:val="24"/>
                <w:highlight w:val="none"/>
                <w:u w:val="single"/>
              </w:rPr>
              <w:t>；</w:t>
            </w:r>
          </w:p>
          <w:p w14:paraId="4D7A8A86">
            <w:pPr>
              <w:adjustRightInd w:val="0"/>
              <w:snapToGrid w:val="0"/>
              <w:spacing w:line="560" w:lineRule="exact"/>
              <w:rPr>
                <w:rFonts w:hint="eastAsia" w:ascii="宋体" w:hAnsi="宋体" w:cs="宋体"/>
                <w:color w:val="auto"/>
                <w:kern w:val="0"/>
                <w:sz w:val="24"/>
                <w:highlight w:val="none"/>
              </w:rPr>
            </w:pPr>
            <w:r>
              <w:rPr>
                <w:rFonts w:hint="eastAsia" w:ascii="宋体" w:hAnsi="宋体" w:cs="宋体"/>
                <w:color w:val="auto"/>
                <w:kern w:val="0"/>
                <w:sz w:val="24"/>
                <w:highlight w:val="none"/>
              </w:rPr>
              <w:t>代理服务费支付主体</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中标人，本项目因故未将此费用列入最高投标限价中，此项费用由中标人支付，投标人在投标报价时充分考虑并谨慎报价</w:t>
            </w:r>
            <w:r>
              <w:rPr>
                <w:rFonts w:hint="eastAsia" w:ascii="宋体" w:hAnsi="宋体" w:cs="宋体"/>
                <w:color w:val="auto"/>
                <w:kern w:val="0"/>
                <w:sz w:val="24"/>
                <w:highlight w:val="none"/>
              </w:rPr>
              <w:t>。</w:t>
            </w:r>
          </w:p>
          <w:p w14:paraId="7F7830B6">
            <w:pPr>
              <w:adjustRightInd w:val="0"/>
              <w:snapToGrid w:val="0"/>
              <w:spacing w:line="560" w:lineRule="exact"/>
              <w:rPr>
                <w:rFonts w:hint="eastAsia" w:ascii="宋体" w:hAnsi="宋体" w:cs="宋体"/>
                <w:color w:val="auto"/>
                <w:kern w:val="0"/>
                <w:sz w:val="24"/>
                <w:highlight w:val="none"/>
              </w:rPr>
            </w:pPr>
            <w:r>
              <w:rPr>
                <w:rFonts w:hint="eastAsia" w:ascii="宋体" w:hAnsi="宋体" w:cs="宋体"/>
                <w:color w:val="auto"/>
                <w:sz w:val="24"/>
                <w:highlight w:val="none"/>
              </w:rPr>
              <w:t>代理服务费收取方式：</w:t>
            </w:r>
            <w:r>
              <w:rPr>
                <w:rFonts w:hint="eastAsia" w:ascii="宋体" w:hAnsi="宋体" w:cs="宋体"/>
                <w:color w:val="auto"/>
                <w:sz w:val="24"/>
                <w:highlight w:val="none"/>
                <w:u w:val="single"/>
              </w:rPr>
              <w:t>由中标人在领取中标通知书时</w:t>
            </w:r>
            <w:r>
              <w:rPr>
                <w:rFonts w:hint="eastAsia" w:ascii="宋体" w:hAnsi="宋体" w:cs="宋体"/>
                <w:color w:val="auto"/>
                <w:sz w:val="24"/>
                <w:highlight w:val="none"/>
                <w:u w:val="single"/>
                <w:lang w:eastAsia="zh-CN"/>
              </w:rPr>
              <w:t>一次性支付</w:t>
            </w:r>
            <w:r>
              <w:rPr>
                <w:rFonts w:hint="eastAsia" w:ascii="宋体" w:hAnsi="宋体" w:cs="宋体"/>
                <w:color w:val="auto"/>
                <w:sz w:val="24"/>
                <w:highlight w:val="none"/>
                <w:u w:val="single"/>
              </w:rPr>
              <w:t>代理机构</w:t>
            </w:r>
            <w:r>
              <w:rPr>
                <w:rFonts w:hint="eastAsia" w:ascii="宋体" w:hAnsi="宋体" w:cs="宋体"/>
                <w:color w:val="auto"/>
                <w:kern w:val="0"/>
                <w:sz w:val="24"/>
                <w:highlight w:val="none"/>
                <w:u w:val="single"/>
              </w:rPr>
              <w:t xml:space="preserve"> </w:t>
            </w:r>
          </w:p>
        </w:tc>
      </w:tr>
      <w:tr w14:paraId="3CB55B2E">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00C2B9A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36439BA3">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专家评审劳务费</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F75E5A6">
            <w:pPr>
              <w:adjustRightInd w:val="0"/>
              <w:snapToGrid w:val="0"/>
              <w:spacing w:line="560" w:lineRule="exact"/>
              <w:rPr>
                <w:rFonts w:hint="eastAsia" w:ascii="宋体" w:hAnsi="宋体" w:cs="宋体"/>
                <w:color w:val="auto"/>
                <w:sz w:val="24"/>
                <w:highlight w:val="none"/>
                <w:u w:val="single"/>
              </w:rPr>
            </w:pPr>
            <w:r>
              <w:rPr>
                <w:rFonts w:hint="eastAsia" w:ascii="宋体" w:hAnsi="宋体" w:cs="宋体"/>
                <w:color w:val="auto"/>
                <w:sz w:val="24"/>
                <w:highlight w:val="none"/>
              </w:rPr>
              <w:t>费用或支付标准：</w:t>
            </w:r>
            <w:r>
              <w:rPr>
                <w:rFonts w:hint="eastAsia" w:ascii="宋体" w:hAnsi="宋体" w:cs="宋体"/>
                <w:color w:val="auto"/>
                <w:sz w:val="24"/>
                <w:highlight w:val="none"/>
                <w:u w:val="single"/>
                <w:lang w:val="en-US" w:eastAsia="zh-CN"/>
              </w:rPr>
              <w:t>以实际发生费用为准</w:t>
            </w:r>
            <w:r>
              <w:rPr>
                <w:rFonts w:hint="eastAsia" w:ascii="宋体" w:hAnsi="宋体" w:cs="宋体"/>
                <w:color w:val="auto"/>
                <w:sz w:val="24"/>
                <w:highlight w:val="none"/>
                <w:u w:val="single"/>
              </w:rPr>
              <w:t xml:space="preserve"> </w:t>
            </w:r>
          </w:p>
          <w:p w14:paraId="694B41C4">
            <w:pPr>
              <w:adjustRightInd w:val="0"/>
              <w:snapToGrid w:val="0"/>
              <w:spacing w:line="560" w:lineRule="exact"/>
              <w:rPr>
                <w:rFonts w:hint="eastAsia" w:eastAsia="宋体"/>
                <w:color w:val="auto"/>
                <w:sz w:val="24"/>
                <w:highlight w:val="none"/>
                <w:lang w:eastAsia="zh-CN"/>
              </w:rPr>
            </w:pPr>
            <w:r>
              <w:rPr>
                <w:rFonts w:hint="eastAsia" w:ascii="宋体" w:hAnsi="宋体" w:cs="宋体"/>
                <w:color w:val="auto"/>
                <w:sz w:val="24"/>
                <w:highlight w:val="none"/>
              </w:rPr>
              <w:t>支付主体：</w:t>
            </w:r>
            <w:r>
              <w:rPr>
                <w:rFonts w:hint="eastAsia" w:ascii="宋体" w:hAnsi="宋体" w:cs="宋体"/>
                <w:color w:val="auto"/>
                <w:sz w:val="24"/>
                <w:highlight w:val="none"/>
                <w:u w:val="single"/>
                <w:lang w:val="en-US" w:eastAsia="zh-CN"/>
              </w:rPr>
              <w:t>招标人</w:t>
            </w:r>
          </w:p>
        </w:tc>
      </w:tr>
      <w:tr w14:paraId="422BA287">
        <w:tblPrEx>
          <w:tblCellMar>
            <w:top w:w="0" w:type="dxa"/>
            <w:left w:w="108" w:type="dxa"/>
            <w:bottom w:w="0" w:type="dxa"/>
            <w:right w:w="108" w:type="dxa"/>
          </w:tblCellMar>
        </w:tblPrEx>
        <w:trPr>
          <w:trHeight w:val="90" w:hRule="atLeast"/>
          <w:jc w:val="center"/>
        </w:trPr>
        <w:tc>
          <w:tcPr>
            <w:tcW w:w="10175" w:type="dxa"/>
            <w:gridSpan w:val="3"/>
            <w:tcBorders>
              <w:top w:val="single" w:color="auto" w:sz="4" w:space="0"/>
              <w:left w:val="single" w:color="auto" w:sz="4" w:space="0"/>
              <w:bottom w:val="single" w:color="auto" w:sz="4" w:space="0"/>
              <w:right w:val="single" w:color="auto" w:sz="4" w:space="0"/>
            </w:tcBorders>
            <w:noWrap w:val="0"/>
            <w:vAlign w:val="center"/>
          </w:tcPr>
          <w:p w14:paraId="53876D72">
            <w:pPr>
              <w:adjustRightInd w:val="0"/>
              <w:snapToGrid w:val="0"/>
              <w:spacing w:line="560" w:lineRule="exact"/>
              <w:rPr>
                <w:rFonts w:hint="eastAsia" w:ascii="宋体" w:hAnsi="宋体" w:cs="宋体"/>
                <w:bCs/>
                <w:snapToGrid w:val="0"/>
                <w:color w:val="auto"/>
                <w:kern w:val="0"/>
                <w:sz w:val="24"/>
                <w:highlight w:val="none"/>
              </w:rPr>
            </w:pPr>
            <w:r>
              <w:rPr>
                <w:rFonts w:hint="eastAsia" w:ascii="宋体" w:hAnsi="宋体" w:cs="宋体"/>
                <w:color w:val="auto"/>
                <w:sz w:val="24"/>
                <w:highlight w:val="none"/>
              </w:rPr>
              <w:t>10.2 招标文件获取与通知</w:t>
            </w:r>
          </w:p>
        </w:tc>
      </w:tr>
      <w:tr w14:paraId="253A3332">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B68A62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10.2.1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152E2125">
            <w:pPr>
              <w:adjustRightInd w:val="0"/>
              <w:snapToGrid w:val="0"/>
              <w:spacing w:line="560" w:lineRule="exact"/>
              <w:jc w:val="center"/>
              <w:rPr>
                <w:rFonts w:hint="eastAsia"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电子招投标</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185529A">
            <w:pPr>
              <w:adjustRightInd w:val="0"/>
              <w:snapToGrid w:val="0"/>
              <w:spacing w:line="560" w:lineRule="exact"/>
              <w:rPr>
                <w:rFonts w:hint="eastAsia" w:ascii="宋体" w:hAnsi="宋体" w:cs="宋体"/>
                <w:color w:val="auto"/>
                <w:sz w:val="24"/>
                <w:highlight w:val="none"/>
              </w:rPr>
            </w:pPr>
            <w:r>
              <w:rPr>
                <w:rFonts w:hint="eastAsia" w:ascii="宋体" w:hAnsi="宋体" w:cs="宋体"/>
                <w:bCs/>
                <w:snapToGrid w:val="0"/>
                <w:color w:val="auto"/>
                <w:kern w:val="0"/>
                <w:sz w:val="24"/>
                <w:highlight w:val="none"/>
              </w:rPr>
              <w:t>本项目采用电子招标投标方式。</w:t>
            </w:r>
          </w:p>
        </w:tc>
      </w:tr>
      <w:tr w14:paraId="5C178D1F">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338997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10.2.2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DEEB45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bCs/>
                <w:snapToGrid w:val="0"/>
                <w:color w:val="auto"/>
                <w:kern w:val="0"/>
                <w:sz w:val="24"/>
                <w:highlight w:val="none"/>
              </w:rPr>
              <w:t>图纸获取说明</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764897AF">
            <w:pPr>
              <w:adjustRightInd w:val="0"/>
              <w:snapToGrid w:val="0"/>
              <w:spacing w:line="560" w:lineRule="exact"/>
              <w:rPr>
                <w:rFonts w:hint="eastAsia" w:ascii="宋体" w:hAnsi="宋体" w:cs="宋体"/>
                <w:color w:val="auto"/>
                <w:sz w:val="24"/>
                <w:highlight w:val="none"/>
              </w:rPr>
            </w:pPr>
            <w:r>
              <w:rPr>
                <w:rFonts w:hint="eastAsia" w:ascii="宋体" w:hAnsi="宋体" w:cs="宋体"/>
                <w:color w:val="auto"/>
                <w:sz w:val="24"/>
                <w:highlight w:val="none"/>
              </w:rPr>
              <w:t xml:space="preserve">通过滁州市公共资源交易中心网站发布，投标人应自行下载。投标人应当及时登录滁州市公共资源交易中心交易系统查看。 </w:t>
            </w:r>
          </w:p>
        </w:tc>
      </w:tr>
      <w:tr w14:paraId="0CDE7D54">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989D42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10.2.3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11E3AB8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bCs/>
                <w:snapToGrid w:val="0"/>
                <w:color w:val="auto"/>
                <w:kern w:val="0"/>
                <w:sz w:val="24"/>
                <w:highlight w:val="none"/>
              </w:rPr>
              <w:t>获取与查看通知</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970526F">
            <w:pPr>
              <w:adjustRightInd w:val="0"/>
              <w:snapToGrid w:val="0"/>
              <w:spacing w:line="560" w:lineRule="exact"/>
              <w:rPr>
                <w:rFonts w:hint="eastAsia" w:ascii="宋体" w:hAnsi="宋体" w:cs="宋体"/>
                <w:color w:val="auto"/>
                <w:sz w:val="24"/>
                <w:highlight w:val="none"/>
              </w:rPr>
            </w:pPr>
            <w:r>
              <w:rPr>
                <w:rFonts w:hint="eastAsia" w:ascii="宋体" w:hAnsi="宋体" w:cs="宋体"/>
                <w:bCs/>
                <w:snapToGrid w:val="0"/>
                <w:color w:val="auto"/>
                <w:kern w:val="0"/>
                <w:sz w:val="24"/>
                <w:highlight w:val="none"/>
              </w:rPr>
              <w:t>本项目的招标文件、工程量清单、最高投标限价、澄清及修改等相关资料均通过</w:t>
            </w:r>
            <w:r>
              <w:rPr>
                <w:rFonts w:hint="eastAsia" w:ascii="宋体" w:hAnsi="宋体" w:cs="宋体"/>
                <w:bCs/>
                <w:snapToGrid w:val="0"/>
                <w:color w:val="auto"/>
                <w:kern w:val="0"/>
                <w:sz w:val="24"/>
                <w:highlight w:val="none"/>
                <w:u w:val="single"/>
              </w:rPr>
              <w:t>滁州市公共资源交易中心网站</w:t>
            </w:r>
            <w:r>
              <w:rPr>
                <w:rFonts w:hint="eastAsia" w:ascii="宋体" w:hAnsi="宋体" w:cs="宋体"/>
                <w:bCs/>
                <w:snapToGrid w:val="0"/>
                <w:color w:val="auto"/>
                <w:kern w:val="0"/>
                <w:sz w:val="24"/>
                <w:highlight w:val="none"/>
              </w:rPr>
              <w:t>发布，投标人应自行下载。投标人应当及时登录</w:t>
            </w:r>
            <w:r>
              <w:rPr>
                <w:rFonts w:hint="eastAsia" w:ascii="宋体" w:hAnsi="宋体" w:cs="宋体"/>
                <w:bCs/>
                <w:snapToGrid w:val="0"/>
                <w:color w:val="auto"/>
                <w:kern w:val="0"/>
                <w:sz w:val="24"/>
                <w:highlight w:val="none"/>
                <w:u w:val="single"/>
              </w:rPr>
              <w:t>滁州市公共资源交易中心交易</w:t>
            </w:r>
            <w:r>
              <w:rPr>
                <w:rFonts w:hint="eastAsia" w:ascii="宋体" w:hAnsi="宋体" w:cs="宋体"/>
                <w:bCs/>
                <w:snapToGrid w:val="0"/>
                <w:color w:val="auto"/>
                <w:kern w:val="0"/>
                <w:sz w:val="24"/>
                <w:highlight w:val="none"/>
              </w:rPr>
              <w:t>系统查看。</w:t>
            </w:r>
          </w:p>
        </w:tc>
      </w:tr>
      <w:tr w14:paraId="37C7FB9C">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B5CA3A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E1027C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主要材料要求</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35E04D1">
            <w:pPr>
              <w:pStyle w:val="39"/>
              <w:spacing w:line="560" w:lineRule="exact"/>
              <w:jc w:val="left"/>
              <w:rPr>
                <w:rFonts w:hint="eastAsia"/>
                <w:bCs/>
                <w:color w:val="auto"/>
                <w:sz w:val="24"/>
                <w:highlight w:val="none"/>
                <w:lang w:val="en-US" w:eastAsia="zh-CN"/>
              </w:rPr>
            </w:pPr>
            <w:r>
              <w:rPr>
                <w:rFonts w:hint="eastAsia"/>
                <w:bCs/>
                <w:color w:val="auto"/>
                <w:sz w:val="24"/>
                <w:highlight w:val="none"/>
                <w:lang w:val="en-US"/>
              </w:rPr>
              <w:t>主要材料由中标人自行采购</w:t>
            </w:r>
            <w:r>
              <w:rPr>
                <w:rFonts w:hint="eastAsia"/>
                <w:bCs/>
                <w:color w:val="auto"/>
                <w:sz w:val="24"/>
                <w:highlight w:val="none"/>
                <w:lang w:val="en-US" w:eastAsia="zh-CN"/>
              </w:rPr>
              <w:t>。</w:t>
            </w:r>
          </w:p>
          <w:p w14:paraId="4A7FF9EF">
            <w:pPr>
              <w:pStyle w:val="39"/>
              <w:spacing w:line="560" w:lineRule="exact"/>
              <w:jc w:val="left"/>
              <w:rPr>
                <w:rFonts w:hint="eastAsia"/>
                <w:bCs/>
                <w:color w:val="auto"/>
                <w:sz w:val="24"/>
                <w:highlight w:val="none"/>
                <w:lang w:val="en-US"/>
              </w:rPr>
            </w:pPr>
            <w:r>
              <w:rPr>
                <w:rFonts w:hint="eastAsia"/>
                <w:bCs/>
                <w:color w:val="auto"/>
                <w:sz w:val="24"/>
                <w:highlight w:val="none"/>
                <w:lang w:val="en-US"/>
              </w:rPr>
              <w:t>如招标人对主要材料、设备的技术性能指标有特殊要求，应在招标文件第八章“技术标准和要求”品牌推荐表中推荐不少于三个品牌。对于招标人推荐品牌的材料、设备，投标人可选用推荐品牌或不低于推荐品牌技术性能指标的其他品牌；采用其他品牌的应在报价文件《招标人推荐的材料品牌响应表》中注明并提供相关技术性能指标、业绩等供评标委员会评审，未在《招标人推荐的材料品牌响应表》中注明且未提供相关技术性能指标、业绩，或经评标委员会评审未通过的，中标后只能从招标人推荐品牌中进行选择，合同价格不予调整。</w:t>
            </w:r>
          </w:p>
          <w:p w14:paraId="501A5476">
            <w:pPr>
              <w:pStyle w:val="39"/>
              <w:spacing w:line="560" w:lineRule="exact"/>
              <w:jc w:val="left"/>
              <w:rPr>
                <w:rFonts w:hint="eastAsia"/>
                <w:b/>
                <w:bCs/>
                <w:color w:val="auto"/>
                <w:sz w:val="24"/>
                <w:highlight w:val="none"/>
                <w:u w:val="none"/>
                <w:lang w:val="en-US"/>
              </w:rPr>
            </w:pPr>
            <w:r>
              <w:rPr>
                <w:rFonts w:hint="eastAsia"/>
                <w:b/>
                <w:bCs/>
                <w:color w:val="auto"/>
                <w:sz w:val="24"/>
                <w:highlight w:val="none"/>
                <w:u w:val="none"/>
                <w:lang w:val="en-US"/>
              </w:rPr>
              <w:t>1</w:t>
            </w:r>
            <w:r>
              <w:rPr>
                <w:rFonts w:hint="eastAsia"/>
                <w:b/>
                <w:bCs/>
                <w:color w:val="auto"/>
                <w:sz w:val="24"/>
                <w:highlight w:val="none"/>
                <w:u w:val="none"/>
                <w:lang w:val="en-US" w:eastAsia="zh-CN"/>
              </w:rPr>
              <w:t>.</w:t>
            </w:r>
            <w:r>
              <w:rPr>
                <w:rFonts w:hint="eastAsia"/>
                <w:b/>
                <w:bCs/>
                <w:color w:val="auto"/>
                <w:sz w:val="24"/>
                <w:highlight w:val="none"/>
                <w:u w:val="none"/>
                <w:lang w:val="en-US"/>
              </w:rPr>
              <w:t>本工程采用商品砼。</w:t>
            </w:r>
          </w:p>
          <w:p w14:paraId="4AA858F8">
            <w:pPr>
              <w:pStyle w:val="39"/>
              <w:spacing w:line="560" w:lineRule="exact"/>
              <w:jc w:val="left"/>
              <w:rPr>
                <w:rFonts w:hint="eastAsia"/>
                <w:b/>
                <w:bCs/>
                <w:color w:val="auto"/>
                <w:sz w:val="24"/>
                <w:highlight w:val="none"/>
                <w:u w:val="none"/>
                <w:lang w:val="en-US"/>
              </w:rPr>
            </w:pPr>
            <w:r>
              <w:rPr>
                <w:rFonts w:hint="eastAsia"/>
                <w:b/>
                <w:bCs/>
                <w:color w:val="auto"/>
                <w:sz w:val="24"/>
                <w:highlight w:val="none"/>
                <w:u w:val="none"/>
                <w:lang w:val="en-US"/>
              </w:rPr>
              <w:t>2</w:t>
            </w:r>
            <w:r>
              <w:rPr>
                <w:rFonts w:hint="eastAsia"/>
                <w:b/>
                <w:bCs/>
                <w:color w:val="auto"/>
                <w:sz w:val="24"/>
                <w:highlight w:val="none"/>
                <w:u w:val="none"/>
                <w:lang w:val="en-US" w:eastAsia="zh-CN"/>
              </w:rPr>
              <w:t>.</w:t>
            </w:r>
            <w:r>
              <w:rPr>
                <w:rFonts w:hint="eastAsia"/>
                <w:b/>
                <w:bCs/>
                <w:color w:val="auto"/>
                <w:sz w:val="24"/>
                <w:highlight w:val="none"/>
                <w:u w:val="none"/>
                <w:lang w:val="en-US"/>
              </w:rPr>
              <w:t>本项目采用预拌砂浆。</w:t>
            </w:r>
          </w:p>
          <w:p w14:paraId="7DA555F4">
            <w:pPr>
              <w:pStyle w:val="39"/>
              <w:adjustRightInd w:val="0"/>
              <w:snapToGrid w:val="0"/>
              <w:spacing w:line="560" w:lineRule="exact"/>
              <w:jc w:val="left"/>
              <w:rPr>
                <w:rFonts w:hint="eastAsia" w:ascii="宋体" w:hAnsi="宋体" w:eastAsia="宋体" w:cs="宋体"/>
                <w:b/>
                <w:bCs/>
                <w:color w:val="auto"/>
                <w:sz w:val="24"/>
                <w:highlight w:val="none"/>
                <w:u w:val="none"/>
                <w:lang w:val="en-US" w:eastAsia="zh-CN"/>
              </w:rPr>
            </w:pPr>
            <w:r>
              <w:rPr>
                <w:rFonts w:hint="eastAsia" w:ascii="宋体" w:hAnsi="宋体" w:eastAsia="宋体" w:cs="宋体"/>
                <w:b/>
                <w:bCs/>
                <w:color w:val="auto"/>
                <w:sz w:val="24"/>
                <w:highlight w:val="none"/>
                <w:u w:val="none"/>
                <w:lang w:val="en-US" w:eastAsia="zh-CN"/>
              </w:rPr>
              <w:t>3.其他相关要求：</w:t>
            </w:r>
          </w:p>
          <w:p w14:paraId="449FC186">
            <w:pPr>
              <w:pStyle w:val="39"/>
              <w:adjustRightInd w:val="0"/>
              <w:snapToGrid w:val="0"/>
              <w:spacing w:line="560" w:lineRule="exact"/>
              <w:jc w:val="left"/>
              <w:rPr>
                <w:rFonts w:hint="eastAsia" w:ascii="宋体" w:hAnsi="宋体" w:eastAsia="宋体" w:cs="宋体"/>
                <w:bCs/>
                <w:color w:val="auto"/>
                <w:sz w:val="24"/>
                <w:highlight w:val="none"/>
                <w:lang w:val="en-US" w:eastAsia="zh-CN"/>
              </w:rPr>
            </w:pPr>
            <w:r>
              <w:rPr>
                <w:rFonts w:hint="eastAsia" w:ascii="宋体" w:hAnsi="宋体" w:eastAsia="宋体" w:cs="宋体"/>
                <w:bCs/>
                <w:color w:val="auto"/>
                <w:sz w:val="24"/>
                <w:highlight w:val="none"/>
                <w:lang w:val="en-US" w:eastAsia="zh-CN"/>
              </w:rPr>
              <w:t xml:space="preserve">3.1中标人自行采购的材料应满足设计和规范要求的质量等级，并须按有关技术规范要求对材料质量进行检验。如招标人和监理单位对某种或某些材料的质量有异议，有权提出停止使用的要求，中标人必须服从该要求。若该材料经检验部门鉴定确有质量问题，由此发生的一切费用由中标人自付；主要材料供应商发生过质量事故及管理混乱的，不得用于该工程建设，发包人具有否决权。因中标人自行采购的材料质量引起的工程质量问题由中标人承担所造成的一切损失。 </w:t>
            </w:r>
          </w:p>
          <w:p w14:paraId="341A7824">
            <w:pPr>
              <w:pStyle w:val="39"/>
              <w:adjustRightInd w:val="0"/>
              <w:snapToGrid w:val="0"/>
              <w:spacing w:line="560" w:lineRule="exact"/>
              <w:jc w:val="left"/>
              <w:rPr>
                <w:rFonts w:hint="eastAsia"/>
                <w:color w:val="auto"/>
                <w:sz w:val="24"/>
                <w:highlight w:val="none"/>
              </w:rPr>
            </w:pPr>
            <w:r>
              <w:rPr>
                <w:rFonts w:hint="eastAsia" w:ascii="宋体" w:hAnsi="宋体" w:eastAsia="宋体" w:cs="宋体"/>
                <w:bCs/>
                <w:color w:val="auto"/>
                <w:sz w:val="24"/>
                <w:highlight w:val="none"/>
                <w:lang w:val="en-US" w:eastAsia="zh-CN"/>
              </w:rPr>
              <w:t>3.</w:t>
            </w:r>
            <w:r>
              <w:rPr>
                <w:rFonts w:hint="eastAsia" w:cs="宋体"/>
                <w:bCs/>
                <w:color w:val="auto"/>
                <w:sz w:val="24"/>
                <w:highlight w:val="none"/>
                <w:lang w:val="en-US" w:eastAsia="zh-CN"/>
              </w:rPr>
              <w:t>2</w:t>
            </w:r>
            <w:r>
              <w:rPr>
                <w:rFonts w:hint="eastAsia" w:ascii="宋体" w:hAnsi="宋体" w:eastAsia="宋体" w:cs="宋体"/>
                <w:bCs/>
                <w:color w:val="auto"/>
                <w:sz w:val="24"/>
                <w:highlight w:val="none"/>
                <w:lang w:val="en-US" w:eastAsia="zh-CN"/>
              </w:rPr>
              <w:t>招标人有权随机抽取中标人提供的材料进行检测，若检测不合格，检测费用由中标人支付，不合格材料无条件退场并处以1万元/次违约金；二次抽检不合格，不合格材料无条件退场并处以5万元/次违约金并上报主管部门。</w:t>
            </w:r>
          </w:p>
        </w:tc>
      </w:tr>
      <w:tr w14:paraId="34564D72">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867CCE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10.4</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EC781ED">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bCs/>
                <w:snapToGrid w:val="0"/>
                <w:color w:val="auto"/>
                <w:kern w:val="0"/>
                <w:sz w:val="24"/>
                <w:highlight w:val="none"/>
              </w:rPr>
              <w:t>相关要求</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DFDA567">
            <w:pPr>
              <w:adjustRightInd w:val="0"/>
              <w:snapToGrid w:val="0"/>
              <w:spacing w:line="560" w:lineRule="exact"/>
              <w:rPr>
                <w:rFonts w:hint="eastAsia" w:ascii="宋体" w:hAnsi="宋体" w:cs="宋体"/>
                <w:b/>
                <w:bCs/>
                <w:color w:val="000000"/>
                <w:sz w:val="24"/>
              </w:rPr>
            </w:pPr>
            <w:r>
              <w:rPr>
                <w:rFonts w:hint="eastAsia" w:ascii="宋体" w:hAnsi="宋体" w:cs="宋体"/>
                <w:b/>
                <w:bCs/>
                <w:color w:val="000000"/>
                <w:sz w:val="24"/>
              </w:rPr>
              <w:t>1</w:t>
            </w:r>
            <w:r>
              <w:rPr>
                <w:rFonts w:hint="eastAsia" w:ascii="宋体" w:hAnsi="宋体" w:cs="宋体"/>
                <w:b/>
                <w:bCs/>
                <w:color w:val="000000"/>
                <w:sz w:val="24"/>
                <w:lang w:val="en-US" w:eastAsia="zh-CN"/>
              </w:rPr>
              <w:t>.</w:t>
            </w:r>
            <w:r>
              <w:rPr>
                <w:rFonts w:hint="eastAsia" w:ascii="宋体" w:hAnsi="宋体" w:cs="宋体"/>
                <w:b/>
                <w:bCs/>
                <w:color w:val="000000"/>
                <w:sz w:val="24"/>
              </w:rPr>
              <w:t>本项目投标保证金、履约保证金、工程质量保证金、农民工工资保证金均支持保函使用。以现金形式提交保证金的，应当同时退还保证金本金和银行同期存款利息。</w:t>
            </w:r>
          </w:p>
          <w:p w14:paraId="432F1D07">
            <w:pPr>
              <w:adjustRightInd w:val="0"/>
              <w:snapToGrid w:val="0"/>
              <w:spacing w:line="560" w:lineRule="exact"/>
              <w:rPr>
                <w:rFonts w:hint="eastAsia" w:ascii="宋体" w:hAnsi="宋体" w:cs="宋体"/>
                <w:bCs/>
                <w:color w:val="000000"/>
                <w:sz w:val="24"/>
              </w:rPr>
            </w:pPr>
            <w:r>
              <w:rPr>
                <w:rFonts w:hint="eastAsia" w:ascii="宋体" w:hAnsi="宋体" w:cs="宋体"/>
                <w:bCs/>
                <w:color w:val="000000"/>
                <w:sz w:val="24"/>
              </w:rPr>
              <w:t>2</w:t>
            </w:r>
            <w:r>
              <w:rPr>
                <w:rFonts w:hint="eastAsia" w:ascii="宋体" w:hAnsi="宋体" w:cs="宋体"/>
                <w:bCs/>
                <w:color w:val="000000"/>
                <w:sz w:val="24"/>
                <w:lang w:val="en-US" w:eastAsia="zh-CN"/>
              </w:rPr>
              <w:t>.</w:t>
            </w:r>
            <w:r>
              <w:rPr>
                <w:rFonts w:hint="eastAsia" w:ascii="宋体" w:hAnsi="宋体" w:cs="宋体"/>
                <w:bCs/>
                <w:color w:val="000000"/>
                <w:sz w:val="24"/>
              </w:rPr>
              <w:t>承包人在工程实施过程中的用工行为，必须严格按照《保障农民工工资支付条例》（国务院令 第724号）、《安徽省人民政府办公厅关于全面治理拖欠农民工工资问题的实施意见》（皖政办〔2016〕22号）以及《贯彻落实&lt;工程建设领域农民工工资专用账户管理暂行办法&gt;的通知》（皖人社发〔2022〕5号）、《安徽省工程建设领域农民工工资保证金实施办法》（皖人社发〔2022〕8号）等文件精神的有关规定，依法与招用的农民工签订劳动合同，并按规定及时足额支付工资。</w:t>
            </w:r>
          </w:p>
          <w:p w14:paraId="37EAD7F2">
            <w:pPr>
              <w:adjustRightInd w:val="0"/>
              <w:snapToGrid w:val="0"/>
              <w:spacing w:line="560" w:lineRule="exact"/>
              <w:rPr>
                <w:rFonts w:hint="eastAsia" w:ascii="宋体" w:hAnsi="宋体" w:cs="宋体"/>
                <w:bCs/>
                <w:color w:val="000000"/>
                <w:sz w:val="24"/>
              </w:rPr>
            </w:pPr>
            <w:r>
              <w:rPr>
                <w:rFonts w:hint="eastAsia" w:ascii="宋体" w:hAnsi="宋体" w:cs="宋体"/>
                <w:bCs/>
                <w:color w:val="000000"/>
                <w:sz w:val="24"/>
              </w:rPr>
              <w:t>为切实保障建筑行业农民工工资支付、加快培育新时代建筑产业工人队伍、有效破解拖欠工程款问题，承包人应严格落实安徽省住建厅《关于建立长效机制切实保障建筑行业农民工工资支付工作的通知》（建市函〔2022〕490号），《关于加快培育和壮大我省建筑产业工人队伍的意见》（建市规〔2023〕1号）以及《关于印发〈安徽省房屋建筑和市政基础设施工程施工过程结算管理办法〉 的通知》（建市规〔2023〕2号）等文件要求。</w:t>
            </w:r>
          </w:p>
          <w:p w14:paraId="385A9814">
            <w:pPr>
              <w:pStyle w:val="20"/>
              <w:spacing w:after="0" w:line="560" w:lineRule="exact"/>
              <w:ind w:left="0" w:leftChars="0" w:firstLine="0" w:firstLineChars="0"/>
              <w:rPr>
                <w:rFonts w:hint="eastAsia" w:ascii="宋体" w:hAnsi="宋体" w:cs="宋体"/>
                <w:bCs/>
                <w:color w:val="000000"/>
                <w:sz w:val="24"/>
              </w:rPr>
            </w:pPr>
            <w:r>
              <w:rPr>
                <w:rFonts w:hint="eastAsia" w:ascii="宋体" w:hAnsi="宋体" w:cs="宋体"/>
                <w:bCs/>
                <w:color w:val="000000"/>
                <w:sz w:val="24"/>
              </w:rPr>
              <w:t>《贯彻落实&lt;工程建设领域农民工工资专用账户管理暂行办法&gt;的通知》（皖人社发【2022】5号），其中工资保证金和工资专户由工程建设项目的施工总承包企业（包括直接承包建设单位发包工程的专业承包企业）缴存和开设。若为联合体中标，由联合体中牵头人缴存和开设专户。</w:t>
            </w:r>
          </w:p>
          <w:p w14:paraId="7126DFB3">
            <w:pPr>
              <w:adjustRightInd w:val="0"/>
              <w:snapToGrid w:val="0"/>
              <w:spacing w:line="560" w:lineRule="exact"/>
              <w:rPr>
                <w:rFonts w:hint="eastAsia" w:ascii="宋体" w:hAnsi="宋体" w:cs="宋体"/>
                <w:bCs/>
                <w:color w:val="000000"/>
                <w:sz w:val="24"/>
              </w:rPr>
            </w:pPr>
            <w:r>
              <w:rPr>
                <w:rFonts w:hint="eastAsia" w:ascii="宋体" w:hAnsi="宋体" w:cs="宋体"/>
                <w:bCs/>
                <w:color w:val="000000"/>
                <w:sz w:val="24"/>
              </w:rPr>
              <w:t>3</w:t>
            </w:r>
            <w:r>
              <w:rPr>
                <w:rFonts w:hint="eastAsia" w:ascii="宋体" w:hAnsi="宋体" w:cs="宋体"/>
                <w:bCs/>
                <w:color w:val="000000"/>
                <w:sz w:val="24"/>
                <w:lang w:val="en-US" w:eastAsia="zh-CN"/>
              </w:rPr>
              <w:t>.</w:t>
            </w:r>
            <w:r>
              <w:rPr>
                <w:rFonts w:hint="eastAsia" w:ascii="宋体" w:hAnsi="宋体" w:cs="宋体"/>
                <w:bCs/>
                <w:color w:val="000000"/>
                <w:sz w:val="24"/>
              </w:rPr>
              <w:t xml:space="preserve">省外建设工程企业按照《关于优化进皖建设工程企业信息登记服务和管理有关工作的通知》（建市函〔2022〕580号）进行相关信息登记。 </w:t>
            </w:r>
          </w:p>
          <w:p w14:paraId="3A00A99D">
            <w:pPr>
              <w:adjustRightInd w:val="0"/>
              <w:snapToGrid w:val="0"/>
              <w:spacing w:line="560" w:lineRule="exact"/>
              <w:rPr>
                <w:rFonts w:hint="eastAsia" w:ascii="宋体" w:hAnsi="宋体" w:cs="宋体"/>
                <w:bCs/>
                <w:color w:val="000000"/>
                <w:sz w:val="24"/>
              </w:rPr>
            </w:pPr>
            <w:r>
              <w:rPr>
                <w:rFonts w:hint="eastAsia" w:ascii="宋体" w:hAnsi="宋体" w:cs="宋体"/>
                <w:bCs/>
                <w:color w:val="000000"/>
                <w:sz w:val="24"/>
              </w:rPr>
              <w:t>4</w:t>
            </w:r>
            <w:r>
              <w:rPr>
                <w:rFonts w:hint="eastAsia" w:ascii="宋体" w:hAnsi="宋体" w:cs="宋体"/>
                <w:bCs/>
                <w:color w:val="000000"/>
                <w:sz w:val="24"/>
                <w:lang w:val="en-US" w:eastAsia="zh-CN"/>
              </w:rPr>
              <w:t>.</w:t>
            </w:r>
            <w:r>
              <w:rPr>
                <w:rFonts w:hint="eastAsia" w:ascii="宋体" w:hAnsi="宋体" w:cs="宋体"/>
                <w:bCs/>
                <w:color w:val="000000"/>
                <w:sz w:val="24"/>
              </w:rPr>
              <w:t>保证保险产品应按《中国银保监会办公厅关于进一步加强和改进财产保险公司产品监管有关问题的通知》执行。</w:t>
            </w:r>
          </w:p>
          <w:p w14:paraId="325A4281">
            <w:pPr>
              <w:adjustRightInd w:val="0"/>
              <w:snapToGrid w:val="0"/>
              <w:spacing w:line="560" w:lineRule="exact"/>
              <w:rPr>
                <w:rFonts w:hint="eastAsia"/>
                <w:color w:val="auto"/>
                <w:highlight w:val="none"/>
              </w:rPr>
            </w:pPr>
            <w:r>
              <w:rPr>
                <w:rFonts w:hint="eastAsia" w:ascii="宋体" w:hAnsi="宋体" w:cs="宋体"/>
                <w:bCs/>
                <w:color w:val="000000"/>
                <w:sz w:val="24"/>
              </w:rPr>
              <w:t>5</w:t>
            </w:r>
            <w:r>
              <w:rPr>
                <w:rFonts w:hint="eastAsia" w:ascii="宋体" w:hAnsi="宋体" w:cs="宋体"/>
                <w:bCs/>
                <w:color w:val="000000"/>
                <w:sz w:val="24"/>
                <w:lang w:val="en-US" w:eastAsia="zh-CN"/>
              </w:rPr>
              <w:t>.</w:t>
            </w:r>
            <w:r>
              <w:rPr>
                <w:rFonts w:hint="eastAsia" w:ascii="宋体" w:hAnsi="宋体" w:cs="宋体"/>
                <w:bCs/>
                <w:color w:val="000000"/>
                <w:sz w:val="24"/>
              </w:rPr>
              <w:t>我省行政区域内按照规定应办理建筑工程施工许可证的房屋建筑和市政工程建设项目，均应办理工程款支付担保。具体金额、担保方式等按《安徽省住房和城乡建设厅关于加强房屋建筑和市政基础设施工程建设领域工程款支付担保管理工作的通知》（建市〔2022〕54号）执行。</w:t>
            </w:r>
          </w:p>
        </w:tc>
      </w:tr>
      <w:tr w14:paraId="39523DB4">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8D07F4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10.5</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DD7B91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评标过程中的澄清、说明或补正</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3FFEC327">
            <w:pPr>
              <w:pStyle w:val="39"/>
              <w:tabs>
                <w:tab w:val="left" w:pos="636"/>
              </w:tabs>
              <w:adjustRightInd w:val="0"/>
              <w:snapToGrid w:val="0"/>
              <w:spacing w:line="560" w:lineRule="exact"/>
              <w:jc w:val="left"/>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kern w:val="2"/>
                <w:sz w:val="24"/>
                <w:szCs w:val="24"/>
                <w:lang w:val="en-US" w:eastAsia="zh-CN" w:bidi="ar-SA"/>
              </w:rPr>
              <w:t>1.评标委员会通过网上开评标系统将需要澄清、说明或补正的内容以询标函的形式发送给投标人，投标人应安排专人登录网上开评标系统并保持在线状态，并确保联系方式有效，以便及时接收评标委员会可能发出的询标函。</w:t>
            </w:r>
          </w:p>
          <w:p w14:paraId="0087C6C3">
            <w:pPr>
              <w:pStyle w:val="39"/>
              <w:tabs>
                <w:tab w:val="left" w:pos="636"/>
              </w:tabs>
              <w:adjustRightInd w:val="0"/>
              <w:snapToGrid w:val="0"/>
              <w:spacing w:line="560" w:lineRule="exact"/>
              <w:jc w:val="left"/>
              <w:rPr>
                <w:rFonts w:hint="eastAsia" w:ascii="宋体" w:hAnsi="宋体" w:eastAsia="宋体" w:cs="宋体"/>
                <w:bCs/>
                <w:color w:val="auto"/>
                <w:kern w:val="2"/>
                <w:sz w:val="24"/>
                <w:szCs w:val="24"/>
                <w:highlight w:val="none"/>
                <w:lang w:val="en-US" w:eastAsia="zh-CN" w:bidi="ar-SA"/>
              </w:rPr>
            </w:pPr>
            <w:r>
              <w:rPr>
                <w:rFonts w:hint="eastAsia"/>
                <w:color w:val="000000"/>
                <w:sz w:val="24"/>
              </w:rPr>
              <w:t>2</w:t>
            </w:r>
            <w:r>
              <w:rPr>
                <w:rFonts w:hint="eastAsia"/>
                <w:color w:val="000000"/>
                <w:sz w:val="24"/>
                <w:lang w:val="en-US" w:eastAsia="zh-CN"/>
              </w:rPr>
              <w:t>.</w:t>
            </w:r>
            <w:r>
              <w:rPr>
                <w:rFonts w:hint="eastAsia" w:ascii="宋体" w:hAnsi="宋体" w:eastAsia="宋体" w:cs="宋体"/>
                <w:bCs/>
                <w:color w:val="000000"/>
                <w:kern w:val="2"/>
                <w:sz w:val="24"/>
                <w:szCs w:val="24"/>
                <w:lang w:val="en-US" w:eastAsia="zh-CN" w:bidi="ar-SA"/>
              </w:rPr>
              <w:t>因投标人未登录网上开评标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0D8981BC">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9C2BBD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10.6</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2C94AA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解释权</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261B5C5">
            <w:pPr>
              <w:pStyle w:val="39"/>
              <w:adjustRightInd w:val="0"/>
              <w:snapToGrid w:val="0"/>
              <w:spacing w:line="560" w:lineRule="exact"/>
              <w:rPr>
                <w:rFonts w:hint="eastAsia" w:ascii="宋体" w:hAnsi="宋体" w:eastAsia="宋体" w:cs="宋体"/>
                <w:bCs/>
                <w:color w:val="000000"/>
                <w:kern w:val="2"/>
                <w:sz w:val="24"/>
                <w:szCs w:val="24"/>
                <w:lang w:val="en-US" w:eastAsia="zh-CN" w:bidi="ar-SA"/>
              </w:rPr>
            </w:pPr>
            <w:r>
              <w:rPr>
                <w:rFonts w:hint="eastAsia"/>
                <w:color w:val="000000"/>
                <w:spacing w:val="-3"/>
                <w:sz w:val="24"/>
              </w:rPr>
              <w:t>1</w:t>
            </w:r>
            <w:r>
              <w:rPr>
                <w:rFonts w:hint="eastAsia" w:ascii="宋体" w:hAnsi="宋体" w:eastAsia="宋体" w:cs="宋体"/>
                <w:bCs/>
                <w:color w:val="000000"/>
                <w:kern w:val="2"/>
                <w:sz w:val="24"/>
                <w:szCs w:val="24"/>
                <w:lang w:val="en-US" w:eastAsia="zh-CN" w:bidi="ar-SA"/>
              </w:rPr>
              <w:t>.构成本招标文件的各个组成文件应互为解释，互为说明；</w:t>
            </w:r>
          </w:p>
          <w:p w14:paraId="295CE76A">
            <w:pPr>
              <w:pStyle w:val="39"/>
              <w:adjustRightInd w:val="0"/>
              <w:snapToGrid w:val="0"/>
              <w:spacing w:line="560" w:lineRule="exact"/>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kern w:val="2"/>
                <w:sz w:val="24"/>
                <w:szCs w:val="24"/>
                <w:lang w:val="en-US" w:eastAsia="zh-CN" w:bidi="ar-SA"/>
              </w:rPr>
              <w:t>2.同一组成文件中就同一事项的规定或约定不一致的，以编排顺序在后者为准；</w:t>
            </w:r>
          </w:p>
          <w:p w14:paraId="1C65B7BC">
            <w:pPr>
              <w:pStyle w:val="39"/>
              <w:tabs>
                <w:tab w:val="left" w:pos="351"/>
              </w:tabs>
              <w:adjustRightInd w:val="0"/>
              <w:snapToGrid w:val="0"/>
              <w:spacing w:line="560" w:lineRule="exact"/>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kern w:val="2"/>
                <w:sz w:val="24"/>
                <w:szCs w:val="24"/>
                <w:lang w:val="en-US" w:eastAsia="zh-CN" w:bidi="ar-SA"/>
              </w:rPr>
              <w:t>3.如有不明确或不一致，构成合同文件组成内容的，以合同文件约定内容为准，且以专用合同条款约定的合同文件优先顺序解释；</w:t>
            </w:r>
          </w:p>
          <w:p w14:paraId="1068DBC1">
            <w:pPr>
              <w:pStyle w:val="39"/>
              <w:tabs>
                <w:tab w:val="left" w:pos="354"/>
              </w:tabs>
              <w:adjustRightInd w:val="0"/>
              <w:snapToGrid w:val="0"/>
              <w:spacing w:line="560" w:lineRule="exact"/>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kern w:val="2"/>
                <w:sz w:val="24"/>
                <w:szCs w:val="24"/>
                <w:lang w:val="en-US" w:eastAsia="zh-CN" w:bidi="ar-SA"/>
              </w:rPr>
              <w:t>4.系统中提供的表格（或格式文件）与招标文件中不一致时，以招标文件中提供的为准；</w:t>
            </w:r>
          </w:p>
          <w:p w14:paraId="4F1049CC">
            <w:pPr>
              <w:pStyle w:val="39"/>
              <w:tabs>
                <w:tab w:val="left" w:pos="636"/>
              </w:tabs>
              <w:adjustRightInd w:val="0"/>
              <w:snapToGrid w:val="0"/>
              <w:spacing w:line="560" w:lineRule="exact"/>
              <w:jc w:val="lef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000000"/>
                <w:kern w:val="2"/>
                <w:sz w:val="24"/>
                <w:szCs w:val="24"/>
                <w:lang w:val="en-US" w:eastAsia="zh-CN" w:bidi="ar-SA"/>
              </w:rPr>
              <w:t>5.按本款前述规定仍不能形成结论的，由招标人负责解释。</w:t>
            </w:r>
          </w:p>
        </w:tc>
      </w:tr>
      <w:tr w14:paraId="0743A4B2">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7A265D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10.7</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70E4211">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同义词语</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3E3F6387">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构成招标文件组成部分的“通用合同条款</w:t>
            </w:r>
            <w:r>
              <w:rPr>
                <w:rFonts w:hint="eastAsia" w:cs="宋体"/>
                <w:bCs/>
                <w:color w:val="auto"/>
                <w:kern w:val="2"/>
                <w:sz w:val="24"/>
                <w:szCs w:val="24"/>
                <w:highlight w:val="none"/>
                <w:lang w:val="en-US" w:eastAsia="zh-CN" w:bidi="ar-SA"/>
              </w:rPr>
              <w:t>”“</w:t>
            </w:r>
            <w:r>
              <w:rPr>
                <w:rFonts w:hint="eastAsia" w:ascii="宋体" w:hAnsi="宋体" w:eastAsia="宋体" w:cs="宋体"/>
                <w:bCs/>
                <w:color w:val="auto"/>
                <w:kern w:val="2"/>
                <w:sz w:val="24"/>
                <w:szCs w:val="24"/>
                <w:highlight w:val="none"/>
                <w:lang w:val="en-US" w:eastAsia="zh-CN" w:bidi="ar-SA"/>
              </w:rPr>
              <w:t>专用合同条款</w:t>
            </w:r>
            <w:r>
              <w:rPr>
                <w:rFonts w:hint="eastAsia" w:cs="宋体"/>
                <w:bCs/>
                <w:color w:val="auto"/>
                <w:kern w:val="2"/>
                <w:sz w:val="24"/>
                <w:szCs w:val="24"/>
                <w:highlight w:val="none"/>
                <w:lang w:val="en-US" w:eastAsia="zh-CN" w:bidi="ar-SA"/>
              </w:rPr>
              <w:t>”“</w:t>
            </w:r>
            <w:r>
              <w:rPr>
                <w:rFonts w:hint="eastAsia" w:ascii="宋体" w:hAnsi="宋体" w:eastAsia="宋体" w:cs="宋体"/>
                <w:bCs/>
                <w:color w:val="auto"/>
                <w:kern w:val="2"/>
                <w:sz w:val="24"/>
                <w:szCs w:val="24"/>
                <w:highlight w:val="none"/>
                <w:lang w:val="en-US" w:eastAsia="zh-CN" w:bidi="ar-SA"/>
              </w:rPr>
              <w:t>技术标准和要求”和“工程量清单”等章节中 “发包人”和“承包人”，等同于招标投标阶段的“招标人”和“投标人/中标人”。</w:t>
            </w:r>
          </w:p>
        </w:tc>
      </w:tr>
      <w:tr w14:paraId="3C3F5CBE">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2821C3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10.8</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6F31783">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关于招标工程量清单、最高投标限价及投标报价编制特别说明</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218DF66">
            <w:pPr>
              <w:pStyle w:val="39"/>
              <w:adjustRightInd w:val="0"/>
              <w:snapToGrid w:val="0"/>
              <w:spacing w:line="560" w:lineRule="exact"/>
              <w:rPr>
                <w:rFonts w:hint="default"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一、招标工程量清单编制特别说明</w:t>
            </w:r>
          </w:p>
          <w:p w14:paraId="4F8247CB">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cs="宋体"/>
                <w:bCs/>
                <w:color w:val="auto"/>
                <w:kern w:val="2"/>
                <w:sz w:val="24"/>
                <w:szCs w:val="24"/>
                <w:highlight w:val="none"/>
                <w:lang w:val="en-US" w:eastAsia="zh-CN" w:bidi="ar-SA"/>
              </w:rPr>
              <w:t>1.</w:t>
            </w:r>
            <w:r>
              <w:rPr>
                <w:rFonts w:hint="eastAsia" w:ascii="宋体" w:hAnsi="宋体" w:eastAsia="宋体" w:cs="宋体"/>
                <w:bCs/>
                <w:color w:val="auto"/>
                <w:kern w:val="2"/>
                <w:sz w:val="24"/>
                <w:szCs w:val="24"/>
                <w:highlight w:val="none"/>
                <w:lang w:val="en-US" w:eastAsia="zh-CN" w:bidi="ar-SA"/>
              </w:rPr>
              <w:t>招标人在招标文件中应列出“危大工程”和“超危大工程”清单。</w:t>
            </w:r>
          </w:p>
          <w:p w14:paraId="5E02774C">
            <w:pPr>
              <w:pStyle w:val="39"/>
              <w:adjustRightInd w:val="0"/>
              <w:snapToGrid w:val="0"/>
              <w:spacing w:line="560" w:lineRule="exact"/>
              <w:rPr>
                <w:rFonts w:hint="default" w:ascii="宋体" w:hAnsi="宋体" w:eastAsia="宋体" w:cs="宋体"/>
                <w:bCs/>
                <w:color w:val="auto"/>
                <w:kern w:val="2"/>
                <w:sz w:val="24"/>
                <w:szCs w:val="24"/>
                <w:highlight w:val="none"/>
                <w:lang w:val="en-US" w:eastAsia="zh-CN" w:bidi="ar-SA"/>
              </w:rPr>
            </w:pPr>
            <w:r>
              <w:rPr>
                <w:rFonts w:hint="eastAsia" w:cs="宋体"/>
                <w:bCs/>
                <w:color w:val="auto"/>
                <w:kern w:val="2"/>
                <w:sz w:val="24"/>
                <w:szCs w:val="24"/>
                <w:highlight w:val="none"/>
                <w:lang w:val="en-US" w:eastAsia="zh-CN" w:bidi="ar-SA"/>
              </w:rPr>
              <w:t>2.</w:t>
            </w:r>
            <w:r>
              <w:rPr>
                <w:rFonts w:hint="eastAsia" w:ascii="宋体" w:hAnsi="宋体" w:eastAsia="宋体" w:cs="宋体"/>
                <w:bCs/>
                <w:color w:val="auto"/>
                <w:kern w:val="2"/>
                <w:sz w:val="24"/>
                <w:szCs w:val="24"/>
                <w:highlight w:val="none"/>
                <w:lang w:val="en-US" w:eastAsia="zh-CN" w:bidi="ar-SA"/>
              </w:rPr>
              <w:t>暂列金额、专业工程暂估价（含税价格）累计金额分别不应超过分部分项工程费的10%。</w:t>
            </w:r>
          </w:p>
          <w:p w14:paraId="720BE468">
            <w:pPr>
              <w:pStyle w:val="39"/>
              <w:adjustRightInd w:val="0"/>
              <w:snapToGrid w:val="0"/>
              <w:spacing w:line="560" w:lineRule="exact"/>
              <w:rPr>
                <w:rFonts w:hint="default" w:ascii="宋体" w:hAnsi="宋体" w:eastAsia="宋体" w:cs="宋体"/>
                <w:bCs/>
                <w:color w:val="auto"/>
                <w:kern w:val="2"/>
                <w:sz w:val="24"/>
                <w:szCs w:val="24"/>
                <w:highlight w:val="none"/>
                <w:lang w:val="en-US" w:eastAsia="zh-CN" w:bidi="ar-SA"/>
              </w:rPr>
            </w:pPr>
            <w:r>
              <w:rPr>
                <w:rFonts w:hint="eastAsia" w:cs="宋体"/>
                <w:bCs/>
                <w:color w:val="auto"/>
                <w:kern w:val="2"/>
                <w:sz w:val="24"/>
                <w:szCs w:val="24"/>
                <w:highlight w:val="none"/>
                <w:lang w:val="en-US" w:eastAsia="zh-CN" w:bidi="ar-SA"/>
              </w:rPr>
              <w:t>3.</w:t>
            </w:r>
            <w:r>
              <w:rPr>
                <w:rFonts w:hint="eastAsia" w:ascii="宋体" w:hAnsi="宋体" w:eastAsia="宋体" w:cs="宋体"/>
                <w:bCs/>
                <w:color w:val="auto"/>
                <w:kern w:val="2"/>
                <w:sz w:val="24"/>
                <w:szCs w:val="24"/>
                <w:highlight w:val="none"/>
                <w:lang w:val="en-US" w:eastAsia="zh-CN" w:bidi="ar-SA"/>
              </w:rPr>
              <w:t>招标文件应列明发包人要求的其他项目清单中不可竞争的项目。</w:t>
            </w:r>
          </w:p>
          <w:p w14:paraId="6FBEC8F9">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二、最高投标限价编制特别说明</w:t>
            </w:r>
          </w:p>
          <w:p w14:paraId="1C042E02">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1.招标人应同时发布招标文件和《最高投标限价公布表》。</w:t>
            </w:r>
          </w:p>
          <w:p w14:paraId="1DE38EFE">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2.总承包服务费应采用服务内容的计算基础乘以费率的计算方式确定。</w:t>
            </w:r>
          </w:p>
          <w:p w14:paraId="0AD0B8F3">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3.建设工程项目明确创建优质工程、建筑信息模型应用的，应在最高投标限价编制时在发包人要求的其他项目费中编列相应费用。</w:t>
            </w:r>
          </w:p>
          <w:p w14:paraId="28030322">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分部分项工程项目清单综合单价、措施项目清单价格应采用工料机法编制。工料机法是指依据招标工程量清单、招标图纸，按施工方案，测算清单工程量所需的人工费、材料费、施工机具使用费，计算管理费、利润并考虑合理范围的风险费的计价方法。</w:t>
            </w:r>
          </w:p>
          <w:p w14:paraId="69B3265F">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三、投标报价编制特别说明</w:t>
            </w:r>
          </w:p>
          <w:p w14:paraId="2FB97A7D">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投标文件不得改变招标工程量清单（含修正内容）的项目编码、项目名称、项目特征、计量单位、工程量（总价合同除外）、工作内容等已标明条件，也不得改变招标工程量清单（含修正内容）项目的排序方式。</w:t>
            </w:r>
          </w:p>
          <w:p w14:paraId="140A7DCB">
            <w:pPr>
              <w:pStyle w:val="39"/>
              <w:adjustRightInd w:val="0"/>
              <w:snapToGrid w:val="0"/>
              <w:spacing w:line="560" w:lineRule="exac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2.投标文件不得改变招标工程量清单中载明的安全生产措施费费率及发包人提供的材料暂估价、暂列金额、专业工程暂估价、发包人要求的不可竞争的其他项目费的金额。</w:t>
            </w:r>
          </w:p>
          <w:p w14:paraId="6593F935">
            <w:pPr>
              <w:pStyle w:val="39"/>
              <w:adjustRightInd w:val="0"/>
              <w:snapToGrid w:val="0"/>
              <w:spacing w:line="560" w:lineRule="exac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4"/>
                <w:szCs w:val="24"/>
                <w:highlight w:val="none"/>
                <w:lang w:val="en-US" w:eastAsia="zh-CN" w:bidi="ar-SA"/>
              </w:rPr>
              <w:t>3.投标时总承包服务费不得按项报价，不得改变招标文件总承包服务费计算基础，费率应自行确定，一般不宜超过《总承包服务费清单表》中列明的费率。</w:t>
            </w:r>
          </w:p>
        </w:tc>
      </w:tr>
      <w:tr w14:paraId="41931EAE">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5B4936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10.9</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99ED92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其他</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1BBD237">
            <w:pPr>
              <w:pStyle w:val="39"/>
              <w:adjustRightInd w:val="0"/>
              <w:snapToGrid w:val="0"/>
              <w:spacing w:line="560" w:lineRule="exact"/>
              <w:jc w:val="left"/>
              <w:rPr>
                <w:rFonts w:hint="eastAsia"/>
                <w:color w:val="auto"/>
                <w:sz w:val="24"/>
                <w:highlight w:val="none"/>
                <w:lang w:val="en-US"/>
              </w:rPr>
            </w:pPr>
            <w:r>
              <w:rPr>
                <w:rFonts w:hint="eastAsia"/>
                <w:color w:val="auto"/>
                <w:sz w:val="24"/>
                <w:highlight w:val="none"/>
                <w:lang w:val="en-US"/>
              </w:rPr>
              <w:t>1</w:t>
            </w:r>
            <w:r>
              <w:rPr>
                <w:rFonts w:hint="eastAsia"/>
                <w:color w:val="auto"/>
                <w:sz w:val="24"/>
                <w:highlight w:val="none"/>
                <w:lang w:val="en-US" w:eastAsia="zh-CN"/>
              </w:rPr>
              <w:t>.</w:t>
            </w:r>
            <w:r>
              <w:rPr>
                <w:rFonts w:hint="eastAsia"/>
                <w:bCs/>
                <w:snapToGrid w:val="0"/>
                <w:color w:val="auto"/>
                <w:kern w:val="0"/>
                <w:sz w:val="24"/>
                <w:highlight w:val="none"/>
              </w:rPr>
              <w:t>如本项目招标文件中出现特定性、唯一性品牌的表述，该品牌仅作为参考</w:t>
            </w:r>
            <w:r>
              <w:rPr>
                <w:rFonts w:hint="eastAsia"/>
                <w:bCs/>
                <w:snapToGrid w:val="0"/>
                <w:color w:val="auto"/>
                <w:kern w:val="0"/>
                <w:sz w:val="24"/>
                <w:highlight w:val="none"/>
                <w:lang w:eastAsia="zh-CN"/>
              </w:rPr>
              <w:t>，在</w:t>
            </w:r>
            <w:r>
              <w:rPr>
                <w:rFonts w:hint="eastAsia"/>
                <w:bCs/>
                <w:snapToGrid w:val="0"/>
                <w:color w:val="auto"/>
                <w:kern w:val="0"/>
                <w:sz w:val="24"/>
                <w:highlight w:val="none"/>
              </w:rPr>
              <w:t>施工过程中不具有限定性。</w:t>
            </w:r>
          </w:p>
          <w:p w14:paraId="23E683EC">
            <w:pPr>
              <w:pStyle w:val="39"/>
              <w:adjustRightInd w:val="0"/>
              <w:snapToGrid w:val="0"/>
              <w:spacing w:line="560" w:lineRule="exact"/>
              <w:jc w:val="left"/>
              <w:rPr>
                <w:rFonts w:hint="eastAsia" w:eastAsia="宋体"/>
                <w:bCs/>
                <w:snapToGrid w:val="0"/>
                <w:color w:val="auto"/>
                <w:kern w:val="0"/>
                <w:sz w:val="24"/>
                <w:highlight w:val="none"/>
                <w:lang w:eastAsia="zh-CN"/>
              </w:rPr>
            </w:pPr>
            <w:r>
              <w:rPr>
                <w:rFonts w:hint="eastAsia"/>
                <w:color w:val="auto"/>
                <w:sz w:val="24"/>
                <w:highlight w:val="none"/>
                <w:lang w:val="en-US"/>
              </w:rPr>
              <w:t>2</w:t>
            </w:r>
            <w:r>
              <w:rPr>
                <w:rFonts w:hint="eastAsia"/>
                <w:color w:val="auto"/>
                <w:sz w:val="24"/>
                <w:highlight w:val="none"/>
                <w:lang w:val="en-US" w:eastAsia="zh-CN"/>
              </w:rPr>
              <w:t>.</w:t>
            </w:r>
            <w:r>
              <w:rPr>
                <w:rFonts w:hint="eastAsia" w:ascii="宋体" w:hAnsi="宋体" w:eastAsia="宋体" w:cs="宋体"/>
                <w:bCs/>
                <w:snapToGrid w:val="0"/>
                <w:color w:val="000000"/>
                <w:kern w:val="0"/>
                <w:sz w:val="24"/>
                <w:lang w:val="en-US"/>
              </w:rPr>
              <w:t>项目经理必须是投标人本单位工作人员，提供虚假资料谋取中标将被依法处罚。</w:t>
            </w:r>
            <w:r>
              <w:rPr>
                <w:rFonts w:hint="eastAsia" w:ascii="宋体" w:hAnsi="宋体" w:eastAsia="宋体" w:cs="宋体"/>
                <w:bCs/>
                <w:snapToGrid w:val="0"/>
                <w:color w:val="000000"/>
                <w:kern w:val="0"/>
                <w:sz w:val="24"/>
              </w:rPr>
              <w:t>投标人对所提交的投标人或拟派项目经理业绩、投标人资质等证明资料承担缔约过失责任和法律责任。若投诉人或举报人对前述资料或证明资料存在争议，进行有效投诉或举报， 被投诉人、被举报人应当主动配合执法机关调查，并在规定的期限内举证</w:t>
            </w:r>
            <w:r>
              <w:rPr>
                <w:rFonts w:hint="eastAsia" w:cs="宋体"/>
                <w:bCs/>
                <w:snapToGrid w:val="0"/>
                <w:color w:val="000000"/>
                <w:kern w:val="0"/>
                <w:sz w:val="24"/>
                <w:lang w:eastAsia="zh-CN"/>
              </w:rPr>
              <w:t>，并</w:t>
            </w:r>
            <w:r>
              <w:rPr>
                <w:rFonts w:hint="eastAsia" w:ascii="宋体" w:hAnsi="宋体" w:eastAsia="宋体" w:cs="宋体"/>
                <w:bCs/>
                <w:snapToGrid w:val="0"/>
                <w:color w:val="000000"/>
                <w:kern w:val="0"/>
                <w:sz w:val="24"/>
              </w:rPr>
              <w:t>提供有关证明资料的原件；拒不配合执法机构调查，且未在规定期限内举证、提供证明资料原件的，执法机构</w:t>
            </w:r>
            <w:r>
              <w:rPr>
                <w:rFonts w:hint="eastAsia" w:ascii="宋体" w:hAnsi="宋体" w:eastAsia="宋体" w:cs="宋体"/>
                <w:bCs/>
                <w:snapToGrid w:val="0"/>
                <w:color w:val="000000"/>
                <w:kern w:val="0"/>
                <w:sz w:val="24"/>
                <w:lang w:val="en-US"/>
              </w:rPr>
              <w:t>滁州市</w:t>
            </w:r>
            <w:r>
              <w:rPr>
                <w:rFonts w:hint="eastAsia" w:ascii="宋体" w:hAnsi="宋体" w:eastAsia="宋体" w:cs="宋体"/>
                <w:bCs/>
                <w:snapToGrid w:val="0"/>
                <w:color w:val="000000"/>
                <w:kern w:val="0"/>
                <w:sz w:val="24"/>
              </w:rPr>
              <w:t>公共资源交易监督管理局依法处理</w:t>
            </w:r>
            <w:r>
              <w:rPr>
                <w:rFonts w:hint="eastAsia" w:ascii="宋体" w:hAnsi="宋体" w:eastAsia="宋体" w:cs="宋体"/>
                <w:bCs/>
                <w:snapToGrid w:val="0"/>
                <w:color w:val="000000"/>
                <w:kern w:val="0"/>
                <w:sz w:val="24"/>
                <w:lang w:eastAsia="zh-CN"/>
              </w:rPr>
              <w:t>。</w:t>
            </w:r>
          </w:p>
          <w:p w14:paraId="2A136003">
            <w:pPr>
              <w:pStyle w:val="39"/>
              <w:tabs>
                <w:tab w:val="left" w:pos="636"/>
              </w:tabs>
              <w:adjustRightInd w:val="0"/>
              <w:snapToGrid w:val="0"/>
              <w:spacing w:line="560" w:lineRule="exact"/>
              <w:jc w:val="left"/>
              <w:rPr>
                <w:color w:val="auto"/>
                <w:sz w:val="24"/>
                <w:highlight w:val="none"/>
              </w:rPr>
            </w:pPr>
            <w:r>
              <w:rPr>
                <w:rFonts w:hint="eastAsia"/>
                <w:color w:val="auto"/>
                <w:sz w:val="24"/>
                <w:highlight w:val="none"/>
                <w:lang w:val="en-US"/>
              </w:rPr>
              <w:t>3</w:t>
            </w:r>
            <w:r>
              <w:rPr>
                <w:rFonts w:hint="eastAsia"/>
                <w:color w:val="auto"/>
                <w:sz w:val="24"/>
                <w:highlight w:val="none"/>
                <w:lang w:val="en-US" w:eastAsia="zh-CN"/>
              </w:rPr>
              <w:t>.</w:t>
            </w:r>
            <w:r>
              <w:rPr>
                <w:color w:val="auto"/>
                <w:sz w:val="24"/>
                <w:highlight w:val="none"/>
              </w:rPr>
              <w:t>中标人未履行下述义务的，</w:t>
            </w:r>
            <w:r>
              <w:rPr>
                <w:rFonts w:hint="eastAsia"/>
                <w:color w:val="auto"/>
                <w:sz w:val="24"/>
                <w:highlight w:val="none"/>
                <w:lang w:val="en-US"/>
              </w:rPr>
              <w:t>滁州市</w:t>
            </w:r>
            <w:r>
              <w:rPr>
                <w:color w:val="auto"/>
                <w:sz w:val="24"/>
                <w:highlight w:val="none"/>
              </w:rPr>
              <w:t>公共资源交</w:t>
            </w:r>
            <w:r>
              <w:rPr>
                <w:color w:val="auto"/>
                <w:spacing w:val="-7"/>
                <w:sz w:val="24"/>
                <w:highlight w:val="none"/>
              </w:rPr>
              <w:t>易监督管理局将依法对中标人进行处理，追究相关责</w:t>
            </w:r>
            <w:r>
              <w:rPr>
                <w:color w:val="auto"/>
                <w:sz w:val="24"/>
                <w:highlight w:val="none"/>
              </w:rPr>
              <w:t>任：</w:t>
            </w:r>
          </w:p>
          <w:p w14:paraId="73577830">
            <w:pPr>
              <w:pStyle w:val="39"/>
              <w:adjustRightInd w:val="0"/>
              <w:snapToGrid w:val="0"/>
              <w:spacing w:line="560" w:lineRule="exact"/>
              <w:jc w:val="left"/>
              <w:rPr>
                <w:rFonts w:hint="eastAsia"/>
                <w:bCs/>
                <w:snapToGrid w:val="0"/>
                <w:color w:val="auto"/>
                <w:kern w:val="0"/>
                <w:sz w:val="24"/>
                <w:highlight w:val="none"/>
              </w:rPr>
            </w:pPr>
            <w:r>
              <w:rPr>
                <w:rFonts w:hint="eastAsia"/>
                <w:bCs/>
                <w:snapToGrid w:val="0"/>
                <w:color w:val="auto"/>
                <w:kern w:val="0"/>
                <w:sz w:val="24"/>
                <w:highlight w:val="none"/>
              </w:rPr>
              <w:t>①中标人无正当理由不与招标人订立合同，在签订合同时向招标人提出附加条件，或者不按照招标文件要求提交履约保证金的，招标人有权取消中标人中标资格，并将相关违约行为报送监管部门处理；</w:t>
            </w:r>
          </w:p>
          <w:p w14:paraId="6014BC69">
            <w:pPr>
              <w:pStyle w:val="39"/>
              <w:adjustRightInd w:val="0"/>
              <w:snapToGrid w:val="0"/>
              <w:spacing w:line="560" w:lineRule="exact"/>
              <w:jc w:val="left"/>
              <w:rPr>
                <w:rFonts w:hint="eastAsia"/>
                <w:bCs/>
                <w:snapToGrid w:val="0"/>
                <w:color w:val="auto"/>
                <w:kern w:val="0"/>
                <w:sz w:val="24"/>
                <w:highlight w:val="none"/>
              </w:rPr>
            </w:pPr>
            <w:r>
              <w:rPr>
                <w:rFonts w:hint="eastAsia"/>
                <w:bCs/>
                <w:snapToGrid w:val="0"/>
                <w:color w:val="auto"/>
                <w:kern w:val="0"/>
                <w:sz w:val="24"/>
                <w:highlight w:val="none"/>
              </w:rPr>
              <w:t>②合同签订后，中标人存在规定时间内不组织人员进场开工、不履行供货安装义务等情况，招标人有权解除合同，并追究违约责任，同时将相关违约行为报送监管部门，记不良行为记录， 实施信用惩戒。</w:t>
            </w:r>
          </w:p>
          <w:p w14:paraId="7F1E8C41">
            <w:pPr>
              <w:pStyle w:val="39"/>
              <w:adjustRightInd w:val="0"/>
              <w:snapToGrid w:val="0"/>
              <w:spacing w:line="560" w:lineRule="exact"/>
              <w:jc w:val="left"/>
              <w:rPr>
                <w:rFonts w:hint="eastAsia"/>
                <w:color w:val="auto"/>
                <w:sz w:val="24"/>
                <w:highlight w:val="none"/>
                <w:lang w:val="en-US"/>
              </w:rPr>
            </w:pPr>
            <w:r>
              <w:rPr>
                <w:rFonts w:hint="eastAsia"/>
                <w:bCs/>
                <w:snapToGrid w:val="0"/>
                <w:color w:val="auto"/>
                <w:kern w:val="0"/>
                <w:sz w:val="24"/>
                <w:highlight w:val="none"/>
                <w:lang w:val="en-US"/>
              </w:rPr>
              <w:t>4</w:t>
            </w:r>
            <w:r>
              <w:rPr>
                <w:rFonts w:hint="eastAsia"/>
                <w:bCs/>
                <w:snapToGrid w:val="0"/>
                <w:color w:val="auto"/>
                <w:kern w:val="0"/>
                <w:sz w:val="24"/>
                <w:highlight w:val="none"/>
                <w:lang w:val="en-US" w:eastAsia="zh-CN"/>
              </w:rPr>
              <w:t>.</w:t>
            </w:r>
            <w:r>
              <w:rPr>
                <w:rFonts w:hint="eastAsia"/>
                <w:bCs/>
                <w:snapToGrid w:val="0"/>
                <w:color w:val="auto"/>
                <w:kern w:val="0"/>
                <w:sz w:val="24"/>
                <w:highlight w:val="none"/>
                <w:lang w:val="en-US"/>
              </w:rPr>
              <w:t>项目经理（建造师）变更按照《关于进一步加强建筑施工现场项目经理（建造师）变更行为管理的通知》（滁公管〔2020〕1号）规定，需经发包人以及公管、住建</w:t>
            </w:r>
            <w:r>
              <w:rPr>
                <w:rFonts w:hint="eastAsia"/>
                <w:color w:val="auto"/>
                <w:sz w:val="24"/>
                <w:highlight w:val="none"/>
                <w:lang w:val="en-US"/>
              </w:rPr>
              <w:t>部门同意。技术负责人变更</w:t>
            </w:r>
            <w:r>
              <w:rPr>
                <w:rFonts w:hint="eastAsia"/>
                <w:color w:val="auto"/>
                <w:sz w:val="24"/>
                <w:highlight w:val="none"/>
                <w:lang w:val="en-US" w:eastAsia="zh-CN"/>
              </w:rPr>
              <w:t>须</w:t>
            </w:r>
            <w:r>
              <w:rPr>
                <w:rFonts w:hint="eastAsia"/>
                <w:color w:val="auto"/>
                <w:sz w:val="24"/>
                <w:highlight w:val="none"/>
                <w:lang w:val="en-US"/>
              </w:rPr>
              <w:t>经发包人同意。</w:t>
            </w:r>
          </w:p>
          <w:p w14:paraId="1AA2893C">
            <w:pPr>
              <w:pStyle w:val="39"/>
              <w:adjustRightInd w:val="0"/>
              <w:snapToGrid w:val="0"/>
              <w:spacing w:line="560" w:lineRule="exact"/>
              <w:jc w:val="left"/>
              <w:rPr>
                <w:color w:val="auto"/>
                <w:sz w:val="24"/>
                <w:highlight w:val="none"/>
                <w:lang w:val="en-US"/>
              </w:rPr>
            </w:pPr>
            <w:r>
              <w:rPr>
                <w:rFonts w:hint="eastAsia"/>
                <w:color w:val="auto"/>
                <w:sz w:val="24"/>
                <w:highlight w:val="none"/>
                <w:lang w:val="en-US"/>
              </w:rPr>
              <w:t>中标人因下列原因变更项目经理（建造师），须缴纳违约金</w:t>
            </w:r>
            <w:r>
              <w:rPr>
                <w:color w:val="auto"/>
                <w:sz w:val="24"/>
                <w:highlight w:val="none"/>
                <w:u w:val="single"/>
                <w:lang w:val="en-US"/>
              </w:rPr>
              <w:t xml:space="preserve"> </w:t>
            </w:r>
            <w:r>
              <w:rPr>
                <w:rFonts w:hint="eastAsia"/>
                <w:color w:val="auto"/>
                <w:sz w:val="24"/>
                <w:highlight w:val="none"/>
                <w:u w:val="single"/>
                <w:lang w:val="en-US" w:eastAsia="zh-CN"/>
              </w:rPr>
              <w:t>300000</w:t>
            </w:r>
            <w:r>
              <w:rPr>
                <w:rFonts w:hint="eastAsia"/>
                <w:color w:val="auto"/>
                <w:sz w:val="24"/>
                <w:highlight w:val="none"/>
                <w:lang w:val="en-US"/>
              </w:rPr>
              <w:t>元</w:t>
            </w:r>
            <w:r>
              <w:rPr>
                <w:rFonts w:hint="eastAsia"/>
                <w:color w:val="auto"/>
                <w:sz w:val="24"/>
                <w:highlight w:val="none"/>
                <w:lang w:val="en-US" w:eastAsia="zh-CN"/>
              </w:rPr>
              <w:t>：</w:t>
            </w:r>
            <w:r>
              <w:rPr>
                <w:color w:val="auto"/>
                <w:sz w:val="24"/>
                <w:highlight w:val="none"/>
                <w:lang w:val="en-US"/>
              </w:rPr>
              <w:t xml:space="preserve"> </w:t>
            </w:r>
            <w:r>
              <w:rPr>
                <w:rFonts w:hint="eastAsia"/>
                <w:color w:val="auto"/>
                <w:sz w:val="24"/>
                <w:highlight w:val="none"/>
                <w:lang w:val="en-US"/>
              </w:rPr>
              <w:t>①患重病、发生意外等身体原因不能在施工现场进行管理的；②离职的；③违法违规行为不能继续从事施工现场管理工作的；④无能力履行合同责任义务被建设行政主管部门或建设单位责令更换的</w:t>
            </w:r>
            <w:r>
              <w:rPr>
                <w:rFonts w:hint="eastAsia"/>
                <w:color w:val="auto"/>
                <w:sz w:val="24"/>
                <w:highlight w:val="none"/>
                <w:lang w:val="en-US" w:eastAsia="zh-CN"/>
              </w:rPr>
              <w:t>。</w:t>
            </w:r>
          </w:p>
          <w:p w14:paraId="7C836300">
            <w:pPr>
              <w:pStyle w:val="39"/>
              <w:adjustRightInd w:val="0"/>
              <w:snapToGrid w:val="0"/>
              <w:spacing w:line="560" w:lineRule="exact"/>
              <w:jc w:val="left"/>
              <w:rPr>
                <w:rFonts w:ascii="MS Mincho" w:hAnsi="MS Mincho" w:cs="MS Mincho"/>
                <w:color w:val="auto"/>
                <w:sz w:val="24"/>
                <w:highlight w:val="none"/>
                <w:lang w:val="en-US"/>
              </w:rPr>
            </w:pPr>
            <w:r>
              <w:rPr>
                <w:rFonts w:hint="eastAsia"/>
                <w:color w:val="auto"/>
                <w:sz w:val="24"/>
                <w:highlight w:val="none"/>
                <w:lang w:val="en-US"/>
              </w:rPr>
              <w:t>中标人因下列原因变更技术负责人，须缴纳违约金</w:t>
            </w:r>
            <w:r>
              <w:rPr>
                <w:rFonts w:hint="eastAsia"/>
                <w:color w:val="auto"/>
                <w:sz w:val="24"/>
                <w:highlight w:val="none"/>
                <w:u w:val="single"/>
                <w:lang w:val="en-US" w:eastAsia="zh-CN"/>
              </w:rPr>
              <w:t>200000</w:t>
            </w:r>
            <w:r>
              <w:rPr>
                <w:rFonts w:hint="eastAsia"/>
                <w:color w:val="auto"/>
                <w:sz w:val="24"/>
                <w:highlight w:val="none"/>
                <w:lang w:val="en-US"/>
              </w:rPr>
              <w:t>元</w:t>
            </w:r>
            <w:r>
              <w:rPr>
                <w:rFonts w:hint="eastAsia"/>
                <w:color w:val="auto"/>
                <w:sz w:val="24"/>
                <w:highlight w:val="none"/>
                <w:lang w:val="en-US" w:eastAsia="zh-CN"/>
              </w:rPr>
              <w:t>：</w:t>
            </w:r>
            <w:r>
              <w:rPr>
                <w:color w:val="auto"/>
                <w:sz w:val="24"/>
                <w:highlight w:val="none"/>
                <w:lang w:val="en-US"/>
              </w:rPr>
              <w:t xml:space="preserve"> </w:t>
            </w:r>
            <w:r>
              <w:rPr>
                <w:rFonts w:hint="eastAsia"/>
                <w:color w:val="auto"/>
                <w:sz w:val="24"/>
                <w:highlight w:val="none"/>
                <w:lang w:val="en-US"/>
              </w:rPr>
              <w:t>①患重病、发生意外等身体原因不能在施工现场进行管理的；②离职的；③违法违规行为不能继续从事施工现场管理工作的；④无能力履行合同责任义务被建设行政主管部门或建设单位责令更换的。</w:t>
            </w:r>
          </w:p>
        </w:tc>
      </w:tr>
      <w:tr w14:paraId="77ED9EFB">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4654C1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w:t>
            </w:r>
            <w:r>
              <w:rPr>
                <w:rFonts w:ascii="宋体" w:hAnsi="宋体" w:cs="宋体"/>
                <w:color w:val="auto"/>
                <w:sz w:val="24"/>
                <w:highlight w:val="none"/>
              </w:rPr>
              <w:t>.10</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E14B2E4">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重点项目约谈</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EA945E6">
            <w:pPr>
              <w:adjustRightInd w:val="0"/>
              <w:snapToGrid w:val="0"/>
              <w:spacing w:line="520" w:lineRule="exact"/>
              <w:rPr>
                <w:rFonts w:hint="eastAsia" w:ascii="宋体" w:hAnsi="宋体" w:cs="宋体"/>
                <w:b/>
                <w:bCs/>
                <w:color w:val="auto"/>
                <w:sz w:val="24"/>
                <w:highlight w:val="none"/>
              </w:rPr>
            </w:pPr>
            <w:r>
              <w:rPr>
                <w:rFonts w:hint="eastAsia" w:ascii="宋体" w:hAnsi="宋体" w:cs="宋体"/>
                <w:color w:val="auto"/>
                <w:sz w:val="24"/>
                <w:highlight w:val="none"/>
                <w:lang w:bidi="zh-CN"/>
              </w:rPr>
              <w:t>实行重点工程项目考察约谈机制。项目单位牵头负责，公管等部门参与对预中标单位进行考察约谈、警醒提示，防止非法转包、违法分包、挂靠及出借资质的情况发生。</w:t>
            </w:r>
          </w:p>
        </w:tc>
      </w:tr>
      <w:tr w14:paraId="257367D0">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688C0A9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1BD677E">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变更招标方式</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045EFE5">
            <w:pPr>
              <w:pStyle w:val="11"/>
              <w:adjustRightInd w:val="0"/>
              <w:snapToGrid w:val="0"/>
              <w:spacing w:after="0" w:line="560" w:lineRule="exact"/>
              <w:rPr>
                <w:rFonts w:hint="eastAsia"/>
                <w:color w:val="auto"/>
                <w:sz w:val="22"/>
                <w:highlight w:val="none"/>
              </w:rPr>
            </w:pPr>
            <w:r>
              <w:rPr>
                <w:rFonts w:hint="eastAsia" w:ascii="宋体" w:hAnsi="宋体" w:cs="宋体"/>
                <w:color w:val="auto"/>
                <w:sz w:val="24"/>
                <w:highlight w:val="none"/>
                <w:lang w:bidi="zh-CN"/>
              </w:rPr>
              <w:t>按照滁州市公共资源交易监督管理局现行规定执行。</w:t>
            </w:r>
          </w:p>
        </w:tc>
      </w:tr>
      <w:tr w14:paraId="0E205D89">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896BDB7">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10.12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8F5A2A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招标人补充的</w:t>
            </w:r>
          </w:p>
          <w:p w14:paraId="53D7EBDB">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其他内容</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51FC59B">
            <w:pPr>
              <w:keepNext/>
              <w:keepLines/>
              <w:adjustRightInd w:val="0"/>
              <w:snapToGrid w:val="0"/>
              <w:spacing w:line="520" w:lineRule="exact"/>
              <w:outlineLvl w:val="3"/>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rPr>
              <w:t>（1）创建优质工程</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本项目不要求）</w:t>
            </w:r>
          </w:p>
          <w:p w14:paraId="0557B9A1">
            <w:pPr>
              <w:spacing w:line="520" w:lineRule="exact"/>
              <w:ind w:firstLine="480" w:firstLineChars="200"/>
              <w:rPr>
                <w:rFonts w:hint="eastAsia" w:ascii="Calibri" w:hAnsi="Calibri" w:cs="Calibri"/>
                <w:color w:val="auto"/>
                <w:sz w:val="24"/>
                <w:highlight w:val="none"/>
              </w:rPr>
            </w:pPr>
            <w:r>
              <w:rPr>
                <w:rFonts w:hint="eastAsia" w:ascii="Calibri" w:hAnsi="Calibri" w:cs="Calibri"/>
                <w:color w:val="auto"/>
                <w:sz w:val="24"/>
                <w:highlight w:val="none"/>
              </w:rPr>
              <w:t>①创建优质工程奖励要求：</w:t>
            </w:r>
          </w:p>
          <w:p w14:paraId="65CBD311">
            <w:pPr>
              <w:spacing w:line="520" w:lineRule="exact"/>
              <w:ind w:firstLine="480" w:firstLineChars="200"/>
              <w:rPr>
                <w:rFonts w:hint="eastAsia" w:ascii="Calibri" w:hAnsi="Calibri" w:cs="Calibri"/>
                <w:color w:val="auto"/>
                <w:sz w:val="24"/>
                <w:highlight w:val="none"/>
              </w:rPr>
            </w:pPr>
            <w:r>
              <w:rPr>
                <w:rFonts w:hint="eastAsia" w:ascii="Calibri" w:hAnsi="Calibri" w:cs="Calibri"/>
                <w:color w:val="auto"/>
                <w:sz w:val="24"/>
                <w:highlight w:val="none"/>
              </w:rPr>
              <w:t>获得市级优质工程奖项，给予工程结算金额的</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奖励；</w:t>
            </w:r>
          </w:p>
          <w:p w14:paraId="197F036E">
            <w:pPr>
              <w:spacing w:line="520" w:lineRule="exact"/>
              <w:ind w:firstLine="480" w:firstLineChars="200"/>
              <w:rPr>
                <w:rFonts w:hint="eastAsia" w:ascii="Calibri" w:hAnsi="Calibri" w:cs="Calibri"/>
                <w:color w:val="auto"/>
                <w:sz w:val="24"/>
                <w:highlight w:val="none"/>
              </w:rPr>
            </w:pPr>
            <w:r>
              <w:rPr>
                <w:rFonts w:hint="eastAsia" w:ascii="Calibri" w:hAnsi="Calibri" w:cs="Calibri"/>
                <w:color w:val="auto"/>
                <w:sz w:val="24"/>
                <w:highlight w:val="none"/>
              </w:rPr>
              <w:t>获得省级优质工程奖项，给予工程结算金额的</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奖励；</w:t>
            </w:r>
          </w:p>
          <w:p w14:paraId="4FF8A6AD">
            <w:pPr>
              <w:spacing w:line="520" w:lineRule="exact"/>
              <w:ind w:firstLine="480" w:firstLineChars="200"/>
              <w:rPr>
                <w:rFonts w:hint="eastAsia" w:ascii="Calibri" w:hAnsi="Calibri" w:cs="Calibri"/>
                <w:color w:val="auto"/>
                <w:sz w:val="24"/>
                <w:highlight w:val="none"/>
              </w:rPr>
            </w:pPr>
            <w:r>
              <w:rPr>
                <w:rFonts w:hint="eastAsia" w:ascii="Calibri" w:hAnsi="Calibri" w:cs="Calibri"/>
                <w:color w:val="auto"/>
                <w:sz w:val="24"/>
                <w:highlight w:val="none"/>
              </w:rPr>
              <w:t>获得国家级优质工程奖项，给予工程结算金额的</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奖励；</w:t>
            </w:r>
          </w:p>
          <w:p w14:paraId="016208CB">
            <w:pPr>
              <w:spacing w:line="520" w:lineRule="exact"/>
              <w:ind w:firstLine="480" w:firstLineChars="200"/>
              <w:rPr>
                <w:rFonts w:hint="eastAsia" w:ascii="宋体" w:hAnsi="宋体" w:eastAsia="宋体" w:cs="宋体"/>
                <w:color w:val="auto"/>
                <w:kern w:val="2"/>
                <w:sz w:val="24"/>
                <w:szCs w:val="24"/>
                <w:highlight w:val="none"/>
                <w:lang w:val="en-US" w:eastAsia="zh-CN" w:bidi="zh-CN"/>
              </w:rPr>
            </w:pPr>
            <w:r>
              <w:rPr>
                <w:rFonts w:hint="eastAsia" w:ascii="Calibri" w:hAnsi="Calibri" w:cs="Calibri"/>
                <w:color w:val="auto"/>
                <w:sz w:val="24"/>
                <w:highlight w:val="none"/>
              </w:rPr>
              <w:t>②创建优质工程其他要求：</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u w:val="single"/>
                <w:lang w:val="en-US" w:eastAsia="zh-CN"/>
              </w:rPr>
              <w:t xml:space="preserve">无 </w:t>
            </w:r>
            <w:r>
              <w:rPr>
                <w:rFonts w:hint="eastAsia" w:ascii="Calibri" w:hAnsi="Calibri" w:cs="Calibri"/>
                <w:color w:val="auto"/>
                <w:sz w:val="24"/>
                <w:highlight w:val="none"/>
                <w:u w:val="single"/>
              </w:rPr>
              <w:t xml:space="preserve">        </w:t>
            </w:r>
            <w:r>
              <w:rPr>
                <w:rFonts w:hint="eastAsia" w:ascii="Calibri" w:hAnsi="Calibri" w:cs="Calibri"/>
                <w:color w:val="auto"/>
                <w:sz w:val="24"/>
                <w:highlight w:val="none"/>
              </w:rPr>
              <w:t>。</w:t>
            </w:r>
          </w:p>
          <w:p w14:paraId="62FCD5C9">
            <w:pPr>
              <w:keepNext/>
              <w:keepLines/>
              <w:adjustRightInd w:val="0"/>
              <w:snapToGrid w:val="0"/>
              <w:spacing w:line="520" w:lineRule="exact"/>
              <w:outlineLvl w:val="3"/>
              <w:rPr>
                <w:rFonts w:hint="eastAsia" w:ascii="宋体" w:hAnsi="宋体" w:cs="宋体"/>
                <w:b/>
                <w:color w:val="auto"/>
                <w:sz w:val="24"/>
                <w:highlight w:val="none"/>
              </w:rPr>
            </w:pPr>
            <w:r>
              <w:rPr>
                <w:rFonts w:hint="eastAsia" w:ascii="宋体" w:hAnsi="宋体" w:cs="宋体"/>
                <w:b/>
                <w:color w:val="auto"/>
                <w:sz w:val="24"/>
                <w:highlight w:val="none"/>
              </w:rPr>
              <w:t>（2）暂估价</w:t>
            </w:r>
          </w:p>
          <w:p w14:paraId="45A6C005">
            <w:pPr>
              <w:adjustRightInd w:val="0"/>
              <w:snapToGrid w:val="0"/>
              <w:spacing w:line="520" w:lineRule="exact"/>
              <w:rPr>
                <w:rFonts w:hint="eastAsia" w:ascii="宋体" w:hAnsi="宋体" w:cs="宋体"/>
                <w:color w:val="auto"/>
                <w:sz w:val="24"/>
                <w:highlight w:val="none"/>
                <w:u w:val="single"/>
              </w:rPr>
            </w:pPr>
            <w:r>
              <w:rPr>
                <w:rFonts w:hint="eastAsia" w:ascii="宋体" w:hAnsi="宋体" w:cs="宋体"/>
                <w:color w:val="auto"/>
                <w:kern w:val="0"/>
                <w:sz w:val="24"/>
                <w:highlight w:val="none"/>
              </w:rPr>
              <w:t xml:space="preserve">暂估价材料、工程设备及专业工程约定： </w:t>
            </w:r>
            <w:r>
              <w:rPr>
                <w:rFonts w:hint="eastAsia" w:ascii="宋体" w:hAnsi="宋体" w:cs="宋体"/>
                <w:color w:val="auto"/>
                <w:kern w:val="0"/>
                <w:sz w:val="24"/>
                <w:highlight w:val="none"/>
                <w:u w:val="single"/>
                <w:lang w:val="en-US" w:eastAsia="zh-CN"/>
              </w:rPr>
              <w:t>详见工程量清单</w:t>
            </w:r>
            <w:r>
              <w:rPr>
                <w:rFonts w:hint="eastAsia" w:ascii="宋体" w:hAnsi="宋体" w:cs="宋体"/>
                <w:color w:val="auto"/>
                <w:kern w:val="0"/>
                <w:sz w:val="24"/>
                <w:highlight w:val="none"/>
              </w:rPr>
              <w:t>。</w:t>
            </w:r>
          </w:p>
          <w:p w14:paraId="370574B6">
            <w:pPr>
              <w:spacing w:line="520" w:lineRule="exact"/>
              <w:rPr>
                <w:rFonts w:ascii="宋体" w:hAnsi="宋体" w:cs="宋体"/>
                <w:b/>
                <w:bCs/>
                <w:color w:val="auto"/>
                <w:sz w:val="24"/>
                <w:highlight w:val="none"/>
              </w:rPr>
            </w:pPr>
            <w:r>
              <w:rPr>
                <w:rFonts w:hint="eastAsia" w:ascii="宋体" w:hAnsi="宋体" w:cs="宋体"/>
                <w:b/>
                <w:bCs/>
                <w:color w:val="auto"/>
                <w:sz w:val="24"/>
                <w:highlight w:val="none"/>
              </w:rPr>
              <w:t>（3）安全生产</w:t>
            </w:r>
          </w:p>
          <w:p w14:paraId="747543E7">
            <w:pPr>
              <w:spacing w:line="520" w:lineRule="exact"/>
              <w:rPr>
                <w:rFonts w:hint="eastAsia" w:ascii="宋体" w:hAnsi="宋体" w:cs="宋体"/>
                <w:color w:val="auto"/>
                <w:sz w:val="24"/>
                <w:highlight w:val="none"/>
              </w:rPr>
            </w:pPr>
            <w:r>
              <w:rPr>
                <w:rFonts w:hint="eastAsia" w:ascii="宋体" w:hAnsi="宋体" w:cs="宋体"/>
                <w:color w:val="auto"/>
                <w:sz w:val="24"/>
                <w:highlight w:val="none"/>
              </w:rPr>
              <w:t>①须严格遵守《中华人民共和国安全生产法</w:t>
            </w:r>
            <w:r>
              <w:rPr>
                <w:rFonts w:hint="eastAsia" w:ascii="宋体" w:hAnsi="宋体" w:cs="宋体"/>
                <w:color w:val="auto"/>
                <w:sz w:val="24"/>
                <w:highlight w:val="none"/>
                <w:lang w:eastAsia="zh-CN"/>
              </w:rPr>
              <w:t>》《</w:t>
            </w:r>
            <w:r>
              <w:rPr>
                <w:rFonts w:hint="eastAsia" w:ascii="宋体" w:hAnsi="宋体" w:cs="宋体"/>
                <w:color w:val="auto"/>
                <w:sz w:val="24"/>
                <w:highlight w:val="none"/>
              </w:rPr>
              <w:t>建设工程安全生产管理条例》等国家有关安全生产的法律法规、《建设项目安全设施“三同时”监督管理办法》等有关安全生产的规定。认真执行工程承包合同中的有关安全要求。</w:t>
            </w:r>
          </w:p>
          <w:p w14:paraId="4D2B8C5A">
            <w:pPr>
              <w:spacing w:line="520" w:lineRule="exact"/>
              <w:rPr>
                <w:rFonts w:hint="eastAsia" w:ascii="宋体" w:hAnsi="宋体" w:cs="宋体"/>
                <w:color w:val="auto"/>
                <w:sz w:val="24"/>
                <w:highlight w:val="none"/>
              </w:rPr>
            </w:pPr>
            <w:r>
              <w:rPr>
                <w:rFonts w:hint="eastAsia" w:ascii="宋体" w:hAnsi="宋体" w:cs="宋体"/>
                <w:color w:val="auto"/>
                <w:sz w:val="24"/>
                <w:highlight w:val="none"/>
              </w:rPr>
              <w:t>②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合同的各项规定，做到生产与安全工作同时计划、布置、检查、总结和评比。</w:t>
            </w:r>
          </w:p>
        </w:tc>
      </w:tr>
      <w:tr w14:paraId="4C040DDC">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6894CA1">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2C1BCEB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采用“实名认证”投标</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D645379">
            <w:pPr>
              <w:adjustRightInd w:val="0"/>
              <w:snapToGrid w:val="0"/>
              <w:spacing w:line="520" w:lineRule="exact"/>
              <w:rPr>
                <w:rFonts w:hint="eastAsia" w:ascii="宋体" w:hAnsi="宋体" w:cs="宋体"/>
                <w:color w:val="000000"/>
                <w:sz w:val="24"/>
                <w:szCs w:val="22"/>
              </w:rPr>
            </w:pPr>
            <w:r>
              <w:rPr>
                <w:rFonts w:hint="eastAsia" w:ascii="宋体" w:hAnsi="宋体" w:cs="宋体"/>
                <w:color w:val="000000"/>
                <w:sz w:val="24"/>
                <w:szCs w:val="22"/>
              </w:rPr>
              <w:t>是，本项目采用“实名认证”投标，相关要求如下：</w:t>
            </w:r>
          </w:p>
          <w:p w14:paraId="6B9D4BB6">
            <w:pPr>
              <w:adjustRightInd w:val="0"/>
              <w:snapToGrid w:val="0"/>
              <w:spacing w:line="520" w:lineRule="exact"/>
              <w:rPr>
                <w:rFonts w:hint="eastAsia" w:ascii="宋体" w:hAnsi="宋体" w:cs="宋体"/>
                <w:color w:val="000000"/>
                <w:sz w:val="24"/>
                <w:szCs w:val="22"/>
              </w:rPr>
            </w:pPr>
            <w:r>
              <w:rPr>
                <w:rFonts w:hint="eastAsia" w:ascii="宋体" w:hAnsi="宋体" w:cs="宋体"/>
                <w:color w:val="000000"/>
                <w:sz w:val="24"/>
                <w:szCs w:val="22"/>
              </w:rPr>
              <w:t>1</w:t>
            </w:r>
            <w:r>
              <w:rPr>
                <w:rFonts w:hint="eastAsia" w:ascii="宋体" w:hAnsi="宋体" w:cs="宋体"/>
                <w:color w:val="000000"/>
                <w:sz w:val="24"/>
                <w:szCs w:val="22"/>
                <w:lang w:val="en-US" w:eastAsia="zh-CN"/>
              </w:rPr>
              <w:t>.</w:t>
            </w:r>
            <w:r>
              <w:rPr>
                <w:rFonts w:hint="eastAsia" w:ascii="宋体" w:hAnsi="宋体" w:cs="宋体"/>
                <w:color w:val="000000"/>
                <w:sz w:val="24"/>
                <w:szCs w:val="22"/>
              </w:rPr>
              <w:t>“实名认证”投标是指应用“人脸识别”技术，对法定代表人或对投标联系人身份进行实名验证的投标活动。投标联系人或法定代表人在下载招标文件、上传投标文件前，在电子交易系统中完成实名认证比对。</w:t>
            </w:r>
          </w:p>
          <w:p w14:paraId="16990C14">
            <w:pPr>
              <w:adjustRightInd w:val="0"/>
              <w:snapToGrid w:val="0"/>
              <w:spacing w:line="520" w:lineRule="exact"/>
              <w:rPr>
                <w:rFonts w:hint="eastAsia" w:ascii="宋体" w:hAnsi="宋体" w:cs="宋体"/>
                <w:color w:val="000000"/>
                <w:sz w:val="24"/>
                <w:szCs w:val="22"/>
              </w:rPr>
            </w:pPr>
            <w:r>
              <w:rPr>
                <w:rFonts w:hint="eastAsia" w:ascii="宋体" w:hAnsi="宋体" w:cs="宋体"/>
                <w:color w:val="000000"/>
                <w:sz w:val="24"/>
                <w:szCs w:val="22"/>
              </w:rPr>
              <w:t>2</w:t>
            </w:r>
            <w:r>
              <w:rPr>
                <w:rFonts w:hint="eastAsia" w:ascii="宋体" w:hAnsi="宋体" w:cs="宋体"/>
                <w:color w:val="000000"/>
                <w:sz w:val="24"/>
                <w:szCs w:val="22"/>
                <w:lang w:val="en-US" w:eastAsia="zh-CN"/>
              </w:rPr>
              <w:t>.</w:t>
            </w:r>
            <w:r>
              <w:rPr>
                <w:rFonts w:hint="eastAsia" w:ascii="宋体" w:hAnsi="宋体" w:cs="宋体"/>
                <w:color w:val="000000"/>
                <w:sz w:val="24"/>
                <w:szCs w:val="22"/>
              </w:rPr>
              <w:t>“实名认证”投标基于“皖企通”APP完成，各投标人提前在手机上下载、安装、调试好“皖企通”APP（具体操作详见滁州市公共资源交易中心网/网上课堂/全部课程/《滁州市公共资源交易系统操作手册（投标人）》）。</w:t>
            </w:r>
          </w:p>
          <w:p w14:paraId="4DA57140">
            <w:pPr>
              <w:adjustRightInd w:val="0"/>
              <w:snapToGrid w:val="0"/>
              <w:spacing w:line="520" w:lineRule="exact"/>
              <w:rPr>
                <w:rFonts w:hint="eastAsia" w:ascii="宋体" w:hAnsi="宋体" w:cs="宋体"/>
                <w:color w:val="000000"/>
                <w:sz w:val="24"/>
                <w:szCs w:val="22"/>
              </w:rPr>
            </w:pPr>
            <w:r>
              <w:rPr>
                <w:rFonts w:hint="eastAsia" w:ascii="宋体" w:hAnsi="宋体" w:cs="宋体"/>
                <w:color w:val="000000"/>
                <w:sz w:val="24"/>
                <w:szCs w:val="22"/>
              </w:rPr>
              <w:t>3</w:t>
            </w:r>
            <w:r>
              <w:rPr>
                <w:rFonts w:hint="eastAsia" w:ascii="宋体" w:hAnsi="宋体" w:cs="宋体"/>
                <w:color w:val="000000"/>
                <w:sz w:val="24"/>
                <w:szCs w:val="22"/>
                <w:lang w:val="en-US" w:eastAsia="zh-CN"/>
              </w:rPr>
              <w:t>.</w:t>
            </w:r>
            <w:r>
              <w:rPr>
                <w:rFonts w:hint="eastAsia" w:ascii="宋体" w:hAnsi="宋体" w:cs="宋体"/>
                <w:color w:val="000000"/>
                <w:sz w:val="24"/>
                <w:szCs w:val="22"/>
              </w:rPr>
              <w:t>“人脸识别”身份认证出现异常情况的，作如下处理：</w:t>
            </w:r>
          </w:p>
          <w:p w14:paraId="43566758">
            <w:pPr>
              <w:adjustRightInd w:val="0"/>
              <w:snapToGrid w:val="0"/>
              <w:spacing w:line="520" w:lineRule="exact"/>
              <w:rPr>
                <w:rFonts w:hint="eastAsia" w:ascii="宋体" w:hAnsi="宋体" w:cs="宋体"/>
                <w:color w:val="000000"/>
                <w:sz w:val="24"/>
                <w:szCs w:val="22"/>
              </w:rPr>
            </w:pPr>
            <w:r>
              <w:rPr>
                <w:rFonts w:hint="eastAsia" w:ascii="宋体" w:hAnsi="宋体" w:cs="宋体"/>
                <w:color w:val="000000"/>
                <w:sz w:val="24"/>
                <w:szCs w:val="22"/>
              </w:rPr>
              <w:t>（1）下载招标文件人脸比对：未参与“人脸识别”身份认证或“人脸识别”身份认证失败的，将无法下载招标文件。</w:t>
            </w:r>
          </w:p>
          <w:p w14:paraId="02C38B5F">
            <w:pPr>
              <w:adjustRightInd w:val="0"/>
              <w:snapToGrid w:val="0"/>
              <w:spacing w:line="520" w:lineRule="exact"/>
              <w:rPr>
                <w:rFonts w:hint="eastAsia" w:ascii="宋体" w:hAnsi="宋体" w:cs="宋体"/>
                <w:color w:val="000000"/>
                <w:sz w:val="24"/>
                <w:szCs w:val="22"/>
              </w:rPr>
            </w:pPr>
            <w:r>
              <w:rPr>
                <w:rFonts w:hint="eastAsia" w:ascii="宋体" w:hAnsi="宋体" w:cs="宋体"/>
                <w:color w:val="000000"/>
                <w:sz w:val="24"/>
                <w:szCs w:val="22"/>
              </w:rPr>
              <w:t>（2）上传投标文件人脸比对：未参与“人脸识别”身份认证或“人脸识别”身份认证失败的，将无法上传投标文件。</w:t>
            </w:r>
          </w:p>
          <w:p w14:paraId="587625F0">
            <w:pPr>
              <w:spacing w:line="520" w:lineRule="exact"/>
              <w:rPr>
                <w:rFonts w:hint="eastAsia" w:ascii="宋体" w:hAnsi="宋体" w:eastAsia="宋体" w:cs="宋体"/>
                <w:color w:val="auto"/>
                <w:sz w:val="24"/>
                <w:highlight w:val="none"/>
                <w:lang w:eastAsia="zh-CN"/>
              </w:rPr>
            </w:pPr>
            <w:r>
              <w:rPr>
                <w:rFonts w:hint="eastAsia" w:ascii="宋体" w:hAnsi="宋体" w:cs="宋体"/>
                <w:color w:val="000000"/>
                <w:sz w:val="24"/>
                <w:szCs w:val="22"/>
              </w:rPr>
              <w:t>注：投标联系人是指下载招标文件、上传投标文件等参与投标活动的经办人。在投标活动中，投标联系人可以不为同一人。</w:t>
            </w:r>
          </w:p>
        </w:tc>
      </w:tr>
      <w:tr w14:paraId="54E08C6F">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C4F0653">
            <w:pPr>
              <w:adjustRightInd w:val="0"/>
              <w:snapToGrid w:val="0"/>
              <w:spacing w:line="56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10.14</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39AE6989">
            <w:pPr>
              <w:adjustRightInd w:val="0"/>
              <w:snapToGrid w:val="0"/>
              <w:spacing w:line="560" w:lineRule="exact"/>
              <w:jc w:val="center"/>
              <w:rPr>
                <w:rFonts w:hint="eastAsia" w:ascii="宋体" w:hAnsi="宋体" w:cs="宋体"/>
                <w:color w:val="auto"/>
                <w:sz w:val="24"/>
                <w:highlight w:val="none"/>
              </w:rPr>
            </w:pPr>
            <w:r>
              <w:rPr>
                <w:rFonts w:hint="eastAsia" w:ascii="宋体" w:hAnsi="宋体" w:eastAsia="宋体" w:cs="宋体"/>
                <w:smallCaps w:val="0"/>
                <w:sz w:val="24"/>
                <w:szCs w:val="24"/>
              </w:rPr>
              <w:t>政府采购政策</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C70253B">
            <w:pPr>
              <w:spacing w:line="520" w:lineRule="exact"/>
              <w:rPr>
                <w:rFonts w:hint="eastAsia" w:ascii="宋体" w:hAnsi="宋体" w:eastAsia="宋体" w:cs="宋体"/>
                <w:color w:val="000000"/>
                <w:sz w:val="24"/>
                <w:szCs w:val="22"/>
                <w:lang w:val="en-US" w:eastAsia="zh-CN"/>
              </w:rPr>
            </w:pPr>
            <w:r>
              <w:rPr>
                <w:rFonts w:hint="eastAsia" w:ascii="宋体" w:hAnsi="宋体" w:cs="宋体"/>
                <w:color w:val="000000"/>
                <w:sz w:val="24"/>
                <w:szCs w:val="22"/>
                <w:lang w:val="en-US" w:eastAsia="zh-CN"/>
              </w:rPr>
              <w:t>不适用</w:t>
            </w:r>
          </w:p>
        </w:tc>
      </w:tr>
      <w:tr w14:paraId="0283370A">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0DCFBC8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10.15</w:t>
            </w:r>
            <w:r>
              <w:rPr>
                <w:rFonts w:hint="eastAsia" w:ascii="宋体" w:hAnsi="宋体" w:cs="宋体"/>
                <w:color w:val="auto"/>
                <w:sz w:val="24"/>
                <w:highlight w:val="none"/>
              </w:rPr>
              <w:t xml:space="preserve"> </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25A35C6">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进场考核考勤</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D13503D">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人员考核：工程开工进场后，承包人必须按招标文件要求和投标承诺配备项目经理、技术负责人等施工项目部关键岗位人员。未经发包人同意，不得更换上述人员并满足《关于进一步加强建筑施工现场项目负责人变更行为管理的通知》及滁州市其他相关规定要求。发包人将组织对上述人员进行业务能力考核，对未按投标文件配备或经考核不合格要求更换人员的，承包人7日内必须整改调整到位。对项目经理（建造师）和技术负责人处以</w:t>
            </w:r>
            <w:r>
              <w:rPr>
                <w:rFonts w:hint="eastAsia" w:ascii="宋体" w:hAnsi="宋体" w:eastAsia="宋体" w:cs="宋体"/>
                <w:color w:val="auto"/>
                <w:sz w:val="24"/>
                <w:highlight w:val="none"/>
                <w:lang w:val="en-US" w:eastAsia="zh-CN"/>
              </w:rPr>
              <w:t>5000</w:t>
            </w:r>
            <w:r>
              <w:rPr>
                <w:rFonts w:hint="eastAsia" w:ascii="宋体" w:hAnsi="宋体" w:eastAsia="宋体" w:cs="宋体"/>
                <w:color w:val="auto"/>
                <w:sz w:val="24"/>
                <w:highlight w:val="none"/>
              </w:rPr>
              <w:t>元/人·天的违约金，对项目经理（建造师）和技术负</w:t>
            </w:r>
            <w:r>
              <w:rPr>
                <w:rFonts w:hint="eastAsia" w:ascii="宋体" w:hAnsi="宋体" w:cs="宋体"/>
                <w:color w:val="auto"/>
                <w:sz w:val="24"/>
                <w:highlight w:val="none"/>
                <w:lang w:eastAsia="zh-CN"/>
              </w:rPr>
              <w:t>责人</w:t>
            </w:r>
            <w:r>
              <w:rPr>
                <w:rFonts w:hint="eastAsia" w:ascii="宋体" w:hAnsi="宋体" w:eastAsia="宋体" w:cs="宋体"/>
                <w:color w:val="auto"/>
                <w:sz w:val="24"/>
                <w:highlight w:val="none"/>
              </w:rPr>
              <w:t>外以外的其他管理人员处以</w:t>
            </w:r>
            <w:r>
              <w:rPr>
                <w:rFonts w:hint="eastAsia" w:ascii="宋体" w:hAnsi="宋体" w:eastAsia="宋体" w:cs="宋体"/>
                <w:color w:val="auto"/>
                <w:sz w:val="24"/>
                <w:highlight w:val="none"/>
                <w:lang w:val="en-US" w:eastAsia="zh-CN"/>
              </w:rPr>
              <w:t>3000</w:t>
            </w:r>
            <w:r>
              <w:rPr>
                <w:rFonts w:hint="eastAsia" w:ascii="宋体" w:hAnsi="宋体" w:eastAsia="宋体" w:cs="宋体"/>
                <w:color w:val="auto"/>
                <w:sz w:val="24"/>
                <w:highlight w:val="none"/>
              </w:rPr>
              <w:t>元/人·天的违约金。28日内未整改调整到位的，发包人有权终止合同，并提请相关行政主管部门对企业和人员进行“黑名单”处罚。发包人在施工进场第一个月或施工过程中发现承包人转包、挂靠等行为的，发包人立即解除合同，清退出场，承包人已完合格工程量按合同价款60%进行结算。</w:t>
            </w:r>
          </w:p>
          <w:p w14:paraId="06E67E64">
            <w:pPr>
              <w:spacing w:line="52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人员考勤：①项目部所有管理人员上下班实行人脸识别电子考勤，人脸识别电子考勤系统设备必须与招标人现行使用的监管平台无缝对接。②监管平台设备及人脸识别电子考勤系统设备，承包人可以租赁或购买，但租赁或购买费用由承包人在投标报价时自行考虑</w:t>
            </w:r>
            <w:r>
              <w:rPr>
                <w:rFonts w:hint="eastAsia" w:ascii="宋体" w:hAnsi="宋体" w:cs="宋体"/>
                <w:color w:val="auto"/>
                <w:sz w:val="24"/>
                <w:highlight w:val="none"/>
                <w:lang w:eastAsia="zh-CN"/>
              </w:rPr>
              <w:t>，包</w:t>
            </w:r>
            <w:r>
              <w:rPr>
                <w:rFonts w:hint="eastAsia" w:ascii="宋体" w:hAnsi="宋体" w:eastAsia="宋体" w:cs="宋体"/>
                <w:color w:val="auto"/>
                <w:sz w:val="24"/>
                <w:highlight w:val="none"/>
              </w:rPr>
              <w:t>含在投标报价中，招标人将不再支付任何费用。③监管平台考勤范围为本项目监理部和项目部所有管理人员，监管平台信息及数据录入（包括质量、进度、安全、施工许可办理等）均由监理单位负责。④项目经理（建造师）每月在岗时间不得少于22天，每天不少于8小时，其他管理人员每月在岗时间不得少于25天，每天不少于8小时。未按规定在岗履责的，对项目经理（建造师）和技术负责人处以</w:t>
            </w:r>
            <w:r>
              <w:rPr>
                <w:rFonts w:hint="eastAsia" w:ascii="宋体" w:hAnsi="宋体" w:eastAsia="宋体" w:cs="宋体"/>
                <w:color w:val="auto"/>
                <w:sz w:val="24"/>
                <w:highlight w:val="none"/>
                <w:lang w:val="en-US" w:eastAsia="zh-CN"/>
              </w:rPr>
              <w:t>5000</w:t>
            </w:r>
            <w:r>
              <w:rPr>
                <w:rFonts w:hint="eastAsia" w:ascii="宋体" w:hAnsi="宋体" w:eastAsia="宋体" w:cs="宋体"/>
                <w:color w:val="auto"/>
                <w:sz w:val="24"/>
                <w:highlight w:val="none"/>
              </w:rPr>
              <w:t>元/人·天的违约金，对项目经理（建造师）和技术负</w:t>
            </w:r>
            <w:r>
              <w:rPr>
                <w:rFonts w:hint="eastAsia" w:ascii="宋体" w:hAnsi="宋体" w:cs="宋体"/>
                <w:color w:val="auto"/>
                <w:sz w:val="24"/>
                <w:highlight w:val="none"/>
                <w:lang w:eastAsia="zh-CN"/>
              </w:rPr>
              <w:t>责人</w:t>
            </w:r>
            <w:r>
              <w:rPr>
                <w:rFonts w:hint="eastAsia" w:ascii="宋体" w:hAnsi="宋体" w:eastAsia="宋体" w:cs="宋体"/>
                <w:color w:val="auto"/>
                <w:sz w:val="24"/>
                <w:highlight w:val="none"/>
              </w:rPr>
              <w:t>外以外的其他管理人员处以</w:t>
            </w:r>
            <w:r>
              <w:rPr>
                <w:rFonts w:hint="eastAsia" w:ascii="宋体" w:hAnsi="宋体" w:eastAsia="宋体" w:cs="宋体"/>
                <w:color w:val="auto"/>
                <w:sz w:val="24"/>
                <w:highlight w:val="none"/>
                <w:lang w:val="en-US" w:eastAsia="zh-CN"/>
              </w:rPr>
              <w:t>3000</w:t>
            </w:r>
            <w:r>
              <w:rPr>
                <w:rFonts w:hint="eastAsia" w:ascii="宋体" w:hAnsi="宋体" w:eastAsia="宋体" w:cs="宋体"/>
                <w:color w:val="auto"/>
                <w:sz w:val="24"/>
                <w:highlight w:val="none"/>
              </w:rPr>
              <w:t xml:space="preserve">元/人·天的违约金。 </w:t>
            </w:r>
          </w:p>
          <w:p w14:paraId="0D900080">
            <w:pPr>
              <w:spacing w:line="52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在经开区及各级相关部门现场检查过程中发现项目经理（建造师）、技术负责人、安全员、质检员等主要管理人员未按合同约定在岗三次及以上的，将上报建设行政主管部门依法依规处理，并在相关信用信息平台披露。 </w:t>
            </w:r>
          </w:p>
          <w:p w14:paraId="5B0F4F09">
            <w:pPr>
              <w:spacing w:line="520" w:lineRule="exact"/>
              <w:rPr>
                <w:rFonts w:hint="eastAsia" w:ascii="宋体" w:hAnsi="宋体" w:cs="宋体"/>
                <w:b/>
                <w:bCs/>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中标人未能按照承诺到岗尽职的，招标人将视情况严重程度对其作出相应处理，给予警告并发出整改通知。如仍未及时整改，招标人有权责令其停工整改</w:t>
            </w:r>
            <w:r>
              <w:rPr>
                <w:rFonts w:hint="eastAsia" w:ascii="宋体" w:hAnsi="宋体" w:cs="宋体"/>
                <w:color w:val="auto"/>
                <w:sz w:val="24"/>
                <w:highlight w:val="none"/>
                <w:lang w:eastAsia="zh-CN"/>
              </w:rPr>
              <w:t>直至</w:t>
            </w:r>
            <w:r>
              <w:rPr>
                <w:rFonts w:hint="eastAsia" w:ascii="宋体" w:hAnsi="宋体" w:eastAsia="宋体" w:cs="宋体"/>
                <w:color w:val="auto"/>
                <w:sz w:val="24"/>
                <w:highlight w:val="none"/>
              </w:rPr>
              <w:t>终止合同，招标人还将停止支付工程款项，扣留任何</w:t>
            </w:r>
            <w:r>
              <w:rPr>
                <w:rFonts w:hint="eastAsia" w:ascii="宋体" w:hAnsi="宋体" w:cs="宋体"/>
                <w:color w:val="auto"/>
                <w:sz w:val="24"/>
                <w:highlight w:val="none"/>
                <w:lang w:eastAsia="zh-CN"/>
              </w:rPr>
              <w:t>未支</w:t>
            </w:r>
            <w:r>
              <w:rPr>
                <w:rFonts w:hint="eastAsia" w:ascii="宋体" w:hAnsi="宋体" w:eastAsia="宋体" w:cs="宋体"/>
                <w:color w:val="auto"/>
                <w:sz w:val="24"/>
                <w:highlight w:val="none"/>
              </w:rPr>
              <w:t>付的工程进度款项补偿建设单位的有关损失或工期延误的损失，并就此向承包单位索赔。</w:t>
            </w:r>
          </w:p>
        </w:tc>
      </w:tr>
      <w:tr w14:paraId="2D93F086">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28A183BF">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10.16</w:t>
            </w:r>
            <w:r>
              <w:rPr>
                <w:rFonts w:hint="eastAsia" w:ascii="宋体" w:hAnsi="宋体" w:cs="宋体"/>
                <w:color w:val="auto"/>
                <w:sz w:val="24"/>
                <w:highlight w:val="none"/>
              </w:rPr>
              <w:t xml:space="preserve"> </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555FCC0">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工程进度管理 </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96492AE">
            <w:pPr>
              <w:spacing w:line="52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工程有下列原因影响合同工期的，由承包人提出，经发包人批准可顺延合同工期：（1）土地和房屋征收进度不符合施工要求，涉铁路、涉部队、涉供电等影响施工；（2）因地震、洪涝灾害、突发重大事件等不可抗力影响施工；（3）因规划设计调整或重大变更，对工期造成影响的；（4）</w:t>
            </w:r>
            <w:r>
              <w:rPr>
                <w:rFonts w:hint="eastAsia" w:ascii="宋体" w:hAnsi="宋体" w:cs="宋体"/>
                <w:color w:val="auto"/>
                <w:sz w:val="24"/>
                <w:highlight w:val="none"/>
                <w:lang w:eastAsia="zh-CN"/>
              </w:rPr>
              <w:t>其他</w:t>
            </w:r>
            <w:r>
              <w:rPr>
                <w:rFonts w:hint="eastAsia" w:ascii="宋体" w:hAnsi="宋体" w:eastAsia="宋体" w:cs="宋体"/>
                <w:color w:val="auto"/>
                <w:sz w:val="24"/>
                <w:highlight w:val="none"/>
              </w:rPr>
              <w:t>非承包人原因影响工期的。承包人未提出工期顺延的申请或申请未经批准的，工期不予顺延。</w:t>
            </w:r>
          </w:p>
          <w:p w14:paraId="1CCFB486">
            <w:pPr>
              <w:spacing w:line="52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因承包人原因造成合同工期延误，每延误一天，处以</w:t>
            </w:r>
            <w:r>
              <w:rPr>
                <w:rFonts w:hint="eastAsia" w:ascii="宋体" w:hAnsi="宋体" w:cs="宋体"/>
                <w:color w:val="auto"/>
                <w:sz w:val="24"/>
                <w:highlight w:val="none"/>
                <w:lang w:val="en-US" w:eastAsia="zh-CN"/>
              </w:rPr>
              <w:t>10000</w:t>
            </w:r>
            <w:r>
              <w:rPr>
                <w:rFonts w:hint="eastAsia" w:ascii="宋体" w:hAnsi="宋体" w:eastAsia="宋体" w:cs="宋体"/>
                <w:color w:val="auto"/>
                <w:sz w:val="24"/>
                <w:highlight w:val="none"/>
              </w:rPr>
              <w:t>元违约金。月工程量未完成的当期不得请款，当月未完成的工程量纳入下月一并完成，完不成的仍不予请款，</w:t>
            </w:r>
            <w:r>
              <w:rPr>
                <w:rFonts w:hint="eastAsia" w:ascii="宋体" w:hAnsi="宋体" w:cs="宋体"/>
                <w:color w:val="auto"/>
                <w:sz w:val="24"/>
                <w:highlight w:val="none"/>
                <w:lang w:eastAsia="zh-CN"/>
              </w:rPr>
              <w:t>以此类推</w:t>
            </w:r>
            <w:r>
              <w:rPr>
                <w:rFonts w:hint="eastAsia" w:ascii="宋体" w:hAnsi="宋体" w:eastAsia="宋体" w:cs="宋体"/>
                <w:color w:val="auto"/>
                <w:sz w:val="24"/>
                <w:highlight w:val="none"/>
              </w:rPr>
              <w:t xml:space="preserve">。5.3对严重拖延工期，经发包人多次督促，承包人拒不整改或整改不到位的，招标人可终止施工合同，同时处以合同金额×2%×50%的金额作为违约金，另选施工队伍，承包人须无条件配合，不得以任何借口阻挠另选的施工队伍施工，不得向发包人提出任何索赔要求。 </w:t>
            </w:r>
          </w:p>
          <w:p w14:paraId="6E1FCCDA">
            <w:pPr>
              <w:spacing w:line="520" w:lineRule="exact"/>
              <w:rPr>
                <w:rFonts w:hint="eastAsia"/>
                <w:color w:val="auto"/>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对严重拖延工期，经发包人多次督促，承包人拒不整改或整改不到位的，招标人可终止施工合同，同时处以合同金额×2%×50%的金额作为违约金，另选施工队伍，承包人须无条件配合，不得以任何借口阻挠另选的施工队伍施工，不得向发包人提出任何索赔要求。 </w:t>
            </w:r>
          </w:p>
        </w:tc>
      </w:tr>
      <w:tr w14:paraId="19AC387A">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5E9A7105">
            <w:pPr>
              <w:adjustRightInd w:val="0"/>
              <w:snapToGrid w:val="0"/>
              <w:spacing w:line="560" w:lineRule="exact"/>
              <w:jc w:val="center"/>
              <w:rPr>
                <w:rFonts w:hint="default" w:ascii="宋体" w:hAnsi="宋体" w:eastAsia="宋体" w:cs="宋体"/>
                <w:color w:val="auto"/>
                <w:sz w:val="24"/>
                <w:highlight w:val="none"/>
                <w:lang w:val="en-US" w:eastAsia="zh-CN"/>
              </w:rPr>
            </w:pPr>
            <w:bookmarkStart w:id="56" w:name="_Toc95223335"/>
            <w:bookmarkStart w:id="57" w:name="_Toc25869"/>
            <w:bookmarkStart w:id="58" w:name="_Toc38879323"/>
            <w:bookmarkStart w:id="59" w:name="_Toc283798422"/>
            <w:r>
              <w:rPr>
                <w:rFonts w:hint="eastAsia" w:ascii="宋体" w:hAnsi="宋体" w:cs="宋体"/>
                <w:color w:val="auto"/>
                <w:sz w:val="24"/>
                <w:highlight w:val="none"/>
                <w:lang w:val="en-US" w:eastAsia="zh-CN"/>
              </w:rPr>
              <w:t>10.17</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1AB36F20">
            <w:pPr>
              <w:adjustRightInd w:val="0"/>
              <w:snapToGrid w:val="0"/>
              <w:spacing w:line="560" w:lineRule="exact"/>
              <w:jc w:val="center"/>
              <w:rPr>
                <w:rFonts w:hint="eastAsia" w:ascii="宋体" w:hAnsi="宋体" w:cs="宋体"/>
                <w:color w:val="auto"/>
                <w:sz w:val="24"/>
                <w:highlight w:val="none"/>
              </w:rPr>
            </w:pPr>
            <w:r>
              <w:rPr>
                <w:rFonts w:hint="eastAsia" w:ascii="宋体" w:hAnsi="宋体" w:eastAsia="宋体" w:cs="宋体"/>
                <w:color w:val="auto"/>
                <w:highlight w:val="none"/>
              </w:rPr>
              <w:t>工程质量管理</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2837E74">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1.承包人被发包人项目组日常检查、专项检查或第三方巡查等检查出未按设计文件和相关规范施工，存在质量问题的，由监理单位记录错误细节，每次处以2000元罚款，直接纳入近期付款申请兑现。</w:t>
            </w:r>
          </w:p>
          <w:p w14:paraId="47B7054E">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2.质量缺陷责任期内出现质量问题，发包人书面通知承包人，在规定时间内不及时处理的，发包人有权直接委托其他单位进行维修，相关费用直接从工程质保金中支付。 </w:t>
            </w:r>
          </w:p>
        </w:tc>
      </w:tr>
      <w:tr w14:paraId="47C2109B">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1397586">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10.18</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15AEF7E8">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安全文明管理</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216D8F37">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承包人必须确保安全文明施工，严格执行国家、安徽省、滁州市的相关规定，同时遵守建设单位对安全文明施工的相关要求。经检查，达不到相关规定和要求的，由项目组及时下发整改通知书，拒不整改或限期整改不到位的，处以承包人2000元/项/次的违约金。施工现场卫生保洁自开工之日起至工程竣工移交结束，切实做好项目管理人员和工人宿舍安全、卫生工作。 </w:t>
            </w:r>
          </w:p>
          <w:p w14:paraId="23930EB2">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2.按关于印发《滁州市建筑工地围挡提档升级标准》的通知（建质﹝2022﹞34 号文）执行。 </w:t>
            </w:r>
          </w:p>
        </w:tc>
      </w:tr>
      <w:tr w14:paraId="0A3CC470">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4124A58C">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10.19</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7FAABD32">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扬尘治理</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61EC4415">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严格执行《安徽省建筑工程施工扬尘污染防治规定》、《滁州市城市扬尘管理办法》和《滁州市建筑工程施工扬尘污染防治实施细则》等相关规定。对违反规定或经检查达不到规定和要求，被相关部门批评、曝光、通报的，处以承包人 10000 元/次的违约金。 </w:t>
            </w:r>
          </w:p>
        </w:tc>
      </w:tr>
      <w:tr w14:paraId="7B21B275">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71A02562">
            <w:pPr>
              <w:adjustRightInd w:val="0"/>
              <w:snapToGrid w:val="0"/>
              <w:spacing w:line="56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10.20</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46415FC">
            <w:pPr>
              <w:adjustRightInd w:val="0"/>
              <w:snapToGrid w:val="0"/>
              <w:spacing w:line="560" w:lineRule="exact"/>
              <w:jc w:val="center"/>
              <w:rPr>
                <w:rFonts w:hint="eastAsia" w:ascii="宋体" w:hAnsi="宋体" w:cs="宋体"/>
                <w:color w:val="auto"/>
                <w:sz w:val="24"/>
                <w:highlight w:val="none"/>
              </w:rPr>
            </w:pPr>
            <w:r>
              <w:rPr>
                <w:rFonts w:hint="eastAsia" w:ascii="宋体" w:hAnsi="宋体" w:cs="宋体"/>
                <w:color w:val="auto"/>
                <w:sz w:val="24"/>
                <w:highlight w:val="none"/>
              </w:rPr>
              <w:t>农民工工资支付</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471598A">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凡到市经开区上访，滞留时间半个工作日（不足半个工作日以半个工作日计算），工程款支付比例在30%-40%（含）的，按每人每半个工作日200元的标准给予处罚，每增加工程款支付比例10%，每人每半个工作日处罚标准增加100元，依此类推。</w:t>
            </w:r>
          </w:p>
          <w:p w14:paraId="0BC8A88F">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2.凡赴市政府或市根治办上访，滞留时间半个工作日（不足半个工作日以半个工作日计算），工程款支付比例在30%-40%（含）的，按每人每半个工作日400元的标准给予处罚，每增加工程款支付比例 10%，每人每半个工作日处罚标准增加200元，依此类推。</w:t>
            </w:r>
          </w:p>
          <w:p w14:paraId="116D160A">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3.凡赴省政府上访，滞留时间半个工作日（不足半个工作日以半个工作日计算），工程款支付比例在 30%-40%（含）的，按每人每半个工作日 600 元的标准给予处罚，每增加工程款支付比例 10%，每人每半个工作日处罚标准增加 300元，依此类推。</w:t>
            </w:r>
          </w:p>
        </w:tc>
      </w:tr>
      <w:tr w14:paraId="3B4B055B">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7B2A8DD">
            <w:pPr>
              <w:adjustRightInd w:val="0"/>
              <w:snapToGrid w:val="0"/>
              <w:spacing w:line="56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10.21</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0857BBC">
            <w:pPr>
              <w:adjustRightInd w:val="0"/>
              <w:snapToGrid w:val="0"/>
              <w:spacing w:line="560" w:lineRule="exact"/>
              <w:jc w:val="center"/>
              <w:rPr>
                <w:rFonts w:hint="eastAsia" w:ascii="宋体" w:hAnsi="宋体" w:cs="宋体"/>
                <w:color w:val="auto"/>
                <w:sz w:val="24"/>
                <w:highlight w:val="none"/>
              </w:rPr>
            </w:pPr>
            <w:r>
              <w:rPr>
                <w:rFonts w:hint="eastAsia" w:ascii="宋体" w:hAnsi="宋体" w:eastAsia="宋体" w:cs="宋体"/>
                <w:color w:val="auto"/>
                <w:highlight w:val="none"/>
              </w:rPr>
              <w:t>现场管理</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146B7961">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1.施工过程中，除临时办公、管理用房（施工进场前建设单位有权指定其具体位置）外，其他人员一律不得住施工现场；若发现上述问题，项目经理（建造师）负责组织、管理及清理出场。 </w:t>
            </w:r>
          </w:p>
          <w:p w14:paraId="73E1A7CD">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2.投标人自行勘察施工现场情况，因投标人未踏勘现场而造成的损失由投标人承担。  </w:t>
            </w:r>
          </w:p>
          <w:p w14:paraId="2D28DEFD">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3.投标人在标前应自行踏勘现场，充分考虑难度系数和不可预见因素。施工期间的协调工作由承包人自行解决，此部分费用包含在投标报价中。 </w:t>
            </w:r>
          </w:p>
          <w:p w14:paraId="556F3436">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施工现场和取、弃土场内的施工便道、机械整平以及协调渣土、环保等相关部门办理相关手续、缴纳保证金及费用等由投标人自行承担，此部分费用包含在投标报价中。施工渣土、淤泥、建筑垃圾等弃置点需经相关部门批准并报发包人备案后，方可施工，不得弃在施工区域500M范围内。严禁违规倾倒堆存。否则，责任自负。</w:t>
            </w:r>
          </w:p>
          <w:p w14:paraId="0E848818">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5.施工过程中，严格执行国家及地方针对环保、禁噪、防尘、防护等措施，必须满足当地行政主管部门相关规定及要求。 </w:t>
            </w:r>
          </w:p>
          <w:p w14:paraId="1D6AA1E7">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6.施工场地及周边场地、道路、绿化、管线、设施设备等，若被施工方（中标人）损坏，施工方（中标人）必须无偿按照原貌恢复。</w:t>
            </w:r>
          </w:p>
          <w:p w14:paraId="7F9C160E">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10.7本项目必须按规定设置封闭围挡，费用含在投标总价中，投标人自行考虑。围挡设置必须符合相关部门要求，对于围挡的宣传标语（图案）等设置，必须按照建设单位要求进行布置，并且及时更新、更换。</w:t>
            </w:r>
          </w:p>
          <w:p w14:paraId="68A845FF">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7.投标人自行勘察施工现场情况，因投标人未</w:t>
            </w:r>
            <w:r>
              <w:rPr>
                <w:rFonts w:hint="eastAsia" w:ascii="宋体" w:hAnsi="宋体" w:cs="宋体"/>
                <w:color w:val="auto"/>
                <w:sz w:val="24"/>
                <w:highlight w:val="none"/>
                <w:lang w:val="en-US" w:eastAsia="zh-CN"/>
              </w:rPr>
              <w:t>勘查现场</w:t>
            </w:r>
            <w:r>
              <w:rPr>
                <w:rFonts w:hint="eastAsia" w:ascii="宋体" w:hAnsi="宋体" w:eastAsia="宋体" w:cs="宋体"/>
                <w:color w:val="auto"/>
                <w:sz w:val="24"/>
                <w:highlight w:val="none"/>
                <w:lang w:val="en-US" w:eastAsia="zh-CN"/>
              </w:rPr>
              <w:t>而造成的损失由投标人承担。在工程建设过程中，出现质量、安全、进度、文明施工、扬尘污染、人员不在岗履职等违约行为的，招标人将给予违约处罚；如中标人拒不缴纳违约金的，招标人有权从履约保证金中直接扣除。</w:t>
            </w:r>
          </w:p>
          <w:p w14:paraId="7FE62F9D">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8.道路、房屋等防护费用、临时设施、施工便道、场地内外的高低压线路保护、建筑物及道路等安全防护等费用由投标人自行</w:t>
            </w:r>
            <w:r>
              <w:rPr>
                <w:rFonts w:hint="eastAsia" w:ascii="宋体" w:hAnsi="宋体" w:cs="宋体"/>
                <w:color w:val="auto"/>
                <w:sz w:val="24"/>
                <w:highlight w:val="none"/>
                <w:lang w:val="en-US" w:eastAsia="zh-CN"/>
              </w:rPr>
              <w:t>勘查现场</w:t>
            </w:r>
            <w:r>
              <w:rPr>
                <w:rFonts w:hint="eastAsia" w:ascii="宋体" w:hAnsi="宋体" w:eastAsia="宋体" w:cs="宋体"/>
                <w:color w:val="auto"/>
                <w:sz w:val="24"/>
                <w:highlight w:val="none"/>
                <w:lang w:val="en-US" w:eastAsia="zh-CN"/>
              </w:rPr>
              <w:t xml:space="preserve">考虑，综合考虑在报价中，招标人不另行支付其他任何费用。 </w:t>
            </w:r>
          </w:p>
          <w:p w14:paraId="19E56F90">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招标人负责提供水、电接入点，具体手续及费用由中标人负责办理，由施工单位自行解决，费用自理且投标报价时需含在投标报价中，工程量清单已考虑的除外。工程未完全交付甲方前，所有水电费用由乙方承担并管理。</w:t>
            </w:r>
          </w:p>
          <w:p w14:paraId="197509DD">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10.施工现场必须采用门禁管理系统，施工现场必须采用刷脸进入，费用由中标人自行承担。 </w:t>
            </w:r>
          </w:p>
          <w:p w14:paraId="58476C43">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11.施工现场需专门配备定点摄像设备，采用建筑施工现场视频监控系统，便于实时监控，要求设备稳定，图像清晰，分辨率高，配备专用储存设备，15天以内的现场摄像资料必须完整保存</w:t>
            </w:r>
            <w:r>
              <w:rPr>
                <w:rFonts w:hint="eastAsia" w:ascii="宋体" w:hAnsi="宋体" w:cs="宋体"/>
                <w:color w:val="auto"/>
                <w:sz w:val="24"/>
                <w:highlight w:val="none"/>
                <w:lang w:val="en-US" w:eastAsia="zh-CN"/>
              </w:rPr>
              <w:t>，包</w:t>
            </w:r>
            <w:r>
              <w:rPr>
                <w:rFonts w:hint="eastAsia" w:ascii="宋体" w:hAnsi="宋体" w:eastAsia="宋体" w:cs="宋体"/>
                <w:color w:val="auto"/>
                <w:sz w:val="24"/>
                <w:highlight w:val="none"/>
                <w:lang w:val="en-US" w:eastAsia="zh-CN"/>
              </w:rPr>
              <w:t xml:space="preserve">含在投标总报价中。 </w:t>
            </w:r>
          </w:p>
          <w:p w14:paraId="3E1E4D4C">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12.中标人须提供室外雨污水管道全部影像检测试验合格报告。</w:t>
            </w:r>
          </w:p>
          <w:p w14:paraId="3F34FA1D">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13.中标后，在项目建设期间，中标人向发包人指定专人配合办理相关手续。</w:t>
            </w:r>
          </w:p>
        </w:tc>
      </w:tr>
      <w:tr w14:paraId="64B556DD">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3FB5D868">
            <w:pPr>
              <w:adjustRightInd w:val="0"/>
              <w:snapToGrid w:val="0"/>
              <w:spacing w:line="56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10.22</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6A90CA9">
            <w:pPr>
              <w:adjustRightInd w:val="0"/>
              <w:snapToGrid w:val="0"/>
              <w:spacing w:line="5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文明施工要求</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5F82D129">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1.公共环境 </w:t>
            </w:r>
          </w:p>
          <w:p w14:paraId="6D102F35">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①建筑工地采用砌体、钢结构或彩钢夹芯板等封闭管理，高度不低于3米；储备用地、路面施工应一律设置建筑围墙进行遮挡。环境卫生干净整洁，围墙内外无乱堆放现象，无生活垃圾；施工现场标识明显，四周设置围墙、围挡，并符合标准；施工车辆有硬化的进出通道和冲洗设备，无抛洒和污染路面现象。 </w:t>
            </w:r>
          </w:p>
          <w:p w14:paraId="00C4A89B">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场内设有不少于15米硬化面，车辆进出工地实行密闭运输，有车辆冲洗平台和冲洗设备、临时厕所、垃圾收集容器、污水处理排放系统、降尘设备等设施；场内干净整洁，机械设备、物料等摆放有序，安全施工措施到位，文明施工氛围浓厚。能够开展文明工地创建，施工噪音、粉尘等达到国家环保要求。 </w:t>
            </w:r>
          </w:p>
          <w:p w14:paraId="6922360D">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2.公益宣传 </w:t>
            </w:r>
          </w:p>
          <w:p w14:paraId="26FB0ABC">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①运用建筑围挡宣传展示社会主义核心价值观12个主题词、市民文明行为规范，及时更新中宣部、中央文明办发布的“讲文明树新风</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 xml:space="preserve">图说我们的价值观”通稿作品以及本市自创的公益广告（建筑围挡无破墙开洞现象，公益广告无污染、破旧现象）。 </w:t>
            </w:r>
          </w:p>
          <w:p w14:paraId="38F31FC9">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②公益广告展示面积占围挡总面积的比例不少于50%，且公益广告要与商业广告穿插展示（每3块广告中</w:t>
            </w:r>
            <w:r>
              <w:rPr>
                <w:rFonts w:hint="eastAsia" w:ascii="宋体" w:hAnsi="宋体" w:cs="宋体"/>
                <w:color w:val="auto"/>
                <w:sz w:val="24"/>
                <w:highlight w:val="none"/>
                <w:lang w:val="en-US" w:eastAsia="zh-CN"/>
              </w:rPr>
              <w:t>必须</w:t>
            </w:r>
            <w:r>
              <w:rPr>
                <w:rFonts w:hint="eastAsia" w:ascii="宋体" w:hAnsi="宋体" w:eastAsia="宋体" w:cs="宋体"/>
                <w:color w:val="auto"/>
                <w:sz w:val="24"/>
                <w:highlight w:val="none"/>
                <w:lang w:val="en-US" w:eastAsia="zh-CN"/>
              </w:rPr>
              <w:t>有1块公益广告），且单面围挡墙体均能看到公益宣传。步行30米，达到50%面积比例。</w:t>
            </w:r>
          </w:p>
        </w:tc>
      </w:tr>
      <w:tr w14:paraId="0115F8E9">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5189117A">
            <w:pPr>
              <w:adjustRightInd w:val="0"/>
              <w:snapToGrid w:val="0"/>
              <w:spacing w:line="56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10.23</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0813E572">
            <w:pPr>
              <w:adjustRightInd w:val="0"/>
              <w:snapToGrid w:val="0"/>
              <w:spacing w:line="560" w:lineRule="exact"/>
              <w:jc w:val="center"/>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约谈制度</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435BA00B">
            <w:pPr>
              <w:adjustRightInd w:val="0"/>
              <w:snapToGrid w:val="0"/>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项目公示期满，下发中标通知书前，中标单位必须按照招标单位的规定参加项目实施前约谈，中标单位</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若为联合体，指联合体所有成员）的法人代表或负责人（公司副总以上）和项目负责人（指项目经理A岗、项目经理B岗（如有））必须参加约谈会议。</w:t>
            </w:r>
          </w:p>
          <w:p w14:paraId="7CC2B378">
            <w:pPr>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注：中标单位</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若为联合体，指联合体所有成员）的法人代表参加约谈的，参与会议时须提供有效身份证明和职务任命文件；中标单位的负责人（公司副总以上）参加约谈的，参与会议时须提供授权委托书、有效身份证明和职务任命文件，以及社保部门出具的本单位为其缴纳的养老保险证明（证明文件两个月内有效）。未按照规定要求参加约谈的，视为放弃中标。</w:t>
            </w:r>
            <w:r>
              <w:rPr>
                <w:rFonts w:hint="eastAsia" w:ascii="宋体" w:hAnsi="宋体" w:cs="宋体"/>
                <w:b/>
                <w:bCs/>
                <w:color w:val="auto"/>
                <w:sz w:val="24"/>
                <w:highlight w:val="none"/>
                <w:lang w:val="en-US" w:eastAsia="zh-CN"/>
              </w:rPr>
              <w:t xml:space="preserve">    </w:t>
            </w:r>
            <w:r>
              <w:rPr>
                <w:rFonts w:hint="eastAsia" w:ascii="宋体" w:hAnsi="宋体" w:cs="宋体"/>
                <w:b/>
                <w:bCs/>
                <w:color w:val="auto"/>
                <w:sz w:val="24"/>
                <w:highlight w:val="none"/>
              </w:rPr>
              <w:t xml:space="preserve"> </w:t>
            </w:r>
          </w:p>
        </w:tc>
      </w:tr>
      <w:tr w14:paraId="67E466B2">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noWrap w:val="0"/>
            <w:vAlign w:val="center"/>
          </w:tcPr>
          <w:p w14:paraId="1C394AF1">
            <w:pPr>
              <w:adjustRightInd w:val="0"/>
              <w:snapToGrid w:val="0"/>
              <w:spacing w:line="560" w:lineRule="exact"/>
              <w:jc w:val="center"/>
              <w:rPr>
                <w:rFonts w:hint="default" w:ascii="宋体" w:hAnsi="宋体" w:cs="宋体"/>
                <w:color w:val="auto"/>
                <w:sz w:val="24"/>
                <w:highlight w:val="none"/>
                <w:lang w:val="en-US" w:eastAsia="zh-CN"/>
              </w:rPr>
            </w:pPr>
            <w:bookmarkStart w:id="60" w:name="_Toc95223336"/>
            <w:bookmarkStart w:id="61" w:name="_Toc83301688"/>
            <w:bookmarkStart w:id="62" w:name="_Toc60061433"/>
            <w:r>
              <w:rPr>
                <w:rFonts w:hint="eastAsia" w:ascii="宋体" w:hAnsi="宋体" w:cs="宋体"/>
                <w:color w:val="auto"/>
                <w:sz w:val="24"/>
                <w:highlight w:val="none"/>
                <w:lang w:val="en-US" w:eastAsia="zh-CN"/>
              </w:rPr>
              <w:t>10.24</w:t>
            </w:r>
          </w:p>
        </w:tc>
        <w:tc>
          <w:tcPr>
            <w:tcW w:w="1860" w:type="dxa"/>
            <w:tcBorders>
              <w:top w:val="single" w:color="auto" w:sz="4" w:space="0"/>
              <w:left w:val="single" w:color="auto" w:sz="4" w:space="0"/>
              <w:bottom w:val="single" w:color="auto" w:sz="4" w:space="0"/>
              <w:right w:val="single" w:color="auto" w:sz="4" w:space="0"/>
            </w:tcBorders>
            <w:noWrap w:val="0"/>
            <w:vAlign w:val="center"/>
          </w:tcPr>
          <w:p w14:paraId="4689CF58">
            <w:pPr>
              <w:adjustRightInd w:val="0"/>
              <w:snapToGrid w:val="0"/>
              <w:spacing w:line="560" w:lineRule="exact"/>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评定分离</w:t>
            </w:r>
          </w:p>
        </w:tc>
        <w:tc>
          <w:tcPr>
            <w:tcW w:w="7299" w:type="dxa"/>
            <w:tcBorders>
              <w:top w:val="single" w:color="auto" w:sz="4" w:space="0"/>
              <w:left w:val="single" w:color="auto" w:sz="4" w:space="0"/>
              <w:bottom w:val="single" w:color="auto" w:sz="4" w:space="0"/>
              <w:right w:val="single" w:color="auto" w:sz="4" w:space="0"/>
            </w:tcBorders>
            <w:noWrap w:val="0"/>
            <w:vAlign w:val="center"/>
          </w:tcPr>
          <w:p w14:paraId="0443E2B5">
            <w:pPr>
              <w:adjustRightInd w:val="0"/>
              <w:snapToGrid w:val="0"/>
              <w:spacing w:line="520" w:lineRule="exac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评定分离”是指将评标和定标分为两个环节。评标委员会根据招标文件规定的评标标准和方法对投标文件的价格、技术、 质量、投标人履约能力等因素进行评审后，向招标人推荐一定数量的中标候选人，再由招标人组建的定标委员，根据评标报告和评标委员会推荐的中标候选人，结合项目规模、技术难度等因素，按照规定的决策程序，择优确定中标人。</w:t>
            </w:r>
          </w:p>
          <w:p w14:paraId="2FAE4233">
            <w:pPr>
              <w:adjustRightInd w:val="0"/>
              <w:snapToGrid w:val="0"/>
              <w:spacing w:line="520" w:lineRule="exact"/>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一、组建定标委员会</w:t>
            </w:r>
          </w:p>
          <w:p w14:paraId="5E0DDF2C">
            <w:pPr>
              <w:adjustRightInd w:val="0"/>
              <w:snapToGrid w:val="0"/>
              <w:spacing w:line="520" w:lineRule="exact"/>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定标委员会由招标人负责组建，成员数量为5人及以上单数。定标委员会设主任一名，</w:t>
            </w:r>
            <w:r>
              <w:rPr>
                <w:rFonts w:hint="eastAsia" w:ascii="宋体" w:hAnsi="宋体" w:cs="宋体"/>
                <w:color w:val="auto"/>
                <w:sz w:val="24"/>
                <w:highlight w:val="none"/>
                <w:lang w:val="en-US" w:eastAsia="zh-CN"/>
              </w:rPr>
              <w:t>定标委员会主任由定标委员会成员民主推荐产生。</w:t>
            </w:r>
          </w:p>
          <w:p w14:paraId="1C0D21E7">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定标委员会成员与中标候选人有利害关系的，应当主动回避。</w:t>
            </w:r>
            <w:r>
              <w:rPr>
                <w:rFonts w:hint="eastAsia" w:ascii="宋体" w:hAnsi="宋体" w:cs="宋体"/>
                <w:b/>
                <w:bCs/>
                <w:color w:val="auto"/>
                <w:sz w:val="24"/>
                <w:highlight w:val="none"/>
                <w:lang w:val="en-US" w:eastAsia="zh-CN"/>
              </w:rPr>
              <w:t>二</w:t>
            </w:r>
            <w:r>
              <w:rPr>
                <w:rFonts w:hint="eastAsia" w:ascii="宋体" w:hAnsi="宋体" w:eastAsia="宋体" w:cs="宋体"/>
                <w:b/>
                <w:bCs/>
                <w:color w:val="auto"/>
                <w:sz w:val="24"/>
                <w:highlight w:val="none"/>
                <w:lang w:val="en-US" w:eastAsia="zh-CN"/>
              </w:rPr>
              <w:t>、定标方法：</w:t>
            </w:r>
          </w:p>
          <w:p w14:paraId="5D61AC26">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一）本项目定标阶段采用综合定标法确定中标人。综合定标法是指由定标委员会结合定标因素，制定综合定标评分细则，对中标候选人进行综合评分，按照定标得分由高到低排名，最终择优确定中标人。为公平、公正</w:t>
            </w:r>
            <w:r>
              <w:rPr>
                <w:rFonts w:hint="eastAsia" w:ascii="宋体" w:hAnsi="宋体" w:cs="宋体"/>
                <w:b w:val="0"/>
                <w:bCs w:val="0"/>
                <w:color w:val="auto"/>
                <w:sz w:val="24"/>
                <w:highlight w:val="none"/>
                <w:lang w:val="en-US" w:eastAsia="zh-CN"/>
              </w:rPr>
              <w:t>地</w:t>
            </w:r>
            <w:r>
              <w:rPr>
                <w:rFonts w:hint="eastAsia" w:ascii="宋体" w:hAnsi="宋体" w:eastAsia="宋体" w:cs="宋体"/>
                <w:b w:val="0"/>
                <w:bCs w:val="0"/>
                <w:color w:val="auto"/>
                <w:sz w:val="24"/>
                <w:highlight w:val="none"/>
                <w:lang w:val="en-US" w:eastAsia="zh-CN"/>
              </w:rPr>
              <w:t>开展本项目招标工作，结合实际情况，本项目定标评分细则如下：</w:t>
            </w:r>
          </w:p>
          <w:p w14:paraId="10EDD474">
            <w:pPr>
              <w:keepNext w:val="0"/>
              <w:keepLines w:val="0"/>
              <w:pageBreakBefore w:val="0"/>
              <w:kinsoku/>
              <w:wordWrap/>
              <w:overflowPunct/>
              <w:topLinePunct w:val="0"/>
              <w:autoSpaceDE/>
              <w:autoSpaceDN/>
              <w:bidi w:val="0"/>
              <w:adjustRightInd w:val="0"/>
              <w:snapToGrid w:val="0"/>
              <w:spacing w:line="520" w:lineRule="exact"/>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1.定标因素1</w:t>
            </w:r>
            <w:r>
              <w:rPr>
                <w:rFonts w:hint="eastAsia" w:ascii="宋体" w:hAnsi="宋体" w:cs="宋体"/>
                <w:b w:val="0"/>
                <w:bCs w:val="0"/>
                <w:color w:val="auto"/>
                <w:sz w:val="24"/>
                <w:highlight w:val="none"/>
                <w:lang w:val="en-US" w:eastAsia="zh-CN"/>
              </w:rPr>
              <w:t>－</w:t>
            </w:r>
            <w:r>
              <w:rPr>
                <w:rFonts w:hint="eastAsia" w:ascii="宋体" w:hAnsi="宋体" w:eastAsia="宋体" w:cs="宋体"/>
                <w:b w:val="0"/>
                <w:bCs w:val="0"/>
                <w:color w:val="auto"/>
                <w:sz w:val="24"/>
                <w:highlight w:val="none"/>
                <w:lang w:val="en-US" w:eastAsia="zh-CN"/>
              </w:rPr>
              <w:t>投标报价：此项总分值为5分。</w:t>
            </w:r>
            <w:r>
              <w:rPr>
                <w:rFonts w:hint="eastAsia" w:ascii="宋体" w:hAnsi="宋体" w:cs="宋体"/>
                <w:b w:val="0"/>
                <w:bCs w:val="0"/>
                <w:color w:val="auto"/>
                <w:sz w:val="24"/>
                <w:highlight w:val="none"/>
                <w:lang w:val="en-US" w:eastAsia="zh-CN"/>
              </w:rPr>
              <w:t>得分最高得5分，次低得4分，最低得3分。具体得分计算过程如下：</w:t>
            </w:r>
          </w:p>
          <w:p w14:paraId="547197B3">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a.</w:t>
            </w:r>
            <w:r>
              <w:rPr>
                <w:rFonts w:hint="eastAsia" w:ascii="宋体" w:hAnsi="宋体" w:eastAsia="宋体" w:cs="宋体"/>
                <w:b w:val="0"/>
                <w:bCs w:val="0"/>
                <w:color w:val="auto"/>
                <w:sz w:val="24"/>
                <w:highlight w:val="none"/>
                <w:lang w:val="en-US" w:eastAsia="zh-CN"/>
              </w:rPr>
              <w:t>以进入定标阶段的所有中标候选人投标报价的平均值作为定标基准价。</w:t>
            </w:r>
          </w:p>
          <w:p w14:paraId="3523B1A3">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b计算报价偏差率。</w:t>
            </w:r>
          </w:p>
          <w:p w14:paraId="3FFAB769">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①偏差率=|（投标报价-定标基准价）/定标基准价|×100%</w:t>
            </w:r>
          </w:p>
          <w:p w14:paraId="235BD42D">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c计算报价得分</w:t>
            </w:r>
          </w:p>
          <w:p w14:paraId="56A39302">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①投标报价等于定标基准价的得满分（100分）。</w:t>
            </w:r>
          </w:p>
          <w:p w14:paraId="57127BBB">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②投标报价高于定标基准价的，投标报价得分=报价满分值（100分）-偏差率×100×1</w:t>
            </w:r>
          </w:p>
          <w:p w14:paraId="70B4381E">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③投标报价低于定标基准价的，投标报价得分=报价满分值（100分）-偏差率×100×0.5</w:t>
            </w:r>
          </w:p>
          <w:p w14:paraId="5C54FC23">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2.定标因素2</w:t>
            </w:r>
            <w:r>
              <w:rPr>
                <w:rFonts w:hint="eastAsia" w:ascii="宋体" w:hAnsi="宋体" w:cs="宋体"/>
                <w:b w:val="0"/>
                <w:bCs w:val="0"/>
                <w:color w:val="auto"/>
                <w:sz w:val="24"/>
                <w:highlight w:val="none"/>
                <w:lang w:val="en-US" w:eastAsia="zh-CN"/>
              </w:rPr>
              <w:t>－</w:t>
            </w:r>
            <w:r>
              <w:rPr>
                <w:rFonts w:hint="eastAsia" w:ascii="宋体" w:hAnsi="宋体" w:eastAsia="宋体" w:cs="宋体"/>
                <w:b w:val="0"/>
                <w:bCs w:val="0"/>
                <w:color w:val="auto"/>
                <w:sz w:val="24"/>
                <w:highlight w:val="none"/>
                <w:lang w:val="en-US" w:eastAsia="zh-CN"/>
              </w:rPr>
              <w:t>企业实力：此项总分值为5分。主要包括企业综合施工能力等</w:t>
            </w:r>
            <w:r>
              <w:rPr>
                <w:rFonts w:hint="eastAsia" w:ascii="宋体" w:hAnsi="宋体" w:cs="宋体"/>
                <w:b w:val="0"/>
                <w:bCs w:val="0"/>
                <w:color w:val="auto"/>
                <w:sz w:val="24"/>
                <w:highlight w:val="none"/>
                <w:lang w:val="en-US" w:eastAsia="zh-CN"/>
              </w:rPr>
              <w:t>，投标人根据企业自身情况，提供相关证明材料。优秀</w:t>
            </w:r>
            <w:r>
              <w:rPr>
                <w:rFonts w:hint="eastAsia" w:ascii="宋体" w:hAnsi="宋体" w:eastAsia="宋体" w:cs="宋体"/>
                <w:b w:val="0"/>
                <w:bCs w:val="0"/>
                <w:color w:val="auto"/>
                <w:sz w:val="24"/>
                <w:highlight w:val="none"/>
                <w:lang w:val="en-US" w:eastAsia="zh-CN"/>
              </w:rPr>
              <w:t>得5分，</w:t>
            </w:r>
            <w:r>
              <w:rPr>
                <w:rFonts w:hint="eastAsia" w:ascii="宋体" w:hAnsi="宋体" w:cs="宋体"/>
                <w:b w:val="0"/>
                <w:bCs w:val="0"/>
                <w:color w:val="auto"/>
                <w:sz w:val="24"/>
                <w:highlight w:val="none"/>
                <w:lang w:val="en-US" w:eastAsia="zh-CN"/>
              </w:rPr>
              <w:t>良好</w:t>
            </w:r>
            <w:r>
              <w:rPr>
                <w:rFonts w:hint="eastAsia" w:ascii="宋体" w:hAnsi="宋体" w:eastAsia="宋体" w:cs="宋体"/>
                <w:b w:val="0"/>
                <w:bCs w:val="0"/>
                <w:color w:val="auto"/>
                <w:sz w:val="24"/>
                <w:highlight w:val="none"/>
                <w:lang w:val="en-US" w:eastAsia="zh-CN"/>
              </w:rPr>
              <w:t>得4分，</w:t>
            </w:r>
            <w:r>
              <w:rPr>
                <w:rFonts w:hint="eastAsia" w:ascii="宋体" w:hAnsi="宋体" w:cs="宋体"/>
                <w:b w:val="0"/>
                <w:bCs w:val="0"/>
                <w:color w:val="auto"/>
                <w:sz w:val="24"/>
                <w:highlight w:val="none"/>
                <w:lang w:val="en-US" w:eastAsia="zh-CN"/>
              </w:rPr>
              <w:t>一般</w:t>
            </w:r>
            <w:r>
              <w:rPr>
                <w:rFonts w:hint="eastAsia" w:ascii="宋体" w:hAnsi="宋体" w:eastAsia="宋体" w:cs="宋体"/>
                <w:b w:val="0"/>
                <w:bCs w:val="0"/>
                <w:color w:val="auto"/>
                <w:sz w:val="24"/>
                <w:highlight w:val="none"/>
                <w:lang w:val="en-US" w:eastAsia="zh-CN"/>
              </w:rPr>
              <w:t xml:space="preserve">得3分，未提供的此项不得分。  </w:t>
            </w:r>
          </w:p>
          <w:p w14:paraId="1FAA51B8">
            <w:pPr>
              <w:keepNext w:val="0"/>
              <w:keepLines w:val="0"/>
              <w:pageBreakBefore w:val="0"/>
              <w:kinsoku/>
              <w:wordWrap/>
              <w:overflowPunct/>
              <w:topLinePunct w:val="0"/>
              <w:autoSpaceDE/>
              <w:autoSpaceDN/>
              <w:bidi w:val="0"/>
              <w:adjustRightInd w:val="0"/>
              <w:snapToGrid w:val="0"/>
              <w:spacing w:line="520" w:lineRule="exac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lang w:val="en-US" w:eastAsia="zh-CN"/>
              </w:rPr>
              <w:t>3.定标因素3</w:t>
            </w:r>
            <w:r>
              <w:rPr>
                <w:rFonts w:hint="eastAsia" w:ascii="宋体" w:hAnsi="宋体" w:cs="宋体"/>
                <w:b w:val="0"/>
                <w:bCs w:val="0"/>
                <w:color w:val="auto"/>
                <w:sz w:val="24"/>
                <w:highlight w:val="none"/>
                <w:lang w:val="en-US" w:eastAsia="zh-CN"/>
              </w:rPr>
              <w:t>－</w:t>
            </w:r>
            <w:r>
              <w:rPr>
                <w:rFonts w:hint="eastAsia" w:ascii="宋体" w:hAnsi="宋体" w:eastAsia="宋体" w:cs="宋体"/>
                <w:b w:val="0"/>
                <w:bCs w:val="0"/>
                <w:color w:val="auto"/>
                <w:sz w:val="24"/>
                <w:highlight w:val="none"/>
                <w:lang w:val="en-US" w:eastAsia="zh-CN"/>
              </w:rPr>
              <w:t>项目团队技术能力与履约水平【①人员配备情况；②项目经理</w:t>
            </w:r>
            <w:r>
              <w:rPr>
                <w:rFonts w:hint="eastAsia" w:ascii="宋体" w:hAnsi="宋体" w:cs="宋体"/>
                <w:b w:val="0"/>
                <w:bCs w:val="0"/>
                <w:color w:val="auto"/>
                <w:sz w:val="24"/>
                <w:highlight w:val="none"/>
                <w:lang w:val="en-US" w:eastAsia="zh-CN"/>
              </w:rPr>
              <w:t>的</w:t>
            </w:r>
            <w:r>
              <w:rPr>
                <w:rFonts w:hint="eastAsia" w:ascii="宋体" w:hAnsi="宋体" w:eastAsia="宋体" w:cs="宋体"/>
                <w:b w:val="0"/>
                <w:bCs w:val="0"/>
                <w:color w:val="auto"/>
                <w:sz w:val="24"/>
                <w:highlight w:val="none"/>
                <w:lang w:val="en-US" w:eastAsia="zh-CN"/>
              </w:rPr>
              <w:t>业绩】：此项总分值为5分。</w:t>
            </w:r>
            <w:r>
              <w:rPr>
                <w:rFonts w:hint="eastAsia" w:ascii="宋体" w:hAnsi="宋体" w:cs="宋体"/>
                <w:b w:val="0"/>
                <w:bCs w:val="0"/>
                <w:color w:val="auto"/>
                <w:sz w:val="24"/>
                <w:highlight w:val="none"/>
                <w:lang w:val="en-US" w:eastAsia="zh-CN"/>
              </w:rPr>
              <w:t>优秀</w:t>
            </w:r>
            <w:r>
              <w:rPr>
                <w:rFonts w:hint="eastAsia" w:ascii="宋体" w:hAnsi="宋体" w:eastAsia="宋体" w:cs="宋体"/>
                <w:b w:val="0"/>
                <w:bCs w:val="0"/>
                <w:color w:val="auto"/>
                <w:sz w:val="24"/>
                <w:highlight w:val="none"/>
                <w:lang w:val="en-US" w:eastAsia="zh-CN"/>
              </w:rPr>
              <w:t>得5分，良好得4分，一般得3分，未提供的此项不得分。</w:t>
            </w:r>
          </w:p>
          <w:p w14:paraId="4DD9D29E">
            <w:pPr>
              <w:keepNext w:val="0"/>
              <w:keepLines w:val="0"/>
              <w:pageBreakBefore w:val="0"/>
              <w:kinsoku/>
              <w:wordWrap/>
              <w:overflowPunct/>
              <w:topLinePunct w:val="0"/>
              <w:autoSpaceDE/>
              <w:autoSpaceDN/>
              <w:bidi w:val="0"/>
              <w:adjustRightInd w:val="0"/>
              <w:snapToGrid w:val="0"/>
              <w:spacing w:line="520" w:lineRule="exact"/>
              <w:textAlignment w:val="auto"/>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4</w:t>
            </w:r>
            <w:r>
              <w:rPr>
                <w:rFonts w:hint="eastAsia" w:ascii="宋体" w:hAnsi="宋体" w:eastAsia="宋体" w:cs="宋体"/>
                <w:b w:val="0"/>
                <w:bCs w:val="0"/>
                <w:color w:val="auto"/>
                <w:sz w:val="24"/>
                <w:highlight w:val="none"/>
                <w:lang w:val="en-US" w:eastAsia="zh-CN"/>
              </w:rPr>
              <w:t>.定标因素</w:t>
            </w:r>
            <w:r>
              <w:rPr>
                <w:rFonts w:hint="eastAsia" w:ascii="宋体" w:hAnsi="宋体" w:cs="宋体"/>
                <w:b w:val="0"/>
                <w:bCs w:val="0"/>
                <w:color w:val="auto"/>
                <w:sz w:val="24"/>
                <w:highlight w:val="none"/>
                <w:lang w:val="en-US" w:eastAsia="zh-CN"/>
              </w:rPr>
              <w:t>4－</w:t>
            </w:r>
            <w:r>
              <w:rPr>
                <w:rFonts w:hint="eastAsia" w:ascii="宋体" w:hAnsi="宋体" w:eastAsia="宋体" w:cs="宋体"/>
                <w:b w:val="0"/>
                <w:bCs w:val="0"/>
                <w:color w:val="auto"/>
                <w:sz w:val="24"/>
                <w:highlight w:val="none"/>
                <w:lang w:val="en-US" w:eastAsia="zh-CN"/>
              </w:rPr>
              <w:t>本项目重难点问题的解决方案：此项总分值为5分。对项目的重难点问题进行分析、解决，分析合理、有依据。</w:t>
            </w:r>
            <w:r>
              <w:rPr>
                <w:rFonts w:hint="eastAsia" w:ascii="宋体" w:hAnsi="宋体" w:cs="宋体"/>
                <w:b w:val="0"/>
                <w:bCs w:val="0"/>
                <w:color w:val="auto"/>
                <w:sz w:val="24"/>
                <w:highlight w:val="none"/>
                <w:lang w:val="en-US" w:eastAsia="zh-CN"/>
              </w:rPr>
              <w:t>优秀</w:t>
            </w:r>
            <w:r>
              <w:rPr>
                <w:rFonts w:hint="eastAsia" w:ascii="宋体" w:hAnsi="宋体" w:eastAsia="宋体" w:cs="宋体"/>
                <w:b w:val="0"/>
                <w:bCs w:val="0"/>
                <w:color w:val="auto"/>
                <w:sz w:val="24"/>
                <w:highlight w:val="none"/>
                <w:lang w:val="en-US" w:eastAsia="zh-CN"/>
              </w:rPr>
              <w:t>得5分，</w:t>
            </w:r>
            <w:r>
              <w:rPr>
                <w:rFonts w:hint="eastAsia" w:ascii="宋体" w:hAnsi="宋体" w:cs="宋体"/>
                <w:b w:val="0"/>
                <w:bCs w:val="0"/>
                <w:color w:val="auto"/>
                <w:sz w:val="24"/>
                <w:highlight w:val="none"/>
                <w:lang w:val="en-US" w:eastAsia="zh-CN"/>
              </w:rPr>
              <w:t>良好</w:t>
            </w:r>
            <w:r>
              <w:rPr>
                <w:rFonts w:hint="eastAsia" w:ascii="宋体" w:hAnsi="宋体" w:eastAsia="宋体" w:cs="宋体"/>
                <w:b w:val="0"/>
                <w:bCs w:val="0"/>
                <w:color w:val="auto"/>
                <w:sz w:val="24"/>
                <w:highlight w:val="none"/>
                <w:lang w:val="en-US" w:eastAsia="zh-CN"/>
              </w:rPr>
              <w:t>得4分，一般得3分，未提供的此项不得分。</w:t>
            </w:r>
          </w:p>
          <w:p w14:paraId="5D5C04FD">
            <w:pPr>
              <w:adjustRightInd w:val="0"/>
              <w:snapToGrid w:val="0"/>
              <w:spacing w:line="520" w:lineRule="exact"/>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上述定标材料须在投标文件中“定标材料”模块上传，格式自拟，未在投标文件中提供定标材料的，在项目评标结束后不额外接收。</w:t>
            </w:r>
          </w:p>
          <w:p w14:paraId="21875C4B">
            <w:pPr>
              <w:adjustRightInd w:val="0"/>
              <w:snapToGrid w:val="0"/>
              <w:spacing w:line="520" w:lineRule="exact"/>
              <w:rPr>
                <w:rFonts w:hint="eastAsia" w:ascii="宋体" w:hAnsi="宋体" w:eastAsia="宋体" w:cs="宋体"/>
                <w:b w:val="0"/>
                <w:bCs w:val="0"/>
                <w:color w:val="auto"/>
                <w:sz w:val="24"/>
                <w:highlight w:val="none"/>
                <w:lang w:val="en-US" w:eastAsia="zh-CN"/>
              </w:rPr>
            </w:pPr>
            <w:r>
              <w:rPr>
                <w:rFonts w:hint="eastAsia" w:ascii="宋体" w:hAnsi="宋体" w:eastAsia="宋体" w:cs="宋体"/>
                <w:b/>
                <w:bCs/>
                <w:color w:val="auto"/>
                <w:sz w:val="24"/>
                <w:highlight w:val="none"/>
                <w:lang w:val="en-US" w:eastAsia="zh-CN"/>
              </w:rPr>
              <w:t>综合定标法评分细则总分值为20分，定标委员会按照上述细则对中标候选人进行综合评分，每项得分按平均分列入总分（注：每项得分及总分均保留两位小数，小数点后第三位四舍五入），对各中标候选人</w:t>
            </w:r>
            <w:r>
              <w:rPr>
                <w:rFonts w:hint="eastAsia" w:ascii="宋体" w:hAnsi="宋体" w:cs="宋体"/>
                <w:b/>
                <w:bCs/>
                <w:color w:val="auto"/>
                <w:sz w:val="24"/>
                <w:highlight w:val="none"/>
                <w:lang w:val="en-US" w:eastAsia="zh-CN"/>
              </w:rPr>
              <w:t>按照定标得分分值由高到低</w:t>
            </w:r>
            <w:r>
              <w:rPr>
                <w:rFonts w:hint="eastAsia" w:ascii="宋体" w:hAnsi="宋体" w:eastAsia="宋体" w:cs="宋体"/>
                <w:b/>
                <w:bCs/>
                <w:color w:val="auto"/>
                <w:sz w:val="24"/>
                <w:highlight w:val="none"/>
                <w:lang w:val="en-US" w:eastAsia="zh-CN"/>
              </w:rPr>
              <w:t>进行排序，总分最高的为本项目中标人。总分值相同时，以投标报价低的确定为本项目中标人。</w:t>
            </w:r>
          </w:p>
          <w:p w14:paraId="608AFAAD">
            <w:pPr>
              <w:numPr>
                <w:ilvl w:val="0"/>
                <w:numId w:val="0"/>
              </w:numPr>
              <w:adjustRightInd w:val="0"/>
              <w:snapToGrid w:val="0"/>
              <w:spacing w:line="520" w:lineRule="exact"/>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三</w:t>
            </w:r>
            <w:r>
              <w:rPr>
                <w:rFonts w:hint="eastAsia" w:ascii="宋体" w:hAnsi="宋体" w:eastAsia="宋体" w:cs="宋体"/>
                <w:b/>
                <w:bCs/>
                <w:color w:val="auto"/>
                <w:sz w:val="24"/>
                <w:highlight w:val="none"/>
                <w:lang w:val="en-US" w:eastAsia="zh-CN"/>
              </w:rPr>
              <w:t>、定标会议</w:t>
            </w:r>
          </w:p>
          <w:p w14:paraId="56FF2DA3">
            <w:pPr>
              <w:numPr>
                <w:ilvl w:val="0"/>
                <w:numId w:val="0"/>
              </w:numPr>
              <w:adjustRightInd w:val="0"/>
              <w:snapToGrid w:val="0"/>
              <w:spacing w:line="520" w:lineRule="exact"/>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 xml:space="preserve">1.招标人应当自收到评标报告之日起5个工作日内召开定标会议。如因招标文件约定或其他特殊原因，定标会议时间可以适当延期。定标会议应当在公共资源交易中心召开，按照以下程序进行定标： </w:t>
            </w:r>
          </w:p>
          <w:p w14:paraId="36865BEB">
            <w:pPr>
              <w:numPr>
                <w:ilvl w:val="0"/>
                <w:numId w:val="0"/>
              </w:numPr>
              <w:adjustRightInd w:val="0"/>
              <w:snapToGrid w:val="0"/>
              <w:spacing w:line="520" w:lineRule="exact"/>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（1）招标人介绍定标程序及须知，定标成员签署承诺书。定标委员会成员存在法定事由需要回避的应主动提出，由招标人办理补充事宜。</w:t>
            </w:r>
          </w:p>
          <w:p w14:paraId="355E91FA">
            <w:pPr>
              <w:numPr>
                <w:ilvl w:val="0"/>
                <w:numId w:val="0"/>
              </w:numPr>
              <w:adjustRightInd w:val="0"/>
              <w:snapToGrid w:val="0"/>
              <w:spacing w:line="520" w:lineRule="exact"/>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（2）招标人介绍项目基本情况，汇报内容不得有明示或暗示倾向性内容。</w:t>
            </w:r>
          </w:p>
          <w:p w14:paraId="0E71158A">
            <w:pPr>
              <w:numPr>
                <w:ilvl w:val="0"/>
                <w:numId w:val="0"/>
              </w:numPr>
              <w:adjustRightInd w:val="0"/>
              <w:snapToGrid w:val="0"/>
              <w:spacing w:line="520" w:lineRule="exact"/>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（3）定标委员会根据定标方法，结合评标报告、汇报情况及定标要素等进行定标，确定中标人；</w:t>
            </w:r>
          </w:p>
          <w:p w14:paraId="0C04B332">
            <w:pPr>
              <w:numPr>
                <w:ilvl w:val="0"/>
                <w:numId w:val="0"/>
              </w:numPr>
              <w:adjustRightInd w:val="0"/>
              <w:snapToGrid w:val="0"/>
              <w:spacing w:line="520" w:lineRule="exact"/>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（4）定标委员会出具书面定标报告。定标报告内容应当包括定标委员名单、定标程序、定标因素、定标结果等内容。采用综合定标法的，应当包括定标委员会成员对各中标候选人的打分情况和排序。</w:t>
            </w:r>
          </w:p>
          <w:p w14:paraId="17396513">
            <w:pPr>
              <w:numPr>
                <w:ilvl w:val="0"/>
                <w:numId w:val="0"/>
              </w:numPr>
              <w:adjustRightInd w:val="0"/>
              <w:snapToGrid w:val="0"/>
              <w:spacing w:line="520" w:lineRule="exact"/>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2.定标报告由定标委员会全体成员签字。对定标结果有不同意见的定标委员会成员应当以书面形式说明其不同意见和理由。定标委员会成员拒绝在定标报告上签字又不书面说明其不同意见和理由的，视为同意定标结果。</w:t>
            </w:r>
          </w:p>
          <w:p w14:paraId="7AC5C8C6">
            <w:pPr>
              <w:numPr>
                <w:ilvl w:val="0"/>
                <w:numId w:val="0"/>
              </w:numPr>
              <w:adjustRightInd w:val="0"/>
              <w:snapToGrid w:val="0"/>
              <w:spacing w:line="520" w:lineRule="exact"/>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3.定标会议中，定标委员会不得改变招标文件、投标文件和评 标的实质性内容。</w:t>
            </w:r>
          </w:p>
          <w:p w14:paraId="4705E5D2">
            <w:pPr>
              <w:numPr>
                <w:ilvl w:val="0"/>
                <w:numId w:val="0"/>
              </w:numPr>
              <w:adjustRightInd w:val="0"/>
              <w:snapToGrid w:val="0"/>
              <w:spacing w:line="520" w:lineRule="exact"/>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四、定标的其他情形</w:t>
            </w:r>
          </w:p>
          <w:p w14:paraId="45899DA9">
            <w:pPr>
              <w:numPr>
                <w:ilvl w:val="0"/>
                <w:numId w:val="0"/>
              </w:numPr>
              <w:adjustRightInd w:val="0"/>
              <w:snapToGrid w:val="0"/>
              <w:spacing w:line="520" w:lineRule="exact"/>
              <w:rPr>
                <w:rFonts w:hint="default"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评标结果公示期间，因异议或投诉导致中标候选人发生改变的，应当重新公示中标候选人。</w:t>
            </w:r>
          </w:p>
          <w:p w14:paraId="2EA4B1BC">
            <w:pPr>
              <w:numPr>
                <w:ilvl w:val="0"/>
                <w:numId w:val="0"/>
              </w:numPr>
              <w:adjustRightInd w:val="0"/>
              <w:snapToGrid w:val="0"/>
              <w:spacing w:line="520" w:lineRule="exact"/>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五</w:t>
            </w:r>
            <w:r>
              <w:rPr>
                <w:rFonts w:hint="eastAsia" w:ascii="宋体" w:hAnsi="宋体" w:eastAsia="宋体" w:cs="宋体"/>
                <w:b/>
                <w:bCs/>
                <w:color w:val="auto"/>
                <w:sz w:val="24"/>
                <w:highlight w:val="none"/>
                <w:lang w:val="en-US" w:eastAsia="zh-CN"/>
              </w:rPr>
              <w:t>、中标结果公告</w:t>
            </w:r>
          </w:p>
          <w:p w14:paraId="168E1250">
            <w:pPr>
              <w:numPr>
                <w:ilvl w:val="0"/>
                <w:numId w:val="0"/>
              </w:numPr>
              <w:adjustRightInd w:val="0"/>
              <w:snapToGrid w:val="0"/>
              <w:spacing w:line="520" w:lineRule="exact"/>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定标结束后3日内，招标人应当在发布招标公告的媒介上公示中标结果，并发放中标通知书。中标结果公告应载明中标人的名称、投标报价、项目</w:t>
            </w:r>
            <w:r>
              <w:rPr>
                <w:rFonts w:hint="eastAsia" w:ascii="宋体" w:hAnsi="宋体" w:cs="宋体"/>
                <w:b w:val="0"/>
                <w:bCs w:val="0"/>
                <w:color w:val="auto"/>
                <w:sz w:val="24"/>
                <w:highlight w:val="none"/>
                <w:lang w:val="en-US" w:eastAsia="zh-CN"/>
              </w:rPr>
              <w:t>经理</w:t>
            </w:r>
            <w:r>
              <w:rPr>
                <w:rFonts w:hint="eastAsia" w:ascii="宋体" w:hAnsi="宋体" w:eastAsia="宋体" w:cs="宋体"/>
                <w:b w:val="0"/>
                <w:bCs w:val="0"/>
                <w:color w:val="auto"/>
                <w:sz w:val="24"/>
                <w:highlight w:val="none"/>
                <w:lang w:val="en-US" w:eastAsia="zh-CN"/>
              </w:rPr>
              <w:t>等信息。</w:t>
            </w:r>
          </w:p>
          <w:p w14:paraId="713891D1">
            <w:pPr>
              <w:numPr>
                <w:ilvl w:val="0"/>
                <w:numId w:val="0"/>
              </w:numPr>
              <w:adjustRightInd w:val="0"/>
              <w:snapToGrid w:val="0"/>
              <w:spacing w:line="520" w:lineRule="exact"/>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六、重新定标</w:t>
            </w:r>
          </w:p>
          <w:p w14:paraId="203AFA3E">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定标后有下列情形之一的，建设单位或项目实施单位可以组织原定标委员会从其他中标候选人中按原定标方法确定中标人：</w:t>
            </w:r>
          </w:p>
          <w:p w14:paraId="28BB2013">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1</w:t>
            </w:r>
            <w:r>
              <w:rPr>
                <w:rFonts w:hint="eastAsia" w:ascii="宋体" w:hAnsi="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中标人放弃中标资格或者拒不签订合同的；</w:t>
            </w:r>
          </w:p>
          <w:p w14:paraId="35359D8E">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2</w:t>
            </w:r>
            <w:r>
              <w:rPr>
                <w:rFonts w:hint="eastAsia" w:ascii="宋体" w:hAnsi="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招标文件规定应当提交履约保证金而且在规定的期限内未能提交的；</w:t>
            </w:r>
          </w:p>
          <w:p w14:paraId="7E9679FC">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3</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中标人被查实存在违法行为影响中标结果的；</w:t>
            </w:r>
          </w:p>
          <w:p w14:paraId="6BDA5AAD">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4</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招标文件规定的其他情形。</w:t>
            </w:r>
          </w:p>
          <w:p w14:paraId="14525FCA">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定标后有下列情形之一的，应重新组建定标委员会进行定标：</w:t>
            </w:r>
          </w:p>
          <w:p w14:paraId="7AE83621">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1.定标委员会未按定标方法公正履职的；</w:t>
            </w:r>
          </w:p>
          <w:p w14:paraId="555EAA2A">
            <w:pPr>
              <w:numPr>
                <w:ilvl w:val="0"/>
                <w:numId w:val="0"/>
              </w:numPr>
              <w:adjustRightInd w:val="0"/>
              <w:snapToGrid w:val="0"/>
              <w:spacing w:line="520" w:lineRule="exact"/>
              <w:rPr>
                <w:rFonts w:hint="default" w:ascii="宋体" w:hAnsi="宋体" w:eastAsia="宋体" w:cs="宋体"/>
                <w:b w:val="0"/>
                <w:bCs w:val="0"/>
                <w:color w:val="auto"/>
                <w:sz w:val="24"/>
                <w:highlight w:val="none"/>
                <w:lang w:val="en-US" w:eastAsia="zh-CN"/>
              </w:rPr>
            </w:pPr>
            <w:r>
              <w:rPr>
                <w:rFonts w:hint="default" w:ascii="宋体" w:hAnsi="宋体" w:eastAsia="宋体" w:cs="宋体"/>
                <w:b w:val="0"/>
                <w:bCs w:val="0"/>
                <w:color w:val="auto"/>
                <w:sz w:val="24"/>
                <w:highlight w:val="none"/>
                <w:lang w:val="en-US" w:eastAsia="zh-CN"/>
              </w:rPr>
              <w:t>2.定标委员会成员与中标候选人有利害关系且未申请回避 的；</w:t>
            </w:r>
          </w:p>
          <w:p w14:paraId="69EB07F9">
            <w:pPr>
              <w:spacing w:line="520" w:lineRule="exact"/>
              <w:rPr>
                <w:rFonts w:hint="eastAsia" w:ascii="宋体" w:hAnsi="宋体" w:eastAsia="宋体" w:cs="宋体"/>
                <w:color w:val="auto"/>
                <w:sz w:val="24"/>
                <w:highlight w:val="none"/>
                <w:lang w:val="en-US" w:eastAsia="zh-CN"/>
              </w:rPr>
            </w:pPr>
            <w:r>
              <w:rPr>
                <w:rFonts w:hint="default" w:ascii="宋体" w:hAnsi="宋体" w:eastAsia="宋体" w:cs="宋体"/>
                <w:b w:val="0"/>
                <w:bCs w:val="0"/>
                <w:color w:val="auto"/>
                <w:sz w:val="24"/>
                <w:highlight w:val="none"/>
                <w:lang w:val="en-US" w:eastAsia="zh-CN"/>
              </w:rPr>
              <w:t>3.招标文件规定的其他情形。</w:t>
            </w:r>
          </w:p>
        </w:tc>
      </w:tr>
      <w:bookmarkEnd w:id="56"/>
      <w:bookmarkEnd w:id="57"/>
      <w:bookmarkEnd w:id="58"/>
      <w:bookmarkEnd w:id="59"/>
    </w:tbl>
    <w:p w14:paraId="2C2388C1">
      <w:pPr>
        <w:pStyle w:val="2"/>
        <w:pageBreakBefore/>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1. 总则</w:t>
      </w:r>
      <w:bookmarkEnd w:id="46"/>
      <w:bookmarkEnd w:id="47"/>
      <w:bookmarkEnd w:id="48"/>
      <w:bookmarkEnd w:id="49"/>
      <w:bookmarkEnd w:id="50"/>
      <w:bookmarkEnd w:id="51"/>
      <w:bookmarkEnd w:id="52"/>
      <w:bookmarkEnd w:id="53"/>
      <w:bookmarkEnd w:id="54"/>
      <w:bookmarkEnd w:id="55"/>
      <w:bookmarkEnd w:id="60"/>
      <w:bookmarkEnd w:id="61"/>
      <w:bookmarkEnd w:id="62"/>
    </w:p>
    <w:p w14:paraId="05714B5D">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63" w:name="_Toc15058847"/>
      <w:bookmarkStart w:id="64" w:name="_Toc506107270"/>
      <w:bookmarkStart w:id="65" w:name="_Toc144974498"/>
      <w:bookmarkStart w:id="66" w:name="_Toc324404816"/>
      <w:bookmarkStart w:id="67" w:name="_Toc296602421"/>
      <w:bookmarkStart w:id="68" w:name="_Toc60061434"/>
      <w:bookmarkStart w:id="69" w:name="_Toc83301689"/>
      <w:bookmarkStart w:id="70" w:name="_Toc95223337"/>
      <w:bookmarkStart w:id="71" w:name="_Toc152042306"/>
      <w:bookmarkStart w:id="72" w:name="_Toc179632547"/>
      <w:bookmarkStart w:id="73" w:name="_Toc246996919"/>
      <w:bookmarkStart w:id="74" w:name="_Toc246996176"/>
      <w:bookmarkStart w:id="75" w:name="_Toc247085690"/>
      <w:bookmarkStart w:id="76" w:name="_Toc152045530"/>
      <w:r>
        <w:rPr>
          <w:rFonts w:hint="eastAsia" w:ascii="黑体" w:hAnsi="黑体" w:eastAsia="黑体" w:cs="黑体"/>
          <w:color w:val="auto"/>
          <w:sz w:val="21"/>
          <w:szCs w:val="21"/>
          <w:highlight w:val="none"/>
        </w:rPr>
        <w:t>1.1 项目概况</w:t>
      </w:r>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3ED7C3DD">
      <w:pPr>
        <w:adjustRightInd w:val="0"/>
        <w:snapToGrid w:val="0"/>
        <w:spacing w:line="560" w:lineRule="exact"/>
        <w:ind w:firstLine="420" w:firstLineChars="200"/>
        <w:rPr>
          <w:rFonts w:hint="eastAsia" w:ascii="宋体" w:hAnsi="宋体" w:cs="宋体"/>
          <w:color w:val="000000"/>
          <w:szCs w:val="21"/>
        </w:rPr>
      </w:pPr>
      <w:bookmarkStart w:id="77" w:name="_Toc246996177"/>
      <w:bookmarkStart w:id="78" w:name="_Toc246996920"/>
      <w:bookmarkStart w:id="79" w:name="_Toc60061435"/>
      <w:bookmarkStart w:id="80" w:name="_Toc15058848"/>
      <w:bookmarkStart w:id="81" w:name="_Toc83301690"/>
      <w:bookmarkStart w:id="82" w:name="_Toc179632548"/>
      <w:bookmarkStart w:id="83" w:name="_Toc152042307"/>
      <w:bookmarkStart w:id="84" w:name="_Toc296602422"/>
      <w:bookmarkStart w:id="85" w:name="_Toc144974499"/>
      <w:bookmarkStart w:id="86" w:name="_Toc324404817"/>
      <w:bookmarkStart w:id="87" w:name="_Toc152045531"/>
      <w:bookmarkStart w:id="88" w:name="_Toc95223338"/>
      <w:bookmarkStart w:id="89" w:name="_Toc506107271"/>
      <w:bookmarkStart w:id="90" w:name="_Toc247085691"/>
      <w:r>
        <w:rPr>
          <w:rFonts w:hint="eastAsia" w:ascii="宋体" w:hAnsi="宋体" w:cs="宋体"/>
          <w:color w:val="000000"/>
          <w:szCs w:val="21"/>
        </w:rPr>
        <w:t>1.1.1根据《中华人民共和国招标投标法》《中华人民共和国招标投标法实施条例》等有关</w:t>
      </w:r>
      <w:r>
        <w:rPr>
          <w:rFonts w:hint="eastAsia" w:ascii="宋体" w:hAnsi="宋体" w:cs="宋体"/>
          <w:color w:val="000000"/>
          <w:szCs w:val="21"/>
          <w:lang w:eastAsia="zh-CN"/>
        </w:rPr>
        <w:t>法律法规</w:t>
      </w:r>
      <w:r>
        <w:rPr>
          <w:rFonts w:hint="eastAsia" w:ascii="宋体" w:hAnsi="宋体" w:cs="宋体"/>
          <w:color w:val="000000"/>
          <w:szCs w:val="21"/>
        </w:rPr>
        <w:t>和规章的规定，本招标项目已具备招标条件，现对本项目施工进行招标。</w:t>
      </w:r>
    </w:p>
    <w:p w14:paraId="13C0683D">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1.1.2 本招标项目招标人：见投标人须知前附表。</w:t>
      </w:r>
    </w:p>
    <w:p w14:paraId="6B8B78B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1.1.3 本招标项目招标代理机构：见投标人须知前附表。</w:t>
      </w:r>
    </w:p>
    <w:p w14:paraId="3351458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1.1.4 本招标项目名称：见投标人须知前附表。</w:t>
      </w:r>
    </w:p>
    <w:p w14:paraId="264B43B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1.1.5 本招标项目建设地点：见投标人须知前附表。</w:t>
      </w:r>
    </w:p>
    <w:p w14:paraId="24089917">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1.2 资金来源和落实情况</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1230B920">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1.2.1 本招标项目的资金来源及出资比例：见投标人须知前附表。</w:t>
      </w:r>
    </w:p>
    <w:p w14:paraId="15608B99">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1.2.2 本招标项目的资金落实情况：见投标人须知前附表。</w:t>
      </w:r>
    </w:p>
    <w:p w14:paraId="3BE03C02">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91" w:name="_Toc324404818"/>
      <w:bookmarkStart w:id="92" w:name="_Toc152042308"/>
      <w:bookmarkStart w:id="93" w:name="_Toc144974500"/>
      <w:bookmarkStart w:id="94" w:name="_Toc60061436"/>
      <w:bookmarkStart w:id="95" w:name="_Toc246996921"/>
      <w:bookmarkStart w:id="96" w:name="_Toc506107272"/>
      <w:bookmarkStart w:id="97" w:name="_Toc83301691"/>
      <w:bookmarkStart w:id="98" w:name="_Toc95223339"/>
      <w:bookmarkStart w:id="99" w:name="_Toc296602423"/>
      <w:bookmarkStart w:id="100" w:name="_Toc179632549"/>
      <w:bookmarkStart w:id="101" w:name="_Toc152045532"/>
      <w:bookmarkStart w:id="102" w:name="_Toc247085692"/>
      <w:bookmarkStart w:id="103" w:name="_Toc15058849"/>
      <w:bookmarkStart w:id="104" w:name="_Toc246996178"/>
      <w:r>
        <w:rPr>
          <w:rFonts w:hint="eastAsia" w:ascii="黑体" w:hAnsi="黑体" w:eastAsia="黑体" w:cs="黑体"/>
          <w:color w:val="auto"/>
          <w:sz w:val="21"/>
          <w:szCs w:val="21"/>
          <w:highlight w:val="none"/>
        </w:rPr>
        <w:t>1.3 招标范围、计划工期、质量要求</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3B1CA674">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1.3.1 本次招标范围：见投标人须知前附表。</w:t>
      </w:r>
    </w:p>
    <w:p w14:paraId="68CB99F1">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1.3.2 本招标项目的计划工期：见投标人须知前附表。</w:t>
      </w:r>
    </w:p>
    <w:p w14:paraId="24EAD599">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1.3.3 本招标项目的质量要求：见投标人须知前附表。</w:t>
      </w:r>
    </w:p>
    <w:p w14:paraId="3109BE9F">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105" w:name="_Toc95223340"/>
      <w:bookmarkStart w:id="106" w:name="_Toc83301692"/>
      <w:bookmarkStart w:id="107" w:name="_Toc247085693"/>
      <w:bookmarkStart w:id="108" w:name="_Toc60061437"/>
      <w:bookmarkStart w:id="109" w:name="_Toc296602424"/>
      <w:bookmarkStart w:id="110" w:name="_Toc152042310"/>
      <w:bookmarkStart w:id="111" w:name="_Toc324404819"/>
      <w:bookmarkStart w:id="112" w:name="_Toc506107273"/>
      <w:bookmarkStart w:id="113" w:name="_Toc15058850"/>
      <w:bookmarkStart w:id="114" w:name="_Toc246996179"/>
      <w:bookmarkStart w:id="115" w:name="_Toc246996922"/>
      <w:bookmarkStart w:id="116" w:name="_Toc152045534"/>
      <w:bookmarkStart w:id="117" w:name="_Toc144974502"/>
      <w:bookmarkStart w:id="118" w:name="_Toc179632551"/>
      <w:r>
        <w:rPr>
          <w:rFonts w:hint="eastAsia" w:ascii="黑体" w:hAnsi="黑体" w:eastAsia="黑体" w:cs="黑体"/>
          <w:color w:val="auto"/>
          <w:sz w:val="21"/>
          <w:szCs w:val="21"/>
          <w:highlight w:val="none"/>
        </w:rPr>
        <w:t>1.4 投标人资格要求</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51AE6DED">
      <w:pPr>
        <w:adjustRightInd w:val="0"/>
        <w:snapToGrid w:val="0"/>
        <w:spacing w:line="560" w:lineRule="exact"/>
        <w:ind w:firstLine="420" w:firstLineChars="200"/>
        <w:rPr>
          <w:rFonts w:hint="eastAsia" w:ascii="宋体" w:hAnsi="宋体" w:cs="宋体"/>
          <w:color w:val="000000"/>
          <w:szCs w:val="21"/>
        </w:rPr>
      </w:pPr>
      <w:bookmarkStart w:id="119" w:name="_Toc144974503"/>
      <w:bookmarkStart w:id="120" w:name="_Toc152042311"/>
      <w:bookmarkStart w:id="121" w:name="_Toc15058851"/>
      <w:bookmarkStart w:id="122" w:name="_Toc95223341"/>
      <w:bookmarkStart w:id="123" w:name="_Toc83301693"/>
      <w:bookmarkStart w:id="124" w:name="_Toc60061438"/>
      <w:bookmarkStart w:id="125" w:name="_Toc247085694"/>
      <w:bookmarkStart w:id="126" w:name="_Toc246996180"/>
      <w:bookmarkStart w:id="127" w:name="_Toc324404820"/>
      <w:bookmarkStart w:id="128" w:name="_Toc179632552"/>
      <w:bookmarkStart w:id="129" w:name="_Toc296602425"/>
      <w:bookmarkStart w:id="130" w:name="_Toc506107274"/>
      <w:bookmarkStart w:id="131" w:name="_Toc152045535"/>
      <w:bookmarkStart w:id="132" w:name="_Toc246996923"/>
      <w:r>
        <w:rPr>
          <w:rFonts w:hint="eastAsia" w:ascii="宋体" w:hAnsi="宋体" w:cs="宋体"/>
          <w:color w:val="000000"/>
          <w:szCs w:val="21"/>
        </w:rPr>
        <w:t>1.4.1 投标人应具备承担本项目施工的资质条件、能力和信誉。</w:t>
      </w:r>
    </w:p>
    <w:p w14:paraId="44CBFA6D">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（1）资质条件：见投标人须知前附表；</w:t>
      </w:r>
    </w:p>
    <w:p w14:paraId="1FE1FC5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（2）信誉要求：见投标人须知前附表；</w:t>
      </w:r>
    </w:p>
    <w:p w14:paraId="5E74307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（3）项目经理（建造师）资格：见投标人须知前附表；</w:t>
      </w:r>
    </w:p>
    <w:p w14:paraId="79C21DA5">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（4）其他要求：见投标人须知前附表。</w:t>
      </w:r>
    </w:p>
    <w:p w14:paraId="07C6FF14">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 xml:space="preserve">1.4.2 投标人须知前附表规定接受联合体投标的，除应符合本章第1.4.1项和投标人须知前附表的要求外，还应遵守以下规定： </w:t>
      </w:r>
    </w:p>
    <w:p w14:paraId="006271AA">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（1）联合体各方应按招标文件提供的格式签订联合体协议书，明确联合体各方权利义务</w:t>
      </w:r>
      <w:r>
        <w:rPr>
          <w:color w:val="000000"/>
          <w:spacing w:val="-3"/>
        </w:rPr>
        <w:t>，并承诺就中标项目向招标人承担连带责任</w:t>
      </w:r>
      <w:r>
        <w:rPr>
          <w:rFonts w:hint="eastAsia" w:ascii="宋体" w:hAnsi="宋体" w:cs="宋体"/>
          <w:color w:val="000000"/>
          <w:szCs w:val="21"/>
        </w:rPr>
        <w:t>；</w:t>
      </w:r>
    </w:p>
    <w:p w14:paraId="63179F9B">
      <w:pPr>
        <w:adjustRightInd w:val="0"/>
        <w:snapToGrid w:val="0"/>
        <w:spacing w:line="560" w:lineRule="exact"/>
        <w:ind w:firstLine="420" w:firstLineChars="200"/>
        <w:rPr>
          <w:rFonts w:hint="eastAsia"/>
          <w:color w:val="000000"/>
        </w:rPr>
      </w:pPr>
      <w:r>
        <w:rPr>
          <w:rFonts w:hint="eastAsia" w:ascii="宋体" w:hAnsi="宋体" w:cs="宋体"/>
          <w:color w:val="000000"/>
          <w:szCs w:val="21"/>
        </w:rPr>
        <w:t>（2）联合体各方不得再以自己名义单独或参加其他联合体在同一标段中投标。</w:t>
      </w:r>
    </w:p>
    <w:p w14:paraId="595C9AB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1.4.3投标人（包括联合体各</w:t>
      </w:r>
      <w:r>
        <w:rPr>
          <w:rFonts w:hint="eastAsia" w:ascii="宋体" w:hAnsi="宋体" w:eastAsia="宋体" w:cs="宋体"/>
          <w:color w:val="000000"/>
          <w:szCs w:val="21"/>
        </w:rPr>
        <w:t>成员）</w:t>
      </w:r>
      <w:r>
        <w:rPr>
          <w:rFonts w:hint="eastAsia" w:ascii="宋体" w:hAnsi="宋体" w:eastAsia="宋体" w:cs="宋体"/>
          <w:color w:val="000000"/>
          <w:szCs w:val="21"/>
          <w:lang w:val="en-US" w:eastAsia="zh-CN"/>
        </w:rPr>
        <w:t>不得存在以下情形</w:t>
      </w:r>
      <w:r>
        <w:rPr>
          <w:rFonts w:hint="eastAsia" w:ascii="宋体" w:hAnsi="宋体" w:eastAsia="宋体" w:cs="宋体"/>
          <w:color w:val="000000"/>
          <w:szCs w:val="21"/>
        </w:rPr>
        <w:t>：</w:t>
      </w:r>
    </w:p>
    <w:p w14:paraId="25F5F4CC">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（1）为招标人不具有独立法人资格的附属机构（单位）；</w:t>
      </w:r>
    </w:p>
    <w:p w14:paraId="5E2C6F9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（2）与招标人存在利害关系且可能影响招标公正性；</w:t>
      </w:r>
    </w:p>
    <w:p w14:paraId="51ADE85C">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（3）与本标段的其他投标人同为一个单位负责人；</w:t>
      </w:r>
    </w:p>
    <w:p w14:paraId="3BB2EA9A">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（4）与本标段的其他投标人存在控股、管理关系；</w:t>
      </w:r>
    </w:p>
    <w:p w14:paraId="5BD2A54A">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（5）为本标段前期准备提供设计或咨询服务的法人或其任何附属机构（单位）</w:t>
      </w:r>
      <w:r>
        <w:rPr>
          <w:rFonts w:hint="eastAsia" w:ascii="宋体" w:hAnsi="宋体" w:cs="宋体"/>
          <w:color w:val="000000"/>
          <w:szCs w:val="21"/>
          <w:lang w:eastAsia="zh-CN"/>
        </w:rPr>
        <w:t>（</w:t>
      </w:r>
      <w:r>
        <w:rPr>
          <w:rFonts w:hint="eastAsia" w:ascii="宋体" w:hAnsi="宋体" w:cs="宋体"/>
          <w:color w:val="000000"/>
          <w:szCs w:val="21"/>
        </w:rPr>
        <w:t>工程总承包项目</w:t>
      </w:r>
      <w:r>
        <w:rPr>
          <w:rFonts w:hint="eastAsia" w:ascii="宋体" w:hAnsi="宋体" w:cs="宋体"/>
          <w:color w:val="000000"/>
          <w:szCs w:val="21"/>
          <w:lang w:eastAsia="zh-CN"/>
        </w:rPr>
        <w:t>本项</w:t>
      </w:r>
      <w:r>
        <w:rPr>
          <w:rFonts w:hint="eastAsia" w:ascii="宋体" w:hAnsi="宋体" w:cs="宋体"/>
          <w:color w:val="000000"/>
          <w:szCs w:val="21"/>
        </w:rPr>
        <w:t>目不采用</w:t>
      </w:r>
      <w:r>
        <w:rPr>
          <w:rFonts w:hint="eastAsia" w:ascii="宋体" w:hAnsi="宋体" w:cs="宋体"/>
          <w:color w:val="000000"/>
          <w:szCs w:val="21"/>
          <w:lang w:eastAsia="zh-CN"/>
        </w:rPr>
        <w:t>）</w:t>
      </w:r>
      <w:r>
        <w:rPr>
          <w:rFonts w:hint="eastAsia" w:ascii="宋体" w:hAnsi="宋体" w:cs="宋体"/>
          <w:color w:val="000000"/>
          <w:szCs w:val="21"/>
        </w:rPr>
        <w:t>；</w:t>
      </w:r>
    </w:p>
    <w:p w14:paraId="1E5941AC">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（6）为本标段的监理人；</w:t>
      </w:r>
    </w:p>
    <w:p w14:paraId="45CB539E">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（7）为本标段的代建人；</w:t>
      </w:r>
    </w:p>
    <w:p w14:paraId="34E4A4F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（8）为本标段的招标代理机构；</w:t>
      </w:r>
    </w:p>
    <w:p w14:paraId="56C1EBC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（9）与本标段的监理人或代建人或招标代理机构同为一个法定代表人；</w:t>
      </w:r>
    </w:p>
    <w:p w14:paraId="7820924D">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（10）与本标段的监理人或代建人或招标代理机构存在控股或参股关系；</w:t>
      </w:r>
    </w:p>
    <w:p w14:paraId="4EF8F996">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（11）被依法取消投标资格，且在处罚期和处罚范围内（以有关行政管理部门的行政处罚决定或司法机关出具的有关法律文书为准）；</w:t>
      </w:r>
    </w:p>
    <w:p w14:paraId="308388D0">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12）在最近三年内（自投标截止之日向前追溯3年）有骗取中标或串通投标或严重违约或重大工程质量事故[依据《关于做好房屋建筑和市政基础设施工程质量事故报告和调查处理工程的通知》（建质〔2010〕111号）规定</w:t>
      </w:r>
      <w:r>
        <w:rPr>
          <w:rFonts w:hint="eastAsia" w:ascii="宋体" w:hAnsi="宋体" w:cs="宋体"/>
          <w:color w:val="000000"/>
          <w:szCs w:val="21"/>
          <w:lang w:eastAsia="zh-CN"/>
        </w:rPr>
        <w:t>]</w:t>
      </w:r>
      <w:r>
        <w:rPr>
          <w:rFonts w:hint="eastAsia" w:ascii="宋体" w:hAnsi="宋体" w:cs="宋体"/>
          <w:color w:val="000000"/>
          <w:szCs w:val="21"/>
        </w:rPr>
        <w:t>或重大生产安全事故[依据《生产安全事故报告和调查处理条例》（国务院令第493号）规定</w:t>
      </w:r>
      <w:r>
        <w:rPr>
          <w:rFonts w:hint="eastAsia" w:ascii="宋体" w:hAnsi="宋体" w:cs="宋体"/>
          <w:color w:val="000000"/>
          <w:szCs w:val="21"/>
          <w:lang w:eastAsia="zh-CN"/>
        </w:rPr>
        <w:t>]</w:t>
      </w:r>
      <w:r>
        <w:rPr>
          <w:rFonts w:hint="eastAsia" w:ascii="宋体" w:hAnsi="宋体" w:cs="宋体"/>
          <w:color w:val="000000"/>
          <w:szCs w:val="21"/>
        </w:rPr>
        <w:t>的（以相关行业主管部门的行政处罚决定或司法机关出具的有关法律文书为准）。上述情形已完成信用修复的除外；</w:t>
      </w:r>
    </w:p>
    <w:p w14:paraId="21051DD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（13）被责令停业，暂扣或吊销执照、安全生产许可证，或吊销资质证书；</w:t>
      </w:r>
    </w:p>
    <w:p w14:paraId="5962DAF5">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（14）进入清算程序，或被宣告破产，或其他丧失履约能力的情形；</w:t>
      </w:r>
    </w:p>
    <w:p w14:paraId="3BCEE28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（15）投标人或其法定代表人、项目经理在最近三年内（自投标截止之日向前追溯3年）有行贿犯罪行为；</w:t>
      </w:r>
    </w:p>
    <w:p w14:paraId="1420B868">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（16）法律法规或投标人须知前附表规定的其他情形。</w:t>
      </w:r>
    </w:p>
    <w:p w14:paraId="139E741F">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1.5 费用承担</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52FF78F8">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投标人准备和参加投标活动发生的费用自理。</w:t>
      </w:r>
    </w:p>
    <w:p w14:paraId="7D7055F1">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133" w:name="_Toc296602426"/>
      <w:bookmarkStart w:id="134" w:name="_Toc15058852"/>
      <w:bookmarkStart w:id="135" w:name="_Toc83301694"/>
      <w:bookmarkStart w:id="136" w:name="_Toc324404821"/>
      <w:bookmarkStart w:id="137" w:name="_Toc95223342"/>
      <w:bookmarkStart w:id="138" w:name="_Toc246996924"/>
      <w:bookmarkStart w:id="139" w:name="_Toc60061439"/>
      <w:bookmarkStart w:id="140" w:name="_Toc144974504"/>
      <w:bookmarkStart w:id="141" w:name="_Toc152042312"/>
      <w:bookmarkStart w:id="142" w:name="_Toc152045536"/>
      <w:bookmarkStart w:id="143" w:name="_Toc247085695"/>
      <w:bookmarkStart w:id="144" w:name="_Toc506107275"/>
      <w:bookmarkStart w:id="145" w:name="_Toc179632553"/>
      <w:bookmarkStart w:id="146" w:name="_Toc246996181"/>
      <w:r>
        <w:rPr>
          <w:rFonts w:hint="eastAsia" w:ascii="黑体" w:hAnsi="黑体" w:eastAsia="黑体" w:cs="黑体"/>
          <w:color w:val="auto"/>
          <w:sz w:val="21"/>
          <w:szCs w:val="21"/>
          <w:highlight w:val="none"/>
        </w:rPr>
        <w:t>1.6 保密</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0A4F214">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参与招标投标活动的各方应对招标文件和投标文件中的商业和技术等秘密保密，违者应对由此造成的后果承担法律责任。</w:t>
      </w:r>
      <w:r>
        <w:rPr>
          <w:rFonts w:hint="eastAsia" w:ascii="宋体" w:hAnsi="宋体" w:cs="宋体"/>
          <w:color w:val="auto"/>
          <w:szCs w:val="21"/>
          <w:highlight w:val="none"/>
        </w:rPr>
        <w:t xml:space="preserve"> </w:t>
      </w:r>
    </w:p>
    <w:p w14:paraId="27C26EBC">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147" w:name="_Toc144974505"/>
      <w:bookmarkStart w:id="148" w:name="_Toc179632554"/>
      <w:bookmarkStart w:id="149" w:name="_Toc15058853"/>
      <w:bookmarkStart w:id="150" w:name="_Toc324404822"/>
      <w:bookmarkStart w:id="151" w:name="_Toc83301695"/>
      <w:bookmarkStart w:id="152" w:name="_Toc506107276"/>
      <w:bookmarkStart w:id="153" w:name="_Toc246996182"/>
      <w:bookmarkStart w:id="154" w:name="_Toc95223343"/>
      <w:bookmarkStart w:id="155" w:name="_Toc60061440"/>
      <w:bookmarkStart w:id="156" w:name="_Toc246996925"/>
      <w:bookmarkStart w:id="157" w:name="_Toc296602427"/>
      <w:bookmarkStart w:id="158" w:name="_Toc152042313"/>
      <w:bookmarkStart w:id="159" w:name="_Toc152045537"/>
      <w:bookmarkStart w:id="160" w:name="_Toc247085696"/>
      <w:r>
        <w:rPr>
          <w:rFonts w:hint="eastAsia" w:ascii="黑体" w:hAnsi="黑体" w:eastAsia="黑体" w:cs="黑体"/>
          <w:color w:val="auto"/>
          <w:sz w:val="21"/>
          <w:szCs w:val="21"/>
          <w:highlight w:val="none"/>
        </w:rPr>
        <w:t>1.7 语言</w:t>
      </w:r>
      <w:bookmarkEnd w:id="147"/>
      <w:r>
        <w:rPr>
          <w:rFonts w:hint="eastAsia" w:ascii="黑体" w:hAnsi="黑体" w:eastAsia="黑体" w:cs="黑体"/>
          <w:color w:val="auto"/>
          <w:sz w:val="21"/>
          <w:szCs w:val="21"/>
          <w:highlight w:val="none"/>
        </w:rPr>
        <w:t>文字</w:t>
      </w:r>
      <w:bookmarkEnd w:id="148"/>
      <w:bookmarkEnd w:id="149"/>
      <w:bookmarkEnd w:id="150"/>
      <w:bookmarkEnd w:id="151"/>
      <w:bookmarkEnd w:id="152"/>
      <w:bookmarkEnd w:id="153"/>
      <w:bookmarkEnd w:id="154"/>
      <w:bookmarkEnd w:id="155"/>
      <w:bookmarkEnd w:id="156"/>
      <w:bookmarkEnd w:id="157"/>
      <w:bookmarkEnd w:id="158"/>
      <w:bookmarkEnd w:id="159"/>
      <w:bookmarkEnd w:id="160"/>
    </w:p>
    <w:p w14:paraId="71A3E5D3">
      <w:pPr>
        <w:adjustRightInd w:val="0"/>
        <w:snapToGrid w:val="0"/>
        <w:spacing w:line="560" w:lineRule="exact"/>
        <w:ind w:firstLine="420" w:firstLineChars="200"/>
        <w:rPr>
          <w:rFonts w:hint="eastAsia" w:ascii="宋体" w:hAnsi="宋体" w:cs="宋体"/>
          <w:color w:val="000000"/>
          <w:szCs w:val="21"/>
        </w:rPr>
      </w:pPr>
      <w:bookmarkStart w:id="161" w:name="_Toc152042314"/>
      <w:bookmarkStart w:id="162" w:name="_Toc179632555"/>
      <w:bookmarkStart w:id="163" w:name="_Toc506107277"/>
      <w:bookmarkStart w:id="164" w:name="_Toc296602428"/>
      <w:bookmarkStart w:id="165" w:name="_Toc144974506"/>
      <w:bookmarkStart w:id="166" w:name="_Toc15058854"/>
      <w:bookmarkStart w:id="167" w:name="_Toc152045538"/>
      <w:bookmarkStart w:id="168" w:name="_Toc247085697"/>
      <w:bookmarkStart w:id="169" w:name="_Toc246996183"/>
      <w:bookmarkStart w:id="170" w:name="_Toc83301696"/>
      <w:bookmarkStart w:id="171" w:name="_Toc60061441"/>
      <w:bookmarkStart w:id="172" w:name="_Toc95223344"/>
      <w:bookmarkStart w:id="173" w:name="_Toc324404823"/>
      <w:bookmarkStart w:id="174" w:name="_Toc246996926"/>
      <w:r>
        <w:rPr>
          <w:rFonts w:hint="eastAsia" w:ascii="宋体" w:hAnsi="宋体" w:cs="宋体"/>
          <w:color w:val="000000"/>
          <w:szCs w:val="21"/>
        </w:rPr>
        <w:t>招标投标文件使用的语言文字为中文。专用术语使用外文的，应附有中文注释。</w:t>
      </w:r>
    </w:p>
    <w:p w14:paraId="4A83C7ED">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1.8 计量单位</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2F95F1B4">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43D09ED0">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175" w:name="_Toc152042315"/>
      <w:bookmarkStart w:id="176" w:name="_Toc247592876"/>
      <w:bookmarkStart w:id="177" w:name="_Toc60061442"/>
      <w:bookmarkStart w:id="178" w:name="_Toc83301697"/>
      <w:bookmarkStart w:id="179" w:name="_Toc247527563"/>
      <w:bookmarkStart w:id="180" w:name="_Toc15058855"/>
      <w:bookmarkStart w:id="181" w:name="_Toc144974507"/>
      <w:bookmarkStart w:id="182" w:name="_Toc152045539"/>
      <w:bookmarkStart w:id="183" w:name="_Toc506107278"/>
      <w:bookmarkStart w:id="184" w:name="_Toc247513962"/>
      <w:bookmarkStart w:id="185" w:name="_Toc296602429"/>
      <w:bookmarkStart w:id="186" w:name="_Toc324404824"/>
      <w:bookmarkStart w:id="187" w:name="_Toc95223345"/>
      <w:r>
        <w:rPr>
          <w:rFonts w:hint="eastAsia" w:ascii="黑体" w:hAnsi="黑体" w:eastAsia="黑体" w:cs="黑体"/>
          <w:color w:val="auto"/>
          <w:sz w:val="21"/>
          <w:szCs w:val="21"/>
          <w:highlight w:val="none"/>
        </w:rPr>
        <w:t>1.9 踏勘现场</w:t>
      </w:r>
      <w:bookmarkEnd w:id="175"/>
      <w:bookmarkEnd w:id="176"/>
      <w:bookmarkEnd w:id="177"/>
      <w:bookmarkEnd w:id="178"/>
      <w:bookmarkEnd w:id="179"/>
      <w:bookmarkEnd w:id="180"/>
      <w:bookmarkEnd w:id="181"/>
      <w:bookmarkEnd w:id="182"/>
      <w:bookmarkEnd w:id="183"/>
      <w:bookmarkEnd w:id="184"/>
      <w:bookmarkEnd w:id="185"/>
      <w:bookmarkEnd w:id="186"/>
      <w:bookmarkEnd w:id="187"/>
    </w:p>
    <w:p w14:paraId="0751184A">
      <w:pPr>
        <w:adjustRightInd w:val="0"/>
        <w:snapToGrid w:val="0"/>
        <w:spacing w:line="560" w:lineRule="exact"/>
        <w:ind w:firstLine="420" w:firstLineChars="200"/>
        <w:rPr>
          <w:rFonts w:hint="eastAsia" w:ascii="宋体" w:hAnsi="宋体" w:eastAsia="宋体" w:cs="宋体"/>
          <w:color w:val="000000"/>
          <w:szCs w:val="21"/>
        </w:rPr>
      </w:pPr>
      <w:bookmarkStart w:id="188" w:name="_Toc506107279"/>
      <w:bookmarkStart w:id="189" w:name="_Toc152045540"/>
      <w:bookmarkStart w:id="190" w:name="_Toc247527564"/>
      <w:bookmarkStart w:id="191" w:name="_Toc15058856"/>
      <w:bookmarkStart w:id="192" w:name="_Toc296602430"/>
      <w:bookmarkStart w:id="193" w:name="_Toc144974508"/>
      <w:bookmarkStart w:id="194" w:name="_Toc152042316"/>
      <w:bookmarkStart w:id="195" w:name="_Toc324404825"/>
      <w:bookmarkStart w:id="196" w:name="_Toc60061443"/>
      <w:bookmarkStart w:id="197" w:name="_Toc247592877"/>
      <w:bookmarkStart w:id="198" w:name="_Toc247513963"/>
      <w:r>
        <w:rPr>
          <w:rFonts w:hint="eastAsia" w:ascii="宋体" w:hAnsi="宋体" w:cs="宋体"/>
          <w:color w:val="000000"/>
          <w:szCs w:val="21"/>
        </w:rPr>
        <w:t>1.9.1</w:t>
      </w:r>
      <w:r>
        <w:rPr>
          <w:rFonts w:hint="eastAsia" w:ascii="宋体" w:hAnsi="宋体" w:eastAsia="宋体" w:cs="宋体"/>
          <w:color w:val="000000"/>
          <w:szCs w:val="21"/>
        </w:rPr>
        <w:t xml:space="preserve">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7BCE7FF1">
      <w:pPr>
        <w:adjustRightInd w:val="0"/>
        <w:snapToGrid w:val="0"/>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1.9.2 投标人踏勘现场发生的费用自理。</w:t>
      </w:r>
    </w:p>
    <w:p w14:paraId="2328005A">
      <w:pPr>
        <w:adjustRightInd w:val="0"/>
        <w:snapToGrid w:val="0"/>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1.9.3 除招标人的原因外，投标人自行负责在踏勘现场中所发生的人员伤亡和财产损失。</w:t>
      </w:r>
    </w:p>
    <w:p w14:paraId="49891F02">
      <w:pPr>
        <w:adjustRightInd w:val="0"/>
        <w:snapToGrid w:val="0"/>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1.9.4 招标人在踏勘现场中介绍的工程场地和相关的周边环境情况，供投标人在编制投标文件时参考，招标人不对投标人据此作出的判断和决策负责。</w:t>
      </w:r>
    </w:p>
    <w:p w14:paraId="321EB61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eastAsia="宋体" w:cs="宋体"/>
          <w:color w:val="000000"/>
          <w:szCs w:val="21"/>
        </w:rPr>
        <w:t>1.9.5无论投标人是否到施工现场实地踏勘，中标后签订合同时和履约过程中，投标人不得以不完全了解现场情况或现场情况与招标文件描述不一致等为由，提出任何形式的增加工程造价或索赔的要求。</w:t>
      </w:r>
    </w:p>
    <w:p w14:paraId="69E6BEC1">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199" w:name="_Toc83301698"/>
      <w:bookmarkStart w:id="200" w:name="_Toc95223346"/>
      <w:r>
        <w:rPr>
          <w:rFonts w:hint="eastAsia" w:ascii="黑体" w:hAnsi="黑体" w:eastAsia="黑体" w:cs="黑体"/>
          <w:color w:val="auto"/>
          <w:sz w:val="21"/>
          <w:szCs w:val="21"/>
          <w:highlight w:val="none"/>
        </w:rPr>
        <w:t>1.10 投标预备会</w:t>
      </w:r>
      <w:bookmarkEnd w:id="188"/>
      <w:bookmarkEnd w:id="189"/>
      <w:bookmarkEnd w:id="190"/>
      <w:bookmarkEnd w:id="191"/>
      <w:bookmarkEnd w:id="192"/>
      <w:bookmarkEnd w:id="193"/>
      <w:bookmarkEnd w:id="194"/>
      <w:bookmarkEnd w:id="195"/>
      <w:bookmarkEnd w:id="196"/>
      <w:bookmarkEnd w:id="197"/>
      <w:bookmarkEnd w:id="198"/>
      <w:bookmarkEnd w:id="199"/>
      <w:bookmarkEnd w:id="200"/>
    </w:p>
    <w:p w14:paraId="255B003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1.10.1投标人须知前附表规定召开投标预备会的，招标人按投标人须知前附表规定的时间和地点召开投标预备会，澄清投标人提出的问题。</w:t>
      </w:r>
    </w:p>
    <w:p w14:paraId="5FCE5F45">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1.10.2投标人应在投标人须知前附表规定的时间前，将提出的问题送达招标人，以便招标人澄清。</w:t>
      </w:r>
    </w:p>
    <w:p w14:paraId="30FEC9B6">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201" w:name="_Toc324404826"/>
      <w:bookmarkStart w:id="202" w:name="_Toc15058857"/>
      <w:bookmarkStart w:id="203" w:name="_Toc296602431"/>
      <w:bookmarkStart w:id="204" w:name="_Toc506107280"/>
      <w:bookmarkStart w:id="205" w:name="_Toc95223347"/>
      <w:bookmarkStart w:id="206" w:name="_Toc83301699"/>
      <w:bookmarkStart w:id="207" w:name="_Toc60061444"/>
      <w:r>
        <w:rPr>
          <w:rFonts w:hint="eastAsia" w:ascii="黑体" w:hAnsi="黑体" w:eastAsia="黑体" w:cs="黑体"/>
          <w:color w:val="auto"/>
          <w:sz w:val="21"/>
          <w:szCs w:val="21"/>
          <w:highlight w:val="none"/>
        </w:rPr>
        <w:t xml:space="preserve">1.11 </w:t>
      </w:r>
      <w:bookmarkEnd w:id="201"/>
      <w:bookmarkEnd w:id="202"/>
      <w:bookmarkEnd w:id="203"/>
      <w:bookmarkEnd w:id="204"/>
      <w:r>
        <w:rPr>
          <w:rFonts w:hint="eastAsia" w:ascii="黑体" w:hAnsi="黑体" w:eastAsia="黑体" w:cs="黑体"/>
          <w:color w:val="auto"/>
          <w:sz w:val="21"/>
          <w:szCs w:val="21"/>
          <w:highlight w:val="none"/>
        </w:rPr>
        <w:t>分包</w:t>
      </w:r>
      <w:bookmarkEnd w:id="205"/>
      <w:bookmarkEnd w:id="206"/>
      <w:bookmarkEnd w:id="207"/>
    </w:p>
    <w:p w14:paraId="06A917A8">
      <w:pPr>
        <w:adjustRightInd w:val="0"/>
        <w:snapToGrid w:val="0"/>
        <w:spacing w:line="600" w:lineRule="exact"/>
        <w:ind w:firstLine="540"/>
        <w:rPr>
          <w:rFonts w:hint="eastAsia" w:ascii="宋体" w:hAnsi="宋体" w:cs="宋体"/>
          <w:bCs/>
          <w:snapToGrid w:val="0"/>
          <w:color w:val="000000"/>
          <w:kern w:val="0"/>
          <w:szCs w:val="21"/>
        </w:rPr>
      </w:pPr>
      <w:r>
        <w:rPr>
          <w:rFonts w:hint="eastAsia" w:ascii="宋体" w:hAnsi="宋体" w:cs="宋体"/>
          <w:bCs/>
          <w:snapToGrid w:val="0"/>
          <w:color w:val="000000"/>
          <w:kern w:val="0"/>
          <w:szCs w:val="21"/>
        </w:rPr>
        <w:t>1.11.1 投标人拟在中标后将中标项目的部分非主体、非关键性工作进行分包的，应符合以下规定：</w:t>
      </w:r>
    </w:p>
    <w:p w14:paraId="6F46A3B6">
      <w:pPr>
        <w:tabs>
          <w:tab w:val="left" w:pos="1014"/>
        </w:tabs>
        <w:adjustRightInd w:val="0"/>
        <w:snapToGrid w:val="0"/>
        <w:spacing w:line="600" w:lineRule="exact"/>
        <w:ind w:firstLine="420" w:firstLineChars="200"/>
        <w:rPr>
          <w:rFonts w:hint="eastAsia" w:ascii="宋体" w:hAnsi="宋体" w:cs="宋体"/>
          <w:bCs/>
          <w:snapToGrid w:val="0"/>
          <w:color w:val="000000"/>
          <w:kern w:val="0"/>
          <w:szCs w:val="21"/>
        </w:rPr>
      </w:pPr>
      <w:r>
        <w:rPr>
          <w:rFonts w:hint="eastAsia" w:ascii="宋体" w:hAnsi="宋体" w:cs="宋体"/>
          <w:bCs/>
          <w:snapToGrid w:val="0"/>
          <w:color w:val="000000"/>
          <w:kern w:val="0"/>
          <w:szCs w:val="21"/>
        </w:rPr>
        <w:t>（1）分包内容要求：招标人允许分包或不允许分包的专业工程（如有）应在投标人须知前附表中载明；</w:t>
      </w:r>
    </w:p>
    <w:p w14:paraId="603E95F6">
      <w:pPr>
        <w:tabs>
          <w:tab w:val="left" w:pos="1014"/>
        </w:tabs>
        <w:adjustRightInd w:val="0"/>
        <w:snapToGrid w:val="0"/>
        <w:spacing w:line="600" w:lineRule="exact"/>
        <w:ind w:firstLine="420" w:firstLineChars="200"/>
        <w:rPr>
          <w:rFonts w:hint="eastAsia" w:ascii="宋体" w:hAnsi="宋体" w:cs="宋体"/>
          <w:bCs/>
          <w:snapToGrid w:val="0"/>
          <w:color w:val="000000"/>
          <w:kern w:val="0"/>
          <w:szCs w:val="21"/>
        </w:rPr>
      </w:pPr>
      <w:r>
        <w:rPr>
          <w:rFonts w:hint="eastAsia" w:ascii="宋体" w:hAnsi="宋体" w:cs="宋体"/>
          <w:bCs/>
          <w:snapToGrid w:val="0"/>
          <w:color w:val="000000"/>
          <w:kern w:val="0"/>
          <w:szCs w:val="21"/>
        </w:rPr>
        <w:t>（2）接受分包的第三人资格要求：分包人的资格能力应与其分包工程的标准和规模相适应，且具备投标人须知前附表中规定的资格条件；</w:t>
      </w:r>
    </w:p>
    <w:p w14:paraId="6CAD04FC">
      <w:pPr>
        <w:tabs>
          <w:tab w:val="left" w:pos="1030"/>
        </w:tabs>
        <w:adjustRightInd w:val="0"/>
        <w:snapToGrid w:val="0"/>
        <w:spacing w:line="600" w:lineRule="exact"/>
        <w:ind w:firstLine="420" w:firstLineChars="200"/>
        <w:rPr>
          <w:rFonts w:hint="eastAsia" w:ascii="宋体" w:hAnsi="宋体" w:cs="宋体"/>
          <w:bCs/>
          <w:snapToGrid w:val="0"/>
          <w:color w:val="000000"/>
          <w:kern w:val="0"/>
          <w:szCs w:val="21"/>
        </w:rPr>
      </w:pPr>
      <w:r>
        <w:rPr>
          <w:rFonts w:hint="eastAsia" w:ascii="宋体" w:hAnsi="宋体" w:cs="宋体"/>
          <w:bCs/>
          <w:snapToGrid w:val="0"/>
          <w:color w:val="000000"/>
          <w:kern w:val="0"/>
          <w:szCs w:val="21"/>
        </w:rPr>
        <w:t>（3）其他要求：投标人如有分包计划，应按第九章“投标文件格式”的要求填写“拟分包项目情况表”，明确拟分包的工程及规模，且投标人中标后的分包应满足合同条款的相关要求。</w:t>
      </w:r>
    </w:p>
    <w:p w14:paraId="37CCBB47">
      <w:pPr>
        <w:pStyle w:val="20"/>
        <w:adjustRightInd w:val="0"/>
        <w:snapToGrid w:val="0"/>
        <w:spacing w:after="0" w:line="560" w:lineRule="exact"/>
        <w:ind w:left="0" w:leftChars="0" w:firstLine="0" w:firstLineChars="0"/>
        <w:rPr>
          <w:rFonts w:hint="eastAsia" w:ascii="宋体" w:hAnsi="宋体" w:cs="宋体"/>
          <w:color w:val="000000"/>
          <w:szCs w:val="21"/>
        </w:rPr>
      </w:pPr>
      <w:r>
        <w:rPr>
          <w:rFonts w:hint="eastAsia" w:ascii="宋体" w:hAnsi="宋体" w:cs="宋体"/>
          <w:color w:val="000000"/>
          <w:szCs w:val="21"/>
        </w:rPr>
        <w:t xml:space="preserve">   1.11.2中标人不得向他人转让中标项目，接受分包的人不得再次分包。中标人应就分包项目</w:t>
      </w:r>
    </w:p>
    <w:p w14:paraId="63D1B252">
      <w:pPr>
        <w:pStyle w:val="20"/>
        <w:adjustRightInd w:val="0"/>
        <w:snapToGrid w:val="0"/>
        <w:spacing w:after="0" w:line="560" w:lineRule="exact"/>
        <w:ind w:left="0" w:leftChars="0" w:firstLine="0" w:firstLineChars="0"/>
        <w:rPr>
          <w:rFonts w:hint="eastAsia"/>
          <w:color w:val="auto"/>
          <w:highlight w:val="none"/>
        </w:rPr>
      </w:pPr>
      <w:r>
        <w:rPr>
          <w:rFonts w:hint="eastAsia" w:ascii="宋体" w:hAnsi="宋体" w:cs="宋体"/>
          <w:color w:val="000000"/>
          <w:szCs w:val="21"/>
        </w:rPr>
        <w:t>向招标人负责，接受分包的人就分包项目承担连带责任。</w:t>
      </w:r>
    </w:p>
    <w:p w14:paraId="0AB83718">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208" w:name="_Toc95223348"/>
      <w:bookmarkStart w:id="209" w:name="_Toc60061445"/>
      <w:bookmarkStart w:id="210" w:name="_Toc83301700"/>
      <w:r>
        <w:rPr>
          <w:rFonts w:hint="eastAsia" w:ascii="黑体" w:hAnsi="黑体" w:eastAsia="黑体" w:cs="黑体"/>
          <w:color w:val="auto"/>
          <w:sz w:val="21"/>
          <w:szCs w:val="21"/>
          <w:highlight w:val="none"/>
        </w:rPr>
        <w:t>1.12 偏离</w:t>
      </w:r>
      <w:bookmarkEnd w:id="208"/>
      <w:bookmarkEnd w:id="209"/>
      <w:bookmarkEnd w:id="210"/>
    </w:p>
    <w:p w14:paraId="77B46413">
      <w:pPr>
        <w:adjustRightInd w:val="0"/>
        <w:snapToGrid w:val="0"/>
        <w:spacing w:line="560" w:lineRule="exact"/>
        <w:ind w:firstLine="420" w:firstLineChars="200"/>
        <w:rPr>
          <w:rFonts w:hint="eastAsia" w:ascii="宋体" w:hAnsi="宋体" w:eastAsia="宋体" w:cs="宋体"/>
          <w:color w:val="000000"/>
          <w:kern w:val="2"/>
          <w:sz w:val="21"/>
          <w:szCs w:val="21"/>
          <w:lang w:val="en-US" w:eastAsia="zh-CN" w:bidi="ar-SA"/>
        </w:rPr>
      </w:pPr>
      <w:bookmarkStart w:id="211" w:name="_Toc95223349"/>
      <w:bookmarkStart w:id="212" w:name="_Toc246996930"/>
      <w:bookmarkStart w:id="213" w:name="_Toc83301701"/>
      <w:bookmarkStart w:id="214" w:name="_Toc144974510"/>
      <w:bookmarkStart w:id="215" w:name="_Toc152045542"/>
      <w:bookmarkStart w:id="216" w:name="_Toc152042318"/>
      <w:bookmarkStart w:id="217" w:name="_Toc324404827"/>
      <w:bookmarkStart w:id="218" w:name="_Toc60061446"/>
      <w:bookmarkStart w:id="219" w:name="_Toc247085701"/>
      <w:bookmarkStart w:id="220" w:name="_Toc15058858"/>
      <w:bookmarkStart w:id="221" w:name="_Toc179632560"/>
      <w:bookmarkStart w:id="222" w:name="_Toc506107281"/>
      <w:bookmarkStart w:id="223" w:name="_Toc246996187"/>
      <w:r>
        <w:rPr>
          <w:rFonts w:hint="eastAsia" w:ascii="宋体" w:hAnsi="宋体" w:cs="宋体"/>
          <w:color w:val="000000"/>
          <w:szCs w:val="21"/>
        </w:rPr>
        <w:t>1.12.1投标文件偏离招标</w:t>
      </w:r>
      <w:r>
        <w:rPr>
          <w:rFonts w:hint="eastAsia" w:ascii="宋体" w:hAnsi="宋体" w:eastAsia="宋体" w:cs="宋体"/>
          <w:color w:val="000000"/>
          <w:kern w:val="2"/>
          <w:sz w:val="21"/>
          <w:szCs w:val="21"/>
          <w:lang w:val="en-US" w:eastAsia="zh-CN" w:bidi="ar-SA"/>
        </w:rPr>
        <w:t>文件某些要求，视为投标文件存在偏差。偏差包括重大偏差和细微偏差。</w:t>
      </w:r>
    </w:p>
    <w:p w14:paraId="18AA4D56">
      <w:pPr>
        <w:adjustRightInd w:val="0"/>
        <w:snapToGrid w:val="0"/>
        <w:spacing w:line="56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1.12.2投标文件应对招标文件的实质性要求和条件作出满足性或更有利于招标人的响应，否则，视为投标文件存在重大偏差，投标人的投标将被否决。</w:t>
      </w:r>
    </w:p>
    <w:p w14:paraId="05CD083D">
      <w:pPr>
        <w:adjustRightInd w:val="0"/>
        <w:snapToGrid w:val="0"/>
        <w:spacing w:line="56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投标文件存在第四章“评标办法”中所列任一无效投标情形的，均属于存在重大偏差。</w:t>
      </w:r>
    </w:p>
    <w:p w14:paraId="0CCA1877">
      <w:pPr>
        <w:adjustRightInd w:val="0"/>
        <w:snapToGrid w:val="0"/>
        <w:spacing w:line="56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1.12.3投标文件中的下列偏差为细微偏差：</w:t>
      </w:r>
    </w:p>
    <w:p w14:paraId="4F811F42">
      <w:pPr>
        <w:tabs>
          <w:tab w:val="left" w:pos="1014"/>
        </w:tabs>
        <w:adjustRightInd w:val="0"/>
        <w:snapToGrid w:val="0"/>
        <w:spacing w:line="60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在按照第四章“评标办法”的规定对投标价进行算术性错误修正及其他错误修正后，最终投标报价未超过最高投标限价（如有）或未被否决投标的情况下，出现第四章“评标办法”规定的算术性错误和投标报价的其他错误；</w:t>
      </w:r>
    </w:p>
    <w:p w14:paraId="158D8C09">
      <w:pPr>
        <w:tabs>
          <w:tab w:val="left" w:pos="1014"/>
        </w:tabs>
        <w:adjustRightInd w:val="0"/>
        <w:snapToGrid w:val="0"/>
        <w:spacing w:line="60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（2）投标文件个别文字有遗漏错误等不影响投标文件实质性内容的偏差。</w:t>
      </w:r>
    </w:p>
    <w:p w14:paraId="3BF085C8">
      <w:pPr>
        <w:adjustRightInd w:val="0"/>
        <w:snapToGrid w:val="0"/>
        <w:spacing w:line="56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1.12.4评标委员会对投标文件中的细微偏差按如下规定处理：</w:t>
      </w:r>
    </w:p>
    <w:p w14:paraId="7A3B51D9">
      <w:pPr>
        <w:adjustRightInd w:val="0"/>
        <w:snapToGrid w:val="0"/>
        <w:spacing w:line="560" w:lineRule="exact"/>
        <w:ind w:firstLine="420" w:firstLineChars="200"/>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对于本章第 1.12.3 项（1）目所述的细微偏差，按照第四章“评标办法”的规定予以修正并要求投标人进行澄清；</w:t>
      </w:r>
    </w:p>
    <w:p w14:paraId="2D219A23">
      <w:pPr>
        <w:adjustRightInd w:val="0"/>
        <w:snapToGrid w:val="0"/>
        <w:spacing w:line="560" w:lineRule="exact"/>
        <w:ind w:firstLine="420" w:firstLineChars="200"/>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000000"/>
          <w:kern w:val="2"/>
          <w:sz w:val="21"/>
          <w:szCs w:val="21"/>
          <w:lang w:val="en-US" w:eastAsia="zh-CN" w:bidi="ar-SA"/>
        </w:rPr>
        <w:t>对于本章第 1.12.3 项（2）目所述的细微偏差，可要求投标人对细微偏差进行澄清。</w:t>
      </w:r>
    </w:p>
    <w:p w14:paraId="709B908E">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2. 招标文件</w:t>
      </w:r>
      <w:bookmarkEnd w:id="211"/>
      <w:bookmarkEnd w:id="212"/>
      <w:bookmarkEnd w:id="213"/>
      <w:bookmarkEnd w:id="214"/>
      <w:bookmarkEnd w:id="215"/>
      <w:bookmarkEnd w:id="216"/>
      <w:bookmarkEnd w:id="217"/>
      <w:bookmarkEnd w:id="218"/>
      <w:bookmarkEnd w:id="219"/>
      <w:bookmarkEnd w:id="220"/>
      <w:bookmarkEnd w:id="221"/>
      <w:bookmarkEnd w:id="222"/>
      <w:bookmarkEnd w:id="223"/>
    </w:p>
    <w:p w14:paraId="02C34C88">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224" w:name="_Toc83301702"/>
      <w:bookmarkStart w:id="225" w:name="_Toc246996931"/>
      <w:bookmarkStart w:id="226" w:name="_Toc324404828"/>
      <w:bookmarkStart w:id="227" w:name="_Toc247085702"/>
      <w:bookmarkStart w:id="228" w:name="_Toc144974511"/>
      <w:bookmarkStart w:id="229" w:name="_Toc296602433"/>
      <w:bookmarkStart w:id="230" w:name="_Toc95223350"/>
      <w:bookmarkStart w:id="231" w:name="_Toc179632561"/>
      <w:bookmarkStart w:id="232" w:name="_Toc15058859"/>
      <w:bookmarkStart w:id="233" w:name="_Toc152045543"/>
      <w:bookmarkStart w:id="234" w:name="_Toc246996188"/>
      <w:bookmarkStart w:id="235" w:name="_Toc506107282"/>
      <w:bookmarkStart w:id="236" w:name="_Toc60061447"/>
      <w:bookmarkStart w:id="237" w:name="_Toc152042319"/>
      <w:r>
        <w:rPr>
          <w:rFonts w:hint="eastAsia" w:ascii="黑体" w:hAnsi="黑体" w:eastAsia="黑体" w:cs="黑体"/>
          <w:color w:val="auto"/>
          <w:sz w:val="21"/>
          <w:szCs w:val="21"/>
          <w:highlight w:val="none"/>
        </w:rPr>
        <w:t>2.1 招标文件的组成</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0FAF8A82">
      <w:pPr>
        <w:adjustRightInd w:val="0"/>
        <w:snapToGrid w:val="0"/>
        <w:spacing w:line="560" w:lineRule="exact"/>
        <w:ind w:firstLine="420" w:firstLineChars="200"/>
        <w:rPr>
          <w:rFonts w:hint="eastAsia" w:ascii="宋体" w:hAnsi="宋体" w:cs="宋体"/>
          <w:color w:val="000000"/>
          <w:szCs w:val="21"/>
        </w:rPr>
      </w:pPr>
      <w:bookmarkStart w:id="238" w:name="_Toc83301703"/>
      <w:bookmarkStart w:id="239" w:name="_Toc15058860"/>
      <w:bookmarkStart w:id="240" w:name="_Toc246996932"/>
      <w:bookmarkStart w:id="241" w:name="_Toc60061448"/>
      <w:bookmarkStart w:id="242" w:name="_Toc246996189"/>
      <w:bookmarkStart w:id="243" w:name="_Toc324404829"/>
      <w:bookmarkStart w:id="244" w:name="_Toc152045544"/>
      <w:bookmarkStart w:id="245" w:name="_Toc144974512"/>
      <w:bookmarkStart w:id="246" w:name="_Toc296602434"/>
      <w:bookmarkStart w:id="247" w:name="_Toc179632562"/>
      <w:bookmarkStart w:id="248" w:name="_Toc506107283"/>
      <w:bookmarkStart w:id="249" w:name="_Toc95223351"/>
      <w:bookmarkStart w:id="250" w:name="_Toc152042320"/>
      <w:bookmarkStart w:id="251" w:name="_Toc247085703"/>
      <w:bookmarkStart w:id="252" w:name="_Toc246996191"/>
      <w:bookmarkStart w:id="253" w:name="_Toc152045546"/>
      <w:bookmarkStart w:id="254" w:name="_Toc152042322"/>
      <w:bookmarkStart w:id="255" w:name="_Toc15058863"/>
      <w:bookmarkStart w:id="256" w:name="_Toc246996934"/>
      <w:bookmarkStart w:id="257" w:name="_Toc247085705"/>
      <w:bookmarkStart w:id="258" w:name="_Toc60061451"/>
      <w:bookmarkStart w:id="259" w:name="_Toc324404832"/>
      <w:bookmarkStart w:id="260" w:name="_Toc83301706"/>
      <w:bookmarkStart w:id="261" w:name="_Toc506107285"/>
      <w:bookmarkStart w:id="262" w:name="_Toc179632564"/>
      <w:bookmarkStart w:id="263" w:name="_Toc95223354"/>
      <w:bookmarkStart w:id="264" w:name="_Toc144974514"/>
      <w:r>
        <w:rPr>
          <w:rFonts w:hint="eastAsia" w:ascii="宋体" w:hAnsi="宋体" w:cs="宋体"/>
          <w:color w:val="000000"/>
          <w:szCs w:val="21"/>
        </w:rPr>
        <w:t>2.1.1 本招标文件包括：</w:t>
      </w:r>
    </w:p>
    <w:p w14:paraId="66152F3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（1）招标公告；</w:t>
      </w:r>
    </w:p>
    <w:p w14:paraId="269E4B9D">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（2）投标人须知；</w:t>
      </w:r>
    </w:p>
    <w:p w14:paraId="4780785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（3）资格审查办法</w:t>
      </w:r>
    </w:p>
    <w:p w14:paraId="17387760">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（4）评标办法；</w:t>
      </w:r>
    </w:p>
    <w:p w14:paraId="27640CB5">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（5）合同条款及格式；</w:t>
      </w:r>
    </w:p>
    <w:p w14:paraId="4CB3D7A6">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 xml:space="preserve">（6）工程量清单； </w:t>
      </w:r>
    </w:p>
    <w:p w14:paraId="54FEE1AD">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（7）图纸；</w:t>
      </w:r>
    </w:p>
    <w:p w14:paraId="3F6376E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 xml:space="preserve">（8）技术标准和要求； </w:t>
      </w:r>
    </w:p>
    <w:p w14:paraId="7AA99730">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（9）投标文件格式；</w:t>
      </w:r>
    </w:p>
    <w:p w14:paraId="68BDE128">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（10）投标人须知前附表规定的其他材料。</w:t>
      </w:r>
    </w:p>
    <w:p w14:paraId="634BB61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2.1.2 根据本章第1.10款、第2.2款和第2.3款对招标文件所作的澄清、修改，构成招标文件的组成部分。</w:t>
      </w:r>
    </w:p>
    <w:p w14:paraId="181BC991">
      <w:pPr>
        <w:pStyle w:val="11"/>
        <w:adjustRightInd w:val="0"/>
        <w:snapToGrid w:val="0"/>
        <w:spacing w:after="0" w:line="560" w:lineRule="exact"/>
        <w:ind w:firstLine="420" w:firstLineChars="200"/>
        <w:rPr>
          <w:rFonts w:hint="eastAsia" w:ascii="宋体" w:hAnsi="宋体" w:cs="宋体"/>
          <w:color w:val="000000"/>
          <w:szCs w:val="21"/>
        </w:rPr>
      </w:pPr>
      <w:r>
        <w:rPr>
          <w:rFonts w:hint="eastAsia" w:ascii="宋体" w:hAnsi="宋体" w:cs="宋体"/>
          <w:color w:val="000000"/>
          <w:szCs w:val="21"/>
        </w:rPr>
        <w:t>2.1.3当招标文件、招标文件的澄清或修改等在同一内容的表述上不一致时，以最后发出的文件为准。</w:t>
      </w:r>
    </w:p>
    <w:p w14:paraId="40E7EA3A">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2.2招标文件的异议</w:t>
      </w:r>
    </w:p>
    <w:p w14:paraId="2462FB2F">
      <w:pPr>
        <w:pStyle w:val="20"/>
        <w:adjustRightInd w:val="0"/>
        <w:snapToGrid w:val="0"/>
        <w:spacing w:after="0" w:line="560" w:lineRule="exact"/>
        <w:ind w:left="0" w:leftChars="0" w:firstLine="0" w:firstLineChars="0"/>
        <w:rPr>
          <w:rFonts w:hint="eastAsia"/>
          <w:color w:val="auto"/>
          <w:highlight w:val="none"/>
        </w:rPr>
      </w:pPr>
      <w:r>
        <w:rPr>
          <w:rFonts w:hint="eastAsia"/>
          <w:color w:val="auto"/>
          <w:highlight w:val="none"/>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color w:val="000000"/>
        </w:rPr>
        <w:t>投标人或其他利害关系人投标人应仔细阅读和检查招标文件的全部内容，对招标文件有异议的，应在投标截止时间10日前</w:t>
      </w:r>
      <w:r>
        <w:rPr>
          <w:rFonts w:hint="eastAsia" w:ascii="宋体" w:hAnsi="宋体" w:cs="宋体"/>
          <w:color w:val="000000"/>
          <w:szCs w:val="21"/>
        </w:rPr>
        <w:t>以投标人须知前附表规定的网上留言或书面形式</w:t>
      </w:r>
      <w:r>
        <w:rPr>
          <w:rFonts w:hint="eastAsia"/>
          <w:color w:val="000000"/>
        </w:rPr>
        <w:t>提出。招标人将在收到异议之日起3日内作出答复；作出答复前，将暂停招标投标活动。</w:t>
      </w:r>
    </w:p>
    <w:p w14:paraId="598EFA31">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ascii="黑体" w:hAnsi="黑体" w:eastAsia="黑体" w:cs="黑体"/>
          <w:color w:val="auto"/>
          <w:sz w:val="21"/>
          <w:szCs w:val="21"/>
          <w:highlight w:val="none"/>
        </w:rPr>
        <w:t>2.3</w:t>
      </w:r>
      <w:r>
        <w:rPr>
          <w:rFonts w:hint="eastAsia" w:ascii="黑体" w:hAnsi="黑体" w:eastAsia="黑体" w:cs="黑体"/>
          <w:color w:val="auto"/>
          <w:sz w:val="21"/>
          <w:szCs w:val="21"/>
          <w:highlight w:val="none"/>
        </w:rPr>
        <w:t>招标文件的澄清</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Fonts w:hint="eastAsia" w:ascii="黑体" w:hAnsi="黑体" w:eastAsia="黑体" w:cs="黑体"/>
          <w:color w:val="auto"/>
          <w:sz w:val="21"/>
          <w:szCs w:val="21"/>
          <w:highlight w:val="none"/>
        </w:rPr>
        <w:t xml:space="preserve"> </w:t>
      </w:r>
    </w:p>
    <w:p w14:paraId="2DCAA880">
      <w:pPr>
        <w:pStyle w:val="2"/>
        <w:adjustRightInd w:val="0"/>
        <w:snapToGrid w:val="0"/>
        <w:spacing w:before="0" w:after="0" w:line="560" w:lineRule="exact"/>
        <w:ind w:firstLine="420" w:firstLineChars="200"/>
        <w:rPr>
          <w:rFonts w:hint="eastAsia" w:ascii="Times New Roman" w:hAnsi="Times New Roman" w:eastAsia="宋体" w:cs="Times New Roman"/>
          <w:b w:val="0"/>
          <w:bCs w:val="0"/>
          <w:color w:val="000000"/>
          <w:kern w:val="2"/>
          <w:sz w:val="21"/>
          <w:szCs w:val="24"/>
          <w:lang w:val="en-US" w:eastAsia="zh-CN" w:bidi="ar-SA"/>
        </w:rPr>
      </w:pPr>
      <w:r>
        <w:rPr>
          <w:rFonts w:hint="eastAsia" w:ascii="Times New Roman" w:hAnsi="Times New Roman" w:eastAsia="宋体" w:cs="Times New Roman"/>
          <w:b w:val="0"/>
          <w:bCs w:val="0"/>
          <w:color w:val="000000"/>
          <w:kern w:val="2"/>
          <w:sz w:val="21"/>
          <w:szCs w:val="24"/>
          <w:lang w:val="en-US" w:eastAsia="zh-CN" w:bidi="ar-SA"/>
        </w:rPr>
        <w:t>招标人可以澄清招标文件，并以投标人须知前附表规定澄清的方式在滁州市公共资源交易中心网站发布。但如果修改招标文件的时间距投标截止时间不足15天，并且修改内容影响投标文件编制的，将相应延长投标截止时间。</w:t>
      </w:r>
    </w:p>
    <w:p w14:paraId="7913B19D">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3. 投标文件</w:t>
      </w:r>
      <w:bookmarkEnd w:id="252"/>
      <w:bookmarkEnd w:id="253"/>
      <w:bookmarkEnd w:id="254"/>
      <w:bookmarkEnd w:id="255"/>
      <w:bookmarkEnd w:id="256"/>
      <w:bookmarkEnd w:id="257"/>
      <w:bookmarkEnd w:id="258"/>
      <w:bookmarkEnd w:id="259"/>
      <w:bookmarkEnd w:id="260"/>
      <w:bookmarkEnd w:id="261"/>
      <w:bookmarkEnd w:id="262"/>
      <w:bookmarkEnd w:id="263"/>
      <w:bookmarkEnd w:id="264"/>
    </w:p>
    <w:p w14:paraId="691F2AF3">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265" w:name="_Toc179632565"/>
      <w:bookmarkStart w:id="266" w:name="_Toc60061452"/>
      <w:bookmarkStart w:id="267" w:name="_Toc95223355"/>
      <w:bookmarkStart w:id="268" w:name="_Toc246996192"/>
      <w:bookmarkStart w:id="269" w:name="_Toc83301707"/>
      <w:bookmarkStart w:id="270" w:name="_Toc152042323"/>
      <w:bookmarkStart w:id="271" w:name="_Toc144974515"/>
      <w:bookmarkStart w:id="272" w:name="_Toc324404833"/>
      <w:bookmarkStart w:id="273" w:name="_Toc506107286"/>
      <w:bookmarkStart w:id="274" w:name="_Toc152045547"/>
      <w:bookmarkStart w:id="275" w:name="_Toc247085706"/>
      <w:bookmarkStart w:id="276" w:name="_Toc296602437"/>
      <w:bookmarkStart w:id="277" w:name="_Toc246996935"/>
      <w:bookmarkStart w:id="278" w:name="_Toc15058864"/>
      <w:r>
        <w:rPr>
          <w:rFonts w:hint="eastAsia" w:ascii="黑体" w:hAnsi="黑体" w:eastAsia="黑体" w:cs="黑体"/>
          <w:color w:val="auto"/>
          <w:sz w:val="21"/>
          <w:szCs w:val="21"/>
          <w:highlight w:val="none"/>
        </w:rPr>
        <w:t>3.1 投标文件的组成</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325C6188">
      <w:pPr>
        <w:adjustRightInd w:val="0"/>
        <w:snapToGrid w:val="0"/>
        <w:spacing w:line="560" w:lineRule="exact"/>
        <w:ind w:firstLine="420" w:firstLineChars="200"/>
        <w:rPr>
          <w:rFonts w:hint="eastAsia" w:ascii="宋体" w:hAnsi="宋体" w:cs="宋体"/>
          <w:color w:val="auto"/>
          <w:szCs w:val="21"/>
          <w:highlight w:val="none"/>
        </w:rPr>
      </w:pPr>
      <w:bookmarkStart w:id="279" w:name="_Toc246996193"/>
      <w:bookmarkStart w:id="280" w:name="_Toc246996936"/>
      <w:bookmarkStart w:id="281" w:name="_Toc152042324"/>
      <w:bookmarkStart w:id="282" w:name="_Toc506107287"/>
      <w:bookmarkStart w:id="283" w:name="_Toc95223356"/>
      <w:bookmarkStart w:id="284" w:name="_Toc144974516"/>
      <w:bookmarkStart w:id="285" w:name="_Toc247085707"/>
      <w:bookmarkStart w:id="286" w:name="_Toc83301708"/>
      <w:bookmarkStart w:id="287" w:name="_Toc324404834"/>
      <w:bookmarkStart w:id="288" w:name="_Toc152045548"/>
      <w:bookmarkStart w:id="289" w:name="_Toc179632566"/>
      <w:bookmarkStart w:id="290" w:name="_Toc60061453"/>
      <w:bookmarkStart w:id="291" w:name="_Toc15058865"/>
      <w:bookmarkStart w:id="292" w:name="_Toc296602438"/>
      <w:r>
        <w:rPr>
          <w:rFonts w:hint="eastAsia" w:ascii="宋体" w:hAnsi="宋体" w:cs="宋体"/>
          <w:color w:val="auto"/>
          <w:szCs w:val="21"/>
          <w:highlight w:val="none"/>
        </w:rPr>
        <w:t>3.1.1 投标文件应包括下列内容：</w:t>
      </w:r>
    </w:p>
    <w:p w14:paraId="3B8057CA">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资信证明文件：</w:t>
      </w:r>
    </w:p>
    <w:p w14:paraId="4C921947">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（1）投标人基本情况表（联合体投标的，联合体各方均须提供）；</w:t>
      </w:r>
    </w:p>
    <w:p w14:paraId="070C195F">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（2）近年财务状况表（</w:t>
      </w:r>
      <w:r>
        <w:rPr>
          <w:rFonts w:hint="eastAsia" w:ascii="宋体" w:hAnsi="宋体" w:cs="宋体"/>
          <w:color w:val="auto"/>
          <w:szCs w:val="21"/>
          <w:highlight w:val="none"/>
          <w:lang w:val="en-US" w:eastAsia="zh-CN"/>
        </w:rPr>
        <w:t>本项目不采用</w:t>
      </w:r>
      <w:r>
        <w:rPr>
          <w:rFonts w:hint="eastAsia" w:ascii="宋体" w:hAnsi="宋体" w:cs="宋体"/>
          <w:color w:val="auto"/>
          <w:szCs w:val="21"/>
          <w:highlight w:val="none"/>
        </w:rPr>
        <w:t>）；</w:t>
      </w:r>
    </w:p>
    <w:p w14:paraId="6B88E06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（3）近年完成的类似项目情况表（</w:t>
      </w:r>
      <w:r>
        <w:rPr>
          <w:rFonts w:hint="eastAsia" w:ascii="宋体" w:hAnsi="宋体" w:cs="宋体"/>
          <w:color w:val="auto"/>
          <w:szCs w:val="21"/>
          <w:highlight w:val="none"/>
          <w:lang w:val="en-US" w:eastAsia="zh-CN"/>
        </w:rPr>
        <w:t>本项目不采用</w:t>
      </w:r>
      <w:r>
        <w:rPr>
          <w:rFonts w:hint="eastAsia" w:ascii="宋体" w:hAnsi="宋体" w:cs="宋体"/>
          <w:color w:val="auto"/>
          <w:szCs w:val="21"/>
          <w:highlight w:val="none"/>
        </w:rPr>
        <w:t>）；</w:t>
      </w:r>
    </w:p>
    <w:p w14:paraId="4D4044DF">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（4）正在实施的和新承接的项目情况表（</w:t>
      </w:r>
      <w:r>
        <w:rPr>
          <w:rFonts w:hint="eastAsia" w:ascii="宋体" w:hAnsi="宋体" w:cs="宋体"/>
          <w:color w:val="auto"/>
          <w:szCs w:val="21"/>
          <w:highlight w:val="none"/>
          <w:lang w:val="en-US" w:eastAsia="zh-CN"/>
        </w:rPr>
        <w:t>本项目不采用</w:t>
      </w:r>
      <w:r>
        <w:rPr>
          <w:rFonts w:hint="eastAsia" w:ascii="宋体" w:hAnsi="宋体" w:cs="宋体"/>
          <w:color w:val="auto"/>
          <w:szCs w:val="21"/>
          <w:highlight w:val="none"/>
        </w:rPr>
        <w:t>）；</w:t>
      </w:r>
    </w:p>
    <w:p w14:paraId="6FCA42E9">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（5）联合体协议书 （如有）；</w:t>
      </w:r>
    </w:p>
    <w:p w14:paraId="0C78BB0A">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ascii="宋体" w:hAnsi="宋体" w:cs="宋体"/>
          <w:bCs/>
          <w:snapToGrid w:val="0"/>
          <w:color w:val="auto"/>
          <w:kern w:val="0"/>
          <w:szCs w:val="21"/>
          <w:highlight w:val="none"/>
        </w:rPr>
        <w:t>拟分包项目情况表（或分包意向协议书）</w:t>
      </w:r>
      <w:r>
        <w:rPr>
          <w:rFonts w:hint="eastAsia" w:ascii="宋体" w:hAnsi="宋体" w:cs="宋体"/>
          <w:color w:val="auto"/>
          <w:highlight w:val="none"/>
        </w:rPr>
        <w:t xml:space="preserve"> （如有）；</w:t>
      </w:r>
    </w:p>
    <w:p w14:paraId="330C4BC4">
      <w:pPr>
        <w:adjustRightInd w:val="0"/>
        <w:snapToGrid w:val="0"/>
        <w:spacing w:line="560" w:lineRule="exact"/>
        <w:ind w:firstLine="420" w:firstLineChars="200"/>
        <w:rPr>
          <w:rFonts w:hint="eastAsia" w:ascii="宋体" w:hAnsi="宋体" w:eastAsia="宋体" w:cs="宋体"/>
          <w:bCs/>
          <w:snapToGrid w:val="0"/>
          <w:color w:val="000000"/>
          <w:kern w:val="0"/>
          <w:szCs w:val="21"/>
        </w:rPr>
      </w:pPr>
      <w:r>
        <w:rPr>
          <w:rFonts w:hint="eastAsia" w:ascii="宋体" w:hAnsi="宋体" w:eastAsia="宋体" w:cs="宋体"/>
          <w:bCs/>
          <w:snapToGrid w:val="0"/>
          <w:color w:val="000000"/>
          <w:kern w:val="0"/>
          <w:szCs w:val="21"/>
        </w:rPr>
        <w:t>（</w:t>
      </w:r>
      <w:r>
        <w:rPr>
          <w:rFonts w:hint="eastAsia" w:ascii="宋体" w:hAnsi="宋体" w:eastAsia="宋体" w:cs="宋体"/>
          <w:bCs/>
          <w:snapToGrid w:val="0"/>
          <w:color w:val="000000"/>
          <w:kern w:val="0"/>
          <w:szCs w:val="21"/>
          <w:lang w:val="en-US" w:eastAsia="zh-CN"/>
        </w:rPr>
        <w:t>7</w:t>
      </w:r>
      <w:r>
        <w:rPr>
          <w:rFonts w:hint="eastAsia" w:ascii="宋体" w:hAnsi="宋体" w:eastAsia="宋体" w:cs="宋体"/>
          <w:bCs/>
          <w:snapToGrid w:val="0"/>
          <w:color w:val="000000"/>
          <w:kern w:val="0"/>
          <w:szCs w:val="21"/>
        </w:rPr>
        <w:t>）</w:t>
      </w:r>
      <w:r>
        <w:rPr>
          <w:rFonts w:hint="eastAsia" w:ascii="宋体" w:hAnsi="宋体" w:eastAsia="宋体" w:cs="宋体"/>
          <w:b w:val="0"/>
          <w:bCs/>
          <w:smallCaps w:val="0"/>
          <w:snapToGrid w:val="0"/>
          <w:color w:val="000000"/>
          <w:kern w:val="0"/>
          <w:sz w:val="21"/>
          <w:szCs w:val="21"/>
          <w:lang w:eastAsia="zh-CN"/>
        </w:rPr>
        <w:t>中小企业声明函（</w:t>
      </w:r>
      <w:r>
        <w:rPr>
          <w:rFonts w:hint="eastAsia" w:ascii="宋体" w:hAnsi="宋体" w:cs="宋体"/>
          <w:color w:val="auto"/>
          <w:szCs w:val="21"/>
          <w:highlight w:val="none"/>
          <w:lang w:val="en-US" w:eastAsia="zh-CN"/>
        </w:rPr>
        <w:t>本项目不采用</w:t>
      </w:r>
      <w:r>
        <w:rPr>
          <w:rFonts w:hint="eastAsia" w:ascii="宋体" w:hAnsi="宋体" w:eastAsia="宋体" w:cs="宋体"/>
          <w:b w:val="0"/>
          <w:bCs/>
          <w:smallCaps w:val="0"/>
          <w:snapToGrid w:val="0"/>
          <w:color w:val="000000"/>
          <w:kern w:val="0"/>
          <w:sz w:val="21"/>
          <w:szCs w:val="21"/>
          <w:lang w:eastAsia="zh-CN"/>
        </w:rPr>
        <w:t>）；</w:t>
      </w:r>
    </w:p>
    <w:p w14:paraId="6AE5725D">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eastAsia="宋体" w:cs="宋体"/>
          <w:bCs/>
          <w:snapToGrid w:val="0"/>
          <w:color w:val="000000"/>
          <w:kern w:val="0"/>
          <w:szCs w:val="21"/>
        </w:rPr>
        <w:t>（</w:t>
      </w:r>
      <w:r>
        <w:rPr>
          <w:rFonts w:hint="eastAsia" w:ascii="宋体" w:hAnsi="宋体" w:eastAsia="宋体" w:cs="Times New Roman"/>
          <w:bCs w:val="0"/>
          <w:snapToGrid/>
          <w:color w:val="auto"/>
          <w:kern w:val="2"/>
          <w:szCs w:val="21"/>
          <w:highlight w:val="none"/>
          <w:lang w:val="en-US" w:eastAsia="zh-CN"/>
        </w:rPr>
        <w:t>8</w:t>
      </w:r>
      <w:r>
        <w:rPr>
          <w:rFonts w:hint="eastAsia" w:ascii="宋体" w:hAnsi="宋体" w:eastAsia="宋体" w:cs="Times New Roman"/>
          <w:bCs w:val="0"/>
          <w:snapToGrid/>
          <w:color w:val="auto"/>
          <w:kern w:val="2"/>
          <w:szCs w:val="21"/>
          <w:highlight w:val="none"/>
        </w:rPr>
        <w:t>）</w:t>
      </w:r>
      <w:r>
        <w:rPr>
          <w:rFonts w:hint="eastAsia" w:ascii="宋体" w:hAnsi="宋体" w:eastAsia="宋体" w:cs="Times New Roman"/>
          <w:b w:val="0"/>
          <w:bCs w:val="0"/>
          <w:color w:val="auto"/>
          <w:kern w:val="2"/>
          <w:sz w:val="21"/>
          <w:szCs w:val="21"/>
          <w:highlight w:val="none"/>
          <w:lang w:val="en-US" w:eastAsia="zh-CN"/>
        </w:rPr>
        <w:t>残疾人福利性单位声明函</w:t>
      </w:r>
      <w:r>
        <w:rPr>
          <w:rFonts w:hint="eastAsia" w:ascii="宋体" w:hAnsi="宋体" w:eastAsia="宋体" w:cs="Times New Roman"/>
          <w:b w:val="0"/>
          <w:bCs w:val="0"/>
          <w:smallCaps w:val="0"/>
          <w:snapToGrid/>
          <w:color w:val="auto"/>
          <w:kern w:val="2"/>
          <w:sz w:val="21"/>
          <w:szCs w:val="21"/>
          <w:highlight w:val="none"/>
          <w:lang w:eastAsia="zh-CN"/>
        </w:rPr>
        <w:t>（</w:t>
      </w:r>
      <w:r>
        <w:rPr>
          <w:rFonts w:hint="eastAsia" w:ascii="宋体" w:hAnsi="宋体" w:cs="宋体"/>
          <w:color w:val="auto"/>
          <w:szCs w:val="21"/>
          <w:highlight w:val="none"/>
          <w:lang w:val="en-US" w:eastAsia="zh-CN"/>
        </w:rPr>
        <w:t>本项目不采用</w:t>
      </w:r>
      <w:r>
        <w:rPr>
          <w:rFonts w:hint="eastAsia" w:ascii="宋体" w:hAnsi="宋体" w:eastAsia="宋体" w:cs="宋体"/>
          <w:b w:val="0"/>
          <w:bCs/>
          <w:smallCaps w:val="0"/>
          <w:snapToGrid w:val="0"/>
          <w:color w:val="000000"/>
          <w:kern w:val="0"/>
          <w:sz w:val="21"/>
          <w:szCs w:val="21"/>
          <w:lang w:eastAsia="zh-CN"/>
        </w:rPr>
        <w:t>）；</w:t>
      </w:r>
    </w:p>
    <w:p w14:paraId="71FE7ABA">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）项目管理机构；</w:t>
      </w:r>
    </w:p>
    <w:p w14:paraId="243F8082">
      <w:pPr>
        <w:adjustRightInd w:val="0"/>
        <w:snapToGrid w:val="0"/>
        <w:spacing w:line="560" w:lineRule="exact"/>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）其他资格审查资料</w:t>
      </w:r>
      <w:r>
        <w:rPr>
          <w:rFonts w:hint="eastAsia" w:ascii="宋体" w:hAnsi="宋体" w:cs="宋体"/>
          <w:color w:val="auto"/>
          <w:szCs w:val="21"/>
          <w:highlight w:val="none"/>
          <w:lang w:eastAsia="zh-CN"/>
        </w:rPr>
        <w:t>；</w:t>
      </w:r>
    </w:p>
    <w:p w14:paraId="08C3B9DE">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技术标文件：</w:t>
      </w:r>
    </w:p>
    <w:p w14:paraId="007DD7E2">
      <w:pPr>
        <w:adjustRightInd w:val="0"/>
        <w:snapToGrid w:val="0"/>
        <w:spacing w:line="560" w:lineRule="exact"/>
        <w:ind w:firstLine="420" w:firstLineChars="200"/>
        <w:rPr>
          <w:rFonts w:hint="eastAsia" w:ascii="宋体" w:hAnsi="宋体"/>
          <w:color w:val="auto"/>
          <w:szCs w:val="21"/>
          <w:highlight w:val="none"/>
          <w:lang w:val="en-US" w:eastAsia="zh-CN"/>
        </w:rPr>
      </w:pPr>
      <w:r>
        <w:rPr>
          <w:rFonts w:hint="eastAsia" w:ascii="宋体" w:hAnsi="宋体" w:cs="宋体"/>
          <w:color w:val="auto"/>
          <w:szCs w:val="21"/>
          <w:highlight w:val="none"/>
        </w:rPr>
        <w:t>（1）施工组织设计；</w:t>
      </w:r>
      <w:r>
        <w:rPr>
          <w:rFonts w:hint="eastAsia" w:ascii="宋体" w:hAnsi="宋体" w:cs="宋体"/>
          <w:b/>
          <w:color w:val="auto"/>
          <w:szCs w:val="21"/>
          <w:highlight w:val="none"/>
        </w:rPr>
        <w:t>（根据评分细则评审内容共有10项内容，系统中分别设置为施工组织设计1、2、3.....10）</w:t>
      </w:r>
      <w:r>
        <w:rPr>
          <w:rFonts w:hint="eastAsia" w:ascii="宋体" w:hAnsi="宋体"/>
          <w:color w:val="auto"/>
          <w:szCs w:val="21"/>
          <w:highlight w:val="none"/>
          <w:lang w:val="en-US" w:eastAsia="zh-CN"/>
        </w:rPr>
        <w:t xml:space="preserve">     </w:t>
      </w:r>
    </w:p>
    <w:p w14:paraId="7D50CDE8">
      <w:pPr>
        <w:numPr>
          <w:ilvl w:val="0"/>
          <w:numId w:val="0"/>
        </w:numPr>
        <w:adjustRightInd w:val="0"/>
        <w:snapToGrid w:val="0"/>
        <w:spacing w:line="560" w:lineRule="exact"/>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注：本项目采用横向暗标评审，请投标人结合技术标评审细则和系统内容在对应模块上传技术标评审内容。</w:t>
      </w:r>
    </w:p>
    <w:p w14:paraId="17E475A0">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商务标文件：</w:t>
      </w:r>
    </w:p>
    <w:p w14:paraId="4C8A2E92">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（1）投标函；</w:t>
      </w:r>
    </w:p>
    <w:p w14:paraId="2DC6DA76">
      <w:pPr>
        <w:adjustRightInd w:val="0"/>
        <w:snapToGrid w:val="0"/>
        <w:spacing w:line="560" w:lineRule="exact"/>
        <w:ind w:firstLine="420" w:firstLineChars="200"/>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eastAsia="zh-CN"/>
        </w:rPr>
        <w:t>（</w:t>
      </w:r>
      <w:r>
        <w:rPr>
          <w:rFonts w:hint="eastAsia" w:ascii="宋体" w:hAnsi="宋体" w:cs="Times New Roman"/>
          <w:color w:val="auto"/>
          <w:szCs w:val="21"/>
          <w:highlight w:val="none"/>
          <w:lang w:val="en-US" w:eastAsia="zh-CN"/>
        </w:rPr>
        <w:t>2）工程量清单报价书；</w:t>
      </w:r>
    </w:p>
    <w:p w14:paraId="7413C86F">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）招标人推荐的材料品牌响应表（如有）；</w:t>
      </w:r>
    </w:p>
    <w:p w14:paraId="1179FD50">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）全国建筑市场监管公共服务平台</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四库一平台</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企业注册人员网页截图；</w:t>
      </w:r>
    </w:p>
    <w:p w14:paraId="07DFDC55">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5</w:t>
      </w:r>
      <w:r>
        <w:rPr>
          <w:rFonts w:hint="eastAsia" w:ascii="宋体" w:hAnsi="宋体" w:eastAsia="宋体" w:cs="Times New Roman"/>
          <w:color w:val="auto"/>
          <w:szCs w:val="21"/>
          <w:highlight w:val="none"/>
        </w:rPr>
        <w:t>）商务标评审所需其他材料。</w:t>
      </w:r>
    </w:p>
    <w:p w14:paraId="1C264BE0">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6）定标材料（如有）</w:t>
      </w:r>
    </w:p>
    <w:p w14:paraId="248A9DE4">
      <w:pPr>
        <w:adjustRightInd w:val="0"/>
        <w:snapToGrid w:val="0"/>
        <w:spacing w:line="600" w:lineRule="exact"/>
        <w:ind w:firstLine="359" w:firstLineChars="171"/>
        <w:rPr>
          <w:rFonts w:hint="eastAsia" w:ascii="宋体" w:hAnsi="宋体" w:cs="宋体"/>
          <w:color w:val="auto"/>
          <w:highlight w:val="none"/>
        </w:rPr>
      </w:pPr>
      <w:r>
        <w:rPr>
          <w:rFonts w:hint="eastAsia" w:ascii="宋体" w:hAnsi="宋体" w:cs="宋体"/>
          <w:color w:val="auto"/>
          <w:highlight w:val="none"/>
        </w:rPr>
        <w:t>3.1.2 投标人须知前附表规定不接受联合体投标的，或投标人没有组成联合体的，投标文件不包括本章第3.1.1（5）目所指的联合体协议书。</w:t>
      </w:r>
    </w:p>
    <w:p w14:paraId="58B8EADF">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3.2 投标报价</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6F2D6756">
      <w:pPr>
        <w:adjustRightInd w:val="0"/>
        <w:snapToGrid w:val="0"/>
        <w:spacing w:line="560" w:lineRule="exact"/>
        <w:ind w:firstLine="420" w:firstLineChars="200"/>
        <w:rPr>
          <w:rFonts w:hint="eastAsia" w:ascii="宋体" w:hAnsi="宋体" w:cs="宋体"/>
          <w:color w:val="000000"/>
          <w:szCs w:val="21"/>
        </w:rPr>
      </w:pPr>
      <w:bookmarkStart w:id="293" w:name="_Toc246996937"/>
      <w:bookmarkStart w:id="294" w:name="_Toc296602439"/>
      <w:bookmarkStart w:id="295" w:name="_Toc247085708"/>
      <w:bookmarkStart w:id="296" w:name="_Toc152042325"/>
      <w:bookmarkStart w:id="297" w:name="_Toc246996194"/>
      <w:bookmarkStart w:id="298" w:name="_Toc83301709"/>
      <w:bookmarkStart w:id="299" w:name="_Toc95223357"/>
      <w:bookmarkStart w:id="300" w:name="_Toc15058866"/>
      <w:bookmarkStart w:id="301" w:name="_Toc144974517"/>
      <w:bookmarkStart w:id="302" w:name="_Toc60061454"/>
      <w:bookmarkStart w:id="303" w:name="_Toc506107288"/>
      <w:bookmarkStart w:id="304" w:name="_Toc324404835"/>
      <w:bookmarkStart w:id="305" w:name="_Toc179632567"/>
      <w:bookmarkStart w:id="306" w:name="_Toc152045549"/>
      <w:r>
        <w:rPr>
          <w:rFonts w:hint="eastAsia" w:ascii="宋体" w:hAnsi="宋体" w:cs="宋体"/>
          <w:color w:val="000000"/>
          <w:szCs w:val="21"/>
        </w:rPr>
        <w:t>3.2.1投标报价应包括国家规定的增值税税金，除投标人须知前附表另有规定外，增值税税金按一般计税方法计算。投标人应按第九章“投标文件格式”的要求在投标函中进行报价并填写工程量清单相应表格。</w:t>
      </w:r>
    </w:p>
    <w:p w14:paraId="4B6F060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3.2.2投标人应充分了解本项目的总体情况以及影响投标报价的其他要素。</w:t>
      </w:r>
    </w:p>
    <w:p w14:paraId="1F764029">
      <w:pPr>
        <w:pStyle w:val="20"/>
        <w:adjustRightInd w:val="0"/>
        <w:snapToGrid w:val="0"/>
        <w:spacing w:after="0" w:line="560" w:lineRule="exact"/>
        <w:ind w:left="0" w:leftChars="0" w:firstLineChars="0"/>
        <w:rPr>
          <w:rFonts w:hint="eastAsia" w:ascii="宋体" w:hAnsi="宋体" w:cs="宋体"/>
          <w:color w:val="000000"/>
          <w:szCs w:val="21"/>
        </w:rPr>
      </w:pPr>
      <w:r>
        <w:rPr>
          <w:rFonts w:hint="eastAsia" w:ascii="宋体" w:hAnsi="宋体" w:cs="宋体"/>
          <w:color w:val="000000"/>
          <w:szCs w:val="21"/>
        </w:rPr>
        <w:t>3.2.3投标人在投标截止时间前修改投标函中的投标报价总额，应同时修改“已标价工程量清单”中的相应报价，投标报价总额为各分项金额之和。此修改须符合本章第4.4款的有关要求。</w:t>
      </w:r>
    </w:p>
    <w:p w14:paraId="7BCB1B36">
      <w:pPr>
        <w:adjustRightInd w:val="0"/>
        <w:snapToGrid w:val="0"/>
        <w:spacing w:line="560" w:lineRule="exact"/>
        <w:ind w:firstLine="420"/>
        <w:rPr>
          <w:rFonts w:hint="eastAsia"/>
          <w:color w:val="000000"/>
        </w:rPr>
      </w:pPr>
      <w:r>
        <w:rPr>
          <w:rFonts w:hint="eastAsia" w:ascii="宋体" w:hAnsi="宋体" w:cs="宋体"/>
          <w:color w:val="000000"/>
          <w:szCs w:val="21"/>
        </w:rPr>
        <w:t>3.2.4招</w:t>
      </w:r>
      <w:r>
        <w:rPr>
          <w:rFonts w:hint="eastAsia"/>
          <w:color w:val="000000"/>
        </w:rPr>
        <w:t>标人设有最高投标限价的，投标人的投标报价不得超过最高投标限价，最高投标限价在投标人须知前附表中载明。</w:t>
      </w:r>
    </w:p>
    <w:p w14:paraId="72E90358">
      <w:pPr>
        <w:adjustRightInd w:val="0"/>
        <w:snapToGrid w:val="0"/>
        <w:spacing w:line="600" w:lineRule="exact"/>
        <w:ind w:firstLine="420" w:firstLineChars="200"/>
        <w:rPr>
          <w:rFonts w:hint="eastAsia" w:ascii="宋体" w:hAnsi="宋体" w:cs="宋体"/>
          <w:color w:val="auto"/>
          <w:szCs w:val="21"/>
          <w:highlight w:val="none"/>
        </w:rPr>
      </w:pPr>
      <w:r>
        <w:rPr>
          <w:rFonts w:hint="eastAsia" w:ascii="宋体" w:hAnsi="宋体" w:cs="宋体"/>
          <w:color w:val="000000"/>
        </w:rPr>
        <w:t xml:space="preserve">3.2.5 </w:t>
      </w:r>
      <w:r>
        <w:rPr>
          <w:rFonts w:hint="eastAsia" w:ascii="宋体" w:hAnsi="宋体" w:cs="宋体"/>
          <w:bCs/>
          <w:snapToGrid w:val="0"/>
          <w:color w:val="000000"/>
          <w:kern w:val="0"/>
          <w:szCs w:val="21"/>
        </w:rPr>
        <w:t>投标报价的其他要求见投标人须知前附表。</w:t>
      </w:r>
    </w:p>
    <w:p w14:paraId="2EF6CDBA">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3.3 投标有效期</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1C75325D">
      <w:pPr>
        <w:adjustRightInd w:val="0"/>
        <w:snapToGrid w:val="0"/>
        <w:spacing w:line="560" w:lineRule="exact"/>
        <w:ind w:firstLine="420" w:firstLineChars="200"/>
        <w:rPr>
          <w:rFonts w:hint="eastAsia" w:ascii="宋体" w:hAnsi="宋体" w:cs="宋体"/>
          <w:color w:val="000000"/>
          <w:szCs w:val="21"/>
        </w:rPr>
      </w:pPr>
      <w:bookmarkStart w:id="307" w:name="_Toc246996938"/>
      <w:bookmarkStart w:id="308" w:name="_Toc247085709"/>
      <w:bookmarkStart w:id="309" w:name="_Toc296602440"/>
      <w:bookmarkStart w:id="310" w:name="_Toc246996195"/>
      <w:bookmarkStart w:id="311" w:name="_Toc152045550"/>
      <w:bookmarkStart w:id="312" w:name="_Toc15058867"/>
      <w:bookmarkStart w:id="313" w:name="_Toc60061455"/>
      <w:bookmarkStart w:id="314" w:name="_Toc144974518"/>
      <w:bookmarkStart w:id="315" w:name="_Toc83301710"/>
      <w:bookmarkStart w:id="316" w:name="_Toc179632568"/>
      <w:bookmarkStart w:id="317" w:name="_Toc152042326"/>
      <w:bookmarkStart w:id="318" w:name="_Toc324404836"/>
      <w:bookmarkStart w:id="319" w:name="_Toc506107289"/>
      <w:bookmarkStart w:id="320" w:name="_Toc95223358"/>
      <w:r>
        <w:rPr>
          <w:rFonts w:hint="eastAsia" w:ascii="宋体" w:hAnsi="宋体" w:cs="宋体"/>
          <w:color w:val="000000"/>
          <w:szCs w:val="21"/>
        </w:rPr>
        <w:t>3.3.1 除投标人须知前附表另有规定外，投标有效期为90天。</w:t>
      </w:r>
    </w:p>
    <w:p w14:paraId="0FB2F791">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3.3.2在投标有效期内，投标人撤销或修改其投标文件的，应承担招标文件和法律规定的责任。</w:t>
      </w:r>
    </w:p>
    <w:p w14:paraId="7B71E346">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6F549D4B">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3.4 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5D4F107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3.4.1 投标人须知前附表规定递交投标保证金的，投标人在递交投标文件的同时，应按投标人须知前附表规定的金额、担保形式和第九章“投标文件格式”规定的或者事先经过招标人认可的保证金格式递交保证金，并作为其投标文件的组成部分。联合体投标的，其投标保证金由牵头人递交，并应符合投标人须知前附表的规定。</w:t>
      </w:r>
    </w:p>
    <w:p w14:paraId="0ECD9135">
      <w:pPr>
        <w:adjustRightInd w:val="0"/>
        <w:snapToGrid w:val="0"/>
        <w:spacing w:line="560" w:lineRule="exact"/>
        <w:rPr>
          <w:rFonts w:hint="eastAsia" w:ascii="宋体" w:hAnsi="宋体" w:cs="宋体"/>
          <w:color w:val="000000"/>
          <w:szCs w:val="21"/>
        </w:rPr>
      </w:pPr>
      <w:r>
        <w:rPr>
          <w:rFonts w:hint="eastAsia" w:ascii="宋体" w:hAnsi="宋体" w:cs="宋体"/>
          <w:color w:val="000000"/>
          <w:szCs w:val="21"/>
        </w:rPr>
        <w:t xml:space="preserve">    无论采取何种形式的投标保证金，投标保证金有效期均应与投标有效期一致（</w:t>
      </w:r>
      <w:r>
        <w:rPr>
          <w:rFonts w:hint="eastAsia"/>
          <w:color w:val="000000"/>
        </w:rPr>
        <w:t>采用投标电子保函的保证期截止时间不得早于该项目投标有效期的截止时间</w:t>
      </w:r>
      <w:r>
        <w:rPr>
          <w:rFonts w:hint="eastAsia" w:ascii="宋体" w:hAnsi="宋体" w:cs="宋体"/>
          <w:color w:val="000000"/>
          <w:szCs w:val="21"/>
        </w:rPr>
        <w:t>）。招标人如果按本章第 3.3.3 项的规定延长了投标有效期，则投标保证金的有效期也相应延长。</w:t>
      </w:r>
    </w:p>
    <w:p w14:paraId="136FF05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3.4.2 投标人不按本章第3.4.1项要求提交投标保证金的，评标委员会将否决其投标。</w:t>
      </w:r>
    </w:p>
    <w:p w14:paraId="4846E46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3.4.3 未中标投标人的投标保证金，中标通知书同步推送至交易中心服务端，银行接到退还指令后一个工作日内退还保证金到达原交纳的基本账户；中标人的投标保证金，在中标人与招标人签订合同并将公开信息推送至交易中心服务端，银行接到退还指令后一个工作日内退付保证金到达原交纳的基本账户。</w:t>
      </w:r>
    </w:p>
    <w:p w14:paraId="21201AC6">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 xml:space="preserve">3.4.4 有下列情形之一的，投标保证金将不予退还： </w:t>
      </w:r>
    </w:p>
    <w:p w14:paraId="4271690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（1）投标截止后投标人撤销投标文件的；</w:t>
      </w:r>
    </w:p>
    <w:p w14:paraId="363BBFFA">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（2）中标人无正当理由不与招标人订立合同，在签订合同时向招标人提出附加条件，或者不按照招标文件要求提交履约保证金的。</w:t>
      </w:r>
    </w:p>
    <w:p w14:paraId="2028D15C">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3.4.5</w:t>
      </w:r>
      <w:r>
        <w:rPr>
          <w:rFonts w:hint="eastAsia" w:ascii="宋体" w:hAnsi="宋体" w:eastAsia="宋体" w:cs="宋体"/>
          <w:color w:val="auto"/>
          <w:kern w:val="2"/>
          <w:sz w:val="21"/>
          <w:szCs w:val="21"/>
          <w:highlight w:val="none"/>
          <w:lang w:val="en-US" w:eastAsia="zh-CN" w:bidi="ar-SA"/>
        </w:rPr>
        <w:t>投标保证金按《滁州市公共资源交易保证金管理规定（2026年修订）》（滁公管〔2026〕2号）规定执行。</w:t>
      </w:r>
    </w:p>
    <w:p w14:paraId="629298B7">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321" w:name="_Toc60061456"/>
      <w:bookmarkStart w:id="322" w:name="_Toc506107290"/>
      <w:bookmarkStart w:id="323" w:name="_Toc15058868"/>
      <w:bookmarkStart w:id="324" w:name="_Toc324404837"/>
      <w:bookmarkStart w:id="325" w:name="_Toc296602442"/>
      <w:bookmarkStart w:id="326" w:name="_Toc83301711"/>
      <w:bookmarkStart w:id="327" w:name="_Toc95223359"/>
      <w:bookmarkStart w:id="328" w:name="_Toc152042329"/>
      <w:bookmarkStart w:id="329" w:name="_Toc246996940"/>
      <w:bookmarkStart w:id="330" w:name="_Toc179632571"/>
      <w:bookmarkStart w:id="331" w:name="_Toc152045553"/>
      <w:bookmarkStart w:id="332" w:name="_Toc246996197"/>
      <w:bookmarkStart w:id="333" w:name="_Toc144974521"/>
      <w:bookmarkStart w:id="334" w:name="_Toc247085711"/>
      <w:r>
        <w:rPr>
          <w:rFonts w:hint="eastAsia" w:ascii="黑体" w:hAnsi="黑体" w:eastAsia="黑体" w:cs="黑体"/>
          <w:color w:val="auto"/>
          <w:sz w:val="21"/>
          <w:szCs w:val="21"/>
          <w:highlight w:val="none"/>
        </w:rPr>
        <w:t>3.5投标文件的编制</w:t>
      </w:r>
      <w:bookmarkEnd w:id="321"/>
      <w:bookmarkEnd w:id="322"/>
      <w:bookmarkEnd w:id="323"/>
      <w:bookmarkEnd w:id="324"/>
      <w:bookmarkEnd w:id="325"/>
      <w:bookmarkEnd w:id="326"/>
      <w:bookmarkEnd w:id="327"/>
    </w:p>
    <w:bookmarkEnd w:id="328"/>
    <w:bookmarkEnd w:id="329"/>
    <w:bookmarkEnd w:id="330"/>
    <w:bookmarkEnd w:id="331"/>
    <w:bookmarkEnd w:id="332"/>
    <w:bookmarkEnd w:id="333"/>
    <w:bookmarkEnd w:id="334"/>
    <w:p w14:paraId="3138111E">
      <w:pPr>
        <w:adjustRightInd w:val="0"/>
        <w:snapToGrid w:val="0"/>
        <w:spacing w:line="560" w:lineRule="exact"/>
        <w:ind w:firstLine="420" w:firstLineChars="200"/>
        <w:rPr>
          <w:rFonts w:hint="eastAsia" w:ascii="宋体" w:hAnsi="宋体" w:cs="宋体"/>
          <w:color w:val="000000"/>
          <w:szCs w:val="21"/>
        </w:rPr>
      </w:pPr>
      <w:bookmarkStart w:id="335" w:name="_Toc144974523"/>
      <w:bookmarkStart w:id="336" w:name="_Toc247085713"/>
      <w:bookmarkStart w:id="337" w:name="_Toc246996942"/>
      <w:bookmarkStart w:id="338" w:name="_Toc152045555"/>
      <w:bookmarkStart w:id="339" w:name="_Toc324404838"/>
      <w:bookmarkStart w:id="340" w:name="_Toc179632573"/>
      <w:bookmarkStart w:id="341" w:name="_Toc246996199"/>
      <w:bookmarkStart w:id="342" w:name="_Toc152042331"/>
      <w:r>
        <w:rPr>
          <w:rFonts w:hint="eastAsia" w:ascii="宋体" w:hAnsi="宋体" w:cs="宋体"/>
          <w:color w:val="000000"/>
          <w:szCs w:val="21"/>
        </w:rPr>
        <w:t>3.5.1投标文件应按第九章“投标文件格式”进行编写，如有必要，可以增加附页，作为投标文件的组成部分。其中，投标函在满足招标文件实质性要求的基础上，可以提出比招标文件要求更有利于招标人的承诺。施工组织设计编制的特殊要求见投标人须知前附表。</w:t>
      </w:r>
    </w:p>
    <w:p w14:paraId="066D11C1">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3.5.2本次投标不需要提供纸质投标文件，投标人应按照电子招标投标的要求，在投标人的电子系统中制作、签章、上传加密的电子投标文件。</w:t>
      </w:r>
    </w:p>
    <w:p w14:paraId="74DDEC1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3.5.3 投标文件应当对招标文件有关工期、投标有效期、质量要求、技术标准和要求、招标范围等实质性内容作出响应。</w:t>
      </w:r>
    </w:p>
    <w:p w14:paraId="61F8AA27">
      <w:pPr>
        <w:adjustRightInd w:val="0"/>
        <w:snapToGrid w:val="0"/>
        <w:spacing w:line="600" w:lineRule="exact"/>
        <w:ind w:firstLine="420" w:firstLineChars="200"/>
        <w:rPr>
          <w:rFonts w:hint="eastAsia" w:ascii="宋体" w:hAnsi="宋体" w:cs="宋体"/>
          <w:bCs/>
          <w:snapToGrid w:val="0"/>
          <w:color w:val="000000"/>
          <w:kern w:val="0"/>
          <w:szCs w:val="21"/>
        </w:rPr>
      </w:pPr>
      <w:r>
        <w:rPr>
          <w:rFonts w:hint="eastAsia" w:ascii="宋体" w:hAnsi="宋体" w:cs="宋体"/>
          <w:bCs/>
          <w:snapToGrid w:val="0"/>
          <w:color w:val="000000"/>
          <w:kern w:val="0"/>
          <w:szCs w:val="21"/>
        </w:rPr>
        <w:t>3.5.4 投标人须知前附表规定接受联合体投标的，资格审查资料应包括联合体各方相关情况 。</w:t>
      </w:r>
    </w:p>
    <w:p w14:paraId="056B7761">
      <w:pPr>
        <w:adjustRightInd w:val="0"/>
        <w:snapToGrid w:val="0"/>
        <w:spacing w:line="600" w:lineRule="exact"/>
        <w:ind w:firstLine="420" w:firstLineChars="200"/>
        <w:rPr>
          <w:rFonts w:hint="eastAsia" w:ascii="宋体" w:hAnsi="宋体" w:cs="宋体"/>
          <w:bCs/>
          <w:snapToGrid w:val="0"/>
          <w:color w:val="000000"/>
          <w:kern w:val="0"/>
          <w:szCs w:val="21"/>
        </w:rPr>
      </w:pPr>
      <w:r>
        <w:rPr>
          <w:rFonts w:hint="eastAsia" w:ascii="宋体" w:hAnsi="宋体" w:cs="宋体"/>
          <w:bCs/>
          <w:snapToGrid w:val="0"/>
          <w:color w:val="000000"/>
          <w:kern w:val="0"/>
          <w:szCs w:val="21"/>
        </w:rPr>
        <w:t>3.5.5招标人有权核查投标人在投标文件中提供的资料，若发现投标人以他人名义投标或者以其他方式弄虚作假骗取中标的，中标无效；</w:t>
      </w:r>
      <w:r>
        <w:rPr>
          <w:rFonts w:hint="eastAsia" w:ascii="宋体" w:hAnsi="宋体" w:cs="宋体"/>
          <w:b/>
          <w:snapToGrid w:val="0"/>
          <w:color w:val="000000"/>
          <w:kern w:val="0"/>
          <w:szCs w:val="21"/>
        </w:rPr>
        <w:t>如果签订合同后发现中标人提供了虚假材料，招标人有权解除合同</w:t>
      </w:r>
      <w:r>
        <w:rPr>
          <w:rFonts w:hint="eastAsia" w:ascii="宋体" w:hAnsi="宋体" w:cs="宋体"/>
          <w:bCs/>
          <w:snapToGrid w:val="0"/>
          <w:color w:val="000000"/>
          <w:kern w:val="0"/>
          <w:szCs w:val="21"/>
        </w:rPr>
        <w:t>。同时招标人将投标人上述弄虚作假行为上报公共资源交易监督管理部门处理。</w:t>
      </w:r>
    </w:p>
    <w:p w14:paraId="5048AE0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3.5.6投标文件的制作应满足以下规定：</w:t>
      </w:r>
    </w:p>
    <w:p w14:paraId="142E5F1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（1）投标文件由投标人使用电子交易系统提供的“投标文件制作工具”制作生成。“投标文件制作工具”可以通过电子交易系统下载。</w:t>
      </w:r>
    </w:p>
    <w:p w14:paraId="093A2F9A">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w:t>
      </w:r>
      <w:r>
        <w:rPr>
          <w:rFonts w:hint="eastAsia" w:ascii="宋体" w:hAnsi="宋体" w:cs="宋体"/>
          <w:b/>
          <w:color w:val="000000"/>
          <w:szCs w:val="21"/>
        </w:rPr>
        <w:t>招标文件中“签章”是指签字或盖章。</w:t>
      </w:r>
      <w:r>
        <w:rPr>
          <w:rFonts w:hint="eastAsia" w:ascii="宋体" w:hAnsi="宋体" w:cs="宋体"/>
          <w:color w:val="000000"/>
          <w:szCs w:val="21"/>
        </w:rPr>
        <w:t>在第九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5198B16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763A4E05">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（4）投标文件制作的具体方法详见“投标文件制作工具”中的帮助文档。</w:t>
      </w:r>
    </w:p>
    <w:p w14:paraId="6600FA89">
      <w:pPr>
        <w:adjustRightInd w:val="0"/>
        <w:snapToGrid w:val="0"/>
        <w:spacing w:line="560" w:lineRule="exact"/>
        <w:ind w:firstLine="420" w:firstLineChars="200"/>
        <w:rPr>
          <w:rFonts w:hint="eastAsia" w:ascii="宋体" w:hAnsi="宋体" w:cs="宋体"/>
          <w:color w:val="000000"/>
          <w:kern w:val="0"/>
          <w:szCs w:val="21"/>
        </w:rPr>
      </w:pPr>
      <w:r>
        <w:rPr>
          <w:rFonts w:hint="eastAsia" w:ascii="宋体" w:hAnsi="宋体" w:cs="宋体"/>
          <w:color w:val="000000"/>
          <w:kern w:val="0"/>
          <w:szCs w:val="21"/>
        </w:rPr>
        <w:t>3.5.7 因投标人自身原因而导致投标文件无法导入电子交易系统电子开标、评标系统，该投标视为无效投标，投标人自行承担由此导致的全部责任。</w:t>
      </w:r>
    </w:p>
    <w:p w14:paraId="0744A5C7">
      <w:pPr>
        <w:adjustRightInd w:val="0"/>
        <w:snapToGrid w:val="0"/>
        <w:spacing w:line="560" w:lineRule="exact"/>
        <w:ind w:firstLine="420" w:firstLineChars="200"/>
        <w:rPr>
          <w:rFonts w:hint="eastAsia" w:ascii="宋体" w:hAnsi="宋体" w:cs="宋体"/>
          <w:color w:val="auto"/>
          <w:kern w:val="0"/>
          <w:szCs w:val="21"/>
          <w:highlight w:val="none"/>
        </w:rPr>
      </w:pPr>
      <w:r>
        <w:rPr>
          <w:rFonts w:hint="eastAsia" w:ascii="宋体" w:hAnsi="宋体" w:cs="宋体"/>
          <w:color w:val="000000"/>
          <w:kern w:val="0"/>
          <w:szCs w:val="21"/>
        </w:rPr>
        <w:t>3.5.8 投标人中标后须递交与网上电子投标文件完全一致的纸质版投标文件，在领取中标通知书时，一并递交给招标代理机构。</w:t>
      </w:r>
    </w:p>
    <w:p w14:paraId="3D18FEE9">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3.6 备选投标方案</w:t>
      </w:r>
    </w:p>
    <w:p w14:paraId="19915B8E">
      <w:pPr>
        <w:adjustRightInd w:val="0"/>
        <w:snapToGrid w:val="0"/>
        <w:spacing w:line="600" w:lineRule="exact"/>
        <w:ind w:firstLine="420" w:firstLineChars="200"/>
        <w:rPr>
          <w:rFonts w:hint="eastAsia" w:ascii="宋体" w:hAnsi="宋体" w:cs="宋体"/>
          <w:color w:val="000000"/>
        </w:rPr>
      </w:pPr>
      <w:r>
        <w:rPr>
          <w:rFonts w:hint="eastAsia" w:ascii="宋体" w:hAnsi="宋体" w:cs="宋体"/>
          <w:color w:val="000000"/>
        </w:rPr>
        <w:t xml:space="preserve">3.6.1 </w:t>
      </w:r>
      <w:r>
        <w:rPr>
          <w:rFonts w:hint="eastAsia" w:ascii="宋体" w:hAnsi="宋体" w:cs="宋体"/>
          <w:bCs/>
          <w:snapToGrid w:val="0"/>
          <w:color w:val="000000"/>
          <w:kern w:val="0"/>
          <w:szCs w:val="21"/>
        </w:rPr>
        <w:t>除投标人须知前附表规定允许外，投标人不得递交备选投标方案，否则其投标将被否决。</w:t>
      </w:r>
    </w:p>
    <w:p w14:paraId="75D967A6">
      <w:pPr>
        <w:adjustRightInd w:val="0"/>
        <w:snapToGrid w:val="0"/>
        <w:spacing w:line="600" w:lineRule="exact"/>
        <w:ind w:firstLine="420" w:firstLineChars="200"/>
        <w:rPr>
          <w:rFonts w:hint="eastAsia" w:ascii="宋体" w:hAnsi="宋体" w:cs="宋体"/>
          <w:color w:val="000000"/>
        </w:rPr>
      </w:pPr>
      <w:r>
        <w:rPr>
          <w:rFonts w:hint="eastAsia" w:ascii="宋体" w:hAnsi="宋体" w:cs="宋体"/>
          <w:color w:val="000000"/>
        </w:rPr>
        <w:t xml:space="preserve">3.6.2 </w:t>
      </w:r>
      <w:r>
        <w:rPr>
          <w:rFonts w:hint="eastAsia" w:ascii="宋体" w:hAnsi="宋体" w:cs="宋体"/>
          <w:bCs/>
          <w:snapToGrid w:val="0"/>
          <w:color w:val="000000"/>
          <w:kern w:val="0"/>
          <w:szCs w:val="21"/>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339D0E45">
      <w:pPr>
        <w:adjustRightInd w:val="0"/>
        <w:snapToGrid w:val="0"/>
        <w:spacing w:line="600" w:lineRule="exact"/>
        <w:ind w:firstLine="420" w:firstLineChars="200"/>
        <w:rPr>
          <w:rFonts w:hint="eastAsia" w:ascii="宋体" w:hAnsi="宋体" w:cs="宋体"/>
          <w:bCs/>
          <w:snapToGrid w:val="0"/>
          <w:color w:val="auto"/>
          <w:kern w:val="0"/>
          <w:szCs w:val="21"/>
          <w:highlight w:val="none"/>
        </w:rPr>
      </w:pPr>
      <w:r>
        <w:rPr>
          <w:rFonts w:hint="eastAsia" w:ascii="宋体" w:hAnsi="宋体" w:cs="宋体"/>
          <w:color w:val="000000"/>
        </w:rPr>
        <w:t xml:space="preserve">3.6.3 </w:t>
      </w:r>
      <w:r>
        <w:rPr>
          <w:rFonts w:hint="eastAsia" w:ascii="宋体" w:hAnsi="宋体" w:cs="宋体"/>
          <w:bCs/>
          <w:snapToGrid w:val="0"/>
          <w:color w:val="000000"/>
          <w:kern w:val="0"/>
          <w:szCs w:val="21"/>
        </w:rPr>
        <w:t>投标人提供两个或两个以上投标报价，或在投标文件中提供一个报价，但同时提供两个或两个以上施工组织设计的，视为提供备选方案。</w:t>
      </w:r>
    </w:p>
    <w:p w14:paraId="777FD702">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343" w:name="_Toc60061457"/>
      <w:bookmarkStart w:id="344" w:name="_Toc83301712"/>
      <w:bookmarkStart w:id="345" w:name="_Toc95223360"/>
      <w:bookmarkStart w:id="346" w:name="_Toc15058869"/>
      <w:bookmarkStart w:id="347" w:name="_Toc506107291"/>
      <w:r>
        <w:rPr>
          <w:rFonts w:hint="eastAsia" w:ascii="黑体" w:hAnsi="黑体" w:cs="黑体"/>
          <w:color w:val="auto"/>
          <w:sz w:val="21"/>
          <w:szCs w:val="21"/>
          <w:highlight w:val="none"/>
        </w:rPr>
        <w:t>4.投标</w:t>
      </w:r>
      <w:bookmarkEnd w:id="343"/>
      <w:bookmarkEnd w:id="344"/>
      <w:bookmarkEnd w:id="345"/>
      <w:bookmarkEnd w:id="346"/>
      <w:bookmarkEnd w:id="347"/>
    </w:p>
    <w:p w14:paraId="3B603B1B">
      <w:pPr>
        <w:pStyle w:val="4"/>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348" w:name="_Toc60061458"/>
      <w:bookmarkStart w:id="349" w:name="_Toc95223361"/>
      <w:bookmarkStart w:id="350" w:name="_Toc83301713"/>
      <w:bookmarkStart w:id="351" w:name="_Toc15058870"/>
      <w:r>
        <w:rPr>
          <w:rFonts w:hint="eastAsia" w:ascii="黑体" w:hAnsi="黑体" w:eastAsia="黑体" w:cs="黑体"/>
          <w:color w:val="auto"/>
          <w:sz w:val="21"/>
          <w:szCs w:val="21"/>
          <w:highlight w:val="none"/>
        </w:rPr>
        <w:t>4.1投标文件上传</w:t>
      </w:r>
      <w:bookmarkEnd w:id="348"/>
      <w:bookmarkEnd w:id="349"/>
      <w:bookmarkEnd w:id="350"/>
      <w:bookmarkEnd w:id="351"/>
    </w:p>
    <w:p w14:paraId="5BF88694">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4.1.1请投标人通过系统下载投标工具制作投标文件，并利用CA数字证书进行上传投标文件，上传已加密的投标文件，务必通过此方式上传投标文件。</w:t>
      </w:r>
    </w:p>
    <w:p w14:paraId="74EB3DE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4.1.2投标人在投标文件编制、签章、上传过程中如有任何操作的疑问请及时联系技术支持，电话：0550-3801701。</w:t>
      </w:r>
    </w:p>
    <w:p w14:paraId="1943874A">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352" w:name="_Toc152045556"/>
      <w:bookmarkStart w:id="353" w:name="_Toc144974524"/>
      <w:bookmarkStart w:id="354" w:name="_Toc324404839"/>
      <w:bookmarkStart w:id="355" w:name="_Toc95223362"/>
      <w:bookmarkStart w:id="356" w:name="_Toc15058871"/>
      <w:bookmarkStart w:id="357" w:name="_Toc179632574"/>
      <w:bookmarkStart w:id="358" w:name="_Toc296602444"/>
      <w:bookmarkStart w:id="359" w:name="_Toc246996200"/>
      <w:bookmarkStart w:id="360" w:name="_Toc247085714"/>
      <w:bookmarkStart w:id="361" w:name="_Toc60061459"/>
      <w:bookmarkStart w:id="362" w:name="_Toc83301714"/>
      <w:bookmarkStart w:id="363" w:name="_Toc506107292"/>
      <w:bookmarkStart w:id="364" w:name="_Toc152042332"/>
      <w:bookmarkStart w:id="365" w:name="_Toc246996943"/>
      <w:r>
        <w:rPr>
          <w:rFonts w:hint="eastAsia" w:ascii="黑体" w:hAnsi="黑体" w:eastAsia="黑体" w:cs="黑体"/>
          <w:color w:val="auto"/>
          <w:sz w:val="21"/>
          <w:szCs w:val="21"/>
          <w:highlight w:val="none"/>
        </w:rPr>
        <w:t>4.2投标文件的密封和标记</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77394904">
      <w:pPr>
        <w:pStyle w:val="4"/>
        <w:adjustRightInd w:val="0"/>
        <w:snapToGrid w:val="0"/>
        <w:spacing w:before="0" w:after="0" w:line="560" w:lineRule="exact"/>
        <w:ind w:firstLine="420" w:firstLineChars="200"/>
        <w:rPr>
          <w:rFonts w:hint="eastAsia" w:ascii="宋体" w:hAnsi="宋体" w:eastAsia="宋体" w:cs="宋体"/>
          <w:b w:val="0"/>
          <w:bCs w:val="0"/>
          <w:color w:val="000000"/>
          <w:kern w:val="2"/>
          <w:sz w:val="21"/>
          <w:szCs w:val="21"/>
          <w:lang w:val="en-US" w:eastAsia="zh-CN" w:bidi="ar-SA"/>
        </w:rPr>
      </w:pPr>
      <w:bookmarkStart w:id="366" w:name="_Toc506107293"/>
      <w:bookmarkStart w:id="367" w:name="_Toc246996944"/>
      <w:bookmarkStart w:id="368" w:name="_Toc179632575"/>
      <w:bookmarkStart w:id="369" w:name="_Toc15058872"/>
      <w:bookmarkStart w:id="370" w:name="_Toc296602445"/>
      <w:bookmarkStart w:id="371" w:name="_Toc152045557"/>
      <w:bookmarkStart w:id="372" w:name="_Toc246996201"/>
      <w:bookmarkStart w:id="373" w:name="_Toc95223363"/>
      <w:bookmarkStart w:id="374" w:name="_Toc324404840"/>
      <w:bookmarkStart w:id="375" w:name="_Toc247085715"/>
      <w:bookmarkStart w:id="376" w:name="_Toc83301715"/>
      <w:bookmarkStart w:id="377" w:name="_Toc144974525"/>
      <w:bookmarkStart w:id="378" w:name="_Toc152042333"/>
      <w:bookmarkStart w:id="379" w:name="_Toc60061460"/>
      <w:r>
        <w:rPr>
          <w:rFonts w:hint="eastAsia" w:ascii="宋体" w:hAnsi="宋体" w:eastAsia="宋体" w:cs="宋体"/>
          <w:b w:val="0"/>
          <w:bCs w:val="0"/>
          <w:color w:val="000000"/>
          <w:kern w:val="2"/>
          <w:sz w:val="21"/>
          <w:szCs w:val="21"/>
          <w:lang w:val="en-US" w:eastAsia="zh-CN" w:bidi="ar-SA"/>
        </w:rPr>
        <w:t>4.2.1投标文件应按照本章第3.5.6项要求制作并加密，未按要求加密的投标文件将被拒绝接收。以投标人在投标截止时间前网上递交的电子投标文件为准。</w:t>
      </w:r>
    </w:p>
    <w:p w14:paraId="6C5DFD9A">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4.3 投标文件的递交</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7A11D75D">
      <w:pPr>
        <w:adjustRightInd w:val="0"/>
        <w:snapToGrid w:val="0"/>
        <w:spacing w:line="560" w:lineRule="exact"/>
        <w:ind w:firstLine="420" w:firstLineChars="200"/>
        <w:rPr>
          <w:rFonts w:hint="eastAsia" w:ascii="宋体" w:hAnsi="宋体" w:cs="宋体"/>
          <w:color w:val="000000"/>
          <w:szCs w:val="21"/>
        </w:rPr>
      </w:pPr>
      <w:bookmarkStart w:id="380" w:name="_Toc60061461"/>
      <w:bookmarkStart w:id="381" w:name="_Toc324404841"/>
      <w:bookmarkStart w:id="382" w:name="_Toc506107294"/>
      <w:bookmarkStart w:id="383" w:name="_Toc246996202"/>
      <w:bookmarkStart w:id="384" w:name="_Toc247085716"/>
      <w:bookmarkStart w:id="385" w:name="_Toc179632576"/>
      <w:bookmarkStart w:id="386" w:name="_Toc152042334"/>
      <w:bookmarkStart w:id="387" w:name="_Toc83301716"/>
      <w:bookmarkStart w:id="388" w:name="_Toc246996945"/>
      <w:bookmarkStart w:id="389" w:name="_Toc144974526"/>
      <w:bookmarkStart w:id="390" w:name="_Toc15058873"/>
      <w:bookmarkStart w:id="391" w:name="_Toc152045558"/>
      <w:bookmarkStart w:id="392" w:name="_Toc296602446"/>
      <w:bookmarkStart w:id="393" w:name="_Toc95223364"/>
      <w:r>
        <w:rPr>
          <w:rFonts w:hint="eastAsia" w:ascii="宋体" w:hAnsi="宋体" w:cs="宋体"/>
          <w:color w:val="000000"/>
          <w:szCs w:val="21"/>
        </w:rPr>
        <w:t>4.3.1 投标人应当在第一章“招标公告”规定的投标截止时间前，将加密投标文件上传至电子交易系统。</w:t>
      </w:r>
    </w:p>
    <w:p w14:paraId="6736B5DE">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4.3.2 除投标人须知前附表另有规定外，投标人所递交的投标文件不予退还。</w:t>
      </w:r>
    </w:p>
    <w:p w14:paraId="7EAF8FF8">
      <w:pPr>
        <w:adjustRightInd w:val="0"/>
        <w:snapToGrid w:val="0"/>
        <w:spacing w:line="560" w:lineRule="exact"/>
        <w:ind w:firstLine="420" w:firstLineChars="200"/>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4.3.3 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29474D10">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4.4 投标文件的修改与撤回</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7D7E6AB2">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4.4.1在第一章“招标公告”规定的投标截止时间前，投标人可以自行从网上开评标系统撤回已递交的投标文件，并可修改后重新加密上传，开标时以投标截止时间前投标人最终上传的投标文件为准。</w:t>
      </w:r>
    </w:p>
    <w:p w14:paraId="61DE0D9F">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394" w:name="_Toc179632577"/>
      <w:bookmarkStart w:id="395" w:name="_Toc15058874"/>
      <w:bookmarkStart w:id="396" w:name="_Toc152042335"/>
      <w:bookmarkStart w:id="397" w:name="_Toc144974527"/>
      <w:bookmarkStart w:id="398" w:name="_Toc324404842"/>
      <w:bookmarkStart w:id="399" w:name="_Toc152045559"/>
      <w:bookmarkStart w:id="400" w:name="_Toc60061462"/>
      <w:bookmarkStart w:id="401" w:name="_Toc246996203"/>
      <w:bookmarkStart w:id="402" w:name="_Toc83301717"/>
      <w:bookmarkStart w:id="403" w:name="_Toc506107295"/>
      <w:bookmarkStart w:id="404" w:name="_Toc95223365"/>
      <w:bookmarkStart w:id="405" w:name="_Toc247085717"/>
      <w:bookmarkStart w:id="406" w:name="_Toc246996946"/>
      <w:r>
        <w:rPr>
          <w:rFonts w:hint="eastAsia" w:ascii="黑体" w:hAnsi="黑体" w:cs="黑体"/>
          <w:color w:val="auto"/>
          <w:sz w:val="21"/>
          <w:szCs w:val="21"/>
          <w:highlight w:val="none"/>
        </w:rPr>
        <w:t>5. 开标</w:t>
      </w:r>
      <w:bookmarkEnd w:id="394"/>
      <w:bookmarkEnd w:id="395"/>
      <w:bookmarkEnd w:id="396"/>
      <w:bookmarkEnd w:id="397"/>
      <w:bookmarkEnd w:id="398"/>
      <w:bookmarkEnd w:id="399"/>
      <w:bookmarkEnd w:id="400"/>
      <w:bookmarkEnd w:id="401"/>
      <w:bookmarkEnd w:id="402"/>
      <w:bookmarkEnd w:id="403"/>
      <w:bookmarkEnd w:id="404"/>
      <w:bookmarkEnd w:id="405"/>
      <w:bookmarkEnd w:id="406"/>
    </w:p>
    <w:p w14:paraId="7F265A91">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407" w:name="_Toc60061463"/>
      <w:bookmarkStart w:id="408" w:name="_Toc152045560"/>
      <w:bookmarkStart w:id="409" w:name="_Toc83301718"/>
      <w:bookmarkStart w:id="410" w:name="_Toc144974528"/>
      <w:bookmarkStart w:id="411" w:name="_Toc247085718"/>
      <w:bookmarkStart w:id="412" w:name="_Toc324404843"/>
      <w:bookmarkStart w:id="413" w:name="_Toc246996204"/>
      <w:bookmarkStart w:id="414" w:name="_Toc15058875"/>
      <w:bookmarkStart w:id="415" w:name="_Toc179632578"/>
      <w:bookmarkStart w:id="416" w:name="_Toc506107296"/>
      <w:bookmarkStart w:id="417" w:name="_Toc296602448"/>
      <w:bookmarkStart w:id="418" w:name="_Toc152042336"/>
      <w:bookmarkStart w:id="419" w:name="_Toc246996947"/>
      <w:bookmarkStart w:id="420" w:name="_Toc95223366"/>
      <w:r>
        <w:rPr>
          <w:rFonts w:hint="eastAsia" w:ascii="黑体" w:hAnsi="黑体" w:eastAsia="黑体" w:cs="黑体"/>
          <w:color w:val="auto"/>
          <w:sz w:val="21"/>
          <w:szCs w:val="21"/>
          <w:highlight w:val="none"/>
        </w:rPr>
        <w:t>5.1 开标时间和地点</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7643B79C">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招标人在第一章“招标公告”规定的投标截止时间前（开标时间）和地点通过电子交易系统公开开标。</w:t>
      </w:r>
    </w:p>
    <w:p w14:paraId="480B062D">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421" w:name="_Toc152042337"/>
      <w:bookmarkStart w:id="422" w:name="_Toc506107297"/>
      <w:bookmarkStart w:id="423" w:name="_Toc179632579"/>
      <w:bookmarkStart w:id="424" w:name="_Toc15058876"/>
      <w:bookmarkStart w:id="425" w:name="_Toc247085719"/>
      <w:bookmarkStart w:id="426" w:name="_Toc296602449"/>
      <w:bookmarkStart w:id="427" w:name="_Toc144974529"/>
      <w:bookmarkStart w:id="428" w:name="_Toc324404844"/>
      <w:bookmarkStart w:id="429" w:name="_Toc152045561"/>
      <w:bookmarkStart w:id="430" w:name="_Toc246996948"/>
      <w:bookmarkStart w:id="431" w:name="_Toc83301719"/>
      <w:bookmarkStart w:id="432" w:name="_Toc95223367"/>
      <w:bookmarkStart w:id="433" w:name="_Toc246996205"/>
      <w:bookmarkStart w:id="434" w:name="_Toc60061464"/>
      <w:r>
        <w:rPr>
          <w:rFonts w:hint="eastAsia" w:ascii="黑体" w:hAnsi="黑体" w:eastAsia="黑体" w:cs="黑体"/>
          <w:color w:val="auto"/>
          <w:sz w:val="21"/>
          <w:szCs w:val="21"/>
          <w:highlight w:val="none"/>
        </w:rPr>
        <w:t>5.2 开标程序</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7F2FD7EB">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主持人按下列程序进行开标：</w:t>
      </w:r>
    </w:p>
    <w:bookmarkEnd w:id="335"/>
    <w:bookmarkEnd w:id="336"/>
    <w:bookmarkEnd w:id="337"/>
    <w:bookmarkEnd w:id="338"/>
    <w:bookmarkEnd w:id="339"/>
    <w:bookmarkEnd w:id="340"/>
    <w:bookmarkEnd w:id="341"/>
    <w:bookmarkEnd w:id="342"/>
    <w:p w14:paraId="3874535D">
      <w:pPr>
        <w:adjustRightInd w:val="0"/>
        <w:snapToGrid w:val="0"/>
        <w:spacing w:line="560" w:lineRule="exact"/>
        <w:ind w:firstLine="420" w:firstLineChars="200"/>
        <w:rPr>
          <w:rFonts w:hint="eastAsia" w:ascii="宋体" w:hAnsi="宋体" w:eastAsia="宋体" w:cs="宋体"/>
          <w:color w:val="auto"/>
          <w:szCs w:val="21"/>
          <w:highlight w:val="none"/>
        </w:rPr>
      </w:pPr>
      <w:bookmarkStart w:id="435" w:name="_Toc95223368"/>
      <w:bookmarkStart w:id="436" w:name="_Toc324404845"/>
      <w:bookmarkStart w:id="437" w:name="_Toc60061465"/>
      <w:bookmarkStart w:id="438" w:name="_Toc296602450"/>
      <w:bookmarkStart w:id="439" w:name="_Toc506107298"/>
      <w:bookmarkStart w:id="440" w:name="_Toc83301720"/>
      <w:bookmarkStart w:id="441" w:name="_Toc15058883"/>
      <w:r>
        <w:rPr>
          <w:rFonts w:hint="eastAsia" w:ascii="宋体" w:hAnsi="宋体" w:eastAsia="宋体" w:cs="宋体"/>
          <w:color w:val="auto"/>
          <w:szCs w:val="21"/>
          <w:highlight w:val="none"/>
        </w:rPr>
        <w:t>主持人按下列程序进行开标：</w:t>
      </w:r>
    </w:p>
    <w:p w14:paraId="04EEC1D9">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（1）公布在投标截止时间前通过电子交易系统完成投标文件递交的投标人名称；</w:t>
      </w:r>
    </w:p>
    <w:p w14:paraId="709FE0C2">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（2）投标人在投标截止时间后在投标人须知前附表规定的解密时间内完成投标文件的解密工作；</w:t>
      </w:r>
    </w:p>
    <w:p w14:paraId="09A87A56">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（3）招标人或招标代理机构完成解密工作，导入并读取所有成功解密的投标文件；</w:t>
      </w:r>
    </w:p>
    <w:p w14:paraId="25556F37">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（4）按投标人须知前附表规定公布投标人名称、标段名称、投标报价、质量目标、工期及其他内容；</w:t>
      </w:r>
    </w:p>
    <w:p w14:paraId="4E1ED7DE">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（5）开标结束。</w:t>
      </w:r>
    </w:p>
    <w:p w14:paraId="4EB97047">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5.3 开标异议</w:t>
      </w:r>
      <w:bookmarkEnd w:id="435"/>
      <w:bookmarkEnd w:id="436"/>
      <w:bookmarkEnd w:id="437"/>
      <w:bookmarkEnd w:id="438"/>
      <w:bookmarkEnd w:id="439"/>
      <w:bookmarkEnd w:id="440"/>
      <w:bookmarkEnd w:id="441"/>
    </w:p>
    <w:p w14:paraId="073425B4">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投标人对开标有异议的，应当在开标过程中提出，招标人在开标过程中作出答复，并制作记录。</w:t>
      </w:r>
      <w:r>
        <w:rPr>
          <w:color w:val="auto"/>
          <w:spacing w:val="-5"/>
          <w:highlight w:val="none"/>
        </w:rPr>
        <w:t>异议与答复应通过电子交易系统进行。</w:t>
      </w:r>
    </w:p>
    <w:p w14:paraId="5737AC99">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442" w:name="_Toc246996949"/>
      <w:bookmarkStart w:id="443" w:name="_Toc15058884"/>
      <w:bookmarkStart w:id="444" w:name="_Toc144974530"/>
      <w:bookmarkStart w:id="445" w:name="_Toc247085720"/>
      <w:bookmarkStart w:id="446" w:name="_Toc246996206"/>
      <w:bookmarkStart w:id="447" w:name="_Toc324404846"/>
      <w:bookmarkStart w:id="448" w:name="_Toc506107299"/>
      <w:bookmarkStart w:id="449" w:name="_Toc152045562"/>
      <w:bookmarkStart w:id="450" w:name="_Toc83301721"/>
      <w:bookmarkStart w:id="451" w:name="_Toc179632580"/>
      <w:bookmarkStart w:id="452" w:name="_Toc95223369"/>
      <w:bookmarkStart w:id="453" w:name="_Toc60061466"/>
      <w:bookmarkStart w:id="454" w:name="_Toc152042338"/>
      <w:r>
        <w:rPr>
          <w:rFonts w:hint="eastAsia" w:ascii="黑体" w:hAnsi="黑体" w:cs="黑体"/>
          <w:color w:val="auto"/>
          <w:sz w:val="21"/>
          <w:szCs w:val="21"/>
          <w:highlight w:val="none"/>
        </w:rPr>
        <w:t>6. 评标</w:t>
      </w:r>
      <w:bookmarkEnd w:id="442"/>
      <w:bookmarkEnd w:id="443"/>
      <w:bookmarkEnd w:id="444"/>
      <w:bookmarkEnd w:id="445"/>
      <w:bookmarkEnd w:id="446"/>
      <w:bookmarkEnd w:id="447"/>
      <w:bookmarkEnd w:id="448"/>
      <w:bookmarkEnd w:id="449"/>
      <w:bookmarkEnd w:id="450"/>
      <w:bookmarkEnd w:id="451"/>
      <w:bookmarkEnd w:id="452"/>
      <w:bookmarkEnd w:id="453"/>
      <w:bookmarkEnd w:id="454"/>
    </w:p>
    <w:p w14:paraId="14F77FC8">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455" w:name="_Toc246996207"/>
      <w:bookmarkStart w:id="456" w:name="_Toc144974531"/>
      <w:bookmarkStart w:id="457" w:name="_Toc83301722"/>
      <w:bookmarkStart w:id="458" w:name="_Toc152042339"/>
      <w:bookmarkStart w:id="459" w:name="_Toc296602452"/>
      <w:bookmarkStart w:id="460" w:name="_Toc179632581"/>
      <w:bookmarkStart w:id="461" w:name="_Toc60061467"/>
      <w:bookmarkStart w:id="462" w:name="_Toc95223370"/>
      <w:bookmarkStart w:id="463" w:name="_Toc15058885"/>
      <w:bookmarkStart w:id="464" w:name="_Toc247085721"/>
      <w:bookmarkStart w:id="465" w:name="_Toc246996950"/>
      <w:bookmarkStart w:id="466" w:name="_Toc152045563"/>
      <w:bookmarkStart w:id="467" w:name="_Toc506107300"/>
      <w:bookmarkStart w:id="468" w:name="_Toc324404847"/>
      <w:r>
        <w:rPr>
          <w:rFonts w:hint="eastAsia" w:ascii="黑体" w:hAnsi="黑体" w:eastAsia="黑体" w:cs="黑体"/>
          <w:color w:val="auto"/>
          <w:sz w:val="21"/>
          <w:szCs w:val="21"/>
          <w:highlight w:val="none"/>
        </w:rPr>
        <w:t>6.1 评标委员会</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6C513E33">
      <w:pPr>
        <w:adjustRightInd w:val="0"/>
        <w:snapToGrid w:val="0"/>
        <w:spacing w:line="560" w:lineRule="exact"/>
        <w:ind w:firstLine="420" w:firstLineChars="200"/>
        <w:rPr>
          <w:rFonts w:hint="eastAsia" w:ascii="宋体" w:hAnsi="宋体" w:cs="宋体"/>
          <w:color w:val="000000"/>
          <w:szCs w:val="21"/>
        </w:rPr>
      </w:pPr>
      <w:bookmarkStart w:id="469" w:name="_Toc144974532"/>
      <w:bookmarkStart w:id="470" w:name="_Toc60061468"/>
      <w:bookmarkStart w:id="471" w:name="_Toc15058886"/>
      <w:bookmarkStart w:id="472" w:name="_Toc296602453"/>
      <w:bookmarkStart w:id="473" w:name="_Toc152042340"/>
      <w:bookmarkStart w:id="474" w:name="_Toc506107301"/>
      <w:bookmarkStart w:id="475" w:name="_Toc95223371"/>
      <w:bookmarkStart w:id="476" w:name="_Toc246996208"/>
      <w:bookmarkStart w:id="477" w:name="_Toc246996951"/>
      <w:bookmarkStart w:id="478" w:name="_Toc83301723"/>
      <w:bookmarkStart w:id="479" w:name="_Toc179632582"/>
      <w:bookmarkStart w:id="480" w:name="_Toc324404848"/>
      <w:bookmarkStart w:id="481" w:name="_Toc247085722"/>
      <w:bookmarkStart w:id="482" w:name="_Toc152045564"/>
      <w:r>
        <w:rPr>
          <w:rFonts w:hint="eastAsia" w:ascii="宋体" w:hAnsi="宋体" w:cs="宋体"/>
          <w:color w:val="000000"/>
          <w:szCs w:val="21"/>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4526C1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6.1.2 评标委员会成员有下列情形之一的，应当回避：</w:t>
      </w:r>
    </w:p>
    <w:p w14:paraId="4CC1A144">
      <w:pPr>
        <w:adjustRightInd w:val="0"/>
        <w:snapToGrid w:val="0"/>
        <w:spacing w:line="560" w:lineRule="exact"/>
        <w:ind w:firstLine="420" w:firstLineChars="200"/>
        <w:rPr>
          <w:rFonts w:ascii="宋体" w:hAnsi="宋体" w:cs="宋体"/>
          <w:color w:val="000000"/>
          <w:szCs w:val="21"/>
        </w:rPr>
      </w:pPr>
      <w:r>
        <w:rPr>
          <w:rFonts w:hint="eastAsia" w:ascii="宋体" w:hAnsi="宋体" w:cs="宋体"/>
          <w:color w:val="000000"/>
          <w:szCs w:val="21"/>
        </w:rPr>
        <w:t>（1）项目主管部门或行政监督管理部门，项目属地的公共资源交易综合管理部门、交易中心的工作人员；</w:t>
      </w:r>
      <w:r>
        <w:rPr>
          <w:rFonts w:ascii="宋体" w:hAnsi="宋体" w:cs="宋体"/>
          <w:color w:val="000000"/>
          <w:szCs w:val="21"/>
        </w:rPr>
        <w:t xml:space="preserve"> </w:t>
      </w:r>
    </w:p>
    <w:p w14:paraId="54C9B443">
      <w:pPr>
        <w:adjustRightInd w:val="0"/>
        <w:snapToGrid w:val="0"/>
        <w:spacing w:line="560" w:lineRule="exact"/>
        <w:ind w:firstLine="420" w:firstLineChars="200"/>
        <w:rPr>
          <w:rFonts w:ascii="宋体" w:hAnsi="宋体" w:cs="宋体"/>
          <w:color w:val="000000"/>
          <w:szCs w:val="21"/>
        </w:rPr>
      </w:pPr>
      <w:r>
        <w:rPr>
          <w:rFonts w:hint="eastAsia" w:ascii="宋体" w:hAnsi="宋体" w:cs="宋体"/>
          <w:color w:val="000000"/>
          <w:szCs w:val="21"/>
        </w:rPr>
        <w:t>（2）与竞争主体主要负责人或者授权参与交易的代理人有近亲属关系的人员；</w:t>
      </w:r>
      <w:r>
        <w:rPr>
          <w:rFonts w:ascii="宋体" w:hAnsi="宋体" w:cs="宋体"/>
          <w:color w:val="000000"/>
          <w:szCs w:val="21"/>
        </w:rPr>
        <w:t xml:space="preserve"> </w:t>
      </w:r>
    </w:p>
    <w:p w14:paraId="24779083">
      <w:pPr>
        <w:adjustRightInd w:val="0"/>
        <w:snapToGrid w:val="0"/>
        <w:spacing w:line="560" w:lineRule="exact"/>
        <w:ind w:firstLine="420" w:firstLineChars="200"/>
        <w:rPr>
          <w:rFonts w:ascii="宋体" w:hAnsi="宋体" w:cs="宋体"/>
          <w:color w:val="000000"/>
          <w:szCs w:val="21"/>
        </w:rPr>
      </w:pPr>
      <w:r>
        <w:rPr>
          <w:rFonts w:hint="eastAsia" w:ascii="宋体" w:hAnsi="宋体" w:cs="宋体"/>
          <w:color w:val="000000"/>
          <w:szCs w:val="21"/>
        </w:rPr>
        <w:t>（3）竞争主体的工作人员或者退休人员；</w:t>
      </w:r>
      <w:r>
        <w:rPr>
          <w:rFonts w:ascii="宋体" w:hAnsi="宋体" w:cs="宋体"/>
          <w:color w:val="000000"/>
          <w:szCs w:val="21"/>
        </w:rPr>
        <w:t xml:space="preserve"> </w:t>
      </w:r>
    </w:p>
    <w:p w14:paraId="02095D07">
      <w:pPr>
        <w:adjustRightInd w:val="0"/>
        <w:snapToGrid w:val="0"/>
        <w:spacing w:line="560" w:lineRule="exact"/>
        <w:ind w:firstLine="420" w:firstLineChars="200"/>
        <w:rPr>
          <w:rFonts w:ascii="宋体" w:hAnsi="宋体" w:cs="宋体"/>
          <w:color w:val="000000"/>
          <w:szCs w:val="21"/>
        </w:rPr>
      </w:pPr>
      <w:r>
        <w:rPr>
          <w:rFonts w:hint="eastAsia" w:ascii="宋体" w:hAnsi="宋体" w:cs="宋体"/>
          <w:color w:val="000000"/>
          <w:szCs w:val="21"/>
        </w:rPr>
        <w:t>（4）竞争主体的上级主管、控股或者被控股单位等相关利害关系的人员，或任职单位与竞争主体单位为同一法定代表人的；</w:t>
      </w:r>
      <w:r>
        <w:rPr>
          <w:rFonts w:ascii="宋体" w:hAnsi="宋体" w:cs="宋体"/>
          <w:color w:val="000000"/>
          <w:szCs w:val="21"/>
        </w:rPr>
        <w:t xml:space="preserve"> </w:t>
      </w:r>
    </w:p>
    <w:p w14:paraId="01154839">
      <w:pPr>
        <w:adjustRightInd w:val="0"/>
        <w:snapToGrid w:val="0"/>
        <w:spacing w:line="560" w:lineRule="exact"/>
        <w:ind w:firstLine="420" w:firstLineChars="200"/>
        <w:rPr>
          <w:rFonts w:ascii="宋体" w:hAnsi="宋体" w:cs="宋体"/>
          <w:color w:val="000000"/>
          <w:szCs w:val="21"/>
        </w:rPr>
      </w:pPr>
      <w:r>
        <w:rPr>
          <w:rFonts w:hint="eastAsia" w:ascii="宋体" w:hAnsi="宋体" w:cs="宋体"/>
          <w:color w:val="000000"/>
          <w:szCs w:val="21"/>
        </w:rPr>
        <w:t>（5）存在其他法定回避情形的。</w:t>
      </w:r>
    </w:p>
    <w:p w14:paraId="3B3535AD">
      <w:pPr>
        <w:adjustRightInd w:val="0"/>
        <w:snapToGrid w:val="0"/>
        <w:spacing w:line="560" w:lineRule="exact"/>
        <w:ind w:firstLine="420" w:firstLineChars="200"/>
        <w:rPr>
          <w:rFonts w:ascii="宋体" w:hAnsi="宋体" w:cs="宋体"/>
          <w:color w:val="000000"/>
          <w:szCs w:val="21"/>
        </w:rPr>
      </w:pPr>
      <w:r>
        <w:rPr>
          <w:rFonts w:hint="eastAsia" w:ascii="宋体" w:hAnsi="宋体" w:cs="宋体"/>
          <w:color w:val="000000"/>
          <w:szCs w:val="21"/>
        </w:rPr>
        <w:t>项目实施主体及其子公司、下属单位、上级主管部门或者控股公司的工作人员或者退休人员不得以专家身份参与本单位或者代理项目的评标评审。</w:t>
      </w:r>
      <w:r>
        <w:rPr>
          <w:rFonts w:ascii="宋体" w:hAnsi="宋体" w:cs="宋体"/>
          <w:color w:val="000000"/>
          <w:szCs w:val="21"/>
        </w:rPr>
        <w:t xml:space="preserve"> </w:t>
      </w:r>
    </w:p>
    <w:p w14:paraId="7E8A8C23">
      <w:pPr>
        <w:adjustRightInd w:val="0"/>
        <w:snapToGrid w:val="0"/>
        <w:spacing w:line="560" w:lineRule="exact"/>
        <w:ind w:firstLine="420" w:firstLineChars="200"/>
        <w:rPr>
          <w:rFonts w:ascii="宋体" w:hAnsi="宋体" w:cs="宋体"/>
          <w:color w:val="000000"/>
          <w:szCs w:val="21"/>
        </w:rPr>
      </w:pPr>
      <w:r>
        <w:rPr>
          <w:rFonts w:hint="eastAsia" w:ascii="宋体" w:hAnsi="宋体" w:cs="宋体"/>
          <w:color w:val="000000"/>
          <w:szCs w:val="21"/>
        </w:rPr>
        <w:t>评标委员会或评审机构成员有前两款规定情形的，应当主动提出回避；已经进入的应当更换，被更换的成员评标评审意见无效。</w:t>
      </w:r>
      <w:r>
        <w:rPr>
          <w:rFonts w:ascii="宋体" w:hAnsi="宋体" w:cs="宋体"/>
          <w:color w:val="000000"/>
          <w:szCs w:val="21"/>
        </w:rPr>
        <w:t xml:space="preserve"> </w:t>
      </w:r>
    </w:p>
    <w:p w14:paraId="4304D370">
      <w:pPr>
        <w:pStyle w:val="20"/>
        <w:adjustRightInd w:val="0"/>
        <w:snapToGrid w:val="0"/>
        <w:spacing w:after="0" w:line="560" w:lineRule="exact"/>
        <w:ind w:left="0" w:leftChars="0"/>
        <w:rPr>
          <w:rFonts w:hint="eastAsia"/>
          <w:color w:val="000000"/>
        </w:rPr>
      </w:pPr>
      <w:r>
        <w:rPr>
          <w:rFonts w:hint="eastAsia" w:ascii="宋体" w:hAnsi="宋体" w:cs="宋体"/>
          <w:color w:val="000000"/>
          <w:szCs w:val="21"/>
        </w:rPr>
        <w:t>6.1.3评标过程中，评标委员会成员有回避事由、擅离职守或因健康等原因不能继续评标的， 招标人有权更换。被更换的评标委员会成员作出的评审结论无效，由更换后的评标委员会成员重新进行评审。</w:t>
      </w:r>
    </w:p>
    <w:p w14:paraId="46725B03">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6.2 评标原则</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14:paraId="3ED91576">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评标活动遵循公平、公正、科学和择优的原则。</w:t>
      </w:r>
    </w:p>
    <w:p w14:paraId="36B0AD25">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483" w:name="_Toc179632583"/>
      <w:bookmarkStart w:id="484" w:name="_Toc95223372"/>
      <w:bookmarkStart w:id="485" w:name="_Toc152045565"/>
      <w:bookmarkStart w:id="486" w:name="_Toc83301724"/>
      <w:bookmarkStart w:id="487" w:name="_Toc246996209"/>
      <w:bookmarkStart w:id="488" w:name="_Toc296602454"/>
      <w:bookmarkStart w:id="489" w:name="_Toc152042341"/>
      <w:bookmarkStart w:id="490" w:name="_Toc60061469"/>
      <w:bookmarkStart w:id="491" w:name="_Toc506107302"/>
      <w:bookmarkStart w:id="492" w:name="_Toc247085723"/>
      <w:bookmarkStart w:id="493" w:name="_Toc324404849"/>
      <w:bookmarkStart w:id="494" w:name="_Toc246996952"/>
      <w:bookmarkStart w:id="495" w:name="_Toc15058887"/>
      <w:bookmarkStart w:id="496" w:name="_Toc144974533"/>
      <w:r>
        <w:rPr>
          <w:rFonts w:hint="eastAsia" w:ascii="黑体" w:hAnsi="黑体" w:eastAsia="黑体" w:cs="黑体"/>
          <w:color w:val="auto"/>
          <w:sz w:val="21"/>
          <w:szCs w:val="21"/>
          <w:highlight w:val="none"/>
        </w:rPr>
        <w:t>6.3 评标</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Start w:id="497" w:name="_Toc152045566"/>
      <w:bookmarkStart w:id="498" w:name="_Toc60061470"/>
      <w:bookmarkStart w:id="499" w:name="_Toc15058888"/>
      <w:bookmarkStart w:id="500" w:name="_Toc179632584"/>
      <w:bookmarkStart w:id="501" w:name="_Toc324404850"/>
      <w:bookmarkStart w:id="502" w:name="_Toc246996953"/>
      <w:bookmarkStart w:id="503" w:name="_Toc247085724"/>
      <w:bookmarkStart w:id="504" w:name="_Toc506107303"/>
      <w:bookmarkStart w:id="505" w:name="_Toc246996210"/>
      <w:bookmarkStart w:id="506" w:name="_Toc144974534"/>
      <w:bookmarkStart w:id="507" w:name="_Toc152042342"/>
      <w:r>
        <w:rPr>
          <w:rFonts w:hint="eastAsia" w:ascii="黑体" w:hAnsi="黑体" w:eastAsia="黑体" w:cs="黑体"/>
          <w:color w:val="auto"/>
          <w:sz w:val="21"/>
          <w:szCs w:val="21"/>
          <w:highlight w:val="none"/>
        </w:rPr>
        <w:t xml:space="preserve">    </w:t>
      </w:r>
    </w:p>
    <w:p w14:paraId="0D5592FB">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6.3.1评标委员会按照第四章“评标办法”规定的方法、评审因素、标准和程序对投标文件进行评审。第四章“评标办法”没有规定的方法、评审因素和标准，不作为评标依据。</w:t>
      </w:r>
    </w:p>
    <w:p w14:paraId="66E40D1F">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6.3.2评标完成后，评标委员会应向招标人提交书面评标报告和中标候选人名单。评标委员会推荐中标候选人的人数见投标人须知前附表。</w:t>
      </w:r>
    </w:p>
    <w:p w14:paraId="676AB3B8">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508" w:name="_Toc95223373"/>
      <w:bookmarkStart w:id="509" w:name="_Toc83301725"/>
      <w:r>
        <w:rPr>
          <w:rFonts w:hint="eastAsia" w:ascii="黑体" w:hAnsi="黑体" w:cs="黑体"/>
          <w:color w:val="auto"/>
          <w:sz w:val="21"/>
          <w:szCs w:val="21"/>
          <w:highlight w:val="none"/>
        </w:rPr>
        <w:t>7. 合同授予</w:t>
      </w:r>
      <w:bookmarkEnd w:id="497"/>
      <w:bookmarkEnd w:id="498"/>
      <w:bookmarkEnd w:id="499"/>
      <w:bookmarkEnd w:id="500"/>
      <w:bookmarkEnd w:id="501"/>
      <w:bookmarkEnd w:id="502"/>
      <w:bookmarkEnd w:id="503"/>
      <w:bookmarkEnd w:id="504"/>
      <w:bookmarkEnd w:id="505"/>
      <w:bookmarkEnd w:id="506"/>
      <w:bookmarkEnd w:id="507"/>
      <w:bookmarkEnd w:id="508"/>
      <w:bookmarkEnd w:id="509"/>
    </w:p>
    <w:p w14:paraId="3CDEA676">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510" w:name="_Toc324404852"/>
      <w:bookmarkStart w:id="511" w:name="_Toc15058890"/>
      <w:bookmarkStart w:id="512" w:name="_Toc296602457"/>
      <w:bookmarkStart w:id="513" w:name="_Toc506107305"/>
      <w:bookmarkStart w:id="514" w:name="_Toc83301726"/>
      <w:bookmarkStart w:id="515" w:name="_Toc95223374"/>
      <w:bookmarkStart w:id="516" w:name="_Toc60061472"/>
      <w:r>
        <w:rPr>
          <w:rFonts w:hint="eastAsia" w:ascii="黑体" w:hAnsi="黑体" w:eastAsia="黑体" w:cs="黑体"/>
          <w:color w:val="auto"/>
          <w:sz w:val="21"/>
          <w:szCs w:val="21"/>
          <w:highlight w:val="none"/>
        </w:rPr>
        <w:t>7.1 中标候选人公示</w:t>
      </w:r>
      <w:bookmarkEnd w:id="510"/>
      <w:bookmarkEnd w:id="511"/>
      <w:bookmarkEnd w:id="512"/>
      <w:bookmarkEnd w:id="513"/>
      <w:bookmarkEnd w:id="514"/>
      <w:bookmarkEnd w:id="515"/>
      <w:bookmarkEnd w:id="516"/>
    </w:p>
    <w:p w14:paraId="3EC6858D">
      <w:pPr>
        <w:adjustRightInd w:val="0"/>
        <w:snapToGrid w:val="0"/>
        <w:spacing w:line="560" w:lineRule="exact"/>
        <w:ind w:firstLine="420" w:firstLineChars="200"/>
        <w:rPr>
          <w:rFonts w:hint="eastAsia" w:ascii="宋体" w:hAnsi="宋体" w:cs="宋体"/>
          <w:color w:val="auto"/>
          <w:szCs w:val="21"/>
          <w:highlight w:val="none"/>
        </w:rPr>
      </w:pPr>
      <w:bookmarkStart w:id="517" w:name="_Toc60061473"/>
      <w:bookmarkStart w:id="518" w:name="_Toc246996212"/>
      <w:bookmarkStart w:id="519" w:name="_Toc247085726"/>
      <w:bookmarkStart w:id="520" w:name="_Toc152045568"/>
      <w:bookmarkStart w:id="521" w:name="_Toc179632586"/>
      <w:bookmarkStart w:id="522" w:name="_Toc296602458"/>
      <w:bookmarkStart w:id="523" w:name="_Toc144974536"/>
      <w:bookmarkStart w:id="524" w:name="_Toc152042344"/>
      <w:bookmarkStart w:id="525" w:name="_Toc246996955"/>
      <w:bookmarkStart w:id="526" w:name="_Toc324404853"/>
      <w:r>
        <w:rPr>
          <w:rFonts w:hint="eastAsia" w:ascii="宋体" w:hAnsi="宋体" w:cs="宋体"/>
          <w:color w:val="auto"/>
          <w:szCs w:val="21"/>
          <w:highlight w:val="none"/>
        </w:rPr>
        <w:t>招标人在收到评标报告之日起3日内，按照投标人须知前附表规定的公示媒介和期限依法公示。中标候选人公示期不得少于3日。</w:t>
      </w:r>
    </w:p>
    <w:p w14:paraId="5A0EA1BC">
      <w:pPr>
        <w:adjustRightInd w:val="0"/>
        <w:snapToGrid w:val="0"/>
        <w:spacing w:line="560" w:lineRule="exact"/>
        <w:ind w:firstLine="422" w:firstLineChars="200"/>
        <w:rPr>
          <w:rFonts w:hint="eastAsia" w:ascii="黑体" w:hAnsi="黑体" w:eastAsia="黑体" w:cs="黑体"/>
          <w:bCs/>
          <w:color w:val="auto"/>
          <w:kern w:val="0"/>
          <w:szCs w:val="21"/>
          <w:highlight w:val="none"/>
        </w:rPr>
      </w:pPr>
      <w:r>
        <w:rPr>
          <w:rFonts w:hint="eastAsia" w:ascii="黑体" w:hAnsi="黑体" w:eastAsia="黑体" w:cs="黑体"/>
          <w:b/>
          <w:bCs/>
          <w:color w:val="auto"/>
          <w:kern w:val="0"/>
          <w:szCs w:val="21"/>
          <w:highlight w:val="none"/>
        </w:rPr>
        <w:t>7.2 评标结果异议</w:t>
      </w:r>
    </w:p>
    <w:p w14:paraId="5CD2697F">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投标人或其他利害关系人对评标结果有异议的，应在中标候选人公示期内提出。招标人将在收到异议之日起3日内作出答复；作出答复前，将暂停招标投标活动。</w:t>
      </w:r>
    </w:p>
    <w:p w14:paraId="3B275B5E">
      <w:pPr>
        <w:adjustRightInd w:val="0"/>
        <w:snapToGrid w:val="0"/>
        <w:spacing w:line="560" w:lineRule="exact"/>
        <w:ind w:firstLine="422" w:firstLineChars="200"/>
        <w:rPr>
          <w:rFonts w:hint="eastAsia" w:ascii="黑体" w:hAnsi="黑体" w:eastAsia="黑体" w:cs="黑体"/>
          <w:b/>
          <w:bCs/>
          <w:color w:val="auto"/>
          <w:kern w:val="0"/>
          <w:szCs w:val="21"/>
          <w:highlight w:val="none"/>
        </w:rPr>
      </w:pPr>
      <w:r>
        <w:rPr>
          <w:rFonts w:hint="eastAsia" w:ascii="黑体" w:hAnsi="黑体" w:eastAsia="黑体" w:cs="黑体"/>
          <w:b/>
          <w:bCs/>
          <w:color w:val="auto"/>
          <w:kern w:val="0"/>
          <w:szCs w:val="21"/>
          <w:highlight w:val="none"/>
        </w:rPr>
        <w:t>7.3 中标候选人履约能力审查</w:t>
      </w:r>
    </w:p>
    <w:p w14:paraId="6369A7CE">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p w14:paraId="2070EC99">
      <w:pPr>
        <w:adjustRightInd w:val="0"/>
        <w:snapToGrid w:val="0"/>
        <w:spacing w:line="560" w:lineRule="exact"/>
        <w:ind w:firstLine="422" w:firstLineChars="200"/>
        <w:rPr>
          <w:rFonts w:hint="eastAsia" w:ascii="黑体" w:hAnsi="黑体" w:eastAsia="黑体" w:cs="黑体"/>
          <w:b/>
          <w:bCs/>
          <w:color w:val="auto"/>
          <w:kern w:val="0"/>
          <w:szCs w:val="21"/>
          <w:highlight w:val="none"/>
        </w:rPr>
      </w:pPr>
      <w:r>
        <w:rPr>
          <w:rFonts w:hint="eastAsia" w:ascii="黑体" w:hAnsi="黑体" w:eastAsia="黑体" w:cs="黑体"/>
          <w:b/>
          <w:bCs/>
          <w:color w:val="auto"/>
          <w:kern w:val="0"/>
          <w:szCs w:val="21"/>
          <w:highlight w:val="none"/>
        </w:rPr>
        <w:t>7.4 业绩奖项公示</w:t>
      </w:r>
      <w:bookmarkEnd w:id="517"/>
    </w:p>
    <w:p w14:paraId="5D122ECB">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招标人对中标候选人的得分业绩和奖项进行公示。</w:t>
      </w:r>
    </w:p>
    <w:p w14:paraId="69883523">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527" w:name="_Toc95223375"/>
      <w:bookmarkStart w:id="528" w:name="_Toc83301727"/>
      <w:bookmarkStart w:id="529" w:name="_Toc506107306"/>
      <w:bookmarkStart w:id="530" w:name="_Toc15058891"/>
      <w:bookmarkStart w:id="531" w:name="_Toc60061474"/>
      <w:r>
        <w:rPr>
          <w:rFonts w:hint="eastAsia" w:ascii="黑体" w:hAnsi="黑体" w:eastAsia="黑体" w:cs="黑体"/>
          <w:color w:val="auto"/>
          <w:sz w:val="21"/>
          <w:szCs w:val="21"/>
          <w:highlight w:val="none"/>
        </w:rPr>
        <w:t>7.5 定标</w:t>
      </w:r>
      <w:bookmarkEnd w:id="527"/>
      <w:bookmarkEnd w:id="528"/>
    </w:p>
    <w:p w14:paraId="42DDAC41">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7.5.1招标人应当自收到评标报告之日起5个工作日内召开定标会议（如因招标文件约定或异议或投诉或其他特殊原因，定标会议时间可以适当延期，但不得超过投标有效期。）。定标会议应当在公共资源交易中心召开</w:t>
      </w:r>
      <w:r>
        <w:rPr>
          <w:rFonts w:hint="eastAsia" w:ascii="宋体" w:hAnsi="宋体" w:cs="宋体"/>
          <w:color w:val="auto"/>
          <w:szCs w:val="21"/>
          <w:highlight w:val="none"/>
        </w:rPr>
        <w:t>。</w:t>
      </w:r>
    </w:p>
    <w:p w14:paraId="28952534">
      <w:pPr>
        <w:adjustRightInd w:val="0"/>
        <w:snapToGrid w:val="0"/>
        <w:spacing w:line="560" w:lineRule="exact"/>
        <w:ind w:firstLine="420" w:firstLineChars="20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7.5.2定标委员会应当按照招标文件约定的定标方式客观、公正定标，确定中标人。具体定标方法详见投标人须知前附表。</w:t>
      </w:r>
    </w:p>
    <w:p w14:paraId="6D618D6E">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 xml:space="preserve"> </w:t>
      </w:r>
      <w:bookmarkStart w:id="532" w:name="_Toc83301728"/>
      <w:bookmarkStart w:id="533" w:name="_Toc95223376"/>
      <w:r>
        <w:rPr>
          <w:rFonts w:hint="eastAsia" w:ascii="黑体" w:hAnsi="黑体" w:eastAsia="黑体" w:cs="黑体"/>
          <w:color w:val="auto"/>
          <w:sz w:val="21"/>
          <w:szCs w:val="21"/>
          <w:highlight w:val="none"/>
        </w:rPr>
        <w:t>7.6 中标通知</w:t>
      </w:r>
      <w:bookmarkEnd w:id="518"/>
      <w:bookmarkEnd w:id="519"/>
      <w:bookmarkEnd w:id="520"/>
      <w:bookmarkEnd w:id="521"/>
      <w:bookmarkEnd w:id="522"/>
      <w:bookmarkEnd w:id="523"/>
      <w:bookmarkEnd w:id="524"/>
      <w:bookmarkEnd w:id="525"/>
      <w:bookmarkEnd w:id="526"/>
      <w:bookmarkEnd w:id="529"/>
      <w:bookmarkEnd w:id="530"/>
      <w:bookmarkEnd w:id="531"/>
      <w:bookmarkEnd w:id="532"/>
      <w:bookmarkEnd w:id="533"/>
    </w:p>
    <w:p w14:paraId="7E011691">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在本招标文件规定的投标有效期内，招标人以数据电文向中标人发出中标通知书，同时将中标结果通知未中标的投标人。</w:t>
      </w:r>
    </w:p>
    <w:p w14:paraId="039C28BA">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534" w:name="_Toc95223377"/>
      <w:r>
        <w:rPr>
          <w:rFonts w:hint="eastAsia" w:ascii="黑体" w:hAnsi="黑体" w:eastAsia="黑体" w:cs="黑体"/>
          <w:color w:val="auto"/>
          <w:sz w:val="21"/>
          <w:szCs w:val="21"/>
          <w:highlight w:val="none"/>
        </w:rPr>
        <w:t>7.7 中标结果公示</w:t>
      </w:r>
      <w:bookmarkEnd w:id="534"/>
    </w:p>
    <w:p w14:paraId="4FDFF244">
      <w:pPr>
        <w:adjustRightInd w:val="0"/>
        <w:snapToGrid w:val="0"/>
        <w:spacing w:line="600" w:lineRule="exact"/>
        <w:ind w:firstLine="420" w:firstLineChars="200"/>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招标人在确定中标人之日起3日内，按照投标人须知前附表规定的公示媒介和期限依法公示中标结果。</w:t>
      </w:r>
    </w:p>
    <w:p w14:paraId="13A2EFFB">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535" w:name="_Toc144974537"/>
      <w:bookmarkStart w:id="536" w:name="_Toc179632587"/>
      <w:bookmarkStart w:id="537" w:name="_Toc60061476"/>
      <w:bookmarkStart w:id="538" w:name="_Toc506107307"/>
      <w:bookmarkStart w:id="539" w:name="_Toc95223378"/>
      <w:bookmarkStart w:id="540" w:name="_Toc246996213"/>
      <w:bookmarkStart w:id="541" w:name="_Toc246996956"/>
      <w:bookmarkStart w:id="542" w:name="_Toc83301730"/>
      <w:bookmarkStart w:id="543" w:name="_Toc247085727"/>
      <w:bookmarkStart w:id="544" w:name="_Toc324404854"/>
      <w:bookmarkStart w:id="545" w:name="_Toc296602459"/>
      <w:bookmarkStart w:id="546" w:name="_Toc152042345"/>
      <w:bookmarkStart w:id="547" w:name="_Toc15058892"/>
      <w:bookmarkStart w:id="548" w:name="_Toc152045569"/>
      <w:r>
        <w:rPr>
          <w:rFonts w:hint="eastAsia" w:ascii="黑体" w:hAnsi="黑体" w:eastAsia="黑体" w:cs="黑体"/>
          <w:color w:val="auto"/>
          <w:sz w:val="21"/>
          <w:szCs w:val="21"/>
          <w:highlight w:val="none"/>
        </w:rPr>
        <w:t>7.8 履约担保</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5DCCE759">
      <w:pPr>
        <w:adjustRightInd w:val="0"/>
        <w:snapToGrid w:val="0"/>
        <w:spacing w:line="560" w:lineRule="exact"/>
        <w:ind w:firstLine="420" w:firstLineChars="200"/>
        <w:rPr>
          <w:rFonts w:hint="eastAsia" w:ascii="宋体" w:hAnsi="宋体" w:cs="宋体"/>
          <w:b/>
          <w:color w:val="000000"/>
          <w:szCs w:val="21"/>
        </w:rPr>
      </w:pPr>
      <w:bookmarkStart w:id="549" w:name="_Toc296602460"/>
      <w:bookmarkStart w:id="550" w:name="_Toc144974538"/>
      <w:bookmarkStart w:id="551" w:name="_Toc506107308"/>
      <w:bookmarkStart w:id="552" w:name="_Toc246996214"/>
      <w:bookmarkStart w:id="553" w:name="_Toc95223379"/>
      <w:bookmarkStart w:id="554" w:name="_Toc83301731"/>
      <w:bookmarkStart w:id="555" w:name="_Toc247085728"/>
      <w:bookmarkStart w:id="556" w:name="_Toc246996957"/>
      <w:bookmarkStart w:id="557" w:name="_Toc324404855"/>
      <w:bookmarkStart w:id="558" w:name="_Toc152042346"/>
      <w:bookmarkStart w:id="559" w:name="_Toc152045570"/>
      <w:bookmarkStart w:id="560" w:name="_Toc15058893"/>
      <w:bookmarkStart w:id="561" w:name="_Toc60061477"/>
      <w:bookmarkStart w:id="562" w:name="_Toc179632588"/>
      <w:r>
        <w:rPr>
          <w:rFonts w:hint="eastAsia" w:ascii="宋体" w:hAnsi="宋体" w:cs="宋体"/>
          <w:color w:val="000000"/>
          <w:szCs w:val="21"/>
        </w:rPr>
        <w:t>7.8.1在签订合同前，中标人应按投标人须知前附表规定的担保形式和招标文件第五章“合同条款及格式”规定的或者事先经过招标人书面认可的履约担保格式向招标人提交履约担保。</w:t>
      </w:r>
      <w:r>
        <w:rPr>
          <w:rFonts w:hint="eastAsia"/>
          <w:color w:val="000000"/>
        </w:rPr>
        <w:t>联合体中标的，其履约担保应符合投标人须知前附表规定的金额、担保形式和招标文件第五章“合同条款及格式”规定的履约担保格式要求。</w:t>
      </w:r>
    </w:p>
    <w:p w14:paraId="14C3DA2C">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7.8.2 中标人不能按本章第7.8.1项要求提交履约担保的，视为放弃中标，其投标保证金不予退还，给招标人造成的损失超过投标保证金数额的，中标人还应当对超过部分予以赔偿。</w:t>
      </w:r>
    </w:p>
    <w:p w14:paraId="0AA385D9">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7.9 签订合同</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5D2FC463">
      <w:pPr>
        <w:adjustRightInd w:val="0"/>
        <w:snapToGrid w:val="0"/>
        <w:spacing w:line="56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7.9.1本招标工程的施工合同将授予按本须知第7.6款规定所确定的中标人。</w:t>
      </w:r>
    </w:p>
    <w:p w14:paraId="2D4D0CC1">
      <w:pPr>
        <w:adjustRightInd w:val="0"/>
        <w:snapToGrid w:val="0"/>
        <w:spacing w:line="560" w:lineRule="exact"/>
        <w:ind w:firstLine="420" w:firstLineChars="200"/>
        <w:rPr>
          <w:rFonts w:hint="eastAsia" w:ascii="宋体" w:hAnsi="宋体" w:cs="宋体"/>
          <w:bCs/>
          <w:color w:val="auto"/>
          <w:szCs w:val="21"/>
          <w:highlight w:val="none"/>
        </w:rPr>
      </w:pPr>
      <w:r>
        <w:rPr>
          <w:rFonts w:hint="eastAsia" w:ascii="宋体" w:hAnsi="宋体" w:cs="宋体"/>
          <w:color w:val="000000"/>
          <w:szCs w:val="21"/>
        </w:rPr>
        <w:t>投标人所派出项目经理（建造师）须不得有在其他尚未完工（以竣工、交工、完工验收报告等手续为准）项目或已中标项目（以发放中标通知书为准）中担任项目经理（建造师）情形。如有，项目在滁州市区域内的，中标无效，记入不良行为记录；项目在滁州市区域外的，须在中标候选人公示期第一日起开始计算7日内，提供经行政主管部门备案的变更证明材料，否则视为弄虚作假材料骗取中标，中标无效，按有关规定进行处理</w:t>
      </w:r>
      <w:r>
        <w:rPr>
          <w:rFonts w:hint="eastAsia" w:ascii="宋体" w:hAnsi="宋体" w:cs="宋体"/>
          <w:bCs/>
          <w:color w:val="000000"/>
          <w:szCs w:val="21"/>
        </w:rPr>
        <w:t>。</w:t>
      </w:r>
    </w:p>
    <w:p w14:paraId="3AEA204C">
      <w:pPr>
        <w:adjustRightInd w:val="0"/>
        <w:snapToGrid w:val="0"/>
        <w:spacing w:line="560" w:lineRule="exact"/>
        <w:ind w:firstLine="420" w:firstLineChars="200"/>
        <w:rPr>
          <w:rFonts w:hint="eastAsia" w:ascii="宋体" w:hAnsi="宋体" w:cs="宋体"/>
          <w:bCs/>
          <w:color w:val="000000"/>
          <w:szCs w:val="21"/>
        </w:rPr>
      </w:pPr>
      <w:bookmarkStart w:id="563" w:name="_Toc324404856"/>
      <w:r>
        <w:rPr>
          <w:rFonts w:hint="eastAsia" w:ascii="宋体" w:hAnsi="宋体" w:cs="宋体"/>
          <w:bCs/>
          <w:color w:val="000000"/>
          <w:szCs w:val="21"/>
        </w:rPr>
        <w:t>7.9.2招标人和中标人应当自中标通知书发出之日起30天内，根据招标文件和中标人的投标文件订立书面合同。中标人无正当理由拒签合同的，在签订合同时向招标人提出附加条件，或不按照招标文件要求提交履约保证金的，招标人取消其中标资格，其投标保证金不予退还；给招标人造成的损失超过投标保证金数额的，中标人还应当对超过部分予以赔偿。</w:t>
      </w:r>
    </w:p>
    <w:p w14:paraId="38B9C038">
      <w:pPr>
        <w:adjustRightInd w:val="0"/>
        <w:snapToGrid w:val="0"/>
        <w:spacing w:line="560" w:lineRule="exact"/>
        <w:ind w:firstLine="420" w:firstLineChars="200"/>
        <w:rPr>
          <w:rFonts w:hint="eastAsia" w:ascii="宋体" w:hAnsi="宋体" w:cs="宋体"/>
          <w:bCs/>
          <w:color w:val="000000"/>
          <w:szCs w:val="21"/>
        </w:rPr>
      </w:pPr>
      <w:r>
        <w:rPr>
          <w:rFonts w:hint="eastAsia" w:ascii="宋体" w:hAnsi="宋体" w:cs="宋体"/>
          <w:bCs/>
          <w:color w:val="000000"/>
          <w:szCs w:val="21"/>
        </w:rPr>
        <w:t>7.9.3 发出中标通知书后，招标人无正当理由拒签合同的，招标人向中标人退还投标保证金；给中标人造成损失的，还应当赔偿损失。</w:t>
      </w:r>
    </w:p>
    <w:p w14:paraId="22185517">
      <w:pPr>
        <w:adjustRightInd w:val="0"/>
        <w:snapToGrid w:val="0"/>
        <w:spacing w:line="560" w:lineRule="exact"/>
        <w:ind w:firstLine="420" w:firstLineChars="200"/>
        <w:rPr>
          <w:rFonts w:hint="eastAsia" w:ascii="宋体" w:hAnsi="宋体" w:cs="宋体"/>
          <w:bCs/>
          <w:color w:val="000000"/>
          <w:szCs w:val="21"/>
        </w:rPr>
      </w:pPr>
      <w:r>
        <w:rPr>
          <w:rFonts w:hint="eastAsia" w:ascii="宋体" w:hAnsi="宋体" w:cs="宋体"/>
          <w:bCs/>
          <w:color w:val="000000"/>
          <w:szCs w:val="21"/>
        </w:rPr>
        <w:t>7.9.4  除法定情形外，建设工程合同履行期间项目经理（建造师）不得更换。项目经理（建造师）确需变更的，应根据招标文件要求，变更后的项目经理（建造师）不低于投标文件中拟派项目经理（建造师）的资格条件。</w:t>
      </w:r>
    </w:p>
    <w:p w14:paraId="2B856096">
      <w:pPr>
        <w:adjustRightInd w:val="0"/>
        <w:snapToGrid w:val="0"/>
        <w:spacing w:line="600" w:lineRule="exact"/>
        <w:ind w:firstLine="420" w:firstLineChars="200"/>
        <w:rPr>
          <w:rFonts w:hint="eastAsia" w:ascii="宋体" w:hAnsi="宋体" w:cs="宋体"/>
          <w:bCs/>
          <w:snapToGrid w:val="0"/>
          <w:color w:val="auto"/>
          <w:kern w:val="0"/>
          <w:szCs w:val="21"/>
          <w:highlight w:val="none"/>
        </w:rPr>
      </w:pPr>
      <w:r>
        <w:rPr>
          <w:rFonts w:hint="eastAsia" w:ascii="宋体" w:hAnsi="宋体" w:cs="宋体"/>
          <w:color w:val="000000"/>
        </w:rPr>
        <w:t xml:space="preserve">7.9.5 </w:t>
      </w:r>
      <w:r>
        <w:rPr>
          <w:rFonts w:hint="eastAsia" w:ascii="宋体" w:hAnsi="宋体" w:cs="宋体"/>
          <w:bCs/>
          <w:snapToGrid w:val="0"/>
          <w:color w:val="000000"/>
          <w:kern w:val="0"/>
          <w:szCs w:val="21"/>
        </w:rPr>
        <w:t>联合体中标的，联合体各方应当共同与招标人签订合同，就中标项目向招标人承担连带责任。</w:t>
      </w:r>
    </w:p>
    <w:p w14:paraId="6B7AEA0D">
      <w:pPr>
        <w:pStyle w:val="2"/>
        <w:adjustRightInd w:val="0"/>
        <w:snapToGrid w:val="0"/>
        <w:spacing w:before="0" w:after="0" w:line="560" w:lineRule="exact"/>
        <w:ind w:firstLine="422" w:firstLineChars="200"/>
        <w:rPr>
          <w:rFonts w:hint="eastAsia"/>
          <w:color w:val="auto"/>
          <w:highlight w:val="none"/>
        </w:rPr>
      </w:pPr>
      <w:bookmarkStart w:id="564" w:name="_Toc152042347"/>
      <w:bookmarkStart w:id="565" w:name="_Toc152045571"/>
      <w:bookmarkStart w:id="566" w:name="_Toc144974539"/>
      <w:bookmarkStart w:id="567" w:name="_Toc179632589"/>
      <w:bookmarkStart w:id="568" w:name="_Toc95223381"/>
      <w:bookmarkStart w:id="569" w:name="_Toc60061478"/>
      <w:bookmarkStart w:id="570" w:name="_Toc83301732"/>
      <w:r>
        <w:rPr>
          <w:rFonts w:hint="eastAsia" w:ascii="黑体" w:hAnsi="黑体" w:cs="黑体"/>
          <w:color w:val="auto"/>
          <w:sz w:val="21"/>
          <w:szCs w:val="21"/>
          <w:highlight w:val="none"/>
        </w:rPr>
        <w:t>8.重新招标和不再招标</w:t>
      </w:r>
      <w:bookmarkEnd w:id="564"/>
      <w:bookmarkEnd w:id="565"/>
      <w:bookmarkEnd w:id="566"/>
      <w:bookmarkEnd w:id="567"/>
      <w:bookmarkEnd w:id="568"/>
      <w:bookmarkEnd w:id="569"/>
      <w:bookmarkEnd w:id="570"/>
    </w:p>
    <w:p w14:paraId="5990B0CE">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571" w:name="_Toc95223382"/>
      <w:bookmarkStart w:id="572" w:name="_Toc179632590"/>
      <w:bookmarkStart w:id="573" w:name="_Toc83301733"/>
      <w:bookmarkStart w:id="574" w:name="_Toc152042348"/>
      <w:bookmarkStart w:id="575" w:name="_Toc152045572"/>
      <w:bookmarkStart w:id="576" w:name="_Toc144974540"/>
      <w:bookmarkStart w:id="577" w:name="_Toc60061479"/>
      <w:r>
        <w:rPr>
          <w:rFonts w:hint="eastAsia" w:ascii="黑体" w:hAnsi="黑体" w:eastAsia="黑体" w:cs="黑体"/>
          <w:color w:val="auto"/>
          <w:sz w:val="21"/>
          <w:szCs w:val="21"/>
          <w:highlight w:val="none"/>
        </w:rPr>
        <w:t>8.1重新招标</w:t>
      </w:r>
      <w:bookmarkEnd w:id="571"/>
      <w:bookmarkEnd w:id="572"/>
      <w:bookmarkEnd w:id="573"/>
      <w:bookmarkEnd w:id="574"/>
      <w:bookmarkEnd w:id="575"/>
      <w:bookmarkEnd w:id="576"/>
      <w:bookmarkEnd w:id="577"/>
    </w:p>
    <w:p w14:paraId="321717DF">
      <w:pPr>
        <w:adjustRightInd w:val="0"/>
        <w:snapToGrid w:val="0"/>
        <w:spacing w:line="600" w:lineRule="exact"/>
        <w:ind w:firstLine="359" w:firstLineChars="171"/>
        <w:rPr>
          <w:rFonts w:hint="eastAsia" w:ascii="宋体" w:hAnsi="宋体" w:cs="宋体"/>
          <w:color w:val="auto"/>
          <w:highlight w:val="none"/>
        </w:rPr>
      </w:pPr>
      <w:r>
        <w:rPr>
          <w:rFonts w:hint="eastAsia" w:ascii="宋体" w:hAnsi="宋体" w:cs="宋体"/>
          <w:color w:val="auto"/>
          <w:highlight w:val="none"/>
        </w:rPr>
        <w:t>依法必须招标的项目有下列情形之一的，招标人将重新招标：</w:t>
      </w:r>
    </w:p>
    <w:p w14:paraId="3A57A34B">
      <w:pPr>
        <w:adjustRightInd w:val="0"/>
        <w:snapToGrid w:val="0"/>
        <w:spacing w:line="600" w:lineRule="exact"/>
        <w:ind w:firstLine="359" w:firstLineChars="171"/>
        <w:rPr>
          <w:rFonts w:hint="eastAsia" w:ascii="宋体" w:hAnsi="宋体" w:cs="宋体"/>
          <w:color w:val="auto"/>
          <w:highlight w:val="none"/>
        </w:rPr>
      </w:pPr>
      <w:r>
        <w:rPr>
          <w:rFonts w:hint="eastAsia" w:ascii="宋体" w:hAnsi="宋体" w:cs="宋体"/>
          <w:color w:val="auto"/>
          <w:highlight w:val="none"/>
        </w:rPr>
        <w:t>（1）投标截止时间止，投标人少于3个的；</w:t>
      </w:r>
    </w:p>
    <w:p w14:paraId="29C4E71E">
      <w:pPr>
        <w:adjustRightInd w:val="0"/>
        <w:snapToGrid w:val="0"/>
        <w:spacing w:line="600" w:lineRule="exact"/>
        <w:ind w:firstLine="359" w:firstLineChars="171"/>
        <w:rPr>
          <w:rFonts w:hint="eastAsia" w:ascii="宋体" w:hAnsi="宋体" w:cs="宋体"/>
          <w:color w:val="auto"/>
          <w:highlight w:val="none"/>
        </w:rPr>
      </w:pPr>
      <w:r>
        <w:rPr>
          <w:rFonts w:hint="eastAsia" w:ascii="宋体" w:hAnsi="宋体" w:cs="宋体"/>
          <w:color w:val="auto"/>
          <w:highlight w:val="none"/>
        </w:rPr>
        <w:t>（2）经评标委员会评审后否决所有投标的；</w:t>
      </w:r>
    </w:p>
    <w:p w14:paraId="5B903681">
      <w:pPr>
        <w:adjustRightInd w:val="0"/>
        <w:snapToGrid w:val="0"/>
        <w:spacing w:line="600" w:lineRule="exact"/>
        <w:ind w:firstLine="359" w:firstLineChars="171"/>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（3）中标候选人均未与招标人签订合同的；</w:t>
      </w:r>
    </w:p>
    <w:p w14:paraId="21B36112">
      <w:pPr>
        <w:adjustRightInd w:val="0"/>
        <w:snapToGrid w:val="0"/>
        <w:spacing w:line="600" w:lineRule="exact"/>
        <w:ind w:firstLine="359" w:firstLineChars="171"/>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（4）</w:t>
      </w:r>
      <w:r>
        <w:rPr>
          <w:rFonts w:hint="eastAsia" w:ascii="宋体" w:hAnsi="宋体" w:cs="宋体"/>
          <w:bCs/>
          <w:snapToGrid w:val="0"/>
          <w:color w:val="auto"/>
          <w:kern w:val="0"/>
          <w:szCs w:val="21"/>
          <w:highlight w:val="none"/>
          <w:lang w:val="en-US" w:eastAsia="zh-CN"/>
        </w:rPr>
        <w:t>招标文件及法律法规</w:t>
      </w:r>
      <w:r>
        <w:rPr>
          <w:rFonts w:hint="eastAsia" w:ascii="宋体" w:hAnsi="宋体" w:cs="宋体"/>
          <w:bCs/>
          <w:snapToGrid w:val="0"/>
          <w:color w:val="auto"/>
          <w:kern w:val="0"/>
          <w:szCs w:val="21"/>
          <w:highlight w:val="none"/>
        </w:rPr>
        <w:t>规定的其他情形。</w:t>
      </w:r>
    </w:p>
    <w:p w14:paraId="482371A8">
      <w:pPr>
        <w:pStyle w:val="4"/>
        <w:adjustRightInd w:val="0"/>
        <w:snapToGrid w:val="0"/>
        <w:spacing w:before="0" w:after="0" w:line="560" w:lineRule="exact"/>
        <w:ind w:firstLine="422" w:firstLineChars="200"/>
        <w:rPr>
          <w:rFonts w:hint="eastAsia"/>
          <w:color w:val="auto"/>
          <w:highlight w:val="none"/>
        </w:rPr>
      </w:pPr>
      <w:bookmarkStart w:id="578" w:name="_Toc152042349"/>
      <w:bookmarkStart w:id="579" w:name="_Toc95223383"/>
      <w:bookmarkStart w:id="580" w:name="_Toc144974541"/>
      <w:bookmarkStart w:id="581" w:name="_Toc60061480"/>
      <w:bookmarkStart w:id="582" w:name="_Toc152045573"/>
      <w:bookmarkStart w:id="583" w:name="_Toc83301734"/>
      <w:bookmarkStart w:id="584" w:name="_Toc179632591"/>
      <w:r>
        <w:rPr>
          <w:rFonts w:hint="eastAsia" w:ascii="黑体" w:hAnsi="黑体" w:eastAsia="黑体" w:cs="黑体"/>
          <w:color w:val="auto"/>
          <w:sz w:val="21"/>
          <w:szCs w:val="21"/>
          <w:highlight w:val="none"/>
        </w:rPr>
        <w:t>8.2 不再招标</w:t>
      </w:r>
      <w:bookmarkEnd w:id="578"/>
      <w:bookmarkEnd w:id="579"/>
      <w:bookmarkEnd w:id="580"/>
      <w:bookmarkEnd w:id="581"/>
      <w:bookmarkEnd w:id="582"/>
      <w:bookmarkEnd w:id="583"/>
      <w:bookmarkEnd w:id="584"/>
    </w:p>
    <w:p w14:paraId="0463A615">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重新招标后投标人仍少于3个或者所有投标被否决的，属于必须审批或核准的工程建设项目，经原审批或核准部门批准后不再进行招标。</w:t>
      </w:r>
    </w:p>
    <w:p w14:paraId="4E2FF407">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585" w:name="_Toc15058894"/>
      <w:bookmarkStart w:id="586" w:name="_Toc60061481"/>
      <w:bookmarkStart w:id="587" w:name="_Toc506107309"/>
      <w:bookmarkStart w:id="588" w:name="_Toc95223384"/>
      <w:bookmarkStart w:id="589" w:name="_Toc83301735"/>
      <w:r>
        <w:rPr>
          <w:rFonts w:hint="eastAsia" w:ascii="黑体" w:hAnsi="黑体" w:cs="黑体"/>
          <w:color w:val="auto"/>
          <w:sz w:val="21"/>
          <w:szCs w:val="21"/>
          <w:highlight w:val="none"/>
        </w:rPr>
        <w:t>9.纪律和监督</w:t>
      </w:r>
      <w:bookmarkEnd w:id="563"/>
      <w:bookmarkEnd w:id="585"/>
      <w:bookmarkEnd w:id="586"/>
      <w:bookmarkEnd w:id="587"/>
      <w:bookmarkEnd w:id="588"/>
      <w:bookmarkEnd w:id="589"/>
    </w:p>
    <w:p w14:paraId="448A1478">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590" w:name="_Toc296602462"/>
      <w:bookmarkStart w:id="591" w:name="_Toc296590983"/>
      <w:bookmarkStart w:id="592" w:name="_Toc15058895"/>
      <w:bookmarkStart w:id="593" w:name="_Toc152042351"/>
      <w:bookmarkStart w:id="594" w:name="_Toc179632593"/>
      <w:bookmarkStart w:id="595" w:name="_Toc83301736"/>
      <w:bookmarkStart w:id="596" w:name="_Toc506107310"/>
      <w:bookmarkStart w:id="597" w:name="_Toc246996219"/>
      <w:bookmarkStart w:id="598" w:name="_Toc144974543"/>
      <w:bookmarkStart w:id="599" w:name="_Toc246996962"/>
      <w:bookmarkStart w:id="600" w:name="_Toc95223385"/>
      <w:bookmarkStart w:id="601" w:name="_Toc60061482"/>
      <w:bookmarkStart w:id="602" w:name="_Toc324404857"/>
      <w:bookmarkStart w:id="603" w:name="_Toc247085733"/>
      <w:bookmarkStart w:id="604" w:name="_Toc152045575"/>
      <w:r>
        <w:rPr>
          <w:rFonts w:hint="eastAsia" w:ascii="黑体" w:hAnsi="黑体" w:eastAsia="黑体" w:cs="黑体"/>
          <w:color w:val="auto"/>
          <w:sz w:val="21"/>
          <w:szCs w:val="21"/>
          <w:highlight w:val="none"/>
        </w:rPr>
        <w:t>9.1对招标人的纪律要求</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6673B3B0">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不得泄露</w:t>
      </w:r>
      <w:r>
        <w:rPr>
          <w:rFonts w:hint="eastAsia" w:ascii="宋体" w:hAnsi="宋体" w:cs="宋体"/>
          <w:color w:val="auto"/>
          <w:szCs w:val="21"/>
          <w:highlight w:val="none"/>
        </w:rPr>
        <w:t>招标投标活动中应当保密的情况和资料，不得与投标人串通损害国家利益、社会公共利益或者他人合法权益。</w:t>
      </w:r>
    </w:p>
    <w:p w14:paraId="37C8840A">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605" w:name="_Toc506107311"/>
      <w:bookmarkStart w:id="606" w:name="_Toc15058896"/>
      <w:bookmarkStart w:id="607" w:name="_Toc296602463"/>
      <w:bookmarkStart w:id="608" w:name="_Toc95223386"/>
      <w:bookmarkStart w:id="609" w:name="_Toc60061483"/>
      <w:bookmarkStart w:id="610" w:name="_Toc144974544"/>
      <w:bookmarkStart w:id="611" w:name="_Toc246996220"/>
      <w:bookmarkStart w:id="612" w:name="_Toc247085734"/>
      <w:bookmarkStart w:id="613" w:name="_Toc324404858"/>
      <w:bookmarkStart w:id="614" w:name="_Toc83301737"/>
      <w:bookmarkStart w:id="615" w:name="_Toc152042352"/>
      <w:bookmarkStart w:id="616" w:name="_Toc152045576"/>
      <w:bookmarkStart w:id="617" w:name="_Toc246996963"/>
      <w:bookmarkStart w:id="618" w:name="_Toc179632594"/>
      <w:r>
        <w:rPr>
          <w:rFonts w:hint="eastAsia" w:ascii="黑体" w:hAnsi="黑体" w:eastAsia="黑体" w:cs="黑体"/>
          <w:color w:val="auto"/>
          <w:sz w:val="21"/>
          <w:szCs w:val="21"/>
          <w:highlight w:val="none"/>
        </w:rPr>
        <w:t>9.2对投标人的纪律要求</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14:paraId="1D3FFFC4">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72E2745">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619" w:name="_Toc296602464"/>
      <w:bookmarkStart w:id="620" w:name="_Toc179632595"/>
      <w:bookmarkStart w:id="621" w:name="_Toc324404859"/>
      <w:bookmarkStart w:id="622" w:name="_Toc83301738"/>
      <w:bookmarkStart w:id="623" w:name="_Toc246996964"/>
      <w:bookmarkStart w:id="624" w:name="_Toc152045577"/>
      <w:bookmarkStart w:id="625" w:name="_Toc15058897"/>
      <w:bookmarkStart w:id="626" w:name="_Toc247085735"/>
      <w:bookmarkStart w:id="627" w:name="_Toc152042353"/>
      <w:bookmarkStart w:id="628" w:name="_Toc506107312"/>
      <w:bookmarkStart w:id="629" w:name="_Toc95223387"/>
      <w:bookmarkStart w:id="630" w:name="_Toc144974545"/>
      <w:bookmarkStart w:id="631" w:name="_Toc246996221"/>
      <w:bookmarkStart w:id="632" w:name="_Toc60061484"/>
      <w:r>
        <w:rPr>
          <w:rFonts w:hint="eastAsia" w:ascii="黑体" w:hAnsi="黑体" w:eastAsia="黑体" w:cs="黑体"/>
          <w:color w:val="auto"/>
          <w:sz w:val="21"/>
          <w:szCs w:val="21"/>
          <w:highlight w:val="none"/>
        </w:rPr>
        <w:t>9.3对评标委员会成员的纪律要求</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22E615B0">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四章“评标办法”没有规定的评审因素和标准进行评标。</w:t>
      </w:r>
    </w:p>
    <w:p w14:paraId="26981674">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633" w:name="_Toc179632596"/>
      <w:bookmarkStart w:id="634" w:name="_Toc246996965"/>
      <w:bookmarkStart w:id="635" w:name="_Toc506107313"/>
      <w:bookmarkStart w:id="636" w:name="_Toc15058898"/>
      <w:bookmarkStart w:id="637" w:name="_Toc152042354"/>
      <w:bookmarkStart w:id="638" w:name="_Toc324404860"/>
      <w:bookmarkStart w:id="639" w:name="_Toc83301739"/>
      <w:bookmarkStart w:id="640" w:name="_Toc152045578"/>
      <w:bookmarkStart w:id="641" w:name="_Toc296602465"/>
      <w:bookmarkStart w:id="642" w:name="_Toc246996222"/>
      <w:bookmarkStart w:id="643" w:name="_Toc247085736"/>
      <w:bookmarkStart w:id="644" w:name="_Toc95223388"/>
      <w:bookmarkStart w:id="645" w:name="_Toc60061485"/>
      <w:bookmarkStart w:id="646" w:name="_Toc144974546"/>
      <w:r>
        <w:rPr>
          <w:rFonts w:hint="eastAsia" w:ascii="黑体" w:hAnsi="黑体" w:eastAsia="黑体" w:cs="黑体"/>
          <w:color w:val="auto"/>
          <w:sz w:val="21"/>
          <w:szCs w:val="21"/>
          <w:highlight w:val="none"/>
        </w:rPr>
        <w:t>9.4对与评标活动有关的工作人员的纪律要求</w:t>
      </w:r>
      <w:bookmarkEnd w:id="633"/>
      <w:bookmarkEnd w:id="634"/>
      <w:bookmarkEnd w:id="635"/>
      <w:bookmarkEnd w:id="636"/>
      <w:bookmarkEnd w:id="637"/>
      <w:bookmarkEnd w:id="638"/>
      <w:bookmarkEnd w:id="639"/>
      <w:bookmarkEnd w:id="640"/>
      <w:bookmarkEnd w:id="641"/>
      <w:bookmarkEnd w:id="642"/>
      <w:bookmarkEnd w:id="643"/>
      <w:bookmarkEnd w:id="644"/>
      <w:bookmarkEnd w:id="645"/>
    </w:p>
    <w:p w14:paraId="4C5301FE">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44C54BD0">
      <w:pPr>
        <w:pStyle w:val="4"/>
        <w:adjustRightInd w:val="0"/>
        <w:snapToGrid w:val="0"/>
        <w:spacing w:before="0" w:after="0" w:line="560" w:lineRule="exact"/>
        <w:ind w:firstLine="422" w:firstLineChars="200"/>
        <w:rPr>
          <w:rFonts w:hint="eastAsia" w:ascii="黑体" w:hAnsi="黑体" w:eastAsia="黑体" w:cs="黑体"/>
          <w:color w:val="auto"/>
          <w:sz w:val="21"/>
          <w:szCs w:val="21"/>
          <w:highlight w:val="none"/>
        </w:rPr>
      </w:pPr>
      <w:bookmarkStart w:id="647" w:name="_Toc83301740"/>
      <w:bookmarkStart w:id="648" w:name="_Toc152045579"/>
      <w:bookmarkStart w:id="649" w:name="_Toc246996223"/>
      <w:bookmarkStart w:id="650" w:name="_Toc60061486"/>
      <w:bookmarkStart w:id="651" w:name="_Toc506107314"/>
      <w:bookmarkStart w:id="652" w:name="_Toc246996966"/>
      <w:bookmarkStart w:id="653" w:name="_Toc324404861"/>
      <w:bookmarkStart w:id="654" w:name="_Toc152042356"/>
      <w:bookmarkStart w:id="655" w:name="_Toc179632597"/>
      <w:bookmarkStart w:id="656" w:name="_Toc95223389"/>
      <w:bookmarkStart w:id="657" w:name="_Toc15058899"/>
      <w:bookmarkStart w:id="658" w:name="_Toc296602466"/>
      <w:bookmarkStart w:id="659" w:name="_Toc247085737"/>
      <w:r>
        <w:rPr>
          <w:rFonts w:hint="eastAsia" w:ascii="黑体" w:hAnsi="黑体" w:eastAsia="黑体" w:cs="黑体"/>
          <w:color w:val="auto"/>
          <w:sz w:val="21"/>
          <w:szCs w:val="21"/>
          <w:highlight w:val="none"/>
        </w:rPr>
        <w:t>9.5投诉</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1CD4F2A0">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和规章规定的，有权向相关行政监督部门投诉。投诉应当有明确的请求和必要的证明材料。</w:t>
      </w:r>
    </w:p>
    <w:p w14:paraId="1BBF898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9.5.2投标人和其他利害关系人对招标文件、开标和评标结果事项投诉的，应当按照投标人须知的规定先向招标人提出异议。异议答复期间不计算在第9.5.1项规定的期限内。</w:t>
      </w:r>
    </w:p>
    <w:p w14:paraId="5F5E1F61">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60" w:name="_Toc60061487"/>
      <w:bookmarkStart w:id="661" w:name="_Toc179632598"/>
      <w:bookmarkStart w:id="662" w:name="_Toc246996224"/>
      <w:bookmarkStart w:id="663" w:name="_Toc144974547"/>
      <w:bookmarkStart w:id="664" w:name="_Toc152045580"/>
      <w:bookmarkStart w:id="665" w:name="_Toc506107315"/>
      <w:bookmarkStart w:id="666" w:name="_Toc246996967"/>
      <w:bookmarkStart w:id="667" w:name="_Toc324404862"/>
      <w:bookmarkStart w:id="668" w:name="_Toc15058900"/>
      <w:bookmarkStart w:id="669" w:name="_Toc83301741"/>
      <w:bookmarkStart w:id="670" w:name="_Toc247085738"/>
      <w:bookmarkStart w:id="671" w:name="_Toc152042357"/>
      <w:bookmarkStart w:id="672" w:name="_Toc95223390"/>
      <w:r>
        <w:rPr>
          <w:rFonts w:hint="eastAsia" w:ascii="黑体" w:hAnsi="黑体" w:cs="黑体"/>
          <w:color w:val="auto"/>
          <w:sz w:val="21"/>
          <w:szCs w:val="21"/>
          <w:highlight w:val="none"/>
        </w:rPr>
        <w:t>10.需要补充的其他内容</w:t>
      </w:r>
      <w:bookmarkEnd w:id="660"/>
      <w:bookmarkEnd w:id="661"/>
      <w:bookmarkEnd w:id="662"/>
      <w:bookmarkEnd w:id="663"/>
      <w:bookmarkEnd w:id="664"/>
      <w:bookmarkEnd w:id="665"/>
      <w:bookmarkEnd w:id="666"/>
      <w:bookmarkEnd w:id="667"/>
      <w:bookmarkEnd w:id="668"/>
      <w:bookmarkEnd w:id="669"/>
      <w:bookmarkEnd w:id="670"/>
      <w:bookmarkEnd w:id="671"/>
      <w:bookmarkEnd w:id="672"/>
      <w:bookmarkStart w:id="673" w:name="_Toc15058901"/>
      <w:bookmarkStart w:id="674" w:name="_Toc60061488"/>
    </w:p>
    <w:p w14:paraId="453D56ED">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bookmarkEnd w:id="673"/>
      <w:bookmarkEnd w:id="674"/>
    </w:p>
    <w:p w14:paraId="42CE9289">
      <w:pPr>
        <w:rPr>
          <w:rFonts w:hint="eastAsia"/>
          <w:color w:val="auto"/>
          <w:highlight w:val="none"/>
        </w:rPr>
      </w:pPr>
      <w:bookmarkStart w:id="675" w:name="_Toc506107318"/>
      <w:bookmarkStart w:id="676" w:name="_Toc15058903"/>
      <w:bookmarkStart w:id="677" w:name="_Toc60061490"/>
      <w:bookmarkStart w:id="678" w:name="_Toc95223393"/>
      <w:bookmarkStart w:id="679" w:name="_Toc324404865"/>
      <w:bookmarkStart w:id="680" w:name="_Toc296602475"/>
    </w:p>
    <w:p w14:paraId="627407CE">
      <w:pPr>
        <w:rPr>
          <w:rFonts w:hint="eastAsia"/>
          <w:color w:val="auto"/>
          <w:highlight w:val="none"/>
        </w:rPr>
      </w:pPr>
      <w:r>
        <w:rPr>
          <w:rFonts w:hint="eastAsia"/>
          <w:color w:val="auto"/>
          <w:highlight w:val="none"/>
        </w:rPr>
        <w:br w:type="page"/>
      </w:r>
    </w:p>
    <w:p w14:paraId="757FF37C">
      <w:pPr>
        <w:pStyle w:val="3"/>
        <w:spacing w:before="0" w:after="0" w:line="240" w:lineRule="auto"/>
        <w:jc w:val="center"/>
        <w:rPr>
          <w:rFonts w:hint="eastAsia"/>
          <w:color w:val="auto"/>
          <w:highlight w:val="none"/>
        </w:rPr>
      </w:pPr>
      <w:r>
        <w:rPr>
          <w:rFonts w:hint="eastAsia"/>
          <w:color w:val="auto"/>
          <w:highlight w:val="none"/>
        </w:rPr>
        <w:t>第三章 资格审查办法</w:t>
      </w:r>
    </w:p>
    <w:p w14:paraId="61979773">
      <w:pPr>
        <w:pStyle w:val="2"/>
        <w:tabs>
          <w:tab w:val="left" w:pos="2796"/>
          <w:tab w:val="center" w:pos="4479"/>
        </w:tabs>
        <w:adjustRightInd w:val="0"/>
        <w:snapToGrid w:val="0"/>
        <w:spacing w:before="0" w:after="0" w:line="560" w:lineRule="exact"/>
        <w:jc w:val="center"/>
        <w:rPr>
          <w:rFonts w:hint="eastAsia"/>
          <w:color w:val="auto"/>
          <w:sz w:val="28"/>
          <w:szCs w:val="28"/>
          <w:highlight w:val="none"/>
        </w:rPr>
      </w:pPr>
      <w:r>
        <w:rPr>
          <w:rFonts w:hint="eastAsia"/>
          <w:color w:val="auto"/>
          <w:sz w:val="28"/>
          <w:szCs w:val="28"/>
          <w:highlight w:val="none"/>
        </w:rPr>
        <w:t>资格审查办法前附表</w:t>
      </w:r>
    </w:p>
    <w:tbl>
      <w:tblPr>
        <w:tblStyle w:val="21"/>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044"/>
        <w:gridCol w:w="1999"/>
      </w:tblGrid>
      <w:tr w14:paraId="254E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023" w:type="dxa"/>
            <w:gridSpan w:val="2"/>
            <w:noWrap w:val="0"/>
            <w:vAlign w:val="center"/>
          </w:tcPr>
          <w:p w14:paraId="702BA8E4">
            <w:pPr>
              <w:adjustRightInd w:val="0"/>
              <w:snapToGrid w:val="0"/>
              <w:spacing w:line="560" w:lineRule="exact"/>
              <w:jc w:val="center"/>
              <w:rPr>
                <w:rFonts w:hint="eastAsia" w:ascii="黑体" w:hAnsi="黑体" w:eastAsia="黑体" w:cs="宋体"/>
                <w:b/>
                <w:bCs/>
                <w:color w:val="auto"/>
                <w:szCs w:val="21"/>
                <w:highlight w:val="none"/>
              </w:rPr>
            </w:pPr>
            <w:r>
              <w:rPr>
                <w:rFonts w:hint="eastAsia" w:ascii="黑体" w:hAnsi="黑体" w:eastAsia="黑体" w:cs="宋体"/>
                <w:b/>
                <w:bCs/>
                <w:color w:val="auto"/>
                <w:szCs w:val="21"/>
                <w:highlight w:val="none"/>
              </w:rPr>
              <w:t>条款号</w:t>
            </w:r>
          </w:p>
        </w:tc>
        <w:tc>
          <w:tcPr>
            <w:tcW w:w="6044" w:type="dxa"/>
            <w:noWrap w:val="0"/>
            <w:vAlign w:val="center"/>
          </w:tcPr>
          <w:p w14:paraId="57B3EF34">
            <w:pPr>
              <w:adjustRightInd w:val="0"/>
              <w:snapToGrid w:val="0"/>
              <w:spacing w:line="560" w:lineRule="exact"/>
              <w:jc w:val="center"/>
              <w:rPr>
                <w:rFonts w:hint="eastAsia" w:ascii="黑体" w:hAnsi="黑体" w:eastAsia="黑体" w:cs="宋体"/>
                <w:b/>
                <w:bCs/>
                <w:color w:val="auto"/>
                <w:szCs w:val="21"/>
                <w:highlight w:val="none"/>
              </w:rPr>
            </w:pPr>
            <w:r>
              <w:rPr>
                <w:rFonts w:hint="eastAsia" w:ascii="黑体" w:hAnsi="黑体" w:eastAsia="黑体" w:cs="宋体"/>
                <w:b/>
                <w:bCs/>
                <w:color w:val="auto"/>
                <w:szCs w:val="21"/>
                <w:highlight w:val="none"/>
              </w:rPr>
              <w:t>审查内容</w:t>
            </w:r>
          </w:p>
        </w:tc>
        <w:tc>
          <w:tcPr>
            <w:tcW w:w="1999" w:type="dxa"/>
            <w:noWrap w:val="0"/>
            <w:vAlign w:val="center"/>
          </w:tcPr>
          <w:p w14:paraId="61774E5F">
            <w:pPr>
              <w:adjustRightInd w:val="0"/>
              <w:snapToGrid w:val="0"/>
              <w:spacing w:line="560" w:lineRule="exact"/>
              <w:jc w:val="center"/>
              <w:rPr>
                <w:rFonts w:hint="eastAsia" w:ascii="黑体" w:hAnsi="黑体" w:eastAsia="黑体" w:cs="宋体"/>
                <w:b/>
                <w:bCs/>
                <w:color w:val="auto"/>
                <w:szCs w:val="21"/>
                <w:highlight w:val="none"/>
              </w:rPr>
            </w:pPr>
            <w:r>
              <w:rPr>
                <w:rFonts w:hint="eastAsia" w:ascii="黑体" w:hAnsi="黑体" w:eastAsia="黑体" w:cs="宋体"/>
                <w:b/>
                <w:bCs/>
                <w:color w:val="auto"/>
                <w:szCs w:val="21"/>
                <w:highlight w:val="none"/>
              </w:rPr>
              <w:t>评审标准</w:t>
            </w:r>
          </w:p>
        </w:tc>
      </w:tr>
      <w:tr w14:paraId="0FC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0"/>
            <w:vAlign w:val="center"/>
          </w:tcPr>
          <w:p w14:paraId="23269D26">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58" w:type="dxa"/>
            <w:vMerge w:val="restart"/>
            <w:noWrap w:val="0"/>
            <w:vAlign w:val="center"/>
          </w:tcPr>
          <w:p w14:paraId="4A3B6695">
            <w:pPr>
              <w:adjustRightInd w:val="0"/>
              <w:snapToGrid w:val="0"/>
              <w:spacing w:line="56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审查资料</w:t>
            </w:r>
          </w:p>
        </w:tc>
        <w:tc>
          <w:tcPr>
            <w:tcW w:w="6044" w:type="dxa"/>
            <w:noWrap w:val="0"/>
            <w:vAlign w:val="top"/>
          </w:tcPr>
          <w:p w14:paraId="117C6105">
            <w:pPr>
              <w:adjustRightInd w:val="0"/>
              <w:snapToGrid w:val="0"/>
              <w:spacing w:line="560" w:lineRule="exact"/>
              <w:rPr>
                <w:rFonts w:hint="default"/>
                <w:color w:val="auto"/>
                <w:highlight w:val="none"/>
                <w:lang w:val="en-US"/>
              </w:rPr>
            </w:pPr>
            <w:r>
              <w:rPr>
                <w:rFonts w:hint="eastAsia" w:ascii="宋体" w:hAnsi="宋体" w:cs="宋体"/>
                <w:color w:val="auto"/>
                <w:szCs w:val="21"/>
                <w:highlight w:val="none"/>
              </w:rPr>
              <w:t>法</w:t>
            </w:r>
            <w:r>
              <w:rPr>
                <w:rFonts w:hint="eastAsia" w:ascii="宋体" w:hAnsi="宋体" w:eastAsia="宋体" w:cs="宋体"/>
                <w:color w:val="auto"/>
                <w:szCs w:val="21"/>
                <w:highlight w:val="none"/>
              </w:rPr>
              <w:t>定代表人身份证明和本人有效身份证</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1999" w:type="dxa"/>
            <w:vMerge w:val="restart"/>
            <w:noWrap w:val="0"/>
            <w:vAlign w:val="center"/>
          </w:tcPr>
          <w:p w14:paraId="2180D45D">
            <w:pPr>
              <w:adjustRightInd w:val="0"/>
              <w:snapToGrid w:val="0"/>
              <w:spacing w:line="5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检验电子标书</w:t>
            </w:r>
          </w:p>
        </w:tc>
      </w:tr>
      <w:tr w14:paraId="0641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0"/>
            <w:vAlign w:val="center"/>
          </w:tcPr>
          <w:p w14:paraId="466C40C0">
            <w:pPr>
              <w:adjustRightInd w:val="0"/>
              <w:snapToGrid w:val="0"/>
              <w:spacing w:line="560" w:lineRule="exact"/>
              <w:jc w:val="center"/>
              <w:rPr>
                <w:rFonts w:hint="eastAsia" w:ascii="宋体" w:hAnsi="宋体" w:cs="宋体"/>
                <w:color w:val="auto"/>
                <w:szCs w:val="21"/>
                <w:highlight w:val="none"/>
              </w:rPr>
            </w:pPr>
          </w:p>
        </w:tc>
        <w:tc>
          <w:tcPr>
            <w:tcW w:w="1258" w:type="dxa"/>
            <w:vMerge w:val="continue"/>
            <w:noWrap w:val="0"/>
            <w:vAlign w:val="center"/>
          </w:tcPr>
          <w:p w14:paraId="0EF21515">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684B7A54">
            <w:pPr>
              <w:adjustRightInd w:val="0"/>
              <w:snapToGrid w:val="0"/>
              <w:spacing w:line="56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诚信投标承诺书（或《</w:t>
            </w:r>
            <w:r>
              <w:rPr>
                <w:rFonts w:hint="eastAsia" w:ascii="宋体" w:hAnsi="宋体" w:cs="宋体"/>
                <w:color w:val="auto"/>
                <w:kern w:val="0"/>
                <w:szCs w:val="21"/>
                <w:highlight w:val="none"/>
              </w:rPr>
              <w:t>公共信用信息报告（无违法违规证明版或核查版）</w:t>
            </w:r>
            <w:r>
              <w:rPr>
                <w:rFonts w:hint="eastAsia" w:ascii="宋体" w:hAnsi="宋体" w:cs="宋体"/>
                <w:color w:val="auto"/>
                <w:szCs w:val="21"/>
                <w:highlight w:val="none"/>
              </w:rPr>
              <w:t>》）</w:t>
            </w:r>
            <w:r>
              <w:rPr>
                <w:rFonts w:hint="eastAsia" w:ascii="宋体" w:hAnsi="宋体" w:cs="宋体"/>
                <w:b/>
                <w:bCs/>
                <w:color w:val="auto"/>
                <w:szCs w:val="21"/>
                <w:highlight w:val="none"/>
              </w:rPr>
              <w:t>（联合体投标的，联合体各方均须提供）</w:t>
            </w:r>
          </w:p>
        </w:tc>
        <w:tc>
          <w:tcPr>
            <w:tcW w:w="1999" w:type="dxa"/>
            <w:vMerge w:val="continue"/>
            <w:noWrap w:val="0"/>
            <w:vAlign w:val="center"/>
          </w:tcPr>
          <w:p w14:paraId="7317FC6A">
            <w:pPr>
              <w:adjustRightInd w:val="0"/>
              <w:snapToGrid w:val="0"/>
              <w:spacing w:line="560" w:lineRule="exact"/>
              <w:jc w:val="center"/>
              <w:rPr>
                <w:rFonts w:hint="eastAsia" w:ascii="宋体" w:hAnsi="宋体" w:cs="宋体"/>
                <w:b/>
                <w:color w:val="auto"/>
                <w:szCs w:val="21"/>
                <w:highlight w:val="none"/>
              </w:rPr>
            </w:pPr>
          </w:p>
        </w:tc>
      </w:tr>
      <w:tr w14:paraId="6100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0"/>
            <w:vAlign w:val="center"/>
          </w:tcPr>
          <w:p w14:paraId="60A3536D">
            <w:pPr>
              <w:adjustRightInd w:val="0"/>
              <w:snapToGrid w:val="0"/>
              <w:spacing w:line="560" w:lineRule="exact"/>
              <w:jc w:val="center"/>
              <w:rPr>
                <w:rFonts w:hint="eastAsia" w:ascii="宋体" w:hAnsi="宋体" w:cs="宋体"/>
                <w:color w:val="auto"/>
                <w:szCs w:val="21"/>
                <w:highlight w:val="none"/>
              </w:rPr>
            </w:pPr>
          </w:p>
        </w:tc>
        <w:tc>
          <w:tcPr>
            <w:tcW w:w="1258" w:type="dxa"/>
            <w:vMerge w:val="continue"/>
            <w:noWrap w:val="0"/>
            <w:vAlign w:val="center"/>
          </w:tcPr>
          <w:p w14:paraId="55C5BE84">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7120172C">
            <w:pPr>
              <w:adjustRightInd w:val="0"/>
              <w:snapToGrid w:val="0"/>
              <w:spacing w:line="56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企业法人营业执照</w:t>
            </w:r>
            <w:r>
              <w:rPr>
                <w:rFonts w:hint="eastAsia" w:ascii="宋体" w:hAnsi="宋体" w:cs="宋体"/>
                <w:b/>
                <w:bCs/>
                <w:color w:val="auto"/>
                <w:szCs w:val="21"/>
                <w:highlight w:val="none"/>
              </w:rPr>
              <w:t>（联合体投标的，联合体各方均须提供）</w:t>
            </w:r>
            <w:r>
              <w:rPr>
                <w:rFonts w:hint="eastAsia" w:ascii="宋体" w:hAnsi="宋体" w:cs="宋体"/>
                <w:color w:val="auto"/>
                <w:szCs w:val="21"/>
                <w:highlight w:val="none"/>
                <w:lang w:val="en-US" w:eastAsia="zh-CN"/>
              </w:rPr>
              <w:t xml:space="preserve"> </w:t>
            </w:r>
          </w:p>
        </w:tc>
        <w:tc>
          <w:tcPr>
            <w:tcW w:w="1999" w:type="dxa"/>
            <w:vMerge w:val="continue"/>
            <w:noWrap w:val="0"/>
            <w:vAlign w:val="center"/>
          </w:tcPr>
          <w:p w14:paraId="1E3CF2AE">
            <w:pPr>
              <w:adjustRightInd w:val="0"/>
              <w:snapToGrid w:val="0"/>
              <w:spacing w:line="560" w:lineRule="exact"/>
              <w:jc w:val="center"/>
              <w:rPr>
                <w:rFonts w:hint="eastAsia" w:ascii="宋体" w:hAnsi="宋体" w:cs="宋体"/>
                <w:b/>
                <w:color w:val="auto"/>
                <w:szCs w:val="21"/>
                <w:highlight w:val="none"/>
              </w:rPr>
            </w:pPr>
          </w:p>
        </w:tc>
      </w:tr>
      <w:tr w14:paraId="4ADE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0"/>
            <w:vAlign w:val="center"/>
          </w:tcPr>
          <w:p w14:paraId="09B0DD6A">
            <w:pPr>
              <w:adjustRightInd w:val="0"/>
              <w:snapToGrid w:val="0"/>
              <w:spacing w:line="560" w:lineRule="exact"/>
              <w:jc w:val="center"/>
              <w:rPr>
                <w:rFonts w:hint="eastAsia" w:ascii="宋体" w:hAnsi="宋体" w:cs="宋体"/>
                <w:color w:val="auto"/>
                <w:szCs w:val="21"/>
                <w:highlight w:val="none"/>
              </w:rPr>
            </w:pPr>
          </w:p>
        </w:tc>
        <w:tc>
          <w:tcPr>
            <w:tcW w:w="1258" w:type="dxa"/>
            <w:vMerge w:val="continue"/>
            <w:noWrap w:val="0"/>
            <w:vAlign w:val="center"/>
          </w:tcPr>
          <w:p w14:paraId="014C85E1">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180B0245">
            <w:pPr>
              <w:adjustRightInd w:val="0"/>
              <w:snapToGrid w:val="0"/>
              <w:spacing w:line="56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企业资质证书</w:t>
            </w:r>
            <w:r>
              <w:rPr>
                <w:rFonts w:hint="eastAsia" w:ascii="宋体" w:hAnsi="宋体" w:cs="宋体"/>
                <w:b/>
                <w:bCs/>
                <w:color w:val="auto"/>
                <w:szCs w:val="21"/>
                <w:highlight w:val="none"/>
              </w:rPr>
              <w:t>（联合体投标的，联合体各方均须提供）</w:t>
            </w:r>
          </w:p>
        </w:tc>
        <w:tc>
          <w:tcPr>
            <w:tcW w:w="1999" w:type="dxa"/>
            <w:vMerge w:val="continue"/>
            <w:noWrap w:val="0"/>
            <w:vAlign w:val="center"/>
          </w:tcPr>
          <w:p w14:paraId="128EC198">
            <w:pPr>
              <w:adjustRightInd w:val="0"/>
              <w:snapToGrid w:val="0"/>
              <w:spacing w:line="560" w:lineRule="exact"/>
              <w:jc w:val="center"/>
              <w:rPr>
                <w:rFonts w:hint="eastAsia" w:ascii="宋体" w:hAnsi="宋体" w:cs="宋体"/>
                <w:color w:val="auto"/>
                <w:szCs w:val="21"/>
                <w:highlight w:val="none"/>
              </w:rPr>
            </w:pPr>
          </w:p>
        </w:tc>
      </w:tr>
      <w:tr w14:paraId="3040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0"/>
            <w:vAlign w:val="center"/>
          </w:tcPr>
          <w:p w14:paraId="3F789B35">
            <w:pPr>
              <w:adjustRightInd w:val="0"/>
              <w:snapToGrid w:val="0"/>
              <w:spacing w:line="560" w:lineRule="exact"/>
              <w:jc w:val="center"/>
              <w:rPr>
                <w:rFonts w:hint="eastAsia" w:ascii="宋体" w:hAnsi="宋体" w:cs="宋体"/>
                <w:color w:val="auto"/>
                <w:szCs w:val="21"/>
                <w:highlight w:val="none"/>
              </w:rPr>
            </w:pPr>
          </w:p>
        </w:tc>
        <w:tc>
          <w:tcPr>
            <w:tcW w:w="1258" w:type="dxa"/>
            <w:vMerge w:val="continue"/>
            <w:noWrap w:val="0"/>
            <w:vAlign w:val="center"/>
          </w:tcPr>
          <w:p w14:paraId="25D86A50">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056A55B4">
            <w:pPr>
              <w:adjustRightInd w:val="0"/>
              <w:snapToGrid w:val="0"/>
              <w:spacing w:line="56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企业安全生产许可证</w:t>
            </w:r>
            <w:r>
              <w:rPr>
                <w:rFonts w:hint="eastAsia" w:ascii="宋体" w:hAnsi="宋体" w:cs="宋体"/>
                <w:b/>
                <w:bCs/>
                <w:color w:val="auto"/>
                <w:szCs w:val="21"/>
                <w:highlight w:val="none"/>
              </w:rPr>
              <w:t>（联合体投标的，联合体各方均须提供）</w:t>
            </w:r>
          </w:p>
        </w:tc>
        <w:tc>
          <w:tcPr>
            <w:tcW w:w="1999" w:type="dxa"/>
            <w:vMerge w:val="continue"/>
            <w:noWrap w:val="0"/>
            <w:vAlign w:val="center"/>
          </w:tcPr>
          <w:p w14:paraId="6D5DDF41">
            <w:pPr>
              <w:adjustRightInd w:val="0"/>
              <w:snapToGrid w:val="0"/>
              <w:spacing w:line="560" w:lineRule="exact"/>
              <w:jc w:val="center"/>
              <w:rPr>
                <w:rFonts w:hint="eastAsia" w:ascii="宋体" w:hAnsi="宋体" w:cs="宋体"/>
                <w:color w:val="auto"/>
                <w:szCs w:val="21"/>
                <w:highlight w:val="none"/>
              </w:rPr>
            </w:pPr>
          </w:p>
        </w:tc>
      </w:tr>
      <w:tr w14:paraId="6FFC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5" w:type="dxa"/>
            <w:vMerge w:val="continue"/>
            <w:noWrap w:val="0"/>
            <w:vAlign w:val="center"/>
          </w:tcPr>
          <w:p w14:paraId="33ED9A5B">
            <w:pPr>
              <w:adjustRightInd w:val="0"/>
              <w:snapToGrid w:val="0"/>
              <w:spacing w:line="560" w:lineRule="exact"/>
              <w:jc w:val="center"/>
              <w:rPr>
                <w:rFonts w:hint="eastAsia" w:ascii="宋体" w:hAnsi="宋体" w:cs="宋体"/>
                <w:color w:val="auto"/>
                <w:szCs w:val="21"/>
                <w:highlight w:val="none"/>
              </w:rPr>
            </w:pPr>
          </w:p>
        </w:tc>
        <w:tc>
          <w:tcPr>
            <w:tcW w:w="1258" w:type="dxa"/>
            <w:vMerge w:val="continue"/>
            <w:noWrap w:val="0"/>
            <w:vAlign w:val="center"/>
          </w:tcPr>
          <w:p w14:paraId="1BF15E89">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3B80D3F6">
            <w:pPr>
              <w:adjustRightInd w:val="0"/>
              <w:snapToGrid w:val="0"/>
              <w:spacing w:line="56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项目经理（建造师）有效身份证、注册证书以及安全生产考核合格证书（B证）</w:t>
            </w:r>
            <w:r>
              <w:rPr>
                <w:rFonts w:hint="eastAsia" w:ascii="宋体" w:hAnsi="宋体" w:cs="宋体"/>
                <w:color w:val="auto"/>
                <w:szCs w:val="21"/>
                <w:highlight w:val="none"/>
                <w:lang w:val="en-US" w:eastAsia="zh-CN"/>
              </w:rPr>
              <w:t xml:space="preserve"> </w:t>
            </w:r>
          </w:p>
        </w:tc>
        <w:tc>
          <w:tcPr>
            <w:tcW w:w="1999" w:type="dxa"/>
            <w:vMerge w:val="continue"/>
            <w:noWrap w:val="0"/>
            <w:vAlign w:val="center"/>
          </w:tcPr>
          <w:p w14:paraId="66ECF39F">
            <w:pPr>
              <w:adjustRightInd w:val="0"/>
              <w:snapToGrid w:val="0"/>
              <w:spacing w:line="560" w:lineRule="exact"/>
              <w:jc w:val="center"/>
              <w:rPr>
                <w:rFonts w:hint="eastAsia" w:ascii="宋体" w:hAnsi="宋体" w:cs="宋体"/>
                <w:color w:val="auto"/>
                <w:szCs w:val="21"/>
                <w:highlight w:val="none"/>
              </w:rPr>
            </w:pPr>
          </w:p>
        </w:tc>
      </w:tr>
      <w:tr w14:paraId="3B7C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5" w:type="dxa"/>
            <w:vMerge w:val="continue"/>
            <w:noWrap w:val="0"/>
            <w:vAlign w:val="center"/>
          </w:tcPr>
          <w:p w14:paraId="5A09430A">
            <w:pPr>
              <w:adjustRightInd w:val="0"/>
              <w:snapToGrid w:val="0"/>
              <w:spacing w:line="560" w:lineRule="exact"/>
              <w:jc w:val="center"/>
              <w:rPr>
                <w:rFonts w:hint="eastAsia" w:ascii="宋体" w:hAnsi="宋体" w:cs="宋体"/>
                <w:color w:val="auto"/>
                <w:szCs w:val="21"/>
                <w:highlight w:val="none"/>
              </w:rPr>
            </w:pPr>
          </w:p>
        </w:tc>
        <w:tc>
          <w:tcPr>
            <w:tcW w:w="1258" w:type="dxa"/>
            <w:vMerge w:val="continue"/>
            <w:noWrap w:val="0"/>
            <w:vAlign w:val="center"/>
          </w:tcPr>
          <w:p w14:paraId="43237743">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73C3B9C0">
            <w:pPr>
              <w:adjustRightInd w:val="0"/>
              <w:snapToGrid w:val="0"/>
              <w:spacing w:line="560" w:lineRule="exact"/>
              <w:rPr>
                <w:rFonts w:hint="eastAsia" w:ascii="宋体" w:hAnsi="宋体" w:cs="宋体"/>
                <w:color w:val="000000"/>
                <w:szCs w:val="21"/>
                <w:lang w:eastAsia="zh-CN"/>
              </w:rPr>
            </w:pPr>
            <w:r>
              <w:rPr>
                <w:rFonts w:hint="eastAsia" w:ascii="宋体" w:hAnsi="宋体" w:cs="宋体"/>
                <w:color w:val="000000"/>
                <w:szCs w:val="21"/>
              </w:rPr>
              <w:t>拟任项目经理（建造师）须持有社保部门出具的本单位为其缴纳</w:t>
            </w:r>
            <w:r>
              <w:rPr>
                <w:rFonts w:hint="eastAsia" w:ascii="宋体" w:hAnsi="宋体" w:cs="宋体"/>
                <w:color w:val="auto"/>
                <w:szCs w:val="21"/>
                <w:highlight w:val="none"/>
              </w:rPr>
              <w:t>的</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lang w:val="en-US" w:eastAsia="zh-CN"/>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lang w:val="en-US" w:eastAsia="zh-CN"/>
              </w:rPr>
              <w:t>月范围内</w:t>
            </w:r>
            <w:r>
              <w:rPr>
                <w:rFonts w:hint="eastAsia" w:ascii="宋体" w:hAnsi="宋体" w:cs="宋体"/>
                <w:color w:val="auto"/>
                <w:szCs w:val="21"/>
                <w:lang w:val="en-US" w:eastAsia="zh-CN"/>
              </w:rPr>
              <w:t>任</w:t>
            </w:r>
            <w:r>
              <w:rPr>
                <w:rFonts w:hint="eastAsia" w:ascii="宋体" w:hAnsi="宋体" w:cs="宋体"/>
                <w:color w:val="000000"/>
                <w:szCs w:val="21"/>
                <w:lang w:val="en-US" w:eastAsia="zh-CN"/>
              </w:rPr>
              <w:t>意</w:t>
            </w:r>
            <w:r>
              <w:rPr>
                <w:rFonts w:hint="eastAsia" w:ascii="宋体" w:hAnsi="宋体" w:cs="宋体"/>
                <w:color w:val="000000"/>
                <w:szCs w:val="21"/>
              </w:rPr>
              <w:t>连续三个月的养老保险证明</w:t>
            </w:r>
            <w:r>
              <w:rPr>
                <w:rFonts w:hint="eastAsia" w:ascii="宋体" w:hAnsi="宋体" w:cs="宋体"/>
                <w:color w:val="000000"/>
                <w:szCs w:val="21"/>
                <w:lang w:eastAsia="zh-CN"/>
              </w:rPr>
              <w:t>。</w:t>
            </w:r>
          </w:p>
          <w:p w14:paraId="08D073D9">
            <w:pPr>
              <w:adjustRightInd w:val="0"/>
              <w:snapToGrid w:val="0"/>
              <w:spacing w:line="560" w:lineRule="exact"/>
              <w:rPr>
                <w:rFonts w:hint="default" w:ascii="宋体" w:hAnsi="宋体" w:eastAsia="宋体" w:cs="宋体"/>
                <w:color w:val="auto"/>
                <w:szCs w:val="21"/>
                <w:highlight w:val="none"/>
                <w:lang w:val="en-US" w:eastAsia="zh-CN"/>
              </w:rPr>
            </w:pPr>
            <w:r>
              <w:rPr>
                <w:rFonts w:hint="eastAsia" w:ascii="宋体" w:hAnsi="宋体" w:cs="宋体"/>
                <w:b/>
                <w:bCs/>
                <w:color w:val="000000"/>
                <w:szCs w:val="21"/>
                <w:lang w:eastAsia="zh-CN"/>
              </w:rPr>
              <w:t>注：</w:t>
            </w:r>
            <w:r>
              <w:rPr>
                <w:rFonts w:hint="eastAsia" w:ascii="宋体" w:hAnsi="宋体" w:cs="宋体"/>
                <w:color w:val="000000"/>
                <w:szCs w:val="21"/>
                <w:lang w:val="en-US" w:eastAsia="zh-CN"/>
              </w:rPr>
              <w:t>1.</w:t>
            </w:r>
            <w:r>
              <w:rPr>
                <w:rFonts w:hint="eastAsia" w:ascii="宋体" w:hAnsi="宋体" w:cs="宋体"/>
                <w:color w:val="000000"/>
                <w:szCs w:val="21"/>
              </w:rPr>
              <w:t>投标人是事业单位的，暂未缴纳养老保险的，须由其主管部门出具证明</w:t>
            </w:r>
            <w:r>
              <w:rPr>
                <w:rFonts w:hint="eastAsia" w:ascii="宋体" w:hAnsi="宋体" w:cs="宋体"/>
                <w:color w:val="000000"/>
                <w:szCs w:val="21"/>
                <w:lang w:eastAsia="zh-CN"/>
              </w:rPr>
              <w:t>。</w:t>
            </w:r>
            <w:r>
              <w:rPr>
                <w:rFonts w:hint="eastAsia" w:ascii="Times New Roman" w:hAnsi="Times New Roman"/>
                <w:smallCaps w:val="0"/>
                <w:lang w:val="en-US" w:eastAsia="zh-CN"/>
              </w:rPr>
              <w:t>2</w:t>
            </w:r>
            <w:r>
              <w:rPr>
                <w:rFonts w:hint="eastAsia"/>
                <w:smallCaps w:val="0"/>
                <w:lang w:val="en-US" w:eastAsia="zh-CN"/>
              </w:rPr>
              <w:t>.</w:t>
            </w:r>
            <w:r>
              <w:rPr>
                <w:rFonts w:hint="eastAsia" w:ascii="Times New Roman" w:hAnsi="Times New Roman"/>
                <w:smallCaps w:val="0"/>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r>
              <w:rPr>
                <w:rFonts w:hint="eastAsia"/>
                <w:smallCaps w:val="0"/>
                <w:lang w:eastAsia="zh-CN"/>
              </w:rPr>
              <w:t>。</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 xml:space="preserve">联合体投标，如提供项目经理（建造师）B岗的，还须提供项目经理（建造师）B岗的养老保险证明（要求同上）。） </w:t>
            </w:r>
            <w:r>
              <w:rPr>
                <w:rFonts w:hint="eastAsia" w:ascii="宋体" w:hAnsi="宋体" w:cs="宋体"/>
                <w:color w:val="auto"/>
                <w:szCs w:val="21"/>
                <w:highlight w:val="none"/>
                <w:lang w:val="en-US" w:eastAsia="zh-CN"/>
              </w:rPr>
              <w:t xml:space="preserve">  </w:t>
            </w:r>
          </w:p>
        </w:tc>
        <w:tc>
          <w:tcPr>
            <w:tcW w:w="1999" w:type="dxa"/>
            <w:vMerge w:val="continue"/>
            <w:noWrap w:val="0"/>
            <w:vAlign w:val="center"/>
          </w:tcPr>
          <w:p w14:paraId="726205FE">
            <w:pPr>
              <w:adjustRightInd w:val="0"/>
              <w:snapToGrid w:val="0"/>
              <w:spacing w:line="560" w:lineRule="exact"/>
              <w:jc w:val="center"/>
              <w:rPr>
                <w:rFonts w:hint="eastAsia" w:ascii="宋体" w:hAnsi="宋体" w:cs="宋体"/>
                <w:color w:val="auto"/>
                <w:szCs w:val="21"/>
                <w:highlight w:val="none"/>
              </w:rPr>
            </w:pPr>
          </w:p>
        </w:tc>
      </w:tr>
      <w:tr w14:paraId="50CE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5" w:type="dxa"/>
            <w:vMerge w:val="continue"/>
            <w:noWrap w:val="0"/>
            <w:vAlign w:val="center"/>
          </w:tcPr>
          <w:p w14:paraId="1CF48DC3">
            <w:pPr>
              <w:adjustRightInd w:val="0"/>
              <w:snapToGrid w:val="0"/>
              <w:spacing w:line="560" w:lineRule="exact"/>
              <w:jc w:val="center"/>
              <w:rPr>
                <w:rFonts w:hint="eastAsia" w:ascii="宋体" w:hAnsi="宋体" w:cs="宋体"/>
                <w:color w:val="auto"/>
                <w:szCs w:val="21"/>
                <w:highlight w:val="none"/>
              </w:rPr>
            </w:pPr>
          </w:p>
        </w:tc>
        <w:tc>
          <w:tcPr>
            <w:tcW w:w="1258" w:type="dxa"/>
            <w:vMerge w:val="continue"/>
            <w:noWrap w:val="0"/>
            <w:vAlign w:val="center"/>
          </w:tcPr>
          <w:p w14:paraId="1D632611">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0BDE6120">
            <w:pPr>
              <w:adjustRightInd w:val="0"/>
              <w:snapToGrid w:val="0"/>
              <w:spacing w:line="560" w:lineRule="exact"/>
              <w:rPr>
                <w:rFonts w:hint="eastAsia" w:ascii="宋体" w:hAnsi="宋体" w:cs="宋体"/>
                <w:color w:val="auto"/>
                <w:szCs w:val="21"/>
                <w:highlight w:val="none"/>
              </w:rPr>
            </w:pPr>
            <w:r>
              <w:rPr>
                <w:rFonts w:hint="eastAsia" w:ascii="宋体" w:hAnsi="宋体" w:cs="宋体"/>
                <w:color w:val="auto"/>
                <w:szCs w:val="21"/>
                <w:highlight w:val="none"/>
              </w:rPr>
              <w:t>项目管理机构。查看项目管理机构主要人员组成表</w:t>
            </w:r>
          </w:p>
        </w:tc>
        <w:tc>
          <w:tcPr>
            <w:tcW w:w="1999" w:type="dxa"/>
            <w:vMerge w:val="continue"/>
            <w:noWrap w:val="0"/>
            <w:vAlign w:val="center"/>
          </w:tcPr>
          <w:p w14:paraId="1C4520B3">
            <w:pPr>
              <w:adjustRightInd w:val="0"/>
              <w:snapToGrid w:val="0"/>
              <w:spacing w:line="560" w:lineRule="exact"/>
              <w:jc w:val="center"/>
              <w:rPr>
                <w:rFonts w:hint="eastAsia" w:ascii="宋体" w:hAnsi="宋体" w:cs="宋体"/>
                <w:b/>
                <w:color w:val="auto"/>
                <w:szCs w:val="21"/>
                <w:highlight w:val="none"/>
              </w:rPr>
            </w:pPr>
          </w:p>
        </w:tc>
      </w:tr>
      <w:tr w14:paraId="75E5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5" w:type="dxa"/>
            <w:vMerge w:val="continue"/>
            <w:noWrap w:val="0"/>
            <w:vAlign w:val="center"/>
          </w:tcPr>
          <w:p w14:paraId="78199D8F">
            <w:pPr>
              <w:adjustRightInd w:val="0"/>
              <w:snapToGrid w:val="0"/>
              <w:spacing w:line="560" w:lineRule="exact"/>
              <w:jc w:val="center"/>
              <w:rPr>
                <w:rFonts w:hint="eastAsia" w:ascii="宋体" w:hAnsi="宋体" w:cs="宋体"/>
                <w:color w:val="auto"/>
                <w:szCs w:val="21"/>
                <w:highlight w:val="none"/>
              </w:rPr>
            </w:pPr>
          </w:p>
          <w:p w14:paraId="662A7FB7">
            <w:pPr>
              <w:pStyle w:val="2"/>
              <w:rPr>
                <w:rFonts w:hint="eastAsia"/>
              </w:rPr>
            </w:pPr>
          </w:p>
        </w:tc>
        <w:tc>
          <w:tcPr>
            <w:tcW w:w="1258" w:type="dxa"/>
            <w:vMerge w:val="continue"/>
            <w:noWrap w:val="0"/>
            <w:vAlign w:val="center"/>
          </w:tcPr>
          <w:p w14:paraId="1AC65DC9">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2780D184">
            <w:pPr>
              <w:adjustRightInd w:val="0"/>
              <w:snapToGrid w:val="0"/>
              <w:spacing w:line="560" w:lineRule="exact"/>
              <w:rPr>
                <w:rFonts w:hint="eastAsia" w:ascii="宋体" w:hAnsi="宋体" w:cs="宋体"/>
                <w:color w:val="auto"/>
                <w:szCs w:val="21"/>
                <w:highlight w:val="none"/>
              </w:rPr>
            </w:pPr>
            <w:r>
              <w:rPr>
                <w:rFonts w:hint="eastAsia" w:ascii="宋体" w:hAnsi="宋体" w:cs="宋体"/>
                <w:color w:val="auto"/>
                <w:szCs w:val="21"/>
                <w:highlight w:val="none"/>
              </w:rPr>
              <w:t>联合体协议书（如有）</w:t>
            </w:r>
          </w:p>
        </w:tc>
        <w:tc>
          <w:tcPr>
            <w:tcW w:w="1999" w:type="dxa"/>
            <w:vMerge w:val="continue"/>
            <w:noWrap w:val="0"/>
            <w:vAlign w:val="center"/>
          </w:tcPr>
          <w:p w14:paraId="72FC0E29">
            <w:pPr>
              <w:adjustRightInd w:val="0"/>
              <w:snapToGrid w:val="0"/>
              <w:spacing w:line="560" w:lineRule="exact"/>
              <w:jc w:val="center"/>
              <w:rPr>
                <w:rFonts w:hint="eastAsia" w:ascii="宋体" w:hAnsi="宋体" w:cs="宋体"/>
                <w:b/>
                <w:color w:val="auto"/>
                <w:szCs w:val="21"/>
                <w:highlight w:val="none"/>
              </w:rPr>
            </w:pPr>
          </w:p>
        </w:tc>
      </w:tr>
      <w:tr w14:paraId="4987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5" w:type="dxa"/>
            <w:vMerge w:val="continue"/>
            <w:noWrap w:val="0"/>
            <w:vAlign w:val="center"/>
          </w:tcPr>
          <w:p w14:paraId="6C10C006">
            <w:pPr>
              <w:pStyle w:val="2"/>
              <w:rPr>
                <w:rFonts w:hint="eastAsia"/>
              </w:rPr>
            </w:pPr>
          </w:p>
        </w:tc>
        <w:tc>
          <w:tcPr>
            <w:tcW w:w="1258" w:type="dxa"/>
            <w:vMerge w:val="continue"/>
            <w:noWrap w:val="0"/>
            <w:vAlign w:val="center"/>
          </w:tcPr>
          <w:p w14:paraId="01149E9C">
            <w:pPr>
              <w:adjustRightInd w:val="0"/>
              <w:snapToGrid w:val="0"/>
              <w:spacing w:line="560" w:lineRule="exact"/>
              <w:jc w:val="center"/>
              <w:rPr>
                <w:rFonts w:hint="eastAsia" w:ascii="宋体" w:hAnsi="宋体" w:cs="宋体"/>
                <w:b/>
                <w:bCs/>
                <w:color w:val="auto"/>
                <w:szCs w:val="21"/>
                <w:highlight w:val="none"/>
              </w:rPr>
            </w:pPr>
          </w:p>
        </w:tc>
        <w:tc>
          <w:tcPr>
            <w:tcW w:w="6044" w:type="dxa"/>
            <w:noWrap w:val="0"/>
            <w:vAlign w:val="top"/>
          </w:tcPr>
          <w:p w14:paraId="769602FF">
            <w:pPr>
              <w:adjustRightInd w:val="0"/>
              <w:snapToGrid w:val="0"/>
              <w:spacing w:line="560" w:lineRule="exact"/>
              <w:rPr>
                <w:rFonts w:hint="eastAsia" w:ascii="宋体" w:hAnsi="宋体" w:cs="宋体"/>
                <w:color w:val="auto"/>
                <w:szCs w:val="21"/>
                <w:highlight w:val="none"/>
              </w:rPr>
            </w:pPr>
            <w:r>
              <w:rPr>
                <w:rFonts w:hint="eastAsia" w:ascii="Times New Roman" w:hAnsi="Times New Roman" w:cs="Times New Roman"/>
                <w:b w:val="0"/>
                <w:bCs w:val="0"/>
                <w:color w:val="000000"/>
              </w:rPr>
              <w:t>拟分包项目情况表（或分包意向协议书）（如有）</w:t>
            </w:r>
          </w:p>
        </w:tc>
        <w:tc>
          <w:tcPr>
            <w:tcW w:w="1999" w:type="dxa"/>
            <w:vMerge w:val="continue"/>
            <w:noWrap w:val="0"/>
            <w:vAlign w:val="center"/>
          </w:tcPr>
          <w:p w14:paraId="047856CC">
            <w:pPr>
              <w:adjustRightInd w:val="0"/>
              <w:snapToGrid w:val="0"/>
              <w:spacing w:line="560" w:lineRule="exact"/>
              <w:jc w:val="center"/>
              <w:rPr>
                <w:rFonts w:hint="eastAsia" w:ascii="宋体" w:hAnsi="宋体" w:cs="宋体"/>
                <w:b/>
                <w:color w:val="auto"/>
                <w:szCs w:val="21"/>
                <w:highlight w:val="none"/>
              </w:rPr>
            </w:pPr>
          </w:p>
        </w:tc>
      </w:tr>
    </w:tbl>
    <w:p w14:paraId="313DE3F9">
      <w:pPr>
        <w:adjustRightInd w:val="0"/>
        <w:snapToGrid w:val="0"/>
        <w:spacing w:line="560" w:lineRule="exact"/>
        <w:ind w:firstLine="422" w:firstLineChars="200"/>
        <w:jc w:val="left"/>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重要提示：</w:t>
      </w:r>
    </w:p>
    <w:p w14:paraId="6454C3B1">
      <w:pPr>
        <w:adjustRightInd w:val="0"/>
        <w:snapToGrid w:val="0"/>
        <w:spacing w:line="560" w:lineRule="exact"/>
        <w:ind w:firstLine="422" w:firstLineChars="200"/>
        <w:jc w:val="left"/>
        <w:rPr>
          <w:rFonts w:hint="eastAsia" w:ascii="黑体" w:hAnsi="黑体" w:eastAsia="黑体" w:cs="黑体"/>
          <w:b/>
          <w:bCs/>
          <w:color w:val="000000"/>
          <w:szCs w:val="21"/>
        </w:rPr>
      </w:pPr>
      <w:r>
        <w:rPr>
          <w:rFonts w:hint="eastAsia" w:ascii="黑体" w:hAnsi="黑体" w:eastAsia="黑体" w:cs="黑体"/>
          <w:b/>
          <w:bCs/>
          <w:color w:val="000000"/>
          <w:szCs w:val="21"/>
        </w:rPr>
        <w:t>（1）资格审查材料可以选择①上传到安徽省公共资源交易市场主体库中，制作投标文件时插上CA数字证书，从安徽省公共资源交易市场主体库中挑选相关材料，或按招标文件要求上传至指定位置；若所需材料无对应栏目，则将该材料上传至“其他所需材料”里，做电子投标文件时从“其他所需材料”里获取。请各投标人自行完善安徽省公共资源交易市场主体库中的单位信息，保证信息最新且有效。②或使用国家企业信用信息公示系统和全国建筑市场监管公共服务平台接口获取营业执照、建设工程相关证书等政务数据，投标人自行核验政务数据的准确性</w:t>
      </w:r>
      <w:r>
        <w:rPr>
          <w:rFonts w:hint="eastAsia" w:ascii="黑体" w:hAnsi="黑体" w:eastAsia="黑体" w:cs="黑体"/>
          <w:b/>
          <w:bCs/>
          <w:color w:val="000000"/>
          <w:szCs w:val="21"/>
          <w:lang w:eastAsia="zh-CN"/>
        </w:rPr>
        <w:t>，并</w:t>
      </w:r>
      <w:r>
        <w:rPr>
          <w:rFonts w:hint="eastAsia" w:ascii="黑体" w:hAnsi="黑体" w:eastAsia="黑体" w:cs="黑体"/>
          <w:b/>
          <w:bCs/>
          <w:color w:val="000000"/>
          <w:szCs w:val="21"/>
        </w:rPr>
        <w:t>对引用的政务数据承担责任。</w:t>
      </w:r>
    </w:p>
    <w:p w14:paraId="10F9730B">
      <w:pPr>
        <w:adjustRightInd w:val="0"/>
        <w:snapToGrid w:val="0"/>
        <w:spacing w:line="560" w:lineRule="exact"/>
        <w:ind w:firstLine="422" w:firstLineChars="200"/>
        <w:jc w:val="left"/>
        <w:rPr>
          <w:rFonts w:hint="eastAsia" w:ascii="黑体" w:hAnsi="黑体" w:eastAsia="黑体" w:cs="黑体"/>
          <w:b/>
          <w:bCs/>
          <w:color w:val="000000"/>
          <w:szCs w:val="21"/>
        </w:rPr>
      </w:pPr>
      <w:r>
        <w:rPr>
          <w:rFonts w:hint="eastAsia" w:ascii="黑体" w:hAnsi="黑体" w:eastAsia="黑体" w:cs="黑体"/>
          <w:b/>
          <w:bCs/>
          <w:color w:val="000000"/>
          <w:szCs w:val="21"/>
        </w:rPr>
        <w:t>（2）评标专家在检验电子投标文件过程中，如果由于投标人自身原因导致评标专家无法查看并检验电子投标文件中相关资料的，视为无效标处理。即使投标人将原件携带至现场的，同样按无效标处理。</w:t>
      </w:r>
    </w:p>
    <w:p w14:paraId="151B5B4D">
      <w:pPr>
        <w:spacing w:line="560" w:lineRule="exact"/>
        <w:ind w:firstLine="422" w:firstLineChars="200"/>
        <w:rPr>
          <w:rFonts w:hint="eastAsia" w:ascii="黑体" w:hAnsi="黑体" w:eastAsia="黑体" w:cs="黑体"/>
          <w:b/>
          <w:bCs/>
          <w:color w:val="000000"/>
          <w:szCs w:val="21"/>
        </w:rPr>
      </w:pPr>
      <w:r>
        <w:rPr>
          <w:rFonts w:hint="eastAsia" w:ascii="黑体" w:hAnsi="黑体" w:eastAsia="黑体" w:cs="黑体"/>
          <w:b/>
          <w:bCs/>
          <w:color w:val="000000"/>
          <w:szCs w:val="21"/>
        </w:rPr>
        <w:t>（3）投标人拟委任项目经理为注册建造师（含一级、二级）的，须提供在电子证书使用有效期内的纸质版电子证书。</w:t>
      </w:r>
      <w:r>
        <w:rPr>
          <w:rFonts w:ascii="黑体" w:hAnsi="黑体" w:eastAsia="黑体" w:cs="黑体"/>
          <w:b/>
          <w:bCs/>
          <w:color w:val="000000"/>
          <w:szCs w:val="21"/>
        </w:rPr>
        <w:t>一级建造师打印电子证书后，应在个人签名处手写本人签名，未手写签名或与签名图像笔迹不一致的，该电子证书无效。</w:t>
      </w:r>
    </w:p>
    <w:p w14:paraId="4E915AFB">
      <w:pPr>
        <w:spacing w:line="560" w:lineRule="exact"/>
        <w:ind w:firstLine="422" w:firstLineChars="200"/>
        <w:jc w:val="left"/>
        <w:rPr>
          <w:rFonts w:hint="eastAsia" w:ascii="黑体" w:hAnsi="黑体" w:eastAsia="黑体" w:cs="黑体"/>
          <w:b/>
          <w:bCs/>
          <w:color w:val="000000"/>
          <w:szCs w:val="21"/>
        </w:rPr>
      </w:pPr>
      <w:r>
        <w:rPr>
          <w:rFonts w:hint="eastAsia" w:ascii="黑体" w:hAnsi="黑体" w:eastAsia="黑体" w:cs="黑体"/>
          <w:b/>
          <w:bCs/>
          <w:color w:val="000000"/>
          <w:szCs w:val="21"/>
        </w:rPr>
        <w:t>投标人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241AE507">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1.审查资料</w:t>
      </w:r>
    </w:p>
    <w:p w14:paraId="51452B9A">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7B13975E">
      <w:pPr>
        <w:adjustRightInd w:val="0"/>
        <w:snapToGrid w:val="0"/>
        <w:spacing w:line="56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（2）诚信投标承诺书（或《</w:t>
      </w:r>
      <w:r>
        <w:rPr>
          <w:rFonts w:hint="eastAsia" w:ascii="宋体" w:hAnsi="宋体" w:cs="宋体"/>
          <w:color w:val="auto"/>
          <w:kern w:val="0"/>
          <w:szCs w:val="21"/>
          <w:highlight w:val="none"/>
        </w:rPr>
        <w:t>公共信用信息报告（无违法违规证明版或核查版）</w:t>
      </w:r>
      <w:r>
        <w:rPr>
          <w:rFonts w:hint="eastAsia" w:ascii="宋体" w:hAnsi="宋体" w:cs="宋体"/>
          <w:color w:val="auto"/>
          <w:szCs w:val="21"/>
          <w:highlight w:val="none"/>
        </w:rPr>
        <w:t>》）</w:t>
      </w:r>
      <w:r>
        <w:rPr>
          <w:rFonts w:hint="eastAsia" w:ascii="宋体" w:hAnsi="宋体" w:cs="宋体"/>
          <w:b/>
          <w:bCs/>
          <w:color w:val="auto"/>
          <w:szCs w:val="21"/>
          <w:highlight w:val="none"/>
        </w:rPr>
        <w:t>（联合体投标的，联合体各方均须提供）；</w:t>
      </w:r>
    </w:p>
    <w:p w14:paraId="439ABF19">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（3）企业法人营业执照</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联合体投标的，联合体各方均须提供）</w:t>
      </w:r>
      <w:r>
        <w:rPr>
          <w:rFonts w:hint="eastAsia" w:ascii="宋体" w:hAnsi="宋体" w:cs="宋体"/>
          <w:color w:val="auto"/>
          <w:szCs w:val="21"/>
          <w:highlight w:val="none"/>
        </w:rPr>
        <w:t>；</w:t>
      </w:r>
    </w:p>
    <w:p w14:paraId="5A83D218">
      <w:pPr>
        <w:adjustRightInd w:val="0"/>
        <w:snapToGrid w:val="0"/>
        <w:spacing w:line="560" w:lineRule="exact"/>
        <w:ind w:firstLine="420" w:firstLineChars="200"/>
        <w:rPr>
          <w:rFonts w:hint="eastAsia"/>
          <w:color w:val="auto"/>
          <w:highlight w:val="none"/>
        </w:rPr>
      </w:pPr>
      <w:r>
        <w:rPr>
          <w:rFonts w:hint="eastAsia" w:ascii="宋体" w:hAnsi="宋体" w:cs="宋体"/>
          <w:color w:val="auto"/>
          <w:szCs w:val="21"/>
          <w:highlight w:val="none"/>
        </w:rPr>
        <w:t>（4）企业资质证书</w:t>
      </w:r>
      <w:r>
        <w:rPr>
          <w:rFonts w:hint="eastAsia" w:ascii="宋体" w:hAnsi="宋体" w:cs="宋体"/>
          <w:b/>
          <w:bCs/>
          <w:color w:val="auto"/>
          <w:szCs w:val="21"/>
          <w:highlight w:val="none"/>
        </w:rPr>
        <w:t>（联合体投标的，联合体各方均须提供）</w:t>
      </w:r>
      <w:r>
        <w:rPr>
          <w:rFonts w:hint="eastAsia" w:ascii="宋体" w:hAnsi="宋体" w:cs="宋体"/>
          <w:color w:val="auto"/>
          <w:szCs w:val="21"/>
          <w:highlight w:val="none"/>
        </w:rPr>
        <w:t>；</w:t>
      </w:r>
    </w:p>
    <w:p w14:paraId="327B46AC">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（5）企业安全生产许可证</w:t>
      </w:r>
      <w:r>
        <w:rPr>
          <w:rFonts w:hint="eastAsia" w:ascii="宋体" w:hAnsi="宋体" w:cs="宋体"/>
          <w:b/>
          <w:bCs/>
          <w:color w:val="auto"/>
          <w:szCs w:val="21"/>
          <w:highlight w:val="none"/>
        </w:rPr>
        <w:t>（联合体投标的，联合体各方均须提供）</w:t>
      </w:r>
      <w:r>
        <w:rPr>
          <w:rFonts w:hint="eastAsia" w:ascii="宋体" w:hAnsi="宋体" w:cs="宋体"/>
          <w:color w:val="auto"/>
          <w:szCs w:val="21"/>
          <w:highlight w:val="none"/>
        </w:rPr>
        <w:t>；</w:t>
      </w:r>
    </w:p>
    <w:p w14:paraId="4221FE2E">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（6）项目经理（建造师）有效身份证、注册证书以及安全生产考核合格证书（B证）；</w:t>
      </w:r>
    </w:p>
    <w:p w14:paraId="366C3E69">
      <w:pPr>
        <w:adjustRightInd w:val="0"/>
        <w:snapToGrid w:val="0"/>
        <w:spacing w:line="560" w:lineRule="exact"/>
        <w:rPr>
          <w:rFonts w:hint="eastAsia" w:ascii="宋体" w:hAnsi="宋体" w:cs="宋体"/>
          <w:color w:val="auto"/>
          <w:szCs w:val="21"/>
          <w:lang w:eastAsia="zh-CN"/>
        </w:rPr>
      </w:pPr>
      <w:r>
        <w:rPr>
          <w:rFonts w:hint="eastAsia" w:ascii="宋体" w:hAnsi="宋体" w:cs="宋体"/>
          <w:color w:val="auto"/>
          <w:szCs w:val="21"/>
          <w:highlight w:val="none"/>
        </w:rPr>
        <w:t>（7）</w:t>
      </w:r>
      <w:r>
        <w:rPr>
          <w:rFonts w:hint="eastAsia" w:ascii="宋体" w:hAnsi="宋体" w:cs="宋体"/>
          <w:color w:val="000000"/>
          <w:szCs w:val="21"/>
        </w:rPr>
        <w:t>拟任项目经理（建造师）须持有社保部门出具的本单位为其缴</w:t>
      </w:r>
      <w:r>
        <w:rPr>
          <w:rFonts w:hint="eastAsia" w:ascii="宋体" w:hAnsi="宋体" w:cs="宋体"/>
          <w:color w:val="auto"/>
          <w:szCs w:val="21"/>
        </w:rPr>
        <w:t>纳</w:t>
      </w:r>
      <w:r>
        <w:rPr>
          <w:rFonts w:hint="eastAsia" w:ascii="宋体" w:hAnsi="宋体" w:cs="宋体"/>
          <w:color w:val="auto"/>
          <w:szCs w:val="21"/>
          <w:highlight w:val="none"/>
        </w:rPr>
        <w:t>的</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lang w:val="en-US" w:eastAsia="zh-CN"/>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lang w:val="en-US" w:eastAsia="zh-CN"/>
        </w:rPr>
        <w:t>月范围</w:t>
      </w:r>
      <w:r>
        <w:rPr>
          <w:rFonts w:hint="eastAsia" w:ascii="宋体" w:hAnsi="宋体" w:cs="宋体"/>
          <w:color w:val="auto"/>
          <w:szCs w:val="21"/>
          <w:lang w:val="en-US" w:eastAsia="zh-CN"/>
        </w:rPr>
        <w:t>内任意</w:t>
      </w:r>
      <w:r>
        <w:rPr>
          <w:rFonts w:hint="eastAsia" w:ascii="宋体" w:hAnsi="宋体" w:cs="宋体"/>
          <w:color w:val="auto"/>
          <w:szCs w:val="21"/>
        </w:rPr>
        <w:t>连续三个月的养老保险证明</w:t>
      </w:r>
      <w:r>
        <w:rPr>
          <w:rFonts w:hint="eastAsia" w:ascii="宋体" w:hAnsi="宋体" w:cs="宋体"/>
          <w:color w:val="auto"/>
          <w:szCs w:val="21"/>
          <w:lang w:eastAsia="zh-CN"/>
        </w:rPr>
        <w:t>。</w:t>
      </w:r>
    </w:p>
    <w:p w14:paraId="0FAC7AB2">
      <w:pPr>
        <w:widowControl/>
        <w:adjustRightInd w:val="0"/>
        <w:snapToGrid w:val="0"/>
        <w:spacing w:line="560" w:lineRule="exact"/>
        <w:ind w:firstLine="422" w:firstLineChars="200"/>
        <w:jc w:val="left"/>
        <w:rPr>
          <w:rFonts w:hint="eastAsia" w:ascii="宋体" w:hAnsi="宋体" w:cs="宋体"/>
          <w:color w:val="auto"/>
          <w:szCs w:val="21"/>
          <w:highlight w:val="none"/>
        </w:rPr>
      </w:pPr>
      <w:r>
        <w:rPr>
          <w:rFonts w:hint="eastAsia" w:ascii="宋体" w:hAnsi="宋体" w:cs="宋体"/>
          <w:b/>
          <w:bCs/>
          <w:color w:val="000000"/>
          <w:szCs w:val="21"/>
          <w:lang w:eastAsia="zh-CN"/>
        </w:rPr>
        <w:t>注：</w:t>
      </w:r>
      <w:r>
        <w:rPr>
          <w:rFonts w:hint="eastAsia" w:ascii="宋体" w:hAnsi="宋体" w:cs="宋体"/>
          <w:color w:val="000000"/>
          <w:szCs w:val="21"/>
          <w:lang w:val="en-US" w:eastAsia="zh-CN"/>
        </w:rPr>
        <w:t>1、</w:t>
      </w:r>
      <w:r>
        <w:rPr>
          <w:rFonts w:hint="eastAsia" w:ascii="宋体" w:hAnsi="宋体" w:cs="宋体"/>
          <w:color w:val="000000"/>
          <w:szCs w:val="21"/>
        </w:rPr>
        <w:t>投标人是事业单位的，暂未缴纳养老保险的，须由其主管部门出具证明</w:t>
      </w:r>
      <w:r>
        <w:rPr>
          <w:rFonts w:hint="eastAsia" w:ascii="宋体" w:hAnsi="宋体" w:cs="宋体"/>
          <w:color w:val="000000"/>
          <w:szCs w:val="21"/>
          <w:lang w:eastAsia="zh-CN"/>
        </w:rPr>
        <w:t>。</w:t>
      </w:r>
      <w:r>
        <w:rPr>
          <w:rFonts w:hint="eastAsia" w:ascii="Times New Roman" w:hAnsi="Times New Roman"/>
          <w:smallCaps w:val="0"/>
          <w:lang w:val="en-US" w:eastAsia="zh-CN"/>
        </w:rPr>
        <w:t>2、</w:t>
      </w:r>
      <w:r>
        <w:rPr>
          <w:rFonts w:hint="eastAsia" w:ascii="Times New Roman" w:hAnsi="Times New Roman"/>
          <w:smallCaps w:val="0"/>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r>
        <w:rPr>
          <w:rFonts w:hint="eastAsia"/>
          <w:smallCaps w:val="0"/>
          <w:lang w:eastAsia="zh-CN"/>
        </w:rPr>
        <w:t>。</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 xml:space="preserve">联合体投标，如提供项目经理（建造师）B岗的，还须提供项目经理（建造师）B岗的养老保险证明（要求同上）。） </w:t>
      </w:r>
      <w:r>
        <w:rPr>
          <w:rFonts w:hint="eastAsia" w:ascii="宋体" w:hAnsi="宋体" w:cs="宋体"/>
          <w:color w:val="auto"/>
          <w:szCs w:val="21"/>
          <w:highlight w:val="none"/>
          <w:lang w:val="en-US" w:eastAsia="zh-CN"/>
        </w:rPr>
        <w:t xml:space="preserve">  </w:t>
      </w:r>
      <w:r>
        <w:rPr>
          <w:rFonts w:hint="eastAsia" w:ascii="宋体" w:hAnsi="宋体" w:cs="宋体"/>
          <w:b/>
          <w:bCs/>
          <w:color w:val="auto"/>
          <w:szCs w:val="21"/>
          <w:highlight w:val="none"/>
          <w:lang w:val="en-US" w:eastAsia="zh-CN"/>
        </w:rPr>
        <w:t xml:space="preserve"> </w:t>
      </w:r>
      <w:r>
        <w:rPr>
          <w:rFonts w:hint="eastAsia" w:ascii="宋体" w:hAnsi="宋体" w:cs="宋体"/>
          <w:color w:val="auto"/>
          <w:szCs w:val="21"/>
          <w:highlight w:val="none"/>
          <w:lang w:val="en-US" w:eastAsia="zh-CN"/>
        </w:rPr>
        <w:t xml:space="preserve">  </w:t>
      </w:r>
    </w:p>
    <w:p w14:paraId="3AEF9F54">
      <w:pPr>
        <w:widowControl/>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（8）项目管理机构。查看项目管理机构主要人员组成表；</w:t>
      </w:r>
    </w:p>
    <w:p w14:paraId="20362445">
      <w:pPr>
        <w:widowControl/>
        <w:adjustRightInd w:val="0"/>
        <w:snapToGrid w:val="0"/>
        <w:spacing w:line="56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（9）联合体协议书（如有）</w:t>
      </w:r>
      <w:r>
        <w:rPr>
          <w:rFonts w:hint="eastAsia" w:ascii="宋体" w:hAnsi="宋体" w:eastAsia="宋体" w:cs="宋体"/>
          <w:color w:val="auto"/>
          <w:szCs w:val="21"/>
          <w:highlight w:val="none"/>
          <w:lang w:eastAsia="zh-CN"/>
        </w:rPr>
        <w:t>；</w:t>
      </w:r>
    </w:p>
    <w:p w14:paraId="4F1B54E3">
      <w:pPr>
        <w:widowControl/>
        <w:adjustRightInd w:val="0"/>
        <w:snapToGrid w:val="0"/>
        <w:spacing w:line="560" w:lineRule="exact"/>
        <w:ind w:firstLine="420" w:firstLineChars="20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10）拟分包项目情况表（或分包意向协议书）（如有）。</w:t>
      </w:r>
    </w:p>
    <w:p w14:paraId="209A5494">
      <w:pPr>
        <w:adjustRightInd w:val="0"/>
        <w:snapToGrid w:val="0"/>
        <w:spacing w:line="560" w:lineRule="exact"/>
        <w:ind w:firstLine="422" w:firstLineChars="200"/>
        <w:jc w:val="left"/>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温馨提示：</w:t>
      </w:r>
    </w:p>
    <w:p w14:paraId="6A185AE4">
      <w:pPr>
        <w:adjustRightInd w:val="0"/>
        <w:snapToGrid w:val="0"/>
        <w:spacing w:line="560" w:lineRule="exact"/>
        <w:ind w:firstLine="422" w:firstLineChars="200"/>
        <w:jc w:val="left"/>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（1）请各投标人自行完善安徽省公共资源交易市场主体库中的单位基本信息，保证信息最新且有效。</w:t>
      </w:r>
    </w:p>
    <w:p w14:paraId="7B127B3E">
      <w:pPr>
        <w:adjustRightInd w:val="0"/>
        <w:snapToGrid w:val="0"/>
        <w:spacing w:line="560" w:lineRule="exact"/>
        <w:ind w:firstLine="422" w:firstLineChars="200"/>
        <w:jc w:val="left"/>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（2）请投标人认真准备投标文件资格审查资料</w:t>
      </w:r>
      <w:r>
        <w:rPr>
          <w:rFonts w:hint="eastAsia" w:ascii="黑体" w:hAnsi="黑体" w:eastAsia="黑体" w:cs="黑体"/>
          <w:b/>
          <w:color w:val="auto"/>
          <w:szCs w:val="21"/>
          <w:highlight w:val="none"/>
          <w:lang w:eastAsia="zh-CN"/>
        </w:rPr>
        <w:t>，</w:t>
      </w:r>
      <w:r>
        <w:rPr>
          <w:rFonts w:hint="eastAsia" w:ascii="黑体" w:hAnsi="黑体" w:eastAsia="黑体" w:cs="黑体"/>
          <w:b/>
          <w:color w:val="auto"/>
          <w:szCs w:val="21"/>
          <w:highlight w:val="none"/>
        </w:rPr>
        <w:t>如评标专家在检验电子标书过程中，如果由于投标人自身原因导致评标专家无法查看并检验电子标书中相关资料的，视为无效标处理。即使投标人将原件携带至现场的，同样按无效标处理。</w:t>
      </w:r>
    </w:p>
    <w:p w14:paraId="14D8F2A0">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2.审查办法</w:t>
      </w:r>
    </w:p>
    <w:p w14:paraId="29E96AC9">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由资格审查委员会（评标委员会）按资格审查办法前附表中资格审查必要合格条件评审表要求对投标人审查资料进行核验。</w:t>
      </w:r>
    </w:p>
    <w:p w14:paraId="56EFA842">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3.资格审查委员会和审查标准</w:t>
      </w:r>
    </w:p>
    <w:p w14:paraId="7A4D3984">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3.1资格审查由招标人依法组建的资格审查委员会（或评标委员会）负责。审查标准见资格审查办法前附表。</w:t>
      </w:r>
    </w:p>
    <w:p w14:paraId="4F968AA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3.2由资格审查委员会（评标委员会）按资格审查办法前附表要求对投标人的审查资料进行核验。投标申请人有下列情形之一的，其资格审查为不合格： </w:t>
      </w:r>
    </w:p>
    <w:p w14:paraId="0309D00F">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（1）未上传电子标书或电子标书经审查不合格；</w:t>
      </w:r>
    </w:p>
    <w:p w14:paraId="78A0532F">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（2）联合体投标人没有提交联合体协议书；</w:t>
      </w:r>
    </w:p>
    <w:p w14:paraId="3E414140">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（3）保证金不按第二章“投标人须知”及其前附表要求提交投标保证金的； </w:t>
      </w:r>
    </w:p>
    <w:p w14:paraId="714102D4">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（4）投标人未办理省主体库登记入库手续的；</w:t>
      </w:r>
    </w:p>
    <w:p w14:paraId="65804417">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（5）投标人投标 MAC 地址一致的；</w:t>
      </w:r>
    </w:p>
    <w:p w14:paraId="766428ED">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（6）投标人申请开具电子保函 MAC 地址一致的；</w:t>
      </w:r>
    </w:p>
    <w:p w14:paraId="75F35919">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（7）投标人投标文件制作机器码、文件创建标识码及造价软件加密锁号信息雷同的；</w:t>
      </w:r>
    </w:p>
    <w:p w14:paraId="0CD9B3F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5542D31C">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4.审查结果</w:t>
      </w:r>
    </w:p>
    <w:p w14:paraId="4671AD6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只有通过资格审查的投标人才能进入下一步的评标程序。</w:t>
      </w:r>
    </w:p>
    <w:bookmarkEnd w:id="675"/>
    <w:bookmarkEnd w:id="676"/>
    <w:bookmarkEnd w:id="677"/>
    <w:bookmarkEnd w:id="678"/>
    <w:bookmarkEnd w:id="679"/>
    <w:p w14:paraId="259B9059">
      <w:pPr>
        <w:rPr>
          <w:rFonts w:hint="eastAsia"/>
          <w:color w:val="auto"/>
          <w:highlight w:val="none"/>
        </w:rPr>
      </w:pPr>
      <w:bookmarkStart w:id="681" w:name="_Toc60061495"/>
      <w:bookmarkStart w:id="682" w:name="_Toc15058912"/>
      <w:bookmarkStart w:id="683" w:name="_Toc95223398"/>
      <w:bookmarkStart w:id="684" w:name="_Toc506107323"/>
    </w:p>
    <w:p w14:paraId="0AD14C99">
      <w:pPr>
        <w:pStyle w:val="20"/>
        <w:rPr>
          <w:rFonts w:hint="eastAsia"/>
          <w:color w:val="auto"/>
          <w:highlight w:val="none"/>
        </w:rPr>
      </w:pPr>
    </w:p>
    <w:p w14:paraId="1E61CB5D">
      <w:pPr>
        <w:rPr>
          <w:rFonts w:hint="eastAsia"/>
          <w:color w:val="auto"/>
          <w:highlight w:val="none"/>
        </w:rPr>
      </w:pPr>
    </w:p>
    <w:p w14:paraId="066E1B95">
      <w:pPr>
        <w:pStyle w:val="20"/>
        <w:rPr>
          <w:rFonts w:hint="eastAsia"/>
          <w:color w:val="auto"/>
          <w:highlight w:val="none"/>
        </w:rPr>
      </w:pPr>
    </w:p>
    <w:p w14:paraId="5762B0CD">
      <w:pPr>
        <w:rPr>
          <w:rFonts w:hint="eastAsia"/>
          <w:color w:val="auto"/>
          <w:highlight w:val="none"/>
        </w:rPr>
      </w:pPr>
    </w:p>
    <w:p w14:paraId="2B5B6810">
      <w:pPr>
        <w:pStyle w:val="20"/>
        <w:rPr>
          <w:rFonts w:hint="eastAsia"/>
          <w:color w:val="auto"/>
          <w:highlight w:val="none"/>
        </w:rPr>
      </w:pPr>
    </w:p>
    <w:p w14:paraId="39B5E560">
      <w:pPr>
        <w:rPr>
          <w:rFonts w:hint="eastAsia"/>
          <w:color w:val="auto"/>
          <w:highlight w:val="none"/>
        </w:rPr>
      </w:pPr>
    </w:p>
    <w:p w14:paraId="6E5E311C">
      <w:pPr>
        <w:pStyle w:val="20"/>
        <w:rPr>
          <w:rFonts w:hint="eastAsia"/>
          <w:color w:val="auto"/>
          <w:highlight w:val="none"/>
        </w:rPr>
      </w:pPr>
    </w:p>
    <w:p w14:paraId="2E997AA5">
      <w:pPr>
        <w:pStyle w:val="20"/>
        <w:ind w:left="0" w:leftChars="0" w:firstLine="0" w:firstLineChars="0"/>
        <w:rPr>
          <w:rFonts w:hint="eastAsia"/>
          <w:color w:val="auto"/>
          <w:highlight w:val="none"/>
        </w:rPr>
      </w:pPr>
    </w:p>
    <w:bookmarkEnd w:id="680"/>
    <w:bookmarkEnd w:id="681"/>
    <w:bookmarkEnd w:id="682"/>
    <w:bookmarkEnd w:id="683"/>
    <w:bookmarkEnd w:id="684"/>
    <w:p w14:paraId="17925A94">
      <w:pPr>
        <w:rPr>
          <w:rFonts w:hint="eastAsia"/>
          <w:color w:val="auto"/>
          <w:highlight w:val="none"/>
        </w:rPr>
      </w:pPr>
      <w:bookmarkStart w:id="685" w:name="_Toc95223428"/>
    </w:p>
    <w:p w14:paraId="52D09DF8">
      <w:pPr>
        <w:rPr>
          <w:rFonts w:hint="eastAsia"/>
          <w:color w:val="auto"/>
          <w:highlight w:val="none"/>
        </w:rPr>
      </w:pPr>
      <w:r>
        <w:rPr>
          <w:rFonts w:hint="eastAsia"/>
          <w:color w:val="auto"/>
          <w:highlight w:val="none"/>
        </w:rPr>
        <w:br w:type="page"/>
      </w:r>
    </w:p>
    <w:p w14:paraId="59A288B1">
      <w:pPr>
        <w:pStyle w:val="3"/>
        <w:adjustRightInd w:val="0"/>
        <w:snapToGrid w:val="0"/>
        <w:spacing w:before="0" w:after="0" w:line="560" w:lineRule="exact"/>
        <w:jc w:val="center"/>
        <w:rPr>
          <w:rFonts w:hint="eastAsia"/>
          <w:color w:val="auto"/>
          <w:highlight w:val="none"/>
        </w:rPr>
      </w:pPr>
      <w:r>
        <w:rPr>
          <w:rFonts w:hint="eastAsia"/>
          <w:color w:val="auto"/>
          <w:highlight w:val="none"/>
        </w:rPr>
        <w:t>第四章 评标办法（综合评估法</w:t>
      </w:r>
      <w:r>
        <w:rPr>
          <w:rFonts w:hint="eastAsia"/>
          <w:color w:val="auto"/>
          <w:highlight w:val="none"/>
          <w:lang w:val="en-US" w:eastAsia="zh-CN"/>
        </w:rPr>
        <w:t>-评定分离</w:t>
      </w:r>
      <w:r>
        <w:rPr>
          <w:rFonts w:hint="eastAsia"/>
          <w:color w:val="auto"/>
          <w:highlight w:val="none"/>
        </w:rPr>
        <w:t>）</w:t>
      </w:r>
      <w:bookmarkEnd w:id="685"/>
    </w:p>
    <w:p w14:paraId="63BB65DD">
      <w:pPr>
        <w:numPr>
          <w:ilvl w:val="0"/>
          <w:numId w:val="0"/>
        </w:numPr>
        <w:spacing w:line="560" w:lineRule="exact"/>
        <w:ind w:left="-900" w:leftChars="0"/>
        <w:jc w:val="center"/>
        <w:rPr>
          <w:rFonts w:hint="eastAsia"/>
          <w:color w:val="auto"/>
          <w:highlight w:val="none"/>
        </w:rPr>
      </w:pPr>
      <w:r>
        <w:rPr>
          <w:rFonts w:hint="eastAsia"/>
          <w:b/>
          <w:color w:val="auto"/>
          <w:sz w:val="28"/>
          <w:szCs w:val="21"/>
          <w:highlight w:val="none"/>
          <w:lang w:eastAsia="zh-CN"/>
        </w:rPr>
        <w:t>（</w:t>
      </w:r>
      <w:r>
        <w:rPr>
          <w:rFonts w:hint="eastAsia"/>
          <w:b/>
          <w:color w:val="auto"/>
          <w:sz w:val="28"/>
          <w:szCs w:val="21"/>
          <w:highlight w:val="none"/>
          <w:lang w:val="en-US" w:eastAsia="zh-CN"/>
        </w:rPr>
        <w:t>一）</w:t>
      </w:r>
      <w:r>
        <w:rPr>
          <w:rFonts w:hint="eastAsia"/>
          <w:b/>
          <w:color w:val="auto"/>
          <w:sz w:val="28"/>
          <w:szCs w:val="21"/>
          <w:highlight w:val="none"/>
        </w:rPr>
        <w:t>中标候选人的确定</w:t>
      </w:r>
    </w:p>
    <w:p w14:paraId="1E6043B3">
      <w:pPr>
        <w:pStyle w:val="20"/>
        <w:spacing w:after="0" w:line="560" w:lineRule="exact"/>
        <w:ind w:left="0" w:leftChars="0"/>
        <w:rPr>
          <w:color w:val="auto"/>
          <w:highlight w:val="none"/>
        </w:rPr>
      </w:pPr>
      <w:r>
        <w:rPr>
          <w:rFonts w:hint="eastAsia"/>
          <w:color w:val="auto"/>
          <w:highlight w:val="none"/>
        </w:rPr>
        <w:t>第一阶段，评标委员会对投标人依次进行资信、技术文件审查，对均满足要求的投标人先进行除投标报价之外的评审因素打分，汇总后的得分按照从高到低进行排序</w:t>
      </w:r>
      <w:r>
        <w:rPr>
          <w:rFonts w:hint="eastAsia"/>
          <w:b/>
          <w:bCs/>
          <w:color w:val="auto"/>
          <w:highlight w:val="none"/>
        </w:rPr>
        <w:t>（得分相同的并列，下一个排名顺延。如2个投标人并列第一，则第3个排名为第三名）</w:t>
      </w:r>
      <w:r>
        <w:rPr>
          <w:rFonts w:hint="eastAsia"/>
          <w:color w:val="auto"/>
          <w:highlight w:val="none"/>
        </w:rPr>
        <w:t>，选择总得分排前N名的投标人进入第二阶段评标，N取值为</w:t>
      </w:r>
      <w:r>
        <w:rPr>
          <w:rFonts w:hint="eastAsia"/>
          <w:color w:val="auto"/>
          <w:highlight w:val="none"/>
          <w:u w:val="single"/>
          <w:lang w:val="en-US" w:eastAsia="zh-CN"/>
        </w:rPr>
        <w:t>7</w:t>
      </w:r>
      <w:r>
        <w:rPr>
          <w:rFonts w:hint="eastAsia"/>
          <w:color w:val="auto"/>
          <w:highlight w:val="none"/>
        </w:rPr>
        <w:t>，</w:t>
      </w:r>
      <w:r>
        <w:rPr>
          <w:rFonts w:hint="eastAsia"/>
          <w:b/>
          <w:bCs/>
          <w:color w:val="auto"/>
          <w:highlight w:val="none"/>
        </w:rPr>
        <w:t>与第N个得分相同的一并进入第二阶段评标。</w:t>
      </w:r>
      <w:r>
        <w:rPr>
          <w:rFonts w:hint="eastAsia"/>
          <w:color w:val="auto"/>
          <w:highlight w:val="none"/>
        </w:rPr>
        <w:t>不少于3个但不足N个的，全部进入第二阶段评标；不足3个的，本项目流标。</w:t>
      </w:r>
    </w:p>
    <w:p w14:paraId="4BD53EED">
      <w:pPr>
        <w:pStyle w:val="20"/>
        <w:spacing w:after="0" w:line="560" w:lineRule="exact"/>
        <w:ind w:left="0" w:leftChars="0"/>
        <w:rPr>
          <w:rFonts w:hint="eastAsia"/>
          <w:b/>
          <w:color w:val="auto"/>
          <w:sz w:val="28"/>
          <w:szCs w:val="21"/>
          <w:highlight w:val="none"/>
        </w:rPr>
      </w:pPr>
      <w:r>
        <w:rPr>
          <w:rFonts w:hint="eastAsia"/>
          <w:color w:val="auto"/>
          <w:highlight w:val="none"/>
        </w:rPr>
        <w:t>第二阶段，投标报价评审。评标委员会仅针对进入第二阶段的投标人商务标文件进行评审，评审过程中如出现无效投标，将替补至N个投标人，剩余投标人不足替补至N个的，至少替补至3个，否则本项目流标。以进入第二阶段的有效投标报价作为评标基准价计算范围。根据投标报价评审规则计算投标报价得分。确定中标候选人时，按照各项评审因素的总得分从高到低推荐</w:t>
      </w:r>
      <w:r>
        <w:rPr>
          <w:rFonts w:hint="eastAsia"/>
          <w:color w:val="auto"/>
          <w:highlight w:val="none"/>
          <w:lang w:val="en-US" w:eastAsia="zh-CN"/>
        </w:rPr>
        <w:t>3名</w:t>
      </w:r>
      <w:r>
        <w:rPr>
          <w:rFonts w:hint="eastAsia"/>
          <w:color w:val="auto"/>
          <w:highlight w:val="none"/>
        </w:rPr>
        <w:t>中标候选人</w:t>
      </w:r>
      <w:r>
        <w:rPr>
          <w:rFonts w:hint="eastAsia"/>
          <w:color w:val="auto"/>
          <w:highlight w:val="none"/>
          <w:lang w:eastAsia="zh-CN"/>
        </w:rPr>
        <w:t>（</w:t>
      </w:r>
      <w:r>
        <w:rPr>
          <w:rFonts w:hint="eastAsia"/>
          <w:color w:val="auto"/>
          <w:highlight w:val="none"/>
          <w:lang w:val="en-US" w:eastAsia="zh-CN"/>
        </w:rPr>
        <w:t>不排序）</w:t>
      </w:r>
      <w:r>
        <w:rPr>
          <w:rFonts w:hint="eastAsia"/>
          <w:color w:val="auto"/>
          <w:highlight w:val="none"/>
        </w:rPr>
        <w:t>。如总得分相等，以投标报价低的优先，投标报价仍相等，由评标委员会主任委员或招标人随机抽取确定。</w:t>
      </w:r>
    </w:p>
    <w:p w14:paraId="40993610">
      <w:pPr>
        <w:numPr>
          <w:ilvl w:val="0"/>
          <w:numId w:val="0"/>
        </w:numPr>
        <w:spacing w:line="560" w:lineRule="exact"/>
        <w:ind w:left="-900" w:leftChars="0"/>
        <w:jc w:val="center"/>
        <w:rPr>
          <w:rFonts w:hint="eastAsia" w:ascii="Times New Roman" w:hAnsi="Times New Roman" w:cs="Times New Roman"/>
          <w:b/>
          <w:color w:val="auto"/>
          <w:sz w:val="28"/>
          <w:szCs w:val="21"/>
          <w:highlight w:val="none"/>
          <w:lang w:eastAsia="zh-CN"/>
        </w:rPr>
      </w:pPr>
      <w:r>
        <w:rPr>
          <w:rFonts w:hint="eastAsia" w:ascii="Times New Roman" w:hAnsi="Times New Roman" w:cs="Times New Roman"/>
          <w:b/>
          <w:color w:val="auto"/>
          <w:sz w:val="28"/>
          <w:szCs w:val="21"/>
          <w:highlight w:val="none"/>
          <w:lang w:eastAsia="zh-CN"/>
        </w:rPr>
        <w:t>（二）资信标评审</w:t>
      </w:r>
    </w:p>
    <w:tbl>
      <w:tblPr>
        <w:tblStyle w:val="21"/>
        <w:tblW w:w="10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1325"/>
        <w:gridCol w:w="852"/>
        <w:gridCol w:w="7216"/>
      </w:tblGrid>
      <w:tr w14:paraId="17C1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06" w:type="dxa"/>
            <w:noWrap w:val="0"/>
            <w:vAlign w:val="top"/>
          </w:tcPr>
          <w:p w14:paraId="6A4DD5ED">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325" w:type="dxa"/>
            <w:noWrap w:val="0"/>
            <w:vAlign w:val="top"/>
          </w:tcPr>
          <w:p w14:paraId="56413D47">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评审因素</w:t>
            </w:r>
          </w:p>
        </w:tc>
        <w:tc>
          <w:tcPr>
            <w:tcW w:w="852" w:type="dxa"/>
            <w:noWrap w:val="0"/>
            <w:vAlign w:val="top"/>
          </w:tcPr>
          <w:p w14:paraId="1E7AF0DD">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分值设置</w:t>
            </w:r>
          </w:p>
        </w:tc>
        <w:tc>
          <w:tcPr>
            <w:tcW w:w="7216" w:type="dxa"/>
            <w:noWrap w:val="0"/>
            <w:vAlign w:val="top"/>
          </w:tcPr>
          <w:p w14:paraId="3498488B">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评审标准</w:t>
            </w:r>
          </w:p>
        </w:tc>
      </w:tr>
      <w:tr w14:paraId="46D4A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06" w:type="dxa"/>
            <w:noWrap w:val="0"/>
            <w:vAlign w:val="center"/>
          </w:tcPr>
          <w:p w14:paraId="5EC0923D">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25" w:type="dxa"/>
            <w:noWrap w:val="0"/>
            <w:vAlign w:val="center"/>
          </w:tcPr>
          <w:p w14:paraId="7E4A1048">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业绩、奖项</w:t>
            </w:r>
          </w:p>
        </w:tc>
        <w:tc>
          <w:tcPr>
            <w:tcW w:w="852" w:type="dxa"/>
            <w:noWrap w:val="0"/>
            <w:vAlign w:val="center"/>
          </w:tcPr>
          <w:p w14:paraId="1395D3CE">
            <w:pPr>
              <w:adjustRightInd w:val="0"/>
              <w:snapToGrid w:val="0"/>
              <w:spacing w:line="560" w:lineRule="exact"/>
              <w:jc w:val="center"/>
              <w:rPr>
                <w:rFonts w:hint="default" w:ascii="宋体" w:hAnsi="宋体" w:cs="宋体"/>
                <w:color w:val="auto"/>
                <w:szCs w:val="21"/>
                <w:highlight w:val="none"/>
                <w:lang w:val="en-US"/>
              </w:rPr>
            </w:pPr>
            <w:r>
              <w:rPr>
                <w:rFonts w:hint="eastAsia" w:ascii="宋体" w:hAnsi="宋体" w:cs="宋体"/>
                <w:color w:val="auto"/>
                <w:szCs w:val="21"/>
                <w:highlight w:val="none"/>
                <w:lang w:val="en-US" w:eastAsia="zh-CN"/>
              </w:rPr>
              <w:t xml:space="preserve">  5 分</w:t>
            </w:r>
          </w:p>
        </w:tc>
        <w:tc>
          <w:tcPr>
            <w:tcW w:w="7216" w:type="dxa"/>
            <w:noWrap w:val="0"/>
            <w:vAlign w:val="top"/>
          </w:tcPr>
          <w:p w14:paraId="7EC2F5D4">
            <w:pPr>
              <w:numPr>
                <w:ilvl w:val="0"/>
                <w:numId w:val="0"/>
              </w:numPr>
              <w:spacing w:line="500" w:lineRule="exact"/>
              <w:jc w:val="left"/>
              <w:rPr>
                <w:rFonts w:hint="default" w:ascii="Times New Roman" w:hAnsi="Times New Roman" w:cs="Times New Roman"/>
                <w:b/>
                <w:bCs/>
                <w:color w:val="auto"/>
                <w:highlight w:val="none"/>
                <w:lang w:val="en-US" w:eastAsia="zh-CN"/>
              </w:rPr>
            </w:pPr>
            <w:r>
              <w:rPr>
                <w:rFonts w:hint="eastAsia" w:ascii="宋体" w:hAnsi="宋体" w:eastAsia="宋体" w:cs="宋体"/>
                <w:color w:val="auto"/>
                <w:highlight w:val="none"/>
                <w:u w:val="none"/>
                <w:lang w:val="en-US" w:eastAsia="zh-CN"/>
              </w:rPr>
              <w:t>一、项目经理业绩（2.5分）</w:t>
            </w:r>
            <w:r>
              <w:rPr>
                <w:rFonts w:hint="eastAsia" w:ascii="Times New Roman" w:hAnsi="Times New Roman" w:cs="Times New Roman"/>
                <w:b/>
                <w:bCs/>
                <w:color w:val="auto"/>
                <w:highlight w:val="none"/>
                <w:lang w:val="en-US" w:eastAsia="zh-CN"/>
              </w:rPr>
              <w:t>（注：若为联合体投标，项目经理A岗或项目经理B岗提供的业绩均予以认可。）</w:t>
            </w:r>
          </w:p>
          <w:p w14:paraId="134BE315">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自2021年1月1日至投标截止时间，投标人拟派项目经理具有单项合同金额不低于2500万元的工业厂房机电安装工程业绩的得2.5分。</w:t>
            </w:r>
          </w:p>
          <w:p w14:paraId="2C2B2E14">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注：</w:t>
            </w:r>
          </w:p>
          <w:p w14:paraId="6A669F9E">
            <w:pPr>
              <w:numPr>
                <w:ilvl w:val="0"/>
                <w:numId w:val="0"/>
              </w:numPr>
              <w:spacing w:line="500" w:lineRule="exact"/>
              <w:jc w:val="left"/>
              <w:rPr>
                <w:rFonts w:hint="eastAsia"/>
                <w:b/>
                <w:bCs/>
                <w:color w:val="auto"/>
                <w:highlight w:val="none"/>
                <w:lang w:val="en-US" w:eastAsia="zh-CN"/>
              </w:rPr>
            </w:pPr>
            <w:r>
              <w:rPr>
                <w:rFonts w:hint="eastAsia"/>
                <w:color w:val="auto"/>
                <w:highlight w:val="none"/>
                <w:lang w:val="en-US" w:eastAsia="zh-CN"/>
              </w:rPr>
              <w:t>1.具体业绩金额以合同内容为准；</w:t>
            </w:r>
            <w:r>
              <w:rPr>
                <w:rFonts w:hint="eastAsia"/>
                <w:b/>
                <w:bCs/>
                <w:color w:val="auto"/>
                <w:highlight w:val="none"/>
                <w:lang w:val="en-US" w:eastAsia="zh-CN"/>
              </w:rPr>
              <w:t>企业业绩和项目经理业绩不重复。</w:t>
            </w:r>
          </w:p>
          <w:p w14:paraId="622B08F6">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2.业绩有效时间以竣工验收报告或竣工验收证书或竣工验收证明书或工程竣工验收备案表中的竣工验收通过日期为准。</w:t>
            </w:r>
          </w:p>
          <w:p w14:paraId="54B32B61">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3.项目经理发生变更的，须提供经建设行政主管部门或招投标行政主管部门备案的项目经理变更证明材料（或同时提供网上变更申请截图、网站公示截图及查询链接）扫描件。</w:t>
            </w:r>
          </w:p>
          <w:p w14:paraId="766C84B2">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4.项目经理业绩必须是以项目经理身份参与的业绩，以其他管理人员身份参与的无效。</w:t>
            </w:r>
          </w:p>
          <w:p w14:paraId="4AAA5A7A">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5.投标人所提供的业绩可以为联合体业绩；投标人所提供的业绩为联合体业绩的，联合体牵头方或成员方均认可，且该业绩的机电安装工程须由投标人承担施工建设，同时联合体协议须体现上述内容。若体现不出投标人承担机电安装工程施工内容的，须由该业绩的建设单位出具证明材料，证明其由投标人承担建设。</w:t>
            </w:r>
          </w:p>
          <w:p w14:paraId="697A3950">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投标文件中须同时提供下列材料扫描件：</w:t>
            </w:r>
          </w:p>
          <w:p w14:paraId="3F2AD7E2">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①中标通知书；</w:t>
            </w:r>
          </w:p>
          <w:p w14:paraId="2EA9C6C2">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②合同；</w:t>
            </w:r>
          </w:p>
          <w:p w14:paraId="4B465775">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③竣工验收报告或竣工验收证书或竣工验收证明书或工程竣工验收备案表；</w:t>
            </w:r>
          </w:p>
          <w:p w14:paraId="206EAB3C">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④提供该业绩在全国建筑市场监管公共服务平台或全国公共资源交易平台（包括各省市平台，如全国公共资源交易平台（安徽省滁州市）可查）截图及网址，其中全国建筑市场监管公共服务平台的截图中须显示数据等级为A级或B级或C级；</w:t>
            </w:r>
          </w:p>
          <w:p w14:paraId="16A2591E">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⑤联合体协议（第⑤项材料仅针对联合体形式承接的业绩）。</w:t>
            </w:r>
          </w:p>
          <w:p w14:paraId="19F1FDC3">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上述①至④项材料缺一不可（若为联合体形式承接业绩的，上述①至⑤项材料缺一不可），如上述材料未能够充分有效证明该工程业绩的规模、业绩金额、工程类型、项目经理姓名等评审因素，则另须提供项目业绩建设单位出具的加盖建设单位公章的证明材料。</w:t>
            </w:r>
          </w:p>
          <w:p w14:paraId="48FEEE04">
            <w:pPr>
              <w:numPr>
                <w:ilvl w:val="0"/>
                <w:numId w:val="0"/>
              </w:numPr>
              <w:spacing w:line="500" w:lineRule="exact"/>
              <w:jc w:val="left"/>
              <w:rPr>
                <w:rFonts w:hint="eastAsia"/>
                <w:b/>
                <w:bCs/>
                <w:color w:val="auto"/>
                <w:highlight w:val="none"/>
                <w:lang w:val="en-US" w:eastAsia="zh-CN"/>
              </w:rPr>
            </w:pPr>
            <w:r>
              <w:rPr>
                <w:rFonts w:hint="eastAsia"/>
                <w:color w:val="auto"/>
                <w:highlight w:val="none"/>
                <w:lang w:val="en-US" w:eastAsia="zh-CN"/>
              </w:rPr>
              <w:t>二、企业业绩（2.5分）</w:t>
            </w:r>
            <w:r>
              <w:rPr>
                <w:rFonts w:hint="eastAsia"/>
                <w:b/>
                <w:bCs/>
                <w:color w:val="auto"/>
                <w:highlight w:val="none"/>
                <w:lang w:val="en-US" w:eastAsia="zh-CN"/>
              </w:rPr>
              <w:t>（注：若为联合体投标，联合体任意一方提供的业绩均予以认可。）</w:t>
            </w:r>
          </w:p>
          <w:p w14:paraId="29E22B45">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自2021年1月1日至投标截止时间，投标人具有单项合同金额不低于3000万元的工业厂房工程施工业绩的得2.5分。</w:t>
            </w:r>
          </w:p>
          <w:p w14:paraId="4A992EB9">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注：</w:t>
            </w:r>
          </w:p>
          <w:p w14:paraId="3E7C8603">
            <w:pPr>
              <w:numPr>
                <w:ilvl w:val="0"/>
                <w:numId w:val="0"/>
              </w:numPr>
              <w:spacing w:line="500" w:lineRule="exact"/>
              <w:jc w:val="left"/>
              <w:rPr>
                <w:rFonts w:hint="eastAsia"/>
                <w:b/>
                <w:bCs/>
                <w:color w:val="auto"/>
                <w:highlight w:val="none"/>
                <w:lang w:val="en-US" w:eastAsia="zh-CN"/>
              </w:rPr>
            </w:pPr>
            <w:r>
              <w:rPr>
                <w:rFonts w:hint="eastAsia"/>
                <w:color w:val="auto"/>
                <w:highlight w:val="none"/>
                <w:lang w:val="en-US" w:eastAsia="zh-CN"/>
              </w:rPr>
              <w:t>1.具体业绩金额以合同内容为准；</w:t>
            </w:r>
            <w:r>
              <w:rPr>
                <w:rFonts w:hint="eastAsia"/>
                <w:b/>
                <w:bCs/>
                <w:color w:val="auto"/>
                <w:highlight w:val="none"/>
                <w:lang w:val="en-US" w:eastAsia="zh-CN"/>
              </w:rPr>
              <w:t>企业业绩和项目经理业绩不重复。</w:t>
            </w:r>
          </w:p>
          <w:p w14:paraId="374B10BB">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2.业绩有效时间以竣工验收报告或竣工验收证书或竣工验收证明书或工程竣工验收备案表中的竣工验收通过日期为准。</w:t>
            </w:r>
          </w:p>
          <w:p w14:paraId="20B0679A">
            <w:pPr>
              <w:numPr>
                <w:ilvl w:val="0"/>
                <w:numId w:val="0"/>
              </w:numPr>
              <w:spacing w:line="500" w:lineRule="exact"/>
              <w:jc w:val="left"/>
              <w:rPr>
                <w:rFonts w:hint="eastAsia"/>
                <w:color w:val="auto"/>
                <w:highlight w:val="none"/>
                <w:lang w:val="en-US" w:eastAsia="zh-CN"/>
              </w:rPr>
            </w:pPr>
            <w:r>
              <w:rPr>
                <w:rFonts w:hint="eastAsia"/>
                <w:color w:val="auto"/>
                <w:highlight w:val="none"/>
                <w:lang w:val="en-US" w:eastAsia="zh-CN"/>
              </w:rPr>
              <w:t>3.投标人所提供的业绩为联合体业绩的，联合体牵头方或成员方均认可，且该业绩的主体结构须由投标人承担施工建设，同时联合体协议须体现上述内容。若体现不出投标人承担主体结构建设施工内容的，须由该业绩的建设单位出具证明材料，证明其由投标人承担建设。</w:t>
            </w:r>
          </w:p>
          <w:p w14:paraId="23533B9F">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投标文件中须同时提供下列材料扫描件：</w:t>
            </w:r>
          </w:p>
          <w:p w14:paraId="04C0268B">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①中标通知书；</w:t>
            </w:r>
          </w:p>
          <w:p w14:paraId="254D79BF">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②合同；</w:t>
            </w:r>
          </w:p>
          <w:p w14:paraId="2BAD0FA6">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③竣工验收报告或竣工验收证书或竣工验收证明书或工程竣工验收备案表；</w:t>
            </w:r>
          </w:p>
          <w:p w14:paraId="00F12403">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④提供该业绩在全国建筑市场监管公共服务平台或全国公共资源交易平台(包括各省市平台，如全国公共资源交易平台（安徽省滁州市）可查)截图及网址，其中全国建筑市场监管公共服务平台的截图中须显示数据等级为A级或B级或C级；</w:t>
            </w:r>
          </w:p>
          <w:p w14:paraId="2EB0C172">
            <w:pPr>
              <w:numPr>
                <w:ilvl w:val="0"/>
                <w:numId w:val="0"/>
              </w:numPr>
              <w:spacing w:line="500" w:lineRule="exact"/>
              <w:jc w:val="left"/>
              <w:rPr>
                <w:rFonts w:hint="eastAsia"/>
                <w:b/>
                <w:bCs/>
                <w:color w:val="auto"/>
                <w:highlight w:val="none"/>
                <w:lang w:val="en-US" w:eastAsia="zh-CN"/>
              </w:rPr>
            </w:pPr>
            <w:r>
              <w:rPr>
                <w:rFonts w:hint="eastAsia"/>
                <w:b/>
                <w:bCs/>
                <w:color w:val="auto"/>
                <w:highlight w:val="none"/>
                <w:lang w:val="en-US" w:eastAsia="zh-CN"/>
              </w:rPr>
              <w:t>⑤联合体协议（第⑤项材料仅针对联合体形式承接的业绩）。</w:t>
            </w:r>
          </w:p>
          <w:p w14:paraId="3AAB28C7">
            <w:pPr>
              <w:numPr>
                <w:ilvl w:val="0"/>
                <w:numId w:val="0"/>
              </w:numPr>
              <w:spacing w:line="500" w:lineRule="exact"/>
              <w:jc w:val="left"/>
              <w:rPr>
                <w:rFonts w:hint="eastAsia" w:ascii="宋体" w:hAnsi="宋体" w:cs="宋体"/>
                <w:color w:val="auto"/>
                <w:szCs w:val="21"/>
                <w:highlight w:val="none"/>
              </w:rPr>
            </w:pPr>
            <w:r>
              <w:rPr>
                <w:rFonts w:hint="eastAsia"/>
                <w:b/>
                <w:bCs/>
                <w:color w:val="auto"/>
                <w:highlight w:val="none"/>
                <w:lang w:val="en-US" w:eastAsia="zh-CN"/>
              </w:rPr>
              <w:t>上述①至④项材料缺一不可（若为联合体形式承接业绩的，上述①至⑤项材料缺一不可），如上述材料未能够充分有效证明该工程业绩的规模、业绩金额、工程类型、项目经理姓名等评审因素，则另须提供项目业绩建设单位出具的加盖建设单位公章的证明材料。</w:t>
            </w:r>
          </w:p>
        </w:tc>
      </w:tr>
      <w:tr w14:paraId="63B0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06" w:type="dxa"/>
            <w:noWrap w:val="0"/>
            <w:vAlign w:val="center"/>
          </w:tcPr>
          <w:p w14:paraId="4B70B679">
            <w:pPr>
              <w:adjustRightInd w:val="0"/>
              <w:snapToGrid w:val="0"/>
              <w:spacing w:line="560" w:lineRule="exact"/>
              <w:jc w:val="center"/>
              <w:rPr>
                <w:rFonts w:hint="eastAsia" w:ascii="宋体" w:hAnsi="宋体" w:cs="宋体"/>
                <w:color w:val="auto"/>
                <w:szCs w:val="21"/>
                <w:highlight w:val="none"/>
              </w:rPr>
            </w:pPr>
            <w:r>
              <w:rPr>
                <w:rFonts w:hint="eastAsia" w:ascii="宋体" w:hAnsi="宋体"/>
                <w:color w:val="auto"/>
                <w:szCs w:val="21"/>
                <w:highlight w:val="none"/>
              </w:rPr>
              <w:t>2</w:t>
            </w:r>
          </w:p>
        </w:tc>
        <w:tc>
          <w:tcPr>
            <w:tcW w:w="1325" w:type="dxa"/>
            <w:noWrap w:val="0"/>
            <w:vAlign w:val="center"/>
          </w:tcPr>
          <w:p w14:paraId="2909B76D">
            <w:pPr>
              <w:adjustRightInd w:val="0"/>
              <w:snapToGrid w:val="0"/>
              <w:spacing w:line="560" w:lineRule="exact"/>
              <w:jc w:val="center"/>
              <w:rPr>
                <w:rFonts w:hint="eastAsia" w:ascii="宋体" w:hAnsi="宋体" w:cs="宋体"/>
                <w:color w:val="auto"/>
                <w:szCs w:val="21"/>
                <w:highlight w:val="none"/>
              </w:rPr>
            </w:pPr>
            <w:r>
              <w:rPr>
                <w:rFonts w:hint="eastAsia" w:ascii="宋体" w:hAnsi="宋体"/>
                <w:color w:val="auto"/>
                <w:szCs w:val="21"/>
                <w:highlight w:val="none"/>
              </w:rPr>
              <w:t>联合体协议</w:t>
            </w:r>
          </w:p>
        </w:tc>
        <w:tc>
          <w:tcPr>
            <w:tcW w:w="852" w:type="dxa"/>
            <w:noWrap w:val="0"/>
            <w:vAlign w:val="center"/>
          </w:tcPr>
          <w:p w14:paraId="67115713">
            <w:pPr>
              <w:adjustRightInd w:val="0"/>
              <w:snapToGrid w:val="0"/>
              <w:spacing w:line="56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分</w:t>
            </w:r>
          </w:p>
        </w:tc>
        <w:tc>
          <w:tcPr>
            <w:tcW w:w="7216" w:type="dxa"/>
            <w:noWrap w:val="0"/>
            <w:vAlign w:val="center"/>
          </w:tcPr>
          <w:p w14:paraId="5CF9CD46">
            <w:pPr>
              <w:adjustRightInd w:val="0"/>
              <w:snapToGrid w:val="0"/>
              <w:spacing w:line="560" w:lineRule="exact"/>
              <w:rPr>
                <w:rFonts w:hint="eastAsia"/>
                <w:color w:val="auto"/>
                <w:highlight w:val="none"/>
                <w:lang w:val="en-US" w:eastAsia="zh-CN"/>
              </w:rPr>
            </w:pPr>
            <w:r>
              <w:rPr>
                <w:rFonts w:hint="eastAsia"/>
                <w:color w:val="auto"/>
                <w:highlight w:val="none"/>
                <w:lang w:val="en-US" w:eastAsia="zh-CN"/>
              </w:rPr>
              <w:t>1.</w:t>
            </w:r>
            <w:r>
              <w:rPr>
                <w:rFonts w:hint="eastAsia" w:eastAsia="宋体"/>
                <w:color w:val="auto"/>
                <w:highlight w:val="none"/>
                <w:lang w:val="en-US" w:eastAsia="zh-CN"/>
              </w:rPr>
              <w:t>联合体投标的，提供的联合体协议明确各方权责分工等内容的得2分；提供联合体协议但内容不明确的得1分</w:t>
            </w:r>
            <w:r>
              <w:rPr>
                <w:rFonts w:hint="eastAsia"/>
                <w:color w:val="auto"/>
                <w:highlight w:val="none"/>
                <w:lang w:val="en-US" w:eastAsia="zh-CN"/>
              </w:rPr>
              <w:t>；</w:t>
            </w:r>
          </w:p>
          <w:p w14:paraId="1FEB97AC">
            <w:pPr>
              <w:adjustRightInd w:val="0"/>
              <w:snapToGrid w:val="0"/>
              <w:spacing w:line="560" w:lineRule="exact"/>
              <w:rPr>
                <w:rFonts w:hint="eastAsia"/>
                <w:color w:val="auto"/>
                <w:highlight w:val="none"/>
                <w:lang w:val="en-US" w:eastAsia="zh-CN"/>
              </w:rPr>
            </w:pPr>
            <w:r>
              <w:rPr>
                <w:rFonts w:hint="eastAsia" w:ascii="宋体" w:hAnsi="宋体"/>
                <w:color w:val="auto"/>
                <w:szCs w:val="21"/>
                <w:highlight w:val="none"/>
                <w:lang w:val="en-US" w:eastAsia="zh-CN"/>
              </w:rPr>
              <w:t>2.</w:t>
            </w:r>
            <w:r>
              <w:rPr>
                <w:rFonts w:hint="eastAsia" w:ascii="宋体" w:hAnsi="宋体"/>
                <w:color w:val="auto"/>
                <w:szCs w:val="21"/>
                <w:highlight w:val="none"/>
              </w:rPr>
              <w:t>非联合体投标的，该项得2分。</w:t>
            </w:r>
          </w:p>
        </w:tc>
      </w:tr>
    </w:tbl>
    <w:p w14:paraId="31504E4C">
      <w:pPr>
        <w:pStyle w:val="20"/>
        <w:adjustRightInd w:val="0"/>
        <w:snapToGrid w:val="0"/>
        <w:spacing w:after="0" w:line="560" w:lineRule="exact"/>
        <w:ind w:left="0" w:leftChars="0" w:firstLine="0" w:firstLineChars="0"/>
        <w:jc w:val="center"/>
        <w:rPr>
          <w:rFonts w:hint="eastAsia"/>
          <w:b/>
          <w:color w:val="auto"/>
          <w:sz w:val="28"/>
          <w:szCs w:val="21"/>
          <w:highlight w:val="none"/>
        </w:rPr>
      </w:pPr>
      <w:r>
        <w:rPr>
          <w:rFonts w:hint="eastAsia"/>
          <w:b/>
          <w:color w:val="auto"/>
          <w:sz w:val="28"/>
          <w:szCs w:val="21"/>
          <w:highlight w:val="none"/>
        </w:rPr>
        <w:t>（三）技术标评审</w:t>
      </w:r>
    </w:p>
    <w:tbl>
      <w:tblPr>
        <w:tblStyle w:val="21"/>
        <w:tblW w:w="9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45"/>
        <w:gridCol w:w="1276"/>
        <w:gridCol w:w="859"/>
        <w:gridCol w:w="1260"/>
        <w:gridCol w:w="1236"/>
        <w:gridCol w:w="4452"/>
      </w:tblGrid>
      <w:tr w14:paraId="77BB7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184" w:type="dxa"/>
            <w:gridSpan w:val="3"/>
            <w:noWrap w:val="0"/>
            <w:vAlign w:val="center"/>
          </w:tcPr>
          <w:p w14:paraId="283E7A15">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条款号</w:t>
            </w:r>
          </w:p>
        </w:tc>
        <w:tc>
          <w:tcPr>
            <w:tcW w:w="3355" w:type="dxa"/>
            <w:gridSpan w:val="3"/>
            <w:noWrap w:val="0"/>
            <w:vAlign w:val="center"/>
          </w:tcPr>
          <w:p w14:paraId="4316D6B2">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评审因素</w:t>
            </w:r>
          </w:p>
        </w:tc>
        <w:tc>
          <w:tcPr>
            <w:tcW w:w="4452" w:type="dxa"/>
            <w:noWrap w:val="0"/>
            <w:vAlign w:val="center"/>
          </w:tcPr>
          <w:p w14:paraId="5D6C35E5">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评审标准</w:t>
            </w:r>
          </w:p>
        </w:tc>
      </w:tr>
      <w:tr w14:paraId="119A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noWrap w:val="0"/>
            <w:vAlign w:val="center"/>
          </w:tcPr>
          <w:p w14:paraId="3E595D64">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4.1.1</w:t>
            </w:r>
          </w:p>
        </w:tc>
        <w:tc>
          <w:tcPr>
            <w:tcW w:w="1276" w:type="dxa"/>
            <w:noWrap w:val="0"/>
            <w:vAlign w:val="center"/>
          </w:tcPr>
          <w:p w14:paraId="5B81B715">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形式评审标准</w:t>
            </w:r>
          </w:p>
        </w:tc>
        <w:tc>
          <w:tcPr>
            <w:tcW w:w="3355" w:type="dxa"/>
            <w:gridSpan w:val="3"/>
            <w:noWrap w:val="0"/>
            <w:vAlign w:val="center"/>
          </w:tcPr>
          <w:p w14:paraId="5BF7B544">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投标文件格式</w:t>
            </w:r>
          </w:p>
        </w:tc>
        <w:tc>
          <w:tcPr>
            <w:tcW w:w="4452" w:type="dxa"/>
            <w:noWrap w:val="0"/>
            <w:vAlign w:val="center"/>
          </w:tcPr>
          <w:p w14:paraId="7CCBD3D0">
            <w:pPr>
              <w:adjustRightInd w:val="0"/>
              <w:snapToGrid w:val="0"/>
              <w:spacing w:line="560" w:lineRule="exact"/>
              <w:rPr>
                <w:rFonts w:hint="eastAsia" w:ascii="宋体" w:hAnsi="宋体" w:cs="宋体"/>
                <w:color w:val="auto"/>
                <w:szCs w:val="21"/>
                <w:highlight w:val="none"/>
              </w:rPr>
            </w:pPr>
            <w:r>
              <w:rPr>
                <w:rFonts w:hint="eastAsia" w:ascii="宋体" w:hAnsi="宋体" w:cs="宋体"/>
                <w:color w:val="auto"/>
                <w:szCs w:val="21"/>
                <w:highlight w:val="none"/>
              </w:rPr>
              <w:t>符合第九章“投标文件格式”的要求，</w:t>
            </w:r>
          </w:p>
          <w:p w14:paraId="75E53A2F">
            <w:pPr>
              <w:adjustRightInd w:val="0"/>
              <w:snapToGrid w:val="0"/>
              <w:spacing w:line="560" w:lineRule="exact"/>
              <w:rPr>
                <w:rFonts w:hint="eastAsia" w:ascii="宋体" w:hAnsi="宋体" w:cs="宋体"/>
                <w:b/>
                <w:color w:val="auto"/>
                <w:spacing w:val="-6"/>
                <w:szCs w:val="21"/>
                <w:highlight w:val="none"/>
              </w:rPr>
            </w:pPr>
            <w:r>
              <w:rPr>
                <w:rFonts w:hint="eastAsia" w:ascii="宋体" w:hAnsi="宋体" w:cs="宋体"/>
                <w:color w:val="auto"/>
                <w:szCs w:val="21"/>
                <w:highlight w:val="none"/>
              </w:rPr>
              <w:t>否则经评委会一致认定后,按照无效投标处理。</w:t>
            </w:r>
          </w:p>
        </w:tc>
      </w:tr>
      <w:tr w14:paraId="6473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vMerge w:val="restart"/>
            <w:noWrap w:val="0"/>
            <w:vAlign w:val="center"/>
          </w:tcPr>
          <w:p w14:paraId="5CC967B5">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4.1.2</w:t>
            </w:r>
          </w:p>
        </w:tc>
        <w:tc>
          <w:tcPr>
            <w:tcW w:w="1276" w:type="dxa"/>
            <w:vMerge w:val="restart"/>
            <w:noWrap w:val="0"/>
            <w:vAlign w:val="center"/>
          </w:tcPr>
          <w:p w14:paraId="1ABC88AE">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响应性评审标准（初步评审）</w:t>
            </w:r>
          </w:p>
        </w:tc>
        <w:tc>
          <w:tcPr>
            <w:tcW w:w="3355" w:type="dxa"/>
            <w:gridSpan w:val="3"/>
            <w:noWrap w:val="0"/>
            <w:vAlign w:val="center"/>
          </w:tcPr>
          <w:p w14:paraId="6DAE5C23">
            <w:pPr>
              <w:adjustRightInd w:val="0"/>
              <w:snapToGrid w:val="0"/>
              <w:spacing w:line="560" w:lineRule="exact"/>
              <w:jc w:val="center"/>
              <w:textAlignment w:val="baseline"/>
              <w:rPr>
                <w:color w:val="auto"/>
                <w:szCs w:val="21"/>
                <w:highlight w:val="none"/>
              </w:rPr>
            </w:pPr>
            <w:r>
              <w:rPr>
                <w:color w:val="auto"/>
                <w:szCs w:val="21"/>
                <w:highlight w:val="none"/>
              </w:rPr>
              <w:t>投标内容</w:t>
            </w:r>
          </w:p>
        </w:tc>
        <w:tc>
          <w:tcPr>
            <w:tcW w:w="4452" w:type="dxa"/>
            <w:noWrap w:val="0"/>
            <w:vAlign w:val="center"/>
          </w:tcPr>
          <w:p w14:paraId="50AC48B4">
            <w:pPr>
              <w:adjustRightInd w:val="0"/>
              <w:snapToGrid w:val="0"/>
              <w:spacing w:line="560" w:lineRule="exact"/>
              <w:rPr>
                <w:rFonts w:hint="eastAsia" w:ascii="宋体" w:hAnsi="宋体" w:cs="宋体"/>
                <w:color w:val="auto"/>
                <w:szCs w:val="21"/>
                <w:highlight w:val="none"/>
              </w:rPr>
            </w:pPr>
            <w:r>
              <w:rPr>
                <w:rFonts w:hint="eastAsia" w:ascii="宋体" w:hAnsi="宋体" w:cs="宋体"/>
                <w:color w:val="auto"/>
                <w:szCs w:val="21"/>
                <w:highlight w:val="none"/>
              </w:rPr>
              <w:t>符合第二章“投标人须知”规定。</w:t>
            </w:r>
          </w:p>
        </w:tc>
      </w:tr>
      <w:tr w14:paraId="2A8F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vMerge w:val="continue"/>
            <w:noWrap w:val="0"/>
            <w:vAlign w:val="top"/>
          </w:tcPr>
          <w:p w14:paraId="58D91111">
            <w:pPr>
              <w:adjustRightInd w:val="0"/>
              <w:snapToGrid w:val="0"/>
              <w:spacing w:line="560" w:lineRule="exact"/>
              <w:jc w:val="center"/>
              <w:rPr>
                <w:rFonts w:hint="eastAsia" w:ascii="宋体" w:hAnsi="宋体" w:cs="宋体"/>
                <w:color w:val="auto"/>
                <w:szCs w:val="21"/>
                <w:highlight w:val="none"/>
              </w:rPr>
            </w:pPr>
          </w:p>
        </w:tc>
        <w:tc>
          <w:tcPr>
            <w:tcW w:w="1276" w:type="dxa"/>
            <w:vMerge w:val="continue"/>
            <w:noWrap w:val="0"/>
            <w:vAlign w:val="top"/>
          </w:tcPr>
          <w:p w14:paraId="7F68C3BC">
            <w:pPr>
              <w:adjustRightInd w:val="0"/>
              <w:snapToGrid w:val="0"/>
              <w:spacing w:line="560" w:lineRule="exact"/>
              <w:jc w:val="center"/>
              <w:rPr>
                <w:rFonts w:hint="eastAsia" w:ascii="宋体" w:hAnsi="宋体" w:cs="宋体"/>
                <w:color w:val="auto"/>
                <w:szCs w:val="21"/>
                <w:highlight w:val="none"/>
              </w:rPr>
            </w:pPr>
          </w:p>
        </w:tc>
        <w:tc>
          <w:tcPr>
            <w:tcW w:w="3355" w:type="dxa"/>
            <w:gridSpan w:val="3"/>
            <w:noWrap w:val="0"/>
            <w:vAlign w:val="center"/>
          </w:tcPr>
          <w:p w14:paraId="29BE357D">
            <w:pPr>
              <w:adjustRightInd w:val="0"/>
              <w:snapToGrid w:val="0"/>
              <w:spacing w:line="560" w:lineRule="exact"/>
              <w:jc w:val="center"/>
              <w:textAlignment w:val="baseline"/>
              <w:rPr>
                <w:color w:val="auto"/>
                <w:szCs w:val="21"/>
                <w:highlight w:val="none"/>
              </w:rPr>
            </w:pPr>
            <w:r>
              <w:rPr>
                <w:color w:val="auto"/>
                <w:szCs w:val="21"/>
                <w:highlight w:val="none"/>
              </w:rPr>
              <w:t>权利义务</w:t>
            </w:r>
          </w:p>
        </w:tc>
        <w:tc>
          <w:tcPr>
            <w:tcW w:w="4452" w:type="dxa"/>
            <w:noWrap w:val="0"/>
            <w:vAlign w:val="center"/>
          </w:tcPr>
          <w:p w14:paraId="0FA49CCE">
            <w:pPr>
              <w:adjustRightInd w:val="0"/>
              <w:snapToGrid w:val="0"/>
              <w:spacing w:line="560" w:lineRule="exact"/>
              <w:rPr>
                <w:rFonts w:hint="eastAsia" w:ascii="宋体" w:hAnsi="宋体" w:cs="宋体"/>
                <w:color w:val="auto"/>
                <w:szCs w:val="21"/>
                <w:highlight w:val="none"/>
              </w:rPr>
            </w:pPr>
            <w:r>
              <w:rPr>
                <w:rFonts w:hint="eastAsia" w:ascii="宋体" w:hAnsi="宋体" w:cs="宋体"/>
                <w:color w:val="auto"/>
                <w:szCs w:val="21"/>
                <w:highlight w:val="none"/>
              </w:rPr>
              <w:t>符合第五章“合同条款及格式”规定。</w:t>
            </w:r>
          </w:p>
        </w:tc>
      </w:tr>
      <w:tr w14:paraId="6BCC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08" w:type="dxa"/>
            <w:gridSpan w:val="2"/>
            <w:vMerge w:val="continue"/>
            <w:noWrap w:val="0"/>
            <w:vAlign w:val="top"/>
          </w:tcPr>
          <w:p w14:paraId="5FC4D7A3">
            <w:pPr>
              <w:adjustRightInd w:val="0"/>
              <w:snapToGrid w:val="0"/>
              <w:spacing w:line="560" w:lineRule="exact"/>
              <w:jc w:val="center"/>
              <w:rPr>
                <w:rFonts w:hint="eastAsia" w:ascii="宋体" w:hAnsi="宋体" w:cs="宋体"/>
                <w:color w:val="auto"/>
                <w:szCs w:val="21"/>
                <w:highlight w:val="none"/>
              </w:rPr>
            </w:pPr>
          </w:p>
        </w:tc>
        <w:tc>
          <w:tcPr>
            <w:tcW w:w="1276" w:type="dxa"/>
            <w:vMerge w:val="continue"/>
            <w:noWrap w:val="0"/>
            <w:vAlign w:val="top"/>
          </w:tcPr>
          <w:p w14:paraId="50F05678">
            <w:pPr>
              <w:adjustRightInd w:val="0"/>
              <w:snapToGrid w:val="0"/>
              <w:spacing w:line="560" w:lineRule="exact"/>
              <w:jc w:val="center"/>
              <w:rPr>
                <w:rFonts w:hint="eastAsia" w:ascii="宋体" w:hAnsi="宋体" w:cs="宋体"/>
                <w:color w:val="auto"/>
                <w:szCs w:val="21"/>
                <w:highlight w:val="none"/>
              </w:rPr>
            </w:pPr>
          </w:p>
        </w:tc>
        <w:tc>
          <w:tcPr>
            <w:tcW w:w="3355" w:type="dxa"/>
            <w:gridSpan w:val="3"/>
            <w:noWrap w:val="0"/>
            <w:vAlign w:val="center"/>
          </w:tcPr>
          <w:p w14:paraId="2843185B">
            <w:pPr>
              <w:adjustRightInd w:val="0"/>
              <w:snapToGrid w:val="0"/>
              <w:spacing w:line="560" w:lineRule="exact"/>
              <w:jc w:val="center"/>
              <w:textAlignment w:val="baseline"/>
              <w:rPr>
                <w:color w:val="auto"/>
                <w:szCs w:val="21"/>
                <w:highlight w:val="none"/>
              </w:rPr>
            </w:pPr>
            <w:r>
              <w:rPr>
                <w:rFonts w:hint="eastAsia"/>
                <w:color w:val="auto"/>
                <w:szCs w:val="21"/>
                <w:highlight w:val="none"/>
              </w:rPr>
              <w:t>技术标准和要求</w:t>
            </w:r>
          </w:p>
        </w:tc>
        <w:tc>
          <w:tcPr>
            <w:tcW w:w="4452" w:type="dxa"/>
            <w:noWrap w:val="0"/>
            <w:vAlign w:val="center"/>
          </w:tcPr>
          <w:p w14:paraId="6DEC001C">
            <w:pPr>
              <w:adjustRightInd w:val="0"/>
              <w:snapToGrid w:val="0"/>
              <w:spacing w:line="560" w:lineRule="exact"/>
              <w:rPr>
                <w:rFonts w:hint="eastAsia" w:ascii="宋体" w:hAnsi="宋体" w:cs="宋体"/>
                <w:color w:val="auto"/>
                <w:szCs w:val="21"/>
                <w:highlight w:val="none"/>
              </w:rPr>
            </w:pPr>
            <w:r>
              <w:rPr>
                <w:rFonts w:hint="eastAsia" w:ascii="宋体" w:hAnsi="宋体" w:cs="宋体"/>
                <w:color w:val="auto"/>
                <w:szCs w:val="21"/>
                <w:highlight w:val="none"/>
              </w:rPr>
              <w:t>符合第八章“技术标准和要求”规定。</w:t>
            </w:r>
          </w:p>
        </w:tc>
      </w:tr>
      <w:tr w14:paraId="77A8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991" w:type="dxa"/>
            <w:gridSpan w:val="7"/>
            <w:noWrap w:val="0"/>
            <w:vAlign w:val="top"/>
          </w:tcPr>
          <w:p w14:paraId="50B347B5">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技术标评分细则</w:t>
            </w:r>
          </w:p>
        </w:tc>
      </w:tr>
      <w:tr w14:paraId="4E5F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noWrap w:val="0"/>
            <w:vAlign w:val="top"/>
          </w:tcPr>
          <w:p w14:paraId="20639D0A">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80" w:type="dxa"/>
            <w:gridSpan w:val="3"/>
            <w:noWrap w:val="0"/>
            <w:vAlign w:val="top"/>
          </w:tcPr>
          <w:p w14:paraId="60088C6E">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评审因素</w:t>
            </w:r>
          </w:p>
        </w:tc>
        <w:tc>
          <w:tcPr>
            <w:tcW w:w="1260" w:type="dxa"/>
            <w:noWrap w:val="0"/>
            <w:vAlign w:val="top"/>
          </w:tcPr>
          <w:p w14:paraId="4357EF4F">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分值设置</w:t>
            </w:r>
          </w:p>
        </w:tc>
        <w:tc>
          <w:tcPr>
            <w:tcW w:w="5688" w:type="dxa"/>
            <w:gridSpan w:val="2"/>
            <w:noWrap w:val="0"/>
            <w:vAlign w:val="top"/>
          </w:tcPr>
          <w:p w14:paraId="59F5E8FE">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评审标准</w:t>
            </w:r>
          </w:p>
        </w:tc>
      </w:tr>
      <w:tr w14:paraId="298E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noWrap w:val="0"/>
            <w:vAlign w:val="center"/>
          </w:tcPr>
          <w:p w14:paraId="6B534464">
            <w:pPr>
              <w:adjustRightInd w:val="0"/>
              <w:snapToGrid w:val="0"/>
              <w:spacing w:line="56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80" w:type="dxa"/>
            <w:gridSpan w:val="3"/>
            <w:noWrap w:val="0"/>
            <w:vAlign w:val="center"/>
          </w:tcPr>
          <w:p w14:paraId="72C107A8">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施工组织设计</w:t>
            </w:r>
          </w:p>
        </w:tc>
        <w:tc>
          <w:tcPr>
            <w:tcW w:w="1260" w:type="dxa"/>
            <w:noWrap w:val="0"/>
            <w:vAlign w:val="center"/>
          </w:tcPr>
          <w:p w14:paraId="098BA292">
            <w:pPr>
              <w:adjustRightInd w:val="0"/>
              <w:snapToGrid w:val="0"/>
              <w:spacing w:line="560" w:lineRule="exact"/>
              <w:jc w:val="center"/>
              <w:rPr>
                <w:rFonts w:ascii="宋体" w:hAnsi="宋体" w:cs="宋体"/>
                <w:color w:val="auto"/>
                <w:szCs w:val="21"/>
                <w:highlight w:val="none"/>
              </w:rPr>
            </w:pPr>
            <w:r>
              <w:rPr>
                <w:rFonts w:hint="eastAsia" w:ascii="宋体" w:hAnsi="宋体" w:cs="宋体"/>
                <w:color w:val="auto"/>
                <w:szCs w:val="21"/>
                <w:highlight w:val="none"/>
              </w:rPr>
              <w:t>10分</w:t>
            </w:r>
          </w:p>
        </w:tc>
        <w:tc>
          <w:tcPr>
            <w:tcW w:w="5688" w:type="dxa"/>
            <w:gridSpan w:val="2"/>
            <w:noWrap w:val="0"/>
            <w:vAlign w:val="top"/>
          </w:tcPr>
          <w:p w14:paraId="72098F70">
            <w:pPr>
              <w:adjustRightInd w:val="0"/>
              <w:snapToGrid w:val="0"/>
              <w:spacing w:line="560" w:lineRule="exact"/>
              <w:jc w:val="left"/>
              <w:rPr>
                <w:rFonts w:hint="eastAsia" w:ascii="宋体" w:hAnsi="宋体" w:cs="宋体"/>
                <w:color w:val="auto"/>
                <w:szCs w:val="21"/>
                <w:highlight w:val="none"/>
              </w:rPr>
            </w:pPr>
            <w:r>
              <w:rPr>
                <w:rFonts w:hint="eastAsia" w:ascii="宋体" w:hAnsi="宋体" w:cs="宋体"/>
                <w:color w:val="auto"/>
                <w:szCs w:val="21"/>
                <w:highlight w:val="none"/>
              </w:rPr>
              <w:t>包括①总体筹划与总平面布置；②工程进度计划与措施及施工网络图；③主要施工方案和技术措施；④主要物资供应计划；⑤劳动力安排计划，主要施工机械、设备进场计划；⑥确保工程质量的管理体系与措施；⑦确保安全生产的管理体系与措施；⑧确保文明施工的管理体系与措施；⑨工程重难点及对应保证措施；⑩危大工程安全管理与新技术、新产品、新工艺、新材料应用等。每项分值范围为1分</w:t>
            </w:r>
            <w:r>
              <w:rPr>
                <w:rFonts w:hint="eastAsia" w:ascii="宋体" w:hAnsi="宋体" w:cs="宋体"/>
                <w:color w:val="auto"/>
                <w:szCs w:val="21"/>
                <w:highlight w:val="none"/>
                <w:lang w:eastAsia="zh-CN"/>
              </w:rPr>
              <w:t>。</w:t>
            </w:r>
            <w:r>
              <w:rPr>
                <w:rFonts w:hint="eastAsia" w:ascii="宋体" w:hAnsi="宋体" w:cs="宋体"/>
                <w:color w:val="auto"/>
                <w:szCs w:val="21"/>
                <w:highlight w:val="none"/>
              </w:rPr>
              <w:t>优秀得1分，良好得0.9分，一般得0.8分，合格得0.7分，不合格或缺项的不得分。</w:t>
            </w:r>
          </w:p>
        </w:tc>
      </w:tr>
    </w:tbl>
    <w:p w14:paraId="5F5BC59F">
      <w:pPr>
        <w:pStyle w:val="20"/>
        <w:spacing w:after="0" w:line="560" w:lineRule="exact"/>
        <w:ind w:left="0" w:leftChars="0" w:firstLine="422"/>
        <w:jc w:val="left"/>
        <w:rPr>
          <w:rFonts w:hint="eastAsia" w:ascii="宋体" w:hAnsi="宋体" w:cs="宋体"/>
          <w:b/>
          <w:bCs/>
          <w:color w:val="000000"/>
        </w:rPr>
      </w:pPr>
      <w:r>
        <w:rPr>
          <w:rFonts w:hint="eastAsia" w:ascii="宋体" w:hAnsi="宋体" w:cs="宋体"/>
          <w:b/>
          <w:bCs/>
          <w:color w:val="000000"/>
        </w:rPr>
        <w:t>注：1</w:t>
      </w:r>
      <w:r>
        <w:rPr>
          <w:rFonts w:hint="eastAsia" w:ascii="宋体" w:hAnsi="宋体" w:cs="宋体"/>
          <w:b/>
          <w:bCs/>
          <w:color w:val="000000"/>
          <w:lang w:val="en-US" w:eastAsia="zh-CN"/>
        </w:rPr>
        <w:t>.</w:t>
      </w:r>
      <w:r>
        <w:rPr>
          <w:rFonts w:hint="eastAsia" w:ascii="宋体" w:hAnsi="宋体" w:eastAsia="宋体" w:cs="宋体"/>
          <w:b/>
          <w:bCs/>
          <w:color w:val="000000"/>
          <w:sz w:val="21"/>
          <w:szCs w:val="24"/>
          <w:highlight w:val="none"/>
          <w:lang w:val="en-US" w:eastAsia="zh-CN"/>
        </w:rPr>
        <w:t>每个评审因素得分均以去掉一个最高分和一个最低分后的打分平均值确定（打分平均值保留小数点后两位，小数点后第三位四舍五入）。投标人得分计算示例：如技术标评分细则有施工组织设计、项目经理答辩两个评审因素，施工组织设计的评审标准有10项评分点，项目经理答辩的评审标准有2项评分点。将某个评委对一个投标人施工组织设计10项评分点的打分进行汇总得到该评委对该投标人施工组织设计的打分，然后在所有评委对该投标人施工组织设计的打分中，去掉一个最高分和一个最低分后取平均值（打分平均值保留小数点后两位，小数点后第三位四舍五入），得到该投标人施工组织设计得分。该评委对该投标人项目经理答辩2项评分点的打分进行汇总得到该评委对该投标人项目经理答辩的打分，然后在所有评委对该投标人项目经理答辩的打分中，去掉一个最高分和一个最低分后取平均值（打分平均值保留小数点后两位，小数点后第三位四舍五入），得到该投标人项目经理答辩得分。汇总施工组织设计得分、项目经理答辩得分，得到该投标人技术标评分细则得分</w:t>
      </w:r>
      <w:r>
        <w:rPr>
          <w:rFonts w:hint="eastAsia" w:ascii="宋体" w:hAnsi="宋体" w:eastAsia="宋体" w:cs="宋体"/>
          <w:b/>
          <w:bCs/>
          <w:color w:val="000000"/>
        </w:rPr>
        <w:t>。</w:t>
      </w:r>
    </w:p>
    <w:p w14:paraId="7694AD03">
      <w:pPr>
        <w:pStyle w:val="20"/>
        <w:spacing w:after="0" w:line="560" w:lineRule="exact"/>
        <w:ind w:left="0" w:leftChars="0" w:firstLine="422"/>
        <w:jc w:val="left"/>
        <w:rPr>
          <w:rFonts w:hint="eastAsia" w:ascii="宋体" w:hAnsi="宋体" w:cs="宋体"/>
          <w:b/>
          <w:bCs/>
          <w:color w:val="000000"/>
        </w:rPr>
      </w:pPr>
      <w:r>
        <w:rPr>
          <w:rFonts w:hint="eastAsia" w:ascii="宋体" w:hAnsi="宋体" w:cs="宋体"/>
          <w:b/>
          <w:bCs/>
          <w:color w:val="000000"/>
        </w:rPr>
        <w:t>2</w:t>
      </w:r>
      <w:r>
        <w:rPr>
          <w:rFonts w:hint="eastAsia" w:ascii="宋体" w:hAnsi="宋体" w:cs="宋体"/>
          <w:b/>
          <w:bCs/>
          <w:color w:val="000000"/>
          <w:lang w:val="en-US" w:eastAsia="zh-CN"/>
        </w:rPr>
        <w:t>.该项目技术标为暗标横向评审，暗标横向评审技术标不设目录，评审前系统自动对所有投标人的技术标及各评分点分别进行编号；投标企业制作的技术标部分不得出现可能泄露投标人单位及个人信息的文字、图片、图表（技术标部分不得签章）等有关表述，否则该评分点作零分处理。</w:t>
      </w:r>
    </w:p>
    <w:p w14:paraId="53A2C73B">
      <w:pPr>
        <w:pStyle w:val="20"/>
        <w:spacing w:after="0" w:line="560" w:lineRule="exact"/>
        <w:ind w:left="0" w:leftChars="0" w:firstLine="422"/>
        <w:jc w:val="left"/>
        <w:rPr>
          <w:rFonts w:hint="eastAsia" w:ascii="宋体" w:hAnsi="宋体" w:cs="宋体"/>
          <w:b/>
          <w:bCs/>
          <w:color w:val="000000"/>
        </w:rPr>
      </w:pPr>
      <w:r>
        <w:rPr>
          <w:rFonts w:hint="eastAsia" w:ascii="宋体" w:hAnsi="宋体" w:cs="宋体"/>
          <w:b/>
          <w:bCs/>
          <w:color w:val="000000"/>
        </w:rPr>
        <w:t>2.1 技术标暗标不设空白页。技术标投标文件封面不出现投标人、法定代表人签章内容，格式以系统设置为准。正文必须按招标文件要求的顺序进行排版；</w:t>
      </w:r>
    </w:p>
    <w:p w14:paraId="4ABA46B1">
      <w:pPr>
        <w:pStyle w:val="20"/>
        <w:spacing w:after="0" w:line="560" w:lineRule="exact"/>
        <w:ind w:left="0" w:leftChars="0" w:firstLine="422"/>
        <w:jc w:val="left"/>
        <w:rPr>
          <w:rFonts w:hint="eastAsia" w:ascii="宋体" w:hAnsi="宋体" w:cs="宋体"/>
          <w:b/>
          <w:bCs/>
          <w:color w:val="000000"/>
        </w:rPr>
      </w:pPr>
      <w:r>
        <w:rPr>
          <w:rFonts w:hint="eastAsia" w:ascii="宋体" w:hAnsi="宋体" w:cs="宋体"/>
          <w:b/>
          <w:bCs/>
          <w:color w:val="000000"/>
        </w:rPr>
        <w:t>2.2技术标暗标正文文字排版统一使用中文宋体字体，文字为白底黑色，图表采用黑白灰色（不得采用彩色）；文字部分不得插入任何图表（可以用“见附图x”或“见附表x”说明）。所有附图、附表必须依次附在各章对应评分点内容的文末，计算在页数要求内；</w:t>
      </w:r>
    </w:p>
    <w:p w14:paraId="21A8350F">
      <w:pPr>
        <w:pStyle w:val="20"/>
        <w:spacing w:after="0" w:line="560" w:lineRule="exact"/>
        <w:ind w:left="0" w:leftChars="0" w:firstLine="422"/>
        <w:jc w:val="left"/>
        <w:rPr>
          <w:rFonts w:hint="eastAsia" w:ascii="宋体" w:hAnsi="宋体" w:cs="宋体"/>
          <w:b/>
          <w:bCs/>
          <w:color w:val="000000"/>
        </w:rPr>
      </w:pPr>
      <w:r>
        <w:rPr>
          <w:rFonts w:hint="eastAsia" w:ascii="宋体" w:hAnsi="宋体" w:cs="宋体"/>
          <w:b/>
          <w:bCs/>
          <w:color w:val="000000"/>
        </w:rPr>
        <w:t>2.3 正文采用宋体四号常规字，字符间距设为标准值，行距为单倍行距，不勾选“如果定义了文档网格，则对齐到网格”；正文统一设为左对齐，章、节标题、及段落首行缩进2个汉字，段落前后不设空行；正文版面不加页眉、页脚、边框、下划线等标志，正文页码用小五号阿拉伯数字，居中。单位符号中有上下角标要求的，必须在相应位置做角标；</w:t>
      </w:r>
    </w:p>
    <w:p w14:paraId="33203299">
      <w:pPr>
        <w:spacing w:line="560" w:lineRule="exact"/>
        <w:ind w:firstLine="413" w:firstLineChars="196"/>
        <w:rPr>
          <w:rFonts w:hint="eastAsia" w:ascii="宋体" w:hAnsi="宋体" w:cs="宋体"/>
          <w:b/>
          <w:bCs/>
          <w:color w:val="000000"/>
        </w:rPr>
      </w:pPr>
      <w:r>
        <w:rPr>
          <w:rFonts w:hint="eastAsia" w:ascii="宋体" w:hAnsi="宋体" w:cs="宋体"/>
          <w:b/>
          <w:bCs/>
          <w:color w:val="000000"/>
        </w:rPr>
        <w:t>3</w:t>
      </w:r>
      <w:r>
        <w:rPr>
          <w:rFonts w:hint="eastAsia" w:ascii="宋体" w:hAnsi="宋体" w:cs="宋体"/>
          <w:b/>
          <w:bCs/>
          <w:color w:val="000000"/>
          <w:lang w:val="en-US" w:eastAsia="zh-CN"/>
        </w:rPr>
        <w:t>.</w:t>
      </w:r>
      <w:r>
        <w:rPr>
          <w:rFonts w:hint="eastAsia" w:ascii="宋体" w:hAnsi="宋体" w:cs="宋体"/>
          <w:b/>
          <w:bCs/>
          <w:color w:val="000000"/>
        </w:rPr>
        <w:t>技术标暗标文件的格式、制作不符合上述要求的，每一项</w:t>
      </w:r>
      <w:r>
        <w:rPr>
          <w:rFonts w:hint="eastAsia" w:ascii="宋体" w:hAnsi="宋体" w:cs="宋体"/>
          <w:b/>
          <w:bCs/>
          <w:color w:val="000000"/>
          <w:lang w:eastAsia="zh-CN"/>
        </w:rPr>
        <w:t>评分点</w:t>
      </w:r>
      <w:r>
        <w:rPr>
          <w:rFonts w:hint="eastAsia" w:ascii="宋体" w:hAnsi="宋体" w:cs="宋体"/>
          <w:b/>
          <w:bCs/>
          <w:color w:val="000000"/>
        </w:rPr>
        <w:t>扣</w:t>
      </w:r>
      <w:r>
        <w:rPr>
          <w:rFonts w:ascii="宋体" w:hAnsi="宋体" w:cs="宋体"/>
          <w:b/>
          <w:bCs/>
          <w:color w:val="000000"/>
        </w:rPr>
        <w:t>0.2</w:t>
      </w:r>
      <w:r>
        <w:rPr>
          <w:rFonts w:hint="eastAsia" w:ascii="宋体" w:hAnsi="宋体" w:cs="宋体"/>
          <w:b/>
          <w:bCs/>
          <w:color w:val="000000"/>
        </w:rPr>
        <w:t>分。技术标实行暗标的，对技术标（暗标）部分不予澄清、说明或者补正。</w:t>
      </w:r>
    </w:p>
    <w:p w14:paraId="03368D11">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4</w:t>
      </w:r>
      <w:r>
        <w:rPr>
          <w:rFonts w:hint="eastAsia" w:ascii="宋体" w:hAnsi="宋体"/>
          <w:color w:val="000000"/>
          <w:szCs w:val="21"/>
          <w:lang w:val="en-US" w:eastAsia="zh-CN"/>
        </w:rPr>
        <w:t>.</w:t>
      </w:r>
      <w:r>
        <w:rPr>
          <w:rFonts w:hint="eastAsia" w:ascii="宋体" w:hAnsi="宋体"/>
          <w:color w:val="000000"/>
          <w:szCs w:val="21"/>
        </w:rPr>
        <w:t>招标人应根据招标项目实际，在招标文件中明确招标中施工组织设计的评审要点。其中施工组织设计评审要点主要包括：</w:t>
      </w:r>
    </w:p>
    <w:p w14:paraId="3D547668">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①总体筹划与总平面布置（页数不多于4页）；</w:t>
      </w:r>
    </w:p>
    <w:p w14:paraId="6EBDA440">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②工程进度计划与措施及施工网络图（页数不多于10页）；</w:t>
      </w:r>
    </w:p>
    <w:p w14:paraId="09D296E4">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③主要施工方案和技术措施（页数不多于15页）；</w:t>
      </w:r>
    </w:p>
    <w:p w14:paraId="7D4718CD">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④主要物资供应计划（页数不多于4页）；</w:t>
      </w:r>
    </w:p>
    <w:p w14:paraId="2DABE82F">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⑤劳动力安排计划，主要施工机械、设备进场计划（页数不多于12页）；</w:t>
      </w:r>
    </w:p>
    <w:p w14:paraId="1C316AE4">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⑥确保工程质量的管理体系与措施（页数不多于7页）；</w:t>
      </w:r>
    </w:p>
    <w:p w14:paraId="5808AC80">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⑦确保安全生产的管理体系与措施（页数不多于7页）；</w:t>
      </w:r>
    </w:p>
    <w:p w14:paraId="4C40F8EE">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⑧确保文明施工的管理体系与措施（页数不多于7页）；</w:t>
      </w:r>
    </w:p>
    <w:p w14:paraId="112D6264">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⑨工程重难点及对应保证措施（页数不多于7页）；</w:t>
      </w:r>
    </w:p>
    <w:p w14:paraId="410D368E">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⑩危大工程安全管理与新技术、新产品、新工艺、新材料应用（如有，页数不多于15页）；</w:t>
      </w:r>
    </w:p>
    <w:p w14:paraId="299C8E28">
      <w:pPr>
        <w:adjustRightInd w:val="0"/>
        <w:snapToGrid w:val="0"/>
        <w:spacing w:line="560" w:lineRule="exact"/>
        <w:ind w:firstLine="420" w:firstLineChars="200"/>
        <w:rPr>
          <w:rFonts w:hint="eastAsia" w:ascii="宋体" w:hAnsi="宋体"/>
          <w:color w:val="000000"/>
          <w:szCs w:val="21"/>
          <w:lang w:eastAsia="zh-CN"/>
        </w:rPr>
      </w:pPr>
      <w:r>
        <w:rPr>
          <w:rFonts w:hint="eastAsia" w:ascii="宋体" w:hAnsi="宋体"/>
          <w:color w:val="000000"/>
          <w:szCs w:val="21"/>
          <w:lang w:eastAsia="zh-CN"/>
        </w:rPr>
        <w:t>页数不符合上述要求的，</w:t>
      </w:r>
      <w:r>
        <w:rPr>
          <w:rFonts w:hint="eastAsia" w:ascii="宋体" w:hAnsi="宋体" w:cs="宋体"/>
          <w:b/>
          <w:bCs/>
          <w:color w:val="000000"/>
        </w:rPr>
        <w:t>每一项</w:t>
      </w:r>
      <w:r>
        <w:rPr>
          <w:rFonts w:hint="eastAsia" w:ascii="宋体" w:hAnsi="宋体" w:cs="宋体"/>
          <w:b/>
          <w:bCs/>
          <w:color w:val="000000"/>
          <w:lang w:eastAsia="zh-CN"/>
        </w:rPr>
        <w:t>评分点</w:t>
      </w:r>
      <w:r>
        <w:rPr>
          <w:rFonts w:hint="eastAsia" w:ascii="宋体" w:hAnsi="宋体" w:cs="宋体"/>
          <w:b/>
          <w:bCs/>
          <w:color w:val="000000"/>
        </w:rPr>
        <w:t>扣</w:t>
      </w:r>
      <w:r>
        <w:rPr>
          <w:rFonts w:hint="eastAsia" w:ascii="宋体" w:hAnsi="宋体"/>
          <w:color w:val="000000"/>
          <w:szCs w:val="21"/>
          <w:lang w:val="en-US" w:eastAsia="zh-CN"/>
        </w:rPr>
        <w:t>0.2</w:t>
      </w:r>
      <w:r>
        <w:rPr>
          <w:rFonts w:hint="eastAsia" w:ascii="宋体" w:hAnsi="宋体"/>
          <w:color w:val="000000"/>
          <w:szCs w:val="21"/>
        </w:rPr>
        <w:t>分</w:t>
      </w:r>
      <w:r>
        <w:rPr>
          <w:rFonts w:hint="eastAsia" w:ascii="宋体" w:hAnsi="宋体"/>
          <w:color w:val="000000"/>
          <w:szCs w:val="21"/>
          <w:lang w:eastAsia="zh-CN"/>
        </w:rPr>
        <w:t>。</w:t>
      </w:r>
    </w:p>
    <w:p w14:paraId="69249598">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5</w:t>
      </w:r>
      <w:r>
        <w:rPr>
          <w:rFonts w:hint="eastAsia" w:ascii="宋体" w:hAnsi="宋体"/>
          <w:color w:val="000000"/>
          <w:szCs w:val="21"/>
          <w:lang w:val="en-US" w:eastAsia="zh-CN"/>
        </w:rPr>
        <w:t>.暗标评审仅限评标环节。评标结束后，如出现质疑、投诉、举报等，经认定评标错误的，由评标委员会纠正错误或重新评分，此时不再受暗标评审约束，但在纠正错误或重新评分中发现投标企业技术标出现可能泄露投标人单位及个人信息的文字、图片、图表（技术标不得签章）等有关表述的，对应技术标评分点仍按零分处理。</w:t>
      </w:r>
    </w:p>
    <w:p w14:paraId="2336C09D">
      <w:pPr>
        <w:adjustRightInd w:val="0"/>
        <w:snapToGrid w:val="0"/>
        <w:spacing w:line="560" w:lineRule="exact"/>
        <w:ind w:firstLine="420" w:firstLineChars="200"/>
        <w:rPr>
          <w:rFonts w:hint="eastAsia" w:ascii="宋体" w:hAnsi="宋体"/>
          <w:color w:val="auto"/>
          <w:szCs w:val="21"/>
          <w:highlight w:val="none"/>
        </w:rPr>
      </w:pPr>
      <w:r>
        <w:rPr>
          <w:rFonts w:hint="eastAsia" w:ascii="宋体" w:hAnsi="宋体"/>
          <w:color w:val="000000"/>
          <w:szCs w:val="21"/>
        </w:rPr>
        <w:t>6</w:t>
      </w:r>
      <w:r>
        <w:rPr>
          <w:rFonts w:hint="eastAsia" w:ascii="宋体" w:hAnsi="宋体"/>
          <w:color w:val="000000"/>
          <w:szCs w:val="21"/>
          <w:lang w:val="en-US" w:eastAsia="zh-CN"/>
        </w:rPr>
        <w:t>.</w:t>
      </w:r>
      <w:r>
        <w:rPr>
          <w:rFonts w:hint="eastAsia" w:ascii="宋体" w:hAnsi="宋体"/>
          <w:color w:val="000000"/>
          <w:szCs w:val="21"/>
        </w:rPr>
        <w:t>如所有投标企业技术标都出现能反映企业信息等相关内容的，该项目流标。</w:t>
      </w:r>
    </w:p>
    <w:p w14:paraId="710D0AF9">
      <w:pPr>
        <w:pStyle w:val="20"/>
        <w:adjustRightInd w:val="0"/>
        <w:snapToGrid w:val="0"/>
        <w:spacing w:after="0" w:line="560" w:lineRule="exact"/>
        <w:ind w:left="0" w:leftChars="0" w:firstLine="0" w:firstLineChars="0"/>
        <w:jc w:val="center"/>
        <w:rPr>
          <w:rFonts w:hint="eastAsia"/>
          <w:b/>
          <w:color w:val="auto"/>
          <w:sz w:val="28"/>
          <w:szCs w:val="21"/>
          <w:highlight w:val="none"/>
        </w:rPr>
      </w:pPr>
      <w:r>
        <w:rPr>
          <w:rFonts w:hint="eastAsia"/>
          <w:b/>
          <w:color w:val="auto"/>
          <w:sz w:val="28"/>
          <w:szCs w:val="21"/>
          <w:highlight w:val="none"/>
        </w:rPr>
        <w:t>（四）商务标评审</w:t>
      </w:r>
    </w:p>
    <w:tbl>
      <w:tblPr>
        <w:tblStyle w:val="21"/>
        <w:tblW w:w="10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780"/>
        <w:gridCol w:w="846"/>
        <w:gridCol w:w="1985"/>
        <w:gridCol w:w="5794"/>
      </w:tblGrid>
      <w:tr w14:paraId="675B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1" w:type="dxa"/>
            <w:gridSpan w:val="2"/>
            <w:noWrap w:val="0"/>
            <w:vAlign w:val="center"/>
          </w:tcPr>
          <w:p w14:paraId="5F4EDCDE">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条款号</w:t>
            </w:r>
          </w:p>
        </w:tc>
        <w:tc>
          <w:tcPr>
            <w:tcW w:w="2831" w:type="dxa"/>
            <w:gridSpan w:val="2"/>
            <w:noWrap w:val="0"/>
            <w:vAlign w:val="center"/>
          </w:tcPr>
          <w:p w14:paraId="7B86259D">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评审因素</w:t>
            </w:r>
          </w:p>
        </w:tc>
        <w:tc>
          <w:tcPr>
            <w:tcW w:w="5794" w:type="dxa"/>
            <w:noWrap w:val="0"/>
            <w:vAlign w:val="center"/>
          </w:tcPr>
          <w:p w14:paraId="1E7BB799">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评审标准</w:t>
            </w:r>
          </w:p>
        </w:tc>
      </w:tr>
      <w:tr w14:paraId="1B60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81" w:type="dxa"/>
            <w:vMerge w:val="restart"/>
            <w:noWrap w:val="0"/>
            <w:vAlign w:val="center"/>
          </w:tcPr>
          <w:p w14:paraId="2B38C2C8">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4.2.1</w:t>
            </w:r>
          </w:p>
        </w:tc>
        <w:tc>
          <w:tcPr>
            <w:tcW w:w="780" w:type="dxa"/>
            <w:vMerge w:val="restart"/>
            <w:noWrap w:val="0"/>
            <w:vAlign w:val="center"/>
          </w:tcPr>
          <w:p w14:paraId="51A24C8E">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rPr>
              <w:t>形式评审标准</w:t>
            </w:r>
          </w:p>
        </w:tc>
        <w:tc>
          <w:tcPr>
            <w:tcW w:w="2831" w:type="dxa"/>
            <w:gridSpan w:val="2"/>
            <w:noWrap w:val="0"/>
            <w:vAlign w:val="center"/>
          </w:tcPr>
          <w:p w14:paraId="10DA262E">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投标函签字盖章</w:t>
            </w:r>
          </w:p>
        </w:tc>
        <w:tc>
          <w:tcPr>
            <w:tcW w:w="5794" w:type="dxa"/>
            <w:noWrap w:val="0"/>
            <w:vAlign w:val="center"/>
          </w:tcPr>
          <w:p w14:paraId="07EA701B">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有投标人及其法定代表人签章。</w:t>
            </w:r>
          </w:p>
        </w:tc>
      </w:tr>
      <w:tr w14:paraId="379C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noWrap w:val="0"/>
            <w:vAlign w:val="center"/>
          </w:tcPr>
          <w:p w14:paraId="273F486A">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1FA335FA">
            <w:pPr>
              <w:widowControl/>
              <w:adjustRightInd w:val="0"/>
              <w:snapToGrid w:val="0"/>
              <w:spacing w:line="560" w:lineRule="exact"/>
              <w:jc w:val="left"/>
              <w:rPr>
                <w:rFonts w:ascii="宋体" w:hAnsi="宋体"/>
                <w:color w:val="auto"/>
                <w:szCs w:val="21"/>
                <w:highlight w:val="none"/>
              </w:rPr>
            </w:pPr>
          </w:p>
        </w:tc>
        <w:tc>
          <w:tcPr>
            <w:tcW w:w="2831" w:type="dxa"/>
            <w:gridSpan w:val="2"/>
            <w:noWrap w:val="0"/>
            <w:vAlign w:val="center"/>
          </w:tcPr>
          <w:p w14:paraId="34D5283D">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投标文件格式</w:t>
            </w:r>
          </w:p>
        </w:tc>
        <w:tc>
          <w:tcPr>
            <w:tcW w:w="5794" w:type="dxa"/>
            <w:noWrap w:val="0"/>
            <w:vAlign w:val="center"/>
          </w:tcPr>
          <w:p w14:paraId="34BA7400">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符合第九章“投标文件格式”的要求。</w:t>
            </w:r>
          </w:p>
        </w:tc>
      </w:tr>
      <w:tr w14:paraId="2454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noWrap w:val="0"/>
            <w:vAlign w:val="center"/>
          </w:tcPr>
          <w:p w14:paraId="581AE3EE">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6FAE6EAC">
            <w:pPr>
              <w:widowControl/>
              <w:adjustRightInd w:val="0"/>
              <w:snapToGrid w:val="0"/>
              <w:spacing w:line="560" w:lineRule="exact"/>
              <w:jc w:val="left"/>
              <w:rPr>
                <w:rFonts w:ascii="宋体" w:hAnsi="宋体"/>
                <w:color w:val="auto"/>
                <w:szCs w:val="21"/>
                <w:highlight w:val="none"/>
              </w:rPr>
            </w:pPr>
          </w:p>
        </w:tc>
        <w:tc>
          <w:tcPr>
            <w:tcW w:w="2831" w:type="dxa"/>
            <w:gridSpan w:val="2"/>
            <w:noWrap w:val="0"/>
            <w:vAlign w:val="center"/>
          </w:tcPr>
          <w:p w14:paraId="748A2021">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商务标签字盖章</w:t>
            </w:r>
          </w:p>
        </w:tc>
        <w:tc>
          <w:tcPr>
            <w:tcW w:w="5794" w:type="dxa"/>
            <w:noWrap w:val="0"/>
            <w:vAlign w:val="center"/>
          </w:tcPr>
          <w:p w14:paraId="0DCB79EA">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按投标文件格式要求签章。</w:t>
            </w:r>
          </w:p>
        </w:tc>
      </w:tr>
      <w:tr w14:paraId="6FD7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81" w:type="dxa"/>
            <w:vMerge w:val="continue"/>
            <w:noWrap w:val="0"/>
            <w:vAlign w:val="center"/>
          </w:tcPr>
          <w:p w14:paraId="63D65FA5">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12249D2E">
            <w:pPr>
              <w:widowControl/>
              <w:adjustRightInd w:val="0"/>
              <w:snapToGrid w:val="0"/>
              <w:spacing w:line="560" w:lineRule="exact"/>
              <w:jc w:val="left"/>
              <w:rPr>
                <w:rFonts w:ascii="宋体" w:hAnsi="宋体"/>
                <w:color w:val="auto"/>
                <w:szCs w:val="21"/>
                <w:highlight w:val="none"/>
              </w:rPr>
            </w:pPr>
          </w:p>
        </w:tc>
        <w:tc>
          <w:tcPr>
            <w:tcW w:w="2831" w:type="dxa"/>
            <w:gridSpan w:val="2"/>
            <w:noWrap w:val="0"/>
            <w:vAlign w:val="center"/>
          </w:tcPr>
          <w:p w14:paraId="3D479A46">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报价唯一</w:t>
            </w:r>
          </w:p>
        </w:tc>
        <w:tc>
          <w:tcPr>
            <w:tcW w:w="5794" w:type="dxa"/>
            <w:noWrap w:val="0"/>
            <w:vAlign w:val="center"/>
          </w:tcPr>
          <w:p w14:paraId="4DF1EFC5">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只能有一个报价。</w:t>
            </w:r>
          </w:p>
        </w:tc>
      </w:tr>
      <w:tr w14:paraId="29BA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81" w:type="dxa"/>
            <w:vMerge w:val="restart"/>
            <w:noWrap w:val="0"/>
            <w:vAlign w:val="center"/>
          </w:tcPr>
          <w:p w14:paraId="24976511">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4.2.2</w:t>
            </w:r>
          </w:p>
        </w:tc>
        <w:tc>
          <w:tcPr>
            <w:tcW w:w="780" w:type="dxa"/>
            <w:vMerge w:val="restart"/>
            <w:noWrap w:val="0"/>
            <w:vAlign w:val="center"/>
          </w:tcPr>
          <w:p w14:paraId="3244C754">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响应性评审标准</w:t>
            </w:r>
          </w:p>
          <w:p w14:paraId="1F105439">
            <w:pPr>
              <w:adjustRightInd w:val="0"/>
              <w:snapToGrid w:val="0"/>
              <w:spacing w:line="560" w:lineRule="exact"/>
              <w:jc w:val="center"/>
              <w:rPr>
                <w:rFonts w:ascii="宋体" w:hAnsi="宋体"/>
                <w:color w:val="auto"/>
                <w:szCs w:val="21"/>
                <w:highlight w:val="none"/>
              </w:rPr>
            </w:pPr>
          </w:p>
        </w:tc>
        <w:tc>
          <w:tcPr>
            <w:tcW w:w="2831" w:type="dxa"/>
            <w:gridSpan w:val="2"/>
            <w:noWrap w:val="0"/>
            <w:vAlign w:val="center"/>
          </w:tcPr>
          <w:p w14:paraId="70799F9F">
            <w:pPr>
              <w:adjustRightInd w:val="0"/>
              <w:snapToGrid w:val="0"/>
              <w:spacing w:line="560" w:lineRule="exact"/>
              <w:jc w:val="left"/>
              <w:rPr>
                <w:rFonts w:ascii="宋体" w:hAnsi="宋体"/>
                <w:color w:val="auto"/>
                <w:szCs w:val="21"/>
                <w:highlight w:val="none"/>
              </w:rPr>
            </w:pPr>
            <w:r>
              <w:rPr>
                <w:rFonts w:hint="eastAsia" w:ascii="宋体" w:hAnsi="宋体"/>
                <w:color w:val="auto"/>
                <w:szCs w:val="21"/>
                <w:highlight w:val="none"/>
              </w:rPr>
              <w:t>工期</w:t>
            </w:r>
          </w:p>
        </w:tc>
        <w:tc>
          <w:tcPr>
            <w:tcW w:w="5794" w:type="dxa"/>
            <w:noWrap w:val="0"/>
            <w:vAlign w:val="center"/>
          </w:tcPr>
          <w:p w14:paraId="507E5663">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符合投标须知前附表规定。</w:t>
            </w:r>
          </w:p>
        </w:tc>
      </w:tr>
      <w:tr w14:paraId="02763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noWrap w:val="0"/>
            <w:vAlign w:val="center"/>
          </w:tcPr>
          <w:p w14:paraId="635FBAA8">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7D5788B2">
            <w:pPr>
              <w:widowControl/>
              <w:adjustRightInd w:val="0"/>
              <w:snapToGrid w:val="0"/>
              <w:spacing w:line="560" w:lineRule="exact"/>
              <w:jc w:val="left"/>
              <w:rPr>
                <w:rFonts w:ascii="宋体" w:hAnsi="宋体"/>
                <w:color w:val="auto"/>
                <w:szCs w:val="21"/>
                <w:highlight w:val="none"/>
              </w:rPr>
            </w:pPr>
          </w:p>
        </w:tc>
        <w:tc>
          <w:tcPr>
            <w:tcW w:w="2831" w:type="dxa"/>
            <w:gridSpan w:val="2"/>
            <w:noWrap w:val="0"/>
            <w:vAlign w:val="center"/>
          </w:tcPr>
          <w:p w14:paraId="588879E4">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工程质量</w:t>
            </w:r>
          </w:p>
        </w:tc>
        <w:tc>
          <w:tcPr>
            <w:tcW w:w="5794" w:type="dxa"/>
            <w:noWrap w:val="0"/>
            <w:vAlign w:val="center"/>
          </w:tcPr>
          <w:p w14:paraId="44DDC9ED">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符合投标须知前附表规定。</w:t>
            </w:r>
          </w:p>
        </w:tc>
      </w:tr>
      <w:tr w14:paraId="0797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noWrap w:val="0"/>
            <w:vAlign w:val="center"/>
          </w:tcPr>
          <w:p w14:paraId="6E5295D7">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270678C1">
            <w:pPr>
              <w:widowControl/>
              <w:adjustRightInd w:val="0"/>
              <w:snapToGrid w:val="0"/>
              <w:spacing w:line="560" w:lineRule="exact"/>
              <w:jc w:val="left"/>
              <w:rPr>
                <w:rFonts w:ascii="宋体" w:hAnsi="宋体"/>
                <w:color w:val="auto"/>
                <w:szCs w:val="21"/>
                <w:highlight w:val="none"/>
              </w:rPr>
            </w:pPr>
          </w:p>
        </w:tc>
        <w:tc>
          <w:tcPr>
            <w:tcW w:w="2831" w:type="dxa"/>
            <w:gridSpan w:val="2"/>
            <w:noWrap w:val="0"/>
            <w:vAlign w:val="center"/>
          </w:tcPr>
          <w:p w14:paraId="2F797183">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投标有效期</w:t>
            </w:r>
          </w:p>
        </w:tc>
        <w:tc>
          <w:tcPr>
            <w:tcW w:w="5794" w:type="dxa"/>
            <w:noWrap w:val="0"/>
            <w:vAlign w:val="center"/>
          </w:tcPr>
          <w:p w14:paraId="406DC302">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符合投标须知前附表规定。</w:t>
            </w:r>
          </w:p>
        </w:tc>
      </w:tr>
      <w:tr w14:paraId="6C36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881" w:type="dxa"/>
            <w:vMerge w:val="continue"/>
            <w:noWrap w:val="0"/>
            <w:vAlign w:val="center"/>
          </w:tcPr>
          <w:p w14:paraId="3A863D15">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100C67F4">
            <w:pPr>
              <w:widowControl/>
              <w:adjustRightInd w:val="0"/>
              <w:snapToGrid w:val="0"/>
              <w:spacing w:line="560" w:lineRule="exact"/>
              <w:jc w:val="left"/>
              <w:rPr>
                <w:rFonts w:ascii="宋体" w:hAnsi="宋体"/>
                <w:color w:val="auto"/>
                <w:szCs w:val="21"/>
                <w:highlight w:val="none"/>
              </w:rPr>
            </w:pPr>
          </w:p>
        </w:tc>
        <w:tc>
          <w:tcPr>
            <w:tcW w:w="2831" w:type="dxa"/>
            <w:gridSpan w:val="2"/>
            <w:noWrap w:val="0"/>
            <w:vAlign w:val="center"/>
          </w:tcPr>
          <w:p w14:paraId="671D40B9">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已标价工程量清单</w:t>
            </w:r>
          </w:p>
        </w:tc>
        <w:tc>
          <w:tcPr>
            <w:tcW w:w="5794" w:type="dxa"/>
            <w:noWrap w:val="0"/>
            <w:vAlign w:val="center"/>
          </w:tcPr>
          <w:p w14:paraId="159BBF7F">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与招标人发布的招标工程量清单（含需评审材料清单）排序一致。</w:t>
            </w:r>
          </w:p>
        </w:tc>
      </w:tr>
      <w:tr w14:paraId="5AAF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1" w:type="dxa"/>
            <w:vMerge w:val="continue"/>
            <w:noWrap w:val="0"/>
            <w:vAlign w:val="center"/>
          </w:tcPr>
          <w:p w14:paraId="277C1CB5">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360C4725">
            <w:pPr>
              <w:widowControl/>
              <w:adjustRightInd w:val="0"/>
              <w:snapToGrid w:val="0"/>
              <w:spacing w:line="560" w:lineRule="exact"/>
              <w:jc w:val="left"/>
              <w:rPr>
                <w:rFonts w:ascii="宋体" w:hAnsi="宋体"/>
                <w:color w:val="auto"/>
                <w:szCs w:val="21"/>
                <w:highlight w:val="none"/>
              </w:rPr>
            </w:pPr>
          </w:p>
        </w:tc>
        <w:tc>
          <w:tcPr>
            <w:tcW w:w="2831" w:type="dxa"/>
            <w:gridSpan w:val="2"/>
            <w:noWrap w:val="0"/>
            <w:vAlign w:val="center"/>
          </w:tcPr>
          <w:p w14:paraId="0E3ABDF5">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投标总价评审</w:t>
            </w:r>
          </w:p>
        </w:tc>
        <w:tc>
          <w:tcPr>
            <w:tcW w:w="5794" w:type="dxa"/>
            <w:noWrap w:val="0"/>
            <w:vAlign w:val="center"/>
          </w:tcPr>
          <w:p w14:paraId="04DEA159">
            <w:pPr>
              <w:adjustRightInd w:val="0"/>
              <w:snapToGrid w:val="0"/>
              <w:spacing w:line="560" w:lineRule="exact"/>
              <w:rPr>
                <w:rFonts w:ascii="宋体" w:hAnsi="宋体"/>
                <w:color w:val="auto"/>
                <w:spacing w:val="-6"/>
                <w:szCs w:val="21"/>
                <w:highlight w:val="none"/>
              </w:rPr>
            </w:pPr>
            <w:r>
              <w:rPr>
                <w:rFonts w:hint="eastAsia" w:ascii="宋体" w:hAnsi="宋体"/>
                <w:color w:val="auto"/>
                <w:spacing w:val="-6"/>
                <w:szCs w:val="21"/>
                <w:highlight w:val="none"/>
              </w:rPr>
              <w:t>不得高于最高投标限价，也不得低于工程成本价。</w:t>
            </w:r>
          </w:p>
        </w:tc>
      </w:tr>
      <w:tr w14:paraId="2E48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1" w:type="dxa"/>
            <w:vMerge w:val="continue"/>
            <w:noWrap w:val="0"/>
            <w:vAlign w:val="center"/>
          </w:tcPr>
          <w:p w14:paraId="50F36558">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1705957B">
            <w:pPr>
              <w:widowControl/>
              <w:adjustRightInd w:val="0"/>
              <w:snapToGrid w:val="0"/>
              <w:spacing w:line="560" w:lineRule="exact"/>
              <w:jc w:val="left"/>
              <w:rPr>
                <w:rFonts w:ascii="宋体" w:hAnsi="宋体"/>
                <w:color w:val="auto"/>
                <w:szCs w:val="21"/>
                <w:highlight w:val="none"/>
              </w:rPr>
            </w:pPr>
          </w:p>
        </w:tc>
        <w:tc>
          <w:tcPr>
            <w:tcW w:w="2831" w:type="dxa"/>
            <w:gridSpan w:val="2"/>
            <w:shd w:val="clear" w:color="auto" w:fill="auto"/>
            <w:noWrap w:val="0"/>
            <w:vAlign w:val="center"/>
          </w:tcPr>
          <w:p w14:paraId="0F2828D3">
            <w:pPr>
              <w:adjustRightInd w:val="0"/>
              <w:snapToGrid w:val="0"/>
              <w:spacing w:line="560" w:lineRule="exact"/>
              <w:rPr>
                <w:rFonts w:hint="eastAsia" w:ascii="宋体" w:hAnsi="宋体"/>
                <w:color w:val="auto"/>
                <w:szCs w:val="21"/>
                <w:highlight w:val="none"/>
              </w:rPr>
            </w:pPr>
            <w:r>
              <w:rPr>
                <w:rFonts w:hint="eastAsia" w:ascii="宋体" w:hAnsi="宋体"/>
                <w:color w:val="auto"/>
                <w:szCs w:val="21"/>
                <w:highlight w:val="none"/>
              </w:rPr>
              <w:t>项目编码、项目名称、项目特征、计量单位、工程量</w:t>
            </w:r>
            <w:r>
              <w:rPr>
                <w:rFonts w:hint="eastAsia" w:ascii="宋体" w:hAnsi="宋体"/>
                <w:color w:val="auto"/>
                <w:szCs w:val="21"/>
                <w:highlight w:val="none"/>
                <w:lang w:eastAsia="zh-CN"/>
              </w:rPr>
              <w:t>（</w:t>
            </w:r>
            <w:r>
              <w:rPr>
                <w:rFonts w:hint="eastAsia" w:ascii="宋体" w:hAnsi="宋体"/>
                <w:color w:val="auto"/>
                <w:szCs w:val="21"/>
                <w:highlight w:val="none"/>
              </w:rPr>
              <w:t>总价合同除外</w:t>
            </w:r>
            <w:r>
              <w:rPr>
                <w:rFonts w:hint="eastAsia" w:ascii="宋体" w:hAnsi="宋体"/>
                <w:color w:val="auto"/>
                <w:szCs w:val="21"/>
                <w:highlight w:val="none"/>
                <w:lang w:eastAsia="zh-CN"/>
              </w:rPr>
              <w:t>）</w:t>
            </w:r>
            <w:r>
              <w:rPr>
                <w:rFonts w:hint="eastAsia" w:ascii="宋体" w:hAnsi="宋体"/>
                <w:color w:val="auto"/>
                <w:szCs w:val="21"/>
                <w:highlight w:val="none"/>
              </w:rPr>
              <w:t>、工作内容，项目的排序方式。</w:t>
            </w:r>
          </w:p>
          <w:p w14:paraId="5839FE02">
            <w:pPr>
              <w:adjustRightInd w:val="0"/>
              <w:snapToGrid w:val="0"/>
              <w:spacing w:line="560" w:lineRule="exac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安全生产措施费费率及发包人提供的材料暂估价、暂列金额、专业工程暂估价、发包人要求的不可竞争的其他项目费的金额。</w:t>
            </w:r>
          </w:p>
        </w:tc>
        <w:tc>
          <w:tcPr>
            <w:tcW w:w="5794" w:type="dxa"/>
            <w:shd w:val="clear" w:color="auto" w:fill="auto"/>
            <w:noWrap w:val="0"/>
            <w:vAlign w:val="center"/>
          </w:tcPr>
          <w:p w14:paraId="30513E18">
            <w:pPr>
              <w:adjustRightInd w:val="0"/>
              <w:snapToGrid w:val="0"/>
              <w:spacing w:line="560" w:lineRule="exac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与招标人发布的招标工程量清单</w:t>
            </w:r>
            <w:r>
              <w:rPr>
                <w:rFonts w:hint="eastAsia" w:ascii="宋体" w:hAnsi="宋体"/>
                <w:color w:val="auto"/>
                <w:szCs w:val="21"/>
                <w:highlight w:val="none"/>
                <w:lang w:eastAsia="zh-CN"/>
              </w:rPr>
              <w:t>（</w:t>
            </w:r>
            <w:r>
              <w:rPr>
                <w:rFonts w:hint="eastAsia" w:ascii="宋体" w:hAnsi="宋体"/>
                <w:color w:val="auto"/>
                <w:szCs w:val="21"/>
                <w:highlight w:val="none"/>
              </w:rPr>
              <w:t>含修正内容</w:t>
            </w:r>
            <w:r>
              <w:rPr>
                <w:rFonts w:hint="eastAsia" w:ascii="宋体" w:hAnsi="宋体"/>
                <w:color w:val="auto"/>
                <w:szCs w:val="21"/>
                <w:highlight w:val="none"/>
                <w:lang w:eastAsia="zh-CN"/>
              </w:rPr>
              <w:t>）</w:t>
            </w:r>
            <w:r>
              <w:rPr>
                <w:rFonts w:hint="eastAsia" w:ascii="宋体" w:hAnsi="宋体"/>
                <w:color w:val="auto"/>
                <w:szCs w:val="21"/>
                <w:highlight w:val="none"/>
              </w:rPr>
              <w:t>一致。</w:t>
            </w:r>
          </w:p>
        </w:tc>
      </w:tr>
      <w:tr w14:paraId="6D6D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1" w:type="dxa"/>
            <w:vMerge w:val="continue"/>
            <w:noWrap w:val="0"/>
            <w:vAlign w:val="center"/>
          </w:tcPr>
          <w:p w14:paraId="091EC2A8">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30074B01">
            <w:pPr>
              <w:widowControl/>
              <w:adjustRightInd w:val="0"/>
              <w:snapToGrid w:val="0"/>
              <w:spacing w:line="560" w:lineRule="exact"/>
              <w:jc w:val="left"/>
              <w:rPr>
                <w:rFonts w:ascii="宋体" w:hAnsi="宋体"/>
                <w:color w:val="auto"/>
                <w:szCs w:val="21"/>
                <w:highlight w:val="none"/>
              </w:rPr>
            </w:pPr>
          </w:p>
        </w:tc>
        <w:tc>
          <w:tcPr>
            <w:tcW w:w="2831" w:type="dxa"/>
            <w:gridSpan w:val="2"/>
            <w:shd w:val="clear" w:color="auto" w:fill="auto"/>
            <w:noWrap w:val="0"/>
            <w:vAlign w:val="center"/>
          </w:tcPr>
          <w:p w14:paraId="20CAE47E">
            <w:pPr>
              <w:widowControl/>
              <w:adjustRightInd w:val="0"/>
              <w:snapToGrid w:val="0"/>
              <w:spacing w:line="560" w:lineRule="exact"/>
              <w:ind w:firstLine="0" w:firstLineChars="0"/>
              <w:jc w:val="left"/>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sz w:val="21"/>
                <w:szCs w:val="21"/>
                <w:lang w:val="en-US" w:eastAsia="zh-CN"/>
              </w:rPr>
              <w:t>总承包服务费（如有）</w:t>
            </w:r>
          </w:p>
        </w:tc>
        <w:tc>
          <w:tcPr>
            <w:tcW w:w="5794" w:type="dxa"/>
            <w:shd w:val="clear" w:color="auto" w:fill="auto"/>
            <w:noWrap w:val="0"/>
            <w:vAlign w:val="center"/>
          </w:tcPr>
          <w:p w14:paraId="293CAD8A">
            <w:pPr>
              <w:adjustRightInd w:val="0"/>
              <w:snapToGrid w:val="0"/>
              <w:spacing w:line="560" w:lineRule="exact"/>
              <w:rPr>
                <w:rFonts w:hint="eastAsia" w:ascii="宋体" w:hAnsi="宋体" w:eastAsia="宋体" w:cs="Times New Roman"/>
                <w:color w:val="000000"/>
                <w:kern w:val="2"/>
                <w:sz w:val="21"/>
                <w:szCs w:val="21"/>
                <w:lang w:val="en-US" w:eastAsia="zh-CN" w:bidi="ar-SA"/>
              </w:rPr>
            </w:pPr>
            <w:r>
              <w:rPr>
                <w:rFonts w:hint="eastAsia" w:ascii="宋体" w:hAnsi="宋体" w:eastAsia="宋体" w:cs="宋体"/>
                <w:b w:val="0"/>
                <w:bCs w:val="0"/>
                <w:color w:val="000000"/>
                <w:sz w:val="21"/>
                <w:szCs w:val="21"/>
                <w:lang w:val="en-US" w:eastAsia="zh-CN"/>
              </w:rPr>
              <w:t>未按项报价，未改变招标文件总承包服务费计算基础。</w:t>
            </w:r>
          </w:p>
        </w:tc>
      </w:tr>
      <w:tr w14:paraId="0A93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restart"/>
            <w:noWrap w:val="0"/>
            <w:vAlign w:val="center"/>
          </w:tcPr>
          <w:p w14:paraId="42469ED9">
            <w:pPr>
              <w:adjustRightInd w:val="0"/>
              <w:snapToGrid w:val="0"/>
              <w:spacing w:line="560" w:lineRule="exact"/>
              <w:rPr>
                <w:rFonts w:ascii="宋体" w:hAnsi="宋体"/>
                <w:color w:val="auto"/>
                <w:szCs w:val="21"/>
                <w:highlight w:val="none"/>
              </w:rPr>
            </w:pPr>
            <w:r>
              <w:rPr>
                <w:rFonts w:ascii="宋体" w:hAnsi="宋体"/>
                <w:color w:val="auto"/>
                <w:szCs w:val="21"/>
                <w:highlight w:val="none"/>
              </w:rPr>
              <w:t>4.2.3</w:t>
            </w:r>
          </w:p>
        </w:tc>
        <w:tc>
          <w:tcPr>
            <w:tcW w:w="780" w:type="dxa"/>
            <w:vMerge w:val="restart"/>
            <w:noWrap w:val="0"/>
            <w:vAlign w:val="center"/>
          </w:tcPr>
          <w:p w14:paraId="125D3B6D">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详细评审标准</w:t>
            </w:r>
          </w:p>
        </w:tc>
        <w:tc>
          <w:tcPr>
            <w:tcW w:w="846" w:type="dxa"/>
            <w:vMerge w:val="restart"/>
            <w:noWrap w:val="0"/>
            <w:vAlign w:val="center"/>
          </w:tcPr>
          <w:p w14:paraId="4D32DBA8">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工程成本评审</w:t>
            </w:r>
          </w:p>
        </w:tc>
        <w:tc>
          <w:tcPr>
            <w:tcW w:w="7779" w:type="dxa"/>
            <w:gridSpan w:val="2"/>
            <w:noWrap w:val="0"/>
            <w:vAlign w:val="center"/>
          </w:tcPr>
          <w:p w14:paraId="52A421AF">
            <w:pPr>
              <w:adjustRightInd w:val="0"/>
              <w:snapToGrid w:val="0"/>
              <w:spacing w:line="560" w:lineRule="exact"/>
              <w:rPr>
                <w:rFonts w:ascii="宋体" w:hAnsi="宋体"/>
                <w:color w:val="auto"/>
                <w:spacing w:val="-6"/>
                <w:szCs w:val="21"/>
                <w:highlight w:val="none"/>
              </w:rPr>
            </w:pPr>
            <w:r>
              <w:rPr>
                <w:rFonts w:hint="eastAsia" w:ascii="宋体" w:hAnsi="宋体"/>
                <w:color w:val="auto"/>
                <w:szCs w:val="21"/>
                <w:highlight w:val="none"/>
              </w:rPr>
              <w:t>投标报价出现下列情形之一的，由评标委员会重点评审后界定其报价是否低于工程成本：</w:t>
            </w:r>
          </w:p>
        </w:tc>
      </w:tr>
      <w:tr w14:paraId="13E7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2AFD93B5">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252359CA">
            <w:pPr>
              <w:widowControl/>
              <w:adjustRightInd w:val="0"/>
              <w:snapToGrid w:val="0"/>
              <w:spacing w:line="560" w:lineRule="exact"/>
              <w:jc w:val="left"/>
              <w:rPr>
                <w:rFonts w:ascii="宋体" w:hAnsi="宋体"/>
                <w:color w:val="auto"/>
                <w:szCs w:val="21"/>
                <w:highlight w:val="none"/>
              </w:rPr>
            </w:pPr>
          </w:p>
        </w:tc>
        <w:tc>
          <w:tcPr>
            <w:tcW w:w="846" w:type="dxa"/>
            <w:vMerge w:val="continue"/>
            <w:noWrap w:val="0"/>
            <w:vAlign w:val="center"/>
          </w:tcPr>
          <w:p w14:paraId="3D01EFFA">
            <w:pPr>
              <w:adjustRightInd w:val="0"/>
              <w:snapToGrid w:val="0"/>
              <w:spacing w:line="560" w:lineRule="exact"/>
              <w:rPr>
                <w:rFonts w:ascii="宋体" w:hAnsi="宋体"/>
                <w:color w:val="auto"/>
                <w:szCs w:val="21"/>
                <w:highlight w:val="none"/>
              </w:rPr>
            </w:pPr>
          </w:p>
        </w:tc>
        <w:tc>
          <w:tcPr>
            <w:tcW w:w="1985" w:type="dxa"/>
            <w:shd w:val="clear" w:color="auto" w:fill="auto"/>
            <w:noWrap w:val="0"/>
            <w:vAlign w:val="center"/>
          </w:tcPr>
          <w:p w14:paraId="6A56EF82">
            <w:pPr>
              <w:adjustRightInd w:val="0"/>
              <w:snapToGrid w:val="0"/>
              <w:spacing w:line="560" w:lineRule="exact"/>
              <w:jc w:val="center"/>
              <w:rPr>
                <w:rFonts w:hint="eastAsia" w:ascii="宋体" w:hAnsi="宋体" w:eastAsia="宋体" w:cs="Times New Roman"/>
                <w:color w:val="000000"/>
                <w:kern w:val="2"/>
                <w:sz w:val="21"/>
                <w:szCs w:val="21"/>
                <w:lang w:val="en-US" w:eastAsia="zh-CN" w:bidi="ar-SA"/>
              </w:rPr>
            </w:pPr>
            <w:r>
              <w:rPr>
                <w:rFonts w:hint="eastAsia" w:ascii="宋体" w:hAnsi="宋体"/>
                <w:color w:val="000000"/>
                <w:szCs w:val="21"/>
              </w:rPr>
              <w:t>投标报价</w:t>
            </w:r>
          </w:p>
        </w:tc>
        <w:tc>
          <w:tcPr>
            <w:tcW w:w="5794" w:type="dxa"/>
            <w:shd w:val="clear" w:color="auto" w:fill="auto"/>
            <w:noWrap w:val="0"/>
            <w:vAlign w:val="center"/>
          </w:tcPr>
          <w:p w14:paraId="64B3DF83">
            <w:pPr>
              <w:adjustRightInd w:val="0"/>
              <w:snapToGrid w:val="0"/>
              <w:spacing w:line="560" w:lineRule="exact"/>
              <w:rPr>
                <w:rFonts w:hint="eastAsia" w:ascii="宋体" w:hAnsi="宋体" w:eastAsia="宋体" w:cs="Times New Roman"/>
                <w:color w:val="000000"/>
                <w:kern w:val="2"/>
                <w:sz w:val="21"/>
                <w:szCs w:val="21"/>
                <w:lang w:val="en-US" w:eastAsia="zh-CN" w:bidi="ar-SA"/>
              </w:rPr>
            </w:pPr>
            <w:r>
              <w:rPr>
                <w:rFonts w:hint="eastAsia" w:ascii="宋体" w:hAnsi="宋体"/>
                <w:color w:val="000000"/>
                <w:szCs w:val="21"/>
              </w:rPr>
              <w:t>投标报价低于本项目通过资信、技术评审且商务标初步评审合格的有效投标报价平均值10%以上。</w:t>
            </w:r>
          </w:p>
        </w:tc>
      </w:tr>
      <w:tr w14:paraId="2DBE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7A7D32FE">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76C85F6D">
            <w:pPr>
              <w:widowControl/>
              <w:adjustRightInd w:val="0"/>
              <w:snapToGrid w:val="0"/>
              <w:spacing w:line="560" w:lineRule="exact"/>
              <w:jc w:val="left"/>
              <w:rPr>
                <w:rFonts w:ascii="宋体" w:hAnsi="宋体"/>
                <w:color w:val="auto"/>
                <w:szCs w:val="21"/>
                <w:highlight w:val="none"/>
              </w:rPr>
            </w:pPr>
          </w:p>
        </w:tc>
        <w:tc>
          <w:tcPr>
            <w:tcW w:w="846" w:type="dxa"/>
            <w:vMerge w:val="continue"/>
            <w:noWrap w:val="0"/>
            <w:vAlign w:val="center"/>
          </w:tcPr>
          <w:p w14:paraId="38696F1E">
            <w:pPr>
              <w:adjustRightInd w:val="0"/>
              <w:snapToGrid w:val="0"/>
              <w:spacing w:line="560" w:lineRule="exact"/>
              <w:rPr>
                <w:rFonts w:ascii="宋体" w:hAnsi="宋体"/>
                <w:color w:val="auto"/>
                <w:szCs w:val="21"/>
                <w:highlight w:val="none"/>
              </w:rPr>
            </w:pPr>
          </w:p>
        </w:tc>
        <w:tc>
          <w:tcPr>
            <w:tcW w:w="1985" w:type="dxa"/>
            <w:shd w:val="clear" w:color="auto" w:fill="auto"/>
            <w:noWrap w:val="0"/>
            <w:vAlign w:val="center"/>
          </w:tcPr>
          <w:p w14:paraId="3172D194">
            <w:pPr>
              <w:adjustRightInd w:val="0"/>
              <w:snapToGrid w:val="0"/>
              <w:spacing w:line="560" w:lineRule="exact"/>
              <w:jc w:val="center"/>
              <w:rPr>
                <w:rFonts w:ascii="宋体" w:hAnsi="宋体" w:eastAsia="宋体" w:cs="Times New Roman"/>
                <w:color w:val="000000"/>
                <w:kern w:val="2"/>
                <w:sz w:val="21"/>
                <w:szCs w:val="21"/>
                <w:lang w:val="en-US" w:eastAsia="zh-CN" w:bidi="ar-SA"/>
              </w:rPr>
            </w:pPr>
            <w:r>
              <w:rPr>
                <w:rFonts w:hint="eastAsia" w:ascii="宋体" w:hAnsi="宋体"/>
                <w:color w:val="000000"/>
                <w:szCs w:val="21"/>
              </w:rPr>
              <w:t>报价内容完整性</w:t>
            </w:r>
          </w:p>
        </w:tc>
        <w:tc>
          <w:tcPr>
            <w:tcW w:w="5794" w:type="dxa"/>
            <w:shd w:val="clear" w:color="auto" w:fill="auto"/>
            <w:noWrap w:val="0"/>
            <w:vAlign w:val="center"/>
          </w:tcPr>
          <w:p w14:paraId="7F5BD897">
            <w:pPr>
              <w:adjustRightInd w:val="0"/>
              <w:snapToGrid w:val="0"/>
              <w:spacing w:line="560" w:lineRule="exact"/>
              <w:rPr>
                <w:rFonts w:ascii="宋体" w:hAnsi="宋体" w:eastAsia="宋体" w:cs="Times New Roman"/>
                <w:color w:val="000000"/>
                <w:kern w:val="2"/>
                <w:sz w:val="21"/>
                <w:szCs w:val="21"/>
                <w:lang w:val="en-US" w:eastAsia="zh-CN" w:bidi="ar-SA"/>
              </w:rPr>
            </w:pPr>
            <w:r>
              <w:rPr>
                <w:rFonts w:hint="eastAsia" w:ascii="宋体" w:hAnsi="宋体"/>
                <w:color w:val="000000"/>
                <w:szCs w:val="21"/>
              </w:rPr>
              <w:t>因投标人原因造成投标报价清单缺漏，缺漏项总额（多算或多报总额不得抵消缺漏项目总额）累计占本项目通过资信、技术评审且商务标初步评审合格</w:t>
            </w:r>
            <w:r>
              <w:rPr>
                <w:rFonts w:hint="eastAsia" w:ascii="宋体" w:hAnsi="宋体"/>
                <w:color w:val="000000"/>
                <w:spacing w:val="-6"/>
                <w:szCs w:val="21"/>
              </w:rPr>
              <w:t>有效投标总报价平均值</w:t>
            </w:r>
            <w:r>
              <w:rPr>
                <w:rFonts w:ascii="宋体" w:hAnsi="宋体"/>
                <w:color w:val="000000"/>
                <w:spacing w:val="-6"/>
                <w:szCs w:val="21"/>
              </w:rPr>
              <w:t>5%</w:t>
            </w:r>
            <w:r>
              <w:rPr>
                <w:rFonts w:hint="eastAsia" w:ascii="宋体" w:hAnsi="宋体"/>
                <w:color w:val="000000"/>
                <w:spacing w:val="-6"/>
                <w:szCs w:val="21"/>
              </w:rPr>
              <w:t>以上。</w:t>
            </w:r>
          </w:p>
        </w:tc>
      </w:tr>
      <w:tr w14:paraId="7E27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81" w:type="dxa"/>
            <w:vMerge w:val="continue"/>
            <w:noWrap w:val="0"/>
            <w:vAlign w:val="center"/>
          </w:tcPr>
          <w:p w14:paraId="21FA7B1D">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3470A370">
            <w:pPr>
              <w:widowControl/>
              <w:adjustRightInd w:val="0"/>
              <w:snapToGrid w:val="0"/>
              <w:spacing w:line="560" w:lineRule="exact"/>
              <w:jc w:val="left"/>
              <w:rPr>
                <w:rFonts w:ascii="宋体" w:hAnsi="宋体"/>
                <w:color w:val="auto"/>
                <w:szCs w:val="21"/>
                <w:highlight w:val="none"/>
              </w:rPr>
            </w:pPr>
          </w:p>
        </w:tc>
        <w:tc>
          <w:tcPr>
            <w:tcW w:w="846" w:type="dxa"/>
            <w:vMerge w:val="continue"/>
            <w:noWrap w:val="0"/>
            <w:vAlign w:val="center"/>
          </w:tcPr>
          <w:p w14:paraId="25B0F054">
            <w:pPr>
              <w:adjustRightInd w:val="0"/>
              <w:snapToGrid w:val="0"/>
              <w:spacing w:line="560" w:lineRule="exact"/>
              <w:rPr>
                <w:rFonts w:hint="eastAsia" w:ascii="宋体" w:hAnsi="宋体"/>
                <w:color w:val="auto"/>
                <w:szCs w:val="21"/>
                <w:highlight w:val="none"/>
              </w:rPr>
            </w:pPr>
          </w:p>
        </w:tc>
        <w:tc>
          <w:tcPr>
            <w:tcW w:w="1985" w:type="dxa"/>
            <w:shd w:val="clear" w:color="auto" w:fill="auto"/>
            <w:noWrap w:val="0"/>
            <w:vAlign w:val="center"/>
          </w:tcPr>
          <w:p w14:paraId="224D0B30">
            <w:pPr>
              <w:adjustRightInd w:val="0"/>
              <w:snapToGrid w:val="0"/>
              <w:spacing w:line="560" w:lineRule="exact"/>
              <w:jc w:val="center"/>
              <w:rPr>
                <w:rFonts w:hint="eastAsia" w:ascii="宋体" w:hAnsi="宋体" w:eastAsia="宋体" w:cs="Times New Roman"/>
                <w:color w:val="000000"/>
                <w:kern w:val="2"/>
                <w:sz w:val="21"/>
                <w:szCs w:val="21"/>
                <w:lang w:val="en-US" w:eastAsia="zh-CN" w:bidi="ar-SA"/>
              </w:rPr>
            </w:pPr>
            <w:r>
              <w:rPr>
                <w:rFonts w:hint="eastAsia" w:ascii="宋体" w:hAnsi="宋体"/>
                <w:color w:val="000000"/>
                <w:szCs w:val="21"/>
              </w:rPr>
              <w:t>管理费和利润费率</w:t>
            </w:r>
          </w:p>
        </w:tc>
        <w:tc>
          <w:tcPr>
            <w:tcW w:w="5794" w:type="dxa"/>
            <w:shd w:val="clear" w:color="auto" w:fill="auto"/>
            <w:noWrap w:val="0"/>
            <w:vAlign w:val="center"/>
          </w:tcPr>
          <w:p w14:paraId="6081B17D">
            <w:pPr>
              <w:adjustRightInd w:val="0"/>
              <w:snapToGrid w:val="0"/>
              <w:spacing w:line="560" w:lineRule="exact"/>
              <w:rPr>
                <w:rFonts w:hint="eastAsia" w:ascii="宋体" w:hAnsi="宋体" w:eastAsia="宋体" w:cs="Times New Roman"/>
                <w:color w:val="000000"/>
                <w:kern w:val="2"/>
                <w:sz w:val="21"/>
                <w:szCs w:val="21"/>
                <w:lang w:val="en-US" w:eastAsia="zh-CN" w:bidi="ar-SA"/>
              </w:rPr>
            </w:pPr>
            <w:r>
              <w:rPr>
                <w:rFonts w:hint="eastAsia" w:ascii="宋体" w:hAnsi="宋体"/>
                <w:color w:val="000000"/>
                <w:szCs w:val="21"/>
              </w:rPr>
              <w:t>管理费、利润投标费率低于</w:t>
            </w:r>
            <w:r>
              <w:rPr>
                <w:rFonts w:ascii="宋体" w:hAnsi="宋体"/>
                <w:color w:val="000000"/>
                <w:szCs w:val="21"/>
              </w:rPr>
              <w:t>0%</w:t>
            </w:r>
            <w:r>
              <w:rPr>
                <w:rFonts w:hint="eastAsia" w:ascii="宋体" w:hAnsi="宋体"/>
                <w:color w:val="000000"/>
                <w:szCs w:val="21"/>
              </w:rPr>
              <w:t>。</w:t>
            </w:r>
          </w:p>
        </w:tc>
      </w:tr>
      <w:tr w14:paraId="3F16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81" w:type="dxa"/>
            <w:vMerge w:val="continue"/>
            <w:noWrap w:val="0"/>
            <w:vAlign w:val="center"/>
          </w:tcPr>
          <w:p w14:paraId="3736C603">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7B8C704B">
            <w:pPr>
              <w:widowControl/>
              <w:adjustRightInd w:val="0"/>
              <w:snapToGrid w:val="0"/>
              <w:spacing w:line="560" w:lineRule="exact"/>
              <w:jc w:val="left"/>
              <w:rPr>
                <w:rFonts w:ascii="宋体" w:hAnsi="宋体"/>
                <w:color w:val="auto"/>
                <w:szCs w:val="21"/>
                <w:highlight w:val="none"/>
              </w:rPr>
            </w:pPr>
          </w:p>
        </w:tc>
        <w:tc>
          <w:tcPr>
            <w:tcW w:w="846" w:type="dxa"/>
            <w:vMerge w:val="restart"/>
            <w:noWrap w:val="0"/>
            <w:vAlign w:val="center"/>
          </w:tcPr>
          <w:p w14:paraId="5E75D3D4">
            <w:pPr>
              <w:adjustRightInd w:val="0"/>
              <w:snapToGrid w:val="0"/>
              <w:spacing w:line="560" w:lineRule="exact"/>
              <w:rPr>
                <w:rFonts w:ascii="宋体" w:hAnsi="宋体"/>
                <w:color w:val="auto"/>
                <w:szCs w:val="21"/>
                <w:highlight w:val="none"/>
              </w:rPr>
            </w:pPr>
            <w:r>
              <w:rPr>
                <w:rFonts w:hint="eastAsia" w:ascii="宋体" w:hAnsi="宋体"/>
                <w:color w:val="auto"/>
                <w:szCs w:val="21"/>
                <w:highlight w:val="none"/>
              </w:rPr>
              <w:t>无效报价</w:t>
            </w:r>
          </w:p>
        </w:tc>
        <w:tc>
          <w:tcPr>
            <w:tcW w:w="1985" w:type="dxa"/>
            <w:noWrap w:val="0"/>
            <w:vAlign w:val="center"/>
          </w:tcPr>
          <w:p w14:paraId="4C1A33E3">
            <w:pPr>
              <w:adjustRightInd w:val="0"/>
              <w:snapToGrid w:val="0"/>
              <w:spacing w:line="560" w:lineRule="exact"/>
              <w:jc w:val="center"/>
              <w:rPr>
                <w:rFonts w:hint="eastAsia" w:ascii="宋体" w:hAnsi="宋体" w:cs="Times New Roman"/>
                <w:color w:val="000000"/>
                <w:szCs w:val="21"/>
              </w:rPr>
            </w:pPr>
            <w:r>
              <w:rPr>
                <w:rFonts w:hint="eastAsia" w:ascii="宋体" w:hAnsi="宋体" w:cs="Times New Roman"/>
                <w:color w:val="000000"/>
                <w:szCs w:val="21"/>
              </w:rPr>
              <w:t>暂估价材料、设备</w:t>
            </w:r>
          </w:p>
        </w:tc>
        <w:tc>
          <w:tcPr>
            <w:tcW w:w="5794" w:type="dxa"/>
            <w:noWrap w:val="0"/>
            <w:vAlign w:val="center"/>
          </w:tcPr>
          <w:p w14:paraId="72CC1E60">
            <w:pPr>
              <w:adjustRightInd w:val="0"/>
              <w:snapToGrid w:val="0"/>
              <w:spacing w:line="560" w:lineRule="exact"/>
              <w:rPr>
                <w:rFonts w:hint="eastAsia" w:ascii="宋体" w:hAnsi="宋体" w:cs="Times New Roman"/>
                <w:color w:val="000000"/>
                <w:szCs w:val="21"/>
              </w:rPr>
            </w:pPr>
            <w:r>
              <w:rPr>
                <w:rFonts w:hint="eastAsia" w:ascii="宋体" w:hAnsi="宋体" w:cs="Times New Roman"/>
                <w:color w:val="000000"/>
                <w:szCs w:val="21"/>
              </w:rPr>
              <w:t>材料、设备暂估价未按要求计入分部分项工程费。</w:t>
            </w:r>
          </w:p>
        </w:tc>
      </w:tr>
      <w:tr w14:paraId="53A3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881" w:type="dxa"/>
            <w:vMerge w:val="continue"/>
            <w:noWrap w:val="0"/>
            <w:vAlign w:val="center"/>
          </w:tcPr>
          <w:p w14:paraId="2450B08A">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7BAEB199">
            <w:pPr>
              <w:widowControl/>
              <w:adjustRightInd w:val="0"/>
              <w:snapToGrid w:val="0"/>
              <w:spacing w:line="560" w:lineRule="exact"/>
              <w:jc w:val="left"/>
              <w:rPr>
                <w:rFonts w:ascii="宋体" w:hAnsi="宋体"/>
                <w:color w:val="auto"/>
                <w:szCs w:val="21"/>
                <w:highlight w:val="none"/>
              </w:rPr>
            </w:pPr>
          </w:p>
        </w:tc>
        <w:tc>
          <w:tcPr>
            <w:tcW w:w="846" w:type="dxa"/>
            <w:vMerge w:val="continue"/>
            <w:noWrap w:val="0"/>
            <w:vAlign w:val="center"/>
          </w:tcPr>
          <w:p w14:paraId="5CE583D6">
            <w:pPr>
              <w:adjustRightInd w:val="0"/>
              <w:snapToGrid w:val="0"/>
              <w:spacing w:line="560" w:lineRule="exact"/>
              <w:rPr>
                <w:rFonts w:ascii="宋体" w:hAnsi="宋体"/>
                <w:color w:val="auto"/>
                <w:szCs w:val="21"/>
                <w:highlight w:val="none"/>
              </w:rPr>
            </w:pPr>
          </w:p>
        </w:tc>
        <w:tc>
          <w:tcPr>
            <w:tcW w:w="1985" w:type="dxa"/>
            <w:noWrap w:val="0"/>
            <w:vAlign w:val="center"/>
          </w:tcPr>
          <w:p w14:paraId="692B7931">
            <w:pPr>
              <w:adjustRightInd w:val="0"/>
              <w:snapToGrid w:val="0"/>
              <w:spacing w:line="560" w:lineRule="exact"/>
              <w:jc w:val="center"/>
              <w:rPr>
                <w:rFonts w:hint="eastAsia" w:ascii="宋体" w:hAnsi="宋体" w:cs="Times New Roman"/>
                <w:color w:val="000000"/>
                <w:szCs w:val="21"/>
              </w:rPr>
            </w:pPr>
            <w:r>
              <w:rPr>
                <w:rFonts w:hint="eastAsia" w:ascii="宋体" w:hAnsi="宋体" w:cs="Times New Roman"/>
                <w:color w:val="000000"/>
                <w:szCs w:val="21"/>
                <w:lang w:val="en-US" w:eastAsia="zh-CN"/>
              </w:rPr>
              <w:t>安全生产措施费</w:t>
            </w:r>
          </w:p>
        </w:tc>
        <w:tc>
          <w:tcPr>
            <w:tcW w:w="5794" w:type="dxa"/>
            <w:noWrap w:val="0"/>
            <w:vAlign w:val="center"/>
          </w:tcPr>
          <w:p w14:paraId="738A9CD1">
            <w:pPr>
              <w:adjustRightInd w:val="0"/>
              <w:snapToGrid w:val="0"/>
              <w:spacing w:line="560" w:lineRule="exact"/>
              <w:rPr>
                <w:rFonts w:hint="eastAsia" w:ascii="宋体" w:hAnsi="宋体" w:cs="Times New Roman"/>
                <w:color w:val="000000"/>
                <w:szCs w:val="21"/>
              </w:rPr>
            </w:pPr>
            <w:r>
              <w:rPr>
                <w:rFonts w:hint="eastAsia" w:ascii="宋体" w:hAnsi="宋体" w:cs="Times New Roman"/>
                <w:color w:val="000000"/>
                <w:szCs w:val="21"/>
              </w:rPr>
              <w:t>低于</w:t>
            </w:r>
            <w:r>
              <w:rPr>
                <w:rFonts w:hint="eastAsia" w:ascii="宋体" w:hAnsi="宋体" w:cs="Times New Roman"/>
                <w:color w:val="000000"/>
                <w:szCs w:val="21"/>
                <w:lang w:val="en-US" w:eastAsia="zh-CN"/>
              </w:rPr>
              <w:t>2026版</w:t>
            </w:r>
            <w:r>
              <w:rPr>
                <w:rFonts w:hint="eastAsia" w:ascii="宋体" w:hAnsi="宋体" w:cs="Times New Roman"/>
                <w:color w:val="000000"/>
                <w:szCs w:val="21"/>
              </w:rPr>
              <w:t>《</w:t>
            </w:r>
            <w:r>
              <w:rPr>
                <w:rFonts w:hint="eastAsia" w:ascii="宋体" w:hAnsi="宋体" w:cs="Times New Roman"/>
                <w:color w:val="000000"/>
                <w:szCs w:val="21"/>
                <w:lang w:val="en-US" w:eastAsia="zh-CN"/>
              </w:rPr>
              <w:t>安徽省建设工程工程量清单计价规程</w:t>
            </w:r>
            <w:r>
              <w:rPr>
                <w:rFonts w:hint="eastAsia" w:ascii="宋体" w:hAnsi="宋体" w:cs="Times New Roman"/>
                <w:color w:val="000000"/>
                <w:szCs w:val="21"/>
              </w:rPr>
              <w:t>》</w:t>
            </w:r>
            <w:r>
              <w:rPr>
                <w:rFonts w:hint="eastAsia" w:ascii="宋体" w:hAnsi="宋体" w:cs="Times New Roman"/>
                <w:color w:val="000000"/>
                <w:szCs w:val="21"/>
                <w:lang w:val="en-US" w:eastAsia="zh-CN"/>
              </w:rPr>
              <w:t>规定</w:t>
            </w:r>
            <w:r>
              <w:rPr>
                <w:rFonts w:hint="eastAsia" w:ascii="宋体" w:hAnsi="宋体" w:cs="Times New Roman"/>
                <w:color w:val="000000"/>
                <w:szCs w:val="21"/>
              </w:rPr>
              <w:t>的费率。</w:t>
            </w:r>
          </w:p>
        </w:tc>
      </w:tr>
      <w:tr w14:paraId="3F8B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81" w:type="dxa"/>
            <w:vMerge w:val="continue"/>
            <w:noWrap w:val="0"/>
            <w:vAlign w:val="center"/>
          </w:tcPr>
          <w:p w14:paraId="0EE10A85">
            <w:pPr>
              <w:widowControl/>
              <w:adjustRightInd w:val="0"/>
              <w:snapToGrid w:val="0"/>
              <w:spacing w:line="560" w:lineRule="exact"/>
              <w:jc w:val="left"/>
              <w:rPr>
                <w:rFonts w:ascii="宋体" w:hAnsi="宋体"/>
                <w:color w:val="auto"/>
                <w:szCs w:val="21"/>
                <w:highlight w:val="none"/>
              </w:rPr>
            </w:pPr>
          </w:p>
        </w:tc>
        <w:tc>
          <w:tcPr>
            <w:tcW w:w="780" w:type="dxa"/>
            <w:vMerge w:val="continue"/>
            <w:noWrap w:val="0"/>
            <w:vAlign w:val="center"/>
          </w:tcPr>
          <w:p w14:paraId="20740E2A">
            <w:pPr>
              <w:widowControl/>
              <w:adjustRightInd w:val="0"/>
              <w:snapToGrid w:val="0"/>
              <w:spacing w:line="560" w:lineRule="exact"/>
              <w:jc w:val="left"/>
              <w:rPr>
                <w:rFonts w:ascii="宋体" w:hAnsi="宋体"/>
                <w:color w:val="auto"/>
                <w:szCs w:val="21"/>
                <w:highlight w:val="none"/>
              </w:rPr>
            </w:pPr>
          </w:p>
        </w:tc>
        <w:tc>
          <w:tcPr>
            <w:tcW w:w="846" w:type="dxa"/>
            <w:vMerge w:val="continue"/>
            <w:noWrap w:val="0"/>
            <w:vAlign w:val="center"/>
          </w:tcPr>
          <w:p w14:paraId="6C14F996">
            <w:pPr>
              <w:adjustRightInd w:val="0"/>
              <w:snapToGrid w:val="0"/>
              <w:spacing w:line="560" w:lineRule="exact"/>
              <w:rPr>
                <w:rFonts w:ascii="宋体" w:hAnsi="宋体"/>
                <w:color w:val="auto"/>
                <w:szCs w:val="21"/>
                <w:highlight w:val="none"/>
              </w:rPr>
            </w:pPr>
          </w:p>
        </w:tc>
        <w:tc>
          <w:tcPr>
            <w:tcW w:w="1985" w:type="dxa"/>
            <w:noWrap w:val="0"/>
            <w:vAlign w:val="center"/>
          </w:tcPr>
          <w:p w14:paraId="0FB71951">
            <w:pPr>
              <w:adjustRightInd w:val="0"/>
              <w:snapToGrid w:val="0"/>
              <w:spacing w:line="560" w:lineRule="exact"/>
              <w:jc w:val="center"/>
              <w:rPr>
                <w:rFonts w:hint="eastAsia" w:ascii="宋体" w:hAnsi="宋体" w:cs="Times New Roman"/>
                <w:color w:val="000000"/>
                <w:szCs w:val="21"/>
              </w:rPr>
            </w:pPr>
            <w:r>
              <w:rPr>
                <w:rFonts w:hint="eastAsia" w:ascii="宋体" w:hAnsi="宋体" w:cs="Times New Roman"/>
                <w:color w:val="000000"/>
                <w:szCs w:val="21"/>
              </w:rPr>
              <w:t>税率</w:t>
            </w:r>
          </w:p>
        </w:tc>
        <w:tc>
          <w:tcPr>
            <w:tcW w:w="5794" w:type="dxa"/>
            <w:noWrap w:val="0"/>
            <w:vAlign w:val="center"/>
          </w:tcPr>
          <w:p w14:paraId="7E75A917">
            <w:pPr>
              <w:adjustRightInd w:val="0"/>
              <w:snapToGrid w:val="0"/>
              <w:spacing w:line="560" w:lineRule="exact"/>
              <w:rPr>
                <w:rFonts w:hint="eastAsia" w:ascii="宋体" w:hAnsi="宋体" w:cs="Times New Roman"/>
                <w:color w:val="000000"/>
                <w:szCs w:val="21"/>
              </w:rPr>
            </w:pPr>
            <w:r>
              <w:rPr>
                <w:rFonts w:hint="eastAsia" w:ascii="宋体" w:hAnsi="宋体" w:cs="Times New Roman"/>
                <w:color w:val="000000"/>
                <w:szCs w:val="21"/>
              </w:rPr>
              <w:t>低于《关于调整我省现行建设工程计价依据增值税税率的通知》（皖造价〔2019〕7号）规定的费率。</w:t>
            </w:r>
          </w:p>
        </w:tc>
      </w:tr>
      <w:tr w14:paraId="114D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 w:type="dxa"/>
            <w:noWrap w:val="0"/>
            <w:vAlign w:val="center"/>
          </w:tcPr>
          <w:p w14:paraId="2290C7CE">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.1</w:t>
            </w:r>
          </w:p>
        </w:tc>
        <w:tc>
          <w:tcPr>
            <w:tcW w:w="780" w:type="dxa"/>
            <w:noWrap w:val="0"/>
            <w:vAlign w:val="center"/>
          </w:tcPr>
          <w:p w14:paraId="047B69BD">
            <w:pPr>
              <w:adjustRightInd w:val="0"/>
              <w:snapToGrid w:val="0"/>
              <w:spacing w:line="560" w:lineRule="exact"/>
              <w:jc w:val="center"/>
              <w:rPr>
                <w:rFonts w:ascii="宋体" w:hAnsi="宋体"/>
                <w:color w:val="auto"/>
                <w:szCs w:val="21"/>
                <w:highlight w:val="none"/>
              </w:rPr>
            </w:pPr>
            <w:r>
              <w:rPr>
                <w:rFonts w:hint="eastAsia" w:ascii="宋体" w:hAnsi="宋体"/>
                <w:color w:val="auto"/>
                <w:szCs w:val="21"/>
                <w:highlight w:val="none"/>
                <w:lang w:val="en-US" w:eastAsia="zh-CN"/>
              </w:rPr>
              <w:t>商务得分（83分）</w:t>
            </w:r>
          </w:p>
        </w:tc>
        <w:tc>
          <w:tcPr>
            <w:tcW w:w="8625" w:type="dxa"/>
            <w:gridSpan w:val="3"/>
            <w:noWrap w:val="0"/>
            <w:vAlign w:val="center"/>
          </w:tcPr>
          <w:p w14:paraId="62567A2A">
            <w:pPr>
              <w:spacing w:line="560" w:lineRule="exact"/>
              <w:rPr>
                <w:rFonts w:hint="eastAsia" w:ascii="宋体" w:hAnsi="宋体" w:cs="宋体"/>
                <w:color w:val="auto"/>
                <w:highlight w:val="none"/>
              </w:rPr>
            </w:pPr>
            <w:r>
              <w:rPr>
                <w:rFonts w:hint="eastAsia" w:ascii="宋体" w:hAnsi="宋体" w:cs="宋体"/>
                <w:color w:val="auto"/>
                <w:highlight w:val="none"/>
              </w:rPr>
              <w:t>商务标评分按下列步骤计算：</w:t>
            </w:r>
          </w:p>
          <w:p w14:paraId="78BEA0CA">
            <w:pPr>
              <w:spacing w:line="560" w:lineRule="exact"/>
              <w:rPr>
                <w:rFonts w:hint="eastAsia" w:ascii="宋体" w:hAnsi="宋体" w:cs="宋体"/>
                <w:color w:val="auto"/>
                <w:highlight w:val="none"/>
              </w:rPr>
            </w:pPr>
            <w:r>
              <w:rPr>
                <w:rFonts w:hint="eastAsia" w:ascii="宋体" w:hAnsi="宋体" w:cs="宋体"/>
                <w:color w:val="auto"/>
                <w:highlight w:val="none"/>
              </w:rPr>
              <w:t>第一步：计算B值。</w:t>
            </w:r>
          </w:p>
          <w:p w14:paraId="70D83014">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①B值为入围第二阶段的投标人的有效投标报价的算术平均值。</w:t>
            </w:r>
          </w:p>
          <w:p w14:paraId="3D9C4F9A">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第二步：计算评标基准价F值。</w:t>
            </w:r>
          </w:p>
          <w:p w14:paraId="795A46FD">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①F=B×（1-K），其中K为调整系数，K的取值为-0.5%（1号），0%（2号），0.5%（3号），1.0%（4号），1.5%（5号）。</w:t>
            </w:r>
          </w:p>
          <w:p w14:paraId="34FE9901">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第三步：计算报价偏差率。</w:t>
            </w:r>
          </w:p>
          <w:p w14:paraId="1417DF87">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①偏差率=|（投标报价-评标基准价）/评标基准价|×100%</w:t>
            </w:r>
          </w:p>
          <w:p w14:paraId="3CC1317F">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第四步：计算报价得分</w:t>
            </w:r>
          </w:p>
          <w:p w14:paraId="3C4E9251">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①投标报价等于评标基准价的得满分。</w:t>
            </w:r>
          </w:p>
          <w:p w14:paraId="42E28878">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②投标报价高于评标基准价的，投标报价得分=报价满分值-偏差率×100×1</w:t>
            </w:r>
          </w:p>
          <w:p w14:paraId="17DDF29D">
            <w:pPr>
              <w:spacing w:line="560" w:lineRule="exact"/>
              <w:rPr>
                <w:rFonts w:hint="eastAsia" w:ascii="宋体" w:hAnsi="宋体" w:cs="宋体"/>
                <w:color w:val="auto"/>
                <w:szCs w:val="21"/>
                <w:highlight w:val="none"/>
              </w:rPr>
            </w:pPr>
            <w:r>
              <w:rPr>
                <w:rFonts w:hint="eastAsia" w:ascii="宋体" w:hAnsi="宋体" w:cs="宋体"/>
                <w:color w:val="auto"/>
                <w:szCs w:val="21"/>
                <w:highlight w:val="none"/>
              </w:rPr>
              <w:t>③投标报价低于评标基准价的，投标报价得分=报价满分值-偏差率×100×0.5</w:t>
            </w:r>
          </w:p>
          <w:p w14:paraId="1D528715">
            <w:pPr>
              <w:pStyle w:val="20"/>
              <w:adjustRightInd w:val="0"/>
              <w:snapToGrid w:val="0"/>
              <w:spacing w:after="0" w:line="560" w:lineRule="exact"/>
              <w:ind w:left="0" w:leftChars="0" w:firstLine="0" w:firstLineChars="0"/>
              <w:jc w:val="left"/>
              <w:rPr>
                <w:rFonts w:ascii="宋体" w:hAnsi="宋体" w:cs="宋体"/>
                <w:color w:val="auto"/>
                <w:szCs w:val="21"/>
                <w:highlight w:val="none"/>
              </w:rPr>
            </w:pPr>
            <w:r>
              <w:rPr>
                <w:rFonts w:hint="eastAsia" w:ascii="宋体" w:hAnsi="宋体" w:cs="宋体"/>
                <w:b/>
                <w:color w:val="auto"/>
                <w:szCs w:val="21"/>
                <w:highlight w:val="none"/>
              </w:rPr>
              <w:t>注：计算过程中，B值、评标基准价F值、偏差率、报价得分均保留两位小数，小数点后第三位四舍五入。</w:t>
            </w:r>
          </w:p>
        </w:tc>
      </w:tr>
    </w:tbl>
    <w:p w14:paraId="134F8503">
      <w:pPr>
        <w:adjustRightInd w:val="0"/>
        <w:snapToGrid w:val="0"/>
        <w:spacing w:line="560" w:lineRule="exact"/>
        <w:ind w:firstLine="316" w:firstLineChars="150"/>
        <w:rPr>
          <w:rFonts w:hint="eastAsia" w:ascii="黑体" w:hAnsi="黑体" w:eastAsia="黑体" w:cs="黑体"/>
          <w:b/>
          <w:color w:val="auto"/>
          <w:szCs w:val="21"/>
          <w:highlight w:val="none"/>
        </w:rPr>
      </w:pPr>
      <w:r>
        <w:rPr>
          <w:rFonts w:hint="eastAsia" w:ascii="黑体" w:hAnsi="黑体" w:eastAsia="黑体" w:cs="黑体"/>
          <w:b/>
          <w:color w:val="auto"/>
          <w:szCs w:val="21"/>
          <w:highlight w:val="none"/>
        </w:rPr>
        <w:t>商务标评审表注：</w:t>
      </w:r>
    </w:p>
    <w:p w14:paraId="7A314285">
      <w:pPr>
        <w:adjustRightInd w:val="0"/>
        <w:snapToGrid w:val="0"/>
        <w:spacing w:line="560" w:lineRule="exact"/>
        <w:ind w:firstLine="422" w:firstLineChars="200"/>
        <w:rPr>
          <w:rFonts w:hint="eastAsia" w:ascii="黑体" w:hAnsi="黑体" w:eastAsia="黑体" w:cs="黑体"/>
          <w:b/>
          <w:bCs/>
          <w:color w:val="auto"/>
          <w:szCs w:val="21"/>
          <w:highlight w:val="none"/>
          <w:u w:val="none"/>
        </w:rPr>
      </w:pPr>
      <w:r>
        <w:rPr>
          <w:rFonts w:hint="eastAsia" w:ascii="黑体" w:hAnsi="黑体" w:eastAsia="黑体" w:cs="黑体"/>
          <w:b/>
          <w:color w:val="auto"/>
          <w:szCs w:val="21"/>
          <w:highlight w:val="none"/>
        </w:rPr>
        <w:t>1</w:t>
      </w:r>
      <w:r>
        <w:rPr>
          <w:rFonts w:hint="eastAsia" w:ascii="黑体" w:hAnsi="黑体" w:eastAsia="黑体" w:cs="黑体"/>
          <w:b/>
          <w:color w:val="auto"/>
          <w:szCs w:val="21"/>
          <w:highlight w:val="none"/>
          <w:lang w:val="en-US" w:eastAsia="zh-CN"/>
        </w:rPr>
        <w:t>.</w:t>
      </w:r>
      <w:r>
        <w:rPr>
          <w:rFonts w:hint="eastAsia" w:ascii="黑体" w:hAnsi="黑体" w:eastAsia="黑体" w:cs="黑体"/>
          <w:b/>
          <w:bCs/>
          <w:color w:val="auto"/>
          <w:szCs w:val="21"/>
          <w:highlight w:val="none"/>
        </w:rPr>
        <w:t>投标人总报价如超过A值，A值</w:t>
      </w:r>
      <w:r>
        <w:rPr>
          <w:rFonts w:hint="eastAsia" w:ascii="黑体" w:hAnsi="黑体" w:eastAsia="黑体" w:cs="黑体"/>
          <w:b/>
          <w:bCs/>
          <w:color w:val="auto"/>
          <w:szCs w:val="21"/>
          <w:highlight w:val="none"/>
          <w:u w:val="none"/>
        </w:rPr>
        <w:t>=最高投标限价×（1-J） +（暂列金额+暂估价）×1.09×J（其中J=</w:t>
      </w:r>
      <w:r>
        <w:rPr>
          <w:rFonts w:hint="eastAsia" w:ascii="黑体" w:hAnsi="黑体" w:eastAsia="黑体" w:cs="黑体"/>
          <w:b/>
          <w:bCs/>
          <w:color w:val="auto"/>
          <w:szCs w:val="21"/>
          <w:highlight w:val="none"/>
          <w:u w:val="none"/>
          <w:lang w:val="en-US" w:eastAsia="zh-CN"/>
        </w:rPr>
        <w:t>10</w:t>
      </w:r>
      <w:r>
        <w:rPr>
          <w:rFonts w:hint="eastAsia" w:ascii="黑体" w:hAnsi="黑体" w:eastAsia="黑体" w:cs="黑体"/>
          <w:b/>
          <w:bCs/>
          <w:color w:val="auto"/>
          <w:szCs w:val="21"/>
          <w:highlight w:val="none"/>
          <w:u w:val="none"/>
        </w:rPr>
        <w:t>%），该投标报价不参与B值计算。</w:t>
      </w:r>
      <w:r>
        <w:rPr>
          <w:rFonts w:hint="eastAsia" w:ascii="宋体" w:hAnsi="宋体" w:cs="宋体"/>
          <w:color w:val="auto"/>
          <w:szCs w:val="21"/>
          <w:highlight w:val="none"/>
        </w:rPr>
        <w:t>保留两位小数，小数点后第三位四舍五入。</w:t>
      </w:r>
      <w:r>
        <w:rPr>
          <w:rFonts w:hint="eastAsia" w:ascii="黑体" w:hAnsi="黑体" w:eastAsia="黑体" w:cs="黑体"/>
          <w:b/>
          <w:bCs/>
          <w:color w:val="auto"/>
          <w:szCs w:val="21"/>
          <w:highlight w:val="none"/>
          <w:u w:val="none"/>
        </w:rPr>
        <w:t xml:space="preserve"> </w:t>
      </w:r>
    </w:p>
    <w:p w14:paraId="2289AE4D">
      <w:pPr>
        <w:adjustRightInd w:val="0"/>
        <w:snapToGrid w:val="0"/>
        <w:spacing w:line="560" w:lineRule="exact"/>
        <w:ind w:firstLine="420" w:firstLineChars="20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只有评审通过的投标人才能参加</w:t>
      </w:r>
      <w:r>
        <w:rPr>
          <w:rFonts w:hint="eastAsia" w:ascii="宋体" w:hAnsi="宋体" w:cs="宋体"/>
          <w:color w:val="auto"/>
          <w:szCs w:val="21"/>
          <w:highlight w:val="none"/>
          <w:lang w:val="en-US" w:eastAsia="zh-CN"/>
        </w:rPr>
        <w:t>商务得分的计算</w:t>
      </w:r>
      <w:r>
        <w:rPr>
          <w:rFonts w:hint="eastAsia" w:ascii="宋体" w:hAnsi="宋体" w:cs="宋体"/>
          <w:color w:val="auto"/>
          <w:szCs w:val="21"/>
          <w:highlight w:val="none"/>
        </w:rPr>
        <w:t>。</w:t>
      </w:r>
    </w:p>
    <w:p w14:paraId="5B230EB1">
      <w:pPr>
        <w:adjustRightInd w:val="0"/>
        <w:snapToGrid w:val="0"/>
        <w:spacing w:line="560" w:lineRule="exact"/>
        <w:ind w:firstLine="420" w:firstLineChars="200"/>
        <w:rPr>
          <w:rFonts w:hint="eastAsia" w:ascii="宋体" w:hAnsi="宋体" w:eastAsia="宋体" w:cs="宋体"/>
          <w:color w:val="auto"/>
          <w:szCs w:val="21"/>
          <w:highlight w:val="none"/>
          <w:lang w:eastAsia="zh-CN"/>
        </w:rPr>
      </w:pPr>
      <w:r>
        <w:rPr>
          <w:rFonts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本表所称投标报价是指按招标文件规定修正后的投标总报价（多算投标报价、多报费用不扣减）</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报价以元为单位，保留两位小数，小数点后第三位四舍五入。</w:t>
      </w:r>
    </w:p>
    <w:p w14:paraId="49D01D93">
      <w:pPr>
        <w:adjustRightInd w:val="0"/>
        <w:snapToGrid w:val="0"/>
        <w:spacing w:line="5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B值计算方法：B值为</w:t>
      </w:r>
      <w:r>
        <w:rPr>
          <w:rFonts w:hint="eastAsia" w:ascii="宋体" w:hAnsi="宋体" w:cs="宋体"/>
          <w:color w:val="auto"/>
          <w:szCs w:val="21"/>
          <w:highlight w:val="none"/>
          <w:lang w:val="en-US" w:eastAsia="zh-CN"/>
        </w:rPr>
        <w:t>入围第二阶段的</w:t>
      </w:r>
      <w:r>
        <w:rPr>
          <w:rFonts w:hint="eastAsia" w:ascii="宋体" w:hAnsi="宋体" w:cs="宋体"/>
          <w:color w:val="auto"/>
          <w:szCs w:val="21"/>
          <w:highlight w:val="none"/>
        </w:rPr>
        <w:t>投标人的有效投标报价的算术平均值。</w:t>
      </w:r>
    </w:p>
    <w:p w14:paraId="55934995">
      <w:pPr>
        <w:adjustRightInd w:val="0"/>
        <w:snapToGrid w:val="0"/>
        <w:spacing w:line="560" w:lineRule="exact"/>
        <w:ind w:firstLine="420" w:firstLineChars="200"/>
        <w:rPr>
          <w:rFonts w:ascii="宋体" w:hAnsi="宋体" w:cs="宋体"/>
          <w:b/>
          <w:bCs/>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w:t>
      </w:r>
      <w:r>
        <w:rPr>
          <w:rFonts w:ascii="宋体" w:hAnsi="宋体" w:cs="宋体"/>
          <w:color w:val="auto"/>
          <w:szCs w:val="21"/>
          <w:highlight w:val="none"/>
        </w:rPr>
        <w:t>K值（评标基准价系数）的抽取：资信标、技术标、商务标评审完成后，招标人在线抽取K值，并根据抽取的K值计算F值，</w:t>
      </w:r>
      <w:r>
        <w:rPr>
          <w:rFonts w:ascii="宋体" w:hAnsi="宋体" w:cs="宋体"/>
          <w:b/>
          <w:bCs/>
          <w:color w:val="auto"/>
          <w:szCs w:val="21"/>
          <w:highlight w:val="none"/>
        </w:rPr>
        <w:t>评标办法中的评标基准价计算出来后，除数字计算错误外，其他情况均不再调整。</w:t>
      </w:r>
    </w:p>
    <w:p w14:paraId="598A576C">
      <w:pPr>
        <w:adjustRightInd w:val="0"/>
        <w:snapToGrid w:val="0"/>
        <w:spacing w:line="560" w:lineRule="exact"/>
        <w:ind w:firstLine="420" w:firstLineChars="200"/>
        <w:rPr>
          <w:rFonts w:hint="eastAsia" w:ascii="宋体" w:hAnsi="宋体" w:eastAsia="宋体" w:cs="宋体"/>
          <w:color w:val="auto"/>
          <w:szCs w:val="21"/>
          <w:highlight w:val="none"/>
        </w:rPr>
      </w:pPr>
      <w:bookmarkStart w:id="686" w:name="_Toc95223429"/>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其他</w:t>
      </w:r>
    </w:p>
    <w:p w14:paraId="40D0A112">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6.1缺漏项金额是指投标人漏计招标人发布的清单项目，按最高投标限价对应清单综合单价计算缺漏金额。</w:t>
      </w:r>
    </w:p>
    <w:p w14:paraId="206F0A9D">
      <w:pPr>
        <w:adjustRightInd w:val="0"/>
        <w:snapToGrid w:val="0"/>
        <w:spacing w:line="5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6.2本表所述累计投标报价缺漏错总额占原投标报价格 5%以下者，视为投标人主动让利或包含在其他项目中，不修正总价，工程结算时亦不予调整。</w:t>
      </w:r>
    </w:p>
    <w:p w14:paraId="52C45463">
      <w:pPr>
        <w:adjustRightInd w:val="0"/>
        <w:snapToGrid w:val="0"/>
        <w:spacing w:line="560" w:lineRule="exact"/>
        <w:ind w:firstLine="420" w:firstLineChars="200"/>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cs="宋体"/>
          <w:color w:val="000000"/>
          <w:szCs w:val="21"/>
        </w:rPr>
        <w:t>投标人（如投标人为联合体，联合体各方均需提供）</w:t>
      </w:r>
      <w:r>
        <w:rPr>
          <w:rFonts w:hint="default" w:ascii="宋体" w:hAnsi="宋体" w:eastAsia="宋体" w:cs="宋体"/>
          <w:b w:val="0"/>
          <w:bCs w:val="0"/>
          <w:color w:val="000000"/>
          <w:sz w:val="21"/>
          <w:szCs w:val="21"/>
          <w:lang w:val="en-US" w:eastAsia="zh-CN"/>
        </w:rPr>
        <w:t>的注册建造师必须满足相应建筑业企业资质标准要求，评标委员会在评审时，将对此进行评审。投标单位（如投标人为联合体，</w:t>
      </w:r>
      <w:r>
        <w:rPr>
          <w:rFonts w:hint="eastAsia" w:ascii="宋体" w:hAnsi="宋体" w:cs="宋体"/>
          <w:color w:val="000000"/>
          <w:szCs w:val="21"/>
        </w:rPr>
        <w:t>联合体各方均需提供</w:t>
      </w:r>
      <w:r>
        <w:rPr>
          <w:rFonts w:hint="default" w:ascii="宋体" w:hAnsi="宋体" w:eastAsia="宋体" w:cs="宋体"/>
          <w:b w:val="0"/>
          <w:bCs w:val="0"/>
          <w:color w:val="000000"/>
          <w:sz w:val="21"/>
          <w:szCs w:val="21"/>
          <w:lang w:val="en-US" w:eastAsia="zh-CN"/>
        </w:rPr>
        <w:t>）应在商务标文件中提供全国建筑市场监管公共服务平台</w:t>
      </w:r>
      <w:r>
        <w:rPr>
          <w:rFonts w:hint="eastAsia" w:ascii="宋体" w:hAnsi="宋体" w:cs="宋体"/>
          <w:b w:val="0"/>
          <w:bCs w:val="0"/>
          <w:color w:val="000000"/>
          <w:sz w:val="21"/>
          <w:szCs w:val="21"/>
          <w:lang w:val="en-US" w:eastAsia="zh-CN"/>
        </w:rPr>
        <w:t>（</w:t>
      </w:r>
      <w:r>
        <w:rPr>
          <w:rFonts w:hint="default" w:ascii="宋体" w:hAnsi="宋体" w:eastAsia="宋体" w:cs="宋体"/>
          <w:b w:val="0"/>
          <w:bCs w:val="0"/>
          <w:color w:val="000000"/>
          <w:sz w:val="21"/>
          <w:szCs w:val="21"/>
          <w:lang w:val="en-US" w:eastAsia="zh-CN"/>
        </w:rPr>
        <w:t>四库一平台</w:t>
      </w:r>
      <w:r>
        <w:rPr>
          <w:rFonts w:hint="eastAsia" w:ascii="宋体" w:hAnsi="宋体" w:cs="宋体"/>
          <w:b w:val="0"/>
          <w:bCs w:val="0"/>
          <w:color w:val="000000"/>
          <w:sz w:val="21"/>
          <w:szCs w:val="21"/>
          <w:lang w:val="en-US" w:eastAsia="zh-CN"/>
        </w:rPr>
        <w:t>）</w:t>
      </w:r>
      <w:r>
        <w:rPr>
          <w:rFonts w:hint="default" w:ascii="宋体" w:hAnsi="宋体" w:eastAsia="宋体" w:cs="宋体"/>
          <w:b w:val="0"/>
          <w:bCs w:val="0"/>
          <w:color w:val="000000"/>
          <w:sz w:val="21"/>
          <w:szCs w:val="21"/>
          <w:lang w:val="en-US" w:eastAsia="zh-CN"/>
        </w:rPr>
        <w:t>企业注册人员网页截图，并在投标函中承诺，</w:t>
      </w:r>
      <w:r>
        <w:rPr>
          <w:rFonts w:hint="eastAsia" w:ascii="宋体" w:hAnsi="宋体" w:eastAsia="宋体" w:cs="宋体"/>
          <w:b w:val="0"/>
          <w:bCs w:val="0"/>
          <w:color w:val="000000"/>
          <w:sz w:val="21"/>
          <w:szCs w:val="21"/>
          <w:lang w:val="en-US" w:eastAsia="zh-CN"/>
        </w:rPr>
        <w:t>承诺本单位（如投标人为联合体，联合体各方）现有注册建造师专业、数量满足《建筑业企业资质标准》及有关文件中对应资质等级标准要求等内容。</w:t>
      </w:r>
      <w:r>
        <w:rPr>
          <w:rFonts w:hint="eastAsia" w:ascii="宋体" w:hAnsi="宋体" w:eastAsia="宋体" w:cs="宋体"/>
          <w:b/>
          <w:bCs/>
          <w:color w:val="000000"/>
          <w:sz w:val="21"/>
          <w:szCs w:val="21"/>
          <w:lang w:val="en-US" w:eastAsia="zh-CN"/>
        </w:rPr>
        <w:t>未提供相关截图或承诺的，提供的相关截图或承诺未体现注册建造师满足相应建筑业企业资质标准要求的，按无效标处理。</w:t>
      </w:r>
    </w:p>
    <w:p w14:paraId="2AFC1A3A">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1. 评标方法</w:t>
      </w:r>
      <w:bookmarkEnd w:id="686"/>
    </w:p>
    <w:p w14:paraId="7DBF15BB">
      <w:pPr>
        <w:adjustRightInd w:val="0"/>
        <w:snapToGrid w:val="0"/>
        <w:spacing w:line="560" w:lineRule="exact"/>
        <w:ind w:firstLine="420" w:firstLineChars="200"/>
        <w:jc w:val="left"/>
        <w:rPr>
          <w:rFonts w:hint="eastAsia" w:ascii="宋体" w:hAnsi="宋体" w:cs="宋体"/>
          <w:color w:val="auto"/>
          <w:szCs w:val="21"/>
        </w:rPr>
      </w:pPr>
      <w:r>
        <w:rPr>
          <w:rFonts w:hint="eastAsia" w:ascii="宋体" w:hAnsi="宋体" w:cs="宋体"/>
          <w:color w:val="000000"/>
          <w:szCs w:val="21"/>
        </w:rPr>
        <w:t>本次评标采用综合评估法</w:t>
      </w:r>
      <w:r>
        <w:rPr>
          <w:rFonts w:hint="eastAsia" w:ascii="宋体" w:hAnsi="宋体" w:cs="宋体"/>
          <w:color w:val="000000"/>
          <w:szCs w:val="21"/>
          <w:lang w:eastAsia="zh-CN"/>
        </w:rPr>
        <w:t>（</w:t>
      </w:r>
      <w:r>
        <w:rPr>
          <w:rFonts w:hint="eastAsia" w:ascii="宋体" w:hAnsi="宋体" w:cs="宋体"/>
          <w:color w:val="000000"/>
          <w:szCs w:val="21"/>
          <w:lang w:val="en-US" w:eastAsia="zh-CN"/>
        </w:rPr>
        <w:t>评定分离）</w:t>
      </w:r>
      <w:r>
        <w:rPr>
          <w:rFonts w:hint="eastAsia" w:ascii="宋体" w:hAnsi="宋体" w:cs="宋体"/>
          <w:color w:val="000000"/>
          <w:szCs w:val="21"/>
        </w:rPr>
        <w:t>。评标委员会对满足招标文件实质性要求的投标文件，按照本章规定的评分标准计算得分，并按总得分由高到</w:t>
      </w:r>
      <w:r>
        <w:rPr>
          <w:rFonts w:hint="eastAsia" w:ascii="宋体" w:hAnsi="宋体" w:cs="宋体"/>
          <w:color w:val="auto"/>
          <w:szCs w:val="21"/>
        </w:rPr>
        <w:t>低推荐</w:t>
      </w:r>
      <w:r>
        <w:rPr>
          <w:rFonts w:hint="eastAsia" w:ascii="宋体" w:hAnsi="宋体" w:cs="宋体"/>
          <w:color w:val="auto"/>
          <w:szCs w:val="21"/>
          <w:lang w:val="en-US" w:eastAsia="zh-CN"/>
        </w:rPr>
        <w:t>3名不排序</w:t>
      </w:r>
      <w:r>
        <w:rPr>
          <w:rFonts w:hint="eastAsia" w:ascii="宋体" w:hAnsi="宋体" w:cs="宋体"/>
          <w:color w:val="auto"/>
          <w:szCs w:val="21"/>
        </w:rPr>
        <w:t>中标候选人，但投标报价低于其成本的除外。如总得分相等，以投标报价低的优先，投标报价仍相等，由评标委员会主任委员或招标人随机抽取确定。</w:t>
      </w:r>
    </w:p>
    <w:p w14:paraId="1AF18EF8">
      <w:pPr>
        <w:widowControl/>
        <w:adjustRightInd w:val="0"/>
        <w:snapToGrid w:val="0"/>
        <w:spacing w:line="560" w:lineRule="exact"/>
        <w:ind w:firstLine="420" w:firstLineChars="200"/>
        <w:jc w:val="left"/>
        <w:rPr>
          <w:rFonts w:hint="eastAsia" w:ascii="宋体" w:hAnsi="宋体" w:cs="宋体"/>
          <w:color w:val="000000"/>
          <w:szCs w:val="21"/>
        </w:rPr>
      </w:pPr>
      <w:r>
        <w:rPr>
          <w:rFonts w:hint="eastAsia" w:ascii="宋体" w:hAnsi="宋体" w:cs="宋体"/>
          <w:color w:val="000000"/>
          <w:szCs w:val="21"/>
        </w:rPr>
        <w:t>（1）根据评标委员会评审初步结论，项目单位（代理机构）对预中标候选人（包括联合体各成员）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包括联合体各成员）存在信誉问题，则组织评标委员会重新启动复核程序。核查结果不改变原评标基准价。</w:t>
      </w:r>
    </w:p>
    <w:p w14:paraId="64DFB040">
      <w:pPr>
        <w:widowControl/>
        <w:adjustRightInd w:val="0"/>
        <w:snapToGrid w:val="0"/>
        <w:spacing w:line="560" w:lineRule="exact"/>
        <w:ind w:firstLine="420" w:firstLineChars="200"/>
        <w:jc w:val="left"/>
        <w:rPr>
          <w:rFonts w:hint="eastAsia" w:ascii="宋体" w:hAnsi="宋体" w:cs="宋体"/>
          <w:color w:val="000000"/>
          <w:szCs w:val="21"/>
        </w:rPr>
      </w:pPr>
      <w:r>
        <w:rPr>
          <w:rFonts w:hint="eastAsia" w:ascii="宋体" w:hAnsi="宋体" w:cs="宋体"/>
          <w:color w:val="000000"/>
          <w:szCs w:val="21"/>
        </w:rPr>
        <w:t>（2）评标委员会登录全国建筑市场监管公共服务平台</w:t>
      </w:r>
      <w:r>
        <w:rPr>
          <w:rFonts w:hint="eastAsia" w:ascii="宋体" w:hAnsi="宋体" w:cs="宋体"/>
          <w:color w:val="000000"/>
          <w:szCs w:val="21"/>
          <w:lang w:eastAsia="zh-CN"/>
        </w:rPr>
        <w:t>（</w:t>
      </w:r>
      <w:r>
        <w:rPr>
          <w:rFonts w:hint="eastAsia" w:ascii="宋体" w:hAnsi="宋体" w:cs="宋体"/>
          <w:color w:val="000000"/>
          <w:szCs w:val="21"/>
        </w:rPr>
        <w:t>四库一平台</w:t>
      </w:r>
      <w:r>
        <w:rPr>
          <w:rFonts w:hint="eastAsia" w:ascii="宋体" w:hAnsi="宋体" w:cs="宋体"/>
          <w:color w:val="000000"/>
          <w:szCs w:val="21"/>
          <w:lang w:eastAsia="zh-CN"/>
        </w:rPr>
        <w:t>）</w:t>
      </w:r>
      <w:r>
        <w:rPr>
          <w:rFonts w:hint="eastAsia" w:ascii="宋体" w:hAnsi="宋体" w:cs="宋体"/>
          <w:color w:val="000000"/>
          <w:szCs w:val="21"/>
        </w:rPr>
        <w:t>https://jzsc.mohurd.gov.cn/home 进行实时查询，并结合《住房城乡建设部关于进一步加强建设工程企业资质审批管理工作的通知》（建市规〔2023〕3号）、《住房和城乡建设部办公厅关于建设工程企业资质有关事项的通知》（建办市函〔2022〕361号）和安徽省住建厅《关于建设工程企业资质有关事宜的通知》（建市函〔2022〕748 号），对中标候选人的关系企业履约能力的建造师数量进行评审：</w:t>
      </w:r>
    </w:p>
    <w:p w14:paraId="6D9558D8">
      <w:pPr>
        <w:widowControl/>
        <w:adjustRightInd w:val="0"/>
        <w:snapToGrid w:val="0"/>
        <w:spacing w:line="560" w:lineRule="exact"/>
        <w:ind w:firstLine="420" w:firstLineChars="200"/>
        <w:jc w:val="left"/>
        <w:rPr>
          <w:rFonts w:hint="eastAsia" w:ascii="宋体" w:hAnsi="宋体" w:cs="宋体"/>
          <w:color w:val="auto"/>
          <w:szCs w:val="21"/>
          <w:highlight w:val="none"/>
        </w:rPr>
      </w:pPr>
      <w:r>
        <w:rPr>
          <w:rFonts w:hint="eastAsia" w:ascii="仿宋_GB2312" w:hAnsi="宋体" w:eastAsia="仿宋_GB2312" w:cs="宋体"/>
          <w:color w:val="auto"/>
          <w:szCs w:val="21"/>
          <w:highlight w:val="none"/>
        </w:rPr>
        <w:t>①</w:t>
      </w:r>
      <w:r>
        <w:rPr>
          <w:rFonts w:hint="eastAsia" w:ascii="宋体" w:hAnsi="宋体" w:cs="宋体"/>
          <w:color w:val="auto"/>
          <w:szCs w:val="21"/>
          <w:highlight w:val="none"/>
        </w:rPr>
        <w:t>建筑工程施工总承包特级资质企业：注册一级建造师50人以上。</w:t>
      </w:r>
    </w:p>
    <w:p w14:paraId="7FF38BD0">
      <w:pPr>
        <w:widowControl/>
        <w:adjustRightInd w:val="0"/>
        <w:snapToGrid w:val="0"/>
        <w:spacing w:line="560" w:lineRule="exact"/>
        <w:ind w:firstLine="420" w:firstLineChars="200"/>
        <w:jc w:val="left"/>
        <w:rPr>
          <w:rFonts w:hint="eastAsia" w:ascii="宋体" w:hAnsi="宋体" w:cs="宋体"/>
          <w:color w:val="auto"/>
          <w:szCs w:val="21"/>
          <w:highlight w:val="none"/>
        </w:rPr>
      </w:pPr>
      <w:r>
        <w:rPr>
          <w:rFonts w:hint="eastAsia" w:ascii="仿宋_GB2312" w:hAnsi="宋体" w:eastAsia="仿宋_GB2312" w:cs="宋体"/>
          <w:color w:val="auto"/>
          <w:szCs w:val="21"/>
          <w:highlight w:val="none"/>
        </w:rPr>
        <w:t>②</w:t>
      </w:r>
      <w:r>
        <w:rPr>
          <w:rFonts w:hint="eastAsia" w:ascii="宋体" w:hAnsi="宋体" w:cs="宋体"/>
          <w:color w:val="auto"/>
          <w:szCs w:val="21"/>
          <w:highlight w:val="none"/>
        </w:rPr>
        <w:t>建筑工程施工总承包壹级资质企业：建筑工程、机电工程专业一级注册建造师合计不少于12人，其中建筑工程专业一级注册建造师不少于9人。</w:t>
      </w:r>
    </w:p>
    <w:p w14:paraId="153DB01A">
      <w:pPr>
        <w:widowControl/>
        <w:adjustRightInd w:val="0"/>
        <w:snapToGrid w:val="0"/>
        <w:spacing w:line="560" w:lineRule="exact"/>
        <w:ind w:firstLine="420" w:firstLineChars="200"/>
        <w:jc w:val="left"/>
        <w:rPr>
          <w:rFonts w:hint="eastAsia" w:ascii="宋体" w:hAnsi="宋体" w:cs="宋体"/>
          <w:color w:val="auto"/>
          <w:szCs w:val="21"/>
          <w:highlight w:val="none"/>
        </w:rPr>
      </w:pPr>
      <w:r>
        <w:rPr>
          <w:rFonts w:hint="eastAsia" w:ascii="仿宋_GB2312" w:hAnsi="宋体" w:eastAsia="仿宋_GB2312" w:cs="宋体"/>
          <w:color w:val="auto"/>
          <w:szCs w:val="21"/>
          <w:highlight w:val="none"/>
        </w:rPr>
        <w:t>③</w:t>
      </w:r>
      <w:r>
        <w:rPr>
          <w:rFonts w:hint="eastAsia" w:ascii="宋体" w:hAnsi="宋体" w:cs="宋体"/>
          <w:color w:val="auto"/>
          <w:szCs w:val="21"/>
          <w:highlight w:val="none"/>
        </w:rPr>
        <w:t>建筑工程施工总承包贰级、叁级资质企业：建筑工程、机电工程专业注册建造师合计不少于5人，其中建筑工程专业注册建造师不少于4人。</w:t>
      </w:r>
    </w:p>
    <w:p w14:paraId="603797D3">
      <w:pPr>
        <w:widowControl/>
        <w:adjustRightInd w:val="0"/>
        <w:snapToGrid w:val="0"/>
        <w:spacing w:line="560" w:lineRule="exact"/>
        <w:ind w:firstLine="420" w:firstLineChars="200"/>
        <w:jc w:val="left"/>
        <w:rPr>
          <w:rFonts w:hint="eastAsia" w:ascii="宋体" w:hAnsi="宋体" w:eastAsia="宋体" w:cs="宋体"/>
          <w:color w:val="auto"/>
          <w:szCs w:val="21"/>
          <w:highlight w:val="none"/>
        </w:rPr>
      </w:pPr>
      <w:bookmarkStart w:id="687" w:name="_Toc95223430"/>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 4 \* GB3 \* MERGEFORMAT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④</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lang w:val="en-US" w:eastAsia="zh-CN"/>
        </w:rPr>
        <w:t>机电工程施工总承包壹级资质企业：机电工程、建筑工程专业一级注册建造师合计不少于12人，其中机电工程专业一级注册建造师不少于9人</w:t>
      </w:r>
      <w:r>
        <w:rPr>
          <w:rFonts w:hint="eastAsia" w:ascii="宋体" w:hAnsi="宋体" w:eastAsia="宋体" w:cs="宋体"/>
          <w:color w:val="auto"/>
          <w:szCs w:val="21"/>
          <w:highlight w:val="none"/>
        </w:rPr>
        <w:t>。</w:t>
      </w:r>
    </w:p>
    <w:p w14:paraId="571EF64B">
      <w:pPr>
        <w:widowControl/>
        <w:adjustRightInd w:val="0"/>
        <w:snapToGrid w:val="0"/>
        <w:spacing w:line="56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 5 \* GB3 \* MERGEFORMAT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⑤</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lang w:val="en-US" w:eastAsia="zh-CN"/>
        </w:rPr>
        <w:t>机电</w:t>
      </w:r>
      <w:r>
        <w:rPr>
          <w:rFonts w:hint="eastAsia" w:ascii="宋体" w:hAnsi="宋体" w:eastAsia="宋体" w:cs="宋体"/>
          <w:color w:val="auto"/>
          <w:szCs w:val="21"/>
          <w:highlight w:val="none"/>
        </w:rPr>
        <w:t>工程施工总承包贰级、叁级资质企业：</w:t>
      </w:r>
      <w:r>
        <w:rPr>
          <w:rFonts w:hint="eastAsia" w:ascii="宋体" w:hAnsi="宋体" w:eastAsia="宋体" w:cs="宋体"/>
          <w:color w:val="auto"/>
          <w:szCs w:val="21"/>
          <w:highlight w:val="none"/>
          <w:lang w:val="en-US" w:eastAsia="zh-CN"/>
        </w:rPr>
        <w:t>机电工程、建筑工程专业注册建造师合计不少于5人。</w:t>
      </w:r>
    </w:p>
    <w:p w14:paraId="771D8A53">
      <w:pPr>
        <w:widowControl/>
        <w:adjustRightInd w:val="0"/>
        <w:snapToGrid w:val="0"/>
        <w:spacing w:line="560" w:lineRule="exact"/>
        <w:ind w:firstLine="420" w:firstLineChars="200"/>
        <w:jc w:val="left"/>
        <w:rPr>
          <w:rFonts w:hint="eastAsia" w:ascii="宋体" w:hAnsi="宋体" w:cs="宋体"/>
          <w:color w:val="000000"/>
          <w:szCs w:val="21"/>
        </w:rPr>
      </w:pPr>
      <w:r>
        <w:rPr>
          <w:rFonts w:hint="eastAsia" w:ascii="宋体" w:hAnsi="宋体" w:cs="宋体"/>
          <w:color w:val="000000"/>
          <w:szCs w:val="21"/>
        </w:rPr>
        <w:t>中标候选人的注册建造师不满足上述要求的，评标委员会对该投标不予认可，并将该情形报送相关行政主管部门。中标候选人依次替补，评标委员会再次对替补单位进行核查。</w:t>
      </w:r>
    </w:p>
    <w:p w14:paraId="3030D302">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2.评标委员会的职责</w:t>
      </w:r>
      <w:bookmarkEnd w:id="687"/>
    </w:p>
    <w:p w14:paraId="34D35FD6">
      <w:pPr>
        <w:adjustRightInd w:val="0"/>
        <w:snapToGrid w:val="0"/>
        <w:spacing w:line="560" w:lineRule="exact"/>
        <w:ind w:firstLine="420" w:firstLineChars="200"/>
        <w:rPr>
          <w:rFonts w:hint="eastAsia" w:ascii="宋体" w:hAnsi="宋体" w:cs="宋体"/>
          <w:color w:val="000000"/>
          <w:szCs w:val="21"/>
        </w:rPr>
      </w:pPr>
      <w:bookmarkStart w:id="688" w:name="_Toc95223431"/>
      <w:r>
        <w:rPr>
          <w:rFonts w:hint="eastAsia" w:ascii="宋体" w:hAnsi="宋体" w:cs="宋体"/>
          <w:color w:val="000000"/>
          <w:szCs w:val="21"/>
          <w:lang w:val="en-US" w:eastAsia="zh-CN"/>
        </w:rPr>
        <w:t>2.1</w:t>
      </w:r>
      <w:r>
        <w:rPr>
          <w:rFonts w:hint="eastAsia" w:ascii="宋体" w:hAnsi="宋体" w:cs="宋体"/>
          <w:color w:val="000000"/>
          <w:szCs w:val="21"/>
        </w:rPr>
        <w:t>评标委员会应当根据本评标办法，应进行系统地评审和比较，向招标人推荐中标候选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754350B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lang w:val="en-US" w:eastAsia="zh-CN"/>
        </w:rPr>
        <w:t>2.2</w:t>
      </w:r>
      <w:r>
        <w:rPr>
          <w:rFonts w:hint="eastAsia" w:ascii="宋体" w:hAnsi="宋体" w:cs="宋体"/>
          <w:color w:val="000000"/>
          <w:szCs w:val="21"/>
        </w:rPr>
        <w:t>评标委员会应加强对报价合理性审查。评标评审委员会认为拟推荐的中标候选人的报价明显低于其他通过符合性审查投标人的报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4D5E0C84">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2.3核查异常投标情形</w:t>
      </w:r>
    </w:p>
    <w:p w14:paraId="62B02478">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2.3.1评标委员会应结合下列情况对异常投标情形进行重点核查，并将违法线索移交公共资源交易监督管理部门依法查处：</w:t>
      </w:r>
    </w:p>
    <w:p w14:paraId="34122A9B">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（1）法律法规规定视为串通投标的情形；</w:t>
      </w:r>
    </w:p>
    <w:p w14:paraId="74272C52">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（2）投标文件异常一致（包括但不限于以下具体情形）：</w:t>
      </w:r>
    </w:p>
    <w:p w14:paraId="1432CFB0">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①投标人投标文件中单方面出现其他投标人材料的（依法组成联合体投标的除外）；</w:t>
      </w:r>
    </w:p>
    <w:p w14:paraId="6E6775F1">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②投标文件内容、文字错误、排版格式、公式、非标准性备注内容高度雷同；</w:t>
      </w:r>
    </w:p>
    <w:p w14:paraId="16E32D87">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③工程量清单报价中，多处非公开、非常规的计算错误、小数点错误、相同的漏项或相同的非常规让利完全一致；</w:t>
      </w:r>
    </w:p>
    <w:p w14:paraId="7D24D375">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（3）投标活动异常关联（包括但不限于以下具体情形）：</w:t>
      </w:r>
    </w:p>
    <w:p w14:paraId="3B3EDB1F">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①投标人投标MAC地址一致或申请开具电子保函MAC地址一致的；</w:t>
      </w:r>
    </w:p>
    <w:p w14:paraId="35A05395">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②投标文件制作机器码或文件创建标识码或造价软件加密锁号信息与其他投标人雷同的；</w:t>
      </w:r>
    </w:p>
    <w:p w14:paraId="7C22765B">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③投标人联系人或联系电话相同的；</w:t>
      </w:r>
    </w:p>
    <w:p w14:paraId="52A417A0">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（4）通过受让、租借、挂靠资质投标，伪造、变造资质、资格证书或者其他许可证件，提供虚假业绩、奖项、项目负责人等材料。</w:t>
      </w:r>
    </w:p>
    <w:p w14:paraId="5BA27136">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2.3.2前项第（2）（3）目的具体情形，评标委员会应当按照第二章投标人须知前附表10.5“评标过程中的澄清、说明或补正”要求投标人作出解释说明，投标人须在评标委员会规定时间内作出解释说明。投标人未在规定时间内作出解释说明或作出的解释说明无令人信服的理由和可靠证据证明其合理性的，评标委员会应当认定其为异常投标情形。评标委员会经核查发现投标人存在串通投标、弄虚作假等违法行为的，按照法律法规规定进行处理。</w:t>
      </w:r>
    </w:p>
    <w:p w14:paraId="7A08DBCE">
      <w:pPr>
        <w:pStyle w:val="2"/>
        <w:keepNext/>
        <w:keepLines/>
        <w:pageBreakBefore w:val="0"/>
        <w:widowControl w:val="0"/>
        <w:kinsoku/>
        <w:wordWrap/>
        <w:overflowPunct/>
        <w:topLinePunct w:val="0"/>
        <w:autoSpaceDE/>
        <w:autoSpaceDN/>
        <w:bidi w:val="0"/>
        <w:adjustRightInd/>
        <w:snapToGrid/>
        <w:spacing w:before="0" w:after="0" w:line="560" w:lineRule="exact"/>
        <w:ind w:firstLine="420" w:firstLineChars="200"/>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2.3.3投标人出现本款第一项所列异常投标情形的，投标保证金不予退还。</w:t>
      </w:r>
    </w:p>
    <w:p w14:paraId="38408061">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3.评标程序</w:t>
      </w:r>
      <w:bookmarkEnd w:id="688"/>
    </w:p>
    <w:p w14:paraId="378A2697">
      <w:pPr>
        <w:adjustRightInd w:val="0"/>
        <w:snapToGrid w:val="0"/>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评标先做准备工作，再进行资格、技术标评审，然后进行商务标评审。</w:t>
      </w:r>
    </w:p>
    <w:p w14:paraId="7B76EBF8">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89" w:name="_Toc95223432"/>
      <w:r>
        <w:rPr>
          <w:rFonts w:hint="eastAsia" w:ascii="黑体" w:hAnsi="黑体" w:cs="黑体"/>
          <w:color w:val="auto"/>
          <w:sz w:val="21"/>
          <w:szCs w:val="21"/>
          <w:highlight w:val="none"/>
        </w:rPr>
        <w:t>3.1评标准备工作</w:t>
      </w:r>
      <w:bookmarkEnd w:id="689"/>
    </w:p>
    <w:p w14:paraId="1F05924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评标委员会熟悉评标工作情况：</w:t>
      </w:r>
    </w:p>
    <w:p w14:paraId="628888D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（1）阅读由招标人或者其委托的工程代理机构编制的招标项目情况材料。</w:t>
      </w:r>
    </w:p>
    <w:p w14:paraId="78543B1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（2）阅读、研究招标文件和相关评标资料，获取评标所需要的重要信息和数据，至少应了解和熟悉以下内容：招标项目的范围和性质，招标文件规定的主要技术要求、标准和商务条款。</w:t>
      </w:r>
    </w:p>
    <w:p w14:paraId="1014D858">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（3）熟悉招标文件规定的评标标准和评标方法及在评标过程中需要考虑的相关因素。</w:t>
      </w:r>
    </w:p>
    <w:p w14:paraId="0497B1AC">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（4）核对评标工作用表。</w:t>
      </w:r>
    </w:p>
    <w:p w14:paraId="034B4720">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90" w:name="_Toc95223433"/>
      <w:r>
        <w:rPr>
          <w:rFonts w:hint="eastAsia" w:ascii="黑体" w:hAnsi="黑体" w:cs="黑体"/>
          <w:color w:val="auto"/>
          <w:sz w:val="21"/>
          <w:szCs w:val="21"/>
          <w:highlight w:val="none"/>
        </w:rPr>
        <w:t>3.2技术标评审</w:t>
      </w:r>
      <w:bookmarkEnd w:id="690"/>
    </w:p>
    <w:p w14:paraId="1432BAE3">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详见技术标评审表。</w:t>
      </w:r>
    </w:p>
    <w:p w14:paraId="61DAC63B">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91" w:name="_Toc95223434"/>
      <w:r>
        <w:rPr>
          <w:rFonts w:hint="eastAsia" w:ascii="黑体" w:hAnsi="黑体" w:cs="黑体"/>
          <w:color w:val="auto"/>
          <w:sz w:val="21"/>
          <w:szCs w:val="21"/>
          <w:highlight w:val="none"/>
        </w:rPr>
        <w:t>3.3商务标评审</w:t>
      </w:r>
      <w:bookmarkEnd w:id="691"/>
    </w:p>
    <w:p w14:paraId="5B89D347">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详见商务标评审表。</w:t>
      </w:r>
    </w:p>
    <w:p w14:paraId="2BB1A00E">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3.4推荐中标候选人</w:t>
      </w:r>
    </w:p>
    <w:p w14:paraId="7397888E">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资信评审、技术标评审、商务标评审后，推荐</w:t>
      </w:r>
      <w:r>
        <w:rPr>
          <w:rFonts w:hint="eastAsia" w:ascii="宋体" w:hAnsi="宋体" w:cs="宋体"/>
          <w:color w:val="auto"/>
          <w:szCs w:val="21"/>
          <w:highlight w:val="none"/>
          <w:lang w:val="en-US" w:eastAsia="zh-CN"/>
        </w:rPr>
        <w:t>3名</w:t>
      </w:r>
      <w:r>
        <w:rPr>
          <w:rFonts w:hint="eastAsia" w:ascii="宋体" w:hAnsi="宋体" w:cs="宋体"/>
          <w:color w:val="auto"/>
          <w:szCs w:val="21"/>
          <w:highlight w:val="none"/>
        </w:rPr>
        <w:t>中标候选</w:t>
      </w:r>
      <w:r>
        <w:rPr>
          <w:rFonts w:hint="eastAsia" w:ascii="宋体" w:hAnsi="宋体" w:cs="宋体"/>
          <w:color w:val="auto"/>
          <w:szCs w:val="21"/>
          <w:highlight w:val="none"/>
          <w:lang w:val="en-US" w:eastAsia="zh-CN"/>
        </w:rPr>
        <w:t>人（不排序）</w:t>
      </w:r>
      <w:r>
        <w:rPr>
          <w:rFonts w:hint="eastAsia" w:ascii="宋体" w:hAnsi="宋体" w:cs="宋体"/>
          <w:color w:val="auto"/>
          <w:szCs w:val="21"/>
          <w:highlight w:val="none"/>
        </w:rPr>
        <w:t>。</w:t>
      </w:r>
    </w:p>
    <w:p w14:paraId="1EF297B0">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92" w:name="_Toc95223435"/>
      <w:r>
        <w:rPr>
          <w:rFonts w:hint="eastAsia" w:ascii="黑体" w:hAnsi="黑体" w:cs="黑体"/>
          <w:color w:val="auto"/>
          <w:sz w:val="21"/>
          <w:szCs w:val="21"/>
          <w:highlight w:val="none"/>
        </w:rPr>
        <w:t>4.评审内容</w:t>
      </w:r>
      <w:bookmarkEnd w:id="692"/>
    </w:p>
    <w:p w14:paraId="71DD15F0">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93" w:name="_Toc95223436"/>
      <w:r>
        <w:rPr>
          <w:rFonts w:hint="eastAsia" w:ascii="黑体" w:hAnsi="黑体" w:cs="黑体"/>
          <w:color w:val="auto"/>
          <w:sz w:val="21"/>
          <w:szCs w:val="21"/>
          <w:highlight w:val="none"/>
        </w:rPr>
        <w:t>4.1技术标评审</w:t>
      </w:r>
      <w:bookmarkEnd w:id="693"/>
    </w:p>
    <w:p w14:paraId="488C9E7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4.1.1形式性评审标准：见技术标评审表。</w:t>
      </w:r>
    </w:p>
    <w:p w14:paraId="0D21F36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4.1.2响应性评审标准：见技术标评审表。</w:t>
      </w:r>
    </w:p>
    <w:p w14:paraId="79A66624">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评标委员会依据上述标准对投标文件进行形式性评审和响应性评审。有一项不符合评审标准的，作无效投标处理。对否定的技术标，评标委员会要提出充足的否定理由，并填写在技术标评标记录上。</w:t>
      </w:r>
    </w:p>
    <w:p w14:paraId="5A954176">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94" w:name="_Toc95223437"/>
      <w:r>
        <w:rPr>
          <w:rFonts w:hint="eastAsia" w:ascii="黑体" w:hAnsi="黑体" w:cs="黑体"/>
          <w:color w:val="auto"/>
          <w:sz w:val="21"/>
          <w:szCs w:val="21"/>
          <w:highlight w:val="none"/>
        </w:rPr>
        <w:t>4.2商务标评审</w:t>
      </w:r>
      <w:bookmarkEnd w:id="694"/>
    </w:p>
    <w:p w14:paraId="373C5D9E">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只有通过技术标评审的投标才能够进入本阶段评审。</w:t>
      </w:r>
    </w:p>
    <w:p w14:paraId="6C88B78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4.2.1形式性评审标准：见商务标评审表。</w:t>
      </w:r>
    </w:p>
    <w:p w14:paraId="67A9B6C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4.2.2响应性评审标准：见商务标评审表。</w:t>
      </w:r>
    </w:p>
    <w:p w14:paraId="01276C81">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评标委员会依据上述标准对投标文件进行初步评审。有一项不符合评审标准的，作无效投标处理。</w:t>
      </w:r>
    </w:p>
    <w:p w14:paraId="1A9BE1B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4.2.3详细评审标准：见商务标评审表。</w:t>
      </w:r>
    </w:p>
    <w:p w14:paraId="6FC99F5C">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4.2.3.1投标报价清标：</w:t>
      </w:r>
    </w:p>
    <w:p w14:paraId="7B48492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（1）清标是指通过对需要评审的工程量清单投标报价采用核对、比较、筛选等方法，对基础性数据进行分析和整理。其目的是找出投标文件中可能存在疑义或者显著异常的数据，为评审中的质疑工作提供基础。</w:t>
      </w:r>
    </w:p>
    <w:p w14:paraId="1B5F6631">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（2）清标工作应当使用计算机辅助评标系统，由计算机完成。</w:t>
      </w:r>
    </w:p>
    <w:p w14:paraId="3F22863E">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（3）清标的内容和步骤：</w:t>
      </w:r>
    </w:p>
    <w:p w14:paraId="7367AD3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①投标文件在符合性、响应性等方面存在的偏差。</w:t>
      </w:r>
    </w:p>
    <w:p w14:paraId="75EB2346">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②投标文件存在的算术计算错误和修正结果。</w:t>
      </w:r>
    </w:p>
    <w:p w14:paraId="5DA43C6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③在列出的所有偏差中，属于重大偏差的情形和相关依据；在列出的所有偏差中、属于细微偏差的情形。</w:t>
      </w:r>
    </w:p>
    <w:p w14:paraId="406EAEA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④列出投标价格过高或过低等的清单项目的序号、项目编码、项目名称、项目特征、与招标文件规定的标准之间存在的偏差幅度和产生原因的摘录。</w:t>
      </w:r>
    </w:p>
    <w:p w14:paraId="55DE21EC">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4.2.4评标委员会审查投标文件，审核并确认清标结果，包括工程投标报价的校核、审查全部数据计算的正确性、分析各种费用构成的合理性和正确性等内容，看其是否有计算或表达上的错误，投标报价有错误的，评标委员会按以下原则对投标报价进行修正。</w:t>
      </w:r>
    </w:p>
    <w:p w14:paraId="564FEC2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（1）投标文件中的大写金额与小写金额不一致的，以大写金额为准。</w:t>
      </w:r>
    </w:p>
    <w:p w14:paraId="57E42A0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（2）总价金额与依据单价计算出的结果不一致的，以单价金额为准修正总价，但单价金额小数点有明显错误的除外。</w:t>
      </w:r>
    </w:p>
    <w:p w14:paraId="06E3852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（3）工程量清单报价表中综合单价与工程量清单项目价格分析表相对应综合单价不一致时，以工程量清单项目价格分析表中标出的综合单价为准。</w:t>
      </w:r>
    </w:p>
    <w:p w14:paraId="3910CDE7">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000000"/>
          <w:szCs w:val="21"/>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418669CE">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95" w:name="_Toc95223438"/>
      <w:r>
        <w:rPr>
          <w:rFonts w:hint="eastAsia" w:ascii="黑体" w:hAnsi="黑体" w:cs="黑体"/>
          <w:color w:val="auto"/>
          <w:sz w:val="21"/>
          <w:szCs w:val="21"/>
          <w:highlight w:val="none"/>
        </w:rPr>
        <w:t>5.无效投标条款</w:t>
      </w:r>
      <w:bookmarkEnd w:id="695"/>
    </w:p>
    <w:p w14:paraId="090B3D0C">
      <w:pPr>
        <w:adjustRightInd w:val="0"/>
        <w:snapToGrid w:val="0"/>
        <w:spacing w:line="560" w:lineRule="exact"/>
        <w:ind w:firstLine="420" w:firstLineChars="200"/>
        <w:rPr>
          <w:rFonts w:hint="eastAsia" w:ascii="宋体" w:hAnsi="宋体" w:cs="宋体"/>
          <w:color w:val="000000"/>
          <w:szCs w:val="21"/>
        </w:rPr>
      </w:pPr>
      <w:bookmarkStart w:id="696" w:name="_Toc95223439"/>
      <w:r>
        <w:rPr>
          <w:rFonts w:hint="eastAsia" w:ascii="宋体" w:hAnsi="宋体" w:cs="宋体"/>
          <w:color w:val="000000"/>
          <w:szCs w:val="21"/>
        </w:rPr>
        <w:t>5.1投标人存在下列情形的招标人将拒收投标文件：</w:t>
      </w:r>
    </w:p>
    <w:p w14:paraId="629E9931">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 未在投标截止时间前通过网上招标投标系统递交有效电子投标文件的，开标系统不予接收，投标将被拒绝。</w:t>
      </w:r>
    </w:p>
    <w:p w14:paraId="27DC37B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所有投标人应在规定时间里完成投标文件的解密工作（投标企业接到远程解密指令后，须在规定时间内解密（以网上开评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4A7525E5">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5.2投标人有下列情形的，经评审后其投标作无效投标处理：</w:t>
      </w:r>
    </w:p>
    <w:p w14:paraId="1A2A536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5.2.1技术标评审</w:t>
      </w:r>
    </w:p>
    <w:p w14:paraId="443B5B9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评标委员会依据《技术标评审表》进行形式性评审和响应性评审。有一项不符合评审标准的，做无效投标处理；对否定的技术标，评标委员会要提出充足的否定理由，并填写在技术标评标记录上。</w:t>
      </w:r>
    </w:p>
    <w:p w14:paraId="76115CD8">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5.2.2商务标评审</w:t>
      </w:r>
    </w:p>
    <w:p w14:paraId="4C5E4E6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(1)评标委员会依据《商务标评审表》进行形式性评审和响应性评审。有一项不符合评审标准的，做无效投标处理；</w:t>
      </w:r>
    </w:p>
    <w:p w14:paraId="2973577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（2）商务标详细评审标准中有任何一项不能通过评审的，作无效投标处理。</w:t>
      </w:r>
    </w:p>
    <w:p w14:paraId="49952930">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5.3其他无效投标情况：</w:t>
      </w:r>
    </w:p>
    <w:p w14:paraId="2286C244">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65684FFD">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（2）按第四章“评标方法”第4.2.4项修正错误的原则及方法调整或修正投标文件的投标报价，调整或修正的价格经投标人书面确认后具有约束力。投标人不接受修正价格的，其投标将被拒绝。</w:t>
      </w:r>
    </w:p>
    <w:p w14:paraId="6FD433E4">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（3）第二章“投标人须知”第1.4.3项规定的任何一种情形的。</w:t>
      </w:r>
    </w:p>
    <w:p w14:paraId="6E2D8C0C">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（4）投标人有串通投标、视为串通投标、弄虚作假、行贿等违法行为。</w:t>
      </w:r>
    </w:p>
    <w:p w14:paraId="4E9DDDB4">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（5）投标文件没有对招标文件的实质性要求和条件作出响应。</w:t>
      </w:r>
    </w:p>
    <w:p w14:paraId="4D8E0C5B">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（6）未按规定的格式填写导致实质性内容不全以及实质上不响应，或者关键字迹模糊、无法辨认；经公共资源交易监督部门核准的。</w:t>
      </w:r>
    </w:p>
    <w:p w14:paraId="304BCB9F">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（7）同一投标人提交两个以上不同的投标文件或者投标报价，但招标文件规定提交备选投标的除外。</w:t>
      </w:r>
    </w:p>
    <w:p w14:paraId="2B26BF36">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（8）投标文件中存在招标人不能接受的其他实质性条件。</w:t>
      </w:r>
    </w:p>
    <w:p w14:paraId="3C9D4ED7">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（9）投标文件中填报的拟任项目经理（建造师）与资格审查通过的项目经理（建造师）前后不一致的。</w:t>
      </w:r>
    </w:p>
    <w:p w14:paraId="09B207F4">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（10）投标人拒不按照要求对投标文件进行澄清、说明、补正的，或评标委员会根据招标文件的规定对招标文件的计算错误进行修正后，投标人不接受修正的投标报价的。</w:t>
      </w:r>
    </w:p>
    <w:p w14:paraId="21D8DB3C">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（11）投标人投标MAC地址一致。</w:t>
      </w:r>
    </w:p>
    <w:p w14:paraId="47EF3702">
      <w:pPr>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（12）投标人单方面出现其他投标人材料。</w:t>
      </w:r>
    </w:p>
    <w:p w14:paraId="5E83EF48">
      <w:pPr>
        <w:spacing w:line="560" w:lineRule="exact"/>
        <w:ind w:firstLine="420" w:firstLineChars="200"/>
        <w:rPr>
          <w:rFonts w:hint="eastAsia" w:ascii="宋体" w:hAnsi="宋体" w:cs="宋体"/>
          <w:bCs/>
          <w:color w:val="000000"/>
          <w:szCs w:val="21"/>
        </w:rPr>
      </w:pPr>
      <w:r>
        <w:rPr>
          <w:rFonts w:hint="eastAsia" w:ascii="宋体" w:hAnsi="宋体" w:cs="宋体"/>
          <w:color w:val="000000"/>
          <w:szCs w:val="21"/>
        </w:rPr>
        <w:t>（13）</w:t>
      </w:r>
      <w:r>
        <w:rPr>
          <w:rFonts w:hint="eastAsia" w:ascii="宋体" w:hAnsi="宋体" w:cs="宋体"/>
          <w:bCs/>
          <w:color w:val="000000"/>
          <w:szCs w:val="21"/>
        </w:rPr>
        <w:t>评标时查询投标文件制作机器码、文件创建标识码及造价软件加密锁号。若存在投标文件制作机器码或创建标识码或造价软件加密锁号信息与其他投标人雷同的，投标无效。</w:t>
      </w:r>
    </w:p>
    <w:p w14:paraId="2B1EE736">
      <w:pPr>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（14）投标人申请开具电子保函MAC地址一致。</w:t>
      </w:r>
    </w:p>
    <w:p w14:paraId="32181DC5">
      <w:pPr>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（15）投标人联系人或联系电话相同的。</w:t>
      </w:r>
    </w:p>
    <w:p w14:paraId="49FBAF37">
      <w:pPr>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（16）法律、法规规定的其他情形。</w:t>
      </w:r>
    </w:p>
    <w:p w14:paraId="1523B782">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6.投标文件的澄清和补正</w:t>
      </w:r>
      <w:bookmarkEnd w:id="696"/>
    </w:p>
    <w:p w14:paraId="531C641A">
      <w:pPr>
        <w:adjustRightInd w:val="0"/>
        <w:snapToGrid w:val="0"/>
        <w:spacing w:line="560" w:lineRule="exact"/>
        <w:ind w:firstLine="420" w:firstLineChars="200"/>
        <w:rPr>
          <w:rFonts w:hint="eastAsia" w:ascii="宋体" w:hAnsi="宋体" w:cs="宋体"/>
          <w:color w:val="auto"/>
          <w:szCs w:val="21"/>
          <w:highlight w:val="none"/>
        </w:rPr>
      </w:pPr>
      <w:bookmarkStart w:id="697" w:name="_Toc95223440"/>
      <w:r>
        <w:rPr>
          <w:rFonts w:hint="eastAsia" w:ascii="宋体" w:hAnsi="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5ACC637C">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6.2澄清、说明和补正不得改变投标文件的实质性内容（算术性错误修正的除外）。投标人的书面澄清、说明和补正属于投标文件的组成部分。</w:t>
      </w:r>
    </w:p>
    <w:p w14:paraId="25C763C5">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6.3评标委员会对投标人提交的澄清、说明和补正有疑问的，可以要求投标人进一步澄清、说明或补正</w:t>
      </w:r>
      <w:r>
        <w:rPr>
          <w:rFonts w:hint="eastAsia" w:ascii="宋体" w:hAnsi="宋体" w:cs="宋体"/>
          <w:color w:val="auto"/>
          <w:szCs w:val="21"/>
          <w:highlight w:val="none"/>
          <w:lang w:eastAsia="zh-CN"/>
        </w:rPr>
        <w:t>直至</w:t>
      </w:r>
      <w:r>
        <w:rPr>
          <w:rFonts w:hint="eastAsia" w:ascii="宋体" w:hAnsi="宋体" w:cs="宋体"/>
          <w:color w:val="auto"/>
          <w:szCs w:val="21"/>
          <w:highlight w:val="none"/>
        </w:rPr>
        <w:t>满足评标委员会的要求。</w:t>
      </w:r>
    </w:p>
    <w:p w14:paraId="217F6247">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08CC8548">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7.评分标准</w:t>
      </w:r>
      <w:bookmarkEnd w:id="697"/>
    </w:p>
    <w:p w14:paraId="41E47A29">
      <w:pPr>
        <w:adjustRightInd w:val="0"/>
        <w:snapToGrid w:val="0"/>
        <w:spacing w:line="5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7.1评分标准：</w:t>
      </w:r>
      <w:r>
        <w:rPr>
          <w:rFonts w:hint="eastAsia" w:ascii="宋体" w:hAnsi="宋体" w:cs="宋体"/>
          <w:color w:val="000000"/>
          <w:szCs w:val="21"/>
        </w:rPr>
        <w:t>见资信、技术及商务评分表。</w:t>
      </w:r>
    </w:p>
    <w:p w14:paraId="2D7FEF72">
      <w:pPr>
        <w:pStyle w:val="2"/>
        <w:adjustRightInd w:val="0"/>
        <w:snapToGrid w:val="0"/>
        <w:spacing w:before="0" w:after="0" w:line="560" w:lineRule="exact"/>
        <w:ind w:firstLine="422" w:firstLineChars="200"/>
        <w:rPr>
          <w:rFonts w:hint="eastAsia" w:ascii="黑体" w:hAnsi="黑体" w:cs="黑体"/>
          <w:color w:val="auto"/>
          <w:sz w:val="21"/>
          <w:szCs w:val="21"/>
          <w:highlight w:val="none"/>
        </w:rPr>
      </w:pPr>
      <w:bookmarkStart w:id="698" w:name="_Toc95223441"/>
      <w:r>
        <w:rPr>
          <w:rFonts w:hint="eastAsia" w:ascii="黑体" w:hAnsi="黑体" w:cs="黑体"/>
          <w:color w:val="auto"/>
          <w:sz w:val="21"/>
          <w:szCs w:val="21"/>
          <w:highlight w:val="none"/>
        </w:rPr>
        <w:t>8.评审结果</w:t>
      </w:r>
      <w:bookmarkEnd w:id="698"/>
    </w:p>
    <w:p w14:paraId="781CB1A0">
      <w:pPr>
        <w:adjustRightInd w:val="0"/>
        <w:snapToGrid w:val="0"/>
        <w:spacing w:line="560" w:lineRule="exact"/>
        <w:ind w:firstLine="420" w:firstLineChars="200"/>
        <w:rPr>
          <w:rFonts w:hint="eastAsia" w:ascii="宋体" w:hAnsi="宋体" w:cs="宋体"/>
          <w:color w:val="000000"/>
          <w:szCs w:val="21"/>
        </w:rPr>
      </w:pPr>
      <w:bookmarkStart w:id="699" w:name="_Toc95223442"/>
      <w:r>
        <w:rPr>
          <w:rFonts w:hint="eastAsia" w:ascii="宋体" w:hAnsi="宋体" w:cs="宋体"/>
          <w:color w:val="000000"/>
          <w:szCs w:val="21"/>
        </w:rPr>
        <w:t>8.1除第二章“投标人须知”及其前附表授权直接确定中标人外，评标委员会按照总得分由高到低推荐中标候选人。</w:t>
      </w:r>
    </w:p>
    <w:p w14:paraId="1BDABEC4">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8.2评标委员会完成评标后，应当向招标人提交书面评标报告。评标报告应当如实记载以下内容：</w:t>
      </w:r>
    </w:p>
    <w:p w14:paraId="521FBC6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（1）基本情况和数据表。</w:t>
      </w:r>
    </w:p>
    <w:p w14:paraId="1410963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（2）评标委员会成员名单。</w:t>
      </w:r>
    </w:p>
    <w:p w14:paraId="765B30B4">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（3）开标记录。</w:t>
      </w:r>
    </w:p>
    <w:p w14:paraId="417208C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（4）符合要求的投标人一览表。</w:t>
      </w:r>
    </w:p>
    <w:p w14:paraId="21F9C48C">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（5）否决投标情况说明。</w:t>
      </w:r>
    </w:p>
    <w:p w14:paraId="1B3220EA">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（6）评标标准、评标方法或者评标因素。</w:t>
      </w:r>
    </w:p>
    <w:p w14:paraId="23B8B47F">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（7）评标情况一览表。</w:t>
      </w:r>
    </w:p>
    <w:p w14:paraId="6DE58532">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（8）经评审的投标人排序。</w:t>
      </w:r>
    </w:p>
    <w:p w14:paraId="29428B27">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（9）推荐的中标候选人名单与签订合同前要处理的事宜。</w:t>
      </w:r>
    </w:p>
    <w:p w14:paraId="75C7FB55">
      <w:pPr>
        <w:adjustRightInd w:val="0"/>
        <w:snapToGrid w:val="0"/>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（10）澄清、说明、补正事项纪要。</w:t>
      </w:r>
    </w:p>
    <w:p w14:paraId="6A5A8405">
      <w:pPr>
        <w:adjustRightInd w:val="0"/>
        <w:snapToGrid w:val="0"/>
        <w:spacing w:line="5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8.3依法必须进行招标的项目，除中标人以外的其他投标人存在串通投标、弄虚作假、行贿情形且在评标过程中未被发现的，视为对中标结果没有造成实质性影响，招标人可以依法继续开展招标活动。</w:t>
      </w:r>
    </w:p>
    <w:p w14:paraId="2A6B9670">
      <w:pPr>
        <w:pStyle w:val="2"/>
        <w:adjustRightInd w:val="0"/>
        <w:snapToGrid w:val="0"/>
        <w:spacing w:before="0" w:after="0" w:line="520" w:lineRule="exact"/>
        <w:ind w:firstLine="422" w:firstLineChars="200"/>
        <w:rPr>
          <w:rFonts w:hint="eastAsia" w:ascii="黑体" w:hAnsi="黑体" w:cs="黑体"/>
          <w:color w:val="auto"/>
          <w:sz w:val="21"/>
          <w:szCs w:val="21"/>
          <w:highlight w:val="none"/>
        </w:rPr>
      </w:pPr>
      <w:r>
        <w:rPr>
          <w:rFonts w:hint="eastAsia" w:ascii="黑体" w:hAnsi="黑体" w:cs="黑体"/>
          <w:color w:val="auto"/>
          <w:sz w:val="21"/>
          <w:szCs w:val="21"/>
          <w:highlight w:val="none"/>
        </w:rPr>
        <w:t>9.其他</w:t>
      </w:r>
      <w:bookmarkEnd w:id="699"/>
    </w:p>
    <w:p w14:paraId="62D41B16">
      <w:pPr>
        <w:adjustRightInd w:val="0"/>
        <w:snapToGrid w:val="0"/>
        <w:spacing w:line="520" w:lineRule="exact"/>
        <w:ind w:firstLine="420" w:firstLineChars="200"/>
        <w:rPr>
          <w:rFonts w:hint="eastAsia"/>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p>
    <w:p w14:paraId="747A7C11">
      <w:pPr>
        <w:pStyle w:val="3"/>
        <w:adjustRightInd w:val="0"/>
        <w:snapToGrid w:val="0"/>
        <w:spacing w:before="0" w:after="0" w:line="560" w:lineRule="exact"/>
        <w:jc w:val="center"/>
        <w:rPr>
          <w:color w:val="auto"/>
          <w:highlight w:val="none"/>
        </w:rPr>
        <w:sectPr>
          <w:footerReference r:id="rId4" w:type="default"/>
          <w:footnotePr>
            <w:numFmt w:val="decimalEnclosedCircleChinese"/>
            <w:numRestart w:val="eachPage"/>
          </w:footnotePr>
          <w:pgSz w:w="11907" w:h="16840"/>
          <w:pgMar w:top="1474" w:right="1474" w:bottom="1474" w:left="1474" w:header="799" w:footer="907" w:gutter="0"/>
          <w:pgNumType w:fmt="numberInDash" w:start="1"/>
          <w:cols w:space="720" w:num="1"/>
          <w:docGrid w:linePitch="271" w:charSpace="0"/>
        </w:sectPr>
      </w:pPr>
      <w:bookmarkStart w:id="700" w:name="_Toc95223458"/>
    </w:p>
    <w:p w14:paraId="4EF329B7">
      <w:pPr>
        <w:pStyle w:val="3"/>
        <w:adjustRightInd w:val="0"/>
        <w:snapToGrid w:val="0"/>
        <w:spacing w:before="0" w:after="0" w:line="560" w:lineRule="exact"/>
        <w:jc w:val="center"/>
        <w:rPr>
          <w:rFonts w:hint="eastAsia"/>
          <w:color w:val="auto"/>
          <w:highlight w:val="none"/>
        </w:rPr>
      </w:pPr>
      <w:r>
        <w:rPr>
          <w:rFonts w:hint="eastAsia"/>
          <w:color w:val="auto"/>
          <w:highlight w:val="none"/>
        </w:rPr>
        <w:t>第五章 合同条款及格式</w:t>
      </w:r>
      <w:bookmarkEnd w:id="700"/>
    </w:p>
    <w:p w14:paraId="70969860">
      <w:pPr>
        <w:adjustRightInd w:val="0"/>
        <w:snapToGrid w:val="0"/>
        <w:spacing w:line="560" w:lineRule="exact"/>
        <w:jc w:val="center"/>
        <w:rPr>
          <w:rFonts w:hint="eastAsia" w:eastAsia="仿宋_GB2312"/>
          <w:bCs/>
          <w:color w:val="auto"/>
          <w:sz w:val="32"/>
          <w:szCs w:val="32"/>
          <w:highlight w:val="none"/>
        </w:rPr>
      </w:pPr>
    </w:p>
    <w:p w14:paraId="162C574F">
      <w:pPr>
        <w:adjustRightInd w:val="0"/>
        <w:snapToGrid w:val="0"/>
        <w:spacing w:line="560" w:lineRule="exact"/>
        <w:jc w:val="center"/>
        <w:rPr>
          <w:rFonts w:hint="eastAsia" w:eastAsia="仿宋_GB2312"/>
          <w:bCs/>
          <w:color w:val="auto"/>
          <w:sz w:val="32"/>
          <w:szCs w:val="32"/>
          <w:highlight w:val="none"/>
        </w:rPr>
      </w:pPr>
    </w:p>
    <w:p w14:paraId="7C84B557">
      <w:pPr>
        <w:adjustRightInd w:val="0"/>
        <w:snapToGrid w:val="0"/>
        <w:spacing w:line="560" w:lineRule="exact"/>
        <w:jc w:val="center"/>
        <w:rPr>
          <w:rFonts w:hint="eastAsia" w:eastAsia="仿宋_GB2312"/>
          <w:bCs/>
          <w:color w:val="auto"/>
          <w:sz w:val="32"/>
          <w:szCs w:val="32"/>
          <w:highlight w:val="none"/>
        </w:rPr>
      </w:pPr>
    </w:p>
    <w:p w14:paraId="7AC01A2E">
      <w:pPr>
        <w:adjustRightInd w:val="0"/>
        <w:snapToGrid w:val="0"/>
        <w:spacing w:line="560" w:lineRule="exact"/>
        <w:jc w:val="center"/>
        <w:rPr>
          <w:rFonts w:eastAsia="仿宋_GB2312"/>
          <w:bCs/>
          <w:color w:val="auto"/>
          <w:sz w:val="32"/>
          <w:szCs w:val="32"/>
          <w:highlight w:val="none"/>
          <w:u w:val="single"/>
        </w:rPr>
      </w:pPr>
      <w:r>
        <w:rPr>
          <w:rFonts w:hint="eastAsia" w:eastAsia="仿宋_GB2312"/>
          <w:bCs/>
          <w:color w:val="auto"/>
          <w:sz w:val="32"/>
          <w:szCs w:val="32"/>
          <w:highlight w:val="none"/>
        </w:rPr>
        <w:t>合同编号：</w:t>
      </w:r>
      <w:r>
        <w:rPr>
          <w:rFonts w:hint="eastAsia" w:eastAsia="仿宋_GB2312"/>
          <w:bCs/>
          <w:color w:val="auto"/>
          <w:sz w:val="32"/>
          <w:szCs w:val="32"/>
          <w:highlight w:val="none"/>
          <w:u w:val="single"/>
        </w:rPr>
        <w:t>（HT-YL- ）</w:t>
      </w:r>
    </w:p>
    <w:p w14:paraId="4B125FE2">
      <w:pPr>
        <w:adjustRightInd w:val="0"/>
        <w:snapToGrid w:val="0"/>
        <w:spacing w:line="560" w:lineRule="exact"/>
        <w:jc w:val="center"/>
        <w:rPr>
          <w:rFonts w:eastAsia="华文中宋"/>
          <w:b/>
          <w:color w:val="auto"/>
          <w:sz w:val="52"/>
          <w:szCs w:val="52"/>
          <w:highlight w:val="none"/>
        </w:rPr>
      </w:pPr>
    </w:p>
    <w:p w14:paraId="24D77297">
      <w:pPr>
        <w:adjustRightInd w:val="0"/>
        <w:snapToGrid w:val="0"/>
        <w:jc w:val="center"/>
        <w:rPr>
          <w:rFonts w:eastAsia="华文中宋"/>
          <w:b/>
          <w:color w:val="auto"/>
          <w:sz w:val="52"/>
          <w:szCs w:val="52"/>
          <w:highlight w:val="none"/>
        </w:rPr>
      </w:pPr>
      <w:r>
        <w:rPr>
          <w:rFonts w:hint="eastAsia" w:ascii="宋体" w:hAnsi="宋体" w:cs="宋体"/>
          <w:b/>
          <w:color w:val="auto"/>
          <w:sz w:val="72"/>
          <w:szCs w:val="52"/>
          <w:highlight w:val="none"/>
          <w:u w:val="single"/>
          <w:lang w:eastAsia="zh-CN"/>
        </w:rPr>
        <w:t>滁州经开区永阳路标准化厂房及宿舍等配套设施</w:t>
      </w:r>
      <w:r>
        <w:rPr>
          <w:rFonts w:hint="eastAsia" w:ascii="宋体" w:hAnsi="宋体" w:cs="宋体"/>
          <w:b/>
          <w:color w:val="auto"/>
          <w:sz w:val="72"/>
          <w:szCs w:val="52"/>
          <w:highlight w:val="none"/>
          <w:u w:val="single"/>
          <w:lang w:val="en-US" w:eastAsia="zh-CN"/>
        </w:rPr>
        <w:t>项目</w:t>
      </w:r>
      <w:r>
        <w:rPr>
          <w:rFonts w:hint="eastAsia" w:ascii="宋体" w:hAnsi="宋体" w:cs="宋体"/>
          <w:b/>
          <w:color w:val="auto"/>
          <w:sz w:val="72"/>
          <w:szCs w:val="52"/>
          <w:highlight w:val="none"/>
          <w:u w:val="single"/>
          <w:lang w:eastAsia="zh-CN"/>
        </w:rPr>
        <w:t>改造三期工程</w:t>
      </w:r>
      <w:r>
        <w:rPr>
          <w:rFonts w:hint="eastAsia" w:ascii="宋体" w:hAnsi="宋体" w:cs="宋体"/>
          <w:b/>
          <w:color w:val="auto"/>
          <w:sz w:val="72"/>
          <w:szCs w:val="52"/>
          <w:highlight w:val="none"/>
        </w:rPr>
        <w:t>施工合同</w:t>
      </w:r>
      <w:r>
        <w:rPr>
          <w:rFonts w:eastAsia="华文中宋"/>
          <w:b/>
          <w:color w:val="auto"/>
          <w:sz w:val="52"/>
          <w:szCs w:val="52"/>
          <w:highlight w:val="none"/>
        </w:rPr>
        <w:br w:type="textWrapping"/>
      </w:r>
      <w:bookmarkStart w:id="701" w:name="_Toc15058927"/>
      <w:bookmarkStart w:id="702" w:name="_Toc60061567"/>
      <w:bookmarkStart w:id="703" w:name="_Toc506107333"/>
    </w:p>
    <w:p w14:paraId="443341BD">
      <w:pPr>
        <w:adjustRightInd w:val="0"/>
        <w:snapToGrid w:val="0"/>
        <w:spacing w:line="560" w:lineRule="exact"/>
        <w:jc w:val="center"/>
        <w:rPr>
          <w:rFonts w:eastAsia="华文中宋"/>
          <w:b/>
          <w:color w:val="auto"/>
          <w:sz w:val="52"/>
          <w:szCs w:val="52"/>
          <w:highlight w:val="none"/>
        </w:rPr>
      </w:pPr>
    </w:p>
    <w:p w14:paraId="5380AFCD">
      <w:pPr>
        <w:adjustRightInd w:val="0"/>
        <w:snapToGrid w:val="0"/>
        <w:spacing w:line="560" w:lineRule="exact"/>
        <w:jc w:val="center"/>
        <w:rPr>
          <w:rFonts w:eastAsia="黑体"/>
          <w:b/>
          <w:color w:val="auto"/>
          <w:sz w:val="72"/>
          <w:szCs w:val="72"/>
          <w:highlight w:val="none"/>
        </w:rPr>
      </w:pPr>
    </w:p>
    <w:p w14:paraId="5467E4AA">
      <w:pPr>
        <w:adjustRightInd w:val="0"/>
        <w:snapToGrid w:val="0"/>
        <w:spacing w:line="560" w:lineRule="exact"/>
        <w:jc w:val="center"/>
        <w:rPr>
          <w:rFonts w:hint="eastAsia" w:ascii="宋体" w:hAnsi="宋体" w:cs="宋体"/>
          <w:b/>
          <w:color w:val="auto"/>
          <w:sz w:val="54"/>
          <w:szCs w:val="72"/>
          <w:highlight w:val="none"/>
        </w:rPr>
      </w:pPr>
    </w:p>
    <w:p w14:paraId="74B4E1D4">
      <w:pPr>
        <w:pStyle w:val="20"/>
        <w:rPr>
          <w:color w:val="auto"/>
          <w:highlight w:val="none"/>
        </w:rPr>
      </w:pPr>
    </w:p>
    <w:p w14:paraId="552F8D64">
      <w:pPr>
        <w:adjustRightInd w:val="0"/>
        <w:snapToGrid w:val="0"/>
        <w:spacing w:line="560" w:lineRule="exact"/>
        <w:jc w:val="center"/>
        <w:rPr>
          <w:rFonts w:eastAsia="黑体"/>
          <w:b/>
          <w:color w:val="auto"/>
          <w:sz w:val="52"/>
          <w:szCs w:val="52"/>
          <w:highlight w:val="none"/>
        </w:rPr>
      </w:pPr>
    </w:p>
    <w:p w14:paraId="21CCC458">
      <w:pPr>
        <w:adjustRightInd w:val="0"/>
        <w:snapToGrid w:val="0"/>
        <w:spacing w:line="560" w:lineRule="exact"/>
        <w:rPr>
          <w:b/>
          <w:color w:val="auto"/>
          <w:sz w:val="28"/>
          <w:szCs w:val="28"/>
          <w:highlight w:val="none"/>
        </w:rPr>
      </w:pPr>
    </w:p>
    <w:p w14:paraId="618EC64A">
      <w:pPr>
        <w:adjustRightInd w:val="0"/>
        <w:snapToGrid w:val="0"/>
        <w:spacing w:line="560" w:lineRule="exact"/>
        <w:rPr>
          <w:b/>
          <w:color w:val="auto"/>
          <w:sz w:val="28"/>
          <w:szCs w:val="28"/>
          <w:highlight w:val="none"/>
        </w:rPr>
      </w:pPr>
    </w:p>
    <w:p w14:paraId="718D8304">
      <w:pPr>
        <w:adjustRightInd w:val="0"/>
        <w:snapToGrid w:val="0"/>
        <w:spacing w:line="560" w:lineRule="exact"/>
        <w:rPr>
          <w:b/>
          <w:color w:val="auto"/>
          <w:sz w:val="28"/>
          <w:szCs w:val="28"/>
          <w:highlight w:val="none"/>
        </w:rPr>
      </w:pPr>
    </w:p>
    <w:p w14:paraId="4FC94145">
      <w:pPr>
        <w:adjustRightInd w:val="0"/>
        <w:snapToGrid w:val="0"/>
        <w:spacing w:line="560" w:lineRule="exact"/>
        <w:rPr>
          <w:b/>
          <w:color w:val="auto"/>
          <w:sz w:val="28"/>
          <w:szCs w:val="28"/>
          <w:highlight w:val="none"/>
        </w:rPr>
      </w:pPr>
    </w:p>
    <w:p w14:paraId="43B0CF55">
      <w:pPr>
        <w:adjustRightInd w:val="0"/>
        <w:snapToGrid w:val="0"/>
        <w:spacing w:line="560" w:lineRule="exact"/>
        <w:jc w:val="center"/>
        <w:rPr>
          <w:b/>
          <w:color w:val="auto"/>
          <w:sz w:val="28"/>
          <w:szCs w:val="28"/>
          <w:highlight w:val="none"/>
        </w:rPr>
      </w:pPr>
    </w:p>
    <w:p w14:paraId="173AD1B0">
      <w:pPr>
        <w:adjustRightInd w:val="0"/>
        <w:snapToGrid w:val="0"/>
        <w:spacing w:line="560" w:lineRule="exact"/>
        <w:jc w:val="center"/>
        <w:rPr>
          <w:b/>
          <w:color w:val="auto"/>
          <w:sz w:val="32"/>
          <w:szCs w:val="28"/>
          <w:highlight w:val="none"/>
        </w:rPr>
      </w:pPr>
      <w:r>
        <w:rPr>
          <w:color w:val="auto"/>
          <w:szCs w:val="22"/>
          <w:highlight w:val="none"/>
        </w:rPr>
        <mc:AlternateContent>
          <mc:Choice Requires="wps">
            <w:drawing>
              <wp:anchor distT="0" distB="0" distL="114300" distR="114300" simplePos="0" relativeHeight="251660288" behindDoc="0" locked="0" layoutInCell="1" allowOverlap="1">
                <wp:simplePos x="0" y="0"/>
                <wp:positionH relativeFrom="column">
                  <wp:posOffset>4495800</wp:posOffset>
                </wp:positionH>
                <wp:positionV relativeFrom="paragraph">
                  <wp:posOffset>213360</wp:posOffset>
                </wp:positionV>
                <wp:extent cx="723900" cy="457200"/>
                <wp:effectExtent l="4445" t="4445" r="18415" b="1079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3C2DE9C8"/>
                        </w:txbxContent>
                      </wps:txbx>
                      <wps:bodyPr upright="1"/>
                    </wps:wsp>
                  </a:graphicData>
                </a:graphic>
              </wp:anchor>
            </w:drawing>
          </mc:Choice>
          <mc:Fallback>
            <w:pict>
              <v:shape id="_x0000_s1026" o:spid="_x0000_s1026" o:spt="202" type="#_x0000_t202" style="position:absolute;left:0pt;margin-left:354pt;margin-top:16.8pt;height:36pt;width:57pt;z-index:251660288;mso-width-relative:page;mso-height-relative:page;" filled="f" stroked="t" coordsize="21600,21600" o:gfxdata="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&#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zKmrZAAAACgEAAA8AAAAAAAAAAQAgAAAAIgAAAGRy&#10;cy9kb3ducmV2LnhtbFBLAQIUABQAAAAIAIdO4kDtHmq6BAIAAAwEAAAOAAAAAAAAAAEAIAAAACgB&#10;AABkcnMvZTJvRG9jLnhtbFBLBQYAAAAABgAGAFkBAACeBQAAAAA=&#10;">
                <v:fill on="f" focussize="0,0"/>
                <v:stroke color="#FFFFFF" joinstyle="miter"/>
                <v:imagedata o:title=""/>
                <o:lock v:ext="edit" aspectratio="f"/>
                <v:textbox>
                  <w:txbxContent>
                    <w:p w14:paraId="3C2DE9C8"/>
                  </w:txbxContent>
                </v:textbox>
              </v:shape>
            </w:pict>
          </mc:Fallback>
        </mc:AlternateContent>
      </w:r>
      <w:bookmarkEnd w:id="701"/>
      <w:bookmarkEnd w:id="702"/>
      <w:bookmarkEnd w:id="703"/>
      <w:r>
        <w:rPr>
          <w:rFonts w:hint="eastAsia"/>
          <w:b/>
          <w:color w:val="auto"/>
          <w:sz w:val="32"/>
          <w:szCs w:val="28"/>
          <w:highlight w:val="none"/>
        </w:rPr>
        <w:t>住房和城乡建设部</w:t>
      </w:r>
    </w:p>
    <w:p w14:paraId="126E2899">
      <w:pPr>
        <w:adjustRightInd w:val="0"/>
        <w:snapToGrid w:val="0"/>
        <w:spacing w:line="560" w:lineRule="exact"/>
        <w:jc w:val="center"/>
        <w:rPr>
          <w:b/>
          <w:color w:val="auto"/>
          <w:sz w:val="32"/>
          <w:szCs w:val="28"/>
          <w:highlight w:val="none"/>
        </w:rPr>
      </w:pPr>
      <w:r>
        <w:rPr>
          <w:rFonts w:hint="eastAsia"/>
          <w:b/>
          <w:color w:val="auto"/>
          <w:sz w:val="32"/>
          <w:szCs w:val="28"/>
          <w:highlight w:val="none"/>
        </w:rPr>
        <w:t>国家工商行政管理总局</w:t>
      </w:r>
    </w:p>
    <w:p w14:paraId="1751214E">
      <w:pPr>
        <w:adjustRightInd w:val="0"/>
        <w:snapToGrid w:val="0"/>
        <w:spacing w:line="560" w:lineRule="exact"/>
        <w:rPr>
          <w:rFonts w:hint="eastAsia" w:ascii="仿宋_GB2312" w:eastAsia="仿宋_GB2312"/>
          <w:color w:val="auto"/>
          <w:szCs w:val="21"/>
          <w:highlight w:val="none"/>
          <w:u w:val="single"/>
        </w:rPr>
      </w:pPr>
    </w:p>
    <w:p w14:paraId="5E2C2ADA">
      <w:pPr>
        <w:keepNext/>
        <w:keepLines/>
        <w:spacing w:line="360" w:lineRule="auto"/>
        <w:jc w:val="both"/>
        <w:outlineLvl w:val="1"/>
        <w:rPr>
          <w:rFonts w:ascii="宋体" w:hAnsi="宋体" w:cs="宋体"/>
          <w:b/>
          <w:bCs/>
          <w:color w:val="auto"/>
          <w:sz w:val="32"/>
          <w:szCs w:val="32"/>
          <w:highlight w:val="none"/>
        </w:rPr>
        <w:sectPr>
          <w:footnotePr>
            <w:numFmt w:val="decimalEnclosedCircleChinese"/>
            <w:numRestart w:val="eachPage"/>
          </w:footnotePr>
          <w:pgSz w:w="11907" w:h="16840"/>
          <w:pgMar w:top="1474" w:right="1474" w:bottom="1474" w:left="1474" w:header="799" w:footer="907" w:gutter="0"/>
          <w:pgNumType w:fmt="numberInDash"/>
          <w:cols w:space="720" w:num="1"/>
          <w:docGrid w:linePitch="271" w:charSpace="0"/>
        </w:sectPr>
      </w:pPr>
      <w:bookmarkStart w:id="704" w:name="_Toc95223459"/>
      <w:bookmarkStart w:id="705" w:name="_Toc3977"/>
      <w:bookmarkStart w:id="706" w:name="_Toc28799376"/>
    </w:p>
    <w:p w14:paraId="3F60C2C3">
      <w:pPr>
        <w:keepNext/>
        <w:keepLines/>
        <w:spacing w:line="360" w:lineRule="auto"/>
        <w:jc w:val="center"/>
        <w:outlineLvl w:val="1"/>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第一节  合同协议书</w:t>
      </w:r>
      <w:bookmarkEnd w:id="704"/>
      <w:bookmarkEnd w:id="705"/>
      <w:bookmarkEnd w:id="706"/>
    </w:p>
    <w:p w14:paraId="2BFC21DC">
      <w:pPr>
        <w:spacing w:line="360" w:lineRule="auto"/>
        <w:rPr>
          <w:rFonts w:hint="eastAsia" w:ascii="宋体" w:hAnsi="宋体" w:cs="宋体"/>
          <w:b/>
          <w:color w:val="auto"/>
          <w:sz w:val="24"/>
          <w:highlight w:val="none"/>
          <w:u w:val="single"/>
        </w:rPr>
      </w:pPr>
      <w:r>
        <w:rPr>
          <w:rFonts w:hint="eastAsia" w:ascii="宋体" w:hAnsi="宋体" w:cs="宋体"/>
          <w:b/>
          <w:color w:val="auto"/>
          <w:sz w:val="24"/>
          <w:highlight w:val="none"/>
        </w:rPr>
        <w:t>发包人（全</w:t>
      </w:r>
      <w:r>
        <w:rPr>
          <w:rFonts w:hint="eastAsia" w:ascii="宋体" w:hAnsi="宋体" w:cs="宋体"/>
          <w:b/>
          <w:color w:val="auto"/>
          <w:sz w:val="24"/>
          <w:highlight w:val="none"/>
          <w:u w:val="none"/>
        </w:rPr>
        <w:t>称）：</w:t>
      </w:r>
      <w:r>
        <w:rPr>
          <w:rFonts w:hint="eastAsia" w:ascii="宋体" w:hAnsi="宋体" w:cs="宋体"/>
          <w:b/>
          <w:color w:val="auto"/>
          <w:sz w:val="24"/>
          <w:highlight w:val="none"/>
          <w:u w:val="single"/>
        </w:rPr>
        <w:t></w:t>
      </w:r>
      <w:r>
        <w:rPr>
          <w:rFonts w:hint="eastAsia" w:ascii="宋体" w:hAnsi="宋体" w:cs="宋体"/>
          <w:b/>
          <w:color w:val="auto"/>
          <w:sz w:val="24"/>
          <w:highlight w:val="none"/>
          <w:u w:val="single"/>
          <w:lang w:val="en-US" w:eastAsia="zh-CN"/>
        </w:rPr>
        <w:t xml:space="preserve">                      </w:t>
      </w:r>
      <w:r>
        <w:rPr>
          <w:rFonts w:hint="eastAsia" w:ascii="宋体" w:hAnsi="宋体" w:cs="宋体"/>
          <w:b/>
          <w:color w:val="auto"/>
          <w:sz w:val="24"/>
          <w:highlight w:val="none"/>
          <w:u w:val="single"/>
        </w:rPr>
        <w:t></w:t>
      </w:r>
    </w:p>
    <w:p w14:paraId="0D13AA84">
      <w:pPr>
        <w:spacing w:line="360" w:lineRule="auto"/>
        <w:rPr>
          <w:rFonts w:hint="eastAsia" w:ascii="宋体" w:hAnsi="宋体" w:cs="宋体"/>
          <w:color w:val="auto"/>
          <w:szCs w:val="21"/>
          <w:highlight w:val="none"/>
          <w:u w:val="single"/>
        </w:rPr>
      </w:pPr>
      <w:r>
        <w:rPr>
          <w:rFonts w:hint="eastAsia" w:ascii="宋体" w:hAnsi="宋体" w:cs="宋体"/>
          <w:b/>
          <w:color w:val="auto"/>
          <w:sz w:val="24"/>
          <w:highlight w:val="none"/>
          <w:u w:val="none"/>
        </w:rPr>
        <w:t>承包人（全称）：</w:t>
      </w:r>
      <w:r>
        <w:rPr>
          <w:rFonts w:hint="eastAsia" w:ascii="宋体" w:hAnsi="宋体" w:cs="宋体"/>
          <w:b/>
          <w:color w:val="auto"/>
          <w:sz w:val="24"/>
          <w:highlight w:val="none"/>
          <w:u w:val="single"/>
        </w:rPr>
        <w:t>                </w:t>
      </w:r>
    </w:p>
    <w:p w14:paraId="129619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根据《中华人民共和国民法典》《中华人民共和国建筑法》及有关法律规定，遵循平等、自愿、公平和诚实信用的原则，双方就 </w:t>
      </w:r>
      <w:r>
        <w:rPr>
          <w:rFonts w:hint="eastAsia" w:ascii="宋体" w:hAnsi="宋体" w:cs="宋体"/>
          <w:color w:val="auto"/>
          <w:szCs w:val="21"/>
          <w:highlight w:val="none"/>
          <w:u w:val="single"/>
          <w:lang w:eastAsia="zh-CN"/>
        </w:rPr>
        <w:t>滁州经开区永阳路标准化厂房及宿舍等配套设施</w:t>
      </w:r>
      <w:r>
        <w:rPr>
          <w:rFonts w:hint="eastAsia" w:ascii="宋体" w:hAnsi="宋体" w:cs="宋体"/>
          <w:color w:val="auto"/>
          <w:szCs w:val="21"/>
          <w:highlight w:val="none"/>
          <w:u w:val="single"/>
          <w:lang w:val="en-US" w:eastAsia="zh-CN"/>
        </w:rPr>
        <w:t>项目</w:t>
      </w:r>
      <w:r>
        <w:rPr>
          <w:rFonts w:hint="eastAsia" w:ascii="宋体" w:hAnsi="宋体" w:cs="宋体"/>
          <w:color w:val="auto"/>
          <w:szCs w:val="21"/>
          <w:highlight w:val="none"/>
          <w:u w:val="single"/>
          <w:lang w:eastAsia="zh-CN"/>
        </w:rPr>
        <w:t>改造三期工程</w:t>
      </w:r>
      <w:r>
        <w:rPr>
          <w:rFonts w:hint="eastAsia" w:ascii="宋体" w:hAnsi="宋体" w:cs="宋体"/>
          <w:color w:val="auto"/>
          <w:szCs w:val="21"/>
          <w:highlight w:val="none"/>
          <w:u w:val="single"/>
        </w:rPr>
        <w:t xml:space="preserve"> 工程施工及有关事项协商一致，共同达成如下协议：</w:t>
      </w:r>
      <w:bookmarkStart w:id="707" w:name="_Toc351203481"/>
    </w:p>
    <w:p w14:paraId="779381D1">
      <w:pPr>
        <w:spacing w:line="360" w:lineRule="auto"/>
        <w:ind w:firstLine="422" w:firstLineChars="200"/>
        <w:rPr>
          <w:rFonts w:hint="eastAsia" w:ascii="宋体" w:hAnsi="宋体" w:cs="宋体"/>
          <w:color w:val="auto"/>
          <w:szCs w:val="21"/>
          <w:highlight w:val="none"/>
          <w:u w:val="single"/>
        </w:rPr>
      </w:pPr>
      <w:r>
        <w:rPr>
          <w:rFonts w:hint="eastAsia" w:ascii="宋体" w:hAnsi="宋体" w:cs="宋体"/>
          <w:b/>
          <w:color w:val="auto"/>
          <w:szCs w:val="21"/>
          <w:highlight w:val="none"/>
          <w:u w:val="single"/>
        </w:rPr>
        <w:t>一、工程概况</w:t>
      </w:r>
      <w:bookmarkEnd w:id="707"/>
    </w:p>
    <w:p w14:paraId="53AB6347">
      <w:pPr>
        <w:spacing w:line="360" w:lineRule="auto"/>
        <w:ind w:firstLine="411" w:firstLineChars="196"/>
        <w:rPr>
          <w:rFonts w:hint="eastAsia" w:ascii="宋体" w:hAnsi="宋体" w:eastAsia="宋体" w:cs="宋体"/>
          <w:color w:val="auto"/>
          <w:szCs w:val="21"/>
          <w:highlight w:val="none"/>
          <w:u w:val="single"/>
          <w:lang w:eastAsia="zh-CN"/>
        </w:rPr>
      </w:pPr>
      <w:r>
        <w:rPr>
          <w:rFonts w:hint="eastAsia" w:ascii="宋体" w:hAnsi="宋体" w:cs="宋体"/>
          <w:bCs/>
          <w:color w:val="auto"/>
          <w:szCs w:val="21"/>
          <w:highlight w:val="none"/>
          <w:u w:val="single"/>
        </w:rPr>
        <w:t>1. 工程名称</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eastAsia="zh-CN"/>
        </w:rPr>
        <w:t>滁州经开区永阳路标准化厂房及宿舍等配套设施</w:t>
      </w:r>
      <w:r>
        <w:rPr>
          <w:rFonts w:hint="eastAsia" w:ascii="宋体" w:hAnsi="宋体" w:cs="宋体"/>
          <w:color w:val="auto"/>
          <w:szCs w:val="21"/>
          <w:highlight w:val="none"/>
          <w:u w:val="single"/>
          <w:lang w:val="en-US" w:eastAsia="zh-CN"/>
        </w:rPr>
        <w:t>项目</w:t>
      </w:r>
      <w:r>
        <w:rPr>
          <w:rFonts w:hint="eastAsia" w:ascii="宋体" w:hAnsi="宋体" w:cs="宋体"/>
          <w:color w:val="auto"/>
          <w:szCs w:val="21"/>
          <w:highlight w:val="none"/>
          <w:u w:val="single"/>
          <w:lang w:eastAsia="zh-CN"/>
        </w:rPr>
        <w:t>改造三期工程</w:t>
      </w:r>
      <w:r>
        <w:rPr>
          <w:rFonts w:hint="eastAsia" w:ascii="宋体" w:hAnsi="宋体" w:cs="宋体"/>
          <w:color w:val="auto"/>
          <w:szCs w:val="21"/>
          <w:highlight w:val="none"/>
          <w:u w:val="single"/>
          <w:lang w:val="en-US" w:eastAsia="zh-CN"/>
        </w:rPr>
        <w:t xml:space="preserve"> </w:t>
      </w:r>
    </w:p>
    <w:p w14:paraId="6C6143BD">
      <w:pPr>
        <w:spacing w:line="360" w:lineRule="auto"/>
        <w:ind w:firstLine="411" w:firstLineChars="196"/>
        <w:rPr>
          <w:rFonts w:hint="default" w:ascii="宋体" w:hAnsi="宋体" w:eastAsia="宋体" w:cs="宋体"/>
          <w:bCs/>
          <w:color w:val="auto"/>
          <w:szCs w:val="21"/>
          <w:highlight w:val="none"/>
          <w:u w:val="single"/>
          <w:lang w:eastAsia="zh-CN"/>
        </w:rPr>
      </w:pPr>
      <w:r>
        <w:rPr>
          <w:rFonts w:hint="eastAsia" w:ascii="宋体" w:hAnsi="宋体" w:cs="宋体"/>
          <w:bCs/>
          <w:color w:val="auto"/>
          <w:szCs w:val="21"/>
          <w:highlight w:val="none"/>
          <w:u w:val="single"/>
        </w:rPr>
        <w:t>2. 工程地点：</w:t>
      </w:r>
      <w:r>
        <w:rPr>
          <w:rFonts w:hint="eastAsia" w:ascii="宋体" w:hAnsi="宋体" w:cs="宋体"/>
          <w:bCs/>
          <w:color w:val="auto"/>
          <w:szCs w:val="21"/>
          <w:highlight w:val="none"/>
          <w:u w:val="single"/>
          <w:lang w:val="en-US" w:eastAsia="zh-CN"/>
        </w:rPr>
        <w:t xml:space="preserve">                                      </w:t>
      </w:r>
      <w:r>
        <w:rPr>
          <w:rFonts w:hint="default" w:ascii="宋体" w:hAnsi="宋体" w:cs="宋体"/>
          <w:bCs/>
          <w:color w:val="auto"/>
          <w:szCs w:val="21"/>
          <w:highlight w:val="none"/>
          <w:u w:val="single"/>
        </w:rPr>
        <w:t xml:space="preserve"> </w:t>
      </w:r>
    </w:p>
    <w:p w14:paraId="13361059">
      <w:pPr>
        <w:spacing w:line="360" w:lineRule="auto"/>
        <w:ind w:firstLine="411" w:firstLineChars="196"/>
        <w:rPr>
          <w:rFonts w:hint="eastAsia" w:ascii="宋体" w:hAnsi="宋体" w:eastAsia="宋体" w:cs="宋体"/>
          <w:bCs/>
          <w:color w:val="auto"/>
          <w:szCs w:val="21"/>
          <w:highlight w:val="none"/>
          <w:u w:val="single"/>
          <w:lang w:eastAsia="zh-CN"/>
        </w:rPr>
      </w:pPr>
      <w:r>
        <w:rPr>
          <w:rFonts w:hint="eastAsia" w:ascii="宋体" w:hAnsi="宋体" w:cs="宋体"/>
          <w:bCs/>
          <w:color w:val="auto"/>
          <w:szCs w:val="21"/>
          <w:highlight w:val="none"/>
          <w:u w:val="single"/>
        </w:rPr>
        <w:t xml:space="preserve">3. 工程立项批准文号：                            </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u w:val="single"/>
          <w:lang w:val="en-US" w:eastAsia="zh-CN"/>
        </w:rPr>
        <w:t xml:space="preserve"> </w:t>
      </w:r>
    </w:p>
    <w:p w14:paraId="171B304B">
      <w:pPr>
        <w:spacing w:line="360" w:lineRule="auto"/>
        <w:ind w:firstLine="411" w:firstLineChars="196"/>
        <w:rPr>
          <w:rFonts w:hint="eastAsia" w:ascii="宋体" w:hAnsi="宋体" w:eastAsia="宋体" w:cs="宋体"/>
          <w:bCs/>
          <w:color w:val="auto"/>
          <w:szCs w:val="21"/>
          <w:highlight w:val="none"/>
          <w:u w:val="single"/>
          <w:lang w:eastAsia="zh-CN"/>
        </w:rPr>
      </w:pPr>
      <w:r>
        <w:rPr>
          <w:rFonts w:hint="eastAsia" w:ascii="宋体" w:hAnsi="宋体" w:cs="宋体"/>
          <w:bCs/>
          <w:color w:val="auto"/>
          <w:szCs w:val="21"/>
          <w:highlight w:val="none"/>
          <w:u w:val="single"/>
        </w:rPr>
        <w:t xml:space="preserve">4. 资金来源：  </w:t>
      </w:r>
      <w:r>
        <w:rPr>
          <w:rFonts w:hint="eastAsia" w:ascii="宋体" w:hAnsi="宋体" w:cs="宋体"/>
          <w:bCs/>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p>
    <w:p w14:paraId="7F2EE4DC">
      <w:pPr>
        <w:spacing w:line="360" w:lineRule="auto"/>
        <w:ind w:firstLine="411" w:firstLineChars="196"/>
        <w:rPr>
          <w:rFonts w:hint="eastAsia" w:ascii="宋体" w:hAnsi="宋体" w:eastAsia="宋体" w:cs="宋体"/>
          <w:bCs/>
          <w:color w:val="auto"/>
          <w:szCs w:val="21"/>
          <w:highlight w:val="none"/>
          <w:u w:val="single"/>
          <w:lang w:eastAsia="zh-CN"/>
        </w:rPr>
      </w:pPr>
      <w:r>
        <w:rPr>
          <w:rFonts w:hint="eastAsia" w:ascii="宋体" w:hAnsi="宋体" w:cs="宋体"/>
          <w:bCs/>
          <w:color w:val="auto"/>
          <w:szCs w:val="21"/>
          <w:highlight w:val="none"/>
          <w:u w:val="single"/>
        </w:rPr>
        <w:t xml:space="preserve">5. 工程内容： </w:t>
      </w:r>
      <w:r>
        <w:rPr>
          <w:rFonts w:hint="eastAsia" w:ascii="宋体" w:hAnsi="宋体" w:cs="宋体"/>
          <w:bCs/>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p>
    <w:p w14:paraId="16E92EDD">
      <w:pPr>
        <w:spacing w:line="360" w:lineRule="auto"/>
        <w:ind w:firstLine="411" w:firstLineChars="196"/>
        <w:rPr>
          <w:rFonts w:hint="eastAsia" w:ascii="宋体" w:hAnsi="宋体" w:cs="宋体"/>
          <w:bCs/>
          <w:color w:val="auto"/>
          <w:szCs w:val="21"/>
          <w:highlight w:val="none"/>
          <w:u w:val="single"/>
        </w:rPr>
      </w:pPr>
      <w:r>
        <w:rPr>
          <w:rFonts w:hint="eastAsia" w:ascii="宋体" w:hAnsi="宋体" w:cs="宋体"/>
          <w:color w:val="auto"/>
          <w:szCs w:val="21"/>
          <w:highlight w:val="none"/>
          <w:u w:val="single"/>
        </w:rPr>
        <w:t>群体工程应附《承包人承揽工程项目一览表》（附件1）。</w:t>
      </w:r>
    </w:p>
    <w:p w14:paraId="69D995EA">
      <w:pPr>
        <w:spacing w:line="360" w:lineRule="auto"/>
        <w:ind w:firstLine="411" w:firstLineChars="196"/>
        <w:rPr>
          <w:rFonts w:hint="eastAsia" w:ascii="宋体" w:hAnsi="宋体" w:cs="宋体"/>
          <w:color w:val="auto"/>
          <w:szCs w:val="21"/>
          <w:highlight w:val="none"/>
          <w:u w:val="single"/>
        </w:rPr>
      </w:pPr>
      <w:r>
        <w:rPr>
          <w:rFonts w:hint="eastAsia" w:ascii="宋体" w:hAnsi="宋体" w:cs="宋体"/>
          <w:bCs/>
          <w:color w:val="auto"/>
          <w:szCs w:val="21"/>
          <w:highlight w:val="none"/>
          <w:u w:val="single"/>
        </w:rPr>
        <w:t>6. 工程承包范围：</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u w:val="single"/>
        </w:rPr>
        <w:t>本工程施工图纸和工程量清单中的所有内容</w:t>
      </w:r>
      <w:r>
        <w:rPr>
          <w:rFonts w:hint="eastAsia" w:ascii="宋体" w:hAnsi="宋体" w:cs="宋体"/>
          <w:color w:val="auto"/>
          <w:szCs w:val="21"/>
          <w:highlight w:val="none"/>
          <w:u w:val="single"/>
        </w:rPr>
        <w:t xml:space="preserve"> 。</w:t>
      </w:r>
    </w:p>
    <w:p w14:paraId="776C1DF6">
      <w:pPr>
        <w:spacing w:line="360" w:lineRule="auto"/>
        <w:ind w:firstLine="422" w:firstLineChars="200"/>
        <w:rPr>
          <w:rFonts w:hint="eastAsia" w:ascii="宋体" w:hAnsi="宋体" w:cs="宋体"/>
          <w:b/>
          <w:color w:val="auto"/>
          <w:szCs w:val="21"/>
          <w:highlight w:val="none"/>
          <w:u w:val="single"/>
        </w:rPr>
      </w:pPr>
      <w:bookmarkStart w:id="708" w:name="_Toc351203482"/>
      <w:r>
        <w:rPr>
          <w:rFonts w:hint="eastAsia" w:ascii="宋体" w:hAnsi="宋体" w:cs="宋体"/>
          <w:b/>
          <w:color w:val="auto"/>
          <w:szCs w:val="21"/>
          <w:highlight w:val="none"/>
          <w:u w:val="single"/>
        </w:rPr>
        <w:t>二、合同工期</w:t>
      </w:r>
      <w:bookmarkEnd w:id="708"/>
    </w:p>
    <w:p w14:paraId="401BE5DA">
      <w:pPr>
        <w:spacing w:line="360" w:lineRule="auto"/>
        <w:ind w:firstLine="459"/>
        <w:rPr>
          <w:rFonts w:hint="eastAsia" w:ascii="宋体" w:hAnsi="宋体" w:cs="宋体"/>
          <w:color w:val="auto"/>
          <w:szCs w:val="21"/>
          <w:highlight w:val="none"/>
          <w:u w:val="single"/>
        </w:rPr>
      </w:pPr>
      <w:r>
        <w:rPr>
          <w:rFonts w:hint="eastAsia" w:ascii="宋体" w:hAnsi="宋体" w:cs="宋体"/>
          <w:color w:val="auto"/>
          <w:szCs w:val="21"/>
          <w:highlight w:val="none"/>
          <w:u w:val="single"/>
        </w:rPr>
        <w:t>计划开工日期：          年      月      日。</w:t>
      </w:r>
    </w:p>
    <w:p w14:paraId="3D8A9EB5">
      <w:pPr>
        <w:spacing w:line="360" w:lineRule="auto"/>
        <w:ind w:firstLine="459"/>
        <w:rPr>
          <w:rFonts w:hint="eastAsia" w:ascii="宋体" w:hAnsi="宋体" w:cs="宋体"/>
          <w:color w:val="auto"/>
          <w:szCs w:val="21"/>
          <w:highlight w:val="none"/>
          <w:u w:val="single"/>
        </w:rPr>
      </w:pPr>
      <w:r>
        <w:rPr>
          <w:rFonts w:hint="eastAsia" w:ascii="宋体" w:hAnsi="宋体" w:cs="宋体"/>
          <w:color w:val="auto"/>
          <w:szCs w:val="21"/>
          <w:highlight w:val="none"/>
          <w:u w:val="single"/>
        </w:rPr>
        <w:t>计划竣工日期：          年      月      日。</w:t>
      </w:r>
    </w:p>
    <w:p w14:paraId="1E457112">
      <w:pPr>
        <w:spacing w:line="360" w:lineRule="auto"/>
        <w:ind w:firstLine="459"/>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u w:val="single"/>
        </w:rPr>
        <w:t xml:space="preserve">工期总日历天数：       </w:t>
      </w:r>
      <w:r>
        <w:rPr>
          <w:rFonts w:hint="eastAsia" w:ascii="宋体" w:hAnsi="宋体" w:cs="宋体"/>
          <w:color w:val="auto"/>
          <w:szCs w:val="21"/>
          <w:highlight w:val="none"/>
          <w:u w:val="single"/>
          <w:lang w:val="en-US" w:eastAsia="zh-CN"/>
        </w:rPr>
        <w:t>其中：</w:t>
      </w:r>
    </w:p>
    <w:p w14:paraId="0F7904DB">
      <w:pPr>
        <w:spacing w:line="360" w:lineRule="auto"/>
        <w:ind w:firstLine="459"/>
        <w:rPr>
          <w:rFonts w:hint="eastAsia" w:ascii="宋体" w:hAnsi="宋体" w:eastAsia="宋体" w:cs="宋体"/>
          <w:bCs/>
          <w:color w:val="auto"/>
          <w:szCs w:val="21"/>
          <w:highlight w:val="none"/>
          <w:u w:val="single"/>
          <w:lang w:val="en-US" w:eastAsia="zh-CN"/>
        </w:rPr>
      </w:pPr>
      <w:r>
        <w:rPr>
          <w:rFonts w:hint="eastAsia" w:ascii="宋体" w:hAnsi="宋体" w:eastAsia="宋体" w:cs="宋体"/>
          <w:bCs/>
          <w:color w:val="auto"/>
          <w:szCs w:val="21"/>
          <w:highlight w:val="none"/>
          <w:u w:val="single"/>
          <w:lang w:val="en-US" w:eastAsia="zh-CN"/>
        </w:rPr>
        <w:t>注：因承包方原因造成的工期延误，每延期一天向招标人支付10000元/天的违约金，工期提前不奖励。</w:t>
      </w:r>
    </w:p>
    <w:p w14:paraId="07CC5A5E">
      <w:pPr>
        <w:spacing w:line="360" w:lineRule="auto"/>
        <w:ind w:firstLine="459"/>
        <w:rPr>
          <w:rFonts w:hint="eastAsia" w:ascii="宋体" w:hAnsi="宋体" w:cs="宋体"/>
          <w:color w:val="auto"/>
          <w:szCs w:val="21"/>
          <w:highlight w:val="none"/>
          <w:u w:val="single"/>
        </w:rPr>
      </w:pPr>
      <w:r>
        <w:rPr>
          <w:rFonts w:hint="eastAsia" w:ascii="宋体" w:hAnsi="宋体" w:cs="宋体"/>
          <w:color w:val="auto"/>
          <w:szCs w:val="21"/>
          <w:highlight w:val="none"/>
          <w:u w:val="single"/>
        </w:rPr>
        <w:t>工期总日历天数与根据前述计划开竣工日期计算的工期天数不一致的，以工期总日历天数为准。</w:t>
      </w:r>
    </w:p>
    <w:p w14:paraId="096A2B09">
      <w:pPr>
        <w:spacing w:line="360" w:lineRule="auto"/>
        <w:ind w:firstLine="422" w:firstLineChars="200"/>
        <w:rPr>
          <w:rFonts w:hint="eastAsia" w:ascii="宋体" w:hAnsi="宋体" w:cs="宋体"/>
          <w:b/>
          <w:color w:val="auto"/>
          <w:szCs w:val="21"/>
          <w:highlight w:val="none"/>
          <w:u w:val="single"/>
        </w:rPr>
      </w:pPr>
      <w:bookmarkStart w:id="709" w:name="_Toc351203483"/>
      <w:r>
        <w:rPr>
          <w:rFonts w:hint="eastAsia" w:ascii="宋体" w:hAnsi="宋体" w:cs="宋体"/>
          <w:b/>
          <w:color w:val="auto"/>
          <w:szCs w:val="21"/>
          <w:highlight w:val="none"/>
          <w:u w:val="single"/>
        </w:rPr>
        <w:t>三、质量标准</w:t>
      </w:r>
      <w:bookmarkEnd w:id="709"/>
    </w:p>
    <w:p w14:paraId="29D979C4">
      <w:pPr>
        <w:spacing w:line="360" w:lineRule="auto"/>
        <w:ind w:firstLine="459"/>
        <w:rPr>
          <w:rFonts w:hint="eastAsia" w:ascii="宋体" w:hAnsi="宋体" w:cs="宋体"/>
          <w:color w:val="auto"/>
          <w:szCs w:val="21"/>
          <w:highlight w:val="none"/>
          <w:u w:val="single"/>
        </w:rPr>
      </w:pPr>
      <w:r>
        <w:rPr>
          <w:rFonts w:hint="eastAsia" w:ascii="宋体" w:hAnsi="宋体" w:cs="宋体"/>
          <w:color w:val="auto"/>
          <w:szCs w:val="21"/>
          <w:highlight w:val="none"/>
          <w:u w:val="single"/>
        </w:rPr>
        <w:t>工程质量符合  国家工程施工质量验收</w:t>
      </w:r>
      <w:r>
        <w:rPr>
          <w:rFonts w:hint="eastAsia" w:ascii="宋体" w:hAnsi="宋体" w:cs="宋体"/>
          <w:color w:val="auto"/>
          <w:szCs w:val="21"/>
          <w:highlight w:val="none"/>
          <w:u w:val="single"/>
          <w:lang w:val="en-US" w:eastAsia="zh-CN"/>
        </w:rPr>
        <w:t>合格</w:t>
      </w:r>
      <w:r>
        <w:rPr>
          <w:rFonts w:hint="eastAsia" w:ascii="宋体" w:hAnsi="宋体" w:cs="宋体"/>
          <w:color w:val="auto"/>
          <w:szCs w:val="21"/>
          <w:highlight w:val="none"/>
          <w:u w:val="single"/>
        </w:rPr>
        <w:t xml:space="preserve">   标准。</w:t>
      </w:r>
    </w:p>
    <w:p w14:paraId="3B1A03D4">
      <w:pPr>
        <w:spacing w:line="360" w:lineRule="auto"/>
        <w:ind w:firstLine="422" w:firstLineChars="200"/>
        <w:rPr>
          <w:rFonts w:hint="eastAsia" w:ascii="宋体" w:hAnsi="宋体" w:cs="宋体"/>
          <w:b/>
          <w:color w:val="auto"/>
          <w:szCs w:val="21"/>
          <w:highlight w:val="none"/>
          <w:u w:val="single"/>
        </w:rPr>
      </w:pPr>
      <w:bookmarkStart w:id="710" w:name="_Toc351203484"/>
      <w:r>
        <w:rPr>
          <w:rFonts w:hint="eastAsia" w:ascii="宋体" w:hAnsi="宋体" w:cs="宋体"/>
          <w:b/>
          <w:color w:val="auto"/>
          <w:szCs w:val="21"/>
          <w:highlight w:val="none"/>
          <w:u w:val="single"/>
        </w:rPr>
        <w:t>四、签约合同价与合同价格形式</w:t>
      </w:r>
      <w:bookmarkEnd w:id="710"/>
    </w:p>
    <w:p w14:paraId="6E1C0A0E">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1. 签约合同价为：</w:t>
      </w:r>
    </w:p>
    <w:p w14:paraId="540B08EE">
      <w:pPr>
        <w:spacing w:line="360" w:lineRule="auto"/>
        <w:ind w:firstLine="525" w:firstLineChars="250"/>
        <w:rPr>
          <w:rFonts w:hint="eastAsia" w:ascii="宋体" w:hAnsi="宋体" w:cs="宋体"/>
          <w:color w:val="auto"/>
          <w:szCs w:val="21"/>
          <w:highlight w:val="none"/>
          <w:u w:val="single"/>
        </w:rPr>
      </w:pPr>
      <w:bookmarkStart w:id="711" w:name="_Toc351203485"/>
      <w:r>
        <w:rPr>
          <w:rFonts w:hint="eastAsia" w:ascii="宋体" w:hAnsi="宋体" w:cs="宋体"/>
          <w:color w:val="auto"/>
          <w:szCs w:val="21"/>
          <w:highlight w:val="none"/>
          <w:u w:val="single"/>
        </w:rPr>
        <w:t>人民币（大写）                 (¥          元</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w:t>
      </w:r>
    </w:p>
    <w:p w14:paraId="494B7C4B">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其中：</w:t>
      </w:r>
    </w:p>
    <w:p w14:paraId="3096E675">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（1）安全文明施工费：</w:t>
      </w:r>
    </w:p>
    <w:p w14:paraId="763CEE52">
      <w:pPr>
        <w:spacing w:line="360" w:lineRule="auto"/>
        <w:ind w:firstLine="945" w:firstLineChars="450"/>
        <w:rPr>
          <w:rFonts w:hint="eastAsia" w:ascii="宋体" w:hAnsi="宋体" w:cs="宋体"/>
          <w:color w:val="auto"/>
          <w:szCs w:val="21"/>
          <w:highlight w:val="none"/>
          <w:u w:val="single"/>
        </w:rPr>
      </w:pPr>
      <w:r>
        <w:rPr>
          <w:rFonts w:hint="eastAsia" w:ascii="宋体" w:hAnsi="宋体" w:cs="宋体"/>
          <w:color w:val="auto"/>
          <w:szCs w:val="21"/>
          <w:highlight w:val="none"/>
          <w:u w:val="single"/>
        </w:rPr>
        <w:t>人民币（大写）               (¥          元</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w:t>
      </w:r>
    </w:p>
    <w:p w14:paraId="7351634F">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（2）材料和工程设备暂估价金额：</w:t>
      </w:r>
    </w:p>
    <w:p w14:paraId="0CA08798">
      <w:pPr>
        <w:spacing w:line="360" w:lineRule="auto"/>
        <w:ind w:firstLine="945" w:firstLineChars="450"/>
        <w:rPr>
          <w:rFonts w:hint="eastAsia" w:ascii="宋体" w:hAnsi="宋体" w:cs="宋体"/>
          <w:color w:val="auto"/>
          <w:szCs w:val="21"/>
          <w:highlight w:val="none"/>
          <w:u w:val="single"/>
        </w:rPr>
      </w:pPr>
      <w:r>
        <w:rPr>
          <w:rFonts w:hint="eastAsia" w:ascii="宋体" w:hAnsi="宋体" w:cs="宋体"/>
          <w:color w:val="auto"/>
          <w:szCs w:val="21"/>
          <w:highlight w:val="none"/>
          <w:u w:val="single"/>
        </w:rPr>
        <w:t>人民币（大写）               (¥          元</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w:t>
      </w:r>
    </w:p>
    <w:p w14:paraId="7E0C36C5">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（3）专业工程暂估价金额：</w:t>
      </w:r>
    </w:p>
    <w:p w14:paraId="23F0A5AB">
      <w:pPr>
        <w:spacing w:line="360" w:lineRule="auto"/>
        <w:ind w:firstLine="945" w:firstLineChars="450"/>
        <w:rPr>
          <w:rFonts w:hint="eastAsia" w:ascii="宋体" w:hAnsi="宋体" w:cs="宋体"/>
          <w:color w:val="auto"/>
          <w:szCs w:val="21"/>
          <w:highlight w:val="none"/>
          <w:u w:val="single"/>
        </w:rPr>
      </w:pPr>
      <w:r>
        <w:rPr>
          <w:rFonts w:hint="eastAsia" w:ascii="宋体" w:hAnsi="宋体" w:cs="宋体"/>
          <w:color w:val="auto"/>
          <w:szCs w:val="21"/>
          <w:highlight w:val="none"/>
          <w:u w:val="single"/>
        </w:rPr>
        <w:t>人民币（大写）               (¥          元</w:t>
      </w:r>
      <w:r>
        <w:rPr>
          <w:rFonts w:hint="eastAsia" w:ascii="宋体" w:hAnsi="宋体" w:cs="宋体"/>
          <w:color w:val="auto"/>
          <w:szCs w:val="21"/>
          <w:highlight w:val="none"/>
          <w:u w:val="single"/>
          <w:lang w:eastAsia="zh-CN"/>
        </w:rPr>
        <w:t>）；</w:t>
      </w:r>
    </w:p>
    <w:p w14:paraId="44C4FB1F">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（4）暂列金额：</w:t>
      </w:r>
    </w:p>
    <w:p w14:paraId="4C92C162">
      <w:pPr>
        <w:spacing w:line="360" w:lineRule="auto"/>
        <w:ind w:firstLine="945" w:firstLineChars="45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          元</w:t>
      </w:r>
      <w:r>
        <w:rPr>
          <w:rFonts w:hint="eastAsia" w:ascii="宋体" w:hAnsi="宋体" w:cs="宋体"/>
          <w:color w:val="auto"/>
          <w:szCs w:val="21"/>
          <w:highlight w:val="none"/>
          <w:u w:val="single"/>
          <w:lang w:eastAsia="zh-CN"/>
        </w:rPr>
        <w:t>）；</w:t>
      </w:r>
    </w:p>
    <w:p w14:paraId="05133E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 合同价格形式：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单价合同</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81424EE">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五、</w:t>
      </w:r>
      <w:bookmarkEnd w:id="711"/>
      <w:r>
        <w:rPr>
          <w:rFonts w:hint="eastAsia" w:ascii="宋体" w:hAnsi="宋体" w:cs="宋体"/>
          <w:b/>
          <w:color w:val="auto"/>
          <w:szCs w:val="21"/>
          <w:highlight w:val="none"/>
        </w:rPr>
        <w:t>项目经理</w:t>
      </w:r>
    </w:p>
    <w:p w14:paraId="6F0165A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承包人项目经理： </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FD56DB4">
      <w:pPr>
        <w:spacing w:line="360" w:lineRule="auto"/>
        <w:ind w:firstLine="422" w:firstLineChars="200"/>
        <w:rPr>
          <w:rFonts w:hint="eastAsia" w:ascii="宋体" w:hAnsi="宋体" w:cs="宋体"/>
          <w:b/>
          <w:color w:val="auto"/>
          <w:szCs w:val="21"/>
          <w:highlight w:val="none"/>
        </w:rPr>
      </w:pPr>
      <w:bookmarkStart w:id="712" w:name="_Toc351203486"/>
      <w:r>
        <w:rPr>
          <w:rFonts w:hint="eastAsia" w:ascii="宋体" w:hAnsi="宋体" w:cs="宋体"/>
          <w:b/>
          <w:color w:val="auto"/>
          <w:szCs w:val="21"/>
          <w:highlight w:val="none"/>
        </w:rPr>
        <w:t>六、合同文件构成</w:t>
      </w:r>
      <w:bookmarkEnd w:id="712"/>
    </w:p>
    <w:p w14:paraId="4CCD3002">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14:paraId="1A76F948">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（1）中标通知书（如果有）；</w:t>
      </w:r>
    </w:p>
    <w:p w14:paraId="38308183">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（2）投标函及其附录（如果有）； </w:t>
      </w:r>
    </w:p>
    <w:p w14:paraId="45351A5E">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（3）专用合同条款及其附件；</w:t>
      </w:r>
    </w:p>
    <w:p w14:paraId="21C34C05">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（4）通用合同条款；</w:t>
      </w:r>
    </w:p>
    <w:p w14:paraId="65110C0B">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（5）技术标准和要求；</w:t>
      </w:r>
    </w:p>
    <w:p w14:paraId="1F88FF93">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（6）图纸；</w:t>
      </w:r>
    </w:p>
    <w:p w14:paraId="6FE16075">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（7）已标价工程量清单或预算书；</w:t>
      </w:r>
    </w:p>
    <w:p w14:paraId="1AB8C63A">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（8）其他合同文件。</w:t>
      </w:r>
    </w:p>
    <w:p w14:paraId="4E8CD245">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w:t>
      </w:r>
    </w:p>
    <w:p w14:paraId="78E3986E">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38398D21">
      <w:pPr>
        <w:spacing w:line="360" w:lineRule="auto"/>
        <w:ind w:firstLine="422" w:firstLineChars="200"/>
        <w:rPr>
          <w:rFonts w:hint="eastAsia" w:ascii="宋体" w:hAnsi="宋体" w:cs="宋体"/>
          <w:b/>
          <w:color w:val="auto"/>
          <w:szCs w:val="21"/>
          <w:highlight w:val="none"/>
        </w:rPr>
      </w:pPr>
      <w:bookmarkStart w:id="713" w:name="_Toc351203487"/>
      <w:r>
        <w:rPr>
          <w:rFonts w:hint="eastAsia" w:ascii="宋体" w:hAnsi="宋体" w:cs="宋体"/>
          <w:b/>
          <w:color w:val="auto"/>
          <w:szCs w:val="21"/>
          <w:highlight w:val="none"/>
        </w:rPr>
        <w:t>七、承诺</w:t>
      </w:r>
      <w:bookmarkEnd w:id="713"/>
    </w:p>
    <w:p w14:paraId="7FE27C8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 发包人承诺按照法律规定履行项目审批手续、筹集工程建设资金并按照合同约定的期限和方式支付合同价款。</w:t>
      </w:r>
    </w:p>
    <w:p w14:paraId="2570912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 承包人承诺按照法律规定及合同约定组织完成工程施工，确保工程质量和安全，不进行转包及违法分包，并在缺陷责任期及保修期内承担相应的工程维修责任。</w:t>
      </w:r>
    </w:p>
    <w:p w14:paraId="5397B8E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 发包人和承包人通过招投标形式签订合同的，双方理解并承诺不再就本项目通过资信、技术评审且商务标初步评审合格另行签订与合同实质性内容相背离的协议。</w:t>
      </w:r>
    </w:p>
    <w:p w14:paraId="5C372019">
      <w:pPr>
        <w:spacing w:line="360" w:lineRule="auto"/>
        <w:ind w:firstLine="422" w:firstLineChars="200"/>
        <w:rPr>
          <w:rFonts w:hint="eastAsia" w:ascii="宋体" w:hAnsi="宋体" w:cs="宋体"/>
          <w:b/>
          <w:color w:val="auto"/>
          <w:szCs w:val="21"/>
          <w:highlight w:val="none"/>
        </w:rPr>
      </w:pPr>
      <w:bookmarkStart w:id="714" w:name="_Toc351203488"/>
      <w:r>
        <w:rPr>
          <w:rFonts w:hint="eastAsia" w:ascii="宋体" w:hAnsi="宋体" w:cs="宋体"/>
          <w:b/>
          <w:color w:val="auto"/>
          <w:szCs w:val="21"/>
          <w:highlight w:val="none"/>
        </w:rPr>
        <w:t>八、词语含义</w:t>
      </w:r>
      <w:bookmarkEnd w:id="714"/>
    </w:p>
    <w:p w14:paraId="33A557B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14:paraId="3FA6EFE6">
      <w:pPr>
        <w:spacing w:line="360" w:lineRule="auto"/>
        <w:ind w:firstLine="422" w:firstLineChars="200"/>
        <w:rPr>
          <w:rFonts w:hint="eastAsia" w:ascii="宋体" w:hAnsi="宋体" w:cs="宋体"/>
          <w:b/>
          <w:color w:val="auto"/>
          <w:szCs w:val="21"/>
          <w:highlight w:val="none"/>
        </w:rPr>
      </w:pPr>
      <w:bookmarkStart w:id="715" w:name="_Toc351203489"/>
      <w:r>
        <w:rPr>
          <w:rFonts w:hint="eastAsia" w:ascii="宋体" w:hAnsi="宋体" w:cs="宋体"/>
          <w:b/>
          <w:color w:val="auto"/>
          <w:szCs w:val="21"/>
          <w:highlight w:val="none"/>
        </w:rPr>
        <w:t>九、签订时间</w:t>
      </w:r>
      <w:bookmarkEnd w:id="715"/>
    </w:p>
    <w:p w14:paraId="338C2E1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本合同于</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日签订。</w:t>
      </w:r>
    </w:p>
    <w:p w14:paraId="23634B7F">
      <w:pPr>
        <w:spacing w:line="360" w:lineRule="auto"/>
        <w:ind w:firstLine="422" w:firstLineChars="200"/>
        <w:rPr>
          <w:rFonts w:hint="eastAsia" w:ascii="宋体" w:hAnsi="宋体" w:cs="宋体"/>
          <w:b/>
          <w:color w:val="auto"/>
          <w:szCs w:val="21"/>
          <w:highlight w:val="none"/>
        </w:rPr>
      </w:pPr>
      <w:bookmarkStart w:id="716" w:name="_Toc351203490"/>
      <w:r>
        <w:rPr>
          <w:rFonts w:hint="eastAsia" w:ascii="宋体" w:hAnsi="宋体" w:cs="宋体"/>
          <w:b/>
          <w:color w:val="auto"/>
          <w:szCs w:val="21"/>
          <w:highlight w:val="none"/>
        </w:rPr>
        <w:t>十、签订地点</w:t>
      </w:r>
      <w:bookmarkEnd w:id="716"/>
    </w:p>
    <w:p w14:paraId="116D85F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本合同在</w:t>
      </w:r>
      <w:r>
        <w:rPr>
          <w:rFonts w:hint="eastAsia" w:ascii="宋体" w:hAnsi="宋体" w:cs="宋体"/>
          <w:bCs/>
          <w:color w:val="auto"/>
          <w:szCs w:val="21"/>
          <w:highlight w:val="none"/>
          <w:u w:val="single"/>
        </w:rPr>
        <w:t xml:space="preserve">    </w:t>
      </w:r>
      <w:r>
        <w:rPr>
          <w:rFonts w:hint="eastAsia" w:ascii="宋体" w:cs="宋体"/>
          <w:bCs/>
          <w:color w:val="auto"/>
          <w:szCs w:val="21"/>
          <w:highlight w:val="none"/>
          <w:u w:val="single"/>
          <w:lang w:val="en-US" w:eastAsia="zh-CN"/>
        </w:rPr>
        <w:t xml:space="preserve">        </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签订。</w:t>
      </w:r>
    </w:p>
    <w:p w14:paraId="43BF6E96">
      <w:pPr>
        <w:spacing w:line="360" w:lineRule="auto"/>
        <w:ind w:firstLine="422" w:firstLineChars="200"/>
        <w:rPr>
          <w:rFonts w:hint="eastAsia" w:ascii="宋体" w:hAnsi="宋体" w:cs="宋体"/>
          <w:b/>
          <w:color w:val="auto"/>
          <w:szCs w:val="21"/>
          <w:highlight w:val="none"/>
        </w:rPr>
      </w:pPr>
      <w:bookmarkStart w:id="717" w:name="_Toc351203491"/>
      <w:r>
        <w:rPr>
          <w:rFonts w:hint="eastAsia" w:ascii="宋体" w:hAnsi="宋体" w:cs="宋体"/>
          <w:b/>
          <w:color w:val="auto"/>
          <w:szCs w:val="21"/>
          <w:highlight w:val="none"/>
        </w:rPr>
        <w:t>十一、补充协议</w:t>
      </w:r>
      <w:bookmarkEnd w:id="717"/>
    </w:p>
    <w:p w14:paraId="4041224F">
      <w:pPr>
        <w:spacing w:line="360" w:lineRule="auto"/>
        <w:ind w:firstLine="420" w:firstLineChars="200"/>
        <w:rPr>
          <w:rFonts w:hint="eastAsia"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14:paraId="2E55F9A2">
      <w:pPr>
        <w:spacing w:line="360" w:lineRule="auto"/>
        <w:ind w:firstLine="422" w:firstLineChars="200"/>
        <w:rPr>
          <w:rFonts w:hint="eastAsia" w:ascii="宋体" w:hAnsi="宋体" w:cs="宋体"/>
          <w:b/>
          <w:color w:val="auto"/>
          <w:szCs w:val="21"/>
          <w:highlight w:val="none"/>
        </w:rPr>
      </w:pPr>
      <w:bookmarkStart w:id="718" w:name="_Toc351203492"/>
      <w:r>
        <w:rPr>
          <w:rFonts w:hint="eastAsia" w:ascii="宋体" w:hAnsi="宋体" w:cs="宋体"/>
          <w:b/>
          <w:color w:val="auto"/>
          <w:szCs w:val="21"/>
          <w:highlight w:val="none"/>
        </w:rPr>
        <w:t>十二、合同生效</w:t>
      </w:r>
      <w:bookmarkEnd w:id="718"/>
    </w:p>
    <w:p w14:paraId="7AECE35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   </w:t>
      </w:r>
      <w:r>
        <w:rPr>
          <w:rFonts w:hint="eastAsia" w:ascii="宋体" w:cs="宋体"/>
          <w:bCs/>
          <w:color w:val="auto"/>
          <w:szCs w:val="21"/>
          <w:highlight w:val="none"/>
          <w:u w:val="single"/>
        </w:rPr>
        <w:t>双方签字</w:t>
      </w:r>
      <w:r>
        <w:rPr>
          <w:rFonts w:hint="eastAsia" w:ascii="宋体" w:cs="宋体"/>
          <w:bCs/>
          <w:color w:val="auto"/>
          <w:szCs w:val="21"/>
          <w:highlight w:val="none"/>
          <w:u w:val="single"/>
          <w:lang w:val="en-US" w:eastAsia="zh-CN"/>
        </w:rPr>
        <w:t>盖</w:t>
      </w:r>
      <w:r>
        <w:rPr>
          <w:rFonts w:hint="eastAsia" w:ascii="宋体" w:cs="宋体"/>
          <w:bCs/>
          <w:color w:val="auto"/>
          <w:szCs w:val="21"/>
          <w:highlight w:val="none"/>
          <w:u w:val="single"/>
        </w:rPr>
        <w:t>章后</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生效。</w:t>
      </w:r>
    </w:p>
    <w:p w14:paraId="31181A7E">
      <w:pPr>
        <w:spacing w:line="360" w:lineRule="auto"/>
        <w:ind w:firstLine="422" w:firstLineChars="200"/>
        <w:rPr>
          <w:rFonts w:hint="eastAsia" w:ascii="宋体" w:hAnsi="宋体" w:cs="宋体"/>
          <w:b/>
          <w:color w:val="auto"/>
          <w:szCs w:val="21"/>
          <w:highlight w:val="none"/>
        </w:rPr>
      </w:pPr>
      <w:bookmarkStart w:id="719" w:name="_Toc351203493"/>
      <w:r>
        <w:rPr>
          <w:rFonts w:hint="eastAsia" w:ascii="宋体" w:hAnsi="宋体" w:cs="宋体"/>
          <w:b/>
          <w:color w:val="auto"/>
          <w:szCs w:val="21"/>
          <w:highlight w:val="none"/>
        </w:rPr>
        <w:t>十三、合同份数</w:t>
      </w:r>
      <w:bookmarkEnd w:id="719"/>
    </w:p>
    <w:p w14:paraId="5869788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份，均具有同等法律效力，发包人执</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份，承包人执</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w:t>
      </w:r>
    </w:p>
    <w:p w14:paraId="7C77CE70">
      <w:pPr>
        <w:spacing w:line="360" w:lineRule="auto"/>
        <w:rPr>
          <w:rFonts w:hint="eastAsia" w:ascii="宋体" w:hAnsi="宋体" w:cs="宋体"/>
          <w:bCs/>
          <w:color w:val="auto"/>
          <w:szCs w:val="21"/>
          <w:highlight w:val="none"/>
        </w:rPr>
      </w:pPr>
    </w:p>
    <w:p w14:paraId="2583CCD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rPr>
        <w:t>公章</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承包人：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w:t>
      </w:r>
      <w:r>
        <w:rPr>
          <w:rFonts w:hint="eastAsia" w:ascii="宋体" w:hAnsi="宋体" w:cs="宋体"/>
          <w:color w:val="auto"/>
          <w:szCs w:val="21"/>
          <w:highlight w:val="none"/>
        </w:rPr>
        <w:t>公章</w:t>
      </w:r>
      <w:r>
        <w:rPr>
          <w:rFonts w:hint="eastAsia" w:ascii="宋体" w:hAnsi="宋体" w:cs="宋体"/>
          <w:color w:val="auto"/>
          <w:szCs w:val="21"/>
          <w:highlight w:val="none"/>
          <w:lang w:eastAsia="zh-CN"/>
        </w:rPr>
        <w:t>）</w:t>
      </w:r>
    </w:p>
    <w:p w14:paraId="4D5D95C2">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p>
    <w:p w14:paraId="50F59C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              法定代表人或其委托代理人：</w:t>
      </w:r>
    </w:p>
    <w:p w14:paraId="1E5A34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（签字）</w:t>
      </w:r>
      <w:r>
        <w:rPr>
          <w:rFonts w:hint="eastAsia" w:ascii="宋体" w:hAnsi="宋体" w:cs="宋体"/>
          <w:color w:val="auto"/>
          <w:szCs w:val="21"/>
          <w:highlight w:val="none"/>
          <w:u w:val="single"/>
        </w:rPr>
        <w:t xml:space="preserve">                  </w:t>
      </w:r>
    </w:p>
    <w:p w14:paraId="442D2347">
      <w:pPr>
        <w:spacing w:line="360" w:lineRule="auto"/>
        <w:rPr>
          <w:rFonts w:hint="eastAsia" w:ascii="宋体" w:hAnsi="宋体" w:cs="宋体"/>
          <w:color w:val="auto"/>
          <w:szCs w:val="21"/>
          <w:highlight w:val="none"/>
          <w:u w:val="single"/>
        </w:rPr>
      </w:pPr>
    </w:p>
    <w:p w14:paraId="2CDC668B">
      <w:pPr>
        <w:tabs>
          <w:tab w:val="left" w:pos="441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组织机构代码：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组织机构代码：</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 </w:t>
      </w:r>
    </w:p>
    <w:p w14:paraId="666B1D5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w:t>
      </w:r>
    </w:p>
    <w:p w14:paraId="272877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735D37C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 </w:t>
      </w:r>
    </w:p>
    <w:p w14:paraId="5BA5A2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495E35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0A20306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531D87D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电子信箱：</w:t>
      </w:r>
      <w:r>
        <w:rPr>
          <w:rFonts w:hint="eastAsia" w:ascii="宋体" w:hAnsi="宋体" w:cs="宋体"/>
          <w:color w:val="auto"/>
          <w:szCs w:val="21"/>
          <w:highlight w:val="none"/>
          <w:u w:val="single"/>
        </w:rPr>
        <w:t xml:space="preserve">                     </w:t>
      </w:r>
    </w:p>
    <w:p w14:paraId="2409DAD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039A78E6">
      <w:pPr>
        <w:ind w:firstLine="420" w:firstLineChars="200"/>
        <w:rPr>
          <w:rFonts w:hint="eastAsia" w:ascii="宋体" w:hAnsi="宋体" w:cs="宋体"/>
          <w:color w:val="auto"/>
          <w:highlight w:val="non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账  号：</w:t>
      </w:r>
      <w:r>
        <w:rPr>
          <w:rFonts w:hint="eastAsia" w:ascii="宋体" w:hAnsi="宋体" w:cs="宋体"/>
          <w:color w:val="auto"/>
          <w:szCs w:val="21"/>
          <w:highlight w:val="none"/>
          <w:u w:val="single"/>
        </w:rPr>
        <w:t xml:space="preserve">                     </w:t>
      </w:r>
    </w:p>
    <w:p w14:paraId="1D0EDE72">
      <w:pPr>
        <w:pStyle w:val="20"/>
        <w:rPr>
          <w:rFonts w:hint="eastAsia"/>
          <w:color w:val="auto"/>
          <w:highlight w:val="none"/>
        </w:rPr>
      </w:pPr>
      <w:bookmarkStart w:id="720" w:name="_Toc28799377"/>
    </w:p>
    <w:p w14:paraId="50CD43FF">
      <w:pPr>
        <w:rPr>
          <w:rFonts w:hint="eastAsia"/>
          <w:color w:val="auto"/>
          <w:highlight w:val="none"/>
        </w:rPr>
      </w:pPr>
    </w:p>
    <w:p w14:paraId="1EDAA43E">
      <w:pPr>
        <w:pStyle w:val="20"/>
        <w:rPr>
          <w:rFonts w:hint="eastAsia"/>
          <w:color w:val="auto"/>
          <w:highlight w:val="none"/>
        </w:rPr>
      </w:pPr>
    </w:p>
    <w:p w14:paraId="26A87948">
      <w:pPr>
        <w:rPr>
          <w:rFonts w:hint="eastAsia"/>
          <w:color w:val="auto"/>
          <w:highlight w:val="none"/>
        </w:rPr>
      </w:pPr>
    </w:p>
    <w:p w14:paraId="1E7D5E3A">
      <w:pPr>
        <w:pStyle w:val="20"/>
        <w:rPr>
          <w:rFonts w:hint="eastAsia"/>
          <w:color w:val="auto"/>
          <w:highlight w:val="none"/>
        </w:rPr>
      </w:pPr>
    </w:p>
    <w:p w14:paraId="553185DD">
      <w:pPr>
        <w:rPr>
          <w:rFonts w:hint="eastAsia"/>
          <w:color w:val="auto"/>
          <w:highlight w:val="none"/>
        </w:rPr>
      </w:pPr>
    </w:p>
    <w:p w14:paraId="6081507D">
      <w:pPr>
        <w:pStyle w:val="20"/>
        <w:rPr>
          <w:rFonts w:hint="eastAsia"/>
          <w:color w:val="auto"/>
          <w:highlight w:val="none"/>
        </w:rPr>
      </w:pPr>
    </w:p>
    <w:p w14:paraId="60373ABF">
      <w:pPr>
        <w:pStyle w:val="20"/>
        <w:ind w:left="0" w:leftChars="0" w:firstLine="0" w:firstLineChars="0"/>
        <w:rPr>
          <w:rFonts w:hint="eastAsia"/>
          <w:color w:val="auto"/>
          <w:highlight w:val="none"/>
        </w:rPr>
      </w:pPr>
    </w:p>
    <w:p w14:paraId="6BA4B03D">
      <w:pPr>
        <w:rPr>
          <w:rFonts w:hint="eastAsia"/>
          <w:color w:val="auto"/>
          <w:highlight w:val="none"/>
        </w:rPr>
      </w:pPr>
    </w:p>
    <w:p w14:paraId="1738CDE7">
      <w:pPr>
        <w:pStyle w:val="20"/>
        <w:rPr>
          <w:rFonts w:hint="eastAsia"/>
          <w:color w:val="auto"/>
          <w:highlight w:val="none"/>
        </w:rPr>
      </w:pPr>
    </w:p>
    <w:p w14:paraId="670EED1E">
      <w:pPr>
        <w:keepNext/>
        <w:keepLines/>
        <w:spacing w:line="360" w:lineRule="auto"/>
        <w:jc w:val="center"/>
        <w:outlineLvl w:val="1"/>
        <w:rPr>
          <w:rFonts w:ascii="宋体" w:hAnsi="宋体" w:cs="宋体"/>
          <w:b/>
          <w:bCs/>
          <w:color w:val="auto"/>
          <w:sz w:val="32"/>
          <w:szCs w:val="32"/>
          <w:highlight w:val="none"/>
        </w:rPr>
        <w:sectPr>
          <w:footnotePr>
            <w:numFmt w:val="decimalEnclosedCircleChinese"/>
            <w:numRestart w:val="eachPage"/>
          </w:footnotePr>
          <w:pgSz w:w="11907" w:h="16840"/>
          <w:pgMar w:top="1474" w:right="1474" w:bottom="1474" w:left="1474" w:header="799" w:footer="907" w:gutter="0"/>
          <w:pgNumType w:fmt="numberInDash"/>
          <w:cols w:space="720" w:num="1"/>
          <w:docGrid w:linePitch="271" w:charSpace="0"/>
        </w:sectPr>
      </w:pPr>
      <w:bookmarkStart w:id="721" w:name="_Toc15494"/>
      <w:bookmarkStart w:id="722" w:name="_Toc95223460"/>
    </w:p>
    <w:p w14:paraId="5C45EABF">
      <w:pPr>
        <w:keepNext/>
        <w:keepLines/>
        <w:spacing w:line="360" w:lineRule="auto"/>
        <w:jc w:val="center"/>
        <w:outlineLvl w:val="1"/>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第二节  通用合同条款</w:t>
      </w:r>
      <w:bookmarkEnd w:id="720"/>
      <w:bookmarkEnd w:id="721"/>
      <w:bookmarkEnd w:id="722"/>
    </w:p>
    <w:p w14:paraId="77716CD4">
      <w:pPr>
        <w:ind w:firstLine="560" w:firstLineChars="200"/>
        <w:rPr>
          <w:rFonts w:hint="eastAsia" w:ascii="宋体" w:hAnsi="宋体" w:cs="宋体"/>
          <w:snapToGrid w:val="0"/>
          <w:color w:val="auto"/>
          <w:kern w:val="0"/>
          <w:sz w:val="28"/>
          <w:highlight w:val="none"/>
        </w:rPr>
      </w:pPr>
    </w:p>
    <w:p w14:paraId="1529C22D">
      <w:pPr>
        <w:adjustRightInd w:val="0"/>
        <w:snapToGrid w:val="0"/>
        <w:spacing w:line="480" w:lineRule="auto"/>
        <w:ind w:firstLine="562" w:firstLineChars="200"/>
        <w:rPr>
          <w:rFonts w:hint="eastAsia" w:ascii="宋体" w:hAnsi="宋体" w:cs="宋体"/>
          <w:b/>
          <w:bCs/>
          <w:snapToGrid w:val="0"/>
          <w:color w:val="auto"/>
          <w:kern w:val="0"/>
          <w:sz w:val="28"/>
          <w:highlight w:val="none"/>
        </w:rPr>
      </w:pPr>
      <w:r>
        <w:rPr>
          <w:rFonts w:hint="eastAsia" w:ascii="宋体" w:hAnsi="宋体" w:cs="宋体"/>
          <w:b/>
          <w:bCs/>
          <w:snapToGrid w:val="0"/>
          <w:color w:val="auto"/>
          <w:kern w:val="0"/>
          <w:sz w:val="28"/>
          <w:highlight w:val="none"/>
        </w:rPr>
        <w:t>采用《建设工程施工合同</w:t>
      </w:r>
      <w:r>
        <w:rPr>
          <w:rFonts w:hint="eastAsia" w:ascii="宋体" w:hAnsi="宋体" w:cs="宋体"/>
          <w:b/>
          <w:bCs/>
          <w:snapToGrid w:val="0"/>
          <w:color w:val="auto"/>
          <w:kern w:val="0"/>
          <w:sz w:val="28"/>
          <w:highlight w:val="none"/>
          <w:lang w:eastAsia="zh-CN"/>
        </w:rPr>
        <w:t>（</w:t>
      </w:r>
      <w:r>
        <w:rPr>
          <w:rFonts w:hint="eastAsia" w:ascii="宋体" w:hAnsi="宋体" w:cs="宋体"/>
          <w:b/>
          <w:bCs/>
          <w:snapToGrid w:val="0"/>
          <w:color w:val="auto"/>
          <w:kern w:val="0"/>
          <w:sz w:val="28"/>
          <w:highlight w:val="none"/>
        </w:rPr>
        <w:t>示范文本</w:t>
      </w:r>
      <w:r>
        <w:rPr>
          <w:rFonts w:hint="eastAsia" w:ascii="宋体" w:hAnsi="宋体" w:cs="宋体"/>
          <w:b/>
          <w:bCs/>
          <w:snapToGrid w:val="0"/>
          <w:color w:val="auto"/>
          <w:kern w:val="0"/>
          <w:sz w:val="28"/>
          <w:highlight w:val="none"/>
          <w:lang w:eastAsia="zh-CN"/>
        </w:rPr>
        <w:t>）</w:t>
      </w:r>
      <w:r>
        <w:rPr>
          <w:rFonts w:hint="eastAsia" w:ascii="宋体" w:hAnsi="宋体" w:cs="宋体"/>
          <w:b/>
          <w:bCs/>
          <w:snapToGrid w:val="0"/>
          <w:color w:val="auto"/>
          <w:kern w:val="0"/>
          <w:sz w:val="28"/>
          <w:highlight w:val="none"/>
        </w:rPr>
        <w:t>》（GF-2017-0201）中通用合同条款。上述资料由投标人自行准备。</w:t>
      </w:r>
    </w:p>
    <w:p w14:paraId="32860CFB">
      <w:pPr>
        <w:keepNext/>
        <w:keepLines/>
        <w:adjustRightInd w:val="0"/>
        <w:snapToGrid w:val="0"/>
        <w:spacing w:line="360" w:lineRule="auto"/>
        <w:jc w:val="center"/>
        <w:outlineLvl w:val="1"/>
        <w:rPr>
          <w:rFonts w:hint="eastAsia" w:ascii="宋体" w:hAnsi="宋体" w:cs="宋体"/>
          <w:bCs/>
          <w:color w:val="auto"/>
          <w:sz w:val="32"/>
          <w:szCs w:val="32"/>
          <w:highlight w:val="none"/>
        </w:rPr>
      </w:pPr>
      <w:r>
        <w:rPr>
          <w:rFonts w:hint="eastAsia" w:ascii="宋体" w:hAnsi="宋体" w:cs="宋体"/>
          <w:b/>
          <w:bCs/>
          <w:color w:val="auto"/>
          <w:sz w:val="24"/>
          <w:szCs w:val="32"/>
          <w:highlight w:val="none"/>
        </w:rPr>
        <w:br w:type="page"/>
      </w:r>
      <w:bookmarkStart w:id="723" w:name="_Toc95223461"/>
      <w:bookmarkStart w:id="724" w:name="_Toc8192"/>
      <w:bookmarkStart w:id="725" w:name="_Toc28799378"/>
      <w:r>
        <w:rPr>
          <w:rFonts w:hint="eastAsia" w:ascii="宋体" w:hAnsi="宋体" w:cs="宋体"/>
          <w:b/>
          <w:bCs/>
          <w:color w:val="auto"/>
          <w:sz w:val="32"/>
          <w:szCs w:val="32"/>
          <w:highlight w:val="none"/>
        </w:rPr>
        <w:t>第三节  专用合同条款</w:t>
      </w:r>
      <w:bookmarkEnd w:id="723"/>
      <w:bookmarkEnd w:id="724"/>
      <w:bookmarkEnd w:id="725"/>
    </w:p>
    <w:p w14:paraId="4B07B534">
      <w:pPr>
        <w:keepNext/>
        <w:keepLines/>
        <w:adjustRightInd w:val="0"/>
        <w:snapToGrid w:val="0"/>
        <w:spacing w:line="384" w:lineRule="auto"/>
        <w:jc w:val="left"/>
        <w:outlineLvl w:val="2"/>
        <w:rPr>
          <w:rFonts w:hint="eastAsia" w:ascii="宋体" w:hAnsi="宋体" w:cs="宋体"/>
          <w:bCs/>
          <w:color w:val="auto"/>
          <w:sz w:val="24"/>
          <w:highlight w:val="none"/>
        </w:rPr>
      </w:pPr>
      <w:bookmarkStart w:id="726" w:name="_Toc95223462"/>
      <w:bookmarkStart w:id="727" w:name="_Toc351203633"/>
      <w:r>
        <w:rPr>
          <w:rFonts w:hint="eastAsia" w:ascii="宋体" w:hAnsi="宋体" w:cs="宋体"/>
          <w:bCs/>
          <w:color w:val="auto"/>
          <w:sz w:val="24"/>
          <w:highlight w:val="none"/>
        </w:rPr>
        <w:t>1</w:t>
      </w:r>
      <w:bookmarkStart w:id="728" w:name="_Toc296347155"/>
      <w:bookmarkStart w:id="729" w:name="_Toc296346657"/>
      <w:bookmarkStart w:id="730" w:name="_Toc296503156"/>
      <w:bookmarkStart w:id="731" w:name="_Toc296890984"/>
      <w:bookmarkStart w:id="732" w:name="_Toc296891196"/>
      <w:bookmarkStart w:id="733" w:name="_Toc296944495"/>
      <w:bookmarkStart w:id="734" w:name="_Toc292559866"/>
      <w:bookmarkStart w:id="735" w:name="_Toc297120456"/>
      <w:bookmarkStart w:id="736" w:name="_Toc292559361"/>
      <w:bookmarkStart w:id="737" w:name="_Toc297048342"/>
      <w:r>
        <w:rPr>
          <w:rFonts w:hint="eastAsia" w:ascii="宋体" w:hAnsi="宋体" w:cs="宋体"/>
          <w:bCs/>
          <w:color w:val="auto"/>
          <w:sz w:val="24"/>
          <w:highlight w:val="none"/>
        </w:rPr>
        <w:t>. 一般约定</w:t>
      </w:r>
      <w:bookmarkEnd w:id="726"/>
      <w:bookmarkEnd w:id="727"/>
    </w:p>
    <w:bookmarkEnd w:id="728"/>
    <w:bookmarkEnd w:id="729"/>
    <w:bookmarkEnd w:id="730"/>
    <w:bookmarkEnd w:id="731"/>
    <w:bookmarkEnd w:id="732"/>
    <w:bookmarkEnd w:id="733"/>
    <w:bookmarkEnd w:id="734"/>
    <w:bookmarkEnd w:id="735"/>
    <w:bookmarkEnd w:id="736"/>
    <w:bookmarkEnd w:id="737"/>
    <w:p w14:paraId="1683456F">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1.1 词语定义与解释</w:t>
      </w:r>
    </w:p>
    <w:p w14:paraId="795968FB">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1.1.1 合同</w:t>
      </w:r>
    </w:p>
    <w:p w14:paraId="116D5BBD">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1.1.1.10 其他合同文件包括：</w:t>
      </w:r>
      <w:r>
        <w:rPr>
          <w:rFonts w:hint="eastAsia" w:ascii="宋体" w:hAnsi="宋体" w:cs="宋体"/>
          <w:color w:val="auto"/>
          <w:kern w:val="0"/>
          <w:szCs w:val="21"/>
          <w:highlight w:val="none"/>
          <w:u w:val="single"/>
        </w:rPr>
        <w:t>本项目招标文件、在合同订立及履行过程中形成的与合同有关的文件均构成合同文件组成部分，若上述文件有不明确或不一致之处，以招标文件为准</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2FF0CCD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1.1.2 合同当事人及其他相关方</w:t>
      </w:r>
    </w:p>
    <w:p w14:paraId="3877CF9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1.1.2.4 监理人：</w:t>
      </w:r>
    </w:p>
    <w:p w14:paraId="0B2A037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名    称：</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030FF22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资质类别和等级：</w:t>
      </w:r>
      <w:r>
        <w:rPr>
          <w:rFonts w:hint="eastAsia" w:ascii="宋体" w:hAnsi="宋体" w:cs="宋体"/>
          <w:color w:val="auto"/>
          <w:highlight w:val="none"/>
          <w:u w:val="single"/>
        </w:rPr>
        <w:t xml:space="preserve">                                 </w:t>
      </w:r>
      <w:r>
        <w:rPr>
          <w:rFonts w:hint="eastAsia" w:ascii="宋体" w:hAnsi="宋体" w:cs="宋体"/>
          <w:color w:val="auto"/>
          <w:highlight w:val="none"/>
        </w:rPr>
        <w:t>；</w:t>
      </w:r>
    </w:p>
    <w:p w14:paraId="313AACB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D02C54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FB5153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通信地址：</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4EFDC01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1.1.2.5 设计人：</w:t>
      </w:r>
    </w:p>
    <w:p w14:paraId="4D7699F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名    称：</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217770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资质类别和等级：</w:t>
      </w:r>
      <w:r>
        <w:rPr>
          <w:rFonts w:hint="eastAsia" w:ascii="宋体" w:hAnsi="宋体" w:cs="宋体"/>
          <w:color w:val="auto"/>
          <w:highlight w:val="none"/>
          <w:u w:val="single"/>
        </w:rPr>
        <w:t>                                   </w:t>
      </w:r>
      <w:r>
        <w:rPr>
          <w:rFonts w:hint="eastAsia" w:ascii="宋体" w:hAnsi="宋体" w:cs="宋体"/>
          <w:color w:val="auto"/>
          <w:highlight w:val="none"/>
        </w:rPr>
        <w:t>；</w:t>
      </w:r>
    </w:p>
    <w:p w14:paraId="5F6E034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FDBC39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47B3D8D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通信地址：</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465DC78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1.1.3 工程和设备</w:t>
      </w:r>
    </w:p>
    <w:p w14:paraId="48BBE02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1.1.3.7 作为施工现场组成部分的其他场所包括：</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见施工图纸并现场确定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373AE58">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1.1.3.9 永久占地包括：</w:t>
      </w:r>
      <w:r>
        <w:rPr>
          <w:rFonts w:hint="eastAsia" w:ascii="宋体" w:hAnsi="宋体" w:cs="宋体"/>
          <w:color w:val="auto"/>
          <w:highlight w:val="none"/>
          <w:u w:val="single"/>
        </w:rPr>
        <w:t xml:space="preserve">  </w:t>
      </w:r>
      <w:r>
        <w:rPr>
          <w:rFonts w:hint="eastAsia" w:ascii="宋体" w:hAnsi="宋体" w:eastAsia="宋体" w:cs="宋体"/>
          <w:color w:val="auto"/>
          <w:szCs w:val="21"/>
          <w:highlight w:val="none"/>
          <w:u w:val="single"/>
        </w:rPr>
        <w:t>见施工图纸</w:t>
      </w:r>
      <w:r>
        <w:rPr>
          <w:rFonts w:hint="eastAsia" w:ascii="宋体" w:hAnsi="宋体" w:cs="宋体"/>
          <w:color w:val="auto"/>
          <w:highlight w:val="none"/>
          <w:u w:val="single"/>
        </w:rPr>
        <w:t xml:space="preserve">  </w:t>
      </w:r>
      <w:r>
        <w:rPr>
          <w:rFonts w:hint="eastAsia" w:ascii="宋体" w:hAnsi="宋体" w:cs="宋体"/>
          <w:color w:val="auto"/>
          <w:kern w:val="0"/>
          <w:highlight w:val="none"/>
        </w:rPr>
        <w:t>。</w:t>
      </w:r>
    </w:p>
    <w:p w14:paraId="6CA6F79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1.1.3.10 临时占地包括：</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 xml:space="preserve"> 现场确定</w:t>
      </w:r>
      <w:r>
        <w:rPr>
          <w:rFonts w:hint="eastAsia" w:ascii="宋体" w:hAnsi="宋体" w:cs="宋体"/>
          <w:color w:val="auto"/>
          <w:highlight w:val="none"/>
          <w:u w:val="single"/>
        </w:rPr>
        <w:t></w:t>
      </w:r>
      <w:r>
        <w:rPr>
          <w:rFonts w:hint="eastAsia" w:ascii="宋体" w:hAnsi="宋体" w:cs="宋体"/>
          <w:color w:val="auto"/>
          <w:kern w:val="0"/>
          <w:highlight w:val="none"/>
        </w:rPr>
        <w:t>。</w:t>
      </w:r>
    </w:p>
    <w:p w14:paraId="32922D60">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 xml:space="preserve">1.3 法律 </w:t>
      </w:r>
    </w:p>
    <w:p w14:paraId="1F650ADB">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适用于合同的其他规范性文件：</w:t>
      </w:r>
      <w:r>
        <w:rPr>
          <w:rFonts w:hint="eastAsia" w:ascii="宋体" w:hAnsi="宋体" w:cs="宋体"/>
          <w:color w:val="auto"/>
          <w:highlight w:val="none"/>
          <w:lang w:val="en-US" w:eastAsia="zh-CN"/>
        </w:rPr>
        <w:t xml:space="preserve"> </w:t>
      </w:r>
      <w:r>
        <w:rPr>
          <w:rFonts w:hint="eastAsia" w:ascii="宋体" w:hAnsi="宋体" w:cs="宋体"/>
          <w:color w:val="auto"/>
          <w:szCs w:val="21"/>
          <w:highlight w:val="none"/>
          <w:u w:val="single"/>
        </w:rPr>
        <w:t>《中华人民共和国民法典</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中华人民共和国建筑法</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中华人民共和国招标投标法</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建设工程质量管理条例</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 xml:space="preserve">建设工程安全生产管理条例》等国家及工程所在地现行有效的法律法规和规章 </w:t>
      </w:r>
      <w:r>
        <w:rPr>
          <w:rFonts w:hint="eastAsia" w:ascii="宋体" w:hAnsi="宋体" w:cs="宋体"/>
          <w:color w:val="auto"/>
          <w:szCs w:val="21"/>
          <w:highlight w:val="none"/>
        </w:rPr>
        <w:t>。</w:t>
      </w:r>
    </w:p>
    <w:p w14:paraId="4207E77D">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1.4 标准和规范</w:t>
      </w:r>
    </w:p>
    <w:p w14:paraId="505FC0C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1.4.1 适用于工程的标准规范包括：</w:t>
      </w:r>
      <w:r>
        <w:rPr>
          <w:rFonts w:hint="eastAsia" w:ascii="宋体" w:hAnsi="宋体" w:cs="宋体"/>
          <w:color w:val="auto"/>
          <w:szCs w:val="21"/>
          <w:highlight w:val="none"/>
          <w:u w:val="single"/>
        </w:rPr>
        <w:t xml:space="preserve"> 中华人民共和国建设部颁发的现行的有关标准、规范及省、市有关规定  </w:t>
      </w:r>
      <w:r>
        <w:rPr>
          <w:rFonts w:hint="eastAsia" w:ascii="宋体" w:hAnsi="宋体" w:cs="宋体"/>
          <w:color w:val="auto"/>
          <w:szCs w:val="21"/>
          <w:highlight w:val="none"/>
        </w:rPr>
        <w:t>。</w:t>
      </w:r>
    </w:p>
    <w:p w14:paraId="7A7D81F6">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1.4.2 发包人提供国外标准、规范的名称：</w:t>
      </w:r>
      <w:r>
        <w:rPr>
          <w:rFonts w:hint="eastAsia" w:ascii="宋体" w:hAnsi="宋体" w:cs="宋体"/>
          <w:color w:val="auto"/>
          <w:kern w:val="0"/>
          <w:highlight w:val="none"/>
          <w:u w:val="single"/>
        </w:rPr>
        <w:t xml:space="preserve"> </w:t>
      </w:r>
      <w:r>
        <w:rPr>
          <w:rFonts w:hint="eastAsia" w:ascii="宋体" w:hAnsi="宋体" w:cs="宋体"/>
          <w:color w:val="auto"/>
          <w:kern w:val="0"/>
          <w:szCs w:val="21"/>
          <w:highlight w:val="none"/>
          <w:u w:val="single"/>
        </w:rPr>
        <w:t>承包人自备国内现行适用的标准、规范</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421BCC68">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发包人提供国外标准、规范的份数：</w:t>
      </w:r>
      <w:r>
        <w:rPr>
          <w:rFonts w:hint="eastAsia" w:ascii="宋体" w:hAnsi="宋体" w:cs="宋体"/>
          <w:color w:val="auto"/>
          <w:kern w:val="0"/>
          <w:highlight w:val="none"/>
          <w:u w:val="single"/>
        </w:rPr>
        <w:t xml:space="preserve">  </w:t>
      </w:r>
      <w:r>
        <w:rPr>
          <w:rFonts w:hint="eastAsia" w:ascii="宋体" w:hAnsi="宋体" w:eastAsia="宋体" w:cs="宋体"/>
          <w:color w:val="auto"/>
          <w:kern w:val="0"/>
          <w:szCs w:val="21"/>
          <w:highlight w:val="none"/>
          <w:u w:val="single"/>
          <w:lang w:val="en-US" w:eastAsia="zh-CN"/>
        </w:rPr>
        <w:t>无</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5E4B65E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发包人提供国外标准、规范的时间：</w:t>
      </w:r>
      <w:r>
        <w:rPr>
          <w:rFonts w:hint="eastAsia" w:ascii="宋体" w:hAnsi="宋体" w:cs="宋体"/>
          <w:color w:val="auto"/>
          <w:kern w:val="0"/>
          <w:highlight w:val="none"/>
          <w:u w:val="single"/>
        </w:rPr>
        <w:t xml:space="preserve">  </w:t>
      </w:r>
      <w:r>
        <w:rPr>
          <w:rFonts w:hint="eastAsia" w:ascii="宋体" w:hAnsi="宋体" w:eastAsia="宋体" w:cs="宋体"/>
          <w:color w:val="auto"/>
          <w:kern w:val="0"/>
          <w:szCs w:val="21"/>
          <w:highlight w:val="none"/>
          <w:u w:val="single"/>
          <w:lang w:val="en-US" w:eastAsia="zh-CN"/>
        </w:rPr>
        <w:t>无</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473B169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1.4.3 发包人对工程的技术标准和功能要求的特殊要求：</w:t>
      </w:r>
      <w:r>
        <w:rPr>
          <w:rFonts w:hint="eastAsia" w:ascii="宋体" w:hAnsi="宋体" w:cs="宋体"/>
          <w:color w:val="auto"/>
          <w:highlight w:val="none"/>
          <w:u w:val="single"/>
        </w:rPr>
        <w:t xml:space="preserve"> </w:t>
      </w:r>
      <w:r>
        <w:rPr>
          <w:rFonts w:hint="eastAsia" w:ascii="宋体" w:hAnsi="宋体" w:eastAsia="宋体" w:cs="宋体"/>
          <w:color w:val="auto"/>
          <w:kern w:val="0"/>
          <w:szCs w:val="21"/>
          <w:highlight w:val="none"/>
          <w:u w:val="single"/>
          <w:lang w:val="en-US" w:eastAsia="zh-CN"/>
        </w:rPr>
        <w:t>按现行规范执行</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53D0B04">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1.5 合同文件的优先顺序</w:t>
      </w:r>
    </w:p>
    <w:p w14:paraId="6DA872AC">
      <w:pPr>
        <w:adjustRightInd w:val="0"/>
        <w:snapToGrid w:val="0"/>
        <w:spacing w:line="384" w:lineRule="auto"/>
        <w:ind w:firstLine="420" w:firstLineChars="200"/>
        <w:rPr>
          <w:rFonts w:hint="eastAsia" w:ascii="宋体" w:hAnsi="宋体" w:eastAsia="宋体" w:cs="宋体"/>
          <w:b/>
          <w:color w:val="auto"/>
          <w:highlight w:val="none"/>
          <w:u w:val="single"/>
          <w:lang w:eastAsia="zh-CN"/>
        </w:rPr>
      </w:pPr>
      <w:r>
        <w:rPr>
          <w:rFonts w:hint="eastAsia" w:ascii="宋体" w:hAnsi="宋体" w:cs="宋体"/>
          <w:color w:val="auto"/>
          <w:kern w:val="0"/>
          <w:highlight w:val="none"/>
        </w:rPr>
        <w:t>合同文件组成及优先顺序为：</w:t>
      </w:r>
      <w:r>
        <w:rPr>
          <w:rFonts w:hint="eastAsia" w:ascii="宋体" w:hAnsi="宋体" w:cs="宋体"/>
          <w:color w:val="auto"/>
          <w:highlight w:val="none"/>
          <w:u w:val="single"/>
        </w:rPr>
        <w:t>（1）合同协议书；（2）中标通知书；（3）确认函及其附录；</w:t>
      </w:r>
      <w:r>
        <w:rPr>
          <w:rFonts w:hint="eastAsia" w:ascii="宋体" w:hAnsi="宋体" w:cs="宋体"/>
          <w:color w:val="auto"/>
          <w:highlight w:val="none"/>
          <w:u w:val="single"/>
        </w:rPr>
        <w:tab/>
      </w:r>
      <w:r>
        <w:rPr>
          <w:rFonts w:hint="eastAsia" w:ascii="宋体" w:hAnsi="宋体" w:cs="宋体"/>
          <w:color w:val="auto"/>
          <w:highlight w:val="none"/>
          <w:u w:val="single"/>
        </w:rPr>
        <w:t xml:space="preserve">（4）招标文件；（5）专用合同条款及其附件；（6）通用合同条款；（7）技术标准和要求；（8）图纸；（9） 已标价工程量清单或预算书；（10）其他合同文件 </w:t>
      </w:r>
      <w:r>
        <w:rPr>
          <w:rFonts w:hint="eastAsia" w:ascii="宋体" w:hAnsi="宋体" w:cs="宋体"/>
          <w:color w:val="auto"/>
          <w:highlight w:val="none"/>
          <w:u w:val="single"/>
          <w:lang w:eastAsia="zh-CN"/>
        </w:rPr>
        <w:t>。</w:t>
      </w:r>
    </w:p>
    <w:p w14:paraId="2DBDF74B">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1.6 图纸和承包人文件</w:t>
      </w:r>
      <w:r>
        <w:rPr>
          <w:rFonts w:hint="eastAsia" w:ascii="宋体" w:hAnsi="宋体" w:cs="宋体"/>
          <w:bCs/>
          <w:color w:val="auto"/>
          <w:szCs w:val="28"/>
          <w:highlight w:val="none"/>
        </w:rPr>
        <w:tab/>
      </w:r>
    </w:p>
    <w:p w14:paraId="5EE29D0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1.6.1 图纸的提供和交底</w:t>
      </w:r>
    </w:p>
    <w:p w14:paraId="1E04F83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发包人向承包人提供图纸的期限：</w:t>
      </w:r>
      <w:r>
        <w:rPr>
          <w:rFonts w:hint="eastAsia" w:ascii="宋体" w:hAnsi="宋体" w:cs="宋体"/>
          <w:color w:val="auto"/>
          <w:highlight w:val="none"/>
          <w:u w:val="single"/>
        </w:rPr>
        <w:t xml:space="preserve">   开工通知前</w:t>
      </w:r>
      <w:r>
        <w:rPr>
          <w:rFonts w:hint="eastAsia" w:ascii="宋体" w:hAnsi="宋体" w:cs="宋体"/>
          <w:color w:val="auto"/>
          <w:highlight w:val="none"/>
        </w:rPr>
        <w:t>；</w:t>
      </w:r>
    </w:p>
    <w:p w14:paraId="7B106EA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发包人向承包人提供图纸的数量：</w:t>
      </w:r>
      <w:r>
        <w:rPr>
          <w:rFonts w:hint="eastAsia" w:ascii="宋体" w:hAnsi="宋体" w:cs="宋体"/>
          <w:color w:val="auto"/>
          <w:szCs w:val="21"/>
          <w:highlight w:val="none"/>
          <w:u w:val="single"/>
        </w:rPr>
        <w:t xml:space="preserve">提供 </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rPr>
        <w:t xml:space="preserve">套（含竣工图 </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u w:val="single"/>
        </w:rPr>
        <w:t xml:space="preserve"> 套），不足的由承包人自行复制，费用自理；</w:t>
      </w:r>
    </w:p>
    <w:p w14:paraId="056455B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发包人向承包人提供图纸的内容：</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D71808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1.6.4 承包人文件</w:t>
      </w:r>
    </w:p>
    <w:p w14:paraId="75EE2E4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需要由承包人提供的文件，包括：</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rPr>
        <w:t>另行约定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06588C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承包人提供的文件的期限为：</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rPr>
        <w:t>另行约定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AAAC27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承包人提供的文件的数量为：</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rPr>
        <w:t>另行约定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39B1F3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承包人提供的文件的形式为：</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rPr>
        <w:t>另行约定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75FB3E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发包人审批承包人文件的期限：</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rPr>
        <w:t>另行约定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DAFF40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1.6.5 图纸和承包人文件的保管</w:t>
      </w:r>
    </w:p>
    <w:p w14:paraId="683BB8A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关于图纸和承包人文件保管的约定：</w:t>
      </w:r>
      <w:r>
        <w:rPr>
          <w:rFonts w:hint="eastAsia" w:ascii="宋体" w:hAnsi="宋体" w:cs="宋体"/>
          <w:color w:val="auto"/>
          <w:szCs w:val="21"/>
          <w:highlight w:val="none"/>
          <w:u w:val="single"/>
        </w:rPr>
        <w:t xml:space="preserve">除专用合同条款另有约定外，承包人应在施工现场另外保存一套完整的图纸和承包人文件，供发包人、监理人及有关人员进行工程检查时使用  </w:t>
      </w:r>
      <w:r>
        <w:rPr>
          <w:rFonts w:hint="eastAsia" w:ascii="宋体" w:hAnsi="宋体" w:cs="宋体"/>
          <w:color w:val="auto"/>
          <w:highlight w:val="none"/>
        </w:rPr>
        <w:t>。</w:t>
      </w:r>
    </w:p>
    <w:p w14:paraId="60A22747">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1.7 联络</w:t>
      </w:r>
    </w:p>
    <w:p w14:paraId="081DC5B1">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1.7.1 发包人和承包人应当在</w:t>
      </w:r>
      <w:r>
        <w:rPr>
          <w:rFonts w:hint="eastAsia" w:ascii="宋体" w:hAnsi="宋体" w:cs="宋体"/>
          <w:color w:val="auto"/>
          <w:highlight w:val="none"/>
          <w:u w:val="single"/>
        </w:rPr>
        <w:t>7</w:t>
      </w:r>
      <w:r>
        <w:rPr>
          <w:rFonts w:hint="eastAsia" w:ascii="宋体" w:hAnsi="宋体" w:cs="宋体"/>
          <w:color w:val="auto"/>
          <w:kern w:val="0"/>
          <w:highlight w:val="none"/>
        </w:rPr>
        <w:t>天内将与合同有关的通知、批准、证明、证书、指示、指令、要求、请求、同意、意见、确定和决定等书面函件送达对方当事人。</w:t>
      </w:r>
    </w:p>
    <w:p w14:paraId="3B2D7F94">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1.7.2 发包人接收文件的地点：</w:t>
      </w:r>
      <w:r>
        <w:rPr>
          <w:rFonts w:hint="eastAsia" w:ascii="宋体" w:hAnsi="宋体" w:cs="宋体"/>
          <w:color w:val="auto"/>
          <w:highlight w:val="none"/>
          <w:u w:val="single"/>
        </w:rPr>
        <w:t xml:space="preserve">  </w:t>
      </w:r>
      <w:r>
        <w:rPr>
          <w:rFonts w:hint="eastAsia" w:ascii="宋体" w:hAnsi="宋体" w:eastAsia="宋体" w:cs="宋体"/>
          <w:color w:val="auto"/>
          <w:szCs w:val="21"/>
          <w:highlight w:val="none"/>
          <w:u w:val="single"/>
          <w:lang w:val="en-US" w:eastAsia="zh-CN"/>
        </w:rPr>
        <w:t>发包人办公室</w:t>
      </w:r>
      <w:r>
        <w:rPr>
          <w:rFonts w:hint="eastAsia" w:ascii="宋体" w:hAnsi="宋体" w:cs="宋体"/>
          <w:color w:val="auto"/>
          <w:highlight w:val="none"/>
          <w:u w:val="single"/>
        </w:rPr>
        <w:t></w:t>
      </w:r>
      <w:r>
        <w:rPr>
          <w:rFonts w:hint="eastAsia" w:ascii="宋体" w:hAnsi="宋体" w:cs="宋体"/>
          <w:color w:val="auto"/>
          <w:kern w:val="0"/>
          <w:highlight w:val="none"/>
        </w:rPr>
        <w:t>；</w:t>
      </w:r>
    </w:p>
    <w:p w14:paraId="17D885E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发包人指定的接收人为：</w:t>
      </w:r>
      <w:r>
        <w:rPr>
          <w:rFonts w:hint="eastAsia" w:ascii="宋体" w:hAnsi="宋体" w:cs="宋体"/>
          <w:color w:val="auto"/>
          <w:highlight w:val="none"/>
          <w:u w:val="single"/>
        </w:rPr>
        <w:t xml:space="preserve">   发包人代表</w:t>
      </w:r>
      <w:r>
        <w:rPr>
          <w:rFonts w:hint="eastAsia" w:ascii="宋体" w:hAnsi="宋体" w:cs="宋体"/>
          <w:color w:val="auto"/>
          <w:kern w:val="0"/>
          <w:highlight w:val="none"/>
        </w:rPr>
        <w:t>。</w:t>
      </w:r>
    </w:p>
    <w:p w14:paraId="7D88FCA4">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承包人接收文件的地点：</w:t>
      </w:r>
      <w:r>
        <w:rPr>
          <w:rFonts w:hint="eastAsia" w:ascii="宋体" w:hAnsi="宋体" w:cs="宋体"/>
          <w:color w:val="auto"/>
          <w:highlight w:val="none"/>
          <w:u w:val="single"/>
        </w:rPr>
        <w:t xml:space="preserve">   项目部   </w:t>
      </w:r>
      <w:r>
        <w:rPr>
          <w:rFonts w:hint="eastAsia" w:ascii="宋体" w:hAnsi="宋体" w:cs="宋体"/>
          <w:color w:val="auto"/>
          <w:kern w:val="0"/>
          <w:highlight w:val="none"/>
        </w:rPr>
        <w:t>；</w:t>
      </w:r>
    </w:p>
    <w:p w14:paraId="156976D2">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承包人指定的接收人为：</w:t>
      </w:r>
      <w:r>
        <w:rPr>
          <w:rFonts w:hint="eastAsia" w:ascii="宋体" w:hAnsi="宋体" w:cs="宋体"/>
          <w:color w:val="auto"/>
          <w:highlight w:val="none"/>
          <w:u w:val="single"/>
        </w:rPr>
        <w:t xml:space="preserve">    项目负责人   </w:t>
      </w:r>
      <w:r>
        <w:rPr>
          <w:rFonts w:hint="eastAsia" w:ascii="宋体" w:hAnsi="宋体" w:cs="宋体"/>
          <w:color w:val="auto"/>
          <w:kern w:val="0"/>
          <w:highlight w:val="none"/>
        </w:rPr>
        <w:t>。</w:t>
      </w:r>
    </w:p>
    <w:p w14:paraId="7946DA33">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监理人接收文件的地点：</w:t>
      </w:r>
      <w:r>
        <w:rPr>
          <w:rFonts w:hint="eastAsia" w:ascii="宋体" w:hAnsi="宋体" w:cs="宋体"/>
          <w:color w:val="auto"/>
          <w:highlight w:val="none"/>
          <w:u w:val="single"/>
        </w:rPr>
        <w:t xml:space="preserve">   监理部 </w:t>
      </w:r>
      <w:r>
        <w:rPr>
          <w:rFonts w:hint="eastAsia" w:ascii="宋体" w:hAnsi="宋体" w:cs="宋体"/>
          <w:color w:val="auto"/>
          <w:kern w:val="0"/>
          <w:highlight w:val="none"/>
        </w:rPr>
        <w:t>；</w:t>
      </w:r>
    </w:p>
    <w:p w14:paraId="5A0EAB92">
      <w:pPr>
        <w:keepNext/>
        <w:keepLines/>
        <w:adjustRightInd w:val="0"/>
        <w:snapToGrid w:val="0"/>
        <w:spacing w:line="384" w:lineRule="auto"/>
        <w:ind w:firstLine="420" w:firstLineChars="200"/>
        <w:outlineLvl w:val="3"/>
        <w:rPr>
          <w:rFonts w:hint="eastAsia" w:ascii="宋体" w:hAnsi="宋体" w:cs="宋体"/>
          <w:color w:val="auto"/>
          <w:kern w:val="0"/>
          <w:highlight w:val="none"/>
        </w:rPr>
      </w:pPr>
      <w:r>
        <w:rPr>
          <w:rFonts w:hint="eastAsia" w:ascii="宋体" w:hAnsi="宋体" w:cs="宋体"/>
          <w:color w:val="auto"/>
          <w:kern w:val="0"/>
          <w:highlight w:val="none"/>
        </w:rPr>
        <w:t>监理人指定的接收人为：</w:t>
      </w:r>
      <w:r>
        <w:rPr>
          <w:rFonts w:hint="eastAsia" w:ascii="宋体" w:hAnsi="宋体" w:cs="宋体"/>
          <w:color w:val="auto"/>
          <w:highlight w:val="none"/>
          <w:u w:val="single"/>
        </w:rPr>
        <w:t xml:space="preserve">  总监理工程师或总监代表</w:t>
      </w:r>
      <w:r>
        <w:rPr>
          <w:rFonts w:hint="eastAsia" w:ascii="宋体" w:hAnsi="宋体" w:cs="宋体"/>
          <w:color w:val="auto"/>
          <w:kern w:val="0"/>
          <w:highlight w:val="none"/>
        </w:rPr>
        <w:t>。</w:t>
      </w:r>
    </w:p>
    <w:p w14:paraId="5C87DA17">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1.10 交通运输</w:t>
      </w:r>
    </w:p>
    <w:p w14:paraId="60B2608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w:t>
      </w:r>
      <w:bookmarkStart w:id="738" w:name="_Toc312677986"/>
      <w:bookmarkStart w:id="739" w:name="_Toc304295521"/>
      <w:bookmarkStart w:id="740" w:name="_Toc300934943"/>
      <w:bookmarkStart w:id="741" w:name="_Toc303539100"/>
      <w:bookmarkStart w:id="742" w:name="_Toc318581155"/>
      <w:r>
        <w:rPr>
          <w:rFonts w:hint="eastAsia" w:ascii="宋体" w:hAnsi="宋体" w:cs="宋体"/>
          <w:color w:val="auto"/>
          <w:highlight w:val="none"/>
        </w:rPr>
        <w:t>.10.1 出入现场的权利</w:t>
      </w:r>
    </w:p>
    <w:p w14:paraId="5D182190">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highlight w:val="none"/>
        </w:rPr>
        <w:t>关于出入现场的权利的约定：</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按有关规定办理有关施工场地交通、环卫和施工噪音管理等手续，费用由承包人负责。施工中建筑垃圾需运出施工现场外时，承包人需到城管部门办理相关手续并按城管部门指定地点放置。承包人违反城管、环卫等有关管理的规定，被处以罚款的，由承包人承担。</w:t>
      </w:r>
    </w:p>
    <w:p w14:paraId="7684A32A">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lang w:val="en-US" w:eastAsia="zh-CN"/>
        </w:rPr>
        <w:t>施工前应开设1-2个固定施工通道，通道位置由发包人和承包人现场共同确认，确定后不得移动并采取有效硬化措施。不得损坏道路路面路侧石、人行道板、雨水井、雨水篦、绿化带、通信光缆、燃气管道、供电等公共设施，如因工程需要，确需损坏少量公共设施的，施工方应办理相关手续，在完工后必须恢复原状或按照有关部门核定的价格赔偿。以上均为工程验收内容，若施工方有损毁不及时修复，发包人有权委托其他施工方进行维修，发生的费用从承包人工程款中直接扣除，并在每阶段付款节点顺延三个月支付。施工过程中，应办理渣土运输证件，保持开发区道路清洁，如有抛撒滴漏，应及时清扫。否则发包人对承包人进行处罚。施工方应确保施工安全,若施工过程中出现工伤事故及由此产生的所有经济赔偿由施工方负责,与发包人无关。</w:t>
      </w:r>
    </w:p>
    <w:p w14:paraId="646DFA7B">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u w:val="single"/>
          <w:lang w:val="en-US" w:eastAsia="zh-CN"/>
        </w:rPr>
        <w:t>在本工程施工期间，施工单位使用的运输车辆须满足公安、市容城管、交通管理部门等的规定并按要求依法遵照有关规定办理运输许可证，严禁使用无牌无证车辆进行施工，若因以上原因造成的各种行政罚款等费用，由施工单位自行承担，发包人不具有协调等责任义务。如由此造成影响导致业主声誉受损，发包人将向承包人收取违约金5000元/次。</w:t>
      </w:r>
      <w:r>
        <w:rPr>
          <w:rFonts w:hint="eastAsia" w:ascii="宋体" w:hAnsi="宋体" w:cs="宋体"/>
          <w:color w:val="auto"/>
          <w:szCs w:val="21"/>
          <w:highlight w:val="none"/>
          <w:u w:val="single"/>
        </w:rPr>
        <w:t xml:space="preserve">  </w:t>
      </w:r>
    </w:p>
    <w:bookmarkEnd w:id="738"/>
    <w:bookmarkEnd w:id="739"/>
    <w:bookmarkEnd w:id="740"/>
    <w:bookmarkEnd w:id="741"/>
    <w:bookmarkEnd w:id="742"/>
    <w:p w14:paraId="30FA463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w:t>
      </w:r>
      <w:bookmarkStart w:id="743" w:name="_Toc318581156"/>
      <w:bookmarkStart w:id="744" w:name="_Toc304295522"/>
      <w:bookmarkStart w:id="745" w:name="_Toc312677987"/>
      <w:bookmarkStart w:id="746" w:name="_Toc300934944"/>
      <w:bookmarkStart w:id="747" w:name="_Toc303539101"/>
      <w:r>
        <w:rPr>
          <w:rFonts w:hint="eastAsia" w:ascii="宋体" w:hAnsi="宋体" w:cs="宋体"/>
          <w:color w:val="auto"/>
          <w:highlight w:val="none"/>
        </w:rPr>
        <w:t>.10.3 场内交通</w:t>
      </w:r>
    </w:p>
    <w:p w14:paraId="124BACB9">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kern w:val="0"/>
          <w:highlight w:val="none"/>
        </w:rPr>
        <w:t>关于场外交通和场内交通的边界的约定：</w:t>
      </w:r>
      <w:r>
        <w:rPr>
          <w:rFonts w:hint="eastAsia" w:ascii="宋体" w:hAnsi="宋体" w:eastAsia="宋体" w:cs="宋体"/>
          <w:color w:val="auto"/>
          <w:szCs w:val="21"/>
          <w:highlight w:val="none"/>
          <w:u w:val="single"/>
          <w:lang w:val="en-US" w:eastAsia="zh-CN"/>
        </w:rPr>
        <w:t>场内交通设施和道路由承包人负责建设，发包人不另支付费用，场内交通边界现场确定。</w:t>
      </w:r>
    </w:p>
    <w:p w14:paraId="51ADA0A0">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highlight w:val="none"/>
        </w:rPr>
        <w:t>关于发包人向承包人免费提供满足工程施工需要的场内道路和交通设施的约定：</w:t>
      </w:r>
      <w:r>
        <w:rPr>
          <w:rFonts w:hint="eastAsia" w:ascii="宋体" w:hAnsi="宋体" w:eastAsia="宋体" w:cs="宋体"/>
          <w:color w:val="auto"/>
          <w:szCs w:val="21"/>
          <w:highlight w:val="none"/>
          <w:u w:val="single"/>
          <w:lang w:val="en-US" w:eastAsia="zh-CN"/>
        </w:rPr>
        <w:t>承包人自行踏勘，自行解决。</w:t>
      </w:r>
    </w:p>
    <w:bookmarkEnd w:id="743"/>
    <w:bookmarkEnd w:id="744"/>
    <w:bookmarkEnd w:id="745"/>
    <w:bookmarkEnd w:id="746"/>
    <w:bookmarkEnd w:id="747"/>
    <w:p w14:paraId="327E6121">
      <w:pPr>
        <w:adjustRightInd w:val="0"/>
        <w:snapToGrid w:val="0"/>
        <w:spacing w:line="384" w:lineRule="auto"/>
        <w:ind w:firstLine="420" w:firstLineChars="200"/>
        <w:rPr>
          <w:rFonts w:hint="eastAsia" w:ascii="宋体" w:hAnsi="宋体" w:cs="宋体"/>
          <w:color w:val="auto"/>
          <w:highlight w:val="none"/>
        </w:rPr>
      </w:pPr>
      <w:bookmarkStart w:id="748" w:name="_Toc318581157"/>
      <w:r>
        <w:rPr>
          <w:rFonts w:hint="eastAsia" w:ascii="宋体" w:hAnsi="宋体" w:cs="宋体"/>
          <w:color w:val="auto"/>
          <w:highlight w:val="none"/>
        </w:rPr>
        <w:t>1.10.4 超大件和超重件的运输</w:t>
      </w:r>
    </w:p>
    <w:p w14:paraId="7575DAD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承包人</w:t>
      </w:r>
      <w:r>
        <w:rPr>
          <w:rFonts w:hint="eastAsia" w:ascii="宋体" w:hAnsi="宋体" w:cs="宋体"/>
          <w:color w:val="auto"/>
          <w:szCs w:val="21"/>
          <w:highlight w:val="none"/>
          <w:u w:val="single"/>
        </w:rPr>
        <w:t xml:space="preserve">  </w:t>
      </w:r>
      <w:r>
        <w:rPr>
          <w:rFonts w:hint="eastAsia" w:ascii="宋体" w:hAnsi="宋体" w:cs="宋体"/>
          <w:color w:val="auto"/>
          <w:highlight w:val="none"/>
        </w:rPr>
        <w:t>承担。</w:t>
      </w:r>
    </w:p>
    <w:bookmarkEnd w:id="748"/>
    <w:p w14:paraId="13C36EA8">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1.11 知识产权</w:t>
      </w:r>
    </w:p>
    <w:p w14:paraId="330F3C0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发包人</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5847B1E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关于发包人提供的上述文件的使用限制的要求：</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未经发包人同意不得复制，不得向承包人以外的人员泄漏有关图纸内容，工程竣工后，原图全部收回</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417982C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1.11.2 关于承包人为实施工程所编制文件的著作权的归属：</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执行通用条款</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5DCC88E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关于承包人提供的上述文件的使用限制的要求：</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执行通用条款</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237D36B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1.11.4 承包人在施工过程中所采用的专利、专有技术、技术秘密的使用费的承担方式：</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执行通用条款</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4980E1A5">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1.13 工程量清单错误的修正</w:t>
      </w:r>
    </w:p>
    <w:p w14:paraId="00801E85">
      <w:pPr>
        <w:adjustRightInd w:val="0"/>
        <w:snapToGrid w:val="0"/>
        <w:spacing w:line="384" w:lineRule="auto"/>
        <w:ind w:firstLine="420" w:firstLineChars="200"/>
        <w:rPr>
          <w:rFonts w:hint="eastAsia" w:ascii="宋体" w:hAnsi="宋体" w:cs="宋体"/>
          <w:b/>
          <w:color w:val="auto"/>
          <w:highlight w:val="none"/>
          <w:u w:val="single"/>
        </w:rPr>
      </w:pPr>
      <w:r>
        <w:rPr>
          <w:rFonts w:hint="eastAsia" w:ascii="宋体" w:hAnsi="宋体" w:cs="宋体"/>
          <w:color w:val="auto"/>
          <w:highlight w:val="none"/>
        </w:rPr>
        <w:t>出现工程量清单错误时，是否调整合同价格：</w:t>
      </w:r>
      <w:r>
        <w:rPr>
          <w:rFonts w:hint="eastAsia" w:ascii="宋体" w:hAnsi="宋体" w:cs="宋体"/>
          <w:b/>
          <w:color w:val="auto"/>
          <w:highlight w:val="none"/>
          <w:u w:val="single"/>
        </w:rPr>
        <w:t xml:space="preserve"> 是，具体调整方式见下款  </w:t>
      </w:r>
      <w:r>
        <w:rPr>
          <w:rFonts w:hint="eastAsia" w:ascii="宋体" w:hAnsi="宋体" w:cs="宋体"/>
          <w:bCs/>
          <w:color w:val="auto"/>
          <w:highlight w:val="none"/>
        </w:rPr>
        <w:t xml:space="preserve"> 。</w:t>
      </w:r>
    </w:p>
    <w:p w14:paraId="2976F1DD">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允许调整合同价格的工程量偏差范围：</w:t>
      </w:r>
      <w:r>
        <w:rPr>
          <w:rFonts w:hint="eastAsia" w:ascii="宋体" w:hAnsi="宋体" w:cs="宋体"/>
          <w:color w:val="auto"/>
          <w:highlight w:val="none"/>
          <w:u w:val="single"/>
        </w:rPr>
        <w:t xml:space="preserve">工程量按实计量，结算工程量减少 </w:t>
      </w:r>
      <w:r>
        <w:rPr>
          <w:rFonts w:hint="eastAsia" w:ascii="宋体" w:hAnsi="宋体" w:cs="宋体"/>
          <w:color w:val="auto"/>
          <w:highlight w:val="none"/>
          <w:u w:val="single"/>
          <w:lang w:eastAsia="zh-CN"/>
        </w:rPr>
        <w:t>0—100%</w:t>
      </w:r>
      <w:r>
        <w:rPr>
          <w:rFonts w:hint="eastAsia" w:ascii="宋体" w:hAnsi="宋体" w:cs="宋体"/>
          <w:color w:val="auto"/>
          <w:highlight w:val="none"/>
          <w:u w:val="single"/>
        </w:rPr>
        <w:t>或增加 15%以内部分，执行中标单价；超出 15％以外部分的，若中标综合单价高于（最高投标限价中综合单价×投标让利幅度）时，按（最高投标限价中综合单价×投标让利幅度）计算；若中标综合单价低于（最高投标限价中综合单价×投标让利幅度）时，执行中标单价</w:t>
      </w:r>
      <w:r>
        <w:rPr>
          <w:rFonts w:hint="eastAsia" w:ascii="宋体" w:hAnsi="宋体" w:cs="宋体"/>
          <w:color w:val="auto"/>
          <w:highlight w:val="none"/>
          <w:u w:val="single"/>
          <w:lang w:eastAsia="zh-CN"/>
        </w:rPr>
        <w:t>（</w:t>
      </w:r>
      <w:r>
        <w:rPr>
          <w:rFonts w:hint="eastAsia" w:ascii="宋体" w:hAnsi="宋体" w:cs="宋体"/>
          <w:color w:val="auto"/>
          <w:highlight w:val="none"/>
          <w:u w:val="single"/>
        </w:rPr>
        <w:t>组价明显错误的予以纠正） 。新增项目单价按照最高投标限价的编制原则重新组价×投标让利幅度，重新组价价格最终以审计部门审核结算价为准。注：投标让利幅度为中标价/最高投标限价，其中中标价和最高投标限价均扣除暂定金额、暂估价。</w:t>
      </w:r>
    </w:p>
    <w:p w14:paraId="7952BFDF">
      <w:pPr>
        <w:keepNext/>
        <w:keepLines/>
        <w:adjustRightInd w:val="0"/>
        <w:snapToGrid w:val="0"/>
        <w:spacing w:line="384" w:lineRule="auto"/>
        <w:jc w:val="left"/>
        <w:outlineLvl w:val="2"/>
        <w:rPr>
          <w:rFonts w:hint="eastAsia" w:ascii="宋体" w:hAnsi="宋体" w:cs="宋体"/>
          <w:bCs/>
          <w:color w:val="auto"/>
          <w:sz w:val="24"/>
          <w:highlight w:val="none"/>
        </w:rPr>
      </w:pPr>
      <w:bookmarkStart w:id="749" w:name="_Toc95223463"/>
      <w:bookmarkStart w:id="750" w:name="_Toc351203634"/>
      <w:r>
        <w:rPr>
          <w:rFonts w:hint="eastAsia" w:ascii="宋体" w:hAnsi="宋体" w:cs="宋体"/>
          <w:bCs/>
          <w:color w:val="auto"/>
          <w:sz w:val="24"/>
          <w:highlight w:val="none"/>
        </w:rPr>
        <w:t>2</w:t>
      </w:r>
      <w:bookmarkStart w:id="751" w:name="_Toc296347156"/>
      <w:bookmarkStart w:id="752" w:name="_Toc296890985"/>
      <w:bookmarkStart w:id="753" w:name="_Toc297120457"/>
      <w:bookmarkStart w:id="754" w:name="_Toc296503157"/>
      <w:bookmarkStart w:id="755" w:name="_Toc297048343"/>
      <w:bookmarkStart w:id="756" w:name="_Toc296944496"/>
      <w:bookmarkStart w:id="757" w:name="_Toc292559362"/>
      <w:bookmarkStart w:id="758" w:name="_Toc296891197"/>
      <w:bookmarkStart w:id="759" w:name="_Toc296346658"/>
      <w:bookmarkStart w:id="760" w:name="_Toc292559867"/>
      <w:r>
        <w:rPr>
          <w:rFonts w:hint="eastAsia" w:ascii="宋体" w:hAnsi="宋体" w:cs="宋体"/>
          <w:bCs/>
          <w:color w:val="auto"/>
          <w:sz w:val="24"/>
          <w:highlight w:val="none"/>
        </w:rPr>
        <w:t>. 发包人</w:t>
      </w:r>
      <w:bookmarkEnd w:id="749"/>
      <w:bookmarkEnd w:id="750"/>
    </w:p>
    <w:bookmarkEnd w:id="751"/>
    <w:bookmarkEnd w:id="752"/>
    <w:bookmarkEnd w:id="753"/>
    <w:bookmarkEnd w:id="754"/>
    <w:bookmarkEnd w:id="755"/>
    <w:bookmarkEnd w:id="756"/>
    <w:bookmarkEnd w:id="757"/>
    <w:bookmarkEnd w:id="758"/>
    <w:bookmarkEnd w:id="759"/>
    <w:bookmarkEnd w:id="760"/>
    <w:p w14:paraId="54738092">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2.2 发包人代表</w:t>
      </w:r>
    </w:p>
    <w:p w14:paraId="23D003D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发包人代表：</w:t>
      </w:r>
    </w:p>
    <w:p w14:paraId="69C05F9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姓    名：</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1A20AA3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身份证号：</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4E6747A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职    务：</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w:t>
      </w:r>
      <w:r>
        <w:rPr>
          <w:rFonts w:hint="eastAsia" w:ascii="宋体" w:hAnsi="宋体" w:cs="宋体"/>
          <w:color w:val="auto"/>
          <w:highlight w:val="none"/>
        </w:rPr>
        <w:t>；</w:t>
      </w:r>
    </w:p>
    <w:p w14:paraId="05DCDB9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DFE833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CB228C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通信地址：</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040C15B6">
      <w:pPr>
        <w:adjustRightInd w:val="0"/>
        <w:snapToGrid w:val="0"/>
        <w:spacing w:line="384" w:lineRule="auto"/>
        <w:ind w:firstLine="420" w:firstLineChars="200"/>
        <w:rPr>
          <w:rFonts w:hint="eastAsia" w:ascii="宋体" w:hAnsi="宋体" w:cs="宋体"/>
          <w:b/>
          <w:color w:val="auto"/>
          <w:highlight w:val="none"/>
        </w:rPr>
      </w:pPr>
      <w:r>
        <w:rPr>
          <w:rFonts w:hint="eastAsia" w:ascii="宋体" w:hAnsi="宋体" w:cs="宋体"/>
          <w:color w:val="auto"/>
          <w:highlight w:val="none"/>
        </w:rPr>
        <w:t>发包人对发包人代表的授权范围如下：</w:t>
      </w:r>
      <w:r>
        <w:rPr>
          <w:rFonts w:hint="eastAsia" w:ascii="宋体" w:hAnsi="宋体" w:eastAsia="宋体" w:cs="宋体"/>
          <w:color w:val="auto"/>
          <w:szCs w:val="21"/>
          <w:highlight w:val="none"/>
          <w:u w:val="single"/>
        </w:rPr>
        <w:t>施工组织设计和总进度计划的审批权和调整权；人员在岗、工程进度、质量、安全、环保的监督检查权和建议处罚权；工程款的初步审查权；第三方检测的委托权；主要材料的质量否决权；工程量的确认权；工程变更签证的审核权；可调价格材料的价格确认权；工程结算的审核权；合同的解释；等等</w:t>
      </w:r>
    </w:p>
    <w:p w14:paraId="478E9AC3">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2.4 施工现场、施工条件和基础资料的提供</w:t>
      </w:r>
    </w:p>
    <w:p w14:paraId="1924BFD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2.4.1 提供施工现场</w:t>
      </w:r>
    </w:p>
    <w:p w14:paraId="667BAE3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关于发包人移交施工现场的期限要求：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开工前</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7C40FF5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2.4.2 提供施工条件</w:t>
      </w:r>
    </w:p>
    <w:p w14:paraId="3EC07D34">
      <w:pPr>
        <w:adjustRightInd w:val="0"/>
        <w:snapToGrid w:val="0"/>
        <w:spacing w:line="384" w:lineRule="auto"/>
        <w:ind w:firstLine="420" w:firstLineChars="200"/>
        <w:rPr>
          <w:rFonts w:hint="eastAsia" w:ascii="宋体" w:hAnsi="宋体" w:eastAsia="宋体" w:cs="宋体"/>
          <w:color w:val="auto"/>
          <w:kern w:val="0"/>
          <w:szCs w:val="21"/>
          <w:highlight w:val="none"/>
          <w:u w:val="single"/>
          <w:lang w:val="en-US" w:eastAsia="zh-CN"/>
        </w:rPr>
      </w:pPr>
      <w:r>
        <w:rPr>
          <w:rFonts w:hint="eastAsia" w:ascii="宋体" w:hAnsi="宋体" w:cs="宋体"/>
          <w:color w:val="auto"/>
          <w:highlight w:val="none"/>
        </w:rPr>
        <w:t>关于发包人应负责提供施工所需要的条件，包括</w:t>
      </w:r>
      <w:r>
        <w:rPr>
          <w:rFonts w:hint="eastAsia" w:ascii="宋体" w:hAnsi="宋体" w:eastAsia="宋体" w:cs="宋体"/>
          <w:color w:val="auto"/>
          <w:szCs w:val="21"/>
          <w:highlight w:val="none"/>
          <w:u w:val="single"/>
        </w:rPr>
        <w:t>（1）将施工用水、电力、通讯线路等施工所必需的条件接至施工现场内；（2）保证向承包人提供正常施工所需要的进入施工现场的交通条件；（3）协调处理施工现场周围地下管线和邻近建筑物、构筑物、</w:t>
      </w:r>
      <w:r>
        <w:rPr>
          <w:rFonts w:hint="eastAsia" w:ascii="宋体" w:hAnsi="宋体" w:cs="宋体"/>
          <w:color w:val="auto"/>
          <w:szCs w:val="21"/>
          <w:highlight w:val="none"/>
          <w:u w:val="single"/>
          <w:lang w:eastAsia="zh-CN"/>
        </w:rPr>
        <w:t>古树名木保护</w:t>
      </w:r>
      <w:r>
        <w:rPr>
          <w:rFonts w:hint="eastAsia" w:ascii="宋体" w:hAnsi="宋体" w:eastAsia="宋体" w:cs="宋体"/>
          <w:color w:val="auto"/>
          <w:szCs w:val="21"/>
          <w:highlight w:val="none"/>
          <w:u w:val="single"/>
        </w:rPr>
        <w:t>工作，并承担相关费用。若上述费用已包含在本项目发包范围，则由承包人自行解决并承担费用</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w:t>
      </w:r>
    </w:p>
    <w:p w14:paraId="50EF4E3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2.5 资金来源证明及支付担保</w:t>
      </w:r>
    </w:p>
    <w:p w14:paraId="63D0172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发包人提供资金来源证明及资金安排的期限要求：在取得施工许可证的</w:t>
      </w:r>
      <w:r>
        <w:rPr>
          <w:rFonts w:hint="eastAsia" w:ascii="宋体" w:hAnsi="宋体" w:cs="宋体"/>
          <w:color w:val="auto"/>
          <w:highlight w:val="none"/>
          <w:lang w:val="en-US" w:eastAsia="zh-CN"/>
        </w:rPr>
        <w:t>3</w:t>
      </w:r>
      <w:r>
        <w:rPr>
          <w:rFonts w:hint="eastAsia" w:ascii="宋体" w:hAnsi="宋体" w:cs="宋体"/>
          <w:color w:val="auto"/>
          <w:highlight w:val="none"/>
        </w:rPr>
        <w:t>个月内办结工程款支付担保。施工单位在收到工程款支付担保后</w:t>
      </w:r>
      <w:r>
        <w:rPr>
          <w:rFonts w:hint="eastAsia" w:ascii="宋体" w:hAnsi="宋体" w:cs="宋体"/>
          <w:color w:val="auto"/>
          <w:highlight w:val="none"/>
          <w:lang w:val="en-US" w:eastAsia="zh-CN"/>
        </w:rPr>
        <w:t>3</w:t>
      </w:r>
      <w:r>
        <w:rPr>
          <w:rFonts w:hint="eastAsia" w:ascii="宋体" w:hAnsi="宋体" w:cs="宋体"/>
          <w:color w:val="auto"/>
          <w:highlight w:val="none"/>
        </w:rPr>
        <w:t>日内将相关资料上传</w:t>
      </w:r>
      <w:r>
        <w:rPr>
          <w:rFonts w:hint="eastAsia" w:ascii="宋体" w:hAnsi="宋体" w:cs="宋体"/>
          <w:color w:val="auto"/>
          <w:highlight w:val="none"/>
          <w:lang w:eastAsia="zh-CN"/>
        </w:rPr>
        <w:t>至</w:t>
      </w:r>
      <w:r>
        <w:rPr>
          <w:rFonts w:hint="eastAsia" w:ascii="宋体" w:hAnsi="宋体" w:cs="宋体"/>
          <w:color w:val="auto"/>
          <w:highlight w:val="none"/>
        </w:rPr>
        <w:t>项目所在地农民工工资支付监管平台，未按时按承诺提交工程款支付担保的工程建设项目，将视作建设资金未落实。</w:t>
      </w:r>
    </w:p>
    <w:p w14:paraId="11E8626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发包人是否提供支付担保：</w:t>
      </w:r>
      <w:r>
        <w:rPr>
          <w:rFonts w:hint="eastAsia" w:ascii="宋体" w:hAnsi="宋体" w:cs="宋体"/>
          <w:b/>
          <w:color w:val="auto"/>
          <w:highlight w:val="none"/>
        </w:rPr>
        <w:t>提供支付担保</w:t>
      </w:r>
      <w:r>
        <w:rPr>
          <w:rFonts w:hint="eastAsia" w:ascii="宋体" w:hAnsi="宋体" w:cs="宋体"/>
          <w:color w:val="auto"/>
          <w:highlight w:val="none"/>
        </w:rPr>
        <w:t>。</w:t>
      </w:r>
    </w:p>
    <w:p w14:paraId="50761BC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提供支付担保的形式：工程款支付担保可以采用银行保函、保证保险、工程担保公司担保等方式。银行保函、保证保险和工程担保保单应当为不可撤销的保证。发包人应当向承包人提供签约合同价8%的工程款支付担保。</w:t>
      </w:r>
    </w:p>
    <w:p w14:paraId="7BF2553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对于政府投资的工程建设项目，发包人可以提供财政等政府有权部门出具的落实项目建设资金保障证明作为工程款支付担保凭证。工程款支付担保保证期限原则上应与施工合同约定的期限保持一致（采用分阶段担保的，建设单位支付相应的工程款后，当期工程款支付担保解除，进入下一阶段工程款支付担保）。施工工期延期的，建设单位应在保证期限到期前 30 天，办理保函、保单延期手续。</w:t>
      </w:r>
    </w:p>
    <w:p w14:paraId="3DFBBAF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工程款支付担保保证有效期内，建设单位未按照规定向农民工工资专用账户拨付工资性工程款或者未按照合同约定支付施工进度款的，施工总承包企业（包括专业承包企业，下同）可以要求保证人履行保证责任，同时将拖欠信息报送工程所在地住房城乡建设主管部门和人力资源社会保障主管部门。</w:t>
      </w:r>
    </w:p>
    <w:p w14:paraId="35AF919B">
      <w:pPr>
        <w:pStyle w:val="20"/>
        <w:ind w:left="0" w:leftChars="0"/>
        <w:rPr>
          <w:rFonts w:hint="eastAsia"/>
          <w:color w:val="auto"/>
          <w:highlight w:val="none"/>
        </w:rPr>
      </w:pPr>
      <w:r>
        <w:rPr>
          <w:rFonts w:hint="eastAsia"/>
          <w:color w:val="auto"/>
          <w:highlight w:val="none"/>
        </w:rPr>
        <w:t>在我省开展工程款支付担保业务的保证人应向有关主管部门提供担保凭证网络验证途径。</w:t>
      </w:r>
    </w:p>
    <w:p w14:paraId="0BF4655B">
      <w:pPr>
        <w:keepNext/>
        <w:keepLines/>
        <w:adjustRightInd w:val="0"/>
        <w:snapToGrid w:val="0"/>
        <w:spacing w:line="384" w:lineRule="auto"/>
        <w:jc w:val="left"/>
        <w:outlineLvl w:val="2"/>
        <w:rPr>
          <w:rFonts w:hint="eastAsia" w:ascii="宋体" w:hAnsi="宋体" w:cs="宋体"/>
          <w:bCs/>
          <w:color w:val="auto"/>
          <w:sz w:val="24"/>
          <w:highlight w:val="none"/>
        </w:rPr>
      </w:pPr>
      <w:bookmarkStart w:id="761" w:name="_Toc95223464"/>
      <w:bookmarkStart w:id="762" w:name="_Toc351203635"/>
      <w:r>
        <w:rPr>
          <w:rFonts w:hint="eastAsia" w:ascii="宋体" w:hAnsi="宋体" w:cs="宋体"/>
          <w:bCs/>
          <w:color w:val="auto"/>
          <w:sz w:val="24"/>
          <w:highlight w:val="none"/>
        </w:rPr>
        <w:t>3</w:t>
      </w:r>
      <w:bookmarkStart w:id="763" w:name="_Toc296890986"/>
      <w:bookmarkStart w:id="764" w:name="_Toc296346659"/>
      <w:bookmarkStart w:id="765" w:name="_Toc297120458"/>
      <w:bookmarkStart w:id="766" w:name="_Toc297048344"/>
      <w:bookmarkStart w:id="767" w:name="_Toc296891198"/>
      <w:bookmarkStart w:id="768" w:name="_Toc296347157"/>
      <w:bookmarkStart w:id="769" w:name="_Toc296944497"/>
      <w:bookmarkStart w:id="770" w:name="_Toc292559868"/>
      <w:bookmarkStart w:id="771" w:name="_Toc296503158"/>
      <w:bookmarkStart w:id="772" w:name="_Toc292559363"/>
      <w:r>
        <w:rPr>
          <w:rFonts w:hint="eastAsia" w:ascii="宋体" w:hAnsi="宋体" w:cs="宋体"/>
          <w:bCs/>
          <w:color w:val="auto"/>
          <w:sz w:val="24"/>
          <w:highlight w:val="none"/>
        </w:rPr>
        <w:t>. 承包人</w:t>
      </w:r>
      <w:bookmarkEnd w:id="761"/>
      <w:bookmarkEnd w:id="762"/>
    </w:p>
    <w:bookmarkEnd w:id="763"/>
    <w:bookmarkEnd w:id="764"/>
    <w:bookmarkEnd w:id="765"/>
    <w:bookmarkEnd w:id="766"/>
    <w:bookmarkEnd w:id="767"/>
    <w:bookmarkEnd w:id="768"/>
    <w:bookmarkEnd w:id="769"/>
    <w:bookmarkEnd w:id="770"/>
    <w:bookmarkEnd w:id="771"/>
    <w:bookmarkEnd w:id="772"/>
    <w:p w14:paraId="5536FCEB">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3.1 承包人的一般义务</w:t>
      </w:r>
    </w:p>
    <w:p w14:paraId="4EE3983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（9）</w:t>
      </w:r>
      <w:r>
        <w:rPr>
          <w:rFonts w:hint="eastAsia" w:ascii="宋体" w:hAnsi="宋体" w:cs="宋体"/>
          <w:color w:val="auto"/>
          <w:highlight w:val="none"/>
        </w:rPr>
        <w:t>承包人提交的竣工资料的内容：</w:t>
      </w:r>
      <w:r>
        <w:rPr>
          <w:rFonts w:hint="eastAsia" w:ascii="宋体" w:hAnsi="宋体" w:cs="宋体"/>
          <w:color w:val="auto"/>
          <w:szCs w:val="21"/>
          <w:highlight w:val="none"/>
          <w:u w:val="single"/>
        </w:rPr>
        <w:t>承包人提供全套竣工图，所有竣工图应为新图纸</w:t>
      </w:r>
      <w:r>
        <w:rPr>
          <w:rFonts w:hint="eastAsia" w:ascii="宋体" w:hAnsi="宋体" w:cs="宋体"/>
          <w:color w:val="auto"/>
          <w:highlight w:val="none"/>
        </w:rPr>
        <w:t>。</w:t>
      </w:r>
    </w:p>
    <w:p w14:paraId="078C861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承包人需要提交的竣工资料套数：</w:t>
      </w:r>
      <w:r>
        <w:rPr>
          <w:rFonts w:hint="eastAsia" w:ascii="宋体" w:hAnsi="宋体" w:cs="宋体"/>
          <w:color w:val="auto"/>
          <w:szCs w:val="21"/>
          <w:highlight w:val="none"/>
          <w:u w:val="single"/>
        </w:rPr>
        <w:t xml:space="preserve"> 按市档案馆要求执行  </w:t>
      </w:r>
      <w:r>
        <w:rPr>
          <w:rFonts w:hint="eastAsia" w:ascii="宋体" w:hAnsi="宋体" w:cs="宋体"/>
          <w:color w:val="auto"/>
          <w:highlight w:val="none"/>
        </w:rPr>
        <w:t>。</w:t>
      </w:r>
    </w:p>
    <w:p w14:paraId="3454766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承包人提交的竣工资料的费用承担：</w:t>
      </w:r>
      <w:r>
        <w:rPr>
          <w:rFonts w:hint="eastAsia" w:ascii="宋体" w:hAnsi="宋体" w:cs="宋体"/>
          <w:color w:val="auto"/>
          <w:szCs w:val="21"/>
          <w:highlight w:val="none"/>
          <w:u w:val="single"/>
        </w:rPr>
        <w:t xml:space="preserve">承包人承担           </w:t>
      </w:r>
      <w:r>
        <w:rPr>
          <w:rFonts w:hint="eastAsia" w:ascii="宋体" w:hAnsi="宋体" w:cs="宋体"/>
          <w:color w:val="auto"/>
          <w:highlight w:val="none"/>
        </w:rPr>
        <w:t>。</w:t>
      </w:r>
    </w:p>
    <w:p w14:paraId="47444B0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承包人提交的竣工资料移交时间：</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工程竣工验收合格后</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个月内</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4B62EA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承包人提交的竣工资料形式要求：</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按市档案馆要求执行</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F96F24E">
      <w:pPr>
        <w:adjustRightInd w:val="0"/>
        <w:snapToGrid w:val="0"/>
        <w:spacing w:line="384"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highlight w:val="none"/>
        </w:rPr>
        <w:t>（10）承包人应履行的其他义务：</w:t>
      </w:r>
      <w:r>
        <w:rPr>
          <w:rFonts w:hint="eastAsia" w:ascii="宋体" w:hAnsi="宋体" w:cs="宋体"/>
          <w:color w:val="auto"/>
          <w:szCs w:val="21"/>
          <w:highlight w:val="none"/>
          <w:u w:val="single"/>
        </w:rPr>
        <w:t xml:space="preserve"> a.包括但不限于场地三通一平（或五通一平，如需），费用由承包人承担。  </w:t>
      </w:r>
    </w:p>
    <w:p w14:paraId="53DDF80A">
      <w:pPr>
        <w:adjustRightInd w:val="0"/>
        <w:snapToGrid w:val="0"/>
        <w:spacing w:line="384"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b.承包人在各自施工区域围挡自成系统。公共道路及冲洗平台由承包人提供，承包人不得因其他人使用公共道路及冲洗平台而收取任何费用。</w:t>
      </w:r>
    </w:p>
    <w:p w14:paraId="359B73D7">
      <w:pPr>
        <w:adjustRightInd w:val="0"/>
        <w:snapToGrid w:val="0"/>
        <w:spacing w:line="384"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c.若施工过程中根据发包人需要调整施工供水管线走向，承包人须按发包人指令更改供水管线走向，由此产生的费用已包含在合同价款中，发包人不另行支付。</w:t>
      </w:r>
    </w:p>
    <w:p w14:paraId="71891BD4">
      <w:pPr>
        <w:adjustRightInd w:val="0"/>
        <w:snapToGrid w:val="0"/>
        <w:spacing w:line="384"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d.发包人代表有权就其他未尽事宜或临时发生的计划发出指令，承包人须积极配合执行，除有设计变更增加费用外，其他费用不予增加。  </w:t>
      </w:r>
    </w:p>
    <w:p w14:paraId="7E1AAC64">
      <w:pPr>
        <w:adjustRightInd w:val="0"/>
        <w:snapToGrid w:val="0"/>
        <w:spacing w:line="384"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e.承包人在领取中标通知书后必须配合办理相关报建手续、施工许可证；因承包人原因导致报建手续、施工许可证办理拖延，每拖延一天处以</w:t>
      </w:r>
      <w:r>
        <w:rPr>
          <w:rFonts w:hint="eastAsia" w:ascii="宋体" w:hAnsi="宋体" w:cs="宋体"/>
          <w:color w:val="auto"/>
          <w:szCs w:val="21"/>
          <w:highlight w:val="none"/>
          <w:u w:val="single"/>
          <w:lang w:val="en-US" w:eastAsia="zh-CN"/>
        </w:rPr>
        <w:t>5000</w:t>
      </w:r>
      <w:r>
        <w:rPr>
          <w:rFonts w:hint="eastAsia" w:ascii="宋体" w:hAnsi="宋体" w:cs="宋体"/>
          <w:color w:val="auto"/>
          <w:szCs w:val="21"/>
          <w:highlight w:val="none"/>
          <w:u w:val="single"/>
        </w:rPr>
        <w:t>元违约金。</w:t>
      </w:r>
    </w:p>
    <w:p w14:paraId="3A6A5FB0">
      <w:pPr>
        <w:adjustRightInd w:val="0"/>
        <w:snapToGrid w:val="0"/>
        <w:spacing w:line="384"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f.承包人应按要求建立电子脸谱考勤系统，并接入行业主管部门或项目单位的监管系统。  </w:t>
      </w:r>
    </w:p>
    <w:p w14:paraId="0A234AC6">
      <w:pPr>
        <w:adjustRightInd w:val="0"/>
        <w:snapToGrid w:val="0"/>
        <w:spacing w:line="384"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g.承包人应做好施工现场突发事件、公共事件的应急处置工作，并承担相应费用；若因承包人自身原因造成的相关损失及法律责任均由承包人承担。  </w:t>
      </w:r>
    </w:p>
    <w:p w14:paraId="2BAE268E">
      <w:pPr>
        <w:adjustRightInd w:val="0"/>
        <w:snapToGrid w:val="0"/>
        <w:spacing w:line="384" w:lineRule="auto"/>
        <w:ind w:firstLine="420" w:firstLineChars="200"/>
        <w:rPr>
          <w:rFonts w:hint="eastAsia" w:ascii="宋体" w:hAnsi="宋体" w:eastAsia="宋体" w:cs="宋体"/>
          <w:color w:val="auto"/>
          <w:szCs w:val="21"/>
          <w:highlight w:val="none"/>
          <w:u w:val="single"/>
        </w:rPr>
      </w:pPr>
      <w:r>
        <w:rPr>
          <w:rFonts w:hint="eastAsia" w:ascii="宋体" w:hAnsi="宋体" w:cs="宋体"/>
          <w:color w:val="auto"/>
          <w:szCs w:val="21"/>
          <w:highlight w:val="none"/>
          <w:u w:val="single"/>
        </w:rPr>
        <w:t xml:space="preserve">h.施工过程中，承包人应做好施工现场与小区住户、物业等的沟通协调工作，保障工程按期推进  </w:t>
      </w:r>
      <w:r>
        <w:rPr>
          <w:rFonts w:hint="eastAsia" w:ascii="宋体" w:hAnsi="宋体" w:cs="宋体"/>
          <w:color w:val="auto"/>
          <w:szCs w:val="21"/>
          <w:highlight w:val="none"/>
        </w:rPr>
        <w:t>。</w:t>
      </w:r>
    </w:p>
    <w:p w14:paraId="34849369">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3.2 项目经理</w:t>
      </w:r>
    </w:p>
    <w:p w14:paraId="3127D59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 xml:space="preserve">3.2.1 </w:t>
      </w:r>
      <w:r>
        <w:rPr>
          <w:rFonts w:hint="eastAsia" w:ascii="宋体" w:hAnsi="宋体" w:cs="宋体"/>
          <w:color w:val="auto"/>
          <w:highlight w:val="none"/>
        </w:rPr>
        <w:t>项目经理：</w:t>
      </w:r>
    </w:p>
    <w:p w14:paraId="75464B4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姓    名：</w:t>
      </w:r>
      <w:r>
        <w:rPr>
          <w:rFonts w:hint="eastAsia" w:ascii="宋体" w:hAnsi="宋体" w:cs="宋体"/>
          <w:color w:val="auto"/>
          <w:highlight w:val="none"/>
          <w:u w:val="single"/>
        </w:rPr>
        <w:t>                                 </w:t>
      </w:r>
      <w:r>
        <w:rPr>
          <w:rFonts w:hint="eastAsia" w:ascii="宋体" w:hAnsi="宋体" w:cs="宋体"/>
          <w:color w:val="auto"/>
          <w:highlight w:val="none"/>
        </w:rPr>
        <w:t>；</w:t>
      </w:r>
    </w:p>
    <w:p w14:paraId="4A81750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身份证号：</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62DE9B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建造师执业资格等级：</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AA0659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建造师注册证书号：</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4B73A9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建造师执业印章号：</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E4FA10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安全生产考核合格证书号：</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5CCAD5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940005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21C874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通信地址：</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B1A0AF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承包人对项目经理的授权范围如下：</w:t>
      </w:r>
      <w:r>
        <w:rPr>
          <w:rFonts w:hint="eastAsia" w:ascii="宋体" w:hAnsi="宋体" w:cs="宋体"/>
          <w:color w:val="auto"/>
          <w:highlight w:val="none"/>
          <w:u w:val="single"/>
        </w:rPr>
        <w:t xml:space="preserve"> 代表承包人履行本合同项下各项权利和义务，具体范围由承包人在签订合同时以书面授权并提供给发包人</w:t>
      </w:r>
      <w:r>
        <w:rPr>
          <w:rFonts w:hint="eastAsia" w:ascii="宋体" w:hAnsi="宋体" w:cs="宋体"/>
          <w:color w:val="auto"/>
          <w:highlight w:val="none"/>
        </w:rPr>
        <w:t>。</w:t>
      </w:r>
    </w:p>
    <w:p w14:paraId="5936106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关于项目经理每月在施工现场的时间要求：</w:t>
      </w:r>
      <w:r>
        <w:rPr>
          <w:rFonts w:hint="eastAsia" w:ascii="宋体" w:hAnsi="宋体" w:eastAsia="宋体" w:cs="宋体"/>
          <w:color w:val="auto"/>
          <w:szCs w:val="21"/>
          <w:highlight w:val="none"/>
          <w:u w:val="single"/>
        </w:rPr>
        <w:t>项目</w:t>
      </w:r>
      <w:r>
        <w:rPr>
          <w:rFonts w:hint="eastAsia" w:ascii="宋体" w:hAnsi="宋体" w:eastAsia="宋体" w:cs="宋体"/>
          <w:color w:val="auto"/>
          <w:szCs w:val="21"/>
          <w:highlight w:val="none"/>
          <w:u w:val="single"/>
          <w:lang w:val="en-US" w:eastAsia="zh-CN"/>
        </w:rPr>
        <w:t>经理</w:t>
      </w:r>
      <w:r>
        <w:rPr>
          <w:rFonts w:hint="eastAsia" w:ascii="宋体" w:hAnsi="宋体" w:eastAsia="宋体" w:cs="宋体"/>
          <w:color w:val="auto"/>
          <w:szCs w:val="21"/>
          <w:highlight w:val="none"/>
          <w:u w:val="single"/>
        </w:rPr>
        <w:t>每月在岗时间不得少于</w:t>
      </w:r>
      <w:r>
        <w:rPr>
          <w:rFonts w:hint="eastAsia" w:ascii="宋体" w:hAnsi="宋体" w:cs="宋体"/>
          <w:color w:val="auto"/>
          <w:szCs w:val="21"/>
          <w:highlight w:val="none"/>
          <w:u w:val="single"/>
          <w:lang w:val="en-US" w:eastAsia="zh-CN"/>
        </w:rPr>
        <w:t>22</w:t>
      </w:r>
      <w:r>
        <w:rPr>
          <w:rFonts w:hint="eastAsia" w:ascii="宋体" w:hAnsi="宋体" w:eastAsia="宋体" w:cs="宋体"/>
          <w:color w:val="auto"/>
          <w:szCs w:val="21"/>
          <w:highlight w:val="none"/>
          <w:u w:val="single"/>
        </w:rPr>
        <w:t>天，每天不少于8小时</w:t>
      </w:r>
      <w:r>
        <w:rPr>
          <w:rFonts w:hint="eastAsia" w:ascii="宋体" w:hAnsi="宋体" w:cs="宋体"/>
          <w:color w:val="auto"/>
          <w:szCs w:val="21"/>
          <w:highlight w:val="none"/>
        </w:rPr>
        <w:t>。</w:t>
      </w:r>
      <w:r>
        <w:rPr>
          <w:rFonts w:hint="eastAsia" w:ascii="宋体" w:hAnsi="宋体" w:cs="宋体"/>
          <w:color w:val="auto"/>
          <w:highlight w:val="none"/>
        </w:rPr>
        <w:t xml:space="preserve"> </w:t>
      </w:r>
    </w:p>
    <w:p w14:paraId="63BB8C25">
      <w:pPr>
        <w:adjustRightInd w:val="0"/>
        <w:snapToGrid w:val="0"/>
        <w:spacing w:line="384" w:lineRule="auto"/>
        <w:ind w:firstLine="420" w:firstLineChars="200"/>
        <w:rPr>
          <w:rFonts w:hint="eastAsia" w:ascii="宋体" w:hAnsi="宋体" w:eastAsia="宋体" w:cs="宋体"/>
          <w:color w:val="auto"/>
          <w:kern w:val="0"/>
          <w:highlight w:val="none"/>
          <w:lang w:eastAsia="zh-CN"/>
        </w:rPr>
      </w:pPr>
      <w:r>
        <w:rPr>
          <w:rFonts w:hint="eastAsia" w:ascii="宋体" w:hAnsi="宋体" w:cs="宋体"/>
          <w:color w:val="auto"/>
          <w:kern w:val="0"/>
          <w:highlight w:val="none"/>
        </w:rPr>
        <w:t>承包人未提交劳动合同，以及没有为项目经理缴纳社会保险证明的违约责任：</w:t>
      </w:r>
      <w:r>
        <w:rPr>
          <w:rFonts w:hint="eastAsia" w:ascii="宋体" w:hAnsi="宋体" w:cs="宋体"/>
          <w:color w:val="auto"/>
          <w:highlight w:val="none"/>
          <w:u w:val="single"/>
        </w:rPr>
        <w:t xml:space="preserve"> 承包人未按要求递交项目经理劳动合同及提供社保证明，视同为允许他人以承包人名义承揽工程。发包人将依法上报有关部门追究承包人法律责任，发包人有权处以承包人违约金30万元。承包人需一次性向发包人现金转账支付违约金，否则发包人有权在进度款支付中扣除</w:t>
      </w:r>
      <w:r>
        <w:rPr>
          <w:rFonts w:hint="eastAsia" w:ascii="宋体" w:hAnsi="宋体" w:cs="宋体"/>
          <w:color w:val="auto"/>
          <w:highlight w:val="none"/>
          <w:u w:val="single"/>
          <w:lang w:eastAsia="zh-CN"/>
        </w:rPr>
        <w:t>。</w:t>
      </w:r>
    </w:p>
    <w:p w14:paraId="4C0E7F25">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项目经理未经批准，擅自离开施工现场的违约责任：</w:t>
      </w:r>
      <w:r>
        <w:rPr>
          <w:rFonts w:hint="eastAsia" w:ascii="宋体" w:hAnsi="宋体" w:cs="宋体"/>
          <w:color w:val="auto"/>
          <w:szCs w:val="21"/>
          <w:highlight w:val="none"/>
          <w:u w:val="single"/>
        </w:rPr>
        <w:t>承包人未能按照承诺到岗尽职的，发包人将视情况严重程度对其作出相应处理，给予警告并发出整改通知。如仍未及时整改，发包人有权责令其停工整改</w:t>
      </w:r>
      <w:r>
        <w:rPr>
          <w:rFonts w:hint="eastAsia" w:ascii="宋体" w:hAnsi="宋体" w:cs="宋体"/>
          <w:color w:val="auto"/>
          <w:szCs w:val="21"/>
          <w:highlight w:val="none"/>
          <w:u w:val="single"/>
          <w:lang w:eastAsia="zh-CN"/>
        </w:rPr>
        <w:t>直至</w:t>
      </w:r>
      <w:r>
        <w:rPr>
          <w:rFonts w:hint="eastAsia" w:ascii="宋体" w:hAnsi="宋体" w:cs="宋体"/>
          <w:color w:val="auto"/>
          <w:szCs w:val="21"/>
          <w:highlight w:val="none"/>
          <w:u w:val="single"/>
        </w:rPr>
        <w:t>解除合同。发包人还将停止支付工程款项，扣留任何</w:t>
      </w:r>
      <w:r>
        <w:rPr>
          <w:rFonts w:hint="eastAsia" w:ascii="宋体" w:hAnsi="宋体" w:cs="宋体"/>
          <w:color w:val="auto"/>
          <w:szCs w:val="21"/>
          <w:highlight w:val="none"/>
          <w:u w:val="single"/>
          <w:lang w:eastAsia="zh-CN"/>
        </w:rPr>
        <w:t>未支</w:t>
      </w:r>
      <w:r>
        <w:rPr>
          <w:rFonts w:hint="eastAsia" w:ascii="宋体" w:hAnsi="宋体" w:cs="宋体"/>
          <w:color w:val="auto"/>
          <w:szCs w:val="21"/>
          <w:highlight w:val="none"/>
          <w:u w:val="single"/>
        </w:rPr>
        <w:t>付的工程进度款项补偿发包人的有关损失或工期延误的损失，并就此向承包人索赔。</w:t>
      </w:r>
    </w:p>
    <w:p w14:paraId="5B043EA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3.2.3 承包人擅自更换项目经理的违约责任：</w:t>
      </w:r>
    </w:p>
    <w:p w14:paraId="30035F9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szCs w:val="21"/>
          <w:highlight w:val="none"/>
          <w:u w:val="single"/>
        </w:rPr>
        <w:t>承包人不得擅自更换投标时所报项目经理</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否则发包人有权解除合同，由此造成的损失由承包人自行承担，承包人还应赔偿由此造成发包人的全部损失。确需更换的须在签订合同后，报经发包人同意后按相关规定办理，</w:t>
      </w:r>
      <w:r>
        <w:rPr>
          <w:rFonts w:hint="eastAsia" w:ascii="宋体" w:hAnsi="宋体" w:cs="宋体"/>
          <w:b/>
          <w:bCs/>
          <w:color w:val="auto"/>
          <w:szCs w:val="21"/>
          <w:highlight w:val="none"/>
          <w:u w:val="single"/>
        </w:rPr>
        <w:t>并支付</w:t>
      </w:r>
      <w:r>
        <w:rPr>
          <w:rFonts w:hint="eastAsia" w:ascii="宋体" w:hAnsi="宋体" w:cs="宋体"/>
          <w:b/>
          <w:bCs/>
          <w:color w:val="auto"/>
          <w:szCs w:val="21"/>
          <w:highlight w:val="none"/>
          <w:u w:val="single"/>
          <w:lang w:val="en-US" w:eastAsia="zh-CN"/>
        </w:rPr>
        <w:t>30</w:t>
      </w:r>
      <w:r>
        <w:rPr>
          <w:rFonts w:hint="eastAsia" w:ascii="宋体" w:hAnsi="宋体" w:cs="宋体"/>
          <w:b/>
          <w:bCs/>
          <w:color w:val="auto"/>
          <w:szCs w:val="21"/>
          <w:highlight w:val="none"/>
          <w:u w:val="single"/>
        </w:rPr>
        <w:t>万元的违约金</w:t>
      </w:r>
      <w:r>
        <w:rPr>
          <w:rFonts w:hint="eastAsia" w:ascii="宋体" w:hAnsi="宋体" w:cs="宋体"/>
          <w:color w:val="auto"/>
          <w:szCs w:val="21"/>
          <w:highlight w:val="none"/>
          <w:u w:val="single"/>
        </w:rPr>
        <w:t>，更换后的人员不得低于承包人投标时所报人员资质和技术水平。</w:t>
      </w:r>
    </w:p>
    <w:p w14:paraId="30A790E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3.2.4 承包人无正当理由拒绝更换项目经理的违约责任：</w:t>
      </w:r>
      <w:r>
        <w:rPr>
          <w:rFonts w:hint="eastAsia" w:ascii="宋体" w:hAnsi="宋体" w:cs="宋体"/>
          <w:color w:val="auto"/>
          <w:highlight w:val="none"/>
          <w:u w:val="single"/>
        </w:rPr>
        <w:t>承包方项目经理（建造师）不满足岗位管理水平及技术水平等原因要求时，发包人和监理人可要求承包方更换，更换后人员不得低</w:t>
      </w:r>
      <w:r>
        <w:rPr>
          <w:rFonts w:hint="eastAsia" w:ascii="宋体" w:hAnsi="宋体" w:cs="宋体"/>
          <w:color w:val="auto"/>
          <w:highlight w:val="none"/>
          <w:u w:val="single"/>
          <w:lang w:val="en-US" w:eastAsia="zh-CN"/>
        </w:rPr>
        <w:t>于承包人投标时所报人员资质和技术水平，并经发包人书面认可，同时发包人对承包人处以人民币30万元违约金/人·次。如承包人拒不更换项目经理（建造师），发包人有权要求承包人退场 。</w:t>
      </w:r>
    </w:p>
    <w:p w14:paraId="1EB0B137">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3.3 承包人人员</w:t>
      </w:r>
    </w:p>
    <w:p w14:paraId="238E45E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3.3.1 承包人提交项目管理机构及施工现场管理人员安排报告的期限：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签订合同时</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53C0D26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3.3.3 承包人无正当理由拒绝撤换主要施工管理人员的违约责任：</w:t>
      </w:r>
      <w:r>
        <w:rPr>
          <w:rFonts w:hint="eastAsia" w:ascii="宋体" w:hAnsi="宋体" w:cs="宋体"/>
          <w:color w:val="auto"/>
          <w:highlight w:val="none"/>
          <w:u w:val="single"/>
        </w:rPr>
        <w:t>发包人将组织对人员进行业务能力考核，对未按投标文件配备或经考核不合格要求更换人员的，承包人7日内必须整</w:t>
      </w:r>
      <w:r>
        <w:rPr>
          <w:rFonts w:hint="eastAsia" w:ascii="宋体" w:hAnsi="宋体" w:cs="宋体"/>
          <w:color w:val="auto"/>
          <w:highlight w:val="none"/>
          <w:u w:val="single"/>
          <w:lang w:val="en-US" w:eastAsia="zh-CN"/>
        </w:rPr>
        <w:t>改调整到位。对项目经理（建造师）和技术负责人处以5000元/人·天的违约金，对项目经理（建造师）和技术负责人以外的其他管理人员处以3000元/人·天的违约金。28日内未整改调整到位的，发包人有权终止合同，并提请相关行政主管部门对企业和人员进行“黑名单 ”处罚。发包人在施工进场第一个月或施工过程中发现承包人转包、挂靠等行为的，发包人立即解除合同，清退出场，承包人已完合格工程量按合同价款 60%进行结算</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A338651">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3.3.4 承包人主要施工管理人员离开施工现场的批准要求：</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需离开时必须事先征得发包人和监理人同意后方可离开。</w:t>
      </w:r>
    </w:p>
    <w:p w14:paraId="5E6C902B">
      <w:pPr>
        <w:adjustRightInd w:val="0"/>
        <w:snapToGrid w:val="0"/>
        <w:spacing w:line="384" w:lineRule="auto"/>
        <w:ind w:firstLine="424" w:firstLineChars="202"/>
        <w:rPr>
          <w:rFonts w:hint="eastAsia"/>
          <w:color w:val="auto"/>
          <w:highlight w:val="none"/>
        </w:rPr>
      </w:pPr>
      <w:r>
        <w:rPr>
          <w:rFonts w:hint="eastAsia" w:ascii="宋体" w:hAnsi="宋体" w:cs="宋体"/>
          <w:color w:val="auto"/>
          <w:highlight w:val="none"/>
        </w:rPr>
        <w:t>3.3.5 承包人擅自更换主要施工管理人员的违约责任：</w:t>
      </w:r>
      <w:r>
        <w:rPr>
          <w:rFonts w:hint="eastAsia" w:ascii="宋体" w:hAnsi="宋体" w:cs="宋体"/>
          <w:color w:val="auto"/>
          <w:szCs w:val="21"/>
          <w:highlight w:val="none"/>
          <w:u w:val="single"/>
        </w:rPr>
        <w:t>承包人不得擅自更换主要管理人员</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否则发包人有权解除合同，由此造成的损失由承包人自行承担，承包人还应赔偿由此造成发包人的全部损失。确需更换的须在签订合同后，报经发包人同意后按相关规定办理，</w:t>
      </w:r>
      <w:r>
        <w:rPr>
          <w:rFonts w:hint="eastAsia" w:ascii="宋体" w:hAnsi="宋体" w:cs="宋体"/>
          <w:b/>
          <w:bCs/>
          <w:color w:val="auto"/>
          <w:szCs w:val="21"/>
          <w:highlight w:val="none"/>
          <w:u w:val="single"/>
        </w:rPr>
        <w:t>并支付</w:t>
      </w:r>
      <w:r>
        <w:rPr>
          <w:rFonts w:hint="eastAsia" w:ascii="宋体" w:hAnsi="宋体" w:cs="宋体"/>
          <w:b/>
          <w:bCs/>
          <w:color w:val="auto"/>
          <w:szCs w:val="21"/>
          <w:highlight w:val="none"/>
          <w:u w:val="single"/>
          <w:lang w:val="en-US" w:eastAsia="zh-CN"/>
        </w:rPr>
        <w:t>20</w:t>
      </w:r>
      <w:r>
        <w:rPr>
          <w:rFonts w:hint="eastAsia" w:ascii="宋体" w:hAnsi="宋体" w:cs="宋体"/>
          <w:b/>
          <w:bCs/>
          <w:color w:val="auto"/>
          <w:szCs w:val="21"/>
          <w:highlight w:val="none"/>
          <w:u w:val="single"/>
        </w:rPr>
        <w:t>万元/人的违约金，</w:t>
      </w:r>
      <w:r>
        <w:rPr>
          <w:rFonts w:hint="eastAsia" w:ascii="宋体" w:hAnsi="宋体" w:cs="宋体"/>
          <w:color w:val="auto"/>
          <w:szCs w:val="21"/>
          <w:highlight w:val="none"/>
          <w:u w:val="single"/>
        </w:rPr>
        <w:t>更换后的人员不得低于承包人投标时所报人员资质和技术水平。发包人如认为有必要，可要求对上述人员中的部分人员作出更好的调整。</w:t>
      </w:r>
    </w:p>
    <w:p w14:paraId="0CC75C6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承包人主要施工管理人员擅自离开施工现场的违约责任：</w:t>
      </w:r>
      <w:r>
        <w:rPr>
          <w:rFonts w:hint="eastAsia" w:ascii="宋体" w:hAnsi="宋体" w:cs="宋体"/>
          <w:color w:val="auto"/>
          <w:highlight w:val="none"/>
          <w:u w:val="single"/>
        </w:rPr>
        <w:t>未按规定在岗履责的，对项目经理（建造师）和技术负责人处以</w:t>
      </w:r>
      <w:r>
        <w:rPr>
          <w:rFonts w:hint="eastAsia" w:ascii="宋体" w:hAnsi="宋体" w:cs="宋体"/>
          <w:color w:val="auto"/>
          <w:highlight w:val="none"/>
          <w:u w:val="single"/>
          <w:lang w:val="en-US" w:eastAsia="zh-CN"/>
        </w:rPr>
        <w:t>5000</w:t>
      </w:r>
      <w:r>
        <w:rPr>
          <w:rFonts w:hint="eastAsia" w:ascii="宋体" w:hAnsi="宋体" w:cs="宋体"/>
          <w:color w:val="auto"/>
          <w:highlight w:val="none"/>
          <w:u w:val="single"/>
        </w:rPr>
        <w:t>元/人·天的违约金，对项目经理（建造师）和技术负</w:t>
      </w:r>
      <w:r>
        <w:rPr>
          <w:rFonts w:hint="eastAsia" w:ascii="宋体" w:hAnsi="宋体" w:cs="宋体"/>
          <w:color w:val="auto"/>
          <w:highlight w:val="none"/>
          <w:u w:val="single"/>
          <w:lang w:eastAsia="zh-CN"/>
        </w:rPr>
        <w:t>责人</w:t>
      </w:r>
      <w:r>
        <w:rPr>
          <w:rFonts w:hint="eastAsia" w:ascii="宋体" w:hAnsi="宋体" w:cs="宋体"/>
          <w:color w:val="auto"/>
          <w:highlight w:val="none"/>
          <w:u w:val="single"/>
        </w:rPr>
        <w:t>外</w:t>
      </w:r>
      <w:r>
        <w:rPr>
          <w:rFonts w:hint="eastAsia" w:ascii="宋体" w:hAnsi="宋体" w:cs="宋体"/>
          <w:color w:val="auto"/>
          <w:highlight w:val="none"/>
          <w:u w:val="single"/>
          <w:lang w:val="en-US" w:eastAsia="zh-CN"/>
        </w:rPr>
        <w:t>以外的其他管理人员处以3000元/人·天的违约金</w:t>
      </w:r>
      <w:r>
        <w:rPr>
          <w:rFonts w:hint="eastAsia" w:ascii="宋体" w:hAnsi="宋体" w:cs="宋体"/>
          <w:color w:val="auto"/>
          <w:highlight w:val="none"/>
          <w:u w:val="single"/>
        </w:rPr>
        <w:t xml:space="preserve"> </w:t>
      </w:r>
    </w:p>
    <w:p w14:paraId="5FC017AF">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3</w:t>
      </w:r>
      <w:bookmarkStart w:id="773" w:name="_Toc296891199"/>
      <w:bookmarkStart w:id="774" w:name="_Toc296346660"/>
      <w:bookmarkStart w:id="775" w:name="_Toc296944498"/>
      <w:bookmarkStart w:id="776" w:name="_Toc312677988"/>
      <w:bookmarkStart w:id="777" w:name="_Toc297048345"/>
      <w:bookmarkStart w:id="778" w:name="_Toc292559869"/>
      <w:bookmarkStart w:id="779" w:name="_Toc297123492"/>
      <w:bookmarkStart w:id="780" w:name="_Toc300934945"/>
      <w:bookmarkStart w:id="781" w:name="_Toc296347158"/>
      <w:bookmarkStart w:id="782" w:name="_Toc297120459"/>
      <w:bookmarkStart w:id="783" w:name="_Toc296890987"/>
      <w:bookmarkStart w:id="784" w:name="_Toc296503159"/>
      <w:bookmarkStart w:id="785" w:name="_Toc303539102"/>
      <w:bookmarkStart w:id="786" w:name="_Toc304295523"/>
      <w:bookmarkStart w:id="787" w:name="_Toc297216151"/>
      <w:bookmarkStart w:id="788" w:name="_Toc292559364"/>
      <w:r>
        <w:rPr>
          <w:rFonts w:hint="eastAsia" w:ascii="宋体" w:hAnsi="宋体" w:cs="宋体"/>
          <w:bCs/>
          <w:color w:val="auto"/>
          <w:szCs w:val="28"/>
          <w:highlight w:val="none"/>
        </w:rPr>
        <w:t>.5 分包</w:t>
      </w:r>
    </w:p>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265E586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w:t>
      </w:r>
      <w:bookmarkStart w:id="789" w:name="_Toc296944499"/>
      <w:bookmarkStart w:id="790" w:name="_Toc300934946"/>
      <w:bookmarkStart w:id="791" w:name="_Toc292559365"/>
      <w:bookmarkStart w:id="792" w:name="_Toc297123493"/>
      <w:bookmarkStart w:id="793" w:name="_Toc296503160"/>
      <w:bookmarkStart w:id="794" w:name="_Toc296346661"/>
      <w:bookmarkStart w:id="795" w:name="_Toc296890988"/>
      <w:bookmarkStart w:id="796" w:name="_Toc292559870"/>
      <w:bookmarkStart w:id="797" w:name="_Toc303539103"/>
      <w:bookmarkStart w:id="798" w:name="_Toc296347159"/>
      <w:bookmarkStart w:id="799" w:name="_Toc297120460"/>
      <w:bookmarkStart w:id="800" w:name="_Toc297048346"/>
      <w:bookmarkStart w:id="801" w:name="_Toc304295524"/>
      <w:bookmarkStart w:id="802" w:name="_Toc296891200"/>
      <w:bookmarkStart w:id="803" w:name="_Toc297216152"/>
      <w:bookmarkStart w:id="804" w:name="_Toc312677989"/>
      <w:bookmarkStart w:id="805" w:name="_Toc318581158"/>
      <w:r>
        <w:rPr>
          <w:rFonts w:hint="eastAsia" w:ascii="宋体" w:hAnsi="宋体" w:cs="宋体"/>
          <w:color w:val="auto"/>
          <w:highlight w:val="none"/>
        </w:rPr>
        <w:t>.5.1 分包的一般约定</w:t>
      </w:r>
    </w:p>
    <w:p w14:paraId="712FFA4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禁止分包的工程包括：</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Cs w:val="21"/>
          <w:highlight w:val="none"/>
          <w:u w:val="single"/>
          <w:lang w:val="en-US" w:eastAsia="zh-CN"/>
        </w:rPr>
        <w:t>按国家规定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4A81DAF4">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主体结构、关键性工作的范围：</w:t>
      </w:r>
      <w:r>
        <w:rPr>
          <w:rFonts w:hint="eastAsia" w:ascii="宋体" w:hAnsi="宋体" w:eastAsia="宋体" w:cs="宋体"/>
          <w:color w:val="auto"/>
          <w:szCs w:val="21"/>
          <w:highlight w:val="none"/>
          <w:u w:val="single"/>
          <w:lang w:val="en-US" w:eastAsia="zh-CN"/>
        </w:rPr>
        <w:t>房建、水利工程为主体结构；市政工程为道路基层、面层；园林景观工程为绿化采购、栽植、养护。</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Start w:id="806" w:name="_Toc296890989"/>
      <w:bookmarkStart w:id="807" w:name="_Toc297216153"/>
      <w:bookmarkStart w:id="808" w:name="_Toc296347160"/>
      <w:bookmarkStart w:id="809" w:name="_Toc297048347"/>
      <w:bookmarkStart w:id="810" w:name="_Toc296346662"/>
      <w:bookmarkStart w:id="811" w:name="_Toc296944500"/>
      <w:bookmarkStart w:id="812" w:name="_Toc297123494"/>
      <w:bookmarkStart w:id="813" w:name="_Toc296891201"/>
      <w:bookmarkStart w:id="814" w:name="_Toc303539104"/>
      <w:bookmarkStart w:id="815" w:name="_Toc300934947"/>
      <w:bookmarkStart w:id="816" w:name="_Toc304295525"/>
      <w:bookmarkStart w:id="817" w:name="_Toc296503161"/>
      <w:bookmarkStart w:id="818" w:name="_Toc297120461"/>
    </w:p>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14:paraId="06B20AC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w:t>
      </w:r>
      <w:bookmarkStart w:id="819" w:name="_Toc312677990"/>
      <w:bookmarkStart w:id="820" w:name="_Toc318581159"/>
      <w:r>
        <w:rPr>
          <w:rFonts w:hint="eastAsia" w:ascii="宋体" w:hAnsi="宋体" w:cs="宋体"/>
          <w:color w:val="auto"/>
          <w:highlight w:val="none"/>
        </w:rPr>
        <w:t>.5.2 分包的确定</w:t>
      </w:r>
    </w:p>
    <w:p w14:paraId="5DF228EF">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允许分包的专业工程包括：</w:t>
      </w:r>
      <w:r>
        <w:rPr>
          <w:rFonts w:hint="eastAsia" w:ascii="宋体" w:hAnsi="宋体" w:eastAsia="宋体" w:cs="宋体"/>
          <w:color w:val="auto"/>
          <w:szCs w:val="21"/>
          <w:highlight w:val="none"/>
          <w:u w:val="single"/>
          <w:lang w:val="en-US" w:eastAsia="zh-CN"/>
        </w:rPr>
        <w:t>主体结构、关键性工作的范围以外的专业工程</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44C05859">
      <w:pPr>
        <w:adjustRightInd w:val="0"/>
        <w:snapToGrid w:val="0"/>
        <w:spacing w:line="384" w:lineRule="auto"/>
        <w:ind w:firstLine="420" w:firstLineChars="200"/>
        <w:rPr>
          <w:rFonts w:hint="eastAsia" w:ascii="宋体" w:hAnsi="宋体" w:eastAsia="宋体" w:cs="宋体"/>
          <w:color w:val="auto"/>
          <w:highlight w:val="none"/>
          <w:u w:val="single"/>
          <w:lang w:val="en-US" w:eastAsia="zh-CN"/>
        </w:rPr>
      </w:pPr>
      <w:r>
        <w:rPr>
          <w:rFonts w:hint="eastAsia" w:ascii="宋体" w:hAnsi="宋体" w:cs="宋体"/>
          <w:color w:val="auto"/>
          <w:highlight w:val="none"/>
        </w:rPr>
        <w:t>其他关于分包的约定：</w:t>
      </w:r>
      <w:r>
        <w:rPr>
          <w:rFonts w:hint="eastAsia" w:ascii="宋体" w:hAnsi="宋体" w:cs="宋体"/>
          <w:color w:val="auto"/>
          <w:highlight w:val="none"/>
          <w:u w:val="single"/>
        </w:rPr>
        <w:t>承包人不得以劳务分包的名义转包或违法分包工程。发包人在施工进场第一个月或施工过程中发现承包人转包、挂靠等行为的，发包人立即解除合同，清退出场，承包人已完合格工程量按合同价款 60%进行结算</w:t>
      </w:r>
      <w:r>
        <w:rPr>
          <w:rFonts w:hint="eastAsia" w:ascii="宋体" w:hAnsi="宋体" w:cs="宋体"/>
          <w:color w:val="auto"/>
          <w:highlight w:val="none"/>
          <w:u w:val="single"/>
          <w:lang w:eastAsia="zh-CN"/>
        </w:rPr>
        <w:t>。</w:t>
      </w:r>
    </w:p>
    <w:p w14:paraId="5DD9019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3.5.4 分包合同价款</w:t>
      </w:r>
    </w:p>
    <w:p w14:paraId="2DA08227">
      <w:pPr>
        <w:adjustRightInd w:val="0"/>
        <w:snapToGrid w:val="0"/>
        <w:spacing w:line="384" w:lineRule="auto"/>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关于分包合同价款支付的约定：</w:t>
      </w:r>
      <w:r>
        <w:rPr>
          <w:rFonts w:hint="eastAsia" w:ascii="宋体" w:hAnsi="宋体" w:cs="宋体"/>
          <w:color w:val="auto"/>
          <w:szCs w:val="21"/>
          <w:highlight w:val="none"/>
          <w:u w:val="single"/>
        </w:rPr>
        <w:t>（1）除本项第（2）和（3）条约定的情况外，分包合同价款由承包人与分包人结算，未经承包人同意，发包人不得向分包人支付分包工程价款；（2）生效法律文书要求发包人向分包人支付分包合同价款的，发包人有权从应付承包人工程款中扣除该部分款项 ；（3）恶意拖欠农民工工资，并经人力资源和社会保障部门核实的，发包人有权从应付承包人工程款中代付</w:t>
      </w:r>
      <w:r>
        <w:rPr>
          <w:rFonts w:hint="eastAsia" w:ascii="宋体" w:hAnsi="宋体" w:cs="宋体"/>
          <w:color w:val="auto"/>
          <w:szCs w:val="21"/>
          <w:highlight w:val="none"/>
          <w:u w:val="single"/>
          <w:lang w:eastAsia="zh-CN"/>
        </w:rPr>
        <w:t>。</w:t>
      </w:r>
    </w:p>
    <w:bookmarkEnd w:id="819"/>
    <w:bookmarkEnd w:id="820"/>
    <w:p w14:paraId="0DB1C049">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3.6 工程照管与成品、半成品保护</w:t>
      </w:r>
    </w:p>
    <w:p w14:paraId="12D76F91">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承包人负责照管工程及工程相关的材料、工程设备的起始时间：</w:t>
      </w:r>
      <w:r>
        <w:rPr>
          <w:rFonts w:hint="eastAsia" w:ascii="宋体" w:hAnsi="宋体" w:cs="宋体"/>
          <w:color w:val="auto"/>
          <w:szCs w:val="21"/>
          <w:highlight w:val="none"/>
          <w:u w:val="single"/>
        </w:rPr>
        <w:t>自发包人向承包人移交施工现场之日起，承包人应负责照管工程及工程相关的材料、工程设备，直到颁发工程接收证书之日止。</w:t>
      </w:r>
    </w:p>
    <w:p w14:paraId="108CE07D">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3.7 履约保证金</w:t>
      </w:r>
    </w:p>
    <w:p w14:paraId="387DB75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承包人是否提供履约保证金： </w:t>
      </w:r>
      <w:r>
        <w:rPr>
          <w:rFonts w:hint="eastAsia" w:ascii="宋体" w:hAnsi="宋体" w:cs="宋体"/>
          <w:color w:val="auto"/>
          <w:szCs w:val="21"/>
          <w:highlight w:val="none"/>
          <w:u w:val="single"/>
        </w:rPr>
        <w:t>提供</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5196C216">
      <w:pPr>
        <w:adjustRightInd w:val="0"/>
        <w:snapToGrid w:val="0"/>
        <w:spacing w:line="384" w:lineRule="auto"/>
        <w:ind w:firstLine="420" w:firstLineChars="200"/>
        <w:rPr>
          <w:rFonts w:hint="eastAsia" w:ascii="宋体" w:hAnsi="宋体" w:cs="宋体"/>
          <w:bCs/>
          <w:snapToGrid w:val="0"/>
          <w:color w:val="auto"/>
          <w:kern w:val="0"/>
          <w:szCs w:val="21"/>
          <w:highlight w:val="none"/>
        </w:rPr>
      </w:pPr>
      <w:r>
        <w:rPr>
          <w:rFonts w:hint="eastAsia" w:ascii="宋体" w:hAnsi="宋体" w:cs="宋体"/>
          <w:color w:val="auto"/>
          <w:highlight w:val="none"/>
        </w:rPr>
        <w:t>承包人提供履约保证金的形式：支持银行转账、银行电汇、银行保函、担保机构担保、保证保险使用。</w:t>
      </w:r>
    </w:p>
    <w:p w14:paraId="57C1D5BF">
      <w:pPr>
        <w:adjustRightInd w:val="0"/>
        <w:snapToGrid w:val="0"/>
        <w:spacing w:line="384" w:lineRule="auto"/>
        <w:ind w:left="-73" w:leftChars="-35" w:firstLine="497" w:firstLineChars="237"/>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注：</w:t>
      </w:r>
      <w:r>
        <w:rPr>
          <w:rFonts w:hint="eastAsia" w:ascii="宋体" w:hAnsi="宋体" w:cs="宋体"/>
          <w:color w:val="auto"/>
          <w:highlight w:val="none"/>
        </w:rPr>
        <w:t>履约保证金的金额：</w:t>
      </w:r>
      <w:r>
        <w:rPr>
          <w:rFonts w:hint="eastAsia" w:ascii="宋体" w:hAnsi="宋体" w:cs="宋体"/>
          <w:color w:val="auto"/>
          <w:szCs w:val="21"/>
          <w:highlight w:val="none"/>
        </w:rPr>
        <w:t>中标合同金额×</w:t>
      </w:r>
      <w:r>
        <w:rPr>
          <w:rFonts w:hint="eastAsia" w:ascii="宋体" w:hAnsi="宋体" w:cs="宋体"/>
          <w:color w:val="auto"/>
          <w:highlight w:val="none"/>
        </w:rPr>
        <w:t>2％。</w:t>
      </w:r>
    </w:p>
    <w:p w14:paraId="463DA0C8">
      <w:pPr>
        <w:adjustRightInd w:val="0"/>
        <w:snapToGrid w:val="0"/>
        <w:spacing w:line="384" w:lineRule="auto"/>
        <w:ind w:firstLine="840" w:firstLineChars="400"/>
        <w:rPr>
          <w:rFonts w:hint="eastAsia" w:ascii="宋体" w:hAnsi="宋体" w:cs="宋体"/>
          <w:color w:val="auto"/>
          <w:highlight w:val="none"/>
        </w:rPr>
      </w:pPr>
      <w:r>
        <w:rPr>
          <w:rFonts w:hint="eastAsia" w:ascii="宋体" w:hAnsi="宋体" w:cs="宋体"/>
          <w:color w:val="auto"/>
          <w:highlight w:val="none"/>
        </w:rPr>
        <w:t>履约保证金提交期限的要求：</w:t>
      </w:r>
      <w:r>
        <w:rPr>
          <w:rFonts w:hint="eastAsia" w:ascii="宋体" w:hAnsi="宋体" w:cs="宋体"/>
          <w:color w:val="auto"/>
          <w:szCs w:val="21"/>
          <w:highlight w:val="none"/>
          <w:u w:val="none"/>
        </w:rPr>
        <w:t>签订合同前</w:t>
      </w:r>
    </w:p>
    <w:p w14:paraId="08D2923B">
      <w:pPr>
        <w:adjustRightInd w:val="0"/>
        <w:snapToGrid w:val="0"/>
        <w:spacing w:line="384" w:lineRule="auto"/>
        <w:ind w:firstLine="840" w:firstLineChars="400"/>
        <w:rPr>
          <w:rFonts w:hint="eastAsia" w:ascii="宋体" w:hAnsi="宋体" w:cs="宋体"/>
          <w:color w:val="auto"/>
          <w:highlight w:val="none"/>
        </w:rPr>
      </w:pPr>
      <w:r>
        <w:rPr>
          <w:rFonts w:hint="eastAsia" w:ascii="宋体" w:hAnsi="宋体" w:cs="宋体"/>
          <w:bCs/>
          <w:snapToGrid w:val="0"/>
          <w:color w:val="auto"/>
          <w:kern w:val="0"/>
          <w:szCs w:val="21"/>
          <w:highlight w:val="none"/>
        </w:rPr>
        <w:t>履约保证金退还时限：履约保证金有效期满7日内</w:t>
      </w:r>
    </w:p>
    <w:p w14:paraId="4D11E699">
      <w:pPr>
        <w:keepNext/>
        <w:keepLines/>
        <w:adjustRightInd w:val="0"/>
        <w:snapToGrid w:val="0"/>
        <w:spacing w:line="384" w:lineRule="auto"/>
        <w:jc w:val="left"/>
        <w:outlineLvl w:val="2"/>
        <w:rPr>
          <w:rFonts w:hint="eastAsia" w:ascii="宋体" w:hAnsi="宋体" w:cs="宋体"/>
          <w:bCs/>
          <w:color w:val="auto"/>
          <w:sz w:val="24"/>
          <w:highlight w:val="none"/>
        </w:rPr>
      </w:pPr>
      <w:bookmarkStart w:id="821" w:name="_Toc95223465"/>
      <w:bookmarkStart w:id="822" w:name="_Toc351203636"/>
      <w:r>
        <w:rPr>
          <w:rFonts w:hint="eastAsia" w:ascii="宋体" w:hAnsi="宋体" w:cs="宋体"/>
          <w:bCs/>
          <w:color w:val="auto"/>
          <w:sz w:val="24"/>
          <w:highlight w:val="none"/>
        </w:rPr>
        <w:t>4</w:t>
      </w:r>
      <w:bookmarkStart w:id="823" w:name="_Toc292559366"/>
      <w:bookmarkStart w:id="824" w:name="_Toc292559871"/>
      <w:bookmarkStart w:id="825" w:name="_Toc296890990"/>
      <w:bookmarkStart w:id="826" w:name="_Toc297120462"/>
      <w:bookmarkStart w:id="827" w:name="_Toc296347161"/>
      <w:bookmarkStart w:id="828" w:name="_Toc296346663"/>
      <w:bookmarkStart w:id="829" w:name="_Toc297048348"/>
      <w:bookmarkStart w:id="830" w:name="_Toc296503162"/>
      <w:bookmarkStart w:id="831" w:name="_Toc267251413"/>
      <w:bookmarkStart w:id="832" w:name="_Toc296944501"/>
      <w:bookmarkStart w:id="833" w:name="_Toc296891202"/>
      <w:r>
        <w:rPr>
          <w:rFonts w:hint="eastAsia" w:ascii="宋体" w:hAnsi="宋体" w:cs="宋体"/>
          <w:bCs/>
          <w:color w:val="auto"/>
          <w:sz w:val="24"/>
          <w:highlight w:val="none"/>
        </w:rPr>
        <w:t>. 监</w:t>
      </w:r>
      <w:bookmarkEnd w:id="823"/>
      <w:bookmarkEnd w:id="824"/>
      <w:bookmarkEnd w:id="825"/>
      <w:bookmarkEnd w:id="826"/>
      <w:bookmarkEnd w:id="827"/>
      <w:bookmarkEnd w:id="828"/>
      <w:bookmarkEnd w:id="829"/>
      <w:bookmarkEnd w:id="830"/>
      <w:bookmarkEnd w:id="831"/>
      <w:bookmarkEnd w:id="832"/>
      <w:bookmarkEnd w:id="833"/>
      <w:r>
        <w:rPr>
          <w:rFonts w:hint="eastAsia" w:ascii="宋体" w:hAnsi="宋体" w:cs="宋体"/>
          <w:bCs/>
          <w:color w:val="auto"/>
          <w:sz w:val="24"/>
          <w:highlight w:val="none"/>
        </w:rPr>
        <w:t>理人</w:t>
      </w:r>
      <w:bookmarkEnd w:id="821"/>
      <w:bookmarkEnd w:id="822"/>
    </w:p>
    <w:p w14:paraId="4A802A1D">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4.1 监理人的一般规定</w:t>
      </w:r>
    </w:p>
    <w:p w14:paraId="345B1842">
      <w:pPr>
        <w:adjustRightInd w:val="0"/>
        <w:snapToGrid w:val="0"/>
        <w:spacing w:line="384" w:lineRule="auto"/>
        <w:ind w:firstLine="420" w:firstLineChars="200"/>
        <w:rPr>
          <w:rFonts w:hint="eastAsia" w:ascii="宋体" w:hAnsi="宋体" w:cs="宋体"/>
          <w:b/>
          <w:color w:val="auto"/>
          <w:highlight w:val="none"/>
          <w:u w:val="single"/>
        </w:rPr>
      </w:pPr>
      <w:r>
        <w:rPr>
          <w:rFonts w:hint="eastAsia" w:ascii="宋体" w:hAnsi="宋体" w:cs="宋体"/>
          <w:color w:val="auto"/>
          <w:highlight w:val="none"/>
        </w:rPr>
        <w:t>关于监理人的监理内容：</w:t>
      </w:r>
      <w:r>
        <w:rPr>
          <w:rFonts w:hint="eastAsia" w:ascii="宋体" w:hAnsi="宋体" w:cs="宋体"/>
          <w:color w:val="auto"/>
          <w:highlight w:val="none"/>
          <w:u w:val="single"/>
          <w:lang w:val="en-US" w:eastAsia="zh-CN"/>
        </w:rPr>
        <w:t xml:space="preserve">                           </w:t>
      </w:r>
      <w:r>
        <w:rPr>
          <w:rFonts w:hint="eastAsia" w:ascii="宋体" w:hAnsi="宋体" w:cs="宋体"/>
          <w:color w:val="auto"/>
          <w:szCs w:val="21"/>
          <w:highlight w:val="none"/>
        </w:rPr>
        <w:t>。</w:t>
      </w:r>
    </w:p>
    <w:p w14:paraId="6913674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关于监理人的监理权限：</w:t>
      </w:r>
      <w:r>
        <w:rPr>
          <w:rFonts w:hint="eastAsia" w:ascii="宋体" w:hAnsi="宋体" w:cs="宋体"/>
          <w:color w:val="auto"/>
          <w:highlight w:val="none"/>
          <w:u w:val="single"/>
          <w:lang w:val="en-US" w:eastAsia="zh-CN"/>
        </w:rPr>
        <w:t xml:space="preserve">                            </w:t>
      </w:r>
      <w:r>
        <w:rPr>
          <w:rFonts w:hint="eastAsia" w:ascii="宋体" w:hAnsi="宋体" w:cs="宋体"/>
          <w:color w:val="auto"/>
          <w:szCs w:val="21"/>
          <w:highlight w:val="none"/>
        </w:rPr>
        <w:t>。</w:t>
      </w:r>
      <w:r>
        <w:rPr>
          <w:rFonts w:hint="eastAsia" w:ascii="宋体" w:hAnsi="宋体" w:cs="宋体"/>
          <w:color w:val="auto"/>
          <w:highlight w:val="none"/>
        </w:rPr>
        <w:t xml:space="preserve"> </w:t>
      </w:r>
    </w:p>
    <w:p w14:paraId="1848231C">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关于监理人在施工现场的办公场所、生活场所的提供和费用承担的约定：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执行监理合同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1791F62">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4.2 监理人员</w:t>
      </w:r>
    </w:p>
    <w:p w14:paraId="1B28684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总监理工程师：</w:t>
      </w:r>
    </w:p>
    <w:p w14:paraId="53D9F7B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姓    名：</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F5A880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职    务：</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4D65D8C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监理工程师执业资格证书号：</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489465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highlight w:val="none"/>
          <w:u w:val="single"/>
        </w:rPr>
        <w:t>                           </w:t>
      </w:r>
      <w:r>
        <w:rPr>
          <w:rFonts w:hint="eastAsia" w:ascii="宋体" w:hAnsi="宋体" w:cs="宋体"/>
          <w:color w:val="auto"/>
          <w:highlight w:val="none"/>
        </w:rPr>
        <w:t>；</w:t>
      </w:r>
    </w:p>
    <w:p w14:paraId="690DEAD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7DA466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通信地址：</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E6353B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关于监理人的其他约定：</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3B102F32">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4.4 商定或确定</w:t>
      </w:r>
    </w:p>
    <w:p w14:paraId="249D1007">
      <w:pPr>
        <w:adjustRightInd w:val="0"/>
        <w:snapToGrid w:val="0"/>
        <w:spacing w:line="384" w:lineRule="auto"/>
        <w:ind w:firstLine="420" w:firstLineChars="200"/>
        <w:rPr>
          <w:rFonts w:hint="eastAsia" w:ascii="宋体" w:hAnsi="宋体" w:cs="宋体"/>
          <w:color w:val="auto"/>
          <w:highlight w:val="none"/>
        </w:rPr>
      </w:pPr>
      <w:bookmarkStart w:id="834" w:name="_Toc267251418"/>
      <w:r>
        <w:rPr>
          <w:rFonts w:hint="eastAsia" w:ascii="宋体" w:hAnsi="宋体" w:cs="宋体"/>
          <w:color w:val="auto"/>
          <w:highlight w:val="none"/>
        </w:rPr>
        <w:t>在发包人和承包人不能通过协商达成一致意见时，发包人授权监理人对以下事项进行确定：</w:t>
      </w:r>
    </w:p>
    <w:p w14:paraId="0F53C9BD">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2172673">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08660DE">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733FBD4">
      <w:pPr>
        <w:keepNext/>
        <w:keepLines/>
        <w:adjustRightInd w:val="0"/>
        <w:snapToGrid w:val="0"/>
        <w:spacing w:line="384" w:lineRule="auto"/>
        <w:jc w:val="left"/>
        <w:outlineLvl w:val="2"/>
        <w:rPr>
          <w:rFonts w:hint="eastAsia" w:ascii="宋体" w:hAnsi="宋体" w:cs="宋体"/>
          <w:bCs/>
          <w:color w:val="auto"/>
          <w:sz w:val="24"/>
          <w:highlight w:val="none"/>
        </w:rPr>
      </w:pPr>
      <w:bookmarkStart w:id="835" w:name="_Toc95223466"/>
      <w:bookmarkStart w:id="836" w:name="_Toc351203637"/>
      <w:r>
        <w:rPr>
          <w:rFonts w:hint="eastAsia" w:ascii="宋体" w:hAnsi="宋体" w:cs="宋体"/>
          <w:bCs/>
          <w:color w:val="auto"/>
          <w:sz w:val="24"/>
          <w:highlight w:val="none"/>
        </w:rPr>
        <w:t>5</w:t>
      </w:r>
      <w:bookmarkEnd w:id="834"/>
      <w:bookmarkStart w:id="837" w:name="_Toc296890991"/>
      <w:bookmarkStart w:id="838" w:name="_Toc296503163"/>
      <w:bookmarkStart w:id="839" w:name="_Toc292559367"/>
      <w:bookmarkStart w:id="840" w:name="_Toc297048349"/>
      <w:bookmarkStart w:id="841" w:name="_Toc297120463"/>
      <w:bookmarkStart w:id="842" w:name="_Toc296891203"/>
      <w:bookmarkStart w:id="843" w:name="_Toc296944502"/>
      <w:bookmarkStart w:id="844" w:name="_Toc296346664"/>
      <w:bookmarkStart w:id="845" w:name="_Toc292559872"/>
      <w:bookmarkStart w:id="846" w:name="_Toc296347162"/>
      <w:r>
        <w:rPr>
          <w:rFonts w:hint="eastAsia" w:ascii="宋体" w:hAnsi="宋体" w:cs="宋体"/>
          <w:bCs/>
          <w:color w:val="auto"/>
          <w:sz w:val="24"/>
          <w:highlight w:val="none"/>
        </w:rPr>
        <w:t>. 工程质量</w:t>
      </w:r>
      <w:bookmarkEnd w:id="835"/>
      <w:bookmarkEnd w:id="836"/>
    </w:p>
    <w:p w14:paraId="1E07862B">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5.1 质量要求</w:t>
      </w:r>
    </w:p>
    <w:p w14:paraId="15A19534">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5</w:t>
      </w:r>
      <w:bookmarkStart w:id="847" w:name="_Toc297216155"/>
      <w:bookmarkStart w:id="848" w:name="_Toc312677997"/>
      <w:bookmarkStart w:id="849" w:name="_Toc300934949"/>
      <w:bookmarkStart w:id="850" w:name="_Toc297123496"/>
      <w:bookmarkStart w:id="851" w:name="_Toc303539106"/>
      <w:bookmarkStart w:id="852" w:name="_Toc318581164"/>
      <w:bookmarkStart w:id="853" w:name="_Toc304295527"/>
      <w:r>
        <w:rPr>
          <w:rFonts w:hint="eastAsia" w:ascii="宋体" w:hAnsi="宋体" w:cs="宋体"/>
          <w:color w:val="auto"/>
          <w:highlight w:val="none"/>
        </w:rPr>
        <w:t>.1.1 特殊质量标准和要求：</w:t>
      </w:r>
      <w:r>
        <w:rPr>
          <w:rFonts w:hint="eastAsia" w:ascii="宋体" w:hAnsi="宋体" w:cs="宋体"/>
          <w:color w:val="auto"/>
          <w:szCs w:val="21"/>
          <w:highlight w:val="none"/>
          <w:u w:val="single"/>
        </w:rPr>
        <w:t>本工程应达到招标文件规定的质量合格标准。</w:t>
      </w:r>
      <w:r>
        <w:rPr>
          <w:rFonts w:hint="eastAsia" w:ascii="宋体" w:hAnsi="宋体" w:eastAsia="宋体" w:cs="宋体"/>
          <w:color w:val="auto"/>
          <w:szCs w:val="21"/>
          <w:highlight w:val="none"/>
          <w:u w:val="single"/>
        </w:rPr>
        <w:t>承包人应按照现行的国家施工验收规范和资料评定标准施工；预验收不合格须整改</w:t>
      </w:r>
      <w:r>
        <w:rPr>
          <w:rFonts w:hint="eastAsia" w:ascii="宋体" w:hAnsi="宋体" w:cs="宋体"/>
          <w:color w:val="auto"/>
          <w:szCs w:val="21"/>
          <w:highlight w:val="none"/>
          <w:u w:val="single"/>
        </w:rPr>
        <w:t>合格，并处以10万元违约金；竣工验收必须合格，否则发包人将处以20万元违约金</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承包人同意终止施工合同并不再支付剩余工程款，承包人并应当另行承担因此给发包人造成的全部损</w:t>
      </w:r>
      <w:r>
        <w:rPr>
          <w:rFonts w:hint="eastAsia" w:ascii="宋体" w:hAnsi="宋体" w:cs="宋体"/>
          <w:color w:val="auto"/>
          <w:szCs w:val="21"/>
          <w:highlight w:val="none"/>
          <w:u w:val="single"/>
          <w:lang w:eastAsia="zh-CN"/>
        </w:rPr>
        <w:t>。</w:t>
      </w:r>
    </w:p>
    <w:p w14:paraId="0C1A065A">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highlight w:val="none"/>
        </w:rPr>
        <w:t>关于工程奖项的约定：</w:t>
      </w:r>
      <w:r>
        <w:rPr>
          <w:rFonts w:hint="eastAsia" w:ascii="宋体" w:hAnsi="宋体" w:cs="宋体"/>
          <w:color w:val="auto"/>
          <w:szCs w:val="21"/>
          <w:highlight w:val="none"/>
          <w:u w:val="single"/>
          <w:lang w:val="en-US" w:eastAsia="zh-CN"/>
        </w:rPr>
        <w:t xml:space="preserve">  无  </w:t>
      </w:r>
      <w:r>
        <w:rPr>
          <w:rFonts w:hint="eastAsia" w:ascii="宋体" w:hAnsi="宋体" w:eastAsia="宋体" w:cs="宋体"/>
          <w:color w:val="auto"/>
          <w:szCs w:val="21"/>
          <w:highlight w:val="none"/>
          <w:u w:val="single"/>
          <w:lang w:val="en-US" w:eastAsia="zh-CN"/>
        </w:rPr>
        <w:t>。</w:t>
      </w:r>
    </w:p>
    <w:p w14:paraId="2E8B9F7E">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5.3 隐蔽工程检查</w:t>
      </w:r>
    </w:p>
    <w:p w14:paraId="0B3344DD">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highlight w:val="none"/>
        </w:rPr>
        <w:t>5.3.2 承包人提前通知监理人隐蔽工程检查的期限的约定：</w:t>
      </w:r>
      <w:r>
        <w:rPr>
          <w:rFonts w:hint="eastAsia" w:ascii="宋体" w:hAnsi="宋体" w:eastAsia="宋体" w:cs="宋体"/>
          <w:color w:val="auto"/>
          <w:szCs w:val="21"/>
          <w:highlight w:val="none"/>
          <w:u w:val="single"/>
          <w:lang w:val="en-US" w:eastAsia="zh-CN"/>
        </w:rPr>
        <w:t>工程具备隐蔽条件或达到中间验收部位时，承包人自检合格后，在隐蔽和中间验收48小时前书面通知发包人代表和监理工程师参加。通知应包含承包人自检记录、隐蔽和中间验收的内容、时间和地点。承包人准备验收记录，验收合格，发包人代表及监理工程师在验收记录上签字后，方可进行隐蔽和继续施工。验收不合格，承包人在限定时间内重新验收。承包人不服从质量管理的，发包人有权清退其出场，并赔偿因此而造成的一切损失。</w:t>
      </w:r>
    </w:p>
    <w:p w14:paraId="1E1D349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监理人不能按时进行检查时，应提前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24</w:t>
      </w:r>
      <w:r>
        <w:rPr>
          <w:rFonts w:hint="eastAsia" w:ascii="宋体" w:hAnsi="宋体" w:cs="宋体"/>
          <w:color w:val="auto"/>
          <w:szCs w:val="21"/>
          <w:highlight w:val="none"/>
          <w:u w:val="single"/>
        </w:rPr>
        <w:t xml:space="preserve"> </w:t>
      </w:r>
      <w:r>
        <w:rPr>
          <w:rFonts w:hint="eastAsia" w:ascii="宋体" w:hAnsi="宋体" w:cs="宋体"/>
          <w:color w:val="auto"/>
          <w:highlight w:val="none"/>
        </w:rPr>
        <w:t>小时提交书面延期要求。</w:t>
      </w:r>
    </w:p>
    <w:p w14:paraId="7FA650F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关于延期最长不得超过：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48</w:t>
      </w:r>
      <w:r>
        <w:rPr>
          <w:rFonts w:hint="eastAsia" w:ascii="宋体" w:hAnsi="宋体" w:cs="宋体"/>
          <w:color w:val="auto"/>
          <w:szCs w:val="21"/>
          <w:highlight w:val="none"/>
          <w:u w:val="single"/>
        </w:rPr>
        <w:t xml:space="preserve"> </w:t>
      </w:r>
      <w:r>
        <w:rPr>
          <w:rFonts w:hint="eastAsia" w:ascii="宋体" w:hAnsi="宋体" w:cs="宋体"/>
          <w:color w:val="auto"/>
          <w:highlight w:val="none"/>
        </w:rPr>
        <w:t>小时。</w:t>
      </w:r>
    </w:p>
    <w:p w14:paraId="23910782">
      <w:pPr>
        <w:keepNext/>
        <w:keepLines/>
        <w:adjustRightInd w:val="0"/>
        <w:snapToGrid w:val="0"/>
        <w:spacing w:line="384" w:lineRule="auto"/>
        <w:jc w:val="left"/>
        <w:outlineLvl w:val="2"/>
        <w:rPr>
          <w:rFonts w:hint="eastAsia" w:ascii="宋体" w:hAnsi="宋体" w:cs="宋体"/>
          <w:bCs/>
          <w:color w:val="auto"/>
          <w:sz w:val="24"/>
          <w:highlight w:val="none"/>
        </w:rPr>
      </w:pPr>
      <w:bookmarkStart w:id="854" w:name="_Toc351203638"/>
      <w:bookmarkStart w:id="855" w:name="_Toc95223467"/>
      <w:r>
        <w:rPr>
          <w:rFonts w:hint="eastAsia" w:ascii="宋体" w:hAnsi="宋体" w:cs="宋体"/>
          <w:bCs/>
          <w:color w:val="auto"/>
          <w:sz w:val="24"/>
          <w:highlight w:val="none"/>
        </w:rPr>
        <w:t>6. 安全文明施工与环境保护</w:t>
      </w:r>
      <w:bookmarkEnd w:id="854"/>
      <w:bookmarkEnd w:id="855"/>
    </w:p>
    <w:p w14:paraId="48E00AE8">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6.1 安全文明施工</w:t>
      </w:r>
    </w:p>
    <w:p w14:paraId="380D9569">
      <w:pPr>
        <w:adjustRightInd w:val="0"/>
        <w:snapToGrid w:val="0"/>
        <w:spacing w:line="384" w:lineRule="auto"/>
        <w:ind w:firstLine="420" w:firstLineChars="200"/>
        <w:rPr>
          <w:rFonts w:hint="eastAsia" w:ascii="宋体" w:hAnsi="宋体" w:eastAsia="宋体" w:cs="宋体"/>
          <w:color w:val="auto"/>
          <w:highlight w:val="none"/>
          <w:u w:val="single"/>
          <w:lang w:eastAsia="zh-CN"/>
        </w:rPr>
      </w:pPr>
      <w:r>
        <w:rPr>
          <w:rFonts w:hint="eastAsia" w:ascii="宋体" w:hAnsi="宋体" w:cs="宋体"/>
          <w:color w:val="auto"/>
          <w:highlight w:val="none"/>
        </w:rPr>
        <w:t>6.1.1 项目安全生产的达标目标及相应事项的约定：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A408E7B">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6.1.4 关于治安保卫的特别约定：</w:t>
      </w:r>
      <w:r>
        <w:rPr>
          <w:rFonts w:hint="eastAsia" w:ascii="宋体" w:hAnsi="宋体" w:cs="宋体"/>
          <w:color w:val="auto"/>
          <w:szCs w:val="21"/>
          <w:highlight w:val="none"/>
          <w:u w:val="single"/>
        </w:rPr>
        <w:t xml:space="preserve"> 执行通用条款  </w:t>
      </w:r>
      <w:r>
        <w:rPr>
          <w:rFonts w:hint="eastAsia" w:ascii="宋体" w:hAnsi="宋体" w:cs="宋体"/>
          <w:color w:val="auto"/>
          <w:highlight w:val="none"/>
        </w:rPr>
        <w:t>。</w:t>
      </w:r>
    </w:p>
    <w:p w14:paraId="44FF2B5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关于编制施工场地治安管理计划的约定：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81FA0B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6.1.5 文明施工</w:t>
      </w:r>
    </w:p>
    <w:p w14:paraId="452BD56A">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合同当事人对文明施工的要求：</w:t>
      </w:r>
      <w:r>
        <w:rPr>
          <w:rFonts w:hint="eastAsia" w:ascii="宋体" w:hAnsi="宋体" w:cs="宋体"/>
          <w:color w:val="auto"/>
          <w:highlight w:val="none"/>
          <w:u w:val="single"/>
        </w:rPr>
        <w:t xml:space="preserve"> </w:t>
      </w:r>
      <w:r>
        <w:rPr>
          <w:rFonts w:hint="eastAsia" w:ascii="宋体" w:hAnsi="宋体" w:cs="宋体"/>
          <w:color w:val="auto"/>
          <w:highlight w:val="none"/>
          <w:u w:val="single"/>
          <w:lang w:eastAsia="zh-CN"/>
        </w:rPr>
        <w:t>（</w:t>
      </w:r>
      <w:r>
        <w:rPr>
          <w:rFonts w:hint="eastAsia" w:ascii="宋体" w:hAnsi="宋体" w:cs="宋体"/>
          <w:color w:val="auto"/>
          <w:highlight w:val="none"/>
          <w:u w:val="single"/>
        </w:rPr>
        <w:t>1）符合项目建设地文明施工要求；</w:t>
      </w:r>
    </w:p>
    <w:p w14:paraId="43297776">
      <w:pPr>
        <w:adjustRightInd w:val="0"/>
        <w:snapToGrid w:val="0"/>
        <w:spacing w:line="384" w:lineRule="auto"/>
        <w:ind w:firstLine="420" w:firstLineChars="200"/>
        <w:rPr>
          <w:rFonts w:hint="eastAsia" w:ascii="宋体" w:hAnsi="宋体" w:cs="宋体"/>
          <w:color w:val="auto"/>
          <w:highlight w:val="none"/>
          <w:u w:val="single"/>
          <w:lang w:val="en-US" w:eastAsia="zh-CN"/>
        </w:rPr>
      </w:pPr>
      <w:r>
        <w:rPr>
          <w:rFonts w:hint="eastAsia" w:ascii="宋体" w:hAnsi="宋体" w:cs="宋体"/>
          <w:color w:val="auto"/>
          <w:highlight w:val="none"/>
          <w:u w:val="single"/>
        </w:rPr>
        <w:t>（2）发生安全事故，承包人应按照有关规定立即上报有关部门并通知发包人，同时按照政府有关要求处理，由事故责任</w:t>
      </w:r>
      <w:r>
        <w:rPr>
          <w:rFonts w:hint="eastAsia" w:ascii="宋体" w:hAnsi="宋体" w:cs="宋体"/>
          <w:color w:val="auto"/>
          <w:highlight w:val="none"/>
          <w:u w:val="single"/>
          <w:lang w:val="en-US" w:eastAsia="zh-CN"/>
        </w:rPr>
        <w:t>方承担发生的费用。发包人根据事故的分类对承包人进行处以违约：</w:t>
      </w:r>
    </w:p>
    <w:p w14:paraId="087CA917">
      <w:pPr>
        <w:adjustRightInd w:val="0"/>
        <w:snapToGrid w:val="0"/>
        <w:spacing w:line="384" w:lineRule="auto"/>
        <w:ind w:firstLine="420" w:firstLineChars="200"/>
        <w:rPr>
          <w:rFonts w:hint="eastAsia" w:ascii="宋体" w:hAnsi="宋体" w:cs="宋体"/>
          <w:color w:val="auto"/>
          <w:highlight w:val="none"/>
          <w:u w:val="single"/>
          <w:lang w:val="en-US" w:eastAsia="zh-CN"/>
        </w:rPr>
      </w:pPr>
      <w:r>
        <w:rPr>
          <w:rFonts w:hint="eastAsia" w:ascii="宋体" w:hAnsi="宋体" w:cs="宋体"/>
          <w:color w:val="auto"/>
          <w:highlight w:val="none"/>
          <w:u w:val="single"/>
          <w:lang w:val="en-US" w:eastAsia="zh-CN"/>
        </w:rPr>
        <w:t xml:space="preserve">1）特别重大事故，发包人对承包人处以 50万元的人民币违约金，并承担因施工安全事故给本工程建设单位、项目管理单位和监理人带来的经济损失；  </w:t>
      </w:r>
    </w:p>
    <w:p w14:paraId="338296CE">
      <w:pPr>
        <w:adjustRightInd w:val="0"/>
        <w:snapToGrid w:val="0"/>
        <w:spacing w:line="384" w:lineRule="auto"/>
        <w:ind w:firstLine="420" w:firstLineChars="200"/>
        <w:rPr>
          <w:rFonts w:hint="eastAsia" w:ascii="宋体" w:hAnsi="宋体" w:cs="宋体"/>
          <w:color w:val="auto"/>
          <w:highlight w:val="none"/>
          <w:u w:val="single"/>
          <w:lang w:val="en-US" w:eastAsia="zh-CN"/>
        </w:rPr>
      </w:pPr>
      <w:r>
        <w:rPr>
          <w:rFonts w:hint="eastAsia" w:ascii="宋体" w:hAnsi="宋体" w:cs="宋体"/>
          <w:color w:val="auto"/>
          <w:highlight w:val="none"/>
          <w:u w:val="single"/>
          <w:lang w:val="en-US" w:eastAsia="zh-CN"/>
        </w:rPr>
        <w:t xml:space="preserve">2）重大事故，发包人对承包人处以30万元的人民币违约金，并承担因施工安全事故给本工程建设单位、项目管理单位和监理人带来的经济损失；  </w:t>
      </w:r>
    </w:p>
    <w:p w14:paraId="164397B7">
      <w:pPr>
        <w:adjustRightInd w:val="0"/>
        <w:snapToGrid w:val="0"/>
        <w:spacing w:line="384" w:lineRule="auto"/>
        <w:ind w:firstLine="420" w:firstLineChars="200"/>
        <w:rPr>
          <w:rFonts w:hint="eastAsia" w:ascii="宋体" w:hAnsi="宋体" w:cs="宋体"/>
          <w:color w:val="auto"/>
          <w:highlight w:val="none"/>
          <w:u w:val="single"/>
          <w:lang w:val="en-US" w:eastAsia="zh-CN"/>
        </w:rPr>
      </w:pPr>
      <w:r>
        <w:rPr>
          <w:rFonts w:hint="eastAsia" w:ascii="宋体" w:hAnsi="宋体" w:cs="宋体"/>
          <w:color w:val="auto"/>
          <w:highlight w:val="none"/>
          <w:u w:val="single"/>
          <w:lang w:val="en-US" w:eastAsia="zh-CN"/>
        </w:rPr>
        <w:t xml:space="preserve">3）较大事故，发包人对承包人处以20万元的人民币违约金，并承担因施工安全事故给本工程建设单位、项目管理单位和监理人带来的经济损失；  </w:t>
      </w:r>
    </w:p>
    <w:p w14:paraId="28511B6A">
      <w:pPr>
        <w:adjustRightInd w:val="0"/>
        <w:snapToGrid w:val="0"/>
        <w:spacing w:line="384" w:lineRule="auto"/>
        <w:ind w:firstLine="420" w:firstLineChars="200"/>
        <w:rPr>
          <w:rFonts w:hint="eastAsia" w:ascii="宋体" w:hAnsi="宋体" w:cs="宋体"/>
          <w:color w:val="auto"/>
          <w:highlight w:val="none"/>
          <w:u w:val="single"/>
          <w:lang w:val="en-US" w:eastAsia="zh-CN"/>
        </w:rPr>
      </w:pPr>
      <w:r>
        <w:rPr>
          <w:rFonts w:hint="eastAsia" w:ascii="宋体" w:hAnsi="宋体" w:cs="宋体"/>
          <w:color w:val="auto"/>
          <w:highlight w:val="none"/>
          <w:u w:val="single"/>
          <w:lang w:val="en-US" w:eastAsia="zh-CN"/>
        </w:rPr>
        <w:t>4）一般事故，发包人对承包人处以 10 万元的人民币违约金，并承担因施工安全事故给本工程建设单位、项目管理单位和监理人带来的经济损失。</w:t>
      </w:r>
    </w:p>
    <w:p w14:paraId="5E79571F">
      <w:pPr>
        <w:adjustRightInd w:val="0"/>
        <w:snapToGrid w:val="0"/>
        <w:spacing w:line="384" w:lineRule="auto"/>
        <w:ind w:firstLine="420" w:firstLineChars="200"/>
        <w:rPr>
          <w:rFonts w:hint="eastAsia" w:ascii="宋体" w:hAnsi="宋体" w:cs="宋体"/>
          <w:color w:val="auto"/>
          <w:highlight w:val="none"/>
          <w:u w:val="single"/>
          <w:lang w:val="en-US" w:eastAsia="zh-CN"/>
        </w:rPr>
      </w:pPr>
      <w:r>
        <w:rPr>
          <w:rFonts w:hint="eastAsia" w:ascii="宋体" w:hAnsi="宋体" w:cs="宋体"/>
          <w:color w:val="auto"/>
          <w:highlight w:val="none"/>
          <w:u w:val="single"/>
          <w:lang w:val="en-US" w:eastAsia="zh-CN"/>
        </w:rPr>
        <w:t>（3）发生质量事故，承包人应按照有关规定立即上报有关部门并通知发包人，同时按照政府有关要求处理，由事故责任方承担发生的费用。发包人根据事故的分类对承包人进行处以违约：1）特别重大质量事故，发包人对承包人处以50万元的人民币违约金，并承担因施工质量事故给本工程建设单位、项目管理单位和监理人带来的经济损失；2）重大质量事故，发包人对承包人处以30万元的人民币违约金，并承担因施工质量事故给本工程建设单位、项目管理单位和监理人带来的经济损失；3）严重质量事故，发包人对承包人处以20万元的人民币违约金，并承担因施工质量事故给本工程建设单位、项目管理单位和监理人带来的经济损失；4）一般质量事故，发包人对承包人处以10万元的人民币违约金，并承担因施工质量事故给本工程建设单位、项目管理单位和监理人带来的经济损失。</w:t>
      </w:r>
    </w:p>
    <w:p w14:paraId="20BBCAFA">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u w:val="single"/>
          <w:lang w:val="en-US" w:eastAsia="zh-CN"/>
        </w:rPr>
        <w:t>（4）进场道路绿化开口协调等安全文明施工相关工作及所需费用均由承包人</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0D79117">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highlight w:val="none"/>
        </w:rPr>
        <w:t>6.1.6 关于安全文明施工费支付比例和支付期限的约定：</w:t>
      </w:r>
      <w:r>
        <w:rPr>
          <w:rFonts w:hint="eastAsia" w:ascii="宋体" w:hAnsi="宋体" w:cs="宋体"/>
          <w:color w:val="auto"/>
          <w:highlight w:val="none"/>
          <w:u w:val="single"/>
        </w:rPr>
        <w:t xml:space="preserve"> 执行通用条款</w:t>
      </w:r>
      <w:r>
        <w:rPr>
          <w:rFonts w:hint="eastAsia" w:ascii="宋体" w:hAnsi="宋体" w:cs="宋体"/>
          <w:color w:val="auto"/>
          <w:highlight w:val="none"/>
          <w:u w:val="single"/>
          <w:lang w:eastAsia="zh-CN"/>
        </w:rPr>
        <w:t>。</w:t>
      </w:r>
    </w:p>
    <w:bookmarkEnd w:id="847"/>
    <w:bookmarkEnd w:id="848"/>
    <w:bookmarkEnd w:id="849"/>
    <w:bookmarkEnd w:id="850"/>
    <w:bookmarkEnd w:id="851"/>
    <w:bookmarkEnd w:id="852"/>
    <w:bookmarkEnd w:id="853"/>
    <w:p w14:paraId="165E467E">
      <w:pPr>
        <w:adjustRightInd w:val="0"/>
        <w:snapToGrid w:val="0"/>
        <w:spacing w:line="384" w:lineRule="auto"/>
        <w:rPr>
          <w:rFonts w:hint="eastAsia" w:ascii="宋体" w:hAnsi="宋体" w:cs="宋体"/>
          <w:bCs/>
          <w:color w:val="auto"/>
          <w:sz w:val="24"/>
          <w:highlight w:val="none"/>
        </w:rPr>
      </w:pPr>
      <w:bookmarkStart w:id="856" w:name="_Toc351203639"/>
      <w:bookmarkStart w:id="857" w:name="_Toc95223468"/>
      <w:r>
        <w:rPr>
          <w:rFonts w:hint="eastAsia" w:ascii="宋体" w:hAnsi="宋体" w:cs="宋体"/>
          <w:bCs/>
          <w:color w:val="auto"/>
          <w:sz w:val="24"/>
          <w:highlight w:val="none"/>
        </w:rPr>
        <w:t>7. 工期和进度</w:t>
      </w:r>
      <w:bookmarkEnd w:id="856"/>
      <w:bookmarkEnd w:id="857"/>
    </w:p>
    <w:p w14:paraId="4338D87D">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7.1 施工组织设计</w:t>
      </w:r>
    </w:p>
    <w:p w14:paraId="22ADBF1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7.1.1 合</w:t>
      </w:r>
      <w:r>
        <w:rPr>
          <w:rFonts w:hint="eastAsia" w:ascii="宋体" w:hAnsi="宋体" w:cs="宋体"/>
          <w:color w:val="auto"/>
          <w:kern w:val="0"/>
          <w:highlight w:val="none"/>
        </w:rPr>
        <w:t>同当事人约定的施工组织设计应包括的其他内容：</w:t>
      </w:r>
      <w:r>
        <w:rPr>
          <w:rFonts w:hint="eastAsia" w:ascii="宋体" w:hAnsi="宋体" w:eastAsia="宋体" w:cs="宋体"/>
          <w:color w:val="auto"/>
          <w:szCs w:val="21"/>
          <w:highlight w:val="none"/>
          <w:u w:val="single"/>
          <w:lang w:val="en-US" w:eastAsia="zh-CN"/>
        </w:rPr>
        <w:t>本工程需编制每月施工进度计划，经监理、发包人审批后作为进度款支付和考核进度完成的指标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F722E61">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highlight w:val="none"/>
        </w:rPr>
        <w:t xml:space="preserve">7.1.2 </w:t>
      </w:r>
      <w:r>
        <w:rPr>
          <w:rFonts w:hint="eastAsia" w:ascii="宋体" w:hAnsi="宋体" w:cs="宋体"/>
          <w:color w:val="auto"/>
          <w:kern w:val="0"/>
          <w:highlight w:val="none"/>
        </w:rPr>
        <w:t>施工组织设计的提交和修改</w:t>
      </w:r>
    </w:p>
    <w:p w14:paraId="0BA3DBD3">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kern w:val="0"/>
          <w:highlight w:val="none"/>
        </w:rPr>
        <w:t>承包人提交详细施工组织设计的期限的约定：</w:t>
      </w:r>
      <w:r>
        <w:rPr>
          <w:rFonts w:hint="eastAsia" w:ascii="宋体" w:hAnsi="宋体" w:eastAsia="宋体" w:cs="宋体"/>
          <w:color w:val="auto"/>
          <w:szCs w:val="21"/>
          <w:highlight w:val="none"/>
          <w:u w:val="single"/>
          <w:lang w:val="en-US" w:eastAsia="zh-CN"/>
        </w:rPr>
        <w:t>图纸会审及设计交底后一周内提供标后施工组织设计。</w:t>
      </w:r>
    </w:p>
    <w:p w14:paraId="0CE44DE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发包人和监理人在收到详细的施工组织设计后确认或提出修改意见的期限：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7日内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highlight w:val="none"/>
        </w:rPr>
        <w:t>。</w:t>
      </w:r>
    </w:p>
    <w:p w14:paraId="2E0E1098">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w:t>
      </w:r>
      <w:bookmarkStart w:id="858" w:name="_Toc312678005"/>
      <w:bookmarkStart w:id="859" w:name="_Toc312677479"/>
      <w:bookmarkStart w:id="860" w:name="_Toc300934966"/>
      <w:bookmarkStart w:id="861" w:name="_Toc303539123"/>
      <w:bookmarkStart w:id="862" w:name="_Toc297216173"/>
      <w:bookmarkStart w:id="863" w:name="_Toc297123514"/>
      <w:bookmarkStart w:id="864" w:name="_Toc304295541"/>
      <w:r>
        <w:rPr>
          <w:rFonts w:hint="eastAsia" w:ascii="宋体" w:hAnsi="宋体" w:cs="宋体"/>
          <w:bCs/>
          <w:color w:val="auto"/>
          <w:szCs w:val="28"/>
          <w:highlight w:val="none"/>
        </w:rPr>
        <w:t>.2 施工进度计划</w:t>
      </w:r>
    </w:p>
    <w:p w14:paraId="58C5294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7.2.2 施工进度计划的修订</w:t>
      </w:r>
    </w:p>
    <w:p w14:paraId="3B8B1B7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发包人和监理人在收到修订的施工进度计划后确认或提出修改意见的期限：</w:t>
      </w:r>
      <w:r>
        <w:rPr>
          <w:rFonts w:hint="eastAsia" w:ascii="宋体" w:hAnsi="宋体" w:cs="宋体"/>
          <w:color w:val="auto"/>
          <w:szCs w:val="21"/>
          <w:highlight w:val="none"/>
          <w:u w:val="single"/>
        </w:rPr>
        <w:t xml:space="preserve"> 7日内</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5B57EC1C">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7.3 开工</w:t>
      </w:r>
    </w:p>
    <w:p w14:paraId="05376C8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7.3.1 开工准备</w:t>
      </w:r>
    </w:p>
    <w:p w14:paraId="2A0B2850">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关于承包人提交</w:t>
      </w:r>
      <w:r>
        <w:rPr>
          <w:rFonts w:hint="eastAsia" w:ascii="宋体" w:hAnsi="宋体" w:cs="宋体"/>
          <w:color w:val="auto"/>
          <w:kern w:val="0"/>
          <w:highlight w:val="none"/>
        </w:rPr>
        <w:t>工程开工报审表的期限：</w:t>
      </w:r>
      <w:r>
        <w:rPr>
          <w:rFonts w:hint="eastAsia" w:ascii="宋体" w:hAnsi="宋体" w:cs="宋体"/>
          <w:color w:val="auto"/>
          <w:szCs w:val="21"/>
          <w:highlight w:val="none"/>
          <w:u w:val="single"/>
        </w:rPr>
        <w:t xml:space="preserve"> 执行通用条款    </w:t>
      </w:r>
    </w:p>
    <w:p w14:paraId="0FEABCD7">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关于发包人应完成的其他开工准备工作及期限：</w:t>
      </w:r>
      <w:r>
        <w:rPr>
          <w:rFonts w:hint="eastAsia" w:ascii="宋体" w:hAnsi="宋体" w:cs="宋体"/>
          <w:color w:val="auto"/>
          <w:szCs w:val="21"/>
          <w:highlight w:val="none"/>
          <w:u w:val="single"/>
        </w:rPr>
        <w:t xml:space="preserve"> 执行通用条款  </w:t>
      </w:r>
      <w:r>
        <w:rPr>
          <w:rFonts w:hint="eastAsia" w:ascii="宋体" w:hAnsi="宋体" w:cs="宋体"/>
          <w:color w:val="auto"/>
          <w:highlight w:val="none"/>
        </w:rPr>
        <w:t>。</w:t>
      </w:r>
    </w:p>
    <w:p w14:paraId="57D416E3">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关于承包人应完成的其他开工准备工作及期限：</w:t>
      </w:r>
      <w:r>
        <w:rPr>
          <w:rFonts w:hint="eastAsia" w:ascii="宋体" w:hAnsi="宋体" w:cs="宋体"/>
          <w:color w:val="auto"/>
          <w:szCs w:val="21"/>
          <w:highlight w:val="none"/>
          <w:u w:val="single"/>
        </w:rPr>
        <w:t xml:space="preserve"> 执行通用条款    </w:t>
      </w:r>
      <w:r>
        <w:rPr>
          <w:rFonts w:hint="eastAsia" w:ascii="宋体" w:hAnsi="宋体" w:cs="宋体"/>
          <w:color w:val="auto"/>
          <w:highlight w:val="none"/>
        </w:rPr>
        <w:t>。</w:t>
      </w:r>
    </w:p>
    <w:p w14:paraId="7D7F91D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7.3.2 开工通知</w:t>
      </w:r>
    </w:p>
    <w:p w14:paraId="27BC17C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因发包人原因造成监理人未能在计划开工日期之日起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90 </w:t>
      </w:r>
      <w:r>
        <w:rPr>
          <w:rFonts w:hint="eastAsia" w:ascii="宋体" w:hAnsi="宋体" w:cs="宋体"/>
          <w:color w:val="auto"/>
          <w:szCs w:val="21"/>
          <w:highlight w:val="none"/>
          <w:u w:val="single"/>
        </w:rPr>
        <w:t xml:space="preserve"> </w:t>
      </w:r>
      <w:r>
        <w:rPr>
          <w:rFonts w:hint="eastAsia" w:ascii="宋体" w:hAnsi="宋体" w:cs="宋体"/>
          <w:color w:val="auto"/>
          <w:highlight w:val="none"/>
        </w:rPr>
        <w:t>天内发出开工通知的，承包人有权提出价格调整要求，或者解除合同。</w:t>
      </w:r>
    </w:p>
    <w:bookmarkEnd w:id="858"/>
    <w:bookmarkEnd w:id="859"/>
    <w:bookmarkEnd w:id="860"/>
    <w:bookmarkEnd w:id="861"/>
    <w:bookmarkEnd w:id="862"/>
    <w:bookmarkEnd w:id="863"/>
    <w:bookmarkEnd w:id="864"/>
    <w:p w14:paraId="53267DBD">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7.4 测量放线</w:t>
      </w:r>
    </w:p>
    <w:p w14:paraId="65D3E086">
      <w:pPr>
        <w:adjustRightInd w:val="0"/>
        <w:snapToGrid w:val="0"/>
        <w:spacing w:line="384" w:lineRule="auto"/>
        <w:ind w:firstLine="420" w:firstLineChars="200"/>
        <w:rPr>
          <w:rFonts w:hint="eastAsia" w:ascii="宋体" w:hAnsi="宋体" w:eastAsia="宋体" w:cs="宋体"/>
          <w:color w:val="auto"/>
          <w:szCs w:val="21"/>
          <w:highlight w:val="none"/>
          <w:u w:val="single"/>
          <w:lang w:val="en-US" w:eastAsia="zh-CN"/>
        </w:rPr>
      </w:pPr>
      <w:r>
        <w:rPr>
          <w:rFonts w:hint="eastAsia" w:ascii="宋体" w:hAnsi="宋体" w:cs="宋体"/>
          <w:color w:val="auto"/>
          <w:highlight w:val="none"/>
        </w:rPr>
        <w:t>7.4.1 发包人通过监理人向承包人提供测量基准点、基准线和水准点及其书面资料的期限：</w:t>
      </w:r>
      <w:r>
        <w:rPr>
          <w:rFonts w:hint="eastAsia" w:ascii="宋体" w:hAnsi="宋体" w:cs="宋体"/>
          <w:color w:val="auto"/>
          <w:szCs w:val="21"/>
          <w:highlight w:val="none"/>
          <w:u w:val="single"/>
        </w:rPr>
        <w:t xml:space="preserve"> </w:t>
      </w:r>
      <w:bookmarkStart w:id="865" w:name="EBce06c504456746f28786ccb2e7cc12c8"/>
      <w:r>
        <w:rPr>
          <w:rFonts w:hint="eastAsia" w:ascii="宋体" w:hAnsi="宋体" w:eastAsia="宋体" w:cs="宋体"/>
          <w:color w:val="auto"/>
          <w:szCs w:val="21"/>
          <w:highlight w:val="none"/>
          <w:u w:val="single"/>
          <w:lang w:val="en-US" w:eastAsia="zh-CN"/>
        </w:rPr>
        <w:t>开工前提供</w:t>
      </w:r>
      <w:bookmarkEnd w:id="865"/>
      <w:r>
        <w:rPr>
          <w:rFonts w:hint="eastAsia" w:ascii="宋体" w:hAnsi="宋体" w:eastAsia="宋体" w:cs="宋体"/>
          <w:color w:val="auto"/>
          <w:szCs w:val="21"/>
          <w:highlight w:val="none"/>
          <w:u w:val="single"/>
          <w:lang w:val="en-US" w:eastAsia="zh-CN"/>
        </w:rPr>
        <w:t>水准点与坐标控制点，按施工图由发包人、承包人、监理现场交验，交验后，承包人应妥善保护场内水准点与控制点，任意破坏或遗失应由承包人负责恢复的费用。</w:t>
      </w:r>
    </w:p>
    <w:p w14:paraId="7AB36986">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w:t>
      </w:r>
      <w:bookmarkStart w:id="866" w:name="_Toc297123516"/>
      <w:bookmarkStart w:id="867" w:name="_Toc312677484"/>
      <w:bookmarkStart w:id="868" w:name="_Toc303539125"/>
      <w:bookmarkStart w:id="869" w:name="_Toc297216175"/>
      <w:bookmarkStart w:id="870" w:name="_Toc300934968"/>
      <w:bookmarkStart w:id="871" w:name="_Toc312678010"/>
      <w:bookmarkStart w:id="872" w:name="_Toc304295546"/>
      <w:r>
        <w:rPr>
          <w:rFonts w:hint="eastAsia" w:ascii="宋体" w:hAnsi="宋体" w:cs="宋体"/>
          <w:bCs/>
          <w:color w:val="auto"/>
          <w:szCs w:val="28"/>
          <w:highlight w:val="none"/>
        </w:rPr>
        <w:t>.5 工期延误</w:t>
      </w:r>
    </w:p>
    <w:bookmarkEnd w:id="866"/>
    <w:bookmarkEnd w:id="867"/>
    <w:bookmarkEnd w:id="868"/>
    <w:bookmarkEnd w:id="869"/>
    <w:bookmarkEnd w:id="870"/>
    <w:bookmarkEnd w:id="871"/>
    <w:bookmarkEnd w:id="872"/>
    <w:p w14:paraId="4CF4372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7.5.1 因发包人原因导致工期延误</w:t>
      </w:r>
    </w:p>
    <w:p w14:paraId="28AE7C69">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（7）因发包人原因导致工期延误的其他情形：</w:t>
      </w:r>
      <w:r>
        <w:rPr>
          <w:rFonts w:hint="eastAsia" w:ascii="宋体" w:hAnsi="宋体" w:cs="宋体"/>
          <w:color w:val="auto"/>
          <w:highlight w:val="none"/>
          <w:u w:val="single"/>
        </w:rPr>
        <w:t xml:space="preserve"> </w:t>
      </w:r>
      <w:r>
        <w:rPr>
          <w:rFonts w:hint="eastAsia" w:ascii="宋体" w:hAnsi="宋体" w:eastAsia="宋体" w:cs="宋体"/>
          <w:color w:val="auto"/>
          <w:szCs w:val="21"/>
          <w:highlight w:val="none"/>
          <w:u w:val="single"/>
          <w:lang w:val="en-US" w:eastAsia="zh-CN"/>
        </w:rPr>
        <w:t>由于发包人的原因和非承包人的责任停工的，工期顺延</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D30A0B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7</w:t>
      </w:r>
      <w:bookmarkStart w:id="873" w:name="_Toc318581169"/>
      <w:bookmarkStart w:id="874" w:name="_Toc312677486"/>
      <w:bookmarkStart w:id="875" w:name="_Toc312678012"/>
      <w:bookmarkStart w:id="876" w:name="_Toc303539127"/>
      <w:bookmarkStart w:id="877" w:name="_Toc297123518"/>
      <w:bookmarkStart w:id="878" w:name="_Toc300934970"/>
      <w:bookmarkStart w:id="879" w:name="_Toc297216177"/>
      <w:bookmarkStart w:id="880" w:name="_Toc304295548"/>
      <w:r>
        <w:rPr>
          <w:rFonts w:hint="eastAsia" w:ascii="宋体" w:hAnsi="宋体" w:cs="宋体"/>
          <w:color w:val="auto"/>
          <w:highlight w:val="none"/>
        </w:rPr>
        <w:t>.5.2 因承包人原因导致工期延误</w:t>
      </w:r>
    </w:p>
    <w:bookmarkEnd w:id="873"/>
    <w:bookmarkEnd w:id="874"/>
    <w:bookmarkEnd w:id="875"/>
    <w:p w14:paraId="7A711565">
      <w:pPr>
        <w:adjustRightInd w:val="0"/>
        <w:snapToGrid w:val="0"/>
        <w:spacing w:line="384" w:lineRule="auto"/>
        <w:ind w:firstLine="420" w:firstLineChars="200"/>
        <w:rPr>
          <w:rFonts w:hint="eastAsia" w:ascii="宋体" w:hAnsi="宋体" w:eastAsia="宋体" w:cs="宋体"/>
          <w:color w:val="auto"/>
          <w:highlight w:val="none"/>
          <w:u w:val="single"/>
        </w:rPr>
      </w:pPr>
      <w:r>
        <w:rPr>
          <w:rFonts w:hint="eastAsia" w:ascii="宋体" w:hAnsi="宋体" w:cs="宋体"/>
          <w:color w:val="auto"/>
          <w:highlight w:val="none"/>
        </w:rPr>
        <w:t>因</w:t>
      </w:r>
      <w:bookmarkStart w:id="881" w:name="_Toc312678013"/>
      <w:bookmarkStart w:id="882" w:name="_Toc312677487"/>
      <w:bookmarkStart w:id="883" w:name="_Toc318581170"/>
      <w:r>
        <w:rPr>
          <w:rFonts w:hint="eastAsia" w:ascii="宋体" w:hAnsi="宋体" w:cs="宋体"/>
          <w:color w:val="auto"/>
          <w:highlight w:val="none"/>
        </w:rPr>
        <w:t>承包人原因造成工期延误，逾期竣工违约金的计算方法为：</w:t>
      </w:r>
      <w:bookmarkEnd w:id="876"/>
      <w:bookmarkEnd w:id="877"/>
      <w:bookmarkEnd w:id="878"/>
      <w:bookmarkEnd w:id="879"/>
      <w:bookmarkEnd w:id="880"/>
      <w:bookmarkEnd w:id="881"/>
      <w:bookmarkEnd w:id="882"/>
      <w:r>
        <w:rPr>
          <w:rFonts w:hint="eastAsia" w:ascii="宋体" w:hAnsi="宋体" w:eastAsia="宋体" w:cs="宋体"/>
          <w:color w:val="auto"/>
          <w:highlight w:val="none"/>
          <w:u w:val="single"/>
          <w:lang w:val="en-US" w:eastAsia="zh-CN"/>
        </w:rPr>
        <w:t>因承包人原因造成合同工期延误，每延误一天，处以</w:t>
      </w:r>
      <w:r>
        <w:rPr>
          <w:rFonts w:hint="eastAsia" w:ascii="宋体" w:hAnsi="宋体" w:cs="宋体"/>
          <w:color w:val="auto"/>
          <w:highlight w:val="none"/>
          <w:u w:val="single"/>
          <w:lang w:val="en-US" w:eastAsia="zh-CN"/>
        </w:rPr>
        <w:t>10000</w:t>
      </w:r>
      <w:r>
        <w:rPr>
          <w:rFonts w:hint="eastAsia" w:ascii="宋体" w:hAnsi="宋体" w:eastAsia="宋体" w:cs="宋体"/>
          <w:color w:val="auto"/>
          <w:highlight w:val="none"/>
          <w:u w:val="single"/>
          <w:lang w:val="en-US" w:eastAsia="zh-CN"/>
        </w:rPr>
        <w:t>元违约金。月工程量未完成的当期不得请款，当月未完成的工程量纳入下月一并完成，完不成的仍不予请款，</w:t>
      </w:r>
      <w:r>
        <w:rPr>
          <w:rFonts w:hint="eastAsia" w:ascii="宋体" w:hAnsi="宋体" w:cs="宋体"/>
          <w:color w:val="auto"/>
          <w:highlight w:val="none"/>
          <w:u w:val="single"/>
          <w:lang w:val="en-US" w:eastAsia="zh-CN"/>
        </w:rPr>
        <w:t>以此类推</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因承包人原因造成工期延误后，仍无法在业主要求的时间内完成本项目全部工程量的，除履行支付违约金外，按照已完成工程量的 80%结算工程款的方式进行结算，扣除已完成工程量 20%的结算工程款。</w:t>
      </w:r>
    </w:p>
    <w:bookmarkEnd w:id="883"/>
    <w:p w14:paraId="36D3054E">
      <w:pPr>
        <w:adjustRightInd w:val="0"/>
        <w:snapToGrid w:val="0"/>
        <w:spacing w:line="384" w:lineRule="auto"/>
        <w:ind w:firstLine="420" w:firstLineChars="200"/>
        <w:rPr>
          <w:rFonts w:hint="eastAsia" w:ascii="宋体" w:hAnsi="宋体" w:cs="宋体"/>
          <w:b/>
          <w:color w:val="auto"/>
          <w:highlight w:val="none"/>
          <w:u w:val="single"/>
        </w:rPr>
      </w:pPr>
      <w:r>
        <w:rPr>
          <w:rFonts w:hint="eastAsia" w:ascii="宋体" w:hAnsi="宋体" w:cs="宋体"/>
          <w:color w:val="auto"/>
          <w:highlight w:val="none"/>
        </w:rPr>
        <w:t>因承包人原因造成工期延误，逾</w:t>
      </w:r>
      <w:bookmarkStart w:id="884" w:name="_Toc318581171"/>
      <w:bookmarkStart w:id="885" w:name="_Toc312678014"/>
      <w:r>
        <w:rPr>
          <w:rFonts w:hint="eastAsia" w:ascii="宋体" w:hAnsi="宋体" w:cs="宋体"/>
          <w:color w:val="auto"/>
          <w:highlight w:val="none"/>
        </w:rPr>
        <w:t>期竣工违约金的上限：</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中标价*2%</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bookmarkEnd w:id="884"/>
    <w:bookmarkEnd w:id="885"/>
    <w:p w14:paraId="6C3C51A1">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w:t>
      </w:r>
      <w:bookmarkStart w:id="886" w:name="_Toc297216178"/>
      <w:bookmarkStart w:id="887" w:name="_Toc300934971"/>
      <w:bookmarkStart w:id="888" w:name="_Toc304295549"/>
      <w:bookmarkStart w:id="889" w:name="_Toc312678015"/>
      <w:bookmarkStart w:id="890" w:name="_Toc303539128"/>
      <w:bookmarkStart w:id="891" w:name="_Toc297123519"/>
      <w:r>
        <w:rPr>
          <w:rFonts w:hint="eastAsia" w:ascii="宋体" w:hAnsi="宋体" w:cs="宋体"/>
          <w:bCs/>
          <w:color w:val="auto"/>
          <w:szCs w:val="28"/>
          <w:highlight w:val="none"/>
        </w:rPr>
        <w:t>.6 不</w:t>
      </w:r>
      <w:bookmarkEnd w:id="886"/>
      <w:bookmarkEnd w:id="887"/>
      <w:bookmarkEnd w:id="888"/>
      <w:bookmarkEnd w:id="889"/>
      <w:bookmarkEnd w:id="890"/>
      <w:bookmarkEnd w:id="891"/>
      <w:r>
        <w:rPr>
          <w:rFonts w:hint="eastAsia" w:ascii="宋体" w:hAnsi="宋体" w:cs="宋体"/>
          <w:bCs/>
          <w:color w:val="auto"/>
          <w:szCs w:val="28"/>
          <w:highlight w:val="none"/>
        </w:rPr>
        <w:t>利物质条件</w:t>
      </w:r>
    </w:p>
    <w:p w14:paraId="5EB340F4">
      <w:pPr>
        <w:adjustRightInd w:val="0"/>
        <w:snapToGrid w:val="0"/>
        <w:spacing w:line="384" w:lineRule="auto"/>
        <w:ind w:firstLine="420" w:firstLineChars="200"/>
        <w:rPr>
          <w:rFonts w:hint="eastAsia" w:ascii="宋体" w:hAnsi="宋体" w:cs="宋体"/>
          <w:b/>
          <w:color w:val="auto"/>
          <w:highlight w:val="none"/>
          <w:u w:val="single"/>
        </w:rPr>
      </w:pPr>
      <w:bookmarkStart w:id="892" w:name="_Toc318581172"/>
      <w:bookmarkStart w:id="893" w:name="_Toc297216179"/>
      <w:bookmarkStart w:id="894" w:name="_Toc297123520"/>
      <w:bookmarkStart w:id="895" w:name="_Toc304295550"/>
      <w:bookmarkStart w:id="896" w:name="_Toc300934972"/>
      <w:bookmarkStart w:id="897" w:name="_Toc303539129"/>
      <w:bookmarkStart w:id="898" w:name="_Toc312678016"/>
      <w:r>
        <w:rPr>
          <w:rFonts w:hint="eastAsia" w:ascii="宋体" w:hAnsi="宋体" w:cs="宋体"/>
          <w:color w:val="auto"/>
          <w:highlight w:val="none"/>
        </w:rPr>
        <w:t>不利物质条件的其他情形和有关约定：</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执行通用条款</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bookmarkEnd w:id="892"/>
    <w:bookmarkEnd w:id="893"/>
    <w:bookmarkEnd w:id="894"/>
    <w:bookmarkEnd w:id="895"/>
    <w:bookmarkEnd w:id="896"/>
    <w:bookmarkEnd w:id="897"/>
    <w:bookmarkEnd w:id="898"/>
    <w:p w14:paraId="53226159">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w:t>
      </w:r>
      <w:bookmarkStart w:id="899" w:name="_Toc300934973"/>
      <w:bookmarkStart w:id="900" w:name="_Toc303539130"/>
      <w:bookmarkStart w:id="901" w:name="_Toc297123521"/>
      <w:bookmarkStart w:id="902" w:name="_Toc304295551"/>
      <w:bookmarkStart w:id="903" w:name="_Toc297216180"/>
      <w:bookmarkStart w:id="904" w:name="_Toc312678017"/>
      <w:r>
        <w:rPr>
          <w:rFonts w:hint="eastAsia" w:ascii="宋体" w:hAnsi="宋体" w:cs="宋体"/>
          <w:bCs/>
          <w:color w:val="auto"/>
          <w:szCs w:val="28"/>
          <w:highlight w:val="none"/>
        </w:rPr>
        <w:t>.7 异常恶劣的气候条件</w:t>
      </w:r>
    </w:p>
    <w:bookmarkEnd w:id="899"/>
    <w:bookmarkEnd w:id="900"/>
    <w:bookmarkEnd w:id="901"/>
    <w:bookmarkEnd w:id="902"/>
    <w:bookmarkEnd w:id="903"/>
    <w:bookmarkEnd w:id="904"/>
    <w:p w14:paraId="26D0034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发包人和承包人同意以下情形视为异常恶劣的气候条件：</w:t>
      </w:r>
    </w:p>
    <w:p w14:paraId="325D81F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七</w:t>
      </w:r>
      <w:r>
        <w:rPr>
          <w:rFonts w:hint="eastAsia" w:ascii="宋体" w:hAnsi="宋体" w:eastAsia="宋体" w:cs="宋体"/>
          <w:color w:val="auto"/>
          <w:szCs w:val="21"/>
          <w:highlight w:val="none"/>
          <w:u w:val="single"/>
          <w:lang w:val="en-US" w:eastAsia="zh-CN"/>
        </w:rPr>
        <w:t>级以上（含七级）大风连续 8 小时</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6F93E7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w:t>
      </w:r>
      <w:r>
        <w:rPr>
          <w:rFonts w:hint="eastAsia" w:ascii="宋体" w:hAnsi="宋体" w:cs="宋体"/>
          <w:color w:val="auto"/>
          <w:highlight w:val="none"/>
          <w:u w:val="single"/>
        </w:rPr>
        <w:t xml:space="preserve">  </w:t>
      </w:r>
      <w:r>
        <w:rPr>
          <w:rFonts w:hint="eastAsia" w:ascii="宋体" w:hAnsi="宋体" w:eastAsia="宋体" w:cs="宋体"/>
          <w:color w:val="auto"/>
          <w:szCs w:val="21"/>
          <w:highlight w:val="none"/>
          <w:u w:val="single"/>
          <w:lang w:val="en-US" w:eastAsia="zh-CN"/>
        </w:rPr>
        <w:t>日最高温度大于 40 摄氏度，日最低温度小于-4 摄氏度</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507AC9A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u w:val="single"/>
        </w:rPr>
        <w:t xml:space="preserve">  </w:t>
      </w:r>
      <w:r>
        <w:rPr>
          <w:rFonts w:hint="eastAsia" w:ascii="宋体" w:hAnsi="宋体" w:eastAsia="宋体" w:cs="宋体"/>
          <w:color w:val="auto"/>
          <w:szCs w:val="21"/>
          <w:highlight w:val="none"/>
          <w:u w:val="single"/>
          <w:lang w:val="en-US" w:eastAsia="zh-CN"/>
        </w:rPr>
        <w:t>日（昼夜）平均积雪量超过 200mm 的恶劣天气影响</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CDDD3FA">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7.9 提前竣工</w:t>
      </w:r>
    </w:p>
    <w:p w14:paraId="4157F40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7.9.2 提前竣工的奖励：</w:t>
      </w:r>
      <w:r>
        <w:rPr>
          <w:rFonts w:hint="eastAsia" w:ascii="宋体" w:hAnsi="宋体" w:cs="宋体"/>
          <w:color w:val="auto"/>
          <w:highlight w:val="none"/>
          <w:u w:val="single"/>
          <w:lang w:val="en-US" w:eastAsia="zh-CN"/>
        </w:rPr>
        <w:t>无</w:t>
      </w:r>
    </w:p>
    <w:p w14:paraId="1EB80EF8">
      <w:pPr>
        <w:keepNext/>
        <w:keepLines/>
        <w:adjustRightInd w:val="0"/>
        <w:snapToGrid w:val="0"/>
        <w:spacing w:line="384" w:lineRule="auto"/>
        <w:jc w:val="left"/>
        <w:outlineLvl w:val="2"/>
        <w:rPr>
          <w:rFonts w:hint="eastAsia" w:ascii="宋体" w:hAnsi="宋体" w:cs="宋体"/>
          <w:bCs/>
          <w:color w:val="auto"/>
          <w:sz w:val="24"/>
          <w:highlight w:val="none"/>
        </w:rPr>
      </w:pPr>
      <w:bookmarkStart w:id="905" w:name="_Toc95223469"/>
      <w:bookmarkStart w:id="906" w:name="_Toc351203640"/>
      <w:r>
        <w:rPr>
          <w:rFonts w:hint="eastAsia" w:ascii="宋体" w:hAnsi="宋体" w:cs="宋体"/>
          <w:bCs/>
          <w:color w:val="auto"/>
          <w:sz w:val="24"/>
          <w:highlight w:val="none"/>
        </w:rPr>
        <w:t>8. 材料与设备</w:t>
      </w:r>
      <w:bookmarkEnd w:id="905"/>
      <w:bookmarkEnd w:id="906"/>
    </w:p>
    <w:bookmarkEnd w:id="837"/>
    <w:bookmarkEnd w:id="838"/>
    <w:bookmarkEnd w:id="839"/>
    <w:bookmarkEnd w:id="840"/>
    <w:bookmarkEnd w:id="841"/>
    <w:bookmarkEnd w:id="842"/>
    <w:bookmarkEnd w:id="843"/>
    <w:bookmarkEnd w:id="844"/>
    <w:bookmarkEnd w:id="845"/>
    <w:bookmarkEnd w:id="846"/>
    <w:p w14:paraId="5601238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8</w:t>
      </w:r>
      <w:bookmarkStart w:id="907" w:name="_Toc300934979"/>
      <w:bookmarkStart w:id="908" w:name="_Toc292559877"/>
      <w:bookmarkStart w:id="909" w:name="_Toc296891207"/>
      <w:bookmarkStart w:id="910" w:name="_Toc292559372"/>
      <w:bookmarkStart w:id="911" w:name="_Toc312677493"/>
      <w:bookmarkStart w:id="912" w:name="_Toc296347166"/>
      <w:bookmarkStart w:id="913" w:name="_Toc297123527"/>
      <w:bookmarkStart w:id="914" w:name="_Toc297048353"/>
      <w:bookmarkStart w:id="915" w:name="_Toc303539136"/>
      <w:bookmarkStart w:id="916" w:name="_Toc296503167"/>
      <w:bookmarkStart w:id="917" w:name="_Toc296890995"/>
      <w:bookmarkStart w:id="918" w:name="_Toc280868654"/>
      <w:bookmarkStart w:id="919" w:name="_Toc312678019"/>
      <w:bookmarkStart w:id="920" w:name="_Toc296346668"/>
      <w:bookmarkStart w:id="921" w:name="_Toc297216186"/>
      <w:bookmarkStart w:id="922" w:name="_Toc297120467"/>
      <w:bookmarkStart w:id="923" w:name="_Toc304295556"/>
      <w:bookmarkStart w:id="924" w:name="_Toc296944506"/>
      <w:bookmarkStart w:id="925" w:name="_Toc267251424"/>
      <w:bookmarkStart w:id="926" w:name="_Toc280868655"/>
      <w:bookmarkStart w:id="927" w:name="_Toc280868656"/>
      <w:r>
        <w:rPr>
          <w:rFonts w:hint="eastAsia" w:ascii="宋体" w:hAnsi="宋体" w:cs="宋体"/>
          <w:color w:val="auto"/>
          <w:highlight w:val="none"/>
        </w:rPr>
        <w:t>.4 材料与工程设备的保管与使用</w:t>
      </w:r>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14:paraId="6F6AF359">
      <w:pPr>
        <w:adjustRightInd w:val="0"/>
        <w:snapToGrid w:val="0"/>
        <w:spacing w:line="384" w:lineRule="auto"/>
        <w:ind w:firstLine="420" w:firstLineChars="200"/>
        <w:rPr>
          <w:rFonts w:hint="eastAsia" w:ascii="宋体" w:hAnsi="宋体" w:cs="宋体"/>
          <w:color w:val="auto"/>
          <w:highlight w:val="none"/>
          <w:u w:val="single"/>
          <w:lang w:val="en-US" w:eastAsia="zh-CN"/>
        </w:rPr>
      </w:pPr>
      <w:r>
        <w:rPr>
          <w:rFonts w:hint="eastAsia" w:ascii="宋体" w:hAnsi="宋体" w:cs="宋体"/>
          <w:color w:val="auto"/>
          <w:highlight w:val="none"/>
        </w:rPr>
        <w:t>8</w:t>
      </w:r>
      <w:bookmarkStart w:id="928" w:name="_Toc292559878"/>
      <w:bookmarkStart w:id="929" w:name="_Toc292559373"/>
      <w:bookmarkStart w:id="930" w:name="_Toc297048354"/>
      <w:bookmarkStart w:id="931" w:name="_Toc296890996"/>
      <w:bookmarkStart w:id="932" w:name="_Toc312678020"/>
      <w:bookmarkStart w:id="933" w:name="_Toc296346669"/>
      <w:bookmarkStart w:id="934" w:name="_Toc296891208"/>
      <w:bookmarkStart w:id="935" w:name="_Toc303539137"/>
      <w:bookmarkStart w:id="936" w:name="_Toc318581173"/>
      <w:bookmarkStart w:id="937" w:name="_Toc312677494"/>
      <w:bookmarkStart w:id="938" w:name="_Toc297123528"/>
      <w:bookmarkStart w:id="939" w:name="_Toc304295557"/>
      <w:bookmarkStart w:id="940" w:name="_Toc296944507"/>
      <w:bookmarkStart w:id="941" w:name="_Toc297120468"/>
      <w:bookmarkStart w:id="942" w:name="_Toc296347167"/>
      <w:bookmarkStart w:id="943" w:name="_Toc297216187"/>
      <w:bookmarkStart w:id="944" w:name="_Toc296503168"/>
      <w:bookmarkStart w:id="945" w:name="_Toc300934980"/>
      <w:r>
        <w:rPr>
          <w:rFonts w:hint="eastAsia" w:ascii="宋体" w:hAnsi="宋体" w:cs="宋体"/>
          <w:color w:val="auto"/>
          <w:highlight w:val="none"/>
        </w:rPr>
        <w:t>.4.1 发包人供应的材料设备的保管费用的承担：</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承包人承担。</w:t>
      </w:r>
    </w:p>
    <w:bookmarkEnd w:id="928"/>
    <w:bookmarkEnd w:id="929"/>
    <w:p w14:paraId="7A8683B2">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8.6 样品</w:t>
      </w:r>
    </w:p>
    <w:p w14:paraId="13ACB8E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8.6.1 样品的报送与封存</w:t>
      </w:r>
    </w:p>
    <w:p w14:paraId="39B1399C">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需要承包人报送样品的材料或工程设备，样品的种类、名称、规格、数量要求：</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lang w:val="en-US" w:eastAsia="zh-CN"/>
        </w:rPr>
        <w:t>按监理或发包人要求确定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40A507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8.8 施工设备和临时设施</w:t>
      </w:r>
    </w:p>
    <w:p w14:paraId="076E900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8.8.1 承包人提供的施工设备和临时设施</w:t>
      </w:r>
    </w:p>
    <w:p w14:paraId="6A9C5FC8">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关于修建临时设施费用承担的约定：</w:t>
      </w:r>
      <w:r>
        <w:rPr>
          <w:rFonts w:hint="eastAsia" w:ascii="宋体" w:hAnsi="宋体" w:cs="宋体"/>
          <w:color w:val="auto"/>
          <w:szCs w:val="21"/>
          <w:highlight w:val="none"/>
          <w:u w:val="single"/>
        </w:rPr>
        <w:t xml:space="preserve"> </w:t>
      </w:r>
      <w:r>
        <w:rPr>
          <w:rFonts w:hint="eastAsia" w:ascii="宋体" w:hAnsi="宋体" w:eastAsia="宋体" w:cs="宋体"/>
          <w:color w:val="auto"/>
          <w:highlight w:val="none"/>
          <w:u w:val="single"/>
          <w:lang w:val="en-US" w:eastAsia="zh-CN"/>
        </w:rPr>
        <w:t>由承包人自行承担费用</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14:paraId="0D40C503">
      <w:pPr>
        <w:keepNext/>
        <w:keepLines/>
        <w:adjustRightInd w:val="0"/>
        <w:snapToGrid w:val="0"/>
        <w:spacing w:line="384" w:lineRule="auto"/>
        <w:jc w:val="left"/>
        <w:outlineLvl w:val="2"/>
        <w:rPr>
          <w:rFonts w:hint="eastAsia" w:ascii="宋体" w:hAnsi="宋体" w:cs="宋体"/>
          <w:bCs/>
          <w:color w:val="auto"/>
          <w:sz w:val="24"/>
          <w:highlight w:val="none"/>
        </w:rPr>
      </w:pPr>
      <w:bookmarkStart w:id="946" w:name="_Toc95223470"/>
      <w:bookmarkStart w:id="947" w:name="_Toc351203641"/>
      <w:r>
        <w:rPr>
          <w:rFonts w:hint="eastAsia" w:ascii="宋体" w:hAnsi="宋体" w:cs="宋体"/>
          <w:bCs/>
          <w:color w:val="auto"/>
          <w:sz w:val="24"/>
          <w:highlight w:val="none"/>
        </w:rPr>
        <w:t>9</w:t>
      </w:r>
      <w:bookmarkEnd w:id="925"/>
      <w:bookmarkEnd w:id="926"/>
      <w:bookmarkEnd w:id="927"/>
      <w:bookmarkStart w:id="948" w:name="_Toc303539139"/>
      <w:bookmarkStart w:id="949" w:name="_Toc304295559"/>
      <w:bookmarkStart w:id="950" w:name="_Toc312677495"/>
      <w:bookmarkStart w:id="951" w:name="_Toc297123533"/>
      <w:bookmarkStart w:id="952" w:name="_Toc312678021"/>
      <w:bookmarkStart w:id="953" w:name="_Toc297216192"/>
      <w:bookmarkStart w:id="954" w:name="_Toc300934982"/>
      <w:bookmarkStart w:id="955" w:name="_Toc267251427"/>
      <w:bookmarkStart w:id="956" w:name="_Toc267251428"/>
      <w:bookmarkStart w:id="957" w:name="_Toc297048359"/>
      <w:bookmarkStart w:id="958" w:name="_Toc292559883"/>
      <w:bookmarkStart w:id="959" w:name="_Toc297120473"/>
      <w:bookmarkStart w:id="960" w:name="_Toc296346674"/>
      <w:bookmarkStart w:id="961" w:name="_Toc292559378"/>
      <w:bookmarkStart w:id="962" w:name="_Toc296891001"/>
      <w:bookmarkStart w:id="963" w:name="_Toc296347172"/>
      <w:bookmarkStart w:id="964" w:name="_Toc296944512"/>
      <w:bookmarkStart w:id="965" w:name="_Toc296891213"/>
      <w:bookmarkStart w:id="966" w:name="_Toc296503173"/>
      <w:r>
        <w:rPr>
          <w:rFonts w:hint="eastAsia" w:ascii="宋体" w:hAnsi="宋体" w:cs="宋体"/>
          <w:bCs/>
          <w:color w:val="auto"/>
          <w:sz w:val="24"/>
          <w:highlight w:val="none"/>
        </w:rPr>
        <w:t>. 试验与检验</w:t>
      </w:r>
      <w:bookmarkEnd w:id="946"/>
      <w:bookmarkEnd w:id="947"/>
    </w:p>
    <w:bookmarkEnd w:id="948"/>
    <w:bookmarkEnd w:id="949"/>
    <w:bookmarkEnd w:id="950"/>
    <w:bookmarkEnd w:id="951"/>
    <w:bookmarkEnd w:id="952"/>
    <w:bookmarkEnd w:id="953"/>
    <w:bookmarkEnd w:id="954"/>
    <w:p w14:paraId="23108B7E">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9</w:t>
      </w:r>
      <w:bookmarkStart w:id="967" w:name="_Toc303539140"/>
      <w:bookmarkStart w:id="968" w:name="_Toc300934983"/>
      <w:bookmarkStart w:id="969" w:name="_Toc312677496"/>
      <w:bookmarkStart w:id="970" w:name="_Toc297123534"/>
      <w:bookmarkStart w:id="971" w:name="_Toc304295560"/>
      <w:bookmarkStart w:id="972" w:name="_Toc297216193"/>
      <w:bookmarkStart w:id="973" w:name="_Toc312678022"/>
      <w:r>
        <w:rPr>
          <w:rFonts w:hint="eastAsia" w:ascii="宋体" w:hAnsi="宋体" w:cs="宋体"/>
          <w:bCs/>
          <w:color w:val="auto"/>
          <w:szCs w:val="28"/>
          <w:highlight w:val="none"/>
        </w:rPr>
        <w:t>.1 试验设备与试验人员</w:t>
      </w:r>
    </w:p>
    <w:bookmarkEnd w:id="967"/>
    <w:bookmarkEnd w:id="968"/>
    <w:bookmarkEnd w:id="969"/>
    <w:bookmarkEnd w:id="970"/>
    <w:bookmarkEnd w:id="971"/>
    <w:bookmarkEnd w:id="972"/>
    <w:bookmarkEnd w:id="973"/>
    <w:p w14:paraId="6ED062F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9</w:t>
      </w:r>
      <w:bookmarkStart w:id="974" w:name="_Toc312677497"/>
      <w:bookmarkStart w:id="975" w:name="_Toc297123535"/>
      <w:bookmarkStart w:id="976" w:name="_Toc303539141"/>
      <w:bookmarkStart w:id="977" w:name="_Toc312678023"/>
      <w:bookmarkStart w:id="978" w:name="_Toc304295561"/>
      <w:bookmarkStart w:id="979" w:name="_Toc297216194"/>
      <w:bookmarkStart w:id="980" w:name="_Toc300934984"/>
      <w:bookmarkStart w:id="981" w:name="_Toc318581174"/>
      <w:r>
        <w:rPr>
          <w:rFonts w:hint="eastAsia" w:ascii="宋体" w:hAnsi="宋体" w:cs="宋体"/>
          <w:color w:val="auto"/>
          <w:highlight w:val="none"/>
        </w:rPr>
        <w:t>.1.2 试验设备</w:t>
      </w:r>
    </w:p>
    <w:p w14:paraId="362A9660">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施工现场需要配置的试验场所</w:t>
      </w:r>
      <w:bookmarkEnd w:id="974"/>
      <w:bookmarkEnd w:id="975"/>
      <w:bookmarkEnd w:id="976"/>
      <w:bookmarkEnd w:id="977"/>
      <w:bookmarkEnd w:id="978"/>
      <w:bookmarkEnd w:id="979"/>
      <w:bookmarkEnd w:id="980"/>
      <w:bookmarkStart w:id="982" w:name="_Toc297216195"/>
      <w:bookmarkStart w:id="983" w:name="_Toc312677498"/>
      <w:bookmarkStart w:id="984" w:name="_Toc304295562"/>
      <w:bookmarkStart w:id="985" w:name="_Toc303539142"/>
      <w:bookmarkStart w:id="986" w:name="_Toc297123536"/>
      <w:bookmarkStart w:id="987" w:name="_Toc300934985"/>
      <w:bookmarkStart w:id="988" w:name="_Toc312678024"/>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lang w:val="en-US" w:eastAsia="zh-CN"/>
        </w:rPr>
        <w:t>按有关规定执行，承包人自行承担费用</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44604970">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施工现场需要配备的试验设备：</w:t>
      </w:r>
      <w:r>
        <w:rPr>
          <w:rFonts w:hint="eastAsia" w:ascii="宋体" w:hAnsi="宋体" w:eastAsia="宋体" w:cs="宋体"/>
          <w:color w:val="auto"/>
          <w:highlight w:val="none"/>
          <w:u w:val="single"/>
          <w:lang w:val="en-US" w:eastAsia="zh-CN"/>
        </w:rPr>
        <w:t>按有关规定执行，承包人自行承担费用</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F6BFC19">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施工现场需要具备的其他试验条件：</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lang w:val="en-US" w:eastAsia="zh-CN"/>
        </w:rPr>
        <w:t>按有关规定执行，承包人自行承担费用</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19C7918">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 xml:space="preserve">9.4 现场工艺试验 </w:t>
      </w:r>
    </w:p>
    <w:p w14:paraId="73FC87E3">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现场工艺试验的有关约定：</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lang w:val="en-US" w:eastAsia="zh-CN"/>
        </w:rPr>
        <w:t>按有关规定执行，承包人自行承担费用</w:t>
      </w:r>
      <w:r>
        <w:rPr>
          <w:rFonts w:hint="eastAsia" w:ascii="宋体" w:hAnsi="宋体" w:cs="宋体"/>
          <w:color w:val="auto"/>
          <w:highlight w:val="none"/>
          <w:u w:val="single"/>
        </w:rPr>
        <w:t xml:space="preserve">  </w:t>
      </w:r>
      <w:r>
        <w:rPr>
          <w:rFonts w:hint="eastAsia" w:ascii="宋体" w:hAnsi="宋体" w:cs="宋体"/>
          <w:color w:val="auto"/>
          <w:highlight w:val="none"/>
        </w:rPr>
        <w:t>。</w:t>
      </w:r>
    </w:p>
    <w:bookmarkEnd w:id="981"/>
    <w:bookmarkEnd w:id="982"/>
    <w:bookmarkEnd w:id="983"/>
    <w:bookmarkEnd w:id="984"/>
    <w:bookmarkEnd w:id="985"/>
    <w:bookmarkEnd w:id="986"/>
    <w:bookmarkEnd w:id="987"/>
    <w:bookmarkEnd w:id="988"/>
    <w:p w14:paraId="1153768E">
      <w:pPr>
        <w:keepNext/>
        <w:keepLines/>
        <w:adjustRightInd w:val="0"/>
        <w:snapToGrid w:val="0"/>
        <w:spacing w:line="384" w:lineRule="auto"/>
        <w:jc w:val="left"/>
        <w:outlineLvl w:val="2"/>
        <w:rPr>
          <w:rFonts w:hint="eastAsia" w:ascii="宋体" w:hAnsi="宋体" w:cs="宋体"/>
          <w:bCs/>
          <w:color w:val="auto"/>
          <w:sz w:val="24"/>
          <w:highlight w:val="none"/>
        </w:rPr>
      </w:pPr>
      <w:bookmarkStart w:id="989" w:name="_Toc95223471"/>
      <w:bookmarkStart w:id="990" w:name="_Toc351203642"/>
      <w:r>
        <w:rPr>
          <w:rFonts w:hint="eastAsia" w:ascii="宋体" w:hAnsi="宋体" w:cs="宋体"/>
          <w:bCs/>
          <w:color w:val="auto"/>
          <w:sz w:val="24"/>
          <w:highlight w:val="none"/>
        </w:rPr>
        <w:t>1</w:t>
      </w:r>
      <w:bookmarkEnd w:id="955"/>
      <w:bookmarkEnd w:id="956"/>
      <w:bookmarkEnd w:id="957"/>
      <w:bookmarkEnd w:id="958"/>
      <w:bookmarkEnd w:id="959"/>
      <w:bookmarkEnd w:id="960"/>
      <w:bookmarkEnd w:id="961"/>
      <w:bookmarkEnd w:id="962"/>
      <w:bookmarkEnd w:id="963"/>
      <w:bookmarkEnd w:id="964"/>
      <w:bookmarkEnd w:id="965"/>
      <w:bookmarkEnd w:id="966"/>
      <w:bookmarkStart w:id="991" w:name="_Toc296944532"/>
      <w:bookmarkStart w:id="992" w:name="_Toc297048379"/>
      <w:bookmarkStart w:id="993" w:name="_Toc296346694"/>
      <w:bookmarkStart w:id="994" w:name="_Toc300934989"/>
      <w:bookmarkStart w:id="995" w:name="_Toc296503193"/>
      <w:bookmarkStart w:id="996" w:name="_Toc296891233"/>
      <w:bookmarkStart w:id="997" w:name="_Toc297120493"/>
      <w:bookmarkStart w:id="998" w:name="_Toc296891021"/>
      <w:bookmarkStart w:id="999" w:name="_Toc292559903"/>
      <w:bookmarkStart w:id="1000" w:name="_Toc296347192"/>
      <w:bookmarkStart w:id="1001" w:name="_Toc297216199"/>
      <w:bookmarkStart w:id="1002" w:name="_Toc304295566"/>
      <w:bookmarkStart w:id="1003" w:name="_Toc292559398"/>
      <w:bookmarkStart w:id="1004" w:name="_Toc303539146"/>
      <w:bookmarkStart w:id="1005" w:name="_Toc297123540"/>
      <w:bookmarkStart w:id="1006" w:name="_Toc312677499"/>
      <w:bookmarkStart w:id="1007" w:name="_Toc312678025"/>
      <w:bookmarkStart w:id="1008" w:name="_Toc267251441"/>
      <w:bookmarkStart w:id="1009" w:name="_Toc267251439"/>
      <w:bookmarkStart w:id="1010" w:name="_Toc267251435"/>
      <w:bookmarkStart w:id="1011" w:name="_Toc267251437"/>
      <w:bookmarkStart w:id="1012" w:name="_Toc267251433"/>
      <w:bookmarkStart w:id="1013" w:name="_Toc267251440"/>
      <w:bookmarkStart w:id="1014" w:name="_Toc267251442"/>
      <w:r>
        <w:rPr>
          <w:rFonts w:hint="eastAsia" w:ascii="宋体" w:hAnsi="宋体" w:cs="宋体"/>
          <w:bCs/>
          <w:color w:val="auto"/>
          <w:sz w:val="24"/>
          <w:highlight w:val="none"/>
        </w:rPr>
        <w:t>0. 变更</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bookmarkEnd w:id="1006"/>
    <w:bookmarkEnd w:id="1007"/>
    <w:p w14:paraId="08A61A7B">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w:t>
      </w:r>
      <w:bookmarkStart w:id="1015" w:name="_Toc312677500"/>
      <w:bookmarkStart w:id="1016" w:name="_Toc292559904"/>
      <w:bookmarkStart w:id="1017" w:name="_Toc296891234"/>
      <w:bookmarkStart w:id="1018" w:name="_Toc296346695"/>
      <w:bookmarkStart w:id="1019" w:name="_Toc296944533"/>
      <w:bookmarkStart w:id="1020" w:name="_Toc303539147"/>
      <w:bookmarkStart w:id="1021" w:name="_Toc296347193"/>
      <w:bookmarkStart w:id="1022" w:name="_Toc297048380"/>
      <w:bookmarkStart w:id="1023" w:name="_Toc292559399"/>
      <w:bookmarkStart w:id="1024" w:name="_Toc304295567"/>
      <w:bookmarkStart w:id="1025" w:name="_Toc296891022"/>
      <w:bookmarkStart w:id="1026" w:name="_Toc297123541"/>
      <w:bookmarkStart w:id="1027" w:name="_Toc297216200"/>
      <w:bookmarkStart w:id="1028" w:name="_Toc297120494"/>
      <w:bookmarkStart w:id="1029" w:name="_Toc312678026"/>
      <w:bookmarkStart w:id="1030" w:name="_Toc300934990"/>
      <w:bookmarkStart w:id="1031" w:name="_Toc296503194"/>
      <w:r>
        <w:rPr>
          <w:rFonts w:hint="eastAsia" w:ascii="宋体" w:hAnsi="宋体" w:cs="宋体"/>
          <w:bCs/>
          <w:color w:val="auto"/>
          <w:szCs w:val="28"/>
          <w:highlight w:val="none"/>
        </w:rPr>
        <w:t>0.1 变更的范围</w:t>
      </w:r>
    </w:p>
    <w:p w14:paraId="05E6D4E7">
      <w:pPr>
        <w:adjustRightInd w:val="0"/>
        <w:snapToGrid w:val="0"/>
        <w:spacing w:line="384" w:lineRule="auto"/>
        <w:ind w:firstLine="420" w:firstLineChars="200"/>
        <w:rPr>
          <w:rFonts w:hint="eastAsia" w:ascii="宋体" w:hAnsi="宋体" w:eastAsia="宋体" w:cs="宋体"/>
          <w:color w:val="auto"/>
          <w:highlight w:val="none"/>
          <w:u w:val="single"/>
          <w:lang w:val="en-US" w:eastAsia="zh-CN"/>
        </w:rPr>
      </w:pPr>
      <w:r>
        <w:rPr>
          <w:rFonts w:hint="eastAsia" w:ascii="宋体" w:hAnsi="宋体" w:cs="宋体"/>
          <w:color w:val="auto"/>
          <w:highlight w:val="none"/>
        </w:rPr>
        <w:t>关于</w:t>
      </w:r>
      <w:r>
        <w:rPr>
          <w:rFonts w:hint="eastAsia" w:ascii="宋体" w:hAnsi="宋体" w:cs="宋体"/>
          <w:color w:val="auto"/>
          <w:highlight w:val="none"/>
          <w:lang w:eastAsia="zh-CN"/>
        </w:rPr>
        <w:t>变更</w:t>
      </w:r>
      <w:r>
        <w:rPr>
          <w:rFonts w:hint="eastAsia" w:ascii="宋体" w:hAnsi="宋体" w:cs="宋体"/>
          <w:color w:val="auto"/>
          <w:highlight w:val="none"/>
        </w:rPr>
        <w:t>范围的约定：</w:t>
      </w:r>
      <w:r>
        <w:rPr>
          <w:rFonts w:hint="eastAsia" w:ascii="宋体" w:hAnsi="宋体" w:cs="宋体"/>
          <w:color w:val="auto"/>
          <w:szCs w:val="21"/>
          <w:highlight w:val="none"/>
          <w:u w:val="single"/>
        </w:rPr>
        <w:t xml:space="preserve"> </w:t>
      </w:r>
      <w:r>
        <w:rPr>
          <w:rFonts w:hint="eastAsia" w:ascii="宋体" w:hAnsi="宋体" w:eastAsia="宋体" w:cs="宋体"/>
          <w:color w:val="auto"/>
          <w:highlight w:val="none"/>
          <w:u w:val="single"/>
          <w:lang w:val="en-US" w:eastAsia="zh-CN"/>
        </w:rPr>
        <w:t>执行通用条款，符合国家、省、市相关文件规定。</w:t>
      </w:r>
    </w:p>
    <w:p w14:paraId="22B02C92">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10.4 变更估价</w:t>
      </w:r>
    </w:p>
    <w:p w14:paraId="4D56D0A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10.4.1 变更估价原则</w:t>
      </w:r>
    </w:p>
    <w:p w14:paraId="540E91ED">
      <w:pPr>
        <w:pageBreakBefore w:val="0"/>
        <w:widowControl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kern w:val="0"/>
          <w:highlight w:val="none"/>
        </w:rPr>
      </w:pPr>
      <w:r>
        <w:rPr>
          <w:rFonts w:hint="eastAsia" w:ascii="宋体" w:hAnsi="宋体" w:cs="宋体"/>
          <w:color w:val="auto"/>
          <w:highlight w:val="none"/>
        </w:rPr>
        <w:t xml:space="preserve">关于变更估价的约定： </w:t>
      </w:r>
      <w:r>
        <w:rPr>
          <w:rFonts w:hint="eastAsia" w:ascii="宋体" w:hAnsi="宋体" w:eastAsia="宋体" w:cs="宋体"/>
          <w:color w:val="auto"/>
          <w:kern w:val="2"/>
          <w:sz w:val="21"/>
          <w:szCs w:val="24"/>
          <w:highlight w:val="none"/>
          <w:u w:val="single"/>
          <w:lang w:val="en-US" w:eastAsia="zh-CN" w:bidi="ar-SA"/>
        </w:rPr>
        <w:t>按国家、省、市相关文件规定</w:t>
      </w:r>
      <w:r>
        <w:rPr>
          <w:rFonts w:hint="eastAsia" w:ascii="宋体" w:hAnsi="宋体" w:cs="宋体"/>
          <w:color w:val="auto"/>
          <w:highlight w:val="none"/>
        </w:rPr>
        <w:t xml:space="preserve"> </w:t>
      </w:r>
    </w:p>
    <w:p w14:paraId="2133B9F6">
      <w:pPr>
        <w:adjustRightInd w:val="0"/>
        <w:snapToGrid w:val="0"/>
        <w:spacing w:line="384" w:lineRule="auto"/>
        <w:ind w:firstLine="422" w:firstLineChars="200"/>
        <w:rPr>
          <w:rFonts w:hint="eastAsia" w:ascii="宋体" w:hAnsi="宋体" w:cs="宋体"/>
          <w:b/>
          <w:color w:val="auto"/>
          <w:highlight w:val="none"/>
        </w:rPr>
      </w:pPr>
      <w:r>
        <w:rPr>
          <w:rFonts w:hint="eastAsia" w:ascii="宋体" w:hAnsi="宋体" w:cs="宋体"/>
          <w:b/>
          <w:color w:val="auto"/>
          <w:kern w:val="0"/>
          <w:highlight w:val="none"/>
        </w:rPr>
        <w:t>10.4.1.1 因工程变更引起已标价工程量清单项目或其工程数量发生变化时，按下列规定调整：</w:t>
      </w:r>
      <w:r>
        <w:rPr>
          <w:rFonts w:hint="eastAsia" w:ascii="宋体" w:hAnsi="宋体" w:cs="宋体"/>
          <w:b/>
          <w:color w:val="auto"/>
          <w:highlight w:val="none"/>
        </w:rPr>
        <w:t xml:space="preserve"> 变更导致结算工程量减少 </w:t>
      </w:r>
      <w:r>
        <w:rPr>
          <w:rFonts w:hint="eastAsia" w:ascii="宋体" w:hAnsi="宋体" w:cs="宋体"/>
          <w:b/>
          <w:color w:val="auto"/>
          <w:highlight w:val="none"/>
          <w:lang w:eastAsia="zh-CN"/>
        </w:rPr>
        <w:t>0—100%</w:t>
      </w:r>
      <w:r>
        <w:rPr>
          <w:rFonts w:hint="eastAsia" w:ascii="宋体" w:hAnsi="宋体" w:cs="宋体"/>
          <w:b/>
          <w:color w:val="auto"/>
          <w:highlight w:val="none"/>
        </w:rPr>
        <w:t>或增加 15%以内部分，执行中标单价；超出 15％以外部分的，若中标综合单价高于（最高投标限价中综合单价×投标让利幅度）时，按（最高投标限价中综合单价×投标让利幅度）计算；若中标综合单价低于（最高投标限价中综合单价×投标让利幅度）时，执行中标单价</w:t>
      </w:r>
      <w:r>
        <w:rPr>
          <w:rFonts w:hint="eastAsia" w:ascii="宋体" w:hAnsi="宋体" w:cs="宋体"/>
          <w:b/>
          <w:color w:val="auto"/>
          <w:highlight w:val="none"/>
          <w:lang w:eastAsia="zh-CN"/>
        </w:rPr>
        <w:t>（</w:t>
      </w:r>
      <w:r>
        <w:rPr>
          <w:rFonts w:hint="eastAsia" w:ascii="宋体" w:hAnsi="宋体" w:cs="宋体"/>
          <w:b/>
          <w:color w:val="auto"/>
          <w:highlight w:val="none"/>
        </w:rPr>
        <w:t>组价明显错误的予以纠正） 。新增项目单价按照最高投标限价的编制原则重新组价×投标让利幅度，重新组价价格最终以审计部门审核结算价为准。注：投标让利幅度为中标价/最高投标限价，其中中标价和最高投标限价均扣除暂定金额、暂估价</w:t>
      </w:r>
      <w:r>
        <w:rPr>
          <w:rFonts w:hint="eastAsia" w:ascii="宋体" w:hAnsi="宋体" w:cs="宋体"/>
          <w:b/>
          <w:color w:val="auto"/>
          <w:highlight w:val="none"/>
          <w:lang w:eastAsia="zh-CN"/>
        </w:rPr>
        <w:t>。</w:t>
      </w:r>
      <w:r>
        <w:rPr>
          <w:rFonts w:hint="eastAsia" w:ascii="宋体" w:hAnsi="宋体" w:cs="宋体"/>
          <w:b/>
          <w:color w:val="auto"/>
          <w:highlight w:val="none"/>
        </w:rPr>
        <w:t xml:space="preserve">   </w:t>
      </w:r>
    </w:p>
    <w:p w14:paraId="465AF855">
      <w:pPr>
        <w:adjustRightInd w:val="0"/>
        <w:snapToGrid w:val="0"/>
        <w:spacing w:line="384" w:lineRule="auto"/>
        <w:ind w:firstLine="422" w:firstLineChars="200"/>
        <w:rPr>
          <w:rFonts w:hint="eastAsia" w:ascii="宋体" w:hAnsi="宋体" w:eastAsia="宋体" w:cs="宋体"/>
          <w:b/>
          <w:color w:val="0000FF"/>
          <w:szCs w:val="21"/>
          <w:highlight w:val="yellow"/>
          <w:u w:val="none"/>
          <w:lang w:eastAsia="zh-CN"/>
        </w:rPr>
      </w:pPr>
      <w:r>
        <w:rPr>
          <w:rFonts w:hint="eastAsia" w:ascii="宋体" w:hAnsi="宋体" w:cs="宋体"/>
          <w:b/>
          <w:color w:val="auto"/>
          <w:szCs w:val="21"/>
          <w:highlight w:val="none"/>
        </w:rPr>
        <w:t>10.4.1.2 工程变更引起施工方案改变并使措施项目发生变化时，承包人提出调整措施项目费的，应事前将拟实施的方案提交发包人确认，并应详细说明与原方案措施项目相比的变化情况。拟实施的方案经发承包双方确认后执行</w:t>
      </w:r>
      <w:r>
        <w:rPr>
          <w:rFonts w:hint="eastAsia" w:ascii="宋体" w:hAnsi="宋体" w:cs="宋体"/>
          <w:b/>
          <w:color w:val="auto"/>
          <w:szCs w:val="21"/>
          <w:highlight w:val="none"/>
          <w:lang w:eastAsia="zh-CN"/>
        </w:rPr>
        <w:t>。</w:t>
      </w:r>
    </w:p>
    <w:p w14:paraId="3427E618">
      <w:pPr>
        <w:keepNext/>
        <w:keepLines/>
        <w:pageBreakBefore w:val="0"/>
        <w:widowControl w:val="0"/>
        <w:kinsoku/>
        <w:wordWrap/>
        <w:overflowPunct/>
        <w:topLinePunct w:val="0"/>
        <w:autoSpaceDE/>
        <w:autoSpaceDN/>
        <w:bidi w:val="0"/>
        <w:adjustRightInd w:val="0"/>
        <w:snapToGrid w:val="0"/>
        <w:spacing w:line="384" w:lineRule="auto"/>
        <w:ind w:firstLine="420" w:firstLineChars="200"/>
        <w:textAlignment w:val="auto"/>
        <w:outlineLvl w:val="3"/>
        <w:rPr>
          <w:rFonts w:hint="eastAsia" w:ascii="宋体" w:hAnsi="宋体" w:cs="宋体"/>
          <w:bCs/>
          <w:color w:val="auto"/>
          <w:szCs w:val="28"/>
          <w:highlight w:val="none"/>
        </w:rPr>
      </w:pPr>
      <w:r>
        <w:rPr>
          <w:rFonts w:hint="eastAsia" w:ascii="宋体" w:hAnsi="宋体" w:cs="宋体"/>
          <w:bCs/>
          <w:color w:val="auto"/>
          <w:szCs w:val="28"/>
          <w:highlight w:val="none"/>
        </w:rPr>
        <w:t>1</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Start w:id="1032" w:name="_Toc297120497"/>
      <w:bookmarkStart w:id="1033" w:name="_Toc296891237"/>
      <w:bookmarkStart w:id="1034" w:name="_Toc297216203"/>
      <w:bookmarkStart w:id="1035" w:name="_Toc292559907"/>
      <w:bookmarkStart w:id="1036" w:name="_Toc296891025"/>
      <w:bookmarkStart w:id="1037" w:name="_Toc296503197"/>
      <w:bookmarkStart w:id="1038" w:name="_Toc297048383"/>
      <w:bookmarkStart w:id="1039" w:name="_Toc296944536"/>
      <w:bookmarkStart w:id="1040" w:name="_Toc303539150"/>
      <w:bookmarkStart w:id="1041" w:name="_Toc296346698"/>
      <w:bookmarkStart w:id="1042" w:name="_Toc292559402"/>
      <w:bookmarkStart w:id="1043" w:name="_Toc296347196"/>
      <w:bookmarkStart w:id="1044" w:name="_Toc300934993"/>
      <w:bookmarkStart w:id="1045" w:name="_Toc297123544"/>
      <w:bookmarkStart w:id="1046" w:name="_Toc304295570"/>
      <w:bookmarkStart w:id="1047" w:name="_Toc312677503"/>
      <w:bookmarkStart w:id="1048" w:name="_Toc312678029"/>
      <w:r>
        <w:rPr>
          <w:rFonts w:hint="eastAsia" w:ascii="宋体" w:hAnsi="宋体" w:cs="宋体"/>
          <w:bCs/>
          <w:color w:val="auto"/>
          <w:szCs w:val="28"/>
          <w:highlight w:val="none"/>
        </w:rPr>
        <w:t>0.5 承</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Start w:id="1049" w:name="_Toc297120503"/>
      <w:bookmarkStart w:id="1050" w:name="_Toc292559913"/>
      <w:bookmarkStart w:id="1051" w:name="_Toc297216204"/>
      <w:bookmarkStart w:id="1052" w:name="_Toc292559408"/>
      <w:bookmarkStart w:id="1053" w:name="_Toc296346704"/>
      <w:bookmarkStart w:id="1054" w:name="_Toc303539151"/>
      <w:bookmarkStart w:id="1055" w:name="_Toc296891243"/>
      <w:bookmarkStart w:id="1056" w:name="_Toc297123545"/>
      <w:bookmarkStart w:id="1057" w:name="_Toc296347202"/>
      <w:bookmarkStart w:id="1058" w:name="_Toc297048389"/>
      <w:bookmarkStart w:id="1059" w:name="_Toc296891031"/>
      <w:bookmarkStart w:id="1060" w:name="_Toc300934994"/>
      <w:bookmarkStart w:id="1061" w:name="_Toc296944542"/>
      <w:bookmarkStart w:id="1062" w:name="_Toc296503203"/>
      <w:r>
        <w:rPr>
          <w:rFonts w:hint="eastAsia" w:ascii="宋体" w:hAnsi="宋体" w:cs="宋体"/>
          <w:bCs/>
          <w:color w:val="auto"/>
          <w:szCs w:val="28"/>
          <w:highlight w:val="none"/>
        </w:rPr>
        <w:t>包人的合理化建议</w:t>
      </w:r>
    </w:p>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14:paraId="0299254D">
      <w:pPr>
        <w:pageBreakBefore w:val="0"/>
        <w:widowControl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u w:val="single"/>
        </w:rPr>
      </w:pPr>
      <w:r>
        <w:rPr>
          <w:rFonts w:hint="eastAsia" w:ascii="宋体" w:hAnsi="宋体" w:cs="宋体"/>
          <w:color w:val="auto"/>
          <w:highlight w:val="none"/>
        </w:rPr>
        <w:t>监理人审查承包人合理化建议的期限：</w:t>
      </w:r>
      <w:r>
        <w:rPr>
          <w:rFonts w:hint="eastAsia" w:ascii="宋体" w:hAnsi="宋体" w:cs="宋体"/>
          <w:color w:val="auto"/>
          <w:szCs w:val="21"/>
          <w:highlight w:val="none"/>
          <w:u w:val="single"/>
        </w:rPr>
        <w:t>监理人应在收到承包人提交的合理化建议后7天内审查完毕并报送发包人，发现其存在技术上的缺陷，应通知承包人修改</w:t>
      </w:r>
      <w:r>
        <w:rPr>
          <w:rFonts w:hint="eastAsia" w:ascii="宋体" w:hAnsi="宋体" w:cs="宋体"/>
          <w:color w:val="auto"/>
          <w:highlight w:val="none"/>
        </w:rPr>
        <w:t>。</w:t>
      </w:r>
    </w:p>
    <w:p w14:paraId="71CD916E">
      <w:pPr>
        <w:pageBreakBefore w:val="0"/>
        <w:widowControl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发包人审批承包人合理化建议的期限：</w:t>
      </w:r>
      <w:r>
        <w:rPr>
          <w:rFonts w:hint="eastAsia" w:ascii="宋体" w:hAnsi="宋体" w:cs="宋体"/>
          <w:color w:val="auto"/>
          <w:szCs w:val="21"/>
          <w:highlight w:val="none"/>
          <w:u w:val="single"/>
        </w:rPr>
        <w:t xml:space="preserve"> 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 </w:t>
      </w:r>
      <w:r>
        <w:rPr>
          <w:rFonts w:hint="eastAsia" w:ascii="宋体" w:hAnsi="宋体" w:cs="宋体"/>
          <w:color w:val="auto"/>
          <w:highlight w:val="none"/>
        </w:rPr>
        <w:t>。</w:t>
      </w:r>
    </w:p>
    <w:p w14:paraId="41EEA33A">
      <w:pPr>
        <w:pageBreakBefore w:val="0"/>
        <w:widowControl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u w:val="single"/>
        </w:rPr>
      </w:pPr>
      <w:r>
        <w:rPr>
          <w:rFonts w:hint="eastAsia" w:ascii="宋体" w:hAnsi="宋体" w:cs="宋体"/>
          <w:color w:val="auto"/>
          <w:highlight w:val="none"/>
        </w:rPr>
        <w:t>承</w:t>
      </w:r>
      <w:bookmarkStart w:id="1063" w:name="_Toc296503204"/>
      <w:bookmarkStart w:id="1064" w:name="_Toc292559914"/>
      <w:bookmarkStart w:id="1065" w:name="_Toc297048390"/>
      <w:bookmarkStart w:id="1066" w:name="_Toc297216205"/>
      <w:bookmarkStart w:id="1067" w:name="_Toc296346705"/>
      <w:bookmarkStart w:id="1068" w:name="_Toc296347203"/>
      <w:bookmarkStart w:id="1069" w:name="_Toc297120504"/>
      <w:bookmarkStart w:id="1070" w:name="_Toc297123546"/>
      <w:bookmarkStart w:id="1071" w:name="_Toc304295571"/>
      <w:bookmarkStart w:id="1072" w:name="_Toc303539152"/>
      <w:bookmarkStart w:id="1073" w:name="_Toc300934995"/>
      <w:bookmarkStart w:id="1074" w:name="_Toc292559409"/>
      <w:bookmarkStart w:id="1075" w:name="_Toc318581175"/>
      <w:bookmarkStart w:id="1076" w:name="_Toc296891032"/>
      <w:bookmarkStart w:id="1077" w:name="_Toc312677504"/>
      <w:bookmarkStart w:id="1078" w:name="_Toc296891244"/>
      <w:bookmarkStart w:id="1079" w:name="_Toc296944543"/>
      <w:bookmarkStart w:id="1080" w:name="_Toc312678030"/>
      <w:r>
        <w:rPr>
          <w:rFonts w:hint="eastAsia" w:ascii="宋体" w:hAnsi="宋体" w:cs="宋体"/>
          <w:color w:val="auto"/>
          <w:highlight w:val="none"/>
        </w:rPr>
        <w:t>包人提出的合理化建议降低了合同价格或者提高了工程经济效益的奖励的方法和金额为：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14:paraId="2B31C8FF">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w:t>
      </w:r>
      <w:bookmarkStart w:id="1081" w:name="_Toc303539154"/>
      <w:bookmarkStart w:id="1082" w:name="_Toc296503199"/>
      <w:bookmarkStart w:id="1083" w:name="_Toc296891027"/>
      <w:bookmarkStart w:id="1084" w:name="_Toc312677507"/>
      <w:bookmarkStart w:id="1085" w:name="_Toc297120499"/>
      <w:bookmarkStart w:id="1086" w:name="_Toc296891239"/>
      <w:bookmarkStart w:id="1087" w:name="_Toc300934997"/>
      <w:bookmarkStart w:id="1088" w:name="_Toc297216207"/>
      <w:bookmarkStart w:id="1089" w:name="_Toc304295574"/>
      <w:bookmarkStart w:id="1090" w:name="_Toc296346700"/>
      <w:bookmarkStart w:id="1091" w:name="_Toc292559909"/>
      <w:bookmarkStart w:id="1092" w:name="_Toc312678033"/>
      <w:bookmarkStart w:id="1093" w:name="_Toc296347198"/>
      <w:bookmarkStart w:id="1094" w:name="_Toc296944538"/>
      <w:bookmarkStart w:id="1095" w:name="_Toc297123548"/>
      <w:bookmarkStart w:id="1096" w:name="_Toc297048385"/>
      <w:bookmarkStart w:id="1097" w:name="_Toc292559404"/>
      <w:r>
        <w:rPr>
          <w:rFonts w:hint="eastAsia" w:ascii="宋体" w:hAnsi="宋体" w:cs="宋体"/>
          <w:bCs/>
          <w:color w:val="auto"/>
          <w:szCs w:val="28"/>
          <w:highlight w:val="none"/>
        </w:rPr>
        <w:t>0.7 暂估价</w:t>
      </w:r>
    </w:p>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14:paraId="6333A25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暂</w:t>
      </w:r>
      <w:bookmarkStart w:id="1098" w:name="_Toc312677508"/>
      <w:bookmarkStart w:id="1099" w:name="_Toc318581176"/>
      <w:bookmarkStart w:id="1100" w:name="_Toc312678034"/>
      <w:r>
        <w:rPr>
          <w:rFonts w:hint="eastAsia" w:ascii="宋体" w:hAnsi="宋体" w:cs="宋体"/>
          <w:color w:val="auto"/>
          <w:kern w:val="0"/>
          <w:highlight w:val="none"/>
        </w:rPr>
        <w:t>估价材料和工程设备的明细详见附件12：《</w:t>
      </w:r>
      <w:r>
        <w:rPr>
          <w:rFonts w:hint="eastAsia" w:ascii="宋体" w:hAnsi="宋体" w:cs="宋体"/>
          <w:color w:val="auto"/>
          <w:highlight w:val="none"/>
        </w:rPr>
        <w:t>暂估价一览表》</w:t>
      </w:r>
      <w:r>
        <w:rPr>
          <w:rFonts w:hint="eastAsia" w:ascii="宋体" w:hAnsi="宋体" w:cs="宋体"/>
          <w:color w:val="auto"/>
          <w:kern w:val="0"/>
          <w:highlight w:val="none"/>
        </w:rPr>
        <w:t>。</w:t>
      </w:r>
    </w:p>
    <w:bookmarkEnd w:id="1098"/>
    <w:bookmarkEnd w:id="1099"/>
    <w:bookmarkEnd w:id="1100"/>
    <w:p w14:paraId="4655033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w:t>
      </w:r>
      <w:bookmarkStart w:id="1101" w:name="_Toc318581177"/>
      <w:bookmarkStart w:id="1102" w:name="_Toc312678035"/>
      <w:bookmarkStart w:id="1103" w:name="_Toc312677509"/>
      <w:r>
        <w:rPr>
          <w:rFonts w:hint="eastAsia" w:ascii="宋体" w:hAnsi="宋体" w:cs="宋体"/>
          <w:color w:val="auto"/>
          <w:highlight w:val="none"/>
        </w:rPr>
        <w:t>0.7.1 依法必须招标的暂估价项目</w:t>
      </w:r>
    </w:p>
    <w:bookmarkEnd w:id="1101"/>
    <w:bookmarkEnd w:id="1102"/>
    <w:bookmarkEnd w:id="1103"/>
    <w:p w14:paraId="5411440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对于依法必须招标的暂估价项目的确认和批准采取第</w:t>
      </w:r>
      <w:r>
        <w:rPr>
          <w:rFonts w:hint="eastAsia" w:ascii="宋体" w:hAnsi="宋体" w:cs="宋体"/>
          <w:color w:val="auto"/>
          <w:highlight w:val="none"/>
          <w:u w:val="single"/>
        </w:rPr>
        <w:t xml:space="preserve">  2  </w:t>
      </w:r>
      <w:r>
        <w:rPr>
          <w:rFonts w:hint="eastAsia" w:ascii="宋体" w:hAnsi="宋体" w:cs="宋体"/>
          <w:color w:val="auto"/>
          <w:highlight w:val="none"/>
        </w:rPr>
        <w:t>种方式确定。</w:t>
      </w:r>
      <w:r>
        <w:rPr>
          <w:rFonts w:hint="eastAsia" w:ascii="宋体" w:hAnsi="宋体" w:cs="宋体"/>
          <w:b/>
          <w:color w:val="auto"/>
          <w:highlight w:val="none"/>
          <w:u w:val="single"/>
        </w:rPr>
        <w:t xml:space="preserve">并应按相关规定进行二次招标  </w:t>
      </w:r>
      <w:r>
        <w:rPr>
          <w:rFonts w:hint="eastAsia" w:ascii="宋体" w:hAnsi="宋体" w:cs="宋体"/>
          <w:color w:val="auto"/>
          <w:highlight w:val="none"/>
        </w:rPr>
        <w:t>。</w:t>
      </w:r>
    </w:p>
    <w:p w14:paraId="2CF2BBB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10.7.2 不属于依法必须招标的暂估价项目</w:t>
      </w:r>
    </w:p>
    <w:p w14:paraId="6FA1F7C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对于不属于依法必须招标的暂估价项目的确认和批准采取第 </w:t>
      </w:r>
      <w:r>
        <w:rPr>
          <w:rFonts w:hint="eastAsia" w:ascii="宋体" w:hAnsi="宋体" w:cs="宋体"/>
          <w:color w:val="auto"/>
          <w:highlight w:val="none"/>
          <w:u w:val="single"/>
        </w:rPr>
        <w:t xml:space="preserve">1 </w:t>
      </w:r>
      <w:r>
        <w:rPr>
          <w:rFonts w:hint="eastAsia" w:ascii="宋体" w:hAnsi="宋体" w:cs="宋体"/>
          <w:color w:val="auto"/>
          <w:highlight w:val="none"/>
        </w:rPr>
        <w:t>种方式确定。</w:t>
      </w:r>
    </w:p>
    <w:p w14:paraId="25F7436D">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highlight w:val="none"/>
        </w:rPr>
        <w:t>第3种方式：</w:t>
      </w:r>
      <w:r>
        <w:rPr>
          <w:rFonts w:hint="eastAsia" w:ascii="宋体" w:hAnsi="宋体" w:cs="宋体"/>
          <w:color w:val="auto"/>
          <w:kern w:val="0"/>
          <w:highlight w:val="none"/>
        </w:rPr>
        <w:t>承包人直接实施的暂估价项目</w:t>
      </w:r>
    </w:p>
    <w:p w14:paraId="2E757C5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承包人直接实施的暂估价项目的约定：</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307197B7">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10.8 暂列金额</w:t>
      </w:r>
    </w:p>
    <w:p w14:paraId="4E6404D5">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合同当事人关于暂列金额使用的约定：</w:t>
      </w:r>
      <w:r>
        <w:rPr>
          <w:rFonts w:hint="eastAsia" w:ascii="宋体" w:hAnsi="宋体" w:cs="宋体"/>
          <w:color w:val="auto"/>
          <w:szCs w:val="21"/>
          <w:highlight w:val="none"/>
          <w:u w:val="single"/>
        </w:rPr>
        <w:t>暂列</w:t>
      </w:r>
      <w:r>
        <w:rPr>
          <w:rFonts w:hint="eastAsia" w:ascii="宋体" w:hAnsi="宋体" w:cs="宋体"/>
          <w:color w:val="auto"/>
          <w:szCs w:val="21"/>
          <w:highlight w:val="none"/>
          <w:u w:val="single"/>
          <w:lang w:eastAsia="zh-CN"/>
        </w:rPr>
        <w:t>金额</w:t>
      </w:r>
      <w:r>
        <w:rPr>
          <w:rFonts w:hint="eastAsia" w:ascii="宋体" w:hAnsi="宋体" w:cs="宋体"/>
          <w:color w:val="auto"/>
          <w:szCs w:val="21"/>
          <w:highlight w:val="none"/>
          <w:u w:val="single"/>
        </w:rPr>
        <w:t>是发包人为可能发生工程变更而暂列的金额，是</w:t>
      </w:r>
      <w:r>
        <w:rPr>
          <w:rFonts w:hint="eastAsia" w:ascii="宋体" w:hAnsi="宋体" w:eastAsia="宋体" w:cs="宋体"/>
          <w:color w:val="auto"/>
          <w:szCs w:val="21"/>
          <w:highlight w:val="none"/>
          <w:u w:val="single"/>
          <w:lang w:val="en-US" w:eastAsia="zh-CN"/>
        </w:rPr>
        <w:t>发包人</w:t>
      </w:r>
      <w:r>
        <w:rPr>
          <w:rFonts w:hint="eastAsia" w:ascii="宋体" w:hAnsi="宋体" w:cs="宋体"/>
          <w:color w:val="auto"/>
          <w:szCs w:val="21"/>
          <w:highlight w:val="none"/>
          <w:u w:val="single"/>
        </w:rPr>
        <w:t>自行确定设立的，承包商无权使用此笔费用。此费用按实际发生经</w:t>
      </w:r>
      <w:r>
        <w:rPr>
          <w:rFonts w:hint="eastAsia" w:ascii="宋体" w:hAnsi="宋体" w:eastAsia="宋体" w:cs="宋体"/>
          <w:color w:val="auto"/>
          <w:szCs w:val="21"/>
          <w:highlight w:val="none"/>
          <w:u w:val="single"/>
          <w:lang w:val="en-US" w:eastAsia="zh-CN"/>
        </w:rPr>
        <w:t>发包人</w:t>
      </w:r>
      <w:r>
        <w:rPr>
          <w:rFonts w:hint="eastAsia" w:ascii="宋体" w:hAnsi="宋体" w:cs="宋体"/>
          <w:color w:val="auto"/>
          <w:szCs w:val="21"/>
          <w:highlight w:val="none"/>
          <w:u w:val="single"/>
        </w:rPr>
        <w:t>签证后确定全部使用、部分使用或不使用。暂列</w:t>
      </w:r>
      <w:r>
        <w:rPr>
          <w:rFonts w:hint="eastAsia" w:ascii="宋体" w:hAnsi="宋体" w:cs="宋体"/>
          <w:color w:val="auto"/>
          <w:szCs w:val="21"/>
          <w:highlight w:val="none"/>
          <w:u w:val="single"/>
          <w:lang w:eastAsia="zh-CN"/>
        </w:rPr>
        <w:t>金额</w:t>
      </w:r>
      <w:r>
        <w:rPr>
          <w:rFonts w:hint="eastAsia" w:ascii="宋体" w:hAnsi="宋体" w:cs="宋体"/>
          <w:color w:val="auto"/>
          <w:szCs w:val="21"/>
          <w:highlight w:val="none"/>
          <w:u w:val="single"/>
        </w:rPr>
        <w:t xml:space="preserve">不计入工程款付款的基数。 </w:t>
      </w:r>
      <w:r>
        <w:rPr>
          <w:rFonts w:hint="eastAsia" w:ascii="宋体" w:hAnsi="宋体" w:cs="宋体"/>
          <w:color w:val="auto"/>
          <w:kern w:val="0"/>
          <w:highlight w:val="none"/>
        </w:rPr>
        <w:t>。</w:t>
      </w:r>
    </w:p>
    <w:p w14:paraId="311F1039">
      <w:pPr>
        <w:keepNext/>
        <w:keepLines/>
        <w:adjustRightInd w:val="0"/>
        <w:snapToGrid w:val="0"/>
        <w:spacing w:line="384" w:lineRule="auto"/>
        <w:jc w:val="left"/>
        <w:outlineLvl w:val="2"/>
        <w:rPr>
          <w:rFonts w:hint="eastAsia" w:ascii="宋体" w:hAnsi="宋体" w:cs="宋体"/>
          <w:bCs/>
          <w:color w:val="auto"/>
          <w:sz w:val="24"/>
          <w:highlight w:val="none"/>
        </w:rPr>
      </w:pPr>
      <w:bookmarkStart w:id="1104" w:name="_Toc95223472"/>
      <w:bookmarkStart w:id="1105" w:name="_Toc351203643"/>
      <w:r>
        <w:rPr>
          <w:rFonts w:hint="eastAsia" w:ascii="宋体" w:hAnsi="宋体" w:cs="宋体"/>
          <w:bCs/>
          <w:color w:val="auto"/>
          <w:sz w:val="24"/>
          <w:highlight w:val="none"/>
        </w:rPr>
        <w:t>11. 价格调整</w:t>
      </w:r>
      <w:bookmarkEnd w:id="1104"/>
      <w:bookmarkEnd w:id="1105"/>
    </w:p>
    <w:p w14:paraId="7134A201">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bookmarkStart w:id="1106" w:name="_Toc303539157"/>
      <w:bookmarkStart w:id="1107" w:name="_Toc292559406"/>
      <w:bookmarkStart w:id="1108" w:name="_Toc296944540"/>
      <w:bookmarkStart w:id="1109" w:name="_Toc292559911"/>
      <w:bookmarkStart w:id="1110" w:name="_Toc297048387"/>
      <w:bookmarkStart w:id="1111" w:name="_Toc296347200"/>
      <w:bookmarkStart w:id="1112" w:name="_Toc296891029"/>
      <w:bookmarkStart w:id="1113" w:name="_Toc297120501"/>
      <w:bookmarkStart w:id="1114" w:name="_Toc297216209"/>
      <w:bookmarkStart w:id="1115" w:name="_Toc296891241"/>
      <w:bookmarkStart w:id="1116" w:name="_Toc312678039"/>
      <w:bookmarkStart w:id="1117" w:name="_Toc300935000"/>
      <w:bookmarkStart w:id="1118" w:name="_Toc304295577"/>
      <w:bookmarkStart w:id="1119" w:name="_Toc297123550"/>
      <w:bookmarkStart w:id="1120" w:name="_Toc296503201"/>
      <w:bookmarkStart w:id="1121" w:name="_Toc296346702"/>
      <w:r>
        <w:rPr>
          <w:rFonts w:hint="eastAsia" w:ascii="宋体" w:hAnsi="宋体" w:cs="宋体"/>
          <w:bCs/>
          <w:color w:val="auto"/>
          <w:szCs w:val="28"/>
          <w:highlight w:val="none"/>
        </w:rPr>
        <w:t>11.1 市场价格波动引起的调整</w:t>
      </w:r>
    </w:p>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14:paraId="3BB3D31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市场价格波动是否调整合同价格的约定：</w:t>
      </w:r>
      <w:r>
        <w:rPr>
          <w:rFonts w:hint="eastAsia" w:ascii="宋体" w:hAnsi="宋体" w:cs="宋体"/>
          <w:b/>
          <w:color w:val="auto"/>
          <w:highlight w:val="none"/>
          <w:u w:val="single"/>
        </w:rPr>
        <w:t xml:space="preserve">   </w:t>
      </w:r>
      <w:r>
        <w:rPr>
          <w:rFonts w:hint="eastAsia" w:ascii="宋体" w:hAnsi="宋体" w:cs="宋体"/>
          <w:b/>
          <w:color w:val="auto"/>
          <w:highlight w:val="none"/>
          <w:u w:val="single"/>
          <w:lang w:val="en-US" w:eastAsia="zh-CN"/>
        </w:rPr>
        <w:t>调整，具体见以下约定</w:t>
      </w:r>
      <w:r>
        <w:rPr>
          <w:rFonts w:hint="eastAsia" w:ascii="宋体" w:hAnsi="宋体" w:cs="宋体"/>
          <w:b/>
          <w:color w:val="auto"/>
          <w:highlight w:val="none"/>
          <w:u w:val="single"/>
        </w:rPr>
        <w:t xml:space="preserve">   </w:t>
      </w:r>
      <w:r>
        <w:rPr>
          <w:rFonts w:hint="eastAsia" w:ascii="宋体" w:hAnsi="宋体" w:cs="宋体"/>
          <w:color w:val="auto"/>
          <w:highlight w:val="none"/>
        </w:rPr>
        <w:t>。</w:t>
      </w:r>
    </w:p>
    <w:p w14:paraId="3739492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因市场价格波动调整合同价格，采用以下第</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2</w:t>
      </w:r>
      <w:r>
        <w:rPr>
          <w:rFonts w:hint="eastAsia" w:ascii="宋体" w:hAnsi="宋体" w:cs="宋体"/>
          <w:color w:val="auto"/>
          <w:highlight w:val="none"/>
          <w:u w:val="single"/>
        </w:rPr>
        <w:t xml:space="preserve">  </w:t>
      </w:r>
      <w:r>
        <w:rPr>
          <w:rFonts w:hint="eastAsia" w:ascii="宋体" w:hAnsi="宋体" w:cs="宋体"/>
          <w:color w:val="auto"/>
          <w:highlight w:val="none"/>
        </w:rPr>
        <w:t>种方式对合同价格进行调整：</w:t>
      </w:r>
    </w:p>
    <w:p w14:paraId="09B3796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第1种方式：采用价格指数进行价格调整。</w:t>
      </w:r>
    </w:p>
    <w:p w14:paraId="5F17F695">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关于各可调因子、定值和变值权重，以及基本价格指数及其来源的约定：</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3265F7D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第2种方式：采用造价信息进行价格调整。</w:t>
      </w:r>
    </w:p>
    <w:p w14:paraId="66225AD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（1）价格的调整：</w:t>
      </w:r>
    </w:p>
    <w:p w14:paraId="6E9AD64D">
      <w:pPr>
        <w:adjustRightInd w:val="0"/>
        <w:snapToGrid w:val="0"/>
        <w:spacing w:line="384" w:lineRule="auto"/>
        <w:ind w:firstLine="840" w:firstLineChars="400"/>
        <w:rPr>
          <w:rFonts w:hint="eastAsia" w:ascii="宋体" w:hAnsi="宋体" w:cs="宋体"/>
          <w:color w:val="auto"/>
          <w:highlight w:val="none"/>
        </w:rPr>
      </w:pPr>
      <w:r>
        <w:rPr>
          <w:rFonts w:hint="eastAsia" w:ascii="宋体" w:hAnsi="宋体" w:cs="宋体"/>
          <w:color w:val="auto"/>
          <w:highlight w:val="none"/>
        </w:rPr>
        <w:t>①可调整价格的主要材料范围的约定</w:t>
      </w:r>
      <w:r>
        <w:rPr>
          <w:rFonts w:hint="eastAsia" w:ascii="宋体" w:hAnsi="宋体" w:cs="宋体"/>
          <w:color w:val="auto"/>
          <w:highlight w:val="none"/>
          <w:lang w:eastAsia="zh-CN"/>
        </w:rPr>
        <w:t>：</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lang w:val="en-US" w:eastAsia="zh-CN"/>
        </w:rPr>
        <w:t>钢筋、混凝土</w:t>
      </w:r>
      <w:r>
        <w:rPr>
          <w:rFonts w:hint="eastAsia" w:ascii="宋体" w:hAnsi="宋体" w:cs="宋体"/>
          <w:color w:val="auto"/>
          <w:highlight w:val="none"/>
        </w:rPr>
        <w:t>；</w:t>
      </w:r>
    </w:p>
    <w:p w14:paraId="32A5C0C7">
      <w:pPr>
        <w:adjustRightInd w:val="0"/>
        <w:snapToGrid w:val="0"/>
        <w:spacing w:line="384" w:lineRule="auto"/>
        <w:ind w:firstLine="840" w:firstLineChars="400"/>
        <w:rPr>
          <w:rFonts w:hint="eastAsia" w:ascii="宋体" w:hAnsi="宋体" w:cs="宋体"/>
          <w:color w:val="auto"/>
          <w:highlight w:val="none"/>
        </w:rPr>
      </w:pPr>
      <w:r>
        <w:rPr>
          <w:rFonts w:hint="eastAsia" w:ascii="宋体" w:hAnsi="宋体" w:cs="宋体"/>
          <w:color w:val="auto"/>
          <w:highlight w:val="none"/>
        </w:rPr>
        <w:t>②主要材料价差调整周期的约定</w:t>
      </w:r>
      <w:r>
        <w:rPr>
          <w:rFonts w:hint="eastAsia" w:ascii="宋体" w:hAnsi="宋体" w:cs="宋体"/>
          <w:color w:val="auto"/>
          <w:highlight w:val="none"/>
          <w:lang w:eastAsia="zh-CN"/>
        </w:rPr>
        <w:t>：</w:t>
      </w:r>
      <w:r>
        <w:rPr>
          <w:rFonts w:hint="eastAsia" w:ascii="宋体" w:hAnsi="宋体" w:cs="宋体"/>
          <w:color w:val="auto"/>
          <w:highlight w:val="none"/>
          <w:u w:val="single"/>
        </w:rPr>
        <w:t xml:space="preserve">  </w:t>
      </w:r>
      <w:r>
        <w:rPr>
          <w:rFonts w:hint="eastAsia" w:ascii="宋体" w:hAnsi="宋体" w:eastAsia="宋体" w:cs="宋体"/>
          <w:color w:val="auto"/>
          <w:kern w:val="0"/>
          <w:szCs w:val="21"/>
          <w:highlight w:val="none"/>
          <w:u w:val="single"/>
          <w:lang w:val="en-US" w:eastAsia="zh-CN"/>
        </w:rPr>
        <w:t>合同履行期间</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0F6818B">
      <w:pPr>
        <w:adjustRightInd w:val="0"/>
        <w:snapToGrid w:val="0"/>
        <w:spacing w:line="384" w:lineRule="auto"/>
        <w:ind w:firstLine="840" w:firstLineChars="400"/>
        <w:rPr>
          <w:rFonts w:hint="eastAsia" w:ascii="宋体" w:hAnsi="宋体" w:cs="宋体"/>
          <w:color w:val="auto"/>
          <w:sz w:val="24"/>
          <w:szCs w:val="32"/>
          <w:highlight w:val="none"/>
        </w:rPr>
      </w:pPr>
      <w:r>
        <w:rPr>
          <w:rFonts w:hint="eastAsia" w:ascii="宋体" w:hAnsi="宋体" w:cs="宋体"/>
          <w:color w:val="auto"/>
          <w:highlight w:val="none"/>
        </w:rPr>
        <w:t>③主要材料价差调整计算方法的约定</w:t>
      </w:r>
      <w:r>
        <w:rPr>
          <w:rFonts w:hint="eastAsia" w:ascii="宋体" w:hAnsi="宋体" w:cs="宋体"/>
          <w:color w:val="auto"/>
          <w:highlight w:val="none"/>
          <w:lang w:eastAsia="zh-CN"/>
        </w:rPr>
        <w:t>：</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如下</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2223BA0">
      <w:pPr>
        <w:adjustRightInd w:val="0"/>
        <w:snapToGrid w:val="0"/>
        <w:spacing w:line="384" w:lineRule="auto"/>
        <w:ind w:firstLine="840" w:firstLineChars="400"/>
        <w:rPr>
          <w:rFonts w:hint="eastAsia" w:ascii="宋体" w:hAnsi="宋体" w:cs="宋体"/>
          <w:color w:val="auto"/>
          <w:highlight w:val="none"/>
        </w:rPr>
      </w:pPr>
      <w:r>
        <w:rPr>
          <w:rFonts w:hint="eastAsia" w:ascii="宋体" w:hAnsi="宋体" w:cs="宋体"/>
          <w:color w:val="auto"/>
          <w:highlight w:val="none"/>
        </w:rPr>
        <w:t>④主要材料价差调整时间的约定</w:t>
      </w:r>
      <w:r>
        <w:rPr>
          <w:rFonts w:hint="eastAsia" w:ascii="宋体" w:hAnsi="宋体" w:cs="宋体"/>
          <w:color w:val="auto"/>
          <w:highlight w:val="none"/>
          <w:lang w:eastAsia="zh-CN"/>
        </w:rPr>
        <w:t>：</w:t>
      </w:r>
      <w:r>
        <w:rPr>
          <w:rFonts w:hint="eastAsia" w:ascii="宋体" w:hAnsi="宋体" w:cs="宋体"/>
          <w:color w:val="auto"/>
          <w:highlight w:val="none"/>
          <w:u w:val="single"/>
        </w:rPr>
        <w:t xml:space="preserve"> </w:t>
      </w:r>
      <w:r>
        <w:rPr>
          <w:rFonts w:hint="eastAsia" w:ascii="宋体" w:hAnsi="宋体" w:eastAsia="宋体" w:cs="宋体"/>
          <w:color w:val="auto"/>
          <w:kern w:val="0"/>
          <w:szCs w:val="21"/>
          <w:highlight w:val="none"/>
          <w:u w:val="single"/>
          <w:lang w:val="en-US" w:eastAsia="zh-CN"/>
        </w:rPr>
        <w:t>合同履行期间</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C105DDB">
      <w:pPr>
        <w:adjustRightInd w:val="0"/>
        <w:snapToGrid w:val="0"/>
        <w:spacing w:line="384" w:lineRule="auto"/>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（2）关于基准价格的约定：</w:t>
      </w:r>
      <w:r>
        <w:rPr>
          <w:rFonts w:hint="eastAsia" w:ascii="宋体" w:hAnsi="宋体" w:cs="宋体"/>
          <w:color w:val="auto"/>
          <w:highlight w:val="none"/>
          <w:u w:val="single"/>
        </w:rPr>
        <w:t xml:space="preserve"> </w:t>
      </w:r>
      <w:r>
        <w:rPr>
          <w:rFonts w:hint="eastAsia" w:ascii="宋体" w:hAnsi="宋体" w:eastAsia="宋体" w:cs="宋体"/>
          <w:color w:val="auto"/>
          <w:highlight w:val="none"/>
          <w:u w:val="single"/>
          <w:lang w:val="en-US" w:eastAsia="zh-CN"/>
        </w:rPr>
        <w:t>基准价格为滁州市建设工程造价管理部门发布工程造价信息（《滁州市工程造价信息》（202</w:t>
      </w:r>
      <w:r>
        <w:rPr>
          <w:rFonts w:hint="eastAsia" w:ascii="宋体" w:hAnsi="宋体" w:cs="宋体"/>
          <w:color w:val="auto"/>
          <w:highlight w:val="none"/>
          <w:u w:val="single"/>
          <w:lang w:val="en-US" w:eastAsia="zh-CN"/>
        </w:rPr>
        <w:t>6</w:t>
      </w:r>
      <w:r>
        <w:rPr>
          <w:rFonts w:hint="eastAsia" w:ascii="宋体" w:hAnsi="宋体" w:eastAsia="宋体" w:cs="宋体"/>
          <w:color w:val="auto"/>
          <w:highlight w:val="none"/>
          <w:u w:val="single"/>
          <w:lang w:val="en-US" w:eastAsia="zh-CN"/>
        </w:rPr>
        <w:t>年第</w:t>
      </w:r>
      <w:r>
        <w:rPr>
          <w:rFonts w:hint="eastAsia" w:ascii="宋体" w:hAnsi="宋体" w:cs="宋体"/>
          <w:color w:val="auto"/>
          <w:highlight w:val="none"/>
          <w:u w:val="single"/>
          <w:lang w:val="en-US" w:eastAsia="zh-CN"/>
        </w:rPr>
        <w:t>8</w:t>
      </w:r>
      <w:r>
        <w:rPr>
          <w:rFonts w:hint="eastAsia" w:ascii="宋体" w:hAnsi="宋体" w:eastAsia="宋体" w:cs="宋体"/>
          <w:color w:val="auto"/>
          <w:highlight w:val="none"/>
          <w:u w:val="single"/>
          <w:lang w:val="en-US" w:eastAsia="zh-CN"/>
        </w:rPr>
        <w:t>期）中相对应的不含税价格以及最高投标限价中以市场询价计入的价格。人工费执行202</w:t>
      </w:r>
      <w:r>
        <w:rPr>
          <w:rFonts w:hint="eastAsia" w:ascii="宋体" w:hAnsi="宋体" w:cs="宋体"/>
          <w:color w:val="auto"/>
          <w:highlight w:val="none"/>
          <w:u w:val="single"/>
          <w:lang w:val="en-US" w:eastAsia="zh-CN"/>
        </w:rPr>
        <w:t>6</w:t>
      </w:r>
      <w:r>
        <w:rPr>
          <w:rFonts w:hint="eastAsia" w:ascii="宋体" w:hAnsi="宋体" w:eastAsia="宋体" w:cs="宋体"/>
          <w:color w:val="auto"/>
          <w:highlight w:val="none"/>
          <w:u w:val="single"/>
          <w:lang w:val="en-US" w:eastAsia="zh-CN"/>
        </w:rPr>
        <w:t>年滁州市第</w:t>
      </w:r>
      <w:r>
        <w:rPr>
          <w:rFonts w:hint="eastAsia" w:ascii="宋体" w:hAnsi="宋体" w:cs="宋体"/>
          <w:color w:val="auto"/>
          <w:highlight w:val="none"/>
          <w:u w:val="single"/>
          <w:lang w:val="en-US" w:eastAsia="zh-CN"/>
        </w:rPr>
        <w:t>二</w:t>
      </w:r>
      <w:r>
        <w:rPr>
          <w:rFonts w:hint="eastAsia" w:ascii="宋体" w:hAnsi="宋体" w:eastAsia="宋体" w:cs="宋体"/>
          <w:color w:val="auto"/>
          <w:highlight w:val="none"/>
          <w:u w:val="single"/>
          <w:lang w:val="en-US" w:eastAsia="zh-CN"/>
        </w:rPr>
        <w:t>季度人工费</w:t>
      </w:r>
      <w:r>
        <w:rPr>
          <w:rFonts w:hint="eastAsia" w:ascii="宋体" w:hAnsi="宋体" w:cs="宋体"/>
          <w:color w:val="auto"/>
          <w:highlight w:val="none"/>
          <w:u w:val="single"/>
          <w:lang w:eastAsia="zh-CN"/>
        </w:rPr>
        <w:t>。人工费调整按省建设行政主管部门或其授权的工程造价管理机构发布的调整文件规定执行</w:t>
      </w:r>
    </w:p>
    <w:p w14:paraId="137FB047">
      <w:pPr>
        <w:adjustRightInd w:val="0"/>
        <w:snapToGrid w:val="0"/>
        <w:spacing w:line="384" w:lineRule="auto"/>
        <w:ind w:firstLine="630" w:firstLineChars="300"/>
        <w:rPr>
          <w:rFonts w:hint="eastAsia" w:ascii="宋体" w:hAnsi="宋体" w:cs="宋体"/>
          <w:color w:val="auto"/>
          <w:highlight w:val="none"/>
        </w:rPr>
      </w:pPr>
      <w:r>
        <w:rPr>
          <w:rFonts w:hint="eastAsia" w:ascii="宋体" w:hAnsi="宋体" w:cs="宋体"/>
          <w:color w:val="auto"/>
          <w:highlight w:val="none"/>
        </w:rPr>
        <w:t>①承包人在已标价工程量清单或预算书中载明的材料单价低于基准价格的：专用合同条款合同履行期间材料单价涨幅以基准价格为基础超过</w:t>
      </w:r>
      <w:r>
        <w:rPr>
          <w:rFonts w:hint="eastAsia" w:ascii="宋体" w:hAnsi="宋体" w:cs="宋体"/>
          <w:b/>
          <w:bCs/>
          <w:color w:val="auto"/>
          <w:highlight w:val="none"/>
          <w:u w:val="single"/>
        </w:rPr>
        <w:t xml:space="preserve">  5%  </w:t>
      </w:r>
      <w:r>
        <w:rPr>
          <w:rFonts w:hint="eastAsia" w:ascii="宋体" w:hAnsi="宋体" w:cs="宋体"/>
          <w:color w:val="auto"/>
          <w:highlight w:val="none"/>
        </w:rPr>
        <w:t>时，或材料单价跌幅以已标价工程量清单或预算书中载明材料单价为基础超过</w:t>
      </w:r>
      <w:r>
        <w:rPr>
          <w:rFonts w:hint="eastAsia" w:ascii="宋体" w:hAnsi="宋体" w:cs="宋体"/>
          <w:color w:val="auto"/>
          <w:highlight w:val="none"/>
          <w:u w:val="single"/>
        </w:rPr>
        <w:t xml:space="preserve">  </w:t>
      </w:r>
      <w:r>
        <w:rPr>
          <w:rFonts w:hint="eastAsia" w:ascii="宋体" w:hAnsi="宋体" w:cs="宋体"/>
          <w:b/>
          <w:bCs/>
          <w:color w:val="auto"/>
          <w:highlight w:val="none"/>
          <w:u w:val="single"/>
        </w:rPr>
        <w:t xml:space="preserve">5%  </w:t>
      </w:r>
      <w:r>
        <w:rPr>
          <w:rFonts w:hint="eastAsia" w:ascii="宋体" w:hAnsi="宋体" w:cs="宋体"/>
          <w:color w:val="auto"/>
          <w:highlight w:val="none"/>
        </w:rPr>
        <w:t>时，其超过部分据实调整。</w:t>
      </w:r>
    </w:p>
    <w:p w14:paraId="624EA438">
      <w:pPr>
        <w:adjustRightInd w:val="0"/>
        <w:snapToGrid w:val="0"/>
        <w:spacing w:line="384" w:lineRule="auto"/>
        <w:ind w:firstLine="630" w:firstLineChars="300"/>
        <w:rPr>
          <w:rFonts w:hint="eastAsia" w:ascii="宋体" w:hAnsi="宋体" w:cs="宋体"/>
          <w:color w:val="auto"/>
          <w:highlight w:val="none"/>
        </w:rPr>
      </w:pPr>
      <w:r>
        <w:rPr>
          <w:rFonts w:hint="eastAsia" w:ascii="宋体" w:hAnsi="宋体" w:cs="宋体"/>
          <w:color w:val="auto"/>
          <w:highlight w:val="none"/>
        </w:rPr>
        <w:t>②承包人在已标价工程量清单或预算书中载明的材料单价高于基准价格的：专用合同条款合同履行期间材料单价跌幅以基准价格为基础超过</w:t>
      </w:r>
      <w:r>
        <w:rPr>
          <w:rFonts w:hint="eastAsia" w:ascii="宋体" w:hAnsi="宋体" w:cs="宋体"/>
          <w:color w:val="auto"/>
          <w:highlight w:val="none"/>
          <w:u w:val="single"/>
        </w:rPr>
        <w:t xml:space="preserve">  </w:t>
      </w:r>
      <w:r>
        <w:rPr>
          <w:rFonts w:hint="eastAsia" w:ascii="宋体" w:hAnsi="宋体" w:cs="宋体"/>
          <w:b/>
          <w:bCs/>
          <w:color w:val="auto"/>
          <w:highlight w:val="none"/>
          <w:u w:val="single"/>
        </w:rPr>
        <w:t xml:space="preserve">5%  </w:t>
      </w:r>
      <w:r>
        <w:rPr>
          <w:rFonts w:hint="eastAsia" w:ascii="宋体" w:hAnsi="宋体" w:cs="宋体"/>
          <w:color w:val="auto"/>
          <w:highlight w:val="none"/>
        </w:rPr>
        <w:t>时，材料单价涨幅以已标价工程量清单或预算书中载明材料单价为基础超过</w:t>
      </w:r>
      <w:r>
        <w:rPr>
          <w:rFonts w:hint="eastAsia" w:ascii="宋体" w:hAnsi="宋体" w:cs="宋体"/>
          <w:color w:val="auto"/>
          <w:highlight w:val="none"/>
          <w:u w:val="single"/>
        </w:rPr>
        <w:t xml:space="preserve">  </w:t>
      </w:r>
      <w:r>
        <w:rPr>
          <w:rFonts w:hint="eastAsia" w:ascii="宋体" w:hAnsi="宋体" w:cs="宋体"/>
          <w:b/>
          <w:bCs/>
          <w:color w:val="auto"/>
          <w:highlight w:val="none"/>
          <w:u w:val="single"/>
        </w:rPr>
        <w:t xml:space="preserve">5%  </w:t>
      </w:r>
      <w:r>
        <w:rPr>
          <w:rFonts w:hint="eastAsia" w:ascii="宋体" w:hAnsi="宋体" w:cs="宋体"/>
          <w:color w:val="auto"/>
          <w:highlight w:val="none"/>
        </w:rPr>
        <w:t>时，其超过部分据实调整。</w:t>
      </w:r>
    </w:p>
    <w:p w14:paraId="640ED95E">
      <w:pPr>
        <w:adjustRightInd w:val="0"/>
        <w:snapToGrid w:val="0"/>
        <w:spacing w:line="384" w:lineRule="auto"/>
        <w:ind w:firstLine="630" w:firstLineChars="300"/>
        <w:rPr>
          <w:rFonts w:hint="eastAsia" w:ascii="宋体" w:hAnsi="宋体" w:cs="宋体"/>
          <w:color w:val="auto"/>
          <w:highlight w:val="none"/>
        </w:rPr>
      </w:pPr>
      <w:r>
        <w:rPr>
          <w:rFonts w:hint="eastAsia" w:ascii="宋体" w:hAnsi="宋体" w:cs="宋体"/>
          <w:color w:val="auto"/>
          <w:highlight w:val="none"/>
        </w:rPr>
        <w:t>③承包人在已标价工程量清单或预算书中载明的材料单价等于基准单价的：专用合同条款合同履行期间材料单价涨跌幅以基准单价为基础超过±</w:t>
      </w:r>
      <w:r>
        <w:rPr>
          <w:rFonts w:hint="eastAsia" w:ascii="宋体" w:hAnsi="宋体" w:cs="宋体"/>
          <w:color w:val="auto"/>
          <w:highlight w:val="none"/>
          <w:u w:val="single"/>
        </w:rPr>
        <w:t xml:space="preserve">  </w:t>
      </w:r>
      <w:r>
        <w:rPr>
          <w:rFonts w:hint="eastAsia" w:ascii="宋体" w:hAnsi="宋体" w:cs="宋体"/>
          <w:b/>
          <w:bCs/>
          <w:color w:val="auto"/>
          <w:highlight w:val="none"/>
          <w:u w:val="single"/>
        </w:rPr>
        <w:t xml:space="preserve">5%  </w:t>
      </w:r>
      <w:r>
        <w:rPr>
          <w:rFonts w:hint="eastAsia" w:ascii="宋体" w:hAnsi="宋体" w:cs="宋体"/>
          <w:color w:val="auto"/>
          <w:highlight w:val="none"/>
        </w:rPr>
        <w:t>时，其超过部分据实调整。</w:t>
      </w:r>
    </w:p>
    <w:p w14:paraId="7FD09541">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第3种方式：其他价格调整方式：</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w:t>
      </w:r>
      <w:r>
        <w:rPr>
          <w:rFonts w:hint="eastAsia" w:ascii="宋体" w:hAnsi="宋体" w:cs="宋体"/>
          <w:color w:val="auto"/>
          <w:highlight w:val="none"/>
          <w:u w:val="single"/>
        </w:rPr>
        <w:t xml:space="preserve">        </w:t>
      </w:r>
      <w:r>
        <w:rPr>
          <w:rFonts w:hint="eastAsia" w:ascii="宋体" w:hAnsi="宋体" w:cs="宋体"/>
          <w:color w:val="auto"/>
          <w:highlight w:val="none"/>
        </w:rPr>
        <w:t>。</w:t>
      </w:r>
    </w:p>
    <w:bookmarkEnd w:id="1008"/>
    <w:bookmarkEnd w:id="1009"/>
    <w:bookmarkEnd w:id="1010"/>
    <w:bookmarkEnd w:id="1011"/>
    <w:bookmarkEnd w:id="1012"/>
    <w:bookmarkEnd w:id="1013"/>
    <w:p w14:paraId="23F797F4">
      <w:pPr>
        <w:keepNext/>
        <w:keepLines/>
        <w:adjustRightInd w:val="0"/>
        <w:snapToGrid w:val="0"/>
        <w:spacing w:line="384" w:lineRule="auto"/>
        <w:jc w:val="left"/>
        <w:outlineLvl w:val="2"/>
        <w:rPr>
          <w:rFonts w:hint="eastAsia" w:ascii="宋体" w:hAnsi="宋体" w:cs="宋体"/>
          <w:bCs/>
          <w:color w:val="auto"/>
          <w:sz w:val="24"/>
          <w:highlight w:val="none"/>
        </w:rPr>
      </w:pPr>
      <w:bookmarkStart w:id="1122" w:name="_Toc296891245"/>
      <w:bookmarkStart w:id="1123" w:name="_Toc292559410"/>
      <w:bookmarkStart w:id="1124" w:name="_Toc296891033"/>
      <w:bookmarkStart w:id="1125" w:name="_Toc296347204"/>
      <w:bookmarkStart w:id="1126" w:name="_Toc296503205"/>
      <w:bookmarkStart w:id="1127" w:name="_Toc297120505"/>
      <w:bookmarkStart w:id="1128" w:name="_Toc297048391"/>
      <w:bookmarkStart w:id="1129" w:name="_Toc296944544"/>
      <w:bookmarkStart w:id="1130" w:name="_Toc296346706"/>
      <w:bookmarkStart w:id="1131" w:name="_Toc292559915"/>
      <w:bookmarkStart w:id="1132" w:name="_Toc351203644"/>
      <w:bookmarkStart w:id="1133" w:name="_Toc95223473"/>
      <w:bookmarkStart w:id="1134" w:name="_Toc312678040"/>
      <w:bookmarkStart w:id="1135" w:name="_Toc297216211"/>
      <w:bookmarkStart w:id="1136" w:name="_Toc303539159"/>
      <w:bookmarkStart w:id="1137" w:name="_Toc300935002"/>
      <w:bookmarkStart w:id="1138" w:name="_Toc297123552"/>
      <w:bookmarkStart w:id="1139" w:name="_Toc304295579"/>
      <w:r>
        <w:rPr>
          <w:rFonts w:hint="eastAsia" w:ascii="宋体" w:hAnsi="宋体" w:cs="宋体"/>
          <w:bCs/>
          <w:color w:val="auto"/>
          <w:sz w:val="24"/>
          <w:highlight w:val="none"/>
        </w:rPr>
        <w:t xml:space="preserve">12. </w:t>
      </w:r>
      <w:bookmarkEnd w:id="1122"/>
      <w:bookmarkEnd w:id="1123"/>
      <w:bookmarkEnd w:id="1124"/>
      <w:bookmarkEnd w:id="1125"/>
      <w:bookmarkEnd w:id="1126"/>
      <w:bookmarkEnd w:id="1127"/>
      <w:bookmarkEnd w:id="1128"/>
      <w:bookmarkEnd w:id="1129"/>
      <w:bookmarkEnd w:id="1130"/>
      <w:bookmarkEnd w:id="1131"/>
      <w:r>
        <w:rPr>
          <w:rFonts w:hint="eastAsia" w:ascii="宋体" w:hAnsi="宋体" w:cs="宋体"/>
          <w:bCs/>
          <w:color w:val="auto"/>
          <w:sz w:val="24"/>
          <w:highlight w:val="none"/>
        </w:rPr>
        <w:t>合同价格、计量与支付</w:t>
      </w:r>
      <w:bookmarkEnd w:id="1132"/>
      <w:bookmarkEnd w:id="1133"/>
    </w:p>
    <w:bookmarkEnd w:id="1134"/>
    <w:bookmarkEnd w:id="1135"/>
    <w:bookmarkEnd w:id="1136"/>
    <w:bookmarkEnd w:id="1137"/>
    <w:bookmarkEnd w:id="1138"/>
    <w:bookmarkEnd w:id="1139"/>
    <w:p w14:paraId="479F8F53">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bookmarkStart w:id="1140" w:name="_Toc292559411"/>
      <w:bookmarkStart w:id="1141" w:name="_Toc292559916"/>
      <w:bookmarkStart w:id="1142" w:name="_Toc267251461"/>
      <w:bookmarkStart w:id="1143" w:name="_Toc296944545"/>
      <w:bookmarkStart w:id="1144" w:name="_Toc296347205"/>
      <w:bookmarkStart w:id="1145" w:name="_Toc296346707"/>
      <w:bookmarkStart w:id="1146" w:name="_Toc296503206"/>
      <w:bookmarkStart w:id="1147" w:name="_Toc296891246"/>
      <w:bookmarkStart w:id="1148" w:name="_Toc297120506"/>
      <w:bookmarkStart w:id="1149" w:name="_Toc297048392"/>
      <w:bookmarkStart w:id="1150" w:name="_Toc296891034"/>
      <w:bookmarkStart w:id="1151" w:name="_Toc303539160"/>
      <w:bookmarkStart w:id="1152" w:name="_Toc312678041"/>
      <w:bookmarkStart w:id="1153" w:name="_Toc300935003"/>
      <w:bookmarkStart w:id="1154" w:name="_Toc297123553"/>
      <w:bookmarkStart w:id="1155" w:name="_Toc304295580"/>
      <w:bookmarkStart w:id="1156" w:name="_Toc297216212"/>
      <w:r>
        <w:rPr>
          <w:rFonts w:hint="eastAsia" w:ascii="宋体" w:hAnsi="宋体" w:cs="宋体"/>
          <w:bCs/>
          <w:color w:val="auto"/>
          <w:szCs w:val="28"/>
          <w:highlight w:val="none"/>
        </w:rPr>
        <w:t>12.1 合</w:t>
      </w:r>
      <w:bookmarkEnd w:id="1140"/>
      <w:bookmarkEnd w:id="1141"/>
      <w:bookmarkEnd w:id="1142"/>
      <w:r>
        <w:rPr>
          <w:rFonts w:hint="eastAsia" w:ascii="宋体" w:hAnsi="宋体" w:cs="宋体"/>
          <w:bCs/>
          <w:color w:val="auto"/>
          <w:szCs w:val="28"/>
          <w:highlight w:val="none"/>
        </w:rPr>
        <w:t>同价</w:t>
      </w:r>
      <w:bookmarkEnd w:id="1143"/>
      <w:bookmarkEnd w:id="1144"/>
      <w:bookmarkEnd w:id="1145"/>
      <w:bookmarkEnd w:id="1146"/>
      <w:bookmarkEnd w:id="1147"/>
      <w:bookmarkEnd w:id="1148"/>
      <w:bookmarkEnd w:id="1149"/>
      <w:bookmarkEnd w:id="1150"/>
      <w:r>
        <w:rPr>
          <w:rFonts w:hint="eastAsia" w:ascii="宋体" w:hAnsi="宋体" w:cs="宋体"/>
          <w:bCs/>
          <w:color w:val="auto"/>
          <w:szCs w:val="28"/>
          <w:highlight w:val="none"/>
        </w:rPr>
        <w:t>格形式</w:t>
      </w:r>
    </w:p>
    <w:bookmarkEnd w:id="1151"/>
    <w:bookmarkEnd w:id="1152"/>
    <w:bookmarkEnd w:id="1153"/>
    <w:bookmarkEnd w:id="1154"/>
    <w:bookmarkEnd w:id="1155"/>
    <w:bookmarkEnd w:id="1156"/>
    <w:p w14:paraId="2E7EEE8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lang w:eastAsia="zh-CN"/>
        </w:rPr>
        <w:t>（1）</w:t>
      </w:r>
      <w:r>
        <w:rPr>
          <w:rFonts w:hint="eastAsia" w:ascii="宋体" w:hAnsi="宋体" w:cs="宋体"/>
          <w:color w:val="auto"/>
          <w:highlight w:val="none"/>
        </w:rPr>
        <w:t>单价合同。</w:t>
      </w:r>
    </w:p>
    <w:p w14:paraId="1C99FD56">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综合单价包含的风险范围：</w:t>
      </w:r>
      <w:r>
        <w:rPr>
          <w:rFonts w:hint="eastAsia" w:ascii="宋体" w:hAnsi="宋体" w:cs="宋体"/>
          <w:color w:val="auto"/>
          <w:szCs w:val="21"/>
          <w:highlight w:val="none"/>
          <w:u w:val="single"/>
        </w:rPr>
        <w:t>隐含于已标价工程量清单综合单价中，用于化解发承包双方在工程合同中约定内容和范围内的市场价格波动风险的费用</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A1A3195">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风险费用的计算方法：</w:t>
      </w:r>
      <w:r>
        <w:rPr>
          <w:rFonts w:hint="eastAsia" w:ascii="宋体" w:hAnsi="宋体" w:cs="宋体"/>
          <w:color w:val="auto"/>
          <w:highlight w:val="none"/>
          <w:u w:val="single"/>
        </w:rPr>
        <w:t xml:space="preserve">   </w:t>
      </w:r>
      <w:r>
        <w:rPr>
          <w:rFonts w:hint="eastAsia" w:ascii="宋体" w:hAnsi="宋体" w:eastAsia="宋体" w:cs="宋体"/>
          <w:color w:val="auto"/>
          <w:szCs w:val="21"/>
          <w:highlight w:val="none"/>
          <w:u w:val="single"/>
        </w:rPr>
        <w:t>承包人自行考虑，包含在报价中</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8FDDE9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风险范围以外合同价格的调整方法：</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875A80F">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lang w:eastAsia="zh-CN"/>
        </w:rPr>
        <w:t>（2）</w:t>
      </w:r>
      <w:r>
        <w:rPr>
          <w:rFonts w:hint="eastAsia" w:ascii="宋体" w:hAnsi="宋体" w:cs="宋体"/>
          <w:color w:val="auto"/>
          <w:highlight w:val="none"/>
        </w:rPr>
        <w:t>总价合同。</w:t>
      </w:r>
    </w:p>
    <w:p w14:paraId="6F5745BD">
      <w:pPr>
        <w:adjustRightInd w:val="0"/>
        <w:snapToGrid w:val="0"/>
        <w:spacing w:line="384" w:lineRule="auto"/>
        <w:ind w:firstLine="420" w:firstLineChars="200"/>
        <w:rPr>
          <w:rFonts w:hint="eastAsia" w:ascii="宋体" w:hAnsi="宋体" w:cs="宋体"/>
          <w:b/>
          <w:color w:val="auto"/>
          <w:highlight w:val="none"/>
        </w:rPr>
      </w:pPr>
      <w:r>
        <w:rPr>
          <w:rFonts w:hint="eastAsia" w:ascii="宋体" w:hAnsi="宋体" w:cs="宋体"/>
          <w:color w:val="auto"/>
          <w:highlight w:val="none"/>
        </w:rPr>
        <w:t>总价包含的风险范围：</w:t>
      </w:r>
      <w:r>
        <w:rPr>
          <w:rFonts w:hint="eastAsia" w:ascii="宋体" w:hAnsi="宋体" w:cs="宋体"/>
          <w:b/>
          <w:color w:val="auto"/>
          <w:highlight w:val="none"/>
          <w:u w:val="single"/>
        </w:rPr>
        <w:t xml:space="preserve">                                    </w:t>
      </w:r>
    </w:p>
    <w:p w14:paraId="3CF244BB">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风险费用的计算方法：</w:t>
      </w:r>
      <w:r>
        <w:rPr>
          <w:rFonts w:hint="eastAsia" w:ascii="宋体" w:hAnsi="宋体" w:cs="宋体"/>
          <w:b/>
          <w:color w:val="auto"/>
          <w:highlight w:val="none"/>
          <w:u w:val="single"/>
        </w:rPr>
        <w:t xml:space="preserve">                     </w:t>
      </w:r>
      <w:r>
        <w:rPr>
          <w:rFonts w:hint="eastAsia" w:ascii="宋体" w:hAnsi="宋体" w:cs="宋体"/>
          <w:color w:val="auto"/>
          <w:highlight w:val="none"/>
        </w:rPr>
        <w:t>。</w:t>
      </w:r>
    </w:p>
    <w:p w14:paraId="6607311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风险范围以外合同价格的调整方法：</w:t>
      </w:r>
      <w:r>
        <w:rPr>
          <w:rFonts w:hint="eastAsia" w:ascii="宋体" w:hAnsi="宋体" w:cs="宋体"/>
          <w:color w:val="auto"/>
          <w:highlight w:val="none"/>
          <w:u w:val="single"/>
        </w:rPr>
        <w:t xml:space="preserve">  </w:t>
      </w:r>
      <w:r>
        <w:rPr>
          <w:rFonts w:hint="eastAsia" w:ascii="宋体" w:hAnsi="宋体" w:cs="宋体"/>
          <w:b/>
          <w:color w:val="auto"/>
          <w:highlight w:val="none"/>
          <w:u w:val="single"/>
        </w:rPr>
        <w:t xml:space="preserve">       </w:t>
      </w:r>
      <w:r>
        <w:rPr>
          <w:rFonts w:hint="eastAsia" w:ascii="宋体" w:hAnsi="宋体" w:cs="宋体"/>
          <w:color w:val="auto"/>
          <w:highlight w:val="none"/>
        </w:rPr>
        <w:t>。</w:t>
      </w:r>
    </w:p>
    <w:p w14:paraId="17E13165">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lang w:eastAsia="zh-CN"/>
        </w:rPr>
        <w:t>（</w:t>
      </w:r>
      <w:r>
        <w:rPr>
          <w:rFonts w:hint="eastAsia" w:ascii="宋体" w:hAnsi="宋体" w:cs="宋体"/>
          <w:color w:val="auto"/>
          <w:highlight w:val="none"/>
        </w:rPr>
        <w:t>3</w:t>
      </w:r>
      <w:r>
        <w:rPr>
          <w:rFonts w:hint="eastAsia" w:ascii="宋体" w:hAnsi="宋体" w:cs="宋体"/>
          <w:color w:val="auto"/>
          <w:highlight w:val="none"/>
          <w:lang w:eastAsia="zh-CN"/>
        </w:rPr>
        <w:t>）</w:t>
      </w:r>
      <w:r>
        <w:rPr>
          <w:rFonts w:hint="eastAsia" w:ascii="宋体" w:hAnsi="宋体" w:cs="宋体"/>
          <w:color w:val="auto"/>
          <w:highlight w:val="none"/>
        </w:rPr>
        <w:t>其他价格方式：</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9918204">
      <w:pPr>
        <w:keepNext/>
        <w:keepLines/>
        <w:adjustRightInd w:val="0"/>
        <w:snapToGrid w:val="0"/>
        <w:spacing w:line="384" w:lineRule="auto"/>
        <w:jc w:val="left"/>
        <w:outlineLvl w:val="2"/>
        <w:rPr>
          <w:rFonts w:hint="eastAsia" w:ascii="宋体" w:hAnsi="宋体" w:cs="宋体"/>
          <w:bCs/>
          <w:color w:val="auto"/>
          <w:sz w:val="24"/>
          <w:highlight w:val="none"/>
        </w:rPr>
      </w:pPr>
      <w:bookmarkStart w:id="1157" w:name="_Toc95223474"/>
      <w:bookmarkStart w:id="1158" w:name="_Toc304295581"/>
      <w:bookmarkStart w:id="1159" w:name="_Toc297123554"/>
      <w:bookmarkStart w:id="1160" w:name="_Toc300935004"/>
      <w:bookmarkStart w:id="1161" w:name="_Toc303539161"/>
      <w:bookmarkStart w:id="1162" w:name="_Toc312678042"/>
      <w:bookmarkStart w:id="1163" w:name="_Toc297216213"/>
      <w:bookmarkStart w:id="1164" w:name="_Toc296503207"/>
      <w:bookmarkStart w:id="1165" w:name="_Toc297120507"/>
      <w:bookmarkStart w:id="1166" w:name="_Toc296346708"/>
      <w:bookmarkStart w:id="1167" w:name="_Toc292559917"/>
      <w:bookmarkStart w:id="1168" w:name="_Toc296891035"/>
      <w:bookmarkStart w:id="1169" w:name="_Toc296944546"/>
      <w:bookmarkStart w:id="1170" w:name="_Toc296891247"/>
      <w:bookmarkStart w:id="1171" w:name="_Toc297048393"/>
      <w:bookmarkStart w:id="1172" w:name="_Toc292559412"/>
      <w:bookmarkStart w:id="1173" w:name="_Toc296347206"/>
      <w:r>
        <w:rPr>
          <w:rFonts w:hint="eastAsia" w:ascii="宋体" w:hAnsi="宋体" w:cs="宋体"/>
          <w:bCs/>
          <w:color w:val="auto"/>
          <w:sz w:val="24"/>
          <w:highlight w:val="none"/>
        </w:rPr>
        <w:t>12.2 预付款</w:t>
      </w:r>
      <w:bookmarkEnd w:id="1157"/>
    </w:p>
    <w:bookmarkEnd w:id="1158"/>
    <w:bookmarkEnd w:id="1159"/>
    <w:bookmarkEnd w:id="1160"/>
    <w:bookmarkEnd w:id="1161"/>
    <w:bookmarkEnd w:id="1162"/>
    <w:bookmarkEnd w:id="1163"/>
    <w:p w14:paraId="26E3C6C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12.2.1 预付款的支付</w:t>
      </w:r>
    </w:p>
    <w:p w14:paraId="2375AFC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预付款支付比例或金额：</w:t>
      </w:r>
      <w:r>
        <w:rPr>
          <w:rFonts w:hint="eastAsia" w:ascii="宋体" w:hAnsi="宋体" w:cs="宋体"/>
          <w:color w:val="auto"/>
          <w:highlight w:val="none"/>
          <w:u w:val="single"/>
        </w:rPr>
        <w:t>合同总价（扣除暂列金额）的10%</w:t>
      </w:r>
      <w:r>
        <w:rPr>
          <w:rFonts w:hint="eastAsia" w:ascii="宋体" w:hAnsi="宋体" w:cs="宋体"/>
          <w:color w:val="auto"/>
          <w:highlight w:val="none"/>
        </w:rPr>
        <w:t>。</w:t>
      </w:r>
    </w:p>
    <w:p w14:paraId="78AFBD89">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预付款支付期限：</w:t>
      </w:r>
      <w:r>
        <w:rPr>
          <w:rFonts w:hint="eastAsia" w:ascii="宋体" w:hAnsi="宋体" w:cs="宋体"/>
          <w:color w:val="auto"/>
          <w:highlight w:val="none"/>
          <w:u w:val="single"/>
        </w:rPr>
        <w:t>在具备施工条件的前提下，发包人在合同签订后一个月内或不迟于约定的开工日期前7天内预付工程款</w:t>
      </w:r>
      <w:r>
        <w:rPr>
          <w:rFonts w:hint="eastAsia" w:ascii="宋体" w:hAnsi="宋体" w:cs="宋体"/>
          <w:color w:val="auto"/>
          <w:highlight w:val="none"/>
        </w:rPr>
        <w:t>。</w:t>
      </w:r>
    </w:p>
    <w:p w14:paraId="31AAED49">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预付款扣回的方式：</w:t>
      </w:r>
      <w:r>
        <w:rPr>
          <w:rFonts w:hint="eastAsia" w:ascii="宋体" w:hAnsi="宋体" w:cs="宋体"/>
          <w:color w:val="auto"/>
          <w:highlight w:val="none"/>
          <w:u w:val="single"/>
          <w:lang w:val="en-US" w:eastAsia="zh-CN"/>
        </w:rPr>
        <w:t xml:space="preserve"> 在支付工程进度款中按比例扣除，扣完为止</w:t>
      </w:r>
      <w:r>
        <w:rPr>
          <w:rFonts w:hint="eastAsia" w:ascii="宋体" w:hAnsi="宋体" w:cs="宋体"/>
          <w:color w:val="auto"/>
          <w:highlight w:val="none"/>
        </w:rPr>
        <w:t>。</w:t>
      </w:r>
    </w:p>
    <w:p w14:paraId="7FA59D1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12.2.2 预付款担保</w:t>
      </w:r>
    </w:p>
    <w:p w14:paraId="6F5FB0B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承包人提交预付款担保的期限：</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CBD8DD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预付款担保的形式为：</w:t>
      </w:r>
      <w:r>
        <w:rPr>
          <w:rFonts w:hint="eastAsia" w:ascii="宋体" w:hAnsi="宋体" w:cs="宋体"/>
          <w:color w:val="auto"/>
          <w:highlight w:val="none"/>
          <w:u w:val="single"/>
        </w:rPr>
        <w:t xml:space="preserve">                                  </w:t>
      </w:r>
      <w:r>
        <w:rPr>
          <w:rFonts w:hint="eastAsia" w:ascii="宋体" w:hAnsi="宋体" w:cs="宋体"/>
          <w:color w:val="auto"/>
          <w:highlight w:val="none"/>
        </w:rPr>
        <w:t>。</w:t>
      </w:r>
    </w:p>
    <w:bookmarkEnd w:id="1164"/>
    <w:bookmarkEnd w:id="1165"/>
    <w:bookmarkEnd w:id="1166"/>
    <w:bookmarkEnd w:id="1167"/>
    <w:bookmarkEnd w:id="1168"/>
    <w:bookmarkEnd w:id="1169"/>
    <w:bookmarkEnd w:id="1170"/>
    <w:bookmarkEnd w:id="1171"/>
    <w:bookmarkEnd w:id="1172"/>
    <w:bookmarkEnd w:id="1173"/>
    <w:p w14:paraId="5C41BBAC">
      <w:pPr>
        <w:keepNext/>
        <w:keepLines/>
        <w:adjustRightInd w:val="0"/>
        <w:snapToGrid w:val="0"/>
        <w:spacing w:line="384" w:lineRule="auto"/>
        <w:jc w:val="left"/>
        <w:outlineLvl w:val="2"/>
        <w:rPr>
          <w:rFonts w:hint="eastAsia" w:ascii="宋体" w:hAnsi="宋体" w:cs="宋体"/>
          <w:bCs/>
          <w:color w:val="auto"/>
          <w:sz w:val="24"/>
          <w:highlight w:val="none"/>
        </w:rPr>
      </w:pPr>
      <w:bookmarkStart w:id="1174" w:name="_Toc95223475"/>
      <w:r>
        <w:rPr>
          <w:rFonts w:hint="eastAsia" w:ascii="宋体" w:hAnsi="宋体" w:cs="宋体"/>
          <w:bCs/>
          <w:color w:val="auto"/>
          <w:sz w:val="24"/>
          <w:highlight w:val="none"/>
        </w:rPr>
        <w:t>12.3 计量</w:t>
      </w:r>
      <w:bookmarkEnd w:id="1174"/>
    </w:p>
    <w:p w14:paraId="1D897EC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12.3.1 计量原则</w:t>
      </w:r>
    </w:p>
    <w:p w14:paraId="206BCF25">
      <w:pPr>
        <w:adjustRightInd w:val="0"/>
        <w:snapToGrid w:val="0"/>
        <w:spacing w:line="384" w:lineRule="auto"/>
        <w:ind w:firstLine="420" w:firstLineChars="200"/>
        <w:rPr>
          <w:rFonts w:hint="eastAsia" w:ascii="宋体" w:hAnsi="宋体" w:cs="宋体"/>
          <w:b/>
          <w:color w:val="auto"/>
          <w:highlight w:val="none"/>
        </w:rPr>
      </w:pPr>
      <w:r>
        <w:rPr>
          <w:rFonts w:hint="eastAsia" w:ascii="宋体" w:hAnsi="宋体" w:cs="宋体"/>
          <w:color w:val="auto"/>
          <w:highlight w:val="none"/>
        </w:rPr>
        <w:t>工程量计算规则：</w:t>
      </w:r>
      <w:r>
        <w:rPr>
          <w:rFonts w:hint="eastAsia" w:ascii="宋体" w:hAnsi="宋体" w:cs="宋体"/>
          <w:color w:val="auto"/>
          <w:szCs w:val="21"/>
          <w:highlight w:val="none"/>
          <w:u w:val="single"/>
        </w:rPr>
        <w:t>按招标工程量清单及最高投标限价所采用的工程量清单计价规范及配套文件等</w:t>
      </w:r>
      <w:r>
        <w:rPr>
          <w:rFonts w:hint="eastAsia" w:ascii="宋体" w:hAnsi="宋体" w:cs="宋体"/>
          <w:b/>
          <w:color w:val="auto"/>
          <w:highlight w:val="none"/>
        </w:rPr>
        <w:t>。</w:t>
      </w:r>
    </w:p>
    <w:p w14:paraId="0F09D97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12.3.2 计量周期</w:t>
      </w:r>
    </w:p>
    <w:p w14:paraId="5B1CF00F">
      <w:pPr>
        <w:adjustRightInd w:val="0"/>
        <w:snapToGrid w:val="0"/>
        <w:spacing w:line="384" w:lineRule="auto"/>
        <w:ind w:firstLine="420" w:firstLineChars="200"/>
        <w:rPr>
          <w:rFonts w:hint="eastAsia" w:ascii="宋体" w:hAnsi="宋体" w:cs="宋体"/>
          <w:b/>
          <w:color w:val="auto"/>
          <w:highlight w:val="none"/>
        </w:rPr>
      </w:pPr>
      <w:r>
        <w:rPr>
          <w:rFonts w:hint="eastAsia" w:ascii="宋体" w:hAnsi="宋体" w:cs="宋体"/>
          <w:color w:val="auto"/>
          <w:highlight w:val="none"/>
        </w:rPr>
        <w:t>关于计量周期的约定</w:t>
      </w:r>
      <w:r>
        <w:rPr>
          <w:rFonts w:hint="eastAsia" w:ascii="宋体" w:hAnsi="宋体" w:cs="宋体"/>
          <w:b/>
          <w:color w:val="auto"/>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按月计量</w:t>
      </w:r>
      <w:r>
        <w:rPr>
          <w:rFonts w:hint="eastAsia" w:ascii="宋体" w:hAnsi="宋体" w:cs="宋体"/>
          <w:color w:val="auto"/>
          <w:szCs w:val="21"/>
          <w:highlight w:val="none"/>
          <w:u w:val="single"/>
        </w:rPr>
        <w:t xml:space="preserve">   </w:t>
      </w:r>
      <w:r>
        <w:rPr>
          <w:rFonts w:hint="eastAsia" w:ascii="宋体" w:hAnsi="宋体" w:cs="宋体"/>
          <w:b/>
          <w:color w:val="auto"/>
          <w:highlight w:val="none"/>
        </w:rPr>
        <w:t>。</w:t>
      </w:r>
    </w:p>
    <w:p w14:paraId="4507126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12.3.3 单价合同的计量</w:t>
      </w:r>
    </w:p>
    <w:p w14:paraId="21FF125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关于单价合同计量的约定：</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74EBEB8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12.3.4 总价合同的计量</w:t>
      </w:r>
    </w:p>
    <w:p w14:paraId="52B9D0D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关于总价合同计量的约定：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6E7C55E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12.3.5 总价合同采用支付分解表计量支付的，是否适用第</w:t>
      </w:r>
      <w:r>
        <w:rPr>
          <w:rFonts w:hint="eastAsia" w:ascii="宋体" w:hAnsi="宋体" w:cs="宋体"/>
          <w:color w:val="auto"/>
          <w:kern w:val="0"/>
          <w:highlight w:val="none"/>
        </w:rPr>
        <w:t>12.3.4</w:t>
      </w:r>
      <w:r>
        <w:rPr>
          <w:rFonts w:hint="eastAsia" w:ascii="宋体" w:hAnsi="宋体" w:cs="宋体"/>
          <w:color w:val="auto"/>
          <w:highlight w:val="none"/>
        </w:rPr>
        <w:t>项</w:t>
      </w:r>
      <w:r>
        <w:rPr>
          <w:rFonts w:hint="eastAsia" w:ascii="宋体" w:hAnsi="宋体" w:cs="宋体"/>
          <w:color w:val="auto"/>
          <w:kern w:val="0"/>
          <w:highlight w:val="none"/>
        </w:rPr>
        <w:t>〔总价合同的计量〕</w:t>
      </w:r>
      <w:r>
        <w:rPr>
          <w:rFonts w:hint="eastAsia" w:ascii="宋体" w:hAnsi="宋体" w:cs="宋体"/>
          <w:color w:val="auto"/>
          <w:highlight w:val="none"/>
        </w:rPr>
        <w:t>约定进行计量：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b/>
          <w:color w:val="auto"/>
          <w:highlight w:val="none"/>
        </w:rPr>
        <w:t>。</w:t>
      </w:r>
    </w:p>
    <w:p w14:paraId="170E3A2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12.3.6 其他价格形式合同的计量</w:t>
      </w:r>
    </w:p>
    <w:p w14:paraId="50E6FBCE">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其他价格形式的计量方式和程序：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0479C2DE">
      <w:pPr>
        <w:keepNext/>
        <w:keepLines/>
        <w:adjustRightInd w:val="0"/>
        <w:snapToGrid w:val="0"/>
        <w:spacing w:line="384" w:lineRule="auto"/>
        <w:jc w:val="left"/>
        <w:outlineLvl w:val="2"/>
        <w:rPr>
          <w:rFonts w:hint="eastAsia" w:ascii="宋体" w:hAnsi="宋体" w:cs="宋体"/>
          <w:bCs/>
          <w:color w:val="auto"/>
          <w:sz w:val="24"/>
          <w:highlight w:val="none"/>
        </w:rPr>
      </w:pPr>
      <w:bookmarkStart w:id="1175" w:name="_Toc95223476"/>
      <w:r>
        <w:rPr>
          <w:rFonts w:hint="eastAsia" w:ascii="宋体" w:hAnsi="宋体" w:cs="宋体"/>
          <w:bCs/>
          <w:color w:val="auto"/>
          <w:sz w:val="24"/>
          <w:highlight w:val="none"/>
        </w:rPr>
        <w:t>12.4 工程进度款支付</w:t>
      </w:r>
      <w:bookmarkEnd w:id="1175"/>
    </w:p>
    <w:p w14:paraId="3C79D963">
      <w:pPr>
        <w:adjustRightInd w:val="0"/>
        <w:snapToGrid w:val="0"/>
        <w:spacing w:line="384" w:lineRule="auto"/>
        <w:ind w:firstLine="420" w:firstLineChars="200"/>
        <w:rPr>
          <w:rFonts w:hint="eastAsia" w:ascii="宋体" w:hAnsi="宋体" w:cs="宋体"/>
          <w:color w:val="auto"/>
          <w:highlight w:val="none"/>
        </w:rPr>
      </w:pPr>
      <w:bookmarkStart w:id="1176" w:name="_Toc303539163"/>
      <w:bookmarkStart w:id="1177" w:name="_Toc296346712"/>
      <w:bookmarkStart w:id="1178" w:name="_Toc292559921"/>
      <w:bookmarkStart w:id="1179" w:name="_Toc296503211"/>
      <w:bookmarkStart w:id="1180" w:name="_Toc296944550"/>
      <w:bookmarkStart w:id="1181" w:name="_Toc297048397"/>
      <w:bookmarkStart w:id="1182" w:name="_Toc297120511"/>
      <w:bookmarkStart w:id="1183" w:name="_Toc296891039"/>
      <w:bookmarkStart w:id="1184" w:name="_Toc292559416"/>
      <w:bookmarkStart w:id="1185" w:name="_Toc300935006"/>
      <w:bookmarkStart w:id="1186" w:name="_Toc297216215"/>
      <w:bookmarkStart w:id="1187" w:name="_Toc296347210"/>
      <w:bookmarkStart w:id="1188" w:name="_Toc297123556"/>
      <w:bookmarkStart w:id="1189" w:name="_Toc296891251"/>
      <w:r>
        <w:rPr>
          <w:rFonts w:hint="eastAsia" w:ascii="宋体" w:hAnsi="宋体" w:cs="宋体"/>
          <w:color w:val="auto"/>
          <w:highlight w:val="none"/>
        </w:rPr>
        <w:t>12.4.1 付款周期</w:t>
      </w:r>
    </w:p>
    <w:p w14:paraId="3F7A1B22">
      <w:pPr>
        <w:pageBreakBefore w:val="0"/>
        <w:widowControl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u w:val="single"/>
        </w:rPr>
      </w:pPr>
      <w:r>
        <w:rPr>
          <w:rFonts w:hint="eastAsia" w:ascii="宋体" w:hAnsi="宋体" w:cs="宋体"/>
          <w:color w:val="auto"/>
          <w:highlight w:val="none"/>
        </w:rPr>
        <w:t>关于付款周期的约定：</w:t>
      </w:r>
      <w:r>
        <w:rPr>
          <w:rFonts w:hint="eastAsia" w:ascii="宋体" w:hAnsi="宋体" w:cs="宋体"/>
          <w:color w:val="auto"/>
          <w:highlight w:val="none"/>
          <w:u w:val="single"/>
        </w:rPr>
        <w:t>在具备施工条件的前提下，发包人在合同签订后一个月内或不迟于约定的开工日期前7天内预付工程款为合同总价（扣除暂列金额）的</w:t>
      </w:r>
      <w:r>
        <w:rPr>
          <w:rFonts w:hint="eastAsia" w:ascii="宋体" w:hAnsi="宋体" w:cs="宋体"/>
          <w:b/>
          <w:color w:val="auto"/>
          <w:highlight w:val="none"/>
          <w:u w:val="single"/>
        </w:rPr>
        <w:t>10</w:t>
      </w:r>
      <w:r>
        <w:rPr>
          <w:rFonts w:hint="eastAsia" w:ascii="宋体" w:hAnsi="宋体" w:cs="宋体"/>
          <w:color w:val="auto"/>
          <w:highlight w:val="none"/>
          <w:u w:val="single"/>
        </w:rPr>
        <w:t>%，</w:t>
      </w:r>
      <w:r>
        <w:rPr>
          <w:rFonts w:hint="eastAsia" w:ascii="宋体" w:hAnsi="宋体" w:cs="宋体"/>
          <w:b/>
          <w:color w:val="auto"/>
          <w:highlight w:val="none"/>
          <w:u w:val="single"/>
        </w:rPr>
        <w:t>施工过程结算款支付比例不低于85%</w:t>
      </w:r>
      <w:r>
        <w:rPr>
          <w:rFonts w:hint="eastAsia" w:ascii="宋体" w:hAnsi="宋体" w:cs="宋体"/>
          <w:color w:val="auto"/>
          <w:highlight w:val="none"/>
          <w:u w:val="single"/>
        </w:rPr>
        <w:t>，结算审核完成后付至结算价款的</w:t>
      </w:r>
      <w:r>
        <w:rPr>
          <w:rFonts w:hint="eastAsia" w:ascii="宋体" w:hAnsi="宋体" w:cs="宋体"/>
          <w:b/>
          <w:color w:val="auto"/>
          <w:highlight w:val="none"/>
          <w:u w:val="single"/>
        </w:rPr>
        <w:t>98%</w:t>
      </w:r>
      <w:r>
        <w:rPr>
          <w:rFonts w:hint="eastAsia" w:ascii="宋体" w:hAnsi="宋体" w:cs="宋体"/>
          <w:color w:val="auto"/>
          <w:highlight w:val="none"/>
          <w:u w:val="single"/>
        </w:rPr>
        <w:t>，剩余</w:t>
      </w:r>
      <w:r>
        <w:rPr>
          <w:rFonts w:hint="eastAsia" w:ascii="宋体" w:hAnsi="宋体" w:cs="宋体"/>
          <w:b/>
          <w:color w:val="auto"/>
          <w:highlight w:val="none"/>
          <w:u w:val="single"/>
        </w:rPr>
        <w:t>2%</w:t>
      </w:r>
      <w:r>
        <w:rPr>
          <w:rFonts w:hint="eastAsia" w:ascii="宋体" w:hAnsi="宋体" w:cs="宋体"/>
          <w:color w:val="auto"/>
          <w:highlight w:val="none"/>
          <w:u w:val="single"/>
        </w:rPr>
        <w:t>作为质量保证金，工程缺陷责任期（自竣工验收合格之日起满</w:t>
      </w:r>
      <w:r>
        <w:rPr>
          <w:rFonts w:hint="eastAsia" w:ascii="宋体" w:hAnsi="宋体" w:cs="宋体"/>
          <w:color w:val="auto"/>
          <w:highlight w:val="none"/>
          <w:u w:val="single"/>
          <w:lang w:val="en-US" w:eastAsia="zh-CN"/>
        </w:rPr>
        <w:t>2</w:t>
      </w:r>
      <w:r>
        <w:rPr>
          <w:rFonts w:hint="eastAsia" w:ascii="宋体" w:hAnsi="宋体" w:cs="宋体"/>
          <w:color w:val="auto"/>
          <w:highlight w:val="none"/>
          <w:u w:val="single"/>
        </w:rPr>
        <w:t>年）满后付清余款。质量保证金支持保函（银行保函、担保机构担保、保证保险）使用。采用保函的不再从工程进度款中扣留质量保证金，保函有效期须与工程缺陷责任期截止时间保持一致。</w:t>
      </w:r>
    </w:p>
    <w:p w14:paraId="25149678">
      <w:pPr>
        <w:adjustRightInd w:val="0"/>
        <w:snapToGrid w:val="0"/>
        <w:spacing w:line="384" w:lineRule="auto"/>
        <w:ind w:firstLine="420" w:firstLineChars="200"/>
        <w:rPr>
          <w:rFonts w:hint="eastAsia" w:ascii="宋体" w:hAnsi="宋体" w:eastAsia="宋体" w:cs="宋体"/>
          <w:color w:val="auto"/>
          <w:highlight w:val="none"/>
          <w:lang w:eastAsia="zh-CN"/>
        </w:rPr>
      </w:pPr>
      <w:r>
        <w:rPr>
          <w:rFonts w:hint="eastAsia" w:ascii="宋体" w:hAnsi="宋体" w:cs="宋体"/>
          <w:color w:val="auto"/>
          <w:highlight w:val="none"/>
        </w:rPr>
        <w:t>关于付款周期的其他约定：</w:t>
      </w:r>
      <w:r>
        <w:rPr>
          <w:rFonts w:hint="eastAsia" w:ascii="宋体" w:hAnsi="宋体" w:cs="宋体"/>
          <w:color w:val="auto"/>
          <w:highlight w:val="none"/>
          <w:u w:val="single"/>
        </w:rPr>
        <w:t>按月进度支付工程款，每月付至已完成合格工程量价款的85%工程完工验收合格取得验收报告后付至已完合格工程价款的 85%，施工过程结算价款按 85%支付</w:t>
      </w:r>
      <w:r>
        <w:rPr>
          <w:rFonts w:hint="eastAsia" w:ascii="宋体" w:hAnsi="宋体" w:cs="宋体"/>
          <w:color w:val="auto"/>
          <w:highlight w:val="none"/>
          <w:u w:val="single"/>
          <w:lang w:eastAsia="zh-CN"/>
        </w:rPr>
        <w:t>。</w:t>
      </w:r>
    </w:p>
    <w:p w14:paraId="18635FF9">
      <w:pPr>
        <w:adjustRightInd w:val="0"/>
        <w:snapToGrid w:val="0"/>
        <w:spacing w:line="384" w:lineRule="auto"/>
        <w:ind w:firstLine="420" w:firstLineChars="200"/>
        <w:rPr>
          <w:rFonts w:hint="eastAsia" w:ascii="宋体" w:hAnsi="宋体" w:cs="宋体"/>
          <w:color w:val="auto"/>
          <w:highlight w:val="none"/>
          <w:lang w:val="en-US" w:eastAsia="zh-CN"/>
        </w:rPr>
      </w:pPr>
      <w:r>
        <w:rPr>
          <w:rFonts w:hint="eastAsia" w:ascii="宋体" w:hAnsi="宋体" w:cs="宋体"/>
          <w:color w:val="auto"/>
          <w:highlight w:val="none"/>
          <w:lang w:val="en-US" w:eastAsia="zh-CN"/>
        </w:rPr>
        <w:t>关于竣工结算超额审计费用：根据滁规建管办字〔2023〕3 号文件《关于规范建设项目工程造价控制与审核费用的通知》第二条规定，工程造价审减率超过5%时，施工单位承担审减率超出。</w:t>
      </w:r>
    </w:p>
    <w:p w14:paraId="4354EC3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12.4.2进度付款申请单的编制</w:t>
      </w:r>
    </w:p>
    <w:p w14:paraId="211A381F">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关于进度付款申请单编制的约定：</w:t>
      </w:r>
      <w:r>
        <w:rPr>
          <w:rFonts w:hint="eastAsia" w:ascii="宋体" w:hAnsi="宋体" w:cs="宋体"/>
          <w:color w:val="auto"/>
          <w:szCs w:val="21"/>
          <w:highlight w:val="none"/>
          <w:u w:val="single"/>
        </w:rPr>
        <w:t xml:space="preserve">  按监理及跟踪审计单位要求执行  </w:t>
      </w:r>
      <w:r>
        <w:rPr>
          <w:rFonts w:hint="eastAsia" w:ascii="宋体" w:hAnsi="宋体" w:cs="宋体"/>
          <w:color w:val="auto"/>
          <w:highlight w:val="none"/>
        </w:rPr>
        <w:t>。</w:t>
      </w:r>
    </w:p>
    <w:p w14:paraId="1FB7D82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Fonts w:hint="eastAsia" w:ascii="宋体" w:hAnsi="宋体" w:cs="宋体"/>
          <w:color w:val="auto"/>
          <w:highlight w:val="none"/>
        </w:rPr>
        <w:t>2.4.3进度付款申请单的提交</w:t>
      </w:r>
    </w:p>
    <w:p w14:paraId="3AE37CA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（1）单价合同进度付款申请单提交的约定：</w:t>
      </w:r>
      <w:r>
        <w:rPr>
          <w:rFonts w:hint="eastAsia" w:ascii="宋体" w:hAnsi="宋体" w:cs="宋体"/>
          <w:color w:val="auto"/>
          <w:highlight w:val="none"/>
          <w:u w:val="single"/>
        </w:rPr>
        <w:t xml:space="preserve"> </w:t>
      </w:r>
      <w:r>
        <w:rPr>
          <w:rFonts w:hint="eastAsia" w:ascii="宋体" w:hAnsi="宋体" w:cs="宋体"/>
          <w:b/>
          <w:bCs/>
          <w:color w:val="auto"/>
          <w:kern w:val="2"/>
          <w:sz w:val="21"/>
          <w:szCs w:val="21"/>
          <w:highlight w:val="none"/>
          <w:u w:val="single"/>
          <w:lang w:val="en-US" w:eastAsia="zh-CN" w:bidi="ar-SA"/>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4681A9A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（2）总价合同进度付款申请单提交的约定：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不执行</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4B9CAC3D">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（3）其他价格形式合同进度付款申请单提交的约定：</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lang w:val="en-US" w:eastAsia="zh-CN"/>
        </w:rPr>
        <w:t>不执行</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BEBEC6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12.4.4 进度款审核和支付</w:t>
      </w:r>
    </w:p>
    <w:p w14:paraId="75A8CEFA">
      <w:pPr>
        <w:adjustRightInd w:val="0"/>
        <w:snapToGrid w:val="0"/>
        <w:spacing w:line="384" w:lineRule="auto"/>
        <w:ind w:firstLine="420" w:firstLineChars="200"/>
        <w:rPr>
          <w:rFonts w:hint="eastAsia" w:ascii="宋体" w:hAnsi="宋体" w:cs="宋体"/>
          <w:b/>
          <w:color w:val="auto"/>
          <w:highlight w:val="none"/>
          <w:u w:val="single"/>
        </w:rPr>
      </w:pPr>
      <w:r>
        <w:rPr>
          <w:rFonts w:hint="eastAsia" w:ascii="宋体" w:hAnsi="宋体" w:cs="宋体"/>
          <w:color w:val="auto"/>
          <w:highlight w:val="none"/>
        </w:rPr>
        <w:t>（1）监理人审查并报送发包人的期限：</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执行通用条款</w:t>
      </w:r>
      <w:r>
        <w:rPr>
          <w:rFonts w:hint="eastAsia" w:ascii="宋体" w:hAnsi="宋体" w:cs="宋体"/>
          <w:color w:val="auto"/>
          <w:szCs w:val="21"/>
          <w:highlight w:val="none"/>
          <w:u w:val="single"/>
        </w:rPr>
        <w:t xml:space="preserve">  </w:t>
      </w:r>
      <w:r>
        <w:rPr>
          <w:rFonts w:hint="eastAsia" w:ascii="宋体" w:hAnsi="宋体" w:cs="宋体"/>
          <w:b/>
          <w:color w:val="auto"/>
          <w:highlight w:val="none"/>
        </w:rPr>
        <w:t>。</w:t>
      </w:r>
    </w:p>
    <w:p w14:paraId="2506869A">
      <w:pPr>
        <w:adjustRightInd w:val="0"/>
        <w:snapToGrid w:val="0"/>
        <w:spacing w:line="384" w:lineRule="auto"/>
        <w:ind w:firstLine="420" w:firstLineChars="200"/>
        <w:rPr>
          <w:rFonts w:hint="eastAsia" w:ascii="宋体" w:hAnsi="宋体" w:cs="宋体"/>
          <w:b/>
          <w:color w:val="auto"/>
          <w:highlight w:val="none"/>
          <w:u w:val="single"/>
        </w:rPr>
      </w:pPr>
      <w:r>
        <w:rPr>
          <w:rFonts w:hint="eastAsia" w:ascii="宋体" w:hAnsi="宋体" w:cs="宋体"/>
          <w:color w:val="auto"/>
          <w:highlight w:val="none"/>
        </w:rPr>
        <w:t>发包人完成审批并签发进度款支付证书的期限：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ED2BAA5">
      <w:pPr>
        <w:adjustRightInd w:val="0"/>
        <w:snapToGrid w:val="0"/>
        <w:spacing w:line="384" w:lineRule="auto"/>
        <w:ind w:firstLine="420" w:firstLineChars="200"/>
        <w:rPr>
          <w:rFonts w:hint="eastAsia" w:ascii="宋体" w:hAnsi="宋体" w:cs="宋体"/>
          <w:b/>
          <w:color w:val="auto"/>
          <w:highlight w:val="none"/>
        </w:rPr>
      </w:pPr>
      <w:r>
        <w:rPr>
          <w:rFonts w:hint="eastAsia" w:ascii="宋体" w:hAnsi="宋体" w:cs="宋体"/>
          <w:color w:val="auto"/>
          <w:highlight w:val="none"/>
        </w:rPr>
        <w:t>（2）发包人支付进度款的期限：</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详见12.4规定</w:t>
      </w:r>
      <w:r>
        <w:rPr>
          <w:rFonts w:hint="eastAsia" w:ascii="宋体" w:hAnsi="宋体" w:cs="宋体"/>
          <w:color w:val="auto"/>
          <w:szCs w:val="21"/>
          <w:highlight w:val="none"/>
          <w:u w:val="single"/>
        </w:rPr>
        <w:t xml:space="preserve"> </w:t>
      </w:r>
      <w:r>
        <w:rPr>
          <w:rFonts w:hint="eastAsia" w:ascii="宋体" w:hAnsi="宋体" w:cs="宋体"/>
          <w:b/>
          <w:color w:val="auto"/>
          <w:highlight w:val="none"/>
        </w:rPr>
        <w:t>。</w:t>
      </w:r>
    </w:p>
    <w:p w14:paraId="673733D1">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 xml:space="preserve">发包人逾期支付进度款的违约金的计算方式 </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无</w:t>
      </w:r>
      <w:r>
        <w:rPr>
          <w:rFonts w:hint="eastAsia" w:ascii="宋体" w:hAnsi="宋体" w:cs="宋体"/>
          <w:color w:val="auto"/>
          <w:highlight w:val="none"/>
          <w:u w:val="single"/>
        </w:rPr>
        <w:t xml:space="preserve">    </w:t>
      </w:r>
      <w:r>
        <w:rPr>
          <w:rFonts w:hint="eastAsia" w:ascii="宋体" w:hAnsi="宋体" w:cs="宋体"/>
          <w:b/>
          <w:color w:val="auto"/>
          <w:highlight w:val="none"/>
        </w:rPr>
        <w:t>。</w:t>
      </w:r>
    </w:p>
    <w:p w14:paraId="677FF8C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12.4.6 支付分解表的编制</w:t>
      </w:r>
    </w:p>
    <w:p w14:paraId="4005D238">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(2)总价合同支付分解表的编制与审批：</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035ACDC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lang w:eastAsia="zh-CN"/>
        </w:rPr>
        <w:t>（3）</w:t>
      </w:r>
      <w:r>
        <w:rPr>
          <w:rFonts w:hint="eastAsia" w:ascii="宋体" w:hAnsi="宋体" w:cs="宋体"/>
          <w:color w:val="auto"/>
          <w:highlight w:val="none"/>
        </w:rPr>
        <w:t>单价合同的总价项目支付分解表的编制与审批：</w:t>
      </w:r>
      <w:r>
        <w:rPr>
          <w:rFonts w:hint="eastAsia" w:ascii="宋体" w:hAnsi="宋体" w:cs="宋体"/>
          <w:color w:val="auto"/>
          <w:highlight w:val="none"/>
          <w:u w:val="single"/>
        </w:rPr>
        <w:t xml:space="preserve">  /  </w:t>
      </w:r>
      <w:r>
        <w:rPr>
          <w:rFonts w:hint="eastAsia" w:ascii="宋体" w:hAnsi="宋体" w:cs="宋体"/>
          <w:color w:val="auto"/>
          <w:highlight w:val="none"/>
        </w:rPr>
        <w:t>。</w:t>
      </w:r>
    </w:p>
    <w:p w14:paraId="65611138">
      <w:pPr>
        <w:adjustRightInd w:val="0"/>
        <w:snapToGrid w:val="0"/>
        <w:spacing w:line="384" w:lineRule="auto"/>
        <w:ind w:firstLine="422" w:firstLineChars="200"/>
        <w:rPr>
          <w:rFonts w:hint="eastAsia" w:ascii="宋体" w:hAnsi="宋体" w:cs="宋体"/>
          <w:b/>
          <w:color w:val="auto"/>
          <w:highlight w:val="none"/>
        </w:rPr>
      </w:pPr>
      <w:r>
        <w:rPr>
          <w:rFonts w:hint="eastAsia" w:ascii="宋体" w:hAnsi="宋体" w:cs="宋体"/>
          <w:b/>
          <w:color w:val="auto"/>
          <w:highlight w:val="none"/>
        </w:rPr>
        <w:t>12.4.7 农民工工资管理（农民工工资保证金支持保函使用）</w:t>
      </w:r>
    </w:p>
    <w:p w14:paraId="337C0E25">
      <w:pPr>
        <w:adjustRightInd w:val="0"/>
        <w:snapToGrid w:val="0"/>
        <w:spacing w:line="384" w:lineRule="auto"/>
        <w:ind w:firstLine="420" w:firstLineChars="200"/>
        <w:rPr>
          <w:rFonts w:hint="eastAsia" w:ascii="宋体" w:hAnsi="宋体" w:eastAsia="宋体" w:cs="宋体"/>
          <w:bCs/>
          <w:color w:val="auto"/>
          <w:highlight w:val="none"/>
          <w:lang w:eastAsia="zh-CN"/>
        </w:rPr>
      </w:pPr>
      <w:r>
        <w:rPr>
          <w:rFonts w:hint="eastAsia" w:ascii="宋体" w:hAnsi="宋体" w:cs="宋体"/>
          <w:bCs/>
          <w:color w:val="auto"/>
          <w:highlight w:val="none"/>
          <w:lang w:eastAsia="zh-CN"/>
        </w:rPr>
        <w:t>（1）</w:t>
      </w:r>
      <w:r>
        <w:rPr>
          <w:rFonts w:hint="eastAsia" w:ascii="宋体" w:hAnsi="宋体" w:cs="宋体"/>
          <w:bCs/>
          <w:color w:val="auto"/>
          <w:highlight w:val="none"/>
        </w:rPr>
        <w:t>本工程农民工工资实行专用账户管理，承包人设立的专用账户开户行为</w:t>
      </w:r>
      <w:r>
        <w:rPr>
          <w:rFonts w:hint="eastAsia" w:ascii="宋体" w:hAnsi="宋体" w:cs="宋体"/>
          <w:bCs/>
          <w:color w:val="auto"/>
          <w:highlight w:val="none"/>
          <w:u w:val="single"/>
        </w:rPr>
        <w:t xml:space="preserve">：        </w:t>
      </w:r>
      <w:r>
        <w:rPr>
          <w:rFonts w:hint="eastAsia" w:ascii="宋体" w:hAnsi="宋体" w:cs="宋体"/>
          <w:bCs/>
          <w:color w:val="auto"/>
          <w:highlight w:val="none"/>
        </w:rPr>
        <w:t>，账号：</w:t>
      </w:r>
      <w:r>
        <w:rPr>
          <w:rFonts w:hint="eastAsia" w:ascii="宋体" w:hAnsi="宋体" w:cs="宋体"/>
          <w:bCs/>
          <w:color w:val="auto"/>
          <w:highlight w:val="none"/>
          <w:u w:val="single"/>
        </w:rPr>
        <w:t xml:space="preserve">              </w:t>
      </w:r>
      <w:r>
        <w:rPr>
          <w:rFonts w:hint="eastAsia" w:ascii="宋体" w:hAnsi="宋体" w:cs="宋体"/>
          <w:bCs/>
          <w:color w:val="auto"/>
          <w:highlight w:val="none"/>
          <w:lang w:eastAsia="zh-CN"/>
        </w:rPr>
        <w:t>；</w:t>
      </w:r>
    </w:p>
    <w:p w14:paraId="1FC47049">
      <w:pPr>
        <w:adjustRightInd w:val="0"/>
        <w:snapToGrid w:val="0"/>
        <w:spacing w:line="384" w:lineRule="auto"/>
        <w:ind w:firstLine="420" w:firstLineChars="200"/>
        <w:rPr>
          <w:rFonts w:hint="eastAsia" w:ascii="宋体" w:hAnsi="宋体" w:cs="宋体"/>
          <w:bCs/>
          <w:color w:val="auto"/>
          <w:highlight w:val="none"/>
        </w:rPr>
      </w:pPr>
      <w:r>
        <w:rPr>
          <w:rFonts w:hint="eastAsia" w:ascii="宋体" w:hAnsi="宋体" w:cs="宋体"/>
          <w:bCs/>
          <w:color w:val="auto"/>
          <w:highlight w:val="none"/>
          <w:lang w:eastAsia="zh-CN"/>
        </w:rPr>
        <w:t>（2）</w:t>
      </w:r>
      <w:r>
        <w:rPr>
          <w:rFonts w:hint="eastAsia" w:ascii="宋体" w:hAnsi="宋体" w:cs="宋体"/>
          <w:bCs/>
          <w:color w:val="auto"/>
          <w:highlight w:val="none"/>
        </w:rPr>
        <w:t>本工程工资性工程款</w:t>
      </w:r>
      <w:r>
        <w:rPr>
          <w:rFonts w:hint="eastAsia" w:ascii="宋体" w:hAnsi="宋体" w:cs="宋体"/>
          <w:bCs/>
          <w:color w:val="auto"/>
          <w:highlight w:val="none"/>
          <w:u w:val="single"/>
        </w:rPr>
        <w:t xml:space="preserve">         </w:t>
      </w:r>
      <w:r>
        <w:rPr>
          <w:rFonts w:hint="eastAsia" w:ascii="宋体" w:hAnsi="宋体" w:cs="宋体"/>
          <w:bCs/>
          <w:color w:val="auto"/>
          <w:highlight w:val="none"/>
        </w:rPr>
        <w:t>元（相应的最低工资标准乘建筑面积）；其中工资性工程预付款</w:t>
      </w:r>
      <w:r>
        <w:rPr>
          <w:rFonts w:hint="eastAsia" w:ascii="宋体" w:hAnsi="宋体" w:cs="宋体"/>
          <w:bCs/>
          <w:color w:val="auto"/>
          <w:highlight w:val="none"/>
          <w:u w:val="single"/>
        </w:rPr>
        <w:t xml:space="preserve">         </w:t>
      </w:r>
      <w:r>
        <w:rPr>
          <w:rFonts w:hint="eastAsia" w:ascii="宋体" w:hAnsi="宋体" w:cs="宋体"/>
          <w:bCs/>
          <w:color w:val="auto"/>
          <w:highlight w:val="none"/>
        </w:rPr>
        <w:t>元。</w:t>
      </w:r>
      <w:r>
        <w:rPr>
          <w:rFonts w:hint="eastAsia" w:ascii="宋体" w:hAnsi="宋体" w:cs="宋体"/>
          <w:bCs/>
          <w:color w:val="auto"/>
          <w:highlight w:val="none"/>
          <w:lang w:eastAsia="zh-CN"/>
        </w:rPr>
        <w:t>（</w:t>
      </w:r>
      <w:r>
        <w:rPr>
          <w:rFonts w:hint="eastAsia" w:ascii="宋体" w:hAnsi="宋体" w:cs="宋体"/>
          <w:bCs/>
          <w:color w:val="auto"/>
          <w:highlight w:val="none"/>
        </w:rPr>
        <w:t>工资性工程款除月工期</w:t>
      </w:r>
      <w:r>
        <w:rPr>
          <w:rFonts w:hint="eastAsia" w:ascii="宋体" w:hAnsi="宋体" w:cs="宋体"/>
          <w:bCs/>
          <w:color w:val="auto"/>
          <w:highlight w:val="none"/>
          <w:lang w:eastAsia="zh-CN"/>
        </w:rPr>
        <w:t>）</w:t>
      </w:r>
    </w:p>
    <w:p w14:paraId="23D37FFA">
      <w:pPr>
        <w:adjustRightInd w:val="0"/>
        <w:snapToGrid w:val="0"/>
        <w:spacing w:line="384" w:lineRule="auto"/>
        <w:ind w:firstLine="420" w:firstLineChars="200"/>
        <w:rPr>
          <w:rFonts w:hint="eastAsia" w:ascii="宋体" w:hAnsi="宋体" w:cs="宋体"/>
          <w:bCs/>
          <w:color w:val="auto"/>
          <w:highlight w:val="none"/>
        </w:rPr>
      </w:pPr>
      <w:r>
        <w:rPr>
          <w:rFonts w:hint="eastAsia" w:ascii="宋体" w:hAnsi="宋体" w:cs="宋体"/>
          <w:bCs/>
          <w:color w:val="auto"/>
          <w:highlight w:val="none"/>
          <w:lang w:eastAsia="zh-CN"/>
        </w:rPr>
        <w:t>（3）</w:t>
      </w:r>
      <w:r>
        <w:rPr>
          <w:rFonts w:hint="eastAsia" w:ascii="宋体" w:hAnsi="宋体" w:cs="宋体"/>
          <w:bCs/>
          <w:color w:val="auto"/>
          <w:highlight w:val="none"/>
        </w:rPr>
        <w:t>发包人在监理人签发开工报告前，将工资性工程预付款转入承包人开立的农民工工资专用账户。</w:t>
      </w:r>
    </w:p>
    <w:p w14:paraId="3663AD9B">
      <w:pPr>
        <w:adjustRightInd w:val="0"/>
        <w:snapToGrid w:val="0"/>
        <w:spacing w:line="384" w:lineRule="auto"/>
        <w:ind w:firstLine="420" w:firstLineChars="200"/>
        <w:rPr>
          <w:rFonts w:hint="eastAsia" w:ascii="宋体" w:hAnsi="宋体" w:cs="宋体"/>
          <w:bCs/>
          <w:color w:val="auto"/>
          <w:highlight w:val="none"/>
        </w:rPr>
      </w:pPr>
      <w:r>
        <w:rPr>
          <w:rFonts w:hint="eastAsia" w:ascii="宋体" w:hAnsi="宋体" w:cs="宋体"/>
          <w:bCs/>
          <w:color w:val="auto"/>
          <w:highlight w:val="none"/>
        </w:rPr>
        <w:t>工程开工后第一个月支付工资性工程进度款起，分</w:t>
      </w:r>
      <w:r>
        <w:rPr>
          <w:rFonts w:hint="eastAsia" w:ascii="宋体" w:hAnsi="宋体" w:cs="宋体"/>
          <w:bCs/>
          <w:color w:val="auto"/>
          <w:highlight w:val="none"/>
          <w:u w:val="single"/>
        </w:rPr>
        <w:t xml:space="preserve">  </w:t>
      </w:r>
      <w:r>
        <w:rPr>
          <w:rFonts w:hint="eastAsia" w:ascii="宋体" w:hAnsi="宋体" w:cs="宋体"/>
          <w:bCs/>
          <w:color w:val="auto"/>
          <w:szCs w:val="21"/>
          <w:highlight w:val="none"/>
          <w:u w:val="single"/>
        </w:rPr>
        <w:t xml:space="preserve"> </w:t>
      </w:r>
      <w:r>
        <w:rPr>
          <w:rFonts w:hint="eastAsia" w:ascii="宋体" w:hAnsi="宋体" w:cs="宋体"/>
          <w:bCs/>
          <w:color w:val="auto"/>
          <w:highlight w:val="none"/>
          <w:u w:val="single"/>
        </w:rPr>
        <w:t xml:space="preserve">  </w:t>
      </w:r>
      <w:r>
        <w:rPr>
          <w:rFonts w:hint="eastAsia" w:ascii="宋体" w:hAnsi="宋体" w:cs="宋体"/>
          <w:bCs/>
          <w:color w:val="auto"/>
          <w:highlight w:val="none"/>
        </w:rPr>
        <w:t>月扣回工资性工程预付款。</w:t>
      </w:r>
    </w:p>
    <w:p w14:paraId="3D5117DA">
      <w:pPr>
        <w:adjustRightInd w:val="0"/>
        <w:snapToGrid w:val="0"/>
        <w:spacing w:line="384" w:lineRule="auto"/>
        <w:ind w:firstLine="420" w:firstLineChars="200"/>
        <w:rPr>
          <w:rFonts w:hint="eastAsia" w:ascii="宋体" w:hAnsi="宋体" w:cs="宋体"/>
          <w:bCs/>
          <w:color w:val="auto"/>
          <w:highlight w:val="none"/>
        </w:rPr>
      </w:pPr>
      <w:r>
        <w:rPr>
          <w:rFonts w:hint="eastAsia" w:ascii="宋体" w:hAnsi="宋体" w:cs="宋体"/>
          <w:bCs/>
          <w:color w:val="auto"/>
          <w:highlight w:val="none"/>
          <w:lang w:eastAsia="zh-CN"/>
        </w:rPr>
        <w:t>（4）</w:t>
      </w:r>
      <w:r>
        <w:rPr>
          <w:rFonts w:hint="eastAsia" w:ascii="宋体" w:hAnsi="宋体" w:cs="宋体"/>
          <w:bCs/>
          <w:color w:val="auto"/>
          <w:highlight w:val="none"/>
        </w:rPr>
        <w:t>发包人于每月25日前将工资性工程进度款转入农民工工资专用账户。</w:t>
      </w:r>
    </w:p>
    <w:p w14:paraId="18D48F98">
      <w:pPr>
        <w:adjustRightInd w:val="0"/>
        <w:snapToGrid w:val="0"/>
        <w:spacing w:line="384" w:lineRule="auto"/>
        <w:ind w:firstLine="420" w:firstLineChars="200"/>
        <w:rPr>
          <w:rFonts w:hint="eastAsia" w:ascii="宋体" w:hAnsi="宋体" w:cs="宋体"/>
          <w:bCs/>
          <w:color w:val="auto"/>
          <w:highlight w:val="none"/>
        </w:rPr>
      </w:pPr>
      <w:r>
        <w:rPr>
          <w:rFonts w:hint="eastAsia" w:ascii="宋体" w:hAnsi="宋体" w:cs="宋体"/>
          <w:bCs/>
          <w:color w:val="auto"/>
          <w:highlight w:val="none"/>
          <w:lang w:eastAsia="zh-CN"/>
        </w:rPr>
        <w:t>（5）</w:t>
      </w:r>
      <w:r>
        <w:rPr>
          <w:rFonts w:hint="eastAsia" w:ascii="宋体" w:hAnsi="宋体" w:cs="宋体"/>
          <w:bCs/>
          <w:color w:val="auto"/>
          <w:highlight w:val="none"/>
        </w:rPr>
        <w:t>承包人每月25日前上报本工程农民工工资清单，每月10日前委托开设农民工工资专用账户的银行支付农民工工资。</w:t>
      </w:r>
    </w:p>
    <w:p w14:paraId="5D8C726D">
      <w:pPr>
        <w:adjustRightInd w:val="0"/>
        <w:snapToGrid w:val="0"/>
        <w:spacing w:line="384" w:lineRule="auto"/>
        <w:ind w:firstLine="420" w:firstLineChars="200"/>
        <w:rPr>
          <w:rFonts w:hint="eastAsia" w:ascii="宋体" w:hAnsi="宋体" w:eastAsia="宋体" w:cs="宋体"/>
          <w:bCs/>
          <w:color w:val="auto"/>
          <w:highlight w:val="none"/>
        </w:rPr>
      </w:pPr>
      <w:r>
        <w:rPr>
          <w:rFonts w:hint="eastAsia" w:ascii="宋体" w:hAnsi="宋体" w:cs="宋体"/>
          <w:bCs/>
          <w:color w:val="auto"/>
          <w:highlight w:val="none"/>
          <w:lang w:eastAsia="zh-CN"/>
        </w:rPr>
        <w:t>（6）</w:t>
      </w:r>
      <w:r>
        <w:rPr>
          <w:rFonts w:hint="eastAsia" w:ascii="宋体" w:hAnsi="宋体" w:cs="宋体"/>
          <w:bCs/>
          <w:color w:val="auto"/>
          <w:highlight w:val="none"/>
        </w:rPr>
        <w:t>工程竣工后，经项目部农民工维权组确认无农民工工资拖欠后，发、承双方办理农民工工</w:t>
      </w:r>
      <w:r>
        <w:rPr>
          <w:rFonts w:hint="eastAsia" w:ascii="宋体" w:hAnsi="宋体" w:eastAsia="宋体" w:cs="宋体"/>
          <w:bCs/>
          <w:color w:val="auto"/>
          <w:highlight w:val="none"/>
        </w:rPr>
        <w:t>资专用账户撤销手续，农民工工资专用账户余额划至本合同约定的承包人账户。</w:t>
      </w:r>
    </w:p>
    <w:bookmarkEnd w:id="1014"/>
    <w:p w14:paraId="3B46645D">
      <w:pPr>
        <w:adjustRightInd w:val="0"/>
        <w:snapToGrid w:val="0"/>
        <w:spacing w:line="384" w:lineRule="auto"/>
        <w:ind w:firstLine="420" w:firstLineChars="200"/>
        <w:rPr>
          <w:rFonts w:hint="eastAsia" w:ascii="宋体" w:hAnsi="宋体" w:eastAsia="宋体" w:cs="宋体"/>
          <w:bCs/>
          <w:color w:val="auto"/>
          <w:highlight w:val="none"/>
        </w:rPr>
      </w:pPr>
      <w:bookmarkStart w:id="1190" w:name="_Toc351203645"/>
      <w:bookmarkStart w:id="1191" w:name="_Toc95223477"/>
      <w:bookmarkStart w:id="1192" w:name="_Toc312678053"/>
      <w:bookmarkStart w:id="1193" w:name="_Toc297216223"/>
      <w:bookmarkStart w:id="1194" w:name="_Toc304295593"/>
      <w:bookmarkStart w:id="1195" w:name="_Toc303539172"/>
      <w:bookmarkStart w:id="1196" w:name="_Toc296347218"/>
      <w:bookmarkStart w:id="1197" w:name="_Toc297123564"/>
      <w:bookmarkStart w:id="1198" w:name="_Toc297048405"/>
      <w:bookmarkStart w:id="1199" w:name="_Toc296891047"/>
      <w:bookmarkStart w:id="1200" w:name="_Toc292559424"/>
      <w:bookmarkStart w:id="1201" w:name="_Toc296944558"/>
      <w:bookmarkStart w:id="1202" w:name="_Toc296891259"/>
      <w:bookmarkStart w:id="1203" w:name="_Toc300935015"/>
      <w:bookmarkStart w:id="1204" w:name="_Toc296503219"/>
      <w:bookmarkStart w:id="1205" w:name="_Toc296346720"/>
      <w:bookmarkStart w:id="1206" w:name="_Toc297120519"/>
      <w:bookmarkStart w:id="1207" w:name="_Toc292559929"/>
      <w:r>
        <w:rPr>
          <w:rFonts w:hint="eastAsia" w:ascii="宋体" w:hAnsi="宋体" w:eastAsia="宋体" w:cs="宋体"/>
          <w:bCs/>
          <w:color w:val="auto"/>
          <w:highlight w:val="none"/>
        </w:rPr>
        <w:t>13. 验收和工程试车</w:t>
      </w:r>
      <w:bookmarkEnd w:id="1190"/>
      <w:bookmarkEnd w:id="1191"/>
    </w:p>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14:paraId="63C2AD06">
      <w:pPr>
        <w:adjustRightInd w:val="0"/>
        <w:snapToGrid w:val="0"/>
        <w:spacing w:line="384" w:lineRule="auto"/>
        <w:ind w:firstLine="420" w:firstLineChars="200"/>
        <w:rPr>
          <w:rFonts w:hint="eastAsia" w:ascii="宋体" w:hAnsi="宋体" w:eastAsia="宋体" w:cs="宋体"/>
          <w:bCs/>
          <w:color w:val="auto"/>
          <w:highlight w:val="none"/>
        </w:rPr>
      </w:pPr>
      <w:bookmarkStart w:id="1208" w:name="_Toc95223478"/>
      <w:r>
        <w:rPr>
          <w:rFonts w:hint="eastAsia" w:ascii="宋体" w:hAnsi="宋体" w:eastAsia="宋体" w:cs="宋体"/>
          <w:bCs/>
          <w:color w:val="auto"/>
          <w:highlight w:val="none"/>
        </w:rPr>
        <w:t>13.1 分部分项工程验收</w:t>
      </w:r>
      <w:bookmarkEnd w:id="1208"/>
    </w:p>
    <w:p w14:paraId="7B81BA3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13.1.2 监理人不能按时进行验收时，应提前 </w:t>
      </w:r>
      <w:r>
        <w:rPr>
          <w:rFonts w:hint="eastAsia" w:ascii="宋体" w:hAnsi="宋体" w:cs="宋体"/>
          <w:color w:val="auto"/>
          <w:szCs w:val="21"/>
          <w:highlight w:val="none"/>
          <w:u w:val="single"/>
        </w:rPr>
        <w:t xml:space="preserve">24 </w:t>
      </w:r>
      <w:r>
        <w:rPr>
          <w:rFonts w:hint="eastAsia" w:ascii="宋体" w:hAnsi="宋体" w:cs="宋体"/>
          <w:color w:val="auto"/>
          <w:highlight w:val="none"/>
        </w:rPr>
        <w:t>小时提交书面延期要求。</w:t>
      </w:r>
    </w:p>
    <w:p w14:paraId="3DD0EF8B">
      <w:pPr>
        <w:adjustRightInd w:val="0"/>
        <w:snapToGrid w:val="0"/>
        <w:spacing w:line="384" w:lineRule="auto"/>
        <w:ind w:firstLine="420" w:firstLineChars="200"/>
        <w:rPr>
          <w:rFonts w:hint="eastAsia" w:ascii="宋体" w:hAnsi="宋体" w:cs="宋体"/>
          <w:b/>
          <w:color w:val="auto"/>
          <w:highlight w:val="none"/>
        </w:rPr>
      </w:pPr>
      <w:r>
        <w:rPr>
          <w:rFonts w:hint="eastAsia" w:ascii="宋体" w:hAnsi="宋体" w:cs="宋体"/>
          <w:color w:val="auto"/>
          <w:highlight w:val="none"/>
        </w:rPr>
        <w:t>关于延期最长不得超过：</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 xml:space="preserve">48 </w:t>
      </w:r>
      <w:r>
        <w:rPr>
          <w:rFonts w:hint="eastAsia" w:ascii="宋体" w:hAnsi="宋体" w:cs="宋体"/>
          <w:color w:val="auto"/>
          <w:highlight w:val="none"/>
        </w:rPr>
        <w:t>小时。</w:t>
      </w:r>
    </w:p>
    <w:p w14:paraId="3E9EE803">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bookmarkStart w:id="1209" w:name="_Toc304295596"/>
      <w:bookmarkStart w:id="1210" w:name="_Toc297216224"/>
      <w:bookmarkStart w:id="1211" w:name="_Toc292559428"/>
      <w:bookmarkStart w:id="1212" w:name="_Toc296346724"/>
      <w:bookmarkStart w:id="1213" w:name="_Toc297048409"/>
      <w:bookmarkStart w:id="1214" w:name="_Toc303539173"/>
      <w:bookmarkStart w:id="1215" w:name="_Toc296944562"/>
      <w:bookmarkStart w:id="1216" w:name="_Toc296503223"/>
      <w:bookmarkStart w:id="1217" w:name="_Toc297123565"/>
      <w:bookmarkStart w:id="1218" w:name="_Toc300935016"/>
      <w:bookmarkStart w:id="1219" w:name="_Toc296891051"/>
      <w:bookmarkStart w:id="1220" w:name="_Toc297120523"/>
      <w:bookmarkStart w:id="1221" w:name="_Toc292559933"/>
      <w:bookmarkStart w:id="1222" w:name="_Toc296347222"/>
      <w:bookmarkStart w:id="1223" w:name="_Toc312678056"/>
      <w:bookmarkStart w:id="1224" w:name="_Toc296891263"/>
      <w:bookmarkStart w:id="1225" w:name="_Toc267251472"/>
      <w:bookmarkStart w:id="1226" w:name="_Toc267251476"/>
      <w:bookmarkStart w:id="1227" w:name="_Toc267251470"/>
      <w:bookmarkStart w:id="1228" w:name="_Toc267251473"/>
      <w:bookmarkStart w:id="1229" w:name="_Toc267251471"/>
      <w:bookmarkStart w:id="1230" w:name="_Toc267251475"/>
      <w:bookmarkStart w:id="1231" w:name="_Toc267251474"/>
      <w:r>
        <w:rPr>
          <w:rFonts w:hint="eastAsia" w:ascii="宋体" w:hAnsi="宋体" w:cs="宋体"/>
          <w:bCs/>
          <w:color w:val="auto"/>
          <w:szCs w:val="28"/>
          <w:highlight w:val="none"/>
        </w:rPr>
        <w:t>13.2 竣工验收</w:t>
      </w:r>
    </w:p>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14:paraId="258EF819">
      <w:pPr>
        <w:adjustRightInd w:val="0"/>
        <w:snapToGrid w:val="0"/>
        <w:spacing w:line="384" w:lineRule="auto"/>
        <w:ind w:firstLine="420" w:firstLineChars="200"/>
        <w:rPr>
          <w:rFonts w:hint="eastAsia" w:ascii="宋体" w:hAnsi="宋体" w:cs="宋体"/>
          <w:color w:val="auto"/>
          <w:highlight w:val="none"/>
        </w:rPr>
      </w:pPr>
      <w:bookmarkStart w:id="1232" w:name="_Toc280868704"/>
      <w:bookmarkStart w:id="1233" w:name="_Toc280868705"/>
      <w:bookmarkStart w:id="1234" w:name="_Toc280868706"/>
      <w:bookmarkStart w:id="1235" w:name="_Toc280868707"/>
      <w:bookmarkStart w:id="1236" w:name="_Toc280868708"/>
      <w:bookmarkStart w:id="1237" w:name="_Toc280868709"/>
      <w:r>
        <w:rPr>
          <w:rFonts w:hint="eastAsia" w:ascii="宋体" w:hAnsi="宋体" w:cs="宋体"/>
          <w:color w:val="auto"/>
          <w:highlight w:val="none"/>
        </w:rPr>
        <w:t>13.2.2 竣工验收程序</w:t>
      </w:r>
    </w:p>
    <w:bookmarkEnd w:id="1232"/>
    <w:p w14:paraId="7F80578F">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关于竣工验收程序的约定：</w:t>
      </w:r>
      <w:r>
        <w:rPr>
          <w:rFonts w:hint="eastAsia" w:ascii="宋体" w:hAnsi="宋体" w:cs="宋体"/>
          <w:color w:val="auto"/>
          <w:szCs w:val="21"/>
          <w:highlight w:val="none"/>
          <w:u w:val="single"/>
        </w:rPr>
        <w:t>执行通用条款</w:t>
      </w:r>
      <w:r>
        <w:rPr>
          <w:rFonts w:hint="eastAsia" w:ascii="宋体" w:hAnsi="宋体" w:cs="宋体"/>
          <w:color w:val="auto"/>
          <w:highlight w:val="none"/>
        </w:rPr>
        <w:t>。</w:t>
      </w:r>
    </w:p>
    <w:p w14:paraId="54FBAFD7">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发包人不按照本项约定组织竣工验收、颁发工程接收证书的违约金的计算方法：</w:t>
      </w:r>
      <w:r>
        <w:rPr>
          <w:rFonts w:hint="eastAsia" w:ascii="宋体" w:hAnsi="宋体" w:cs="宋体"/>
          <w:color w:val="auto"/>
          <w:szCs w:val="21"/>
          <w:highlight w:val="none"/>
          <w:u w:val="single"/>
        </w:rPr>
        <w:t>执行通用条款</w:t>
      </w:r>
      <w:r>
        <w:rPr>
          <w:rFonts w:hint="eastAsia" w:ascii="宋体" w:hAnsi="宋体" w:cs="宋体"/>
          <w:color w:val="auto"/>
          <w:highlight w:val="none"/>
        </w:rPr>
        <w:t>。</w:t>
      </w:r>
    </w:p>
    <w:bookmarkEnd w:id="1233"/>
    <w:p w14:paraId="5BCE68A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13.2.5 移交、接收全部与部分工程</w:t>
      </w:r>
    </w:p>
    <w:bookmarkEnd w:id="1234"/>
    <w:p w14:paraId="0FCB8D07">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承包人向发包人移交工程的期限：</w:t>
      </w:r>
      <w:r>
        <w:rPr>
          <w:rFonts w:hint="eastAsia" w:ascii="宋体" w:hAnsi="宋体" w:cs="宋体"/>
          <w:color w:val="auto"/>
          <w:szCs w:val="21"/>
          <w:highlight w:val="none"/>
          <w:u w:val="single"/>
        </w:rPr>
        <w:t>颁发工程接收证书后7天内完成工程的移交</w:t>
      </w:r>
      <w:r>
        <w:rPr>
          <w:rFonts w:hint="eastAsia" w:ascii="宋体" w:hAnsi="宋体" w:cs="宋体"/>
          <w:color w:val="auto"/>
          <w:highlight w:val="none"/>
        </w:rPr>
        <w:t>。</w:t>
      </w:r>
    </w:p>
    <w:p w14:paraId="7456FA2D">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发包人未按本合同约定接收全部或部分工程的，违约金的计算方法为：</w:t>
      </w:r>
      <w:r>
        <w:rPr>
          <w:rFonts w:hint="eastAsia" w:ascii="宋体" w:hAnsi="宋体" w:cs="宋体"/>
          <w:color w:val="auto"/>
          <w:szCs w:val="21"/>
          <w:highlight w:val="none"/>
          <w:u w:val="single"/>
        </w:rPr>
        <w:t>发包人自应当接收工程之日起，承担工程照管、成品保护、保管等与工程有关的各项费用</w:t>
      </w:r>
      <w:r>
        <w:rPr>
          <w:rFonts w:hint="eastAsia" w:ascii="宋体" w:hAnsi="宋体" w:cs="宋体"/>
          <w:color w:val="auto"/>
          <w:highlight w:val="none"/>
        </w:rPr>
        <w:t>。</w:t>
      </w:r>
    </w:p>
    <w:bookmarkEnd w:id="1235"/>
    <w:p w14:paraId="6427BA2B">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承包人未按时移交工程的，违约金的计算方法为：</w:t>
      </w:r>
      <w:r>
        <w:rPr>
          <w:rFonts w:hint="eastAsia" w:ascii="宋体" w:hAnsi="宋体" w:cs="宋体"/>
          <w:color w:val="auto"/>
          <w:szCs w:val="21"/>
          <w:highlight w:val="none"/>
          <w:u w:val="single"/>
        </w:rPr>
        <w:t>每逾期1天，承包人应向发包人支付</w:t>
      </w:r>
      <w:r>
        <w:rPr>
          <w:rFonts w:hint="eastAsia" w:ascii="宋体" w:hAnsi="宋体" w:cs="宋体"/>
          <w:color w:val="auto"/>
          <w:szCs w:val="21"/>
          <w:highlight w:val="none"/>
          <w:u w:val="single"/>
          <w:lang w:val="en-US" w:eastAsia="zh-CN"/>
        </w:rPr>
        <w:t>10000</w:t>
      </w:r>
      <w:r>
        <w:rPr>
          <w:rFonts w:hint="eastAsia" w:ascii="宋体" w:hAnsi="宋体" w:cs="宋体"/>
          <w:color w:val="auto"/>
          <w:szCs w:val="21"/>
          <w:highlight w:val="none"/>
          <w:u w:val="single"/>
        </w:rPr>
        <w:t>元/天违约金</w:t>
      </w:r>
      <w:r>
        <w:rPr>
          <w:rFonts w:hint="eastAsia" w:ascii="宋体" w:hAnsi="宋体" w:cs="宋体"/>
          <w:color w:val="auto"/>
          <w:highlight w:val="none"/>
        </w:rPr>
        <w:t>。</w:t>
      </w:r>
    </w:p>
    <w:p w14:paraId="77E5E8EF">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13.3 工程试车</w:t>
      </w:r>
    </w:p>
    <w:bookmarkEnd w:id="1236"/>
    <w:p w14:paraId="090AB2B2">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13.3.1 试车程序</w:t>
      </w:r>
    </w:p>
    <w:p w14:paraId="1B678BD3">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工程试车内容：</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执行通用条款</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B34C68D">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（1）单机无负荷试车费用由</w:t>
      </w:r>
      <w:r>
        <w:rPr>
          <w:rFonts w:hint="eastAsia" w:ascii="宋体" w:hAnsi="宋体" w:cs="宋体"/>
          <w:color w:val="auto"/>
          <w:kern w:val="0"/>
          <w:highlight w:val="none"/>
          <w:lang w:val="en-US" w:eastAsia="zh-CN"/>
        </w:rPr>
        <w:t xml:space="preserve"> </w:t>
      </w:r>
      <w:r>
        <w:rPr>
          <w:rFonts w:hint="eastAsia" w:ascii="宋体" w:hAnsi="宋体" w:cs="宋体"/>
          <w:color w:val="auto"/>
          <w:szCs w:val="21"/>
          <w:highlight w:val="none"/>
          <w:u w:val="single"/>
        </w:rPr>
        <w:t>试车消耗的生产性原材料由发包人承担；试车其他费用（包括试车所需水电油等费用）由承包人在措施费中考虑</w:t>
      </w:r>
      <w:r>
        <w:rPr>
          <w:rFonts w:hint="eastAsia" w:ascii="宋体" w:hAnsi="宋体" w:cs="宋体"/>
          <w:color w:val="auto"/>
          <w:kern w:val="0"/>
          <w:highlight w:val="none"/>
        </w:rPr>
        <w:t>承担；</w:t>
      </w:r>
    </w:p>
    <w:p w14:paraId="37084A7E">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（2）无负荷联动试车费用由</w:t>
      </w:r>
      <w:r>
        <w:rPr>
          <w:rFonts w:hint="eastAsia" w:ascii="宋体" w:hAnsi="宋体" w:cs="宋体"/>
          <w:color w:val="auto"/>
          <w:szCs w:val="21"/>
          <w:highlight w:val="none"/>
          <w:u w:val="single"/>
        </w:rPr>
        <w:t>试车消耗的生产性原材料由发包人承担；试车其他费用（包括试车所需水电油等费用）由承包人在措施费中考虑</w:t>
      </w:r>
      <w:r>
        <w:rPr>
          <w:rFonts w:hint="eastAsia" w:ascii="宋体" w:hAnsi="宋体" w:cs="宋体"/>
          <w:color w:val="auto"/>
          <w:kern w:val="0"/>
          <w:highlight w:val="none"/>
        </w:rPr>
        <w:t>承担。</w:t>
      </w:r>
    </w:p>
    <w:p w14:paraId="7D0D0F1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13.3.3 投料试车</w:t>
      </w:r>
    </w:p>
    <w:p w14:paraId="6740E090">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kern w:val="0"/>
          <w:highlight w:val="none"/>
        </w:rPr>
        <w:t>关于投料试车相关事项的约定：</w:t>
      </w:r>
      <w:r>
        <w:rPr>
          <w:rFonts w:hint="eastAsia" w:ascii="宋体" w:hAnsi="宋体" w:cs="宋体"/>
          <w:color w:val="auto"/>
          <w:szCs w:val="21"/>
          <w:highlight w:val="none"/>
          <w:u w:val="single"/>
        </w:rPr>
        <w:t>执行通用条款</w:t>
      </w:r>
      <w:r>
        <w:rPr>
          <w:rFonts w:hint="eastAsia" w:ascii="宋体" w:hAnsi="宋体" w:cs="宋体"/>
          <w:color w:val="auto"/>
          <w:highlight w:val="none"/>
        </w:rPr>
        <w:t>。</w:t>
      </w:r>
    </w:p>
    <w:p w14:paraId="149A9609">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13.6 竣工退场</w:t>
      </w:r>
    </w:p>
    <w:p w14:paraId="0BD79151">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13.6.1 竣工退场</w:t>
      </w:r>
    </w:p>
    <w:p w14:paraId="00D4469E">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承包人完成竣工退场的期限：</w:t>
      </w:r>
      <w:r>
        <w:rPr>
          <w:rFonts w:hint="eastAsia" w:ascii="宋体" w:hAnsi="宋体" w:cs="宋体"/>
          <w:color w:val="auto"/>
          <w:highlight w:val="none"/>
          <w:u w:val="single"/>
        </w:rPr>
        <w:t xml:space="preserve"> </w:t>
      </w:r>
      <w:r>
        <w:rPr>
          <w:rFonts w:hint="eastAsia" w:ascii="宋体" w:hAnsi="宋体" w:eastAsia="宋体" w:cs="宋体"/>
          <w:color w:val="auto"/>
          <w:szCs w:val="21"/>
          <w:highlight w:val="none"/>
          <w:u w:val="single"/>
        </w:rPr>
        <w:t>竣工之日起30日内</w:t>
      </w:r>
      <w:r>
        <w:rPr>
          <w:rFonts w:hint="eastAsia" w:ascii="宋体" w:hAnsi="宋体" w:cs="宋体"/>
          <w:color w:val="auto"/>
          <w:highlight w:val="none"/>
          <w:u w:val="single"/>
        </w:rPr>
        <w:t xml:space="preserve"> </w:t>
      </w:r>
      <w:r>
        <w:rPr>
          <w:rFonts w:hint="eastAsia" w:ascii="宋体" w:hAnsi="宋体" w:cs="宋体"/>
          <w:color w:val="auto"/>
          <w:kern w:val="0"/>
          <w:highlight w:val="none"/>
        </w:rPr>
        <w:t>。</w:t>
      </w:r>
    </w:p>
    <w:p w14:paraId="09C342C1">
      <w:pPr>
        <w:keepNext/>
        <w:keepLines/>
        <w:adjustRightInd w:val="0"/>
        <w:snapToGrid w:val="0"/>
        <w:spacing w:line="384" w:lineRule="auto"/>
        <w:jc w:val="left"/>
        <w:outlineLvl w:val="2"/>
        <w:rPr>
          <w:rFonts w:hint="eastAsia" w:ascii="宋体" w:hAnsi="宋体" w:cs="宋体"/>
          <w:bCs/>
          <w:color w:val="auto"/>
          <w:sz w:val="24"/>
          <w:highlight w:val="none"/>
        </w:rPr>
      </w:pPr>
      <w:bookmarkStart w:id="1238" w:name="_Toc95223479"/>
      <w:bookmarkStart w:id="1239" w:name="_Toc351203646"/>
      <w:r>
        <w:rPr>
          <w:rFonts w:hint="eastAsia" w:ascii="宋体" w:hAnsi="宋体" w:cs="宋体"/>
          <w:bCs/>
          <w:color w:val="auto"/>
          <w:sz w:val="24"/>
          <w:highlight w:val="none"/>
        </w:rPr>
        <w:t>14. 竣工结算</w:t>
      </w:r>
      <w:bookmarkEnd w:id="1238"/>
      <w:bookmarkEnd w:id="1239"/>
    </w:p>
    <w:p w14:paraId="10F1D334">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14.1 竣工结算申请</w:t>
      </w:r>
    </w:p>
    <w:p w14:paraId="57ECEB6B">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承包人提交竣工结算申请单的期限：</w:t>
      </w:r>
      <w:r>
        <w:rPr>
          <w:rFonts w:hint="eastAsia" w:ascii="宋体" w:hAnsi="宋体" w:cs="宋体"/>
          <w:color w:val="auto"/>
          <w:szCs w:val="21"/>
          <w:highlight w:val="none"/>
          <w:u w:val="single"/>
        </w:rPr>
        <w:t>承包人应在工程竣工验收合格后28天内</w:t>
      </w:r>
      <w:r>
        <w:rPr>
          <w:rFonts w:hint="eastAsia" w:ascii="宋体" w:hAnsi="宋体" w:cs="宋体"/>
          <w:color w:val="auto"/>
          <w:highlight w:val="none"/>
        </w:rPr>
        <w:t>。</w:t>
      </w:r>
    </w:p>
    <w:p w14:paraId="21CEEF27">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竣工结算申请单应包括的内容：</w:t>
      </w:r>
      <w:r>
        <w:rPr>
          <w:rFonts w:hint="eastAsia" w:ascii="宋体" w:hAnsi="宋体" w:cs="宋体"/>
          <w:color w:val="auto"/>
          <w:szCs w:val="21"/>
          <w:highlight w:val="none"/>
          <w:u w:val="single"/>
        </w:rPr>
        <w:t>执行通用条款</w:t>
      </w:r>
      <w:r>
        <w:rPr>
          <w:rFonts w:hint="eastAsia" w:ascii="宋体" w:hAnsi="宋体" w:cs="宋体"/>
          <w:color w:val="auto"/>
          <w:highlight w:val="none"/>
        </w:rPr>
        <w:t>。</w:t>
      </w:r>
    </w:p>
    <w:p w14:paraId="0DDD56CB">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14.2 竣工结算审核</w:t>
      </w:r>
    </w:p>
    <w:p w14:paraId="40FF36E8">
      <w:pPr>
        <w:widowControl/>
        <w:adjustRightInd w:val="0"/>
        <w:snapToGrid w:val="0"/>
        <w:spacing w:line="384"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发包人审批竣工付款申请单的期限：发包人应在收到监理人提交的经审核的竣工结算申请单 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60</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天内完成审批。</w:t>
      </w:r>
    </w:p>
    <w:p w14:paraId="5DE2A3EA">
      <w:pPr>
        <w:widowControl/>
        <w:adjustRightInd w:val="0"/>
        <w:snapToGrid w:val="0"/>
        <w:spacing w:line="384" w:lineRule="auto"/>
        <w:ind w:firstLine="422" w:firstLineChars="200"/>
        <w:jc w:val="left"/>
        <w:rPr>
          <w:rFonts w:hint="eastAsia" w:ascii="宋体" w:hAnsi="宋体" w:cs="宋体"/>
          <w:b/>
          <w:bCs/>
          <w:color w:val="auto"/>
          <w:kern w:val="0"/>
          <w:szCs w:val="21"/>
          <w:highlight w:val="none"/>
          <w:shd w:val="clear" w:color="auto" w:fill="FFFFFF"/>
        </w:rPr>
      </w:pPr>
      <w:r>
        <w:rPr>
          <w:rFonts w:hint="eastAsia" w:ascii="宋体" w:hAnsi="宋体" w:cs="宋体"/>
          <w:b/>
          <w:bCs/>
          <w:color w:val="auto"/>
          <w:kern w:val="0"/>
          <w:szCs w:val="21"/>
          <w:highlight w:val="none"/>
          <w:shd w:val="clear" w:color="auto" w:fill="FFFFFF"/>
        </w:rPr>
        <w:t>（机关、事业单位从中小企业采购工程，应当自工程交付之日起30日内支付款项；合同另有约定的，付款期限最长不得超过60日。超过60日的，自超期之日起15日内，机关、事业单位先行按照合同价与结算价孰低的98%支付工程价款。）</w:t>
      </w:r>
    </w:p>
    <w:p w14:paraId="6B2B0BCA">
      <w:pPr>
        <w:adjustRightInd w:val="0"/>
        <w:snapToGrid w:val="0"/>
        <w:spacing w:line="384"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发包人完成竣工付款的期限：发包人应在签发竣工付款证书后的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60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天内，完成对承包人的竣工付款。</w:t>
      </w:r>
    </w:p>
    <w:p w14:paraId="79FD9E89">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关于竣工付款证书异议部分复核的方式和程序：</w:t>
      </w:r>
      <w:r>
        <w:rPr>
          <w:rFonts w:hint="eastAsia" w:ascii="宋体" w:hAnsi="宋体" w:cs="宋体"/>
          <w:color w:val="auto"/>
          <w:szCs w:val="21"/>
          <w:highlight w:val="none"/>
          <w:u w:val="single"/>
        </w:rPr>
        <w:t>执行通用条款</w:t>
      </w:r>
      <w:r>
        <w:rPr>
          <w:rFonts w:hint="eastAsia" w:ascii="宋体" w:hAnsi="宋体" w:cs="宋体"/>
          <w:color w:val="auto"/>
          <w:highlight w:val="none"/>
        </w:rPr>
        <w:t>。</w:t>
      </w:r>
    </w:p>
    <w:p w14:paraId="691FE4E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14.4 最终结清</w:t>
      </w:r>
    </w:p>
    <w:p w14:paraId="62E56ADD">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14.4.1 最终结清申请单</w:t>
      </w:r>
    </w:p>
    <w:p w14:paraId="4611E01B">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承包人提交最终结清申请单的份数：</w:t>
      </w:r>
      <w:r>
        <w:rPr>
          <w:rFonts w:hint="eastAsia" w:ascii="宋体" w:hAnsi="宋体" w:cs="宋体"/>
          <w:color w:val="auto"/>
          <w:highlight w:val="none"/>
          <w:u w:val="single"/>
        </w:rPr>
        <w:t xml:space="preserve"> 按监理和跟踪审计单位要求执行 </w:t>
      </w:r>
      <w:r>
        <w:rPr>
          <w:rFonts w:hint="eastAsia" w:ascii="宋体" w:hAnsi="宋体" w:cs="宋体"/>
          <w:color w:val="auto"/>
          <w:highlight w:val="none"/>
        </w:rPr>
        <w:t>。</w:t>
      </w:r>
    </w:p>
    <w:p w14:paraId="6025ADF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kern w:val="0"/>
          <w:highlight w:val="none"/>
        </w:rPr>
        <w:t>承包人提交最终结算申请单的期限：</w:t>
      </w:r>
      <w:r>
        <w:rPr>
          <w:rFonts w:hint="eastAsia" w:ascii="宋体" w:hAnsi="宋体" w:cs="宋体"/>
          <w:color w:val="auto"/>
          <w:szCs w:val="21"/>
          <w:highlight w:val="none"/>
          <w:u w:val="single"/>
        </w:rPr>
        <w:t>缺陷责任期终止证书颁发后7天内</w:t>
      </w:r>
      <w:r>
        <w:rPr>
          <w:rFonts w:hint="eastAsia" w:ascii="宋体" w:hAnsi="宋体" w:cs="宋体"/>
          <w:color w:val="auto"/>
          <w:highlight w:val="none"/>
        </w:rPr>
        <w:t xml:space="preserve">。 </w:t>
      </w:r>
    </w:p>
    <w:p w14:paraId="5DA8E86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14.4.2 最终结清证书和支付</w:t>
      </w:r>
    </w:p>
    <w:p w14:paraId="4242470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（1）发包人完成最终结清申请单的审批并颁发最终结清证书的期限：</w:t>
      </w:r>
      <w:r>
        <w:rPr>
          <w:rFonts w:hint="eastAsia" w:ascii="宋体" w:hAnsi="宋体" w:cs="宋体"/>
          <w:color w:val="auto"/>
          <w:szCs w:val="21"/>
          <w:highlight w:val="none"/>
          <w:u w:val="single"/>
        </w:rPr>
        <w:t>收到承包人提交的最终结清申请单后14天内</w:t>
      </w:r>
      <w:r>
        <w:rPr>
          <w:rFonts w:hint="eastAsia" w:ascii="宋体" w:hAnsi="宋体" w:cs="宋体"/>
          <w:color w:val="auto"/>
          <w:highlight w:val="none"/>
        </w:rPr>
        <w:t>。</w:t>
      </w:r>
    </w:p>
    <w:p w14:paraId="07A2FDD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（2）发包人完成支付的期限：</w:t>
      </w:r>
      <w:r>
        <w:rPr>
          <w:rFonts w:hint="eastAsia" w:ascii="宋体" w:hAnsi="宋体" w:cs="宋体"/>
          <w:color w:val="auto"/>
          <w:szCs w:val="21"/>
          <w:highlight w:val="none"/>
          <w:u w:val="single"/>
        </w:rPr>
        <w:t>颁发最终结清证书后7天内完成支付</w:t>
      </w:r>
      <w:r>
        <w:rPr>
          <w:rFonts w:hint="eastAsia" w:ascii="宋体" w:hAnsi="宋体" w:cs="宋体"/>
          <w:color w:val="auto"/>
          <w:highlight w:val="none"/>
        </w:rPr>
        <w:t>。</w:t>
      </w:r>
    </w:p>
    <w:bookmarkEnd w:id="1225"/>
    <w:bookmarkEnd w:id="1226"/>
    <w:bookmarkEnd w:id="1227"/>
    <w:bookmarkEnd w:id="1228"/>
    <w:bookmarkEnd w:id="1229"/>
    <w:bookmarkEnd w:id="1230"/>
    <w:bookmarkEnd w:id="1231"/>
    <w:bookmarkEnd w:id="1237"/>
    <w:p w14:paraId="224D28BB">
      <w:pPr>
        <w:keepNext/>
        <w:keepLines/>
        <w:adjustRightInd w:val="0"/>
        <w:snapToGrid w:val="0"/>
        <w:spacing w:line="384" w:lineRule="auto"/>
        <w:jc w:val="left"/>
        <w:outlineLvl w:val="2"/>
        <w:rPr>
          <w:rFonts w:hint="eastAsia" w:ascii="宋体" w:hAnsi="宋体" w:cs="宋体"/>
          <w:bCs/>
          <w:color w:val="auto"/>
          <w:sz w:val="24"/>
          <w:highlight w:val="none"/>
        </w:rPr>
      </w:pPr>
      <w:bookmarkStart w:id="1240" w:name="_Toc95223480"/>
      <w:bookmarkStart w:id="1241" w:name="_Toc351203647"/>
      <w:bookmarkStart w:id="1242" w:name="_Toc267251483"/>
      <w:bookmarkStart w:id="1243" w:name="_Toc267251482"/>
      <w:bookmarkStart w:id="1244" w:name="_Toc267251484"/>
      <w:bookmarkStart w:id="1245" w:name="_Toc267251485"/>
      <w:bookmarkStart w:id="1246" w:name="_Toc267251490"/>
      <w:bookmarkStart w:id="1247" w:name="_Toc267251488"/>
      <w:bookmarkStart w:id="1248" w:name="_Toc267251489"/>
      <w:bookmarkStart w:id="1249" w:name="_Toc267251486"/>
      <w:bookmarkStart w:id="1250" w:name="_Toc267251493"/>
      <w:bookmarkStart w:id="1251" w:name="_Toc267251501"/>
      <w:bookmarkStart w:id="1252" w:name="_Toc267251495"/>
      <w:bookmarkStart w:id="1253" w:name="_Toc267251491"/>
      <w:bookmarkStart w:id="1254" w:name="_Toc267251499"/>
      <w:bookmarkStart w:id="1255" w:name="_Toc267251496"/>
      <w:bookmarkStart w:id="1256" w:name="_Toc267251492"/>
      <w:bookmarkStart w:id="1257" w:name="_Toc267251498"/>
      <w:bookmarkStart w:id="1258" w:name="_Toc267251497"/>
      <w:bookmarkStart w:id="1259" w:name="_Toc267251502"/>
      <w:bookmarkStart w:id="1260" w:name="_Toc267251503"/>
      <w:bookmarkStart w:id="1261" w:name="_Toc267251494"/>
      <w:bookmarkStart w:id="1262" w:name="_Toc267251504"/>
      <w:bookmarkStart w:id="1263" w:name="_Toc267251506"/>
      <w:bookmarkStart w:id="1264" w:name="_Toc267251507"/>
      <w:bookmarkStart w:id="1265" w:name="_Toc267251508"/>
      <w:bookmarkStart w:id="1266" w:name="_Toc267251514"/>
      <w:bookmarkStart w:id="1267" w:name="_Toc267251515"/>
      <w:bookmarkStart w:id="1268" w:name="_Toc267251510"/>
      <w:bookmarkStart w:id="1269" w:name="_Toc267251509"/>
      <w:bookmarkStart w:id="1270" w:name="_Toc267251513"/>
      <w:bookmarkStart w:id="1271" w:name="_Toc267251511"/>
      <w:r>
        <w:rPr>
          <w:rFonts w:hint="eastAsia" w:ascii="宋体" w:hAnsi="宋体" w:cs="宋体"/>
          <w:bCs/>
          <w:color w:val="auto"/>
          <w:sz w:val="24"/>
          <w:highlight w:val="none"/>
        </w:rPr>
        <w:t>15. 缺陷责任期与保修</w:t>
      </w:r>
      <w:bookmarkEnd w:id="1240"/>
      <w:bookmarkEnd w:id="1241"/>
    </w:p>
    <w:p w14:paraId="5E587DA0">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15.2 缺陷责任期</w:t>
      </w:r>
      <w:bookmarkEnd w:id="1242"/>
    </w:p>
    <w:p w14:paraId="02E3A667">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缺陷责任期的具体期限：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两年（缺陷责任期自工程竣工验收合格之日起计算）</w:t>
      </w:r>
      <w:r>
        <w:rPr>
          <w:rFonts w:hint="eastAsia" w:ascii="宋体" w:hAnsi="宋体" w:cs="宋体"/>
          <w:color w:val="auto"/>
          <w:szCs w:val="21"/>
          <w:highlight w:val="none"/>
          <w:u w:val="single"/>
        </w:rPr>
        <w:t xml:space="preserve"> </w:t>
      </w:r>
      <w:r>
        <w:rPr>
          <w:rFonts w:hint="eastAsia" w:ascii="宋体" w:hAnsi="宋体" w:cs="宋体"/>
          <w:color w:val="auto"/>
          <w:highlight w:val="none"/>
        </w:rPr>
        <w:t>。</w:t>
      </w:r>
    </w:p>
    <w:p w14:paraId="0050DC83">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15.3 质量保证金</w:t>
      </w:r>
    </w:p>
    <w:p w14:paraId="57547D7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关于是否扣留质量保证金的约定：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是</w:t>
      </w:r>
      <w:r>
        <w:rPr>
          <w:rFonts w:hint="eastAsia" w:ascii="宋体" w:hAnsi="宋体" w:cs="宋体"/>
          <w:color w:val="auto"/>
          <w:szCs w:val="21"/>
          <w:highlight w:val="none"/>
          <w:u w:val="single"/>
        </w:rPr>
        <w:t xml:space="preserve">   </w:t>
      </w:r>
      <w:r>
        <w:rPr>
          <w:rFonts w:hint="eastAsia" w:ascii="宋体" w:hAnsi="宋体" w:cs="宋体"/>
          <w:color w:val="auto"/>
          <w:highlight w:val="none"/>
        </w:rPr>
        <w:t>。在工程项目竣工前，承包人按专用合同条款第3.7款提供履约保证金的，发包人不得同时预留工程质量保证金。</w:t>
      </w:r>
    </w:p>
    <w:p w14:paraId="72D86425">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15.3.1 承包人提供质量保证金的方式</w:t>
      </w:r>
    </w:p>
    <w:p w14:paraId="17F1E71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质量保证金采用以下方式：</w:t>
      </w:r>
    </w:p>
    <w:p w14:paraId="75B64F08">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（1）质量保证金保函，保证金额为：</w:t>
      </w:r>
      <w:r>
        <w:rPr>
          <w:rFonts w:hint="eastAsia" w:ascii="宋体" w:hAnsi="宋体" w:cs="宋体"/>
          <w:color w:val="auto"/>
          <w:kern w:val="0"/>
          <w:highlight w:val="none"/>
          <w:u w:val="single"/>
        </w:rPr>
        <w:t>2%的工程款</w:t>
      </w:r>
      <w:r>
        <w:rPr>
          <w:rFonts w:hint="eastAsia" w:ascii="宋体" w:hAnsi="宋体" w:cs="宋体"/>
          <w:color w:val="auto"/>
          <w:kern w:val="0"/>
          <w:highlight w:val="none"/>
        </w:rPr>
        <w:t xml:space="preserve">； </w:t>
      </w:r>
    </w:p>
    <w:p w14:paraId="39D6C9D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w:t>
      </w:r>
      <w:r>
        <w:rPr>
          <w:rFonts w:hint="eastAsia" w:ascii="宋体" w:hAnsi="宋体" w:cs="宋体"/>
          <w:color w:val="auto"/>
          <w:kern w:val="0"/>
          <w:highlight w:val="none"/>
          <w:u w:val="single"/>
        </w:rPr>
        <w:t>2</w:t>
      </w:r>
      <w:r>
        <w:rPr>
          <w:rFonts w:hint="eastAsia" w:ascii="宋体" w:hAnsi="宋体" w:cs="宋体"/>
          <w:color w:val="auto"/>
          <w:kern w:val="0"/>
          <w:highlight w:val="none"/>
        </w:rPr>
        <w:t>%的工程款；</w:t>
      </w:r>
    </w:p>
    <w:p w14:paraId="166F193C">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（3）其他方式</w:t>
      </w:r>
      <w:r>
        <w:rPr>
          <w:rFonts w:hint="eastAsia" w:ascii="宋体" w:hAnsi="宋体" w:cs="宋体"/>
          <w:color w:val="auto"/>
          <w:kern w:val="0"/>
          <w:highlight w:val="none"/>
          <w:lang w:eastAsia="zh-CN"/>
        </w:rPr>
        <w:t>：</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7B6BF221">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15.3.2 质量保证金的扣留 </w:t>
      </w:r>
    </w:p>
    <w:p w14:paraId="234BA887">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质量保证金的扣留采取以下方式：</w:t>
      </w:r>
    </w:p>
    <w:p w14:paraId="537D7B25">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kern w:val="0"/>
          <w:highlight w:val="none"/>
        </w:rPr>
      </w:pPr>
      <w:r>
        <w:rPr>
          <w:rFonts w:hint="eastAsia" w:ascii="宋体" w:hAnsi="宋体" w:cs="宋体"/>
          <w:color w:val="auto"/>
          <w:kern w:val="0"/>
          <w:highlight w:val="none"/>
        </w:rPr>
        <w:t>（1）在支付工程进度款时逐次扣留，在此情形下，质量保证金的计算基数不包括预付款的支付、扣回以及价格调整的金额；</w:t>
      </w:r>
    </w:p>
    <w:p w14:paraId="131D94B1">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kern w:val="0"/>
          <w:highlight w:val="none"/>
        </w:rPr>
      </w:pPr>
      <w:r>
        <w:rPr>
          <w:rFonts w:hint="eastAsia" w:ascii="宋体" w:hAnsi="宋体" w:cs="宋体"/>
          <w:color w:val="auto"/>
          <w:kern w:val="0"/>
          <w:highlight w:val="none"/>
        </w:rPr>
        <w:t>（2）工程竣工结算时一次性扣留质量保证金；</w:t>
      </w:r>
    </w:p>
    <w:p w14:paraId="2A944731">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kern w:val="0"/>
          <w:highlight w:val="none"/>
        </w:rPr>
      </w:pPr>
      <w:r>
        <w:rPr>
          <w:rFonts w:hint="eastAsia" w:ascii="宋体" w:hAnsi="宋体" w:cs="宋体"/>
          <w:color w:val="auto"/>
          <w:kern w:val="0"/>
          <w:highlight w:val="none"/>
        </w:rPr>
        <w:t>（3）其他扣留方式</w:t>
      </w:r>
      <w:r>
        <w:rPr>
          <w:rFonts w:hint="eastAsia" w:ascii="宋体" w:hAnsi="宋体" w:cs="宋体"/>
          <w:color w:val="auto"/>
          <w:kern w:val="0"/>
          <w:highlight w:val="none"/>
          <w:lang w:eastAsia="zh-CN"/>
        </w:rPr>
        <w:t>：</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37A83132">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关于质量保证金的补充约定：</w:t>
      </w:r>
      <w:r>
        <w:rPr>
          <w:rFonts w:hint="eastAsia" w:ascii="宋体" w:hAnsi="宋体" w:cs="宋体"/>
          <w:color w:val="auto"/>
          <w:kern w:val="0"/>
          <w:highlight w:val="none"/>
          <w:u w:val="single"/>
        </w:rPr>
        <w:t>质量保证金支持保函（银行保函、担保机构担保、保证保险）使用。采用保函的，保函有效期须与缺陷责任期截止时间保持一致</w:t>
      </w:r>
      <w:r>
        <w:rPr>
          <w:rFonts w:hint="eastAsia" w:ascii="宋体" w:hAnsi="宋体" w:cs="宋体"/>
          <w:color w:val="auto"/>
          <w:kern w:val="0"/>
          <w:highlight w:val="none"/>
        </w:rPr>
        <w:t>。</w:t>
      </w:r>
    </w:p>
    <w:bookmarkEnd w:id="1243"/>
    <w:bookmarkEnd w:id="1244"/>
    <w:p w14:paraId="52985E7F">
      <w:pPr>
        <w:keepNext/>
        <w:keepLines/>
        <w:pageBreakBefore w:val="0"/>
        <w:kinsoku/>
        <w:wordWrap/>
        <w:overflowPunct/>
        <w:topLinePunct w:val="0"/>
        <w:autoSpaceDE/>
        <w:autoSpaceDN/>
        <w:bidi w:val="0"/>
        <w:adjustRightInd w:val="0"/>
        <w:snapToGrid w:val="0"/>
        <w:spacing w:line="384" w:lineRule="auto"/>
        <w:ind w:firstLine="420" w:firstLineChars="200"/>
        <w:textAlignment w:val="auto"/>
        <w:outlineLvl w:val="3"/>
        <w:rPr>
          <w:rFonts w:hint="eastAsia" w:ascii="宋体" w:hAnsi="宋体" w:cs="宋体"/>
          <w:bCs/>
          <w:color w:val="auto"/>
          <w:szCs w:val="28"/>
          <w:highlight w:val="none"/>
        </w:rPr>
      </w:pPr>
      <w:r>
        <w:rPr>
          <w:rFonts w:hint="eastAsia" w:ascii="宋体" w:hAnsi="宋体" w:cs="宋体"/>
          <w:bCs/>
          <w:color w:val="auto"/>
          <w:szCs w:val="28"/>
          <w:highlight w:val="none"/>
        </w:rPr>
        <w:t>15.4 保修</w:t>
      </w:r>
    </w:p>
    <w:bookmarkEnd w:id="1245"/>
    <w:p w14:paraId="7B96D120">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15.4.1 保修责任</w:t>
      </w:r>
    </w:p>
    <w:p w14:paraId="2F172454">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kern w:val="0"/>
          <w:highlight w:val="none"/>
          <w:u w:val="single"/>
        </w:rPr>
      </w:pPr>
      <w:r>
        <w:rPr>
          <w:rFonts w:hint="eastAsia" w:ascii="宋体" w:hAnsi="宋体" w:cs="宋体"/>
          <w:color w:val="auto"/>
          <w:highlight w:val="none"/>
        </w:rPr>
        <w:t>工程保修期为：</w:t>
      </w:r>
      <w:r>
        <w:rPr>
          <w:rFonts w:hint="eastAsia" w:ascii="宋体" w:hAnsi="宋体" w:cs="宋体"/>
          <w:color w:val="auto"/>
          <w:szCs w:val="21"/>
          <w:highlight w:val="none"/>
          <w:u w:val="single"/>
        </w:rPr>
        <w:t>执行《工程质量保修书》规定</w:t>
      </w:r>
      <w:r>
        <w:rPr>
          <w:rFonts w:hint="eastAsia" w:ascii="宋体" w:hAnsi="宋体" w:cs="宋体"/>
          <w:color w:val="auto"/>
          <w:kern w:val="0"/>
          <w:highlight w:val="none"/>
        </w:rPr>
        <w:t>。</w:t>
      </w:r>
    </w:p>
    <w:p w14:paraId="432F3222">
      <w:pPr>
        <w:pageBreakBefore w:val="0"/>
        <w:kinsoku/>
        <w:wordWrap/>
        <w:overflowPunct/>
        <w:topLinePunct w:val="0"/>
        <w:autoSpaceDE/>
        <w:autoSpaceDN/>
        <w:bidi w:val="0"/>
        <w:adjustRightInd w:val="0"/>
        <w:snapToGrid w:val="0"/>
        <w:spacing w:line="384"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15.4.3 修复通知</w:t>
      </w:r>
    </w:p>
    <w:p w14:paraId="6B400E94">
      <w:pPr>
        <w:keepNext w:val="0"/>
        <w:keepLines w:val="0"/>
        <w:pageBreakBefore w:val="0"/>
        <w:widowControl/>
        <w:kinsoku/>
        <w:wordWrap/>
        <w:overflowPunct/>
        <w:topLinePunct w:val="0"/>
        <w:autoSpaceDE/>
        <w:autoSpaceDN/>
        <w:bidi w:val="0"/>
        <w:adjustRightInd/>
        <w:snapToGrid/>
        <w:spacing w:line="384" w:lineRule="auto"/>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highlight w:val="none"/>
        </w:rPr>
        <w:t>承包人收到保修通知并到达工程现场的合理时间：</w:t>
      </w:r>
      <w:r>
        <w:rPr>
          <w:rFonts w:hint="eastAsia" w:ascii="宋体" w:hAnsi="宋体" w:cs="宋体"/>
          <w:color w:val="auto"/>
          <w:kern w:val="0"/>
          <w:highlight w:val="none"/>
          <w:u w:val="single"/>
        </w:rPr>
        <w:t xml:space="preserve"> </w:t>
      </w:r>
      <w:r>
        <w:rPr>
          <w:rFonts w:hint="eastAsia" w:ascii="宋体" w:hAnsi="宋体" w:cs="宋体"/>
          <w:color w:val="auto"/>
          <w:kern w:val="0"/>
          <w:szCs w:val="21"/>
          <w:highlight w:val="none"/>
          <w:u w:val="single"/>
        </w:rPr>
        <w:t xml:space="preserve">自承包人收到保修通知起24小时内到达工程现场并修复缺陷或损坏 ，如承包人违反此规定，由发包人另行安排队伍进行修整，由此产生的费用将在承包人的质保金中扣除。事后出现漏水、漏电等情况，承包人应在12小时内修复 </w:t>
      </w:r>
      <w:r>
        <w:rPr>
          <w:rFonts w:hint="eastAsia" w:ascii="宋体" w:hAnsi="宋体" w:cs="宋体"/>
          <w:color w:val="auto"/>
          <w:kern w:val="0"/>
          <w:szCs w:val="21"/>
          <w:highlight w:val="none"/>
        </w:rPr>
        <w:t>。</w:t>
      </w:r>
    </w:p>
    <w:p w14:paraId="67FFD3C2">
      <w:pPr>
        <w:keepNext w:val="0"/>
        <w:keepLines w:val="0"/>
        <w:pageBreakBefore w:val="0"/>
        <w:kinsoku/>
        <w:wordWrap/>
        <w:overflowPunct/>
        <w:topLinePunct w:val="0"/>
        <w:autoSpaceDE/>
        <w:autoSpaceDN/>
        <w:bidi w:val="0"/>
        <w:adjustRightInd/>
        <w:snapToGrid/>
        <w:spacing w:line="384" w:lineRule="auto"/>
        <w:ind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保修期内的维修：一般性维修承包方应在接到通知后12小时内到达；紧急事故承包方应在接到通知后6小时内到达现场抢修；事后出现渗漏水情况，承包方应在12小时内修复。</w:t>
      </w:r>
    </w:p>
    <w:p w14:paraId="6C1639E1">
      <w:pPr>
        <w:keepNext w:val="0"/>
        <w:keepLines w:val="0"/>
        <w:pageBreakBefore w:val="0"/>
        <w:kinsoku/>
        <w:wordWrap/>
        <w:overflowPunct/>
        <w:topLinePunct w:val="0"/>
        <w:autoSpaceDE/>
        <w:autoSpaceDN/>
        <w:bidi w:val="0"/>
        <w:adjustRightInd/>
        <w:snapToGrid/>
        <w:spacing w:line="384" w:lineRule="auto"/>
        <w:ind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承包人</w:t>
      </w:r>
      <w:r>
        <w:rPr>
          <w:rFonts w:hint="eastAsia" w:ascii="宋体" w:hAnsi="宋体" w:cs="宋体"/>
          <w:color w:val="auto"/>
          <w:kern w:val="0"/>
          <w:szCs w:val="21"/>
          <w:highlight w:val="none"/>
          <w:u w:val="single"/>
          <w:lang w:val="en-US" w:eastAsia="zh-CN"/>
        </w:rPr>
        <w:t>未</w:t>
      </w:r>
      <w:r>
        <w:rPr>
          <w:rFonts w:hint="eastAsia" w:ascii="宋体" w:hAnsi="宋体" w:cs="宋体"/>
          <w:color w:val="auto"/>
          <w:kern w:val="0"/>
          <w:szCs w:val="21"/>
          <w:highlight w:val="none"/>
          <w:u w:val="single"/>
        </w:rPr>
        <w:t>及时维修或</w:t>
      </w:r>
      <w:r>
        <w:rPr>
          <w:rFonts w:hint="eastAsia" w:ascii="宋体" w:hAnsi="宋体" w:cs="宋体"/>
          <w:color w:val="auto"/>
          <w:kern w:val="0"/>
          <w:szCs w:val="21"/>
          <w:highlight w:val="none"/>
          <w:u w:val="single"/>
          <w:lang w:val="en-US" w:eastAsia="zh-CN"/>
        </w:rPr>
        <w:t>未</w:t>
      </w:r>
      <w:r>
        <w:rPr>
          <w:rFonts w:hint="eastAsia" w:ascii="宋体" w:hAnsi="宋体" w:cs="宋体"/>
          <w:color w:val="auto"/>
          <w:kern w:val="0"/>
          <w:szCs w:val="21"/>
          <w:highlight w:val="none"/>
          <w:u w:val="single"/>
        </w:rPr>
        <w:t>在合理期限维修完好</w:t>
      </w:r>
      <w:r>
        <w:rPr>
          <w:rFonts w:hint="eastAsia" w:ascii="宋体" w:hAnsi="宋体" w:cs="宋体"/>
          <w:color w:val="auto"/>
          <w:kern w:val="0"/>
          <w:szCs w:val="21"/>
          <w:highlight w:val="none"/>
          <w:u w:val="single"/>
          <w:lang w:eastAsia="zh-CN"/>
        </w:rPr>
        <w:t>或</w:t>
      </w:r>
      <w:r>
        <w:rPr>
          <w:rFonts w:hint="eastAsia" w:ascii="宋体" w:hAnsi="宋体" w:cs="宋体"/>
          <w:color w:val="auto"/>
          <w:kern w:val="0"/>
          <w:szCs w:val="21"/>
          <w:highlight w:val="none"/>
          <w:u w:val="single"/>
        </w:rPr>
        <w:t>经过两次维修都</w:t>
      </w:r>
      <w:r>
        <w:rPr>
          <w:rFonts w:hint="eastAsia" w:ascii="宋体" w:hAnsi="宋体" w:cs="宋体"/>
          <w:color w:val="auto"/>
          <w:kern w:val="0"/>
          <w:szCs w:val="21"/>
          <w:highlight w:val="none"/>
          <w:u w:val="single"/>
          <w:lang w:val="en-US" w:eastAsia="zh-CN"/>
        </w:rPr>
        <w:t>未</w:t>
      </w:r>
      <w:r>
        <w:rPr>
          <w:rFonts w:hint="eastAsia" w:ascii="宋体" w:hAnsi="宋体" w:cs="宋体"/>
          <w:color w:val="auto"/>
          <w:kern w:val="0"/>
          <w:szCs w:val="21"/>
          <w:highlight w:val="none"/>
          <w:u w:val="single"/>
        </w:rPr>
        <w:t>能修好的，发包人有权自行请人代为维修并确定价格，所有修复费用及赔偿费用在支付承包人质保金时直接扣除，但不等于解除承包人应负的责任。</w:t>
      </w:r>
    </w:p>
    <w:p w14:paraId="2A5A1277">
      <w:pPr>
        <w:keepNext w:val="0"/>
        <w:keepLines w:val="0"/>
        <w:pageBreakBefore w:val="0"/>
        <w:kinsoku/>
        <w:wordWrap/>
        <w:overflowPunct/>
        <w:topLinePunct w:val="0"/>
        <w:autoSpaceDE/>
        <w:autoSpaceDN/>
        <w:bidi w:val="0"/>
        <w:adjustRightInd/>
        <w:snapToGrid/>
        <w:spacing w:line="384" w:lineRule="auto"/>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承包人每次维修完毕，应负责将施工现场清理干净、并取得业主和使用单位的验收签字 </w:t>
      </w:r>
      <w:r>
        <w:rPr>
          <w:rFonts w:hint="eastAsia" w:ascii="宋体" w:hAnsi="宋体" w:cs="宋体"/>
          <w:color w:val="auto"/>
          <w:kern w:val="0"/>
          <w:szCs w:val="21"/>
          <w:highlight w:val="none"/>
        </w:rPr>
        <w:t>。</w:t>
      </w:r>
    </w:p>
    <w:p w14:paraId="1CFD7278">
      <w:pPr>
        <w:keepNext w:val="0"/>
        <w:keepLines w:val="0"/>
        <w:pageBreakBefore w:val="0"/>
        <w:widowControl w:val="0"/>
        <w:kinsoku/>
        <w:wordWrap/>
        <w:overflowPunct/>
        <w:topLinePunct w:val="0"/>
        <w:autoSpaceDE/>
        <w:autoSpaceDN/>
        <w:bidi w:val="0"/>
        <w:adjustRightInd/>
        <w:snapToGrid/>
        <w:spacing w:line="384" w:lineRule="auto"/>
        <w:ind w:firstLine="420" w:firstLineChars="200"/>
        <w:jc w:val="left"/>
        <w:textAlignment w:val="auto"/>
        <w:rPr>
          <w:rFonts w:hint="eastAsia" w:ascii="宋体" w:hAnsi="宋体" w:cs="宋体"/>
          <w:color w:val="auto"/>
          <w:kern w:val="0"/>
          <w:highlight w:val="none"/>
          <w:u w:val="single"/>
        </w:rPr>
      </w:pPr>
      <w:r>
        <w:rPr>
          <w:rFonts w:hint="eastAsia" w:ascii="宋体" w:hAnsi="宋体" w:eastAsia="宋体" w:cs="宋体"/>
          <w:color w:val="auto"/>
          <w:kern w:val="0"/>
          <w:sz w:val="21"/>
          <w:szCs w:val="21"/>
          <w:highlight w:val="none"/>
          <w:u w:val="single"/>
        </w:rPr>
        <w:t>承包人未及时维修或未在合理期限内维修完好</w:t>
      </w:r>
      <w:r>
        <w:rPr>
          <w:rFonts w:hint="eastAsia" w:ascii="宋体" w:hAnsi="宋体" w:cs="宋体"/>
          <w:color w:val="auto"/>
          <w:kern w:val="0"/>
          <w:sz w:val="21"/>
          <w:szCs w:val="21"/>
          <w:highlight w:val="none"/>
          <w:u w:val="single"/>
          <w:lang w:eastAsia="zh-CN"/>
        </w:rPr>
        <w:t>或</w:t>
      </w:r>
      <w:r>
        <w:rPr>
          <w:rFonts w:hint="eastAsia" w:ascii="宋体" w:hAnsi="宋体" w:eastAsia="宋体" w:cs="宋体"/>
          <w:color w:val="auto"/>
          <w:kern w:val="0"/>
          <w:sz w:val="21"/>
          <w:szCs w:val="21"/>
          <w:highlight w:val="none"/>
          <w:u w:val="single"/>
        </w:rPr>
        <w:t>经过两次维修都未能修好的，发包人有权自行请人代为维修并确定价格，所有修复费用及赔偿费用在支付承包人质保金时直接扣除，但不等于解除承包人应负的责任。</w:t>
      </w:r>
    </w:p>
    <w:bookmarkEnd w:id="1246"/>
    <w:bookmarkEnd w:id="1247"/>
    <w:bookmarkEnd w:id="1248"/>
    <w:bookmarkEnd w:id="1249"/>
    <w:p w14:paraId="6AD769C0">
      <w:pPr>
        <w:keepNext/>
        <w:keepLines/>
        <w:pageBreakBefore w:val="0"/>
        <w:kinsoku/>
        <w:wordWrap/>
        <w:overflowPunct/>
        <w:topLinePunct w:val="0"/>
        <w:autoSpaceDE/>
        <w:autoSpaceDN/>
        <w:bidi w:val="0"/>
        <w:adjustRightInd w:val="0"/>
        <w:snapToGrid w:val="0"/>
        <w:spacing w:line="384" w:lineRule="auto"/>
        <w:jc w:val="left"/>
        <w:textAlignment w:val="auto"/>
        <w:outlineLvl w:val="2"/>
        <w:rPr>
          <w:rFonts w:hint="eastAsia" w:ascii="宋体" w:hAnsi="宋体" w:cs="宋体"/>
          <w:bCs/>
          <w:color w:val="auto"/>
          <w:sz w:val="24"/>
          <w:highlight w:val="none"/>
        </w:rPr>
      </w:pPr>
      <w:bookmarkStart w:id="1272" w:name="_Toc95223481"/>
      <w:bookmarkStart w:id="1273" w:name="_Toc351203648"/>
      <w:bookmarkStart w:id="1274" w:name="_Toc280868717"/>
      <w:bookmarkStart w:id="1275" w:name="_Toc280868718"/>
      <w:r>
        <w:rPr>
          <w:rFonts w:hint="eastAsia" w:ascii="宋体" w:hAnsi="宋体" w:cs="宋体"/>
          <w:bCs/>
          <w:color w:val="auto"/>
          <w:sz w:val="24"/>
          <w:highlight w:val="none"/>
        </w:rPr>
        <w:t>16. 违约</w:t>
      </w:r>
      <w:bookmarkEnd w:id="1272"/>
      <w:bookmarkEnd w:id="1273"/>
    </w:p>
    <w:p w14:paraId="108DE99D">
      <w:pPr>
        <w:keepNext/>
        <w:keepLines/>
        <w:pageBreakBefore w:val="0"/>
        <w:kinsoku/>
        <w:wordWrap/>
        <w:overflowPunct/>
        <w:topLinePunct w:val="0"/>
        <w:autoSpaceDE/>
        <w:autoSpaceDN/>
        <w:bidi w:val="0"/>
        <w:adjustRightInd w:val="0"/>
        <w:snapToGrid w:val="0"/>
        <w:spacing w:line="384" w:lineRule="auto"/>
        <w:ind w:firstLine="420" w:firstLineChars="200"/>
        <w:textAlignment w:val="auto"/>
        <w:outlineLvl w:val="3"/>
        <w:rPr>
          <w:rFonts w:hint="eastAsia" w:ascii="宋体" w:hAnsi="宋体" w:cs="宋体"/>
          <w:bCs/>
          <w:color w:val="auto"/>
          <w:szCs w:val="28"/>
          <w:highlight w:val="none"/>
        </w:rPr>
      </w:pPr>
      <w:r>
        <w:rPr>
          <w:rFonts w:hint="eastAsia" w:ascii="宋体" w:hAnsi="宋体" w:cs="宋体"/>
          <w:bCs/>
          <w:color w:val="auto"/>
          <w:szCs w:val="28"/>
          <w:highlight w:val="none"/>
        </w:rPr>
        <w:t>16.1 发包人违约</w:t>
      </w:r>
    </w:p>
    <w:p w14:paraId="0860216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16.1.1 发包人违约的情形</w:t>
      </w:r>
    </w:p>
    <w:p w14:paraId="36DC7EA8">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发包人违约的其他情形：</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u w:val="single"/>
          <w:lang w:val="en-US" w:eastAsia="zh-CN"/>
        </w:rPr>
        <w:t>无</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66C3078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16.1.2 发包人违约的责任</w:t>
      </w:r>
    </w:p>
    <w:p w14:paraId="78FE334E">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发包人违约责任的承担方式和计算方法：</w:t>
      </w:r>
    </w:p>
    <w:p w14:paraId="1AEB849E">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（1）因发包人原因未能在计划开工日期前7天内下达开工通知的违约责任：</w:t>
      </w:r>
      <w:r>
        <w:rPr>
          <w:rFonts w:hint="eastAsia" w:ascii="宋体" w:hAnsi="宋体" w:cs="宋体"/>
          <w:color w:val="auto"/>
          <w:szCs w:val="21"/>
          <w:highlight w:val="none"/>
          <w:u w:val="single"/>
        </w:rPr>
        <w:t xml:space="preserve"> </w:t>
      </w:r>
      <w:r>
        <w:rPr>
          <w:rFonts w:hint="eastAsia" w:ascii="宋体" w:hAnsi="宋体" w:eastAsia="宋体" w:cs="宋体"/>
          <w:color w:val="auto"/>
          <w:szCs w:val="21"/>
          <w:highlight w:val="none"/>
          <w:u w:val="single"/>
        </w:rPr>
        <w:t>发包人以书面通知承包人推迟开工日期，竣工日期相应顺延；承包人应于收到发包人下达的书面开工通知后7日内向发包人提出书面申请，经发包人审核确认后，由发包人承担因延期开工造成的相关费用支付义务，因承包人未能在上述约定时间内提交书面申请的，相关费用由承包人自行承担。</w:t>
      </w:r>
    </w:p>
    <w:p w14:paraId="29AF9EF2">
      <w:pPr>
        <w:adjustRightInd w:val="0"/>
        <w:snapToGrid w:val="0"/>
        <w:spacing w:line="384" w:lineRule="auto"/>
        <w:ind w:firstLine="420" w:firstLineChars="200"/>
        <w:rPr>
          <w:rFonts w:hint="eastAsia" w:ascii="宋体" w:hAnsi="宋体" w:eastAsia="宋体" w:cs="宋体"/>
          <w:color w:val="auto"/>
          <w:kern w:val="0"/>
          <w:szCs w:val="21"/>
          <w:highlight w:val="none"/>
          <w:u w:val="single"/>
        </w:rPr>
      </w:pPr>
      <w:r>
        <w:rPr>
          <w:rFonts w:hint="eastAsia" w:ascii="宋体" w:hAnsi="宋体" w:cs="宋体"/>
          <w:color w:val="auto"/>
          <w:kern w:val="0"/>
          <w:highlight w:val="none"/>
        </w:rPr>
        <w:t>（2）因发包人原因未能按合同约定支付合同价款的违约责任：</w:t>
      </w:r>
      <w:r>
        <w:rPr>
          <w:rFonts w:hint="eastAsia" w:ascii="宋体" w:hAnsi="宋体" w:eastAsia="宋体" w:cs="宋体"/>
          <w:color w:val="auto"/>
          <w:kern w:val="0"/>
          <w:szCs w:val="21"/>
          <w:highlight w:val="none"/>
          <w:u w:val="single"/>
        </w:rPr>
        <w:t>工期顺延，承包人应于28日内向发包人提出相关费用索赔书面申请，经发包人审核确认后，由发包人承担因未能按合同约定支付合同价款的相关费用支付义务，因承包人未能在上述约定时间内提交书面申请的，相关费用由承包人自行承担。</w:t>
      </w:r>
    </w:p>
    <w:p w14:paraId="197A8728">
      <w:pPr>
        <w:adjustRightInd w:val="0"/>
        <w:snapToGrid w:val="0"/>
        <w:spacing w:line="384" w:lineRule="auto"/>
        <w:ind w:firstLine="420" w:firstLineChars="200"/>
        <w:rPr>
          <w:rFonts w:hint="eastAsia" w:ascii="宋体" w:hAnsi="宋体" w:cs="宋体"/>
          <w:b/>
          <w:color w:val="auto"/>
          <w:kern w:val="0"/>
          <w:highlight w:val="none"/>
          <w:u w:val="single"/>
        </w:rPr>
      </w:pPr>
      <w:r>
        <w:rPr>
          <w:rFonts w:hint="eastAsia" w:ascii="宋体" w:hAnsi="宋体" w:cs="宋体"/>
          <w:color w:val="auto"/>
          <w:kern w:val="0"/>
          <w:highlight w:val="none"/>
        </w:rPr>
        <w:t>（3）发包人违反第10.1款〔变更的范围〕第（2）项约定，自行实施被取消的工作或转由他人实施的违约责任：</w:t>
      </w:r>
      <w:r>
        <w:rPr>
          <w:rFonts w:hint="eastAsia" w:ascii="宋体" w:hAnsi="宋体" w:eastAsia="宋体" w:cs="宋体"/>
          <w:color w:val="auto"/>
          <w:kern w:val="0"/>
          <w:szCs w:val="21"/>
          <w:highlight w:val="none"/>
          <w:u w:val="single"/>
        </w:rPr>
        <w:t>造成工期延误的，工期顺延；承包人因此增加的费用应于28日内向发包人提出相关费用索赔书面申请，经发包人审核确认后，由发包人承担相关费用支付义务，因承包人未能在上述约定时间内提交书面申请的，相关费用由承包人自行承担；相应的工程价款在结算中扣除。如因承包人原因造成的，则承包人承担因其违约行为而增加的费用和（或）延误的工期。</w:t>
      </w:r>
    </w:p>
    <w:p w14:paraId="414F35C3">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Cs w:val="21"/>
          <w:highlight w:val="none"/>
          <w:u w:val="single"/>
        </w:rPr>
        <w:t>工期顺延，承包人应于28日内向发包人提出相关费用索赔书面申请，经发包人审核确认后，由发包人承担因提供的材料、工程设备的规格、数量或质量不符合合同约定，或因发包人原因导致交货日期延误或交货地点变更等的相关费用支付义务，因承包人未能在上述约定时间内提交书面申请的，相关费用由承包人自行承担。</w:t>
      </w:r>
    </w:p>
    <w:p w14:paraId="1E89B7F4">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（5）因发包人违反合同约定造成暂停施工的违约责任：</w:t>
      </w:r>
      <w:r>
        <w:rPr>
          <w:rFonts w:hint="eastAsia" w:ascii="宋体" w:hAnsi="宋体" w:eastAsia="宋体" w:cs="宋体"/>
          <w:color w:val="auto"/>
          <w:kern w:val="0"/>
          <w:szCs w:val="21"/>
          <w:highlight w:val="none"/>
          <w:u w:val="single"/>
        </w:rPr>
        <w:t>工期顺延，承包人应于28日内向发包人提出相关费用索赔书面申请，经发包人审核确认后，由发包人承担因违反合同约定造成暂停施工的相关费用支付义务，因承办人未能在上述约定时间内提交书面申请的，相关费用由承包人自行承担。</w:t>
      </w:r>
    </w:p>
    <w:p w14:paraId="50ADC141">
      <w:pPr>
        <w:adjustRightInd w:val="0"/>
        <w:snapToGrid w:val="0"/>
        <w:spacing w:line="384" w:lineRule="auto"/>
        <w:ind w:firstLine="420" w:firstLineChars="200"/>
        <w:rPr>
          <w:rFonts w:hint="eastAsia" w:ascii="宋体" w:hAnsi="宋体" w:eastAsia="宋体" w:cs="宋体"/>
          <w:color w:val="auto"/>
          <w:kern w:val="0"/>
          <w:szCs w:val="21"/>
          <w:highlight w:val="none"/>
          <w:u w:val="single"/>
        </w:rPr>
      </w:pPr>
      <w:r>
        <w:rPr>
          <w:rFonts w:hint="eastAsia" w:ascii="宋体" w:hAnsi="宋体" w:cs="宋体"/>
          <w:color w:val="auto"/>
          <w:kern w:val="0"/>
          <w:highlight w:val="none"/>
        </w:rPr>
        <w:t>（6）发包人无正当理由没有在约定期限内发出复工指示，导致承包人无法复工的违约责任：</w:t>
      </w:r>
      <w:r>
        <w:rPr>
          <w:rFonts w:hint="eastAsia" w:ascii="宋体" w:hAnsi="宋体" w:cs="宋体"/>
          <w:color w:val="auto"/>
          <w:kern w:val="0"/>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eastAsia="宋体" w:cs="宋体"/>
          <w:color w:val="auto"/>
          <w:kern w:val="0"/>
          <w:szCs w:val="21"/>
          <w:highlight w:val="none"/>
          <w:u w:val="single"/>
        </w:rPr>
        <w:t>发包人以书面通知承包人复工日期，竣工日期相应顺延；承包人应于收到发包人书面通知后28日内向发包人提出书面申请，经发包人审核确认后，由发包人承担因无正当理由没有在约定期限内发出复工指示、导致承包人无法复工的相关费用支付义务，因承包人未能在上述约定时间内提交书面申请的，相关费用由承包人自行承担。</w:t>
      </w:r>
    </w:p>
    <w:p w14:paraId="7F5EBF3E">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（7）其他：</w:t>
      </w:r>
      <w:r>
        <w:rPr>
          <w:rFonts w:hint="eastAsia" w:ascii="宋体" w:hAnsi="宋体" w:cs="宋体"/>
          <w:color w:val="auto"/>
          <w:szCs w:val="21"/>
          <w:highlight w:val="none"/>
          <w:u w:val="single"/>
        </w:rPr>
        <w:t xml:space="preserve"> </w:t>
      </w:r>
      <w:r>
        <w:rPr>
          <w:rFonts w:hint="eastAsia" w:ascii="宋体" w:hAnsi="宋体" w:eastAsia="宋体" w:cs="宋体"/>
          <w:color w:val="auto"/>
          <w:kern w:val="0"/>
          <w:szCs w:val="21"/>
          <w:highlight w:val="none"/>
          <w:u w:val="single"/>
        </w:rPr>
        <w:t>双方通过协商方式解决。</w:t>
      </w:r>
    </w:p>
    <w:p w14:paraId="11B202E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16.1.3 因发包人违约解除合同</w:t>
      </w:r>
    </w:p>
    <w:p w14:paraId="474451BE">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承包人按16.1.1项〔发包人违约的情形〕约定暂停施工满</w:t>
      </w:r>
      <w:r>
        <w:rPr>
          <w:rFonts w:hint="eastAsia" w:ascii="宋体" w:hAnsi="宋体" w:cs="宋体"/>
          <w:color w:val="auto"/>
          <w:szCs w:val="21"/>
          <w:highlight w:val="none"/>
          <w:u w:val="single"/>
        </w:rPr>
        <w:t>28</w:t>
      </w:r>
      <w:r>
        <w:rPr>
          <w:rFonts w:hint="eastAsia" w:ascii="宋体" w:hAnsi="宋体" w:cs="宋体"/>
          <w:color w:val="auto"/>
          <w:kern w:val="0"/>
          <w:highlight w:val="none"/>
        </w:rPr>
        <w:t>天后发包人仍不纠正其违约行为并致使合同目的不能实现的，承包人有权解除合同。</w:t>
      </w:r>
    </w:p>
    <w:p w14:paraId="4473B648">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16.2 承包人违约</w:t>
      </w:r>
    </w:p>
    <w:p w14:paraId="3D30BBF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16.2.1 承包人违约的情形</w:t>
      </w:r>
    </w:p>
    <w:p w14:paraId="72B9637A">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承包人违约的其他情形：</w:t>
      </w:r>
      <w:r>
        <w:rPr>
          <w:rFonts w:hint="eastAsia" w:ascii="宋体" w:hAnsi="宋体" w:cs="宋体"/>
          <w:color w:val="auto"/>
          <w:kern w:val="0"/>
          <w:highlight w:val="none"/>
          <w:u w:val="single"/>
        </w:rPr>
        <w:t xml:space="preserve">    </w:t>
      </w:r>
      <w:r>
        <w:rPr>
          <w:rFonts w:hint="eastAsia" w:ascii="宋体" w:hAnsi="宋体" w:cs="宋体"/>
          <w:color w:val="auto"/>
          <w:kern w:val="0"/>
          <w:szCs w:val="21"/>
          <w:highlight w:val="none"/>
          <w:u w:val="single"/>
        </w:rPr>
        <w:t>执行通用条款</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6F323F57">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16.2.2 承包人违约的责任</w:t>
      </w:r>
    </w:p>
    <w:p w14:paraId="70D8ADD3">
      <w:pPr>
        <w:adjustRightInd w:val="0"/>
        <w:snapToGrid w:val="0"/>
        <w:spacing w:line="384" w:lineRule="auto"/>
        <w:ind w:firstLine="420" w:firstLineChars="200"/>
        <w:rPr>
          <w:rFonts w:hint="eastAsia" w:ascii="宋体" w:hAnsi="宋体" w:eastAsia="宋体" w:cs="宋体"/>
          <w:color w:val="auto"/>
          <w:kern w:val="0"/>
          <w:szCs w:val="21"/>
          <w:highlight w:val="none"/>
          <w:u w:val="single"/>
        </w:rPr>
      </w:pPr>
      <w:r>
        <w:rPr>
          <w:rFonts w:hint="eastAsia" w:ascii="宋体" w:hAnsi="宋体" w:cs="宋体"/>
          <w:color w:val="auto"/>
          <w:kern w:val="0"/>
          <w:highlight w:val="none"/>
        </w:rPr>
        <w:t>承包人违约责任的承担方式和计算方法：</w:t>
      </w:r>
      <w:r>
        <w:rPr>
          <w:rFonts w:hint="eastAsia" w:ascii="宋体" w:hAnsi="宋体" w:cs="宋体"/>
          <w:b/>
          <w:color w:val="auto"/>
          <w:highlight w:val="none"/>
          <w:u w:val="single"/>
        </w:rPr>
        <w:t xml:space="preserve"> 由承包人承担全部费用并承担相关法律责任 </w:t>
      </w:r>
    </w:p>
    <w:p w14:paraId="5739FC1E">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16.2.3 因承包人违约解除合同</w:t>
      </w:r>
    </w:p>
    <w:p w14:paraId="1124DB6C">
      <w:pPr>
        <w:adjustRightInd w:val="0"/>
        <w:snapToGrid w:val="0"/>
        <w:spacing w:line="384"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关于承包人违约解除合同的特别约定：</w:t>
      </w:r>
      <w:r>
        <w:rPr>
          <w:rFonts w:hint="eastAsia" w:ascii="宋体" w:hAnsi="宋体" w:cs="宋体"/>
          <w:color w:val="auto"/>
          <w:kern w:val="0"/>
          <w:highlight w:val="none"/>
          <w:u w:val="single"/>
        </w:rPr>
        <w:t xml:space="preserve"> </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除专用条款约定情形外，其余</w:t>
      </w:r>
      <w:r>
        <w:rPr>
          <w:rFonts w:hint="eastAsia" w:ascii="宋体" w:hAnsi="宋体" w:eastAsia="宋体" w:cs="宋体"/>
          <w:color w:val="auto"/>
          <w:kern w:val="0"/>
          <w:szCs w:val="21"/>
          <w:highlight w:val="none"/>
          <w:u w:val="single"/>
        </w:rPr>
        <w:t>执行通用条款</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1D35774A">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发包人继续使用承包人在施工现场的材料、设备、临时工程、承包人文件和由承包人或以其名义编制的其他文件的费用承担方式：</w:t>
      </w:r>
      <w:r>
        <w:rPr>
          <w:rFonts w:hint="eastAsia" w:ascii="宋体" w:hAnsi="宋体" w:cs="宋体"/>
          <w:color w:val="auto"/>
          <w:kern w:val="0"/>
          <w:highlight w:val="none"/>
          <w:u w:val="single"/>
        </w:rPr>
        <w:t xml:space="preserve"> </w:t>
      </w:r>
      <w:r>
        <w:rPr>
          <w:rFonts w:hint="eastAsia" w:ascii="宋体" w:hAnsi="宋体" w:eastAsia="宋体" w:cs="宋体"/>
          <w:color w:val="auto"/>
          <w:kern w:val="0"/>
          <w:szCs w:val="21"/>
          <w:highlight w:val="none"/>
          <w:u w:val="single"/>
          <w:lang w:val="en-US" w:eastAsia="zh-CN"/>
        </w:rPr>
        <w:t>承包人承担费用</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w:t>
      </w:r>
    </w:p>
    <w:p w14:paraId="730455D8">
      <w:pPr>
        <w:keepNext/>
        <w:keepLines/>
        <w:adjustRightInd w:val="0"/>
        <w:snapToGrid w:val="0"/>
        <w:spacing w:line="384" w:lineRule="auto"/>
        <w:jc w:val="left"/>
        <w:outlineLvl w:val="2"/>
        <w:rPr>
          <w:rFonts w:hint="eastAsia" w:ascii="宋体" w:hAnsi="宋体" w:cs="宋体"/>
          <w:bCs/>
          <w:color w:val="auto"/>
          <w:sz w:val="24"/>
          <w:highlight w:val="none"/>
        </w:rPr>
      </w:pPr>
      <w:bookmarkStart w:id="1276" w:name="_Toc95223482"/>
      <w:bookmarkStart w:id="1277" w:name="_Toc351203649"/>
      <w:r>
        <w:rPr>
          <w:rFonts w:hint="eastAsia" w:ascii="宋体" w:hAnsi="宋体" w:cs="宋体"/>
          <w:bCs/>
          <w:color w:val="auto"/>
          <w:sz w:val="24"/>
          <w:highlight w:val="none"/>
        </w:rPr>
        <w:t>17. 不可抗力</w:t>
      </w:r>
      <w:bookmarkEnd w:id="1276"/>
      <w:bookmarkEnd w:id="1277"/>
      <w:r>
        <w:rPr>
          <w:rFonts w:hint="eastAsia" w:ascii="宋体" w:hAnsi="宋体" w:cs="宋体"/>
          <w:bCs/>
          <w:color w:val="auto"/>
          <w:sz w:val="24"/>
          <w:highlight w:val="none"/>
        </w:rPr>
        <w:t xml:space="preserve"> </w:t>
      </w:r>
      <w:bookmarkEnd w:id="1274"/>
    </w:p>
    <w:p w14:paraId="258B3AA7">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17.1 不可抗力的确认</w:t>
      </w:r>
    </w:p>
    <w:p w14:paraId="15B844BE">
      <w:pPr>
        <w:adjustRightInd w:val="0"/>
        <w:snapToGrid w:val="0"/>
        <w:spacing w:line="384" w:lineRule="auto"/>
        <w:ind w:firstLine="420" w:firstLineChars="200"/>
        <w:rPr>
          <w:rFonts w:hint="eastAsia" w:ascii="宋体" w:hAnsi="宋体" w:cs="宋体"/>
          <w:b/>
          <w:color w:val="auto"/>
          <w:highlight w:val="none"/>
          <w:u w:val="single"/>
        </w:rPr>
      </w:pPr>
      <w:r>
        <w:rPr>
          <w:rFonts w:hint="eastAsia" w:ascii="宋体" w:hAnsi="宋体" w:cs="宋体"/>
          <w:color w:val="auto"/>
          <w:highlight w:val="none"/>
        </w:rPr>
        <w:t>除通用合同条款约定的不可抗力事件之外，视为不可抗力的其他情形：</w:t>
      </w:r>
      <w:r>
        <w:rPr>
          <w:rFonts w:hint="eastAsia" w:ascii="宋体" w:hAnsi="宋体" w:cs="宋体"/>
          <w:color w:val="auto"/>
          <w:szCs w:val="21"/>
          <w:highlight w:val="none"/>
          <w:u w:val="single"/>
        </w:rPr>
        <w:t>执行通用条款</w:t>
      </w:r>
      <w:r>
        <w:rPr>
          <w:rFonts w:hint="eastAsia" w:ascii="宋体" w:hAnsi="宋体" w:cs="宋体"/>
          <w:color w:val="auto"/>
          <w:szCs w:val="21"/>
          <w:highlight w:val="none"/>
        </w:rPr>
        <w:t>。</w:t>
      </w:r>
    </w:p>
    <w:p w14:paraId="74EE27B6">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17.4 因不可抗力解除合同</w:t>
      </w:r>
    </w:p>
    <w:p w14:paraId="61D163E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合同解除后，发包人应在商定或确定发包人应支付款项后</w:t>
      </w:r>
      <w:r>
        <w:rPr>
          <w:rFonts w:hint="eastAsia" w:ascii="宋体" w:hAnsi="宋体" w:cs="宋体"/>
          <w:color w:val="auto"/>
          <w:szCs w:val="21"/>
          <w:highlight w:val="none"/>
          <w:u w:val="single"/>
        </w:rPr>
        <w:t>28</w:t>
      </w:r>
      <w:r>
        <w:rPr>
          <w:rFonts w:hint="eastAsia" w:ascii="宋体" w:hAnsi="宋体" w:cs="宋体"/>
          <w:color w:val="auto"/>
          <w:highlight w:val="none"/>
        </w:rPr>
        <w:t>天内完成款项的支付。</w:t>
      </w:r>
    </w:p>
    <w:p w14:paraId="51FBB29C">
      <w:pPr>
        <w:keepNext/>
        <w:keepLines/>
        <w:adjustRightInd w:val="0"/>
        <w:snapToGrid w:val="0"/>
        <w:spacing w:line="384" w:lineRule="auto"/>
        <w:jc w:val="left"/>
        <w:outlineLvl w:val="2"/>
        <w:rPr>
          <w:rFonts w:hint="eastAsia" w:ascii="宋体" w:hAnsi="宋体" w:cs="宋体"/>
          <w:bCs/>
          <w:color w:val="auto"/>
          <w:sz w:val="24"/>
          <w:highlight w:val="none"/>
        </w:rPr>
      </w:pPr>
      <w:bookmarkStart w:id="1278" w:name="_Toc351203650"/>
      <w:bookmarkStart w:id="1279" w:name="_Toc95223483"/>
      <w:r>
        <w:rPr>
          <w:rFonts w:hint="eastAsia" w:ascii="宋体" w:hAnsi="宋体" w:cs="宋体"/>
          <w:bCs/>
          <w:color w:val="auto"/>
          <w:sz w:val="24"/>
          <w:highlight w:val="none"/>
        </w:rPr>
        <w:t>18. 保险</w:t>
      </w:r>
      <w:bookmarkEnd w:id="1278"/>
      <w:bookmarkEnd w:id="1279"/>
    </w:p>
    <w:bookmarkEnd w:id="1275"/>
    <w:p w14:paraId="15651B79">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18.1 工程保险</w:t>
      </w:r>
    </w:p>
    <w:p w14:paraId="4E62FBFE">
      <w:pPr>
        <w:adjustRightInd w:val="0"/>
        <w:snapToGrid w:val="0"/>
        <w:spacing w:line="384" w:lineRule="auto"/>
        <w:ind w:firstLine="420" w:firstLineChars="200"/>
        <w:rPr>
          <w:rFonts w:hint="eastAsia" w:ascii="宋体" w:hAnsi="宋体" w:eastAsia="宋体" w:cs="宋体"/>
          <w:color w:val="auto"/>
          <w:kern w:val="0"/>
          <w:szCs w:val="21"/>
          <w:highlight w:val="none"/>
          <w:u w:val="single"/>
          <w:lang w:val="en-US" w:eastAsia="zh-CN"/>
        </w:rPr>
      </w:pPr>
      <w:r>
        <w:rPr>
          <w:rFonts w:hint="eastAsia" w:ascii="宋体" w:hAnsi="宋体" w:cs="宋体"/>
          <w:color w:val="auto"/>
          <w:highlight w:val="none"/>
        </w:rPr>
        <w:t>关于工程保险的特别约定：</w:t>
      </w:r>
      <w:r>
        <w:rPr>
          <w:rFonts w:hint="eastAsia" w:ascii="宋体" w:hAnsi="宋体" w:eastAsia="宋体" w:cs="宋体"/>
          <w:color w:val="auto"/>
          <w:kern w:val="0"/>
          <w:szCs w:val="21"/>
          <w:highlight w:val="none"/>
          <w:u w:val="single"/>
          <w:lang w:val="en-US" w:eastAsia="zh-CN"/>
        </w:rPr>
        <w:t>承包人应遵守保险的条件，并对未保险的超出部分及保险责任以外的部分所发生的索赔和责任负责。此外，承包人应以自己的费用与保险人谈判解决所有索赔事项，并应向发包人、保险人或保险代理人提供所要求的一切文件和资料，以便保险安排、更新、保持及索赔能以实施</w:t>
      </w:r>
    </w:p>
    <w:p w14:paraId="4E83E1DE">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18.3 其他保险</w:t>
      </w:r>
    </w:p>
    <w:p w14:paraId="735E99F9">
      <w:pPr>
        <w:adjustRightInd w:val="0"/>
        <w:snapToGrid w:val="0"/>
        <w:spacing w:line="384" w:lineRule="auto"/>
        <w:ind w:firstLine="420" w:firstLineChars="200"/>
        <w:rPr>
          <w:rFonts w:hint="eastAsia" w:ascii="宋体" w:hAnsi="宋体" w:eastAsia="宋体" w:cs="宋体"/>
          <w:color w:val="auto"/>
          <w:kern w:val="0"/>
          <w:highlight w:val="none"/>
          <w:lang w:val="en-US" w:eastAsia="zh-CN"/>
        </w:rPr>
      </w:pPr>
      <w:r>
        <w:rPr>
          <w:rFonts w:hint="eastAsia" w:ascii="宋体" w:hAnsi="宋体" w:cs="宋体"/>
          <w:color w:val="auto"/>
          <w:highlight w:val="none"/>
        </w:rPr>
        <w:t>关于其他保险的约定：</w:t>
      </w:r>
      <w:r>
        <w:rPr>
          <w:rFonts w:hint="eastAsia" w:ascii="宋体" w:hAnsi="宋体" w:eastAsia="宋体" w:cs="宋体"/>
          <w:color w:val="auto"/>
          <w:kern w:val="0"/>
          <w:szCs w:val="21"/>
          <w:highlight w:val="none"/>
          <w:u w:val="single"/>
        </w:rPr>
        <w:t>执行国家、省、市有关规定</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szCs w:val="21"/>
          <w:highlight w:val="none"/>
          <w:u w:val="single"/>
        </w:rPr>
        <w:t>承包人须为其施工现场的全部人员办理意外伤害保险并支付保险费，包括其员工及为履行合同聘请的第三方的人员</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cs="宋体"/>
          <w:color w:val="auto"/>
          <w:kern w:val="0"/>
          <w:highlight w:val="none"/>
        </w:rPr>
        <w:t>。</w:t>
      </w:r>
    </w:p>
    <w:p w14:paraId="4DDBDFB1">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承包人是否应为其施工设备等办理财产保险：</w:t>
      </w:r>
      <w:r>
        <w:rPr>
          <w:rFonts w:hint="eastAsia" w:ascii="宋体" w:hAnsi="宋体" w:cs="宋体"/>
          <w:color w:val="auto"/>
          <w:szCs w:val="21"/>
          <w:highlight w:val="none"/>
          <w:u w:val="single"/>
        </w:rPr>
        <w:t>执行通用条款</w:t>
      </w:r>
      <w:r>
        <w:rPr>
          <w:rFonts w:hint="eastAsia" w:ascii="宋体" w:hAnsi="宋体" w:cs="宋体"/>
          <w:color w:val="auto"/>
          <w:highlight w:val="none"/>
        </w:rPr>
        <w:t>。</w:t>
      </w:r>
    </w:p>
    <w:p w14:paraId="3E703CE7">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18.7 通知义务</w:t>
      </w:r>
    </w:p>
    <w:p w14:paraId="76BC263A">
      <w:pPr>
        <w:adjustRightInd w:val="0"/>
        <w:snapToGrid w:val="0"/>
        <w:spacing w:line="384" w:lineRule="auto"/>
        <w:ind w:firstLine="420" w:firstLineChars="200"/>
        <w:rPr>
          <w:rFonts w:hint="eastAsia" w:ascii="宋体" w:hAnsi="宋体" w:cs="宋体"/>
          <w:b/>
          <w:color w:val="auto"/>
          <w:highlight w:val="none"/>
          <w:u w:val="single"/>
        </w:rPr>
      </w:pPr>
      <w:r>
        <w:rPr>
          <w:rFonts w:hint="eastAsia" w:ascii="宋体" w:hAnsi="宋体" w:cs="宋体"/>
          <w:color w:val="auto"/>
          <w:kern w:val="0"/>
          <w:highlight w:val="none"/>
        </w:rPr>
        <w:t>关于变更保险合同时的通知义务的约定：</w:t>
      </w:r>
      <w:r>
        <w:rPr>
          <w:rFonts w:hint="eastAsia" w:ascii="宋体" w:hAnsi="宋体" w:cs="宋体"/>
          <w:color w:val="auto"/>
          <w:szCs w:val="21"/>
          <w:highlight w:val="none"/>
          <w:u w:val="single"/>
        </w:rPr>
        <w:t>执行通用条款</w:t>
      </w:r>
      <w:r>
        <w:rPr>
          <w:rFonts w:hint="eastAsia" w:ascii="宋体" w:hAnsi="宋体" w:cs="宋体"/>
          <w:color w:val="auto"/>
          <w:szCs w:val="21"/>
          <w:highlight w:val="none"/>
        </w:rPr>
        <w:t>。</w:t>
      </w:r>
    </w:p>
    <w:bookmarkEnd w:id="1250"/>
    <w:bookmarkEnd w:id="1251"/>
    <w:bookmarkEnd w:id="1252"/>
    <w:bookmarkEnd w:id="1253"/>
    <w:bookmarkEnd w:id="1254"/>
    <w:bookmarkEnd w:id="1255"/>
    <w:bookmarkEnd w:id="1256"/>
    <w:bookmarkEnd w:id="1257"/>
    <w:bookmarkEnd w:id="1258"/>
    <w:bookmarkEnd w:id="1259"/>
    <w:bookmarkEnd w:id="1260"/>
    <w:bookmarkEnd w:id="1261"/>
    <w:p w14:paraId="4A976D15">
      <w:pPr>
        <w:keepNext/>
        <w:keepLines/>
        <w:adjustRightInd w:val="0"/>
        <w:snapToGrid w:val="0"/>
        <w:spacing w:line="384" w:lineRule="auto"/>
        <w:jc w:val="left"/>
        <w:outlineLvl w:val="2"/>
        <w:rPr>
          <w:rFonts w:hint="eastAsia" w:ascii="宋体" w:hAnsi="宋体" w:cs="宋体"/>
          <w:bCs/>
          <w:color w:val="auto"/>
          <w:sz w:val="24"/>
          <w:highlight w:val="none"/>
        </w:rPr>
      </w:pPr>
      <w:bookmarkStart w:id="1280" w:name="_Toc95223484"/>
      <w:bookmarkStart w:id="1281" w:name="_Toc351203651"/>
      <w:r>
        <w:rPr>
          <w:rFonts w:hint="eastAsia" w:ascii="宋体" w:hAnsi="宋体" w:cs="宋体"/>
          <w:bCs/>
          <w:color w:val="auto"/>
          <w:sz w:val="24"/>
          <w:highlight w:val="none"/>
        </w:rPr>
        <w:t>20. 争议解决</w:t>
      </w:r>
      <w:bookmarkEnd w:id="1280"/>
      <w:bookmarkEnd w:id="1281"/>
    </w:p>
    <w:bookmarkEnd w:id="1262"/>
    <w:bookmarkEnd w:id="1263"/>
    <w:p w14:paraId="2CE65CF6">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20.3 争</w:t>
      </w:r>
      <w:bookmarkEnd w:id="1264"/>
      <w:r>
        <w:rPr>
          <w:rFonts w:hint="eastAsia" w:ascii="宋体" w:hAnsi="宋体" w:cs="宋体"/>
          <w:bCs/>
          <w:color w:val="auto"/>
          <w:szCs w:val="28"/>
          <w:highlight w:val="none"/>
        </w:rPr>
        <w:t>议评审</w:t>
      </w:r>
    </w:p>
    <w:p w14:paraId="70528897">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合同当事人是否同意将工程争议提交争议评审小组决定：</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不采用</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717A2DC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20.3.1 争议评审小组的确定</w:t>
      </w:r>
    </w:p>
    <w:p w14:paraId="0873160B">
      <w:pPr>
        <w:adjustRightInd w:val="0"/>
        <w:snapToGrid w:val="0"/>
        <w:spacing w:line="384" w:lineRule="auto"/>
        <w:ind w:firstLine="420" w:firstLineChars="200"/>
        <w:rPr>
          <w:rFonts w:hint="eastAsia" w:ascii="宋体" w:hAnsi="宋体" w:cs="宋体"/>
          <w:color w:val="auto"/>
          <w:highlight w:val="none"/>
          <w:u w:val="single"/>
        </w:rPr>
      </w:pPr>
      <w:r>
        <w:rPr>
          <w:rFonts w:hint="eastAsia" w:ascii="宋体" w:hAnsi="宋体" w:cs="宋体"/>
          <w:color w:val="auto"/>
          <w:highlight w:val="none"/>
        </w:rPr>
        <w:t>争议评审小组成员的确定：</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20C2266">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选定争议评审员的期限：</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kern w:val="2"/>
          <w:sz w:val="21"/>
          <w:szCs w:val="24"/>
          <w:highlight w:val="none"/>
          <w:u w:val="single"/>
          <w:lang w:val="en-US" w:eastAsia="zh-CN" w:bidi="ar-SA"/>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429B9778">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争议评审小组成员的报酬承担方式：</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2E48A3FC">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其他事项的约定：</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03FEDE3B">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20.3.2 争议评审小组的决定</w:t>
      </w:r>
    </w:p>
    <w:p w14:paraId="5017EF44">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合同当事人关于本项的约定：</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6D3DB987">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20.4 仲裁或诉讼</w:t>
      </w:r>
      <w:bookmarkEnd w:id="1265"/>
    </w:p>
    <w:p w14:paraId="307CAF93">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因合同及合同有关事项发生的争议，按下列第</w:t>
      </w:r>
      <w:r>
        <w:rPr>
          <w:rFonts w:hint="eastAsia" w:ascii="宋体" w:hAnsi="宋体" w:cs="宋体"/>
          <w:b/>
          <w:color w:val="auto"/>
          <w:highlight w:val="none"/>
          <w:u w:val="single"/>
        </w:rPr>
        <w:t xml:space="preserve">  </w:t>
      </w:r>
      <w:r>
        <w:rPr>
          <w:rFonts w:hint="eastAsia" w:ascii="宋体" w:hAnsi="宋体" w:cs="宋体"/>
          <w:b/>
          <w:color w:val="auto"/>
          <w:highlight w:val="none"/>
          <w:u w:val="single"/>
          <w:lang w:eastAsia="zh-CN"/>
        </w:rPr>
        <w:t>（</w:t>
      </w:r>
      <w:r>
        <w:rPr>
          <w:rFonts w:hint="eastAsia" w:ascii="宋体" w:hAnsi="宋体" w:cs="宋体"/>
          <w:b/>
          <w:color w:val="auto"/>
          <w:highlight w:val="none"/>
          <w:u w:val="single"/>
          <w:lang w:val="en-US" w:eastAsia="zh-CN"/>
        </w:rPr>
        <w:t>2）</w:t>
      </w:r>
      <w:r>
        <w:rPr>
          <w:rFonts w:hint="eastAsia" w:ascii="宋体" w:hAnsi="宋体" w:cs="宋体"/>
          <w:b/>
          <w:color w:val="auto"/>
          <w:highlight w:val="none"/>
          <w:u w:val="single"/>
        </w:rPr>
        <w:t xml:space="preserve">  </w:t>
      </w:r>
      <w:r>
        <w:rPr>
          <w:rFonts w:hint="eastAsia" w:ascii="宋体" w:hAnsi="宋体" w:cs="宋体"/>
          <w:color w:val="auto"/>
          <w:highlight w:val="none"/>
        </w:rPr>
        <w:t>种方式解决：</w:t>
      </w:r>
    </w:p>
    <w:p w14:paraId="556FDCE0">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（1）向</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滁州市</w:t>
      </w:r>
      <w:r>
        <w:rPr>
          <w:rFonts w:hint="eastAsia" w:ascii="宋体" w:hAnsi="宋体" w:cs="宋体"/>
          <w:color w:val="auto"/>
          <w:szCs w:val="21"/>
          <w:highlight w:val="none"/>
          <w:u w:val="single"/>
        </w:rPr>
        <w:t xml:space="preserve">  </w:t>
      </w:r>
      <w:r>
        <w:rPr>
          <w:rFonts w:hint="eastAsia" w:ascii="宋体" w:hAnsi="宋体" w:cs="宋体"/>
          <w:color w:val="auto"/>
          <w:highlight w:val="none"/>
        </w:rPr>
        <w:t>仲裁委员会申请仲裁；</w:t>
      </w:r>
    </w:p>
    <w:p w14:paraId="719C20D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（2）向</w:t>
      </w:r>
      <w:r>
        <w:rPr>
          <w:rFonts w:hint="eastAsia" w:ascii="宋体" w:hAnsi="宋体" w:cs="宋体"/>
          <w:color w:val="auto"/>
          <w:szCs w:val="21"/>
          <w:highlight w:val="none"/>
          <w:u w:val="single"/>
          <w:lang w:val="en-US" w:eastAsia="zh-CN"/>
        </w:rPr>
        <w:t xml:space="preserve"> 项目所在地 </w:t>
      </w:r>
      <w:r>
        <w:rPr>
          <w:rFonts w:hint="eastAsia" w:ascii="宋体" w:hAnsi="宋体" w:cs="宋体"/>
          <w:color w:val="auto"/>
          <w:highlight w:val="none"/>
        </w:rPr>
        <w:t>人民法院起诉。</w:t>
      </w:r>
      <w:bookmarkEnd w:id="1266"/>
      <w:bookmarkEnd w:id="1267"/>
      <w:bookmarkEnd w:id="1268"/>
      <w:bookmarkEnd w:id="1269"/>
      <w:bookmarkEnd w:id="1270"/>
      <w:bookmarkEnd w:id="1271"/>
    </w:p>
    <w:p w14:paraId="0FE61942">
      <w:pPr>
        <w:keepNext/>
        <w:keepLines/>
        <w:adjustRightInd w:val="0"/>
        <w:snapToGrid w:val="0"/>
        <w:spacing w:line="384" w:lineRule="auto"/>
        <w:jc w:val="left"/>
        <w:outlineLvl w:val="2"/>
        <w:rPr>
          <w:rFonts w:hint="eastAsia" w:ascii="宋体" w:hAnsi="宋体" w:cs="宋体"/>
          <w:color w:val="auto"/>
          <w:highlight w:val="none"/>
        </w:rPr>
      </w:pPr>
      <w:bookmarkStart w:id="1282" w:name="_Toc95223485"/>
      <w:r>
        <w:rPr>
          <w:rFonts w:hint="eastAsia" w:ascii="宋体" w:hAnsi="宋体" w:cs="宋体"/>
          <w:color w:val="auto"/>
          <w:highlight w:val="none"/>
        </w:rPr>
        <w:t>21. 补充条款</w:t>
      </w:r>
      <w:bookmarkEnd w:id="1282"/>
      <w:r>
        <w:rPr>
          <w:rFonts w:hint="eastAsia" w:ascii="宋体" w:hAnsi="宋体" w:cs="宋体"/>
          <w:color w:val="auto"/>
          <w:highlight w:val="none"/>
        </w:rPr>
        <w:t xml:space="preserve"> </w:t>
      </w:r>
    </w:p>
    <w:p w14:paraId="7D30A68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本补充条款是专用条款的一部分，其解释顺序优先于专用条款内的其他条款。</w:t>
      </w:r>
    </w:p>
    <w:p w14:paraId="5CE154E1">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21.1 人员及职责</w:t>
      </w:r>
    </w:p>
    <w:p w14:paraId="6080B844">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21.1.1发包人委派的发包人代表或监理工程师（以下简称“工程师”）无权更改合同，也无权解除发包人和承包人的义务和责任。</w:t>
      </w:r>
    </w:p>
    <w:p w14:paraId="31AD8D58">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21.1.2发包人代表的任何批准、检查、证书、同意、通知、建议、检验、指令和要求等不解除承包人在合同中的责任。</w:t>
      </w:r>
    </w:p>
    <w:p w14:paraId="46D64D9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21.1.3承包人只能从发包人代表或其授权代表处接受指令。</w:t>
      </w:r>
    </w:p>
    <w:p w14:paraId="2D2BCCB3">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21.1.4发包人如需更换发包人代表须提前7天通知承包人。</w:t>
      </w:r>
    </w:p>
    <w:p w14:paraId="1CF81487">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21.1.5投标人委任的项目经理、项目技术负责人、各专业负责人（其他主要管理人员和技术人员）及施工机械等在整个项目施工期内必须在位。</w:t>
      </w:r>
    </w:p>
    <w:p w14:paraId="0155C1F9">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承包人的项目经理离开现场的，须经发包人代表同意，并书面指定临时代表，代为行使项目经理的权力；该临时代表的一切行为，甲方均认为是项目经理的行为。</w:t>
      </w:r>
    </w:p>
    <w:p w14:paraId="68AD6E69">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21.1.6承包人提交发包人的任何文件，发包人都认为该文件已经承包人内部程序批准；承包人提交的文件发生修改的，应及时将最新版本提交发包人代表。</w:t>
      </w:r>
    </w:p>
    <w:p w14:paraId="7ED7748D">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21.1.7承包人应始终采取一切合理防范措施来避免在项目人员内部发生违法、动乱或妨碍治安的行为，保持项目的安定；并保护好现场和周围的人员和财产安全。</w:t>
      </w:r>
    </w:p>
    <w:p w14:paraId="1D59DC77">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21.1.8承包人雇佣职员或工人应遵守相关法律法规的规定。</w:t>
      </w:r>
    </w:p>
    <w:p w14:paraId="55B0D972">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21.1.9参与本项目的承包人代表或其雇员不遵守合同规定或一贯行为不轨或或不能胜任工作或危害安全，发包人代表有权要求更换；原人选未经发包人许可不得再进入本项目（包括项目经理在内）。</w:t>
      </w:r>
    </w:p>
    <w:p w14:paraId="1C1C0DDA">
      <w:pPr>
        <w:adjustRightInd w:val="0"/>
        <w:snapToGrid w:val="0"/>
        <w:spacing w:line="384" w:lineRule="auto"/>
        <w:ind w:firstLine="420" w:firstLineChars="200"/>
        <w:rPr>
          <w:rFonts w:hint="eastAsia" w:ascii="宋体" w:hAnsi="宋体" w:cs="宋体"/>
          <w:color w:val="auto"/>
          <w:highlight w:val="none"/>
        </w:rPr>
      </w:pPr>
      <w:r>
        <w:rPr>
          <w:rFonts w:hint="eastAsia" w:ascii="宋体" w:hAnsi="宋体" w:cs="宋体"/>
          <w:color w:val="auto"/>
          <w:highlight w:val="none"/>
        </w:rPr>
        <w:t>21.1.10承包人更换项目经理的，须提前14天通知发包人，并征得发包人同意；该行为视为违约，承包人须支付发包人</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30</w:t>
      </w:r>
      <w:r>
        <w:rPr>
          <w:rFonts w:hint="eastAsia" w:ascii="宋体" w:hAnsi="宋体" w:cs="宋体"/>
          <w:color w:val="auto"/>
          <w:highlight w:val="none"/>
          <w:u w:val="single"/>
        </w:rPr>
        <w:t xml:space="preserve"> </w:t>
      </w:r>
      <w:r>
        <w:rPr>
          <w:rFonts w:hint="eastAsia" w:ascii="宋体" w:hAnsi="宋体" w:cs="宋体"/>
          <w:color w:val="auto"/>
          <w:highlight w:val="none"/>
        </w:rPr>
        <w:t>万元违约金。更换后的项目经理资历、水平不得降低。</w:t>
      </w:r>
    </w:p>
    <w:p w14:paraId="0B00DACC">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21.2 变更与调整</w:t>
      </w:r>
    </w:p>
    <w:p w14:paraId="512B89DB">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21.2.1在工程移交前，发包人代表有权签发变更指令，承包人应按照指令来实施变更，并进行工期和费用的估算，提交发包人代表。</w:t>
      </w:r>
    </w:p>
    <w:p w14:paraId="2A6EC2DA">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21.2.2发包人代表收到承包人的估算后，可以决定撤销、修改或确认实施该项变更。</w:t>
      </w:r>
    </w:p>
    <w:p w14:paraId="3177DF19">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21.2.3如果承包人认为自己的建议能缩短工期、降低工程实施或运营成本，或对业主产生其他利益，可以向发包人代表提交建议书；建议书的编制费用自理。</w:t>
      </w:r>
    </w:p>
    <w:p w14:paraId="32FBBDC5">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21.2.4如果发包人采纳承包人的建议节省了工程费用，将给予承包人节约费用适当比例的奖励。</w:t>
      </w:r>
    </w:p>
    <w:p w14:paraId="6875D891">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21.2.5上一款中节省费用的计算方法为：降低的合同额度减去因变更而引起在工程质量、寿命、以及运营效率等方面为发包人带来的潜在损失。</w:t>
      </w:r>
    </w:p>
    <w:p w14:paraId="5BA9CC83">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21.2.6任何变更指令都应由发包人代表签发给承包人，承包人收到后应回函说明；涉及到费用调整的，按照相关条款执行。</w:t>
      </w:r>
    </w:p>
    <w:p w14:paraId="05EE4D6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21.2.7设计文件示意内容的尺寸做法、要求等标注有错误、有遗漏，或理解不一致，发包人或其委托的</w:t>
      </w:r>
      <w:r>
        <w:rPr>
          <w:rFonts w:hint="eastAsia" w:ascii="宋体" w:hAnsi="宋体" w:cs="宋体"/>
          <w:color w:val="auto"/>
          <w:kern w:val="0"/>
          <w:highlight w:val="none"/>
          <w:lang w:eastAsia="zh-CN"/>
        </w:rPr>
        <w:t>勘察</w:t>
      </w:r>
      <w:r>
        <w:rPr>
          <w:rFonts w:hint="eastAsia" w:ascii="宋体" w:hAnsi="宋体" w:cs="宋体"/>
          <w:color w:val="auto"/>
          <w:kern w:val="0"/>
          <w:highlight w:val="none"/>
        </w:rPr>
        <w:t>设计单位根据工程施工需要而对其进行更正和补充的，称为技术核定；技术核定不调整合同价款，也不调整工期。</w:t>
      </w:r>
    </w:p>
    <w:p w14:paraId="58DA22DA">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21.2.8未经发包人代表批准，承包人不得对工程进行任何变更。</w:t>
      </w:r>
    </w:p>
    <w:p w14:paraId="3E484A5D">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21.3分包与配合</w:t>
      </w:r>
    </w:p>
    <w:p w14:paraId="7A22C706">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21.3.1承包人进行工程分包的，应遵守通用条款相关规定，发包人视其为承包人自行施工的工程；发包人代表对分包的同意或批准并不解除承包人的任何责任，也不代表发包人对此承担任何责任。</w:t>
      </w:r>
    </w:p>
    <w:p w14:paraId="5249123D">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 xml:space="preserve">21.3.2 发包人分包的专业工程范围如下： </w:t>
      </w:r>
    </w:p>
    <w:p w14:paraId="528BBAC3">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lang w:eastAsia="zh-CN"/>
        </w:rPr>
        <w:t>(</w:t>
      </w:r>
      <w:r>
        <w:rPr>
          <w:rFonts w:hint="eastAsia" w:ascii="宋体" w:hAnsi="宋体" w:cs="宋体"/>
          <w:color w:val="auto"/>
          <w:kern w:val="0"/>
          <w:highlight w:val="none"/>
        </w:rPr>
        <w:t>1</w:t>
      </w:r>
      <w:r>
        <w:rPr>
          <w:rFonts w:hint="eastAsia" w:ascii="宋体" w:hAnsi="宋体" w:cs="宋体"/>
          <w:color w:val="auto"/>
          <w:kern w:val="0"/>
          <w:highlight w:val="none"/>
          <w:lang w:eastAsia="zh-CN"/>
        </w:rPr>
        <w:t>)</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u w:val="single"/>
          <w:lang w:eastAsia="zh-CN"/>
        </w:rPr>
        <w:t>;</w:t>
      </w:r>
    </w:p>
    <w:p w14:paraId="66B2BCFB">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lang w:eastAsia="zh-CN"/>
        </w:rPr>
        <w:t>(</w:t>
      </w:r>
      <w:r>
        <w:rPr>
          <w:rFonts w:hint="eastAsia" w:ascii="宋体" w:hAnsi="宋体" w:cs="宋体"/>
          <w:color w:val="auto"/>
          <w:kern w:val="0"/>
          <w:highlight w:val="none"/>
        </w:rPr>
        <w:t>2</w:t>
      </w:r>
      <w:r>
        <w:rPr>
          <w:rFonts w:hint="eastAsia" w:ascii="宋体" w:hAnsi="宋体" w:cs="宋体"/>
          <w:color w:val="auto"/>
          <w:kern w:val="0"/>
          <w:highlight w:val="none"/>
          <w:lang w:eastAsia="zh-CN"/>
        </w:rPr>
        <w:t>)</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u w:val="single"/>
          <w:lang w:eastAsia="zh-CN"/>
        </w:rPr>
        <w:t>;</w:t>
      </w:r>
    </w:p>
    <w:p w14:paraId="7082D5EA">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21.3.3 发包人通过招标方式选择专业工程分包施工单位，承包人参与分包工程的招标，认可招标结果，并作为总包单位与分包工程的中标人（以下简称“分包人”）签订工程分包施工合同。</w:t>
      </w:r>
    </w:p>
    <w:p w14:paraId="2EA08B58">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21.3.4 发包人支付给承包人专业分包工程合同价款（不含设备价格）的</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u w:val="single"/>
          <w:lang w:val="en-US" w:eastAsia="zh-CN"/>
        </w:rPr>
        <w:t xml:space="preserve">0 </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%作为总承包服务配合费用，承包人不得向分包人收取其他费用；该项费用包括但不限于以下内容：</w:t>
      </w:r>
    </w:p>
    <w:p w14:paraId="3EF8E16D">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（1）乙方承担总包责任所发生的费用。</w:t>
      </w:r>
    </w:p>
    <w:p w14:paraId="1B98629C">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（2）“分包工程”施工完毕、土建工程的收尾和修复以及使用承包人的施工所用水电管线等费用（水电费用装表计量，按照实际用量结算）。</w:t>
      </w:r>
    </w:p>
    <w:p w14:paraId="72D9C20E">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（3）分包人使用承包人现场临时工程及在用的脚手架、塔吊、施工电梯等费用。</w:t>
      </w:r>
    </w:p>
    <w:p w14:paraId="690E73DB">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（4）分包人使用工程的施工道路，到总包单位搭伙，使用总包单位的卫生间等。</w:t>
      </w:r>
    </w:p>
    <w:p w14:paraId="73D8ABA2">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（5）门窗洞口、安装工程管道口、楼地面墙面凿洞、槽等的后塞及修补等，以及整个工程的安全保卫等。</w:t>
      </w:r>
    </w:p>
    <w:p w14:paraId="2B80889B">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（6）为分包人提供标高、轴线、定位，隐蔽工程指引等。</w:t>
      </w:r>
    </w:p>
    <w:p w14:paraId="79A66316">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（7）分包人的工程资料收集整理和移交；工程质量的检验和验收。</w:t>
      </w:r>
    </w:p>
    <w:p w14:paraId="374E9328">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（8）保证分包工程在施工期间有足够的工作面，保证其按时开工和连续施工，并承担因乙方原因使分包工程不能按时开工和配合不及时造成的工期延误责任。</w:t>
      </w:r>
    </w:p>
    <w:p w14:paraId="71C0A47A">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21.3.5 配合工程：是指某一位于施工现场内或现场外的工程，并非由承包人施工或总包，但与承包人的工程有一定联系，需要承包人配合的工程；配合工程如下：</w:t>
      </w:r>
    </w:p>
    <w:p w14:paraId="7C380399">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lang w:eastAsia="zh-CN"/>
        </w:rPr>
        <w:t>(</w:t>
      </w:r>
      <w:r>
        <w:rPr>
          <w:rFonts w:hint="eastAsia" w:ascii="宋体" w:hAnsi="宋体" w:cs="宋体"/>
          <w:color w:val="auto"/>
          <w:kern w:val="0"/>
          <w:highlight w:val="none"/>
        </w:rPr>
        <w:t>1</w:t>
      </w:r>
      <w:r>
        <w:rPr>
          <w:rFonts w:hint="eastAsia" w:ascii="宋体" w:hAnsi="宋体" w:cs="宋体"/>
          <w:color w:val="auto"/>
          <w:kern w:val="0"/>
          <w:highlight w:val="none"/>
          <w:lang w:eastAsia="zh-CN"/>
        </w:rPr>
        <w:t>)</w:t>
      </w:r>
      <w:r>
        <w:rPr>
          <w:rFonts w:hint="eastAsia" w:ascii="宋体" w:hAnsi="宋体" w:cs="宋体"/>
          <w:color w:val="auto"/>
          <w:kern w:val="0"/>
          <w:highlight w:val="none"/>
          <w:u w:val="single"/>
        </w:rPr>
        <w:t xml:space="preserve">                                     </w:t>
      </w:r>
    </w:p>
    <w:p w14:paraId="2FD60FC9">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lang w:eastAsia="zh-CN"/>
        </w:rPr>
        <w:t>(</w:t>
      </w:r>
      <w:r>
        <w:rPr>
          <w:rFonts w:hint="eastAsia" w:ascii="宋体" w:hAnsi="宋体" w:cs="宋体"/>
          <w:color w:val="auto"/>
          <w:kern w:val="0"/>
          <w:highlight w:val="none"/>
        </w:rPr>
        <w:t>2</w:t>
      </w:r>
      <w:r>
        <w:rPr>
          <w:rFonts w:hint="eastAsia" w:ascii="宋体" w:hAnsi="宋体" w:cs="宋体"/>
          <w:color w:val="auto"/>
          <w:kern w:val="0"/>
          <w:highlight w:val="none"/>
          <w:lang w:eastAsia="zh-CN"/>
        </w:rPr>
        <w:t>)</w:t>
      </w:r>
      <w:r>
        <w:rPr>
          <w:rFonts w:hint="eastAsia" w:ascii="宋体" w:hAnsi="宋体" w:cs="宋体"/>
          <w:color w:val="auto"/>
          <w:kern w:val="0"/>
          <w:highlight w:val="none"/>
          <w:u w:val="single"/>
        </w:rPr>
        <w:t xml:space="preserve">                                     </w:t>
      </w:r>
    </w:p>
    <w:p w14:paraId="71A1878F">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21.3.6 对于配合工程，承包人除不需要承办总包责任外，其他责任和义务同分包工程；发包人给予承包人</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万元作为承包人承担配合工作的配合费用。</w:t>
      </w:r>
    </w:p>
    <w:p w14:paraId="53AA369D">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21.3.7 凡在与已交工工程有关联的部位施工时，必须提前向甲方提出书面联系单，经甲方同意，并签字后方可施工。</w:t>
      </w:r>
    </w:p>
    <w:p w14:paraId="5BF705C9">
      <w:pPr>
        <w:keepNext/>
        <w:keepLines/>
        <w:adjustRightInd w:val="0"/>
        <w:snapToGrid w:val="0"/>
        <w:spacing w:line="384" w:lineRule="auto"/>
        <w:ind w:firstLine="420" w:firstLineChars="200"/>
        <w:outlineLvl w:val="3"/>
        <w:rPr>
          <w:rFonts w:hint="eastAsia" w:ascii="宋体" w:hAnsi="宋体" w:cs="宋体"/>
          <w:bCs/>
          <w:color w:val="auto"/>
          <w:szCs w:val="28"/>
          <w:highlight w:val="none"/>
        </w:rPr>
      </w:pPr>
      <w:r>
        <w:rPr>
          <w:rFonts w:hint="eastAsia" w:ascii="宋体" w:hAnsi="宋体" w:cs="宋体"/>
          <w:bCs/>
          <w:color w:val="auto"/>
          <w:szCs w:val="28"/>
          <w:highlight w:val="none"/>
        </w:rPr>
        <w:t>21.4 结算</w:t>
      </w:r>
    </w:p>
    <w:p w14:paraId="062F51C9">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21.4.1 承包人的投标报价（合同价款）是承包人基于业主提供的资料和现场数据及承包人的解释和现场考察计算出来的，覆盖了完成合同义务所包括的一切工作，不得以漏项或考虑不周提出索赔。</w:t>
      </w:r>
    </w:p>
    <w:p w14:paraId="228799F6">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21.4.2 水电费的结算：</w:t>
      </w:r>
    </w:p>
    <w:p w14:paraId="63C249F6">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（1）发包人在现场安装计量装置，承包人负责施工期间的保护，并在工程移交的同时完好地移交给发包人。</w:t>
      </w:r>
    </w:p>
    <w:p w14:paraId="04EFFE72">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（2）承包人投标报价已经包含水电费用，工程结算时按照发包人实际缴纳的水电费在结算价（税前）中扣除。</w:t>
      </w:r>
    </w:p>
    <w:p w14:paraId="05436A2A">
      <w:pPr>
        <w:adjustRightInd w:val="0"/>
        <w:snapToGrid w:val="0"/>
        <w:spacing w:line="384"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（3）因承包人保护不善造成计量装置损坏，承包人负责修复，并承担由此造成的增加费用（包括修复费用和水电损失费用以及可能发生的罚款或其他费用）。</w:t>
      </w:r>
    </w:p>
    <w:p w14:paraId="16337628">
      <w:pPr>
        <w:adjustRightInd w:val="0"/>
        <w:snapToGrid w:val="0"/>
        <w:spacing w:line="384" w:lineRule="auto"/>
        <w:ind w:firstLine="420" w:firstLineChars="200"/>
        <w:rPr>
          <w:rFonts w:hint="eastAsia" w:ascii="宋体" w:hAnsi="宋体" w:cs="宋体"/>
          <w:color w:val="auto"/>
          <w:kern w:val="0"/>
          <w:highlight w:val="none"/>
          <w:u w:val="single" w:color="FFFFFF"/>
        </w:rPr>
      </w:pPr>
      <w:r>
        <w:rPr>
          <w:rFonts w:hint="eastAsia" w:ascii="宋体" w:hAnsi="宋体" w:cs="宋体"/>
          <w:color w:val="auto"/>
          <w:kern w:val="0"/>
          <w:highlight w:val="none"/>
          <w:u w:val="single" w:color="FFFFFF"/>
        </w:rPr>
        <w:t>21.4.3 发包人供应材料设备的结算：材料按照总价的</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u w:val="single"/>
          <w:lang w:val="en-US" w:eastAsia="zh-CN"/>
        </w:rPr>
        <w:t>/</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u w:val="single" w:color="FFFFFF"/>
        </w:rPr>
        <w:t xml:space="preserve"> %计取保管费（材料数量最多不超过设计文件的用量（可以计算定额损耗））；设备按照总价的 </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u w:val="single"/>
          <w:lang w:val="en-US" w:eastAsia="zh-CN"/>
        </w:rPr>
        <w:t>/</w:t>
      </w:r>
      <w:r>
        <w:rPr>
          <w:rFonts w:hint="eastAsia" w:ascii="宋体" w:hAnsi="宋体" w:cs="宋体"/>
          <w:color w:val="auto"/>
          <w:kern w:val="0"/>
          <w:highlight w:val="none"/>
          <w:u w:val="single" w:color="FFFFFF"/>
        </w:rPr>
        <w:t xml:space="preserve"> %计取保管费；此费用仅计取税金。</w:t>
      </w:r>
    </w:p>
    <w:p w14:paraId="0B27A4A4">
      <w:pPr>
        <w:adjustRightInd w:val="0"/>
        <w:snapToGrid w:val="0"/>
        <w:spacing w:line="384" w:lineRule="auto"/>
        <w:ind w:firstLine="422" w:firstLineChars="200"/>
        <w:rPr>
          <w:rFonts w:hint="eastAsia" w:ascii="宋体" w:hAnsi="宋体" w:cs="宋体"/>
          <w:b/>
          <w:bCs/>
          <w:color w:val="auto"/>
          <w:kern w:val="0"/>
          <w:highlight w:val="none"/>
        </w:rPr>
      </w:pPr>
      <w:r>
        <w:rPr>
          <w:rFonts w:hint="eastAsia" w:ascii="宋体" w:hAnsi="宋体" w:cs="宋体"/>
          <w:b/>
          <w:bCs/>
          <w:color w:val="auto"/>
          <w:kern w:val="0"/>
          <w:highlight w:val="none"/>
        </w:rPr>
        <w:t>21.4.4 分包工程的总承包配合费和配合工程的配合费：分包工程的总承包配合费按照分包工程价格确定，一次包死，不随分包工程结算价款的调整而调整；配合工程的配合费也一次包死；该两项费用仅计取税金</w:t>
      </w:r>
      <w:r>
        <w:rPr>
          <w:rFonts w:hint="eastAsia" w:ascii="宋体" w:hAnsi="宋体" w:cs="宋体"/>
          <w:b/>
          <w:bCs/>
          <w:color w:val="auto"/>
          <w:kern w:val="0"/>
          <w:highlight w:val="none"/>
          <w:lang w:eastAsia="zh-CN"/>
        </w:rPr>
        <w:t>。</w:t>
      </w:r>
    </w:p>
    <w:p w14:paraId="05510138">
      <w:pPr>
        <w:adjustRightInd w:val="0"/>
        <w:snapToGrid w:val="0"/>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21.4.5对于发包人提供的工程量清单中的单项子目，承包人没有报价的，发包人认为视同该项价格已经包括在其他项目中。</w:t>
      </w:r>
    </w:p>
    <w:p w14:paraId="47D520C9">
      <w:pPr>
        <w:adjustRightInd w:val="0"/>
        <w:snapToGrid w:val="0"/>
        <w:spacing w:line="360" w:lineRule="auto"/>
        <w:rPr>
          <w:rFonts w:hint="eastAsia" w:ascii="宋体" w:hAnsi="宋体" w:cs="宋体"/>
          <w:b/>
          <w:color w:val="auto"/>
          <w:highlight w:val="none"/>
        </w:rPr>
      </w:pPr>
    </w:p>
    <w:p w14:paraId="171946F5">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 xml:space="preserve">发包人：  </w:t>
      </w:r>
      <w:r>
        <w:rPr>
          <w:rFonts w:hint="eastAsia" w:ascii="宋体" w:hAnsi="宋体" w:cs="宋体"/>
          <w:color w:val="auto"/>
          <w:highlight w:val="none"/>
          <w:lang w:eastAsia="zh-CN"/>
        </w:rPr>
        <w:t>（</w:t>
      </w:r>
      <w:r>
        <w:rPr>
          <w:rFonts w:hint="eastAsia" w:ascii="宋体" w:hAnsi="宋体" w:cs="宋体"/>
          <w:color w:val="auto"/>
          <w:highlight w:val="none"/>
        </w:rPr>
        <w:t>公章</w:t>
      </w:r>
      <w:r>
        <w:rPr>
          <w:rFonts w:hint="eastAsia" w:ascii="宋体" w:hAnsi="宋体" w:cs="宋体"/>
          <w:color w:val="auto"/>
          <w:highlight w:val="none"/>
          <w:lang w:eastAsia="zh-CN"/>
        </w:rPr>
        <w:t>）</w:t>
      </w:r>
      <w:r>
        <w:rPr>
          <w:rFonts w:hint="eastAsia" w:ascii="宋体" w:hAnsi="宋体" w:cs="宋体"/>
          <w:color w:val="auto"/>
          <w:highlight w:val="none"/>
        </w:rPr>
        <w:t xml:space="preserve">                           承包人：  </w:t>
      </w:r>
      <w:r>
        <w:rPr>
          <w:rFonts w:hint="eastAsia" w:ascii="宋体" w:hAnsi="宋体" w:cs="宋体"/>
          <w:color w:val="auto"/>
          <w:highlight w:val="none"/>
          <w:lang w:eastAsia="zh-CN"/>
        </w:rPr>
        <w:t>（</w:t>
      </w:r>
      <w:r>
        <w:rPr>
          <w:rFonts w:hint="eastAsia" w:ascii="宋体" w:hAnsi="宋体" w:cs="宋体"/>
          <w:color w:val="auto"/>
          <w:highlight w:val="none"/>
        </w:rPr>
        <w:t>公章</w:t>
      </w:r>
      <w:r>
        <w:rPr>
          <w:rFonts w:hint="eastAsia" w:ascii="宋体" w:hAnsi="宋体" w:cs="宋体"/>
          <w:color w:val="auto"/>
          <w:highlight w:val="none"/>
          <w:lang w:eastAsia="zh-CN"/>
        </w:rPr>
        <w:t>）</w:t>
      </w:r>
    </w:p>
    <w:p w14:paraId="3733F382">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法定代表人或其委托代理人：                 法定代表人或其委托代理人：</w:t>
      </w:r>
    </w:p>
    <w:p w14:paraId="43A4B27F">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（签字）                                  （签字）</w:t>
      </w:r>
    </w:p>
    <w:p w14:paraId="799BD297">
      <w:pPr>
        <w:adjustRightInd w:val="0"/>
        <w:snapToGrid w:val="0"/>
        <w:spacing w:line="360" w:lineRule="auto"/>
        <w:rPr>
          <w:rFonts w:hint="eastAsia" w:ascii="宋体" w:hAnsi="宋体" w:cs="宋体"/>
          <w:color w:val="auto"/>
          <w:highlight w:val="none"/>
          <w:u w:val="single"/>
        </w:rPr>
      </w:pPr>
      <w:r>
        <w:rPr>
          <w:rFonts w:hint="eastAsia" w:ascii="宋体" w:hAnsi="宋体" w:cs="宋体"/>
          <w:color w:val="auto"/>
          <w:highlight w:val="none"/>
        </w:rPr>
        <w:t>组织机构代码：</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组织机构代码：</w:t>
      </w:r>
      <w:r>
        <w:rPr>
          <w:rFonts w:hint="eastAsia" w:ascii="宋体" w:hAnsi="宋体" w:cs="宋体"/>
          <w:color w:val="auto"/>
          <w:highlight w:val="none"/>
          <w:u w:val="single"/>
        </w:rPr>
        <w:t xml:space="preserve">          </w:t>
      </w:r>
    </w:p>
    <w:p w14:paraId="2C998C28">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地  址：</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地  址：</w:t>
      </w:r>
      <w:r>
        <w:rPr>
          <w:rFonts w:hint="eastAsia" w:ascii="宋体" w:hAnsi="宋体" w:cs="宋体"/>
          <w:color w:val="auto"/>
          <w:highlight w:val="none"/>
          <w:u w:val="single"/>
        </w:rPr>
        <w:t xml:space="preserve">                  </w:t>
      </w:r>
    </w:p>
    <w:p w14:paraId="13FCD814">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邮政编码：</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邮政编码：</w:t>
      </w:r>
      <w:r>
        <w:rPr>
          <w:rFonts w:hint="eastAsia" w:ascii="宋体" w:hAnsi="宋体" w:cs="宋体"/>
          <w:color w:val="auto"/>
          <w:highlight w:val="none"/>
          <w:u w:val="single"/>
        </w:rPr>
        <w:t xml:space="preserve">                   </w:t>
      </w:r>
    </w:p>
    <w:p w14:paraId="25507A99">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法定代表人：</w:t>
      </w:r>
      <w:r>
        <w:rPr>
          <w:rFonts w:hint="eastAsia" w:ascii="宋体" w:hAnsi="宋体" w:cs="宋体"/>
          <w:color w:val="auto"/>
          <w:highlight w:val="none"/>
          <w:u w:val="single"/>
        </w:rPr>
        <w:t xml:space="preserve">            </w:t>
      </w:r>
      <w:r>
        <w:rPr>
          <w:rFonts w:hint="eastAsia" w:ascii="宋体" w:hAnsi="宋体" w:cs="宋体"/>
          <w:color w:val="auto"/>
          <w:highlight w:val="none"/>
        </w:rPr>
        <w:t xml:space="preserve">                法定代表人：</w:t>
      </w:r>
      <w:r>
        <w:rPr>
          <w:rFonts w:hint="eastAsia" w:ascii="宋体" w:hAnsi="宋体" w:cs="宋体"/>
          <w:color w:val="auto"/>
          <w:highlight w:val="none"/>
          <w:u w:val="single"/>
        </w:rPr>
        <w:t xml:space="preserve">            </w:t>
      </w:r>
    </w:p>
    <w:p w14:paraId="1D6D7260">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委托代理人：</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委托代理人：</w:t>
      </w:r>
      <w:r>
        <w:rPr>
          <w:rFonts w:hint="eastAsia" w:ascii="宋体" w:hAnsi="宋体" w:cs="宋体"/>
          <w:color w:val="auto"/>
          <w:highlight w:val="none"/>
          <w:u w:val="single"/>
        </w:rPr>
        <w:t xml:space="preserve">                </w:t>
      </w:r>
    </w:p>
    <w:p w14:paraId="6D8A628F">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电  话：</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电  话：</w:t>
      </w:r>
      <w:r>
        <w:rPr>
          <w:rFonts w:hint="eastAsia" w:ascii="宋体" w:hAnsi="宋体" w:cs="宋体"/>
          <w:color w:val="auto"/>
          <w:highlight w:val="none"/>
          <w:u w:val="single"/>
        </w:rPr>
        <w:t xml:space="preserve">                     </w:t>
      </w:r>
    </w:p>
    <w:p w14:paraId="6FA42440">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传  真：</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传  真：</w:t>
      </w:r>
      <w:r>
        <w:rPr>
          <w:rFonts w:hint="eastAsia" w:ascii="宋体" w:hAnsi="宋体" w:cs="宋体"/>
          <w:color w:val="auto"/>
          <w:highlight w:val="none"/>
          <w:u w:val="single"/>
        </w:rPr>
        <w:t xml:space="preserve">                   </w:t>
      </w:r>
    </w:p>
    <w:p w14:paraId="539C776F">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电子信箱：</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电子信箱：</w:t>
      </w:r>
      <w:r>
        <w:rPr>
          <w:rFonts w:hint="eastAsia" w:ascii="宋体" w:hAnsi="宋体" w:cs="宋体"/>
          <w:color w:val="auto"/>
          <w:highlight w:val="none"/>
          <w:u w:val="single"/>
        </w:rPr>
        <w:t xml:space="preserve">                   </w:t>
      </w:r>
    </w:p>
    <w:p w14:paraId="428D7AEC">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开户银行：</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开户银行：</w:t>
      </w:r>
      <w:r>
        <w:rPr>
          <w:rFonts w:hint="eastAsia" w:ascii="宋体" w:hAnsi="宋体" w:cs="宋体"/>
          <w:color w:val="auto"/>
          <w:highlight w:val="none"/>
          <w:u w:val="single"/>
        </w:rPr>
        <w:t xml:space="preserve">                   </w:t>
      </w:r>
    </w:p>
    <w:p w14:paraId="74534ECB">
      <w:pPr>
        <w:adjustRightInd w:val="0"/>
        <w:snapToGrid w:val="0"/>
        <w:spacing w:line="360" w:lineRule="auto"/>
        <w:rPr>
          <w:rFonts w:hint="eastAsia" w:ascii="宋体" w:hAnsi="宋体" w:cs="宋体"/>
          <w:b/>
          <w:color w:val="auto"/>
          <w:highlight w:val="none"/>
        </w:rPr>
      </w:pPr>
      <w:r>
        <w:rPr>
          <w:rFonts w:hint="eastAsia" w:ascii="宋体" w:hAnsi="宋体" w:cs="宋体"/>
          <w:color w:val="auto"/>
          <w:highlight w:val="none"/>
        </w:rPr>
        <w:t>账  号：</w:t>
      </w:r>
      <w:r>
        <w:rPr>
          <w:rFonts w:hint="eastAsia" w:ascii="宋体" w:hAnsi="宋体" w:cs="宋体"/>
          <w:color w:val="auto"/>
          <w:highlight w:val="none"/>
          <w:u w:val="single"/>
        </w:rPr>
        <w:t xml:space="preserve">                 </w:t>
      </w:r>
      <w:r>
        <w:rPr>
          <w:rFonts w:hint="eastAsia" w:ascii="宋体" w:hAnsi="宋体" w:cs="宋体"/>
          <w:color w:val="auto"/>
          <w:highlight w:val="none"/>
        </w:rPr>
        <w:t xml:space="preserve">                账  号：</w:t>
      </w:r>
      <w:r>
        <w:rPr>
          <w:rFonts w:hint="eastAsia" w:ascii="宋体" w:hAnsi="宋体" w:cs="宋体"/>
          <w:color w:val="auto"/>
          <w:highlight w:val="none"/>
          <w:u w:val="single"/>
        </w:rPr>
        <w:t xml:space="preserve">                     </w:t>
      </w:r>
    </w:p>
    <w:p w14:paraId="2B40B222">
      <w:pPr>
        <w:spacing w:line="360" w:lineRule="auto"/>
        <w:outlineLvl w:val="1"/>
        <w:rPr>
          <w:rFonts w:ascii="宋体" w:hAnsi="宋体" w:cs="宋体"/>
          <w:b/>
          <w:color w:val="auto"/>
          <w:highlight w:val="none"/>
        </w:rPr>
        <w:sectPr>
          <w:footnotePr>
            <w:numFmt w:val="decimalEnclosedCircleChinese"/>
            <w:numRestart w:val="eachPage"/>
          </w:footnotePr>
          <w:pgSz w:w="11907" w:h="16840"/>
          <w:pgMar w:top="1474" w:right="1474" w:bottom="1474" w:left="1474" w:header="799" w:footer="907" w:gutter="0"/>
          <w:pgNumType w:fmt="numberInDash"/>
          <w:cols w:space="720" w:num="1"/>
          <w:docGrid w:linePitch="271" w:charSpace="0"/>
        </w:sectPr>
      </w:pPr>
    </w:p>
    <w:p w14:paraId="7CC0830C">
      <w:pPr>
        <w:spacing w:line="360" w:lineRule="auto"/>
        <w:outlineLvl w:val="1"/>
        <w:rPr>
          <w:rFonts w:hint="eastAsia" w:ascii="宋体" w:hAnsi="宋体" w:cs="宋体"/>
          <w:b/>
          <w:color w:val="auto"/>
          <w:highlight w:val="none"/>
        </w:rPr>
      </w:pPr>
      <w:r>
        <w:rPr>
          <w:rFonts w:hint="eastAsia" w:ascii="宋体" w:hAnsi="宋体" w:cs="宋体"/>
          <w:b/>
          <w:color w:val="auto"/>
          <w:highlight w:val="none"/>
        </w:rPr>
        <w:t>附件</w:t>
      </w:r>
    </w:p>
    <w:p w14:paraId="0C6159B6">
      <w:pPr>
        <w:spacing w:line="360" w:lineRule="auto"/>
        <w:rPr>
          <w:rFonts w:hint="eastAsia" w:ascii="宋体" w:hAnsi="宋体" w:cs="宋体"/>
          <w:color w:val="auto"/>
          <w:highlight w:val="none"/>
        </w:rPr>
      </w:pPr>
      <w:r>
        <w:rPr>
          <w:rFonts w:hint="eastAsia" w:ascii="宋体" w:hAnsi="宋体" w:cs="宋体"/>
          <w:color w:val="auto"/>
          <w:highlight w:val="none"/>
        </w:rPr>
        <w:t>协议书附件：</w:t>
      </w:r>
    </w:p>
    <w:p w14:paraId="57363DDB">
      <w:pPr>
        <w:spacing w:line="360" w:lineRule="auto"/>
        <w:rPr>
          <w:rFonts w:hint="eastAsia" w:ascii="宋体" w:hAnsi="宋体" w:cs="宋体"/>
          <w:color w:val="auto"/>
          <w:highlight w:val="none"/>
        </w:rPr>
      </w:pPr>
      <w:r>
        <w:rPr>
          <w:rFonts w:hint="eastAsia" w:ascii="宋体" w:hAnsi="宋体" w:cs="宋体"/>
          <w:color w:val="auto"/>
          <w:highlight w:val="none"/>
        </w:rPr>
        <w:t>附件1：承包人承揽工程项目一览表</w:t>
      </w:r>
    </w:p>
    <w:p w14:paraId="337BD652">
      <w:pPr>
        <w:spacing w:line="360" w:lineRule="auto"/>
        <w:rPr>
          <w:rFonts w:hint="eastAsia" w:ascii="宋体" w:hAnsi="宋体" w:cs="宋体"/>
          <w:color w:val="auto"/>
          <w:highlight w:val="none"/>
        </w:rPr>
      </w:pPr>
      <w:r>
        <w:rPr>
          <w:rFonts w:hint="eastAsia" w:ascii="宋体" w:hAnsi="宋体" w:cs="宋体"/>
          <w:color w:val="auto"/>
          <w:highlight w:val="none"/>
        </w:rPr>
        <w:t>专用合同条款附件：</w:t>
      </w:r>
    </w:p>
    <w:p w14:paraId="460F3BAF">
      <w:pPr>
        <w:spacing w:line="360" w:lineRule="auto"/>
        <w:rPr>
          <w:rFonts w:hint="eastAsia" w:ascii="宋体" w:hAnsi="宋体" w:cs="宋体"/>
          <w:color w:val="auto"/>
          <w:highlight w:val="none"/>
        </w:rPr>
      </w:pPr>
      <w:r>
        <w:rPr>
          <w:rFonts w:hint="eastAsia" w:ascii="宋体" w:hAnsi="宋体" w:cs="宋体"/>
          <w:color w:val="auto"/>
          <w:highlight w:val="none"/>
        </w:rPr>
        <w:t>附件2：发包人供应材料设备一览表</w:t>
      </w:r>
    </w:p>
    <w:p w14:paraId="30999C46">
      <w:pPr>
        <w:spacing w:line="360" w:lineRule="auto"/>
        <w:rPr>
          <w:rFonts w:hint="eastAsia" w:ascii="宋体" w:hAnsi="宋体" w:cs="宋体"/>
          <w:color w:val="auto"/>
          <w:highlight w:val="none"/>
        </w:rPr>
      </w:pPr>
      <w:r>
        <w:rPr>
          <w:rFonts w:hint="eastAsia" w:ascii="宋体" w:hAnsi="宋体" w:cs="宋体"/>
          <w:color w:val="auto"/>
          <w:highlight w:val="none"/>
        </w:rPr>
        <w:t>附件3：工程质量保修书</w:t>
      </w:r>
    </w:p>
    <w:p w14:paraId="75A29641">
      <w:pPr>
        <w:spacing w:line="360" w:lineRule="auto"/>
        <w:rPr>
          <w:rFonts w:hint="eastAsia" w:ascii="宋体" w:hAnsi="宋体" w:cs="宋体"/>
          <w:color w:val="auto"/>
          <w:highlight w:val="none"/>
        </w:rPr>
      </w:pPr>
      <w:r>
        <w:rPr>
          <w:rFonts w:hint="eastAsia" w:ascii="宋体" w:hAnsi="宋体" w:cs="宋体"/>
          <w:color w:val="auto"/>
          <w:highlight w:val="none"/>
        </w:rPr>
        <w:t>附件4：主要建设工程文件目录</w:t>
      </w:r>
    </w:p>
    <w:p w14:paraId="19FB1FC6">
      <w:pPr>
        <w:spacing w:line="360" w:lineRule="auto"/>
        <w:rPr>
          <w:rFonts w:hint="eastAsia" w:ascii="宋体" w:hAnsi="宋体" w:cs="宋体"/>
          <w:color w:val="auto"/>
          <w:highlight w:val="none"/>
        </w:rPr>
      </w:pPr>
      <w:r>
        <w:rPr>
          <w:rFonts w:hint="eastAsia" w:ascii="宋体" w:hAnsi="宋体" w:cs="宋体"/>
          <w:color w:val="auto"/>
          <w:highlight w:val="none"/>
        </w:rPr>
        <w:t>附件5：承包人用于本工程施工的机械设备表</w:t>
      </w:r>
    </w:p>
    <w:p w14:paraId="464D42EF">
      <w:pPr>
        <w:spacing w:line="360" w:lineRule="auto"/>
        <w:rPr>
          <w:rFonts w:hint="eastAsia" w:ascii="宋体" w:hAnsi="宋体" w:cs="宋体"/>
          <w:color w:val="auto"/>
          <w:highlight w:val="none"/>
        </w:rPr>
      </w:pPr>
      <w:r>
        <w:rPr>
          <w:rFonts w:hint="eastAsia" w:ascii="宋体" w:hAnsi="宋体" w:cs="宋体"/>
          <w:color w:val="auto"/>
          <w:highlight w:val="none"/>
        </w:rPr>
        <w:t>附件6：承包人主要施工管理人员表</w:t>
      </w:r>
    </w:p>
    <w:p w14:paraId="55815A98">
      <w:pPr>
        <w:spacing w:line="360" w:lineRule="auto"/>
        <w:rPr>
          <w:rFonts w:hint="eastAsia" w:ascii="宋体" w:hAnsi="宋体" w:cs="宋体"/>
          <w:color w:val="auto"/>
          <w:highlight w:val="none"/>
        </w:rPr>
      </w:pPr>
      <w:r>
        <w:rPr>
          <w:rFonts w:hint="eastAsia" w:ascii="宋体" w:hAnsi="宋体" w:cs="宋体"/>
          <w:color w:val="auto"/>
          <w:highlight w:val="none"/>
        </w:rPr>
        <w:t>附件7：分包人主要施工管理人员表</w:t>
      </w:r>
    </w:p>
    <w:p w14:paraId="396C8073">
      <w:pPr>
        <w:spacing w:line="360" w:lineRule="auto"/>
        <w:rPr>
          <w:rFonts w:hint="eastAsia" w:ascii="宋体" w:hAnsi="宋体" w:cs="宋体"/>
          <w:color w:val="auto"/>
          <w:highlight w:val="none"/>
        </w:rPr>
      </w:pPr>
      <w:r>
        <w:rPr>
          <w:rFonts w:hint="eastAsia" w:ascii="宋体" w:hAnsi="宋体" w:cs="宋体"/>
          <w:color w:val="auto"/>
          <w:highlight w:val="none"/>
        </w:rPr>
        <w:t>附件8：廉政协议</w:t>
      </w:r>
    </w:p>
    <w:p w14:paraId="3A58998F">
      <w:pPr>
        <w:spacing w:line="360" w:lineRule="auto"/>
        <w:rPr>
          <w:rFonts w:hint="eastAsia" w:ascii="宋体" w:hAnsi="宋体" w:cs="宋体"/>
          <w:color w:val="auto"/>
          <w:highlight w:val="none"/>
        </w:rPr>
      </w:pPr>
      <w:r>
        <w:rPr>
          <w:rFonts w:hint="eastAsia" w:ascii="宋体" w:hAnsi="宋体" w:cs="宋体"/>
          <w:color w:val="auto"/>
          <w:highlight w:val="none"/>
        </w:rPr>
        <w:t>附件9：履约保证金格式</w:t>
      </w:r>
    </w:p>
    <w:p w14:paraId="50AA163A">
      <w:pPr>
        <w:spacing w:line="360" w:lineRule="auto"/>
        <w:rPr>
          <w:rFonts w:hint="eastAsia" w:ascii="宋体" w:hAnsi="宋体" w:cs="宋体"/>
          <w:color w:val="auto"/>
          <w:highlight w:val="none"/>
        </w:rPr>
      </w:pPr>
      <w:r>
        <w:rPr>
          <w:rFonts w:hint="eastAsia" w:ascii="宋体" w:hAnsi="宋体" w:cs="宋体"/>
          <w:color w:val="auto"/>
          <w:highlight w:val="none"/>
        </w:rPr>
        <w:t>附件10：支付担保格式</w:t>
      </w:r>
    </w:p>
    <w:p w14:paraId="06FA3E73">
      <w:pPr>
        <w:spacing w:line="360" w:lineRule="auto"/>
        <w:rPr>
          <w:rFonts w:hint="eastAsia" w:ascii="宋体" w:hAnsi="宋体" w:cs="宋体"/>
          <w:color w:val="auto"/>
          <w:highlight w:val="none"/>
        </w:rPr>
      </w:pPr>
      <w:r>
        <w:rPr>
          <w:rFonts w:hint="eastAsia" w:ascii="宋体" w:hAnsi="宋体" w:cs="宋体"/>
          <w:color w:val="auto"/>
          <w:highlight w:val="none"/>
        </w:rPr>
        <w:t>附件11：暂估价一览表</w:t>
      </w:r>
    </w:p>
    <w:p w14:paraId="62B4338B">
      <w:pPr>
        <w:spacing w:line="360" w:lineRule="auto"/>
        <w:rPr>
          <w:rFonts w:hint="eastAsia" w:ascii="宋体" w:hAnsi="宋体" w:cs="宋体"/>
          <w:color w:val="auto"/>
          <w:highlight w:val="none"/>
        </w:rPr>
      </w:pPr>
      <w:r>
        <w:rPr>
          <w:rFonts w:hint="eastAsia" w:ascii="宋体" w:hAnsi="宋体" w:cs="宋体"/>
          <w:color w:val="auto"/>
          <w:highlight w:val="none"/>
        </w:rPr>
        <w:t>附件12：安全生产合同</w:t>
      </w:r>
    </w:p>
    <w:p w14:paraId="2BE3A39F">
      <w:pPr>
        <w:spacing w:line="360" w:lineRule="auto"/>
        <w:rPr>
          <w:rFonts w:hint="eastAsia" w:ascii="宋体" w:hAnsi="宋体" w:cs="宋体"/>
          <w:color w:val="auto"/>
          <w:highlight w:val="none"/>
        </w:rPr>
      </w:pPr>
      <w:r>
        <w:rPr>
          <w:rFonts w:hint="eastAsia" w:ascii="宋体" w:hAnsi="宋体" w:cs="宋体"/>
          <w:color w:val="auto"/>
          <w:highlight w:val="none"/>
        </w:rPr>
        <w:t>附件13：项目经理质量终身责任制承诺</w:t>
      </w:r>
    </w:p>
    <w:p w14:paraId="7C8E521A">
      <w:pPr>
        <w:pStyle w:val="20"/>
        <w:ind w:left="0" w:leftChars="0" w:firstLine="0" w:firstLineChars="0"/>
        <w:rPr>
          <w:rFonts w:hint="eastAsia"/>
          <w:color w:val="auto"/>
          <w:highlight w:val="none"/>
        </w:rPr>
      </w:pPr>
      <w:r>
        <w:rPr>
          <w:rFonts w:hint="eastAsia"/>
          <w:color w:val="auto"/>
          <w:highlight w:val="none"/>
        </w:rPr>
        <w:t>附件14：联合体协议书（如有）</w:t>
      </w:r>
    </w:p>
    <w:p w14:paraId="55FDAA08">
      <w:pPr>
        <w:rPr>
          <w:rFonts w:hint="eastAsia"/>
          <w:color w:val="auto"/>
          <w:highlight w:val="none"/>
          <w:lang w:val="en-US" w:eastAsia="zh-CN"/>
        </w:rPr>
      </w:pPr>
      <w:r>
        <w:rPr>
          <w:rFonts w:hint="eastAsia"/>
          <w:color w:val="auto"/>
          <w:highlight w:val="none"/>
          <w:lang w:val="en-US" w:eastAsia="zh-CN"/>
        </w:rPr>
        <w:t xml:space="preserve">   </w:t>
      </w:r>
    </w:p>
    <w:p w14:paraId="52FA69B9">
      <w:pP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br w:type="page"/>
      </w:r>
    </w:p>
    <w:p w14:paraId="4CE2E1BB">
      <w:pPr>
        <w:snapToGrid w:val="0"/>
        <w:spacing w:line="500" w:lineRule="exact"/>
        <w:jc w:val="left"/>
        <w:rPr>
          <w:rFonts w:ascii="宋体" w:hAnsi="宋体" w:eastAsia="宋体" w:cs="宋体"/>
          <w:b/>
          <w:bCs/>
          <w:color w:val="auto"/>
          <w:highlight w:val="none"/>
        </w:rPr>
      </w:pPr>
      <w:r>
        <w:rPr>
          <w:rFonts w:hint="eastAsia" w:ascii="宋体" w:hAnsi="宋体" w:eastAsia="宋体" w:cs="宋体"/>
          <w:b/>
          <w:bCs/>
          <w:color w:val="auto"/>
          <w:highlight w:val="none"/>
        </w:rPr>
        <w:t>其他补充条款：</w:t>
      </w:r>
    </w:p>
    <w:p w14:paraId="7E03D4E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本工程实行跟踪审计制度，审计师的职权：1）对工程量调整及变更、签证部分的造价提出意见，并确定该部分的工程量、材料、价格等。2）对进度款的支付提出审核意见。3）</w:t>
      </w:r>
      <w:r>
        <w:rPr>
          <w:rFonts w:hint="eastAsia" w:ascii="宋体" w:hAnsi="宋体" w:cs="宋体"/>
          <w:color w:val="auto"/>
          <w:highlight w:val="none"/>
          <w:lang w:eastAsia="zh-CN"/>
        </w:rPr>
        <w:t>参与</w:t>
      </w:r>
      <w:r>
        <w:rPr>
          <w:rFonts w:hint="eastAsia" w:ascii="宋体" w:hAnsi="宋体" w:eastAsia="宋体" w:cs="宋体"/>
          <w:color w:val="auto"/>
          <w:highlight w:val="none"/>
        </w:rPr>
        <w:t>隐蔽工程的验收，并做好</w:t>
      </w:r>
      <w:r>
        <w:rPr>
          <w:rFonts w:hint="eastAsia" w:ascii="宋体" w:hAnsi="宋体" w:cs="宋体"/>
          <w:color w:val="auto"/>
          <w:highlight w:val="none"/>
          <w:lang w:eastAsia="zh-CN"/>
        </w:rPr>
        <w:t>相关台账</w:t>
      </w:r>
      <w:r>
        <w:rPr>
          <w:rFonts w:hint="eastAsia" w:ascii="宋体" w:hAnsi="宋体" w:eastAsia="宋体" w:cs="宋体"/>
          <w:color w:val="auto"/>
          <w:highlight w:val="none"/>
        </w:rPr>
        <w:t xml:space="preserve">。4）对完工的单项工程及时开展资料整理和结算，对结算价格提出审计意见。5）对监理出具的有关单据进行再监督。  </w:t>
      </w:r>
    </w:p>
    <w:p w14:paraId="1391821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 xml:space="preserve">合同签订：中标通知书发出之日起，3个日历天内应委派代表与招标人联系办理履约担保并商讨书面合同签订等事宜；30个日历天内足额交纳履约保证金（投标保证金不能转为履约保证金）并根据招标文件和中标人的投标文件订立书面合同。中标人无正当理由拒签合同的，招标人将依据招投标相关法律法规进行处理；给招标人造成的损失，中标人还应当予以赔偿。 </w:t>
      </w:r>
    </w:p>
    <w:p w14:paraId="2D10C99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3.</w:t>
      </w:r>
      <w:r>
        <w:rPr>
          <w:rFonts w:hint="eastAsia" w:ascii="宋体" w:hAnsi="宋体" w:eastAsia="宋体" w:cs="宋体"/>
          <w:color w:val="auto"/>
          <w:highlight w:val="none"/>
        </w:rPr>
        <w:t xml:space="preserve">合同签订后30日内配合发包人完成施工许可证办理，否则，每延期一天承包人须承担5000元/天的违约金（因发包人原因除外），提前不奖励。中标单位中标后，配合发包人办理前期手续时，根据实际需要增设配备符合要求的注册建造师。 </w:t>
      </w:r>
    </w:p>
    <w:p w14:paraId="1CFAF1E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4.</w:t>
      </w:r>
      <w:r>
        <w:rPr>
          <w:rFonts w:hint="eastAsia" w:ascii="宋体" w:hAnsi="宋体" w:eastAsia="宋体" w:cs="宋体"/>
          <w:color w:val="auto"/>
          <w:highlight w:val="none"/>
        </w:rPr>
        <w:t xml:space="preserve">进场考核考勤： </w:t>
      </w:r>
    </w:p>
    <w:p w14:paraId="6566099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4.1人员考核：工程开工进场后，承包人必须按招标文件要求和投标承诺配备项目经理、技术负责人等施工项目部关键岗位人员。未经发包人同意，不得更换上述人员并满足《关于进一步加强建筑施工现场项目负责人变更行为管理的通知》及滁州市其他相关规定要求。发包人将组织对上述人员进行业务能力考核，对未按投标文件配备或经考核不合格要求更换人员的，承包人7日 内必须整改调整到位。对项目经理（建造师）和技术负责人处以</w:t>
      </w:r>
      <w:r>
        <w:rPr>
          <w:rFonts w:hint="eastAsia" w:ascii="宋体" w:hAnsi="宋体" w:cs="宋体"/>
          <w:color w:val="auto"/>
          <w:highlight w:val="none"/>
          <w:lang w:val="en-US" w:eastAsia="zh-CN"/>
        </w:rPr>
        <w:t>5000</w:t>
      </w:r>
      <w:r>
        <w:rPr>
          <w:rFonts w:hint="eastAsia" w:ascii="宋体" w:hAnsi="宋体" w:eastAsia="宋体" w:cs="宋体"/>
          <w:color w:val="auto"/>
          <w:highlight w:val="none"/>
        </w:rPr>
        <w:t>元/人·天的违约金，对项目经理（建造师）和技术负</w:t>
      </w:r>
      <w:r>
        <w:rPr>
          <w:rFonts w:hint="eastAsia" w:ascii="宋体" w:hAnsi="宋体" w:cs="宋体"/>
          <w:color w:val="auto"/>
          <w:highlight w:val="none"/>
          <w:lang w:eastAsia="zh-CN"/>
        </w:rPr>
        <w:t>责人</w:t>
      </w:r>
      <w:r>
        <w:rPr>
          <w:rFonts w:hint="eastAsia" w:ascii="宋体" w:hAnsi="宋体" w:eastAsia="宋体" w:cs="宋体"/>
          <w:color w:val="auto"/>
          <w:highlight w:val="none"/>
        </w:rPr>
        <w:t>外以外的其他管理人员处以</w:t>
      </w:r>
      <w:r>
        <w:rPr>
          <w:rFonts w:hint="eastAsia" w:ascii="宋体" w:hAnsi="宋体" w:cs="宋体"/>
          <w:color w:val="auto"/>
          <w:highlight w:val="none"/>
          <w:lang w:val="en-US" w:eastAsia="zh-CN"/>
        </w:rPr>
        <w:t>3000</w:t>
      </w:r>
      <w:r>
        <w:rPr>
          <w:rFonts w:hint="eastAsia" w:ascii="宋体" w:hAnsi="宋体" w:eastAsia="宋体" w:cs="宋体"/>
          <w:color w:val="auto"/>
          <w:highlight w:val="none"/>
        </w:rPr>
        <w:t xml:space="preserve">元/人·天的违约金。28日内未整改调整到位的，发包人有权终止合同，并提请相关行政主管部门对企业和人员进行“黑名单”处罚。发包人在施工进场第一个月或施工过程中发现承包人转包、挂靠等行为的，发包人立即解除合同，清退出场，承包人已完合格工程量按合同价款60%进行结算。 </w:t>
      </w:r>
    </w:p>
    <w:p w14:paraId="2164046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4.2人员考勤：①项目部所有管理人员上下班实行人脸识别电子考勤，人脸识别电子考勤系统设备必须与招标人现行使用的监管平台无缝对接。②监管平台设备及人脸识别电子考勤系统设备，承包人可以租赁或购买，但租赁或购买费用由承包人在投标报价时自行考虑</w:t>
      </w:r>
      <w:r>
        <w:rPr>
          <w:rFonts w:hint="eastAsia" w:ascii="宋体" w:hAnsi="宋体" w:cs="宋体"/>
          <w:color w:val="auto"/>
          <w:highlight w:val="none"/>
          <w:lang w:eastAsia="zh-CN"/>
        </w:rPr>
        <w:t>，包</w:t>
      </w:r>
      <w:r>
        <w:rPr>
          <w:rFonts w:hint="eastAsia" w:ascii="宋体" w:hAnsi="宋体" w:eastAsia="宋体" w:cs="宋体"/>
          <w:color w:val="auto"/>
          <w:highlight w:val="none"/>
        </w:rPr>
        <w:t>含在投标报价中，招标人将不再支付任何费用。③监管平台考勤范围为本项目监理部和项目部所有管理人员，监管平台信息及数据录入（包括质量、进度、安全、施工许可办理等）均由监理单位负责。④项目经理（建造师）每月在岗时间不得少于22天，每天不少于8小时，其他管理人员每月在岗时间不得少于25天，每天不少于8小时。未按规定在岗履责的，对项目经理（建造师）和技术负责人处以</w:t>
      </w:r>
      <w:r>
        <w:rPr>
          <w:rFonts w:hint="eastAsia" w:ascii="宋体" w:hAnsi="宋体" w:cs="宋体"/>
          <w:color w:val="auto"/>
          <w:highlight w:val="none"/>
          <w:lang w:val="en-US" w:eastAsia="zh-CN"/>
        </w:rPr>
        <w:t>5000</w:t>
      </w:r>
      <w:r>
        <w:rPr>
          <w:rFonts w:hint="eastAsia" w:ascii="宋体" w:hAnsi="宋体" w:eastAsia="宋体" w:cs="宋体"/>
          <w:color w:val="auto"/>
          <w:highlight w:val="none"/>
        </w:rPr>
        <w:t>元/人·天的违约金，对项目经理（建造师）和技术负</w:t>
      </w:r>
      <w:r>
        <w:rPr>
          <w:rFonts w:hint="eastAsia" w:ascii="宋体" w:hAnsi="宋体" w:cs="宋体"/>
          <w:color w:val="auto"/>
          <w:highlight w:val="none"/>
          <w:lang w:eastAsia="zh-CN"/>
        </w:rPr>
        <w:t>责人</w:t>
      </w:r>
      <w:r>
        <w:rPr>
          <w:rFonts w:hint="eastAsia" w:ascii="宋体" w:hAnsi="宋体" w:eastAsia="宋体" w:cs="宋体"/>
          <w:color w:val="auto"/>
          <w:highlight w:val="none"/>
        </w:rPr>
        <w:t>外以外的其他管理人员处以</w:t>
      </w:r>
      <w:r>
        <w:rPr>
          <w:rFonts w:hint="eastAsia" w:ascii="宋体" w:hAnsi="宋体" w:cs="宋体"/>
          <w:color w:val="auto"/>
          <w:highlight w:val="none"/>
          <w:lang w:val="en-US" w:eastAsia="zh-CN"/>
        </w:rPr>
        <w:t>3000</w:t>
      </w:r>
      <w:r>
        <w:rPr>
          <w:rFonts w:hint="eastAsia" w:ascii="宋体" w:hAnsi="宋体" w:eastAsia="宋体" w:cs="宋体"/>
          <w:color w:val="auto"/>
          <w:highlight w:val="none"/>
        </w:rPr>
        <w:t xml:space="preserve">元/人·天的违约金。 </w:t>
      </w:r>
    </w:p>
    <w:p w14:paraId="3470115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4.3在经开区及各级相关部门现场检查过程中发现项目经理（建造师）、技术负责人、安全员、质检员等主要管理人员未按合同约定在岗三次及以上的，将上报建设行政主管部门依法依规处理，并在相关信用信息平台披露。 </w:t>
      </w:r>
    </w:p>
    <w:p w14:paraId="041566A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4.4中标人未能按照承诺到岗尽职的，招标人将视情况严重程度对其作出相应处理，给予警告并发出整改通知。如仍未及时整改，招标人有权责令其停工整改</w:t>
      </w:r>
      <w:r>
        <w:rPr>
          <w:rFonts w:hint="eastAsia" w:ascii="宋体" w:hAnsi="宋体" w:cs="宋体"/>
          <w:color w:val="auto"/>
          <w:highlight w:val="none"/>
          <w:lang w:eastAsia="zh-CN"/>
        </w:rPr>
        <w:t>直至</w:t>
      </w:r>
      <w:r>
        <w:rPr>
          <w:rFonts w:hint="eastAsia" w:ascii="宋体" w:hAnsi="宋体" w:eastAsia="宋体" w:cs="宋体"/>
          <w:color w:val="auto"/>
          <w:highlight w:val="none"/>
        </w:rPr>
        <w:t>终止合同，招标人还将停止支付工程款项，扣留任何</w:t>
      </w:r>
      <w:r>
        <w:rPr>
          <w:rFonts w:hint="eastAsia" w:ascii="宋体" w:hAnsi="宋体" w:cs="宋体"/>
          <w:color w:val="auto"/>
          <w:highlight w:val="none"/>
          <w:lang w:eastAsia="zh-CN"/>
        </w:rPr>
        <w:t>未支</w:t>
      </w:r>
      <w:r>
        <w:rPr>
          <w:rFonts w:hint="eastAsia" w:ascii="宋体" w:hAnsi="宋体" w:eastAsia="宋体" w:cs="宋体"/>
          <w:color w:val="auto"/>
          <w:highlight w:val="none"/>
        </w:rPr>
        <w:t>付的工程进度款项补偿建设单位的有关损失或工期延误的损失，并就此向承包单位索赔。</w:t>
      </w:r>
    </w:p>
    <w:p w14:paraId="6E21038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5.</w:t>
      </w:r>
      <w:r>
        <w:rPr>
          <w:rFonts w:hint="eastAsia" w:ascii="宋体" w:hAnsi="宋体" w:eastAsia="宋体" w:cs="宋体"/>
          <w:color w:val="auto"/>
          <w:highlight w:val="none"/>
        </w:rPr>
        <w:t>工程进度管理</w:t>
      </w:r>
    </w:p>
    <w:p w14:paraId="6A50D07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5.1工程有下列原因影响合同工期的，由承包人提出，经发包人批准可顺延合同工期：（1）土地和房屋征收进度不符合施工要求，涉铁路、涉部队、涉供电等影响施工；（2）因地震、洪涝灾害、突发重大事件等不可抗力影响施工；（3）因规划设计调整或重大变更，对工期造成影响的；（4）</w:t>
      </w:r>
      <w:r>
        <w:rPr>
          <w:rFonts w:hint="eastAsia" w:ascii="宋体" w:hAnsi="宋体" w:cs="宋体"/>
          <w:color w:val="auto"/>
          <w:highlight w:val="none"/>
          <w:lang w:eastAsia="zh-CN"/>
        </w:rPr>
        <w:t>其他</w:t>
      </w:r>
      <w:r>
        <w:rPr>
          <w:rFonts w:hint="eastAsia" w:ascii="宋体" w:hAnsi="宋体" w:eastAsia="宋体" w:cs="宋体"/>
          <w:color w:val="auto"/>
          <w:highlight w:val="none"/>
        </w:rPr>
        <w:t>非承包人原因影响工期的。承包人未提出工期顺延的申请或申请未经批准的，工期不予顺延。</w:t>
      </w:r>
    </w:p>
    <w:p w14:paraId="213C677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5.2因承包人原因造成合同工期延误，每延误一天，处以</w:t>
      </w:r>
      <w:r>
        <w:rPr>
          <w:rFonts w:hint="eastAsia" w:ascii="宋体" w:hAnsi="宋体" w:cs="宋体"/>
          <w:color w:val="auto"/>
          <w:highlight w:val="none"/>
          <w:lang w:val="en-US" w:eastAsia="zh-CN"/>
        </w:rPr>
        <w:t>10000</w:t>
      </w:r>
      <w:r>
        <w:rPr>
          <w:rFonts w:hint="eastAsia" w:ascii="宋体" w:hAnsi="宋体" w:eastAsia="宋体" w:cs="宋体"/>
          <w:color w:val="auto"/>
          <w:highlight w:val="none"/>
        </w:rPr>
        <w:t>元违约金。月工程量未完成的当期不得请款，当月未完成的工程量纳入下月一并完成，完不成的仍不予请款，</w:t>
      </w:r>
      <w:r>
        <w:rPr>
          <w:rFonts w:hint="eastAsia" w:ascii="宋体" w:hAnsi="宋体" w:cs="宋体"/>
          <w:color w:val="auto"/>
          <w:highlight w:val="none"/>
          <w:lang w:eastAsia="zh-CN"/>
        </w:rPr>
        <w:t>以此类推</w:t>
      </w:r>
      <w:r>
        <w:rPr>
          <w:rFonts w:hint="eastAsia" w:ascii="宋体" w:hAnsi="宋体" w:eastAsia="宋体" w:cs="宋体"/>
          <w:color w:val="auto"/>
          <w:highlight w:val="none"/>
        </w:rPr>
        <w:t xml:space="preserve">。5.3对严重拖延工期，经发包人多次督促，承包人拒不整改或整改不到位的，招标人可终止施工合同，同时处以合同金额×2%×50%的金额作为违约金，另选施工队伍，承包人须无条件配合，不得以任何借口阻挠另选的施工队伍施工，不得向发包人提出任何索赔要求。 </w:t>
      </w:r>
    </w:p>
    <w:p w14:paraId="0734D8E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6.</w:t>
      </w:r>
      <w:r>
        <w:rPr>
          <w:rFonts w:hint="eastAsia" w:ascii="宋体" w:hAnsi="宋体" w:eastAsia="宋体" w:cs="宋体"/>
          <w:color w:val="auto"/>
          <w:highlight w:val="none"/>
        </w:rPr>
        <w:t>工程质量管理</w:t>
      </w:r>
    </w:p>
    <w:p w14:paraId="080001D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rPr>
        <w:t>6.1</w:t>
      </w:r>
      <w:r>
        <w:rPr>
          <w:rFonts w:hint="eastAsia" w:ascii="宋体" w:hAnsi="宋体" w:eastAsia="宋体" w:cs="宋体"/>
          <w:color w:val="auto"/>
          <w:highlight w:val="none"/>
          <w:lang w:val="zh-CN"/>
        </w:rPr>
        <w:t>承包人被发包人项目组日常检查、专项检查或第三方巡查等检查出未按设计文件和相关规范施工，存在质量</w:t>
      </w:r>
      <w:r>
        <w:rPr>
          <w:rFonts w:hint="eastAsia" w:ascii="宋体" w:hAnsi="宋体" w:eastAsia="宋体" w:cs="宋体"/>
          <w:color w:val="auto"/>
          <w:highlight w:val="none"/>
        </w:rPr>
        <w:t>问题</w:t>
      </w:r>
      <w:r>
        <w:rPr>
          <w:rFonts w:hint="eastAsia" w:ascii="宋体" w:hAnsi="宋体" w:eastAsia="宋体" w:cs="宋体"/>
          <w:color w:val="auto"/>
          <w:highlight w:val="none"/>
          <w:lang w:val="zh-CN"/>
        </w:rPr>
        <w:t>的，</w:t>
      </w:r>
      <w:r>
        <w:rPr>
          <w:rFonts w:hint="eastAsia" w:ascii="宋体" w:hAnsi="宋体" w:eastAsia="宋体" w:cs="宋体"/>
          <w:color w:val="auto"/>
          <w:highlight w:val="none"/>
        </w:rPr>
        <w:t>由监理单位记录错误细节，每次处以2000元罚款，直接纳入近期付款申请兑现。</w:t>
      </w:r>
    </w:p>
    <w:p w14:paraId="6B83D2E9">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6.2质量缺陷责任期内出现质量问题，发包人书面通知承包人，在规定时间内不及时处理的，发包人有权直接委托其他单位进行维修，相关费用直接从工程质保金中支付。 </w:t>
      </w:r>
    </w:p>
    <w:p w14:paraId="33E79B2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7.</w:t>
      </w:r>
      <w:r>
        <w:rPr>
          <w:rFonts w:hint="eastAsia" w:ascii="宋体" w:hAnsi="宋体" w:eastAsia="宋体" w:cs="宋体"/>
          <w:color w:val="auto"/>
          <w:highlight w:val="none"/>
        </w:rPr>
        <w:t>安全文明管理</w:t>
      </w:r>
    </w:p>
    <w:p w14:paraId="498648CD">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7.1承包人必须确保安全文明施工，严格执行国家、安徽省、滁州市的相关规定，同时遵守建设单位对安全文明施工的相关要求。经检查，达不到相关规定和要求的，由项目组及时下发整改通知书，拒不整改或限期整改不到位的，处以承包人2000元/项/次的违约金。施工现场卫生保洁自开工之日起至工程竣工移交结束，切实做好项目管理人员和工人宿舍安全、卫生工作。 </w:t>
      </w:r>
    </w:p>
    <w:p w14:paraId="0423A7A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7.2按关于印发《滁州市建筑工地围挡提档升级标准》的通知（建质﹝2022﹞34 号文）执行。 </w:t>
      </w:r>
    </w:p>
    <w:p w14:paraId="6C4A2C69">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8.</w:t>
      </w:r>
      <w:r>
        <w:rPr>
          <w:rFonts w:hint="eastAsia" w:ascii="宋体" w:hAnsi="宋体" w:eastAsia="宋体" w:cs="宋体"/>
          <w:color w:val="auto"/>
          <w:highlight w:val="none"/>
        </w:rPr>
        <w:t>扬尘治理</w:t>
      </w:r>
    </w:p>
    <w:p w14:paraId="0EE2269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8.1严格执行《安徽省建筑工程施工扬尘污染防治规定</w:t>
      </w:r>
      <w:r>
        <w:rPr>
          <w:rFonts w:hint="eastAsia" w:ascii="宋体" w:hAnsi="宋体" w:cs="宋体"/>
          <w:color w:val="auto"/>
          <w:highlight w:val="none"/>
          <w:lang w:eastAsia="zh-CN"/>
        </w:rPr>
        <w:t>》《</w:t>
      </w:r>
      <w:r>
        <w:rPr>
          <w:rFonts w:hint="eastAsia" w:ascii="宋体" w:hAnsi="宋体" w:eastAsia="宋体" w:cs="宋体"/>
          <w:color w:val="auto"/>
          <w:highlight w:val="none"/>
        </w:rPr>
        <w:t xml:space="preserve">滁州市城市扬尘管理办法》和《滁州市建筑工程施工扬尘污染防治实施细则》等相关规定。对违反规定或经检查达不到规定和要求，被相关部门批评、曝光、通报的，处以承包人 10000 元/次的违约金。 </w:t>
      </w:r>
    </w:p>
    <w:p w14:paraId="2442E0D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9、农民工工资支付</w:t>
      </w:r>
    </w:p>
    <w:p w14:paraId="7EB64DC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9.1承包人在工程实施过程中的用工行为，必须严格按照《保障农民工工资支付条例》（国务院令 第 724 号）、《安徽省人民政府办公厅关于全面治理拖欠农民工工资问题的实施意见》（皖政办〔2016〕22 号）以及《贯彻落实&lt;工程建设领域农民工工资专用账户管理暂行办法&gt;的通知》（皖人社发〔2022〕5 号）、《安徽省工程建设领域农民工工资保证金实施办法》（皖人社发 〔2022〕8号）等文件精神的有关规定，依法与招用的农民工签订劳动合同，并按规定及时足额支付工资。 </w:t>
      </w:r>
    </w:p>
    <w:p w14:paraId="078D516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9.2执行《关于进一步完善工程建设领域农民工工资保证金和农民工工资（劳务费）专户管理制度的实施意见》滁人社发【2019】21号，其中工资保证金和工资专户按照工程项目所在地实行属地化管理，由工程建设项目的施工总承包企业（包括直接承包建设单位发包工程的专业承包企业）缴存和开设。若为联合体中标， 由联合体中牵头人缴存和开设专户。承包人应严格遵守《政府投资工程农民工工资信访管理办法（试行）》的相关规定。 </w:t>
      </w:r>
    </w:p>
    <w:p w14:paraId="2369AC9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（1）凡到市经开区上访，滞留时间半个工作日（不足半个工作日以半个工作日计算），工程款支付比例在 30%-40%（含）的，按每人每半个工作日 200 元的标准给予处罚，每增加工程款支付比例 10%，每人每半个工作日处罚标准增加 100 元，依此类推。</w:t>
      </w:r>
    </w:p>
    <w:p w14:paraId="355F094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（2）凡赴市政府或市根治办上访，滞留时间半个工作日（不足半个工作日以半个工作日计算），工程款支付比例在30%-40%（含）的，按每人每半个工作日 400 元的标准给予处罚，每增加工程款支付比例 10%，每人每半个工作日处罚标准增加 200 元，依此类推。</w:t>
      </w:r>
    </w:p>
    <w:p w14:paraId="17EC8D3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（3）凡赴省政府上访，滞留时间半个工作日（不足半个工作日以半个工作日计算），工程款支付比例在 30%-40%（含）的，按每人每半个工作日 600 元的标准给予处罚，每增加工程款支付比例 10%，每人每半个工作日处罚标准增加 300 元，依此类推。</w:t>
      </w:r>
    </w:p>
    <w:p w14:paraId="5C8ED14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10、现场管理</w:t>
      </w:r>
    </w:p>
    <w:p w14:paraId="328B661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10.1</w:t>
      </w:r>
      <w:r>
        <w:rPr>
          <w:rFonts w:hint="eastAsia" w:ascii="宋体" w:hAnsi="宋体" w:eastAsia="宋体" w:cs="宋体"/>
          <w:color w:val="auto"/>
          <w:highlight w:val="none"/>
          <w:lang w:val="zh-CN"/>
        </w:rPr>
        <w:t>施工过程中，除临时办公、管理用房（施工进场前建设单位有权指定其具体位置）外，其他人员一律不得住施工现场；若发现上述问题，项目经理（建造师）负责组织、管理及清理出场。</w:t>
      </w:r>
      <w:r>
        <w:rPr>
          <w:rFonts w:hint="eastAsia" w:ascii="宋体" w:hAnsi="宋体" w:eastAsia="宋体" w:cs="宋体"/>
          <w:color w:val="auto"/>
          <w:highlight w:val="none"/>
        </w:rPr>
        <w:t xml:space="preserve"> </w:t>
      </w:r>
    </w:p>
    <w:p w14:paraId="08C6DC4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10.2</w:t>
      </w:r>
      <w:r>
        <w:rPr>
          <w:rFonts w:hint="eastAsia" w:ascii="宋体" w:hAnsi="宋体" w:eastAsia="宋体" w:cs="宋体"/>
          <w:color w:val="auto"/>
          <w:highlight w:val="none"/>
          <w:lang w:val="zh-CN"/>
        </w:rPr>
        <w:t xml:space="preserve">投标人自行勘察施工现场情况，因投标人未踏勘现场而造成的损失由投标人承担。 </w:t>
      </w:r>
      <w:r>
        <w:rPr>
          <w:rFonts w:hint="eastAsia" w:ascii="宋体" w:hAnsi="宋体" w:eastAsia="宋体" w:cs="宋体"/>
          <w:color w:val="auto"/>
          <w:highlight w:val="none"/>
        </w:rPr>
        <w:t xml:space="preserve"> </w:t>
      </w:r>
    </w:p>
    <w:p w14:paraId="0933E72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10.3</w:t>
      </w:r>
      <w:r>
        <w:rPr>
          <w:rFonts w:hint="eastAsia" w:ascii="宋体" w:hAnsi="宋体" w:eastAsia="宋体" w:cs="宋体"/>
          <w:color w:val="auto"/>
          <w:highlight w:val="none"/>
          <w:lang w:val="zh-CN"/>
        </w:rPr>
        <w:t>投标人在标前应自行踏勘现场，充分考虑难度系数和不可预见因素。施工期间的协调工作由承包人自行解决，此部分费用包含在投标报价中。</w:t>
      </w:r>
      <w:r>
        <w:rPr>
          <w:rFonts w:hint="eastAsia" w:ascii="宋体" w:hAnsi="宋体" w:eastAsia="宋体" w:cs="宋体"/>
          <w:color w:val="auto"/>
          <w:highlight w:val="none"/>
        </w:rPr>
        <w:t xml:space="preserve"> </w:t>
      </w:r>
    </w:p>
    <w:p w14:paraId="4DD26296">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rPr>
        <w:t>10.4</w:t>
      </w:r>
      <w:r>
        <w:rPr>
          <w:rFonts w:hint="eastAsia" w:ascii="宋体" w:hAnsi="宋体" w:eastAsia="宋体" w:cs="宋体"/>
          <w:color w:val="auto"/>
          <w:highlight w:val="none"/>
          <w:lang w:val="zh-CN"/>
        </w:rPr>
        <w:t>施工现场和取、弃土场内的施工便道、机械整平以及协调渣土、环保等相关部门办理相关手续、缴纳保证金及费用等由投标</w:t>
      </w:r>
      <w:r>
        <w:rPr>
          <w:rFonts w:hint="eastAsia" w:ascii="宋体" w:hAnsi="宋体" w:eastAsia="宋体" w:cs="宋体"/>
          <w:color w:val="auto"/>
          <w:highlight w:val="none"/>
        </w:rPr>
        <w:t>人</w:t>
      </w:r>
      <w:r>
        <w:rPr>
          <w:rFonts w:hint="eastAsia" w:ascii="宋体" w:hAnsi="宋体" w:eastAsia="宋体" w:cs="宋体"/>
          <w:color w:val="auto"/>
          <w:highlight w:val="none"/>
          <w:lang w:val="zh-CN"/>
        </w:rPr>
        <w:t>自行承担，此部分费用包含在投标报价中。施工渣土、淤泥、建筑垃圾等弃置点需经相关部门批准并报发包人备案后，方可施工，</w:t>
      </w:r>
      <w:r>
        <w:rPr>
          <w:rFonts w:hint="eastAsia" w:ascii="宋体" w:hAnsi="宋体" w:eastAsia="宋体" w:cs="宋体"/>
          <w:color w:val="auto"/>
          <w:highlight w:val="none"/>
          <w:lang w:val="zh-CN" w:eastAsia="zh-CN"/>
        </w:rPr>
        <w:t>不得弃在施工区域500M范围内。</w:t>
      </w:r>
      <w:r>
        <w:rPr>
          <w:rFonts w:hint="eastAsia" w:ascii="宋体" w:hAnsi="宋体" w:eastAsia="宋体" w:cs="宋体"/>
          <w:color w:val="auto"/>
          <w:highlight w:val="none"/>
          <w:lang w:val="zh-CN"/>
        </w:rPr>
        <w:t>严禁违规倾倒堆存。否则，责任自负。</w:t>
      </w:r>
    </w:p>
    <w:p w14:paraId="2639264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10.5</w:t>
      </w:r>
      <w:r>
        <w:rPr>
          <w:rFonts w:hint="eastAsia" w:ascii="宋体" w:hAnsi="宋体" w:eastAsia="宋体" w:cs="宋体"/>
          <w:color w:val="auto"/>
          <w:highlight w:val="none"/>
          <w:lang w:val="zh-CN"/>
        </w:rPr>
        <w:t>施工过程中，严格执行国家及地方针对环保、禁噪、防尘、防护等措施，必须满足当地行政主管部门相关规定及要求。</w:t>
      </w:r>
      <w:r>
        <w:rPr>
          <w:rFonts w:hint="eastAsia" w:ascii="宋体" w:hAnsi="宋体" w:eastAsia="宋体" w:cs="宋体"/>
          <w:color w:val="auto"/>
          <w:highlight w:val="none"/>
        </w:rPr>
        <w:t xml:space="preserve"> </w:t>
      </w:r>
    </w:p>
    <w:p w14:paraId="24605A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10.6</w:t>
      </w:r>
      <w:r>
        <w:rPr>
          <w:rFonts w:hint="eastAsia" w:ascii="宋体" w:hAnsi="宋体" w:eastAsia="宋体" w:cs="宋体"/>
          <w:color w:val="auto"/>
          <w:highlight w:val="none"/>
          <w:lang w:val="zh-CN"/>
        </w:rPr>
        <w:t>施工场地及周边场地、道路、绿化、管线、设施设备等，若被施工方（中标人）损坏，施工方（中标人）必须无偿按照原貌恢复。</w:t>
      </w:r>
    </w:p>
    <w:p w14:paraId="067B9AC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10.7本项目必须按规定设置封闭围挡，费用含在投标总价中，投标人自行考虑。围挡设置必须符合相关部门要求，对于围挡的宣传标语（图案）等设置，必须按照建设单位要求进行布置，并且及时更新、更换。</w:t>
      </w:r>
    </w:p>
    <w:p w14:paraId="1A103845">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10.8投标人自行勘察施工现场情况，因投标人未</w:t>
      </w:r>
      <w:r>
        <w:rPr>
          <w:rFonts w:hint="eastAsia" w:ascii="宋体" w:hAnsi="宋体" w:cs="宋体"/>
          <w:color w:val="auto"/>
          <w:highlight w:val="none"/>
          <w:lang w:eastAsia="zh-CN"/>
        </w:rPr>
        <w:t>勘查现场</w:t>
      </w:r>
      <w:r>
        <w:rPr>
          <w:rFonts w:hint="eastAsia" w:ascii="宋体" w:hAnsi="宋体" w:eastAsia="宋体" w:cs="宋体"/>
          <w:color w:val="auto"/>
          <w:highlight w:val="none"/>
        </w:rPr>
        <w:t>而造成的损失由投标人承担。在工程建设过程中，出现质量、安全、进度、文明施工、扬尘污染、人员不在岗履职等违约行为的，招标人将给予违约处罚；如中标人拒不缴纳违约金的，招标人有权从履约保证金中直接扣除。</w:t>
      </w:r>
    </w:p>
    <w:p w14:paraId="23C2066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10.9道路、房屋等防护费用、临时设施、施工便道、场地内外的高低压线路保护、建筑物及道路等安全防护等费用由投标人自行</w:t>
      </w:r>
      <w:r>
        <w:rPr>
          <w:rFonts w:hint="eastAsia" w:ascii="宋体" w:hAnsi="宋体" w:cs="宋体"/>
          <w:color w:val="auto"/>
          <w:highlight w:val="none"/>
          <w:lang w:eastAsia="zh-CN"/>
        </w:rPr>
        <w:t>勘查现场</w:t>
      </w:r>
      <w:r>
        <w:rPr>
          <w:rFonts w:hint="eastAsia" w:ascii="宋体" w:hAnsi="宋体" w:eastAsia="宋体" w:cs="宋体"/>
          <w:color w:val="auto"/>
          <w:highlight w:val="none"/>
        </w:rPr>
        <w:t xml:space="preserve">考虑，综合考虑在报价中，招标人不另行支付其他任何费用。 </w:t>
      </w:r>
    </w:p>
    <w:p w14:paraId="0660DC8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10.10招标人负责提供水、电接入点，具体手续及费用由中标人负责办理，由施工单位自行解决，费用自理且投标报价时需含在投标报价中，工程量清单已考虑的除外。工程未完全交付甲方前，所有水电费用由乙方承担并管理。</w:t>
      </w:r>
    </w:p>
    <w:p w14:paraId="3AE3D5C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10.11施工现场必须采用门禁管理系统，施工现场必须采用刷脸进入，费用由中标人自行承担。 </w:t>
      </w:r>
    </w:p>
    <w:p w14:paraId="3C785F6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10.12施工现场需专门配备定点摄像设备，采用建筑施工现场视频监控系统，便于实时监控，要求设备稳定，图像清晰，分辨率高，配备专用储存设备，15天以内的现场摄像资料必须完整保存</w:t>
      </w:r>
      <w:r>
        <w:rPr>
          <w:rFonts w:hint="eastAsia" w:ascii="宋体" w:hAnsi="宋体" w:cs="宋体"/>
          <w:color w:val="auto"/>
          <w:highlight w:val="none"/>
          <w:lang w:eastAsia="zh-CN"/>
        </w:rPr>
        <w:t>，包</w:t>
      </w:r>
      <w:r>
        <w:rPr>
          <w:rFonts w:hint="eastAsia" w:ascii="宋体" w:hAnsi="宋体" w:eastAsia="宋体" w:cs="宋体"/>
          <w:color w:val="auto"/>
          <w:highlight w:val="none"/>
        </w:rPr>
        <w:t xml:space="preserve">含在投标总报价中。 </w:t>
      </w:r>
    </w:p>
    <w:p w14:paraId="65F89429">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lang w:val="zh-CN"/>
        </w:rPr>
      </w:pPr>
      <w:r>
        <w:rPr>
          <w:rFonts w:hint="eastAsia" w:ascii="宋体" w:hAnsi="宋体" w:eastAsia="宋体" w:cs="宋体"/>
          <w:color w:val="auto"/>
          <w:highlight w:val="none"/>
        </w:rPr>
        <w:t>10.13中标人</w:t>
      </w:r>
      <w:r>
        <w:rPr>
          <w:rFonts w:hint="eastAsia" w:ascii="宋体" w:hAnsi="宋体" w:eastAsia="宋体" w:cs="宋体"/>
          <w:color w:val="auto"/>
          <w:highlight w:val="none"/>
          <w:lang w:val="zh-CN"/>
        </w:rPr>
        <w:t>须</w:t>
      </w:r>
      <w:r>
        <w:rPr>
          <w:rFonts w:hint="eastAsia" w:ascii="宋体" w:hAnsi="宋体" w:eastAsia="宋体" w:cs="宋体"/>
          <w:color w:val="auto"/>
          <w:highlight w:val="none"/>
        </w:rPr>
        <w:t>提供</w:t>
      </w:r>
      <w:r>
        <w:rPr>
          <w:rFonts w:hint="eastAsia" w:ascii="宋体" w:hAnsi="宋体" w:eastAsia="宋体" w:cs="宋体"/>
          <w:color w:val="auto"/>
          <w:highlight w:val="none"/>
          <w:lang w:val="zh-CN"/>
        </w:rPr>
        <w:t>室外雨污水管道全部影像检测试验合格报告。</w:t>
      </w:r>
    </w:p>
    <w:p w14:paraId="1A9D6EE8">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10.14中标后，在项目建设期间，中标人向发包人指定专人配合办理相关手续。</w:t>
      </w:r>
    </w:p>
    <w:p w14:paraId="3E272BF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10.15在项目实施过程中，对园区企业既有排水支管造成损坏的，由中标单位报送修复，改线方案，报建设单位批准后实施。</w:t>
      </w:r>
    </w:p>
    <w:p w14:paraId="3A93D74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cs="宋体"/>
          <w:color w:val="auto"/>
          <w:highlight w:val="none"/>
          <w:lang w:eastAsia="zh-CN"/>
        </w:rPr>
        <w:t>11.</w:t>
      </w:r>
      <w:r>
        <w:rPr>
          <w:rFonts w:hint="eastAsia" w:ascii="宋体" w:hAnsi="宋体" w:eastAsia="宋体" w:cs="宋体"/>
          <w:color w:val="auto"/>
          <w:highlight w:val="none"/>
        </w:rPr>
        <w:t>文明施工要求</w:t>
      </w:r>
    </w:p>
    <w:p w14:paraId="71C24DA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 11.1公共环境 </w:t>
      </w:r>
    </w:p>
    <w:p w14:paraId="65FC151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①建筑工地采用砌体、钢结构或彩钢夹芯板等封闭管理，高度不低于3米；储备用地、路面施工应一律设置建筑围墙进行遮挡。环境卫生干净整洁，围墙内外无乱堆放现象，无生活垃圾；施工现场标识明显，四周设置围墙、围挡，并符合标准；施工车辆有硬化的进出通道和冲洗设备，无抛洒和污染路面现象。 </w:t>
      </w:r>
    </w:p>
    <w:p w14:paraId="7BF5EA9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②场内设有不少于15米硬化面，车辆进出工地实行密闭运输，有车辆冲洗平台和冲洗设备、临时厕所、垃圾收集容器、污水处理排放系统、降尘设备等设施；场内干净整洁，机械设备、物料等摆放有序，安全施工措施到位，文明施工氛围浓厚。能够开展文明工地创建，施工噪音、粉尘等达到国家环保要求。 </w:t>
      </w:r>
    </w:p>
    <w:p w14:paraId="399AB2B0">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 xml:space="preserve">11.2公益宣传 </w:t>
      </w:r>
    </w:p>
    <w:p w14:paraId="1A9A6A4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①运用建筑围挡宣传展示社会主义核心价值观12个主题词、市民文明行为规范，及时更新中宣部、中央文明办发布的“讲文明树新风</w:t>
      </w:r>
      <w:r>
        <w:rPr>
          <w:rFonts w:hint="eastAsia" w:ascii="宋体" w:hAnsi="宋体" w:cs="宋体"/>
          <w:color w:val="auto"/>
          <w:highlight w:val="none"/>
          <w:lang w:eastAsia="zh-CN"/>
        </w:rPr>
        <w:t>”“</w:t>
      </w:r>
      <w:r>
        <w:rPr>
          <w:rFonts w:hint="eastAsia" w:ascii="宋体" w:hAnsi="宋体" w:eastAsia="宋体" w:cs="宋体"/>
          <w:color w:val="auto"/>
          <w:highlight w:val="none"/>
        </w:rPr>
        <w:t xml:space="preserve">图说我们的价值观”通稿作品以及本市自创的公益广告（建筑围挡无破墙开洞现象，公益广告无污染、破旧现象）。 </w:t>
      </w:r>
    </w:p>
    <w:p w14:paraId="5517F0F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rPr>
        <w:t>②公益广告展示面积占围挡总面积的比例不少于50%，且公益广告要与商业广告穿插展示（每3块广告中</w:t>
      </w:r>
      <w:r>
        <w:rPr>
          <w:rFonts w:hint="eastAsia" w:ascii="宋体" w:hAnsi="宋体" w:cs="宋体"/>
          <w:color w:val="auto"/>
          <w:highlight w:val="none"/>
          <w:lang w:eastAsia="zh-CN"/>
        </w:rPr>
        <w:t>必须</w:t>
      </w:r>
      <w:r>
        <w:rPr>
          <w:rFonts w:hint="eastAsia" w:ascii="宋体" w:hAnsi="宋体" w:eastAsia="宋体" w:cs="宋体"/>
          <w:color w:val="auto"/>
          <w:highlight w:val="none"/>
        </w:rPr>
        <w:t>有1块公益广告），且单面围挡墙体均能看到公益宣传。步行30米，达到50%面积比例</w:t>
      </w:r>
    </w:p>
    <w:p w14:paraId="429EF89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ascii="宋体" w:hAnsi="宋体" w:eastAsia="宋体" w:cs="宋体"/>
          <w:color w:val="auto"/>
          <w:highlight w:val="none"/>
        </w:rPr>
      </w:pP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滁州市建筑工地围挡要求</w:t>
      </w:r>
    </w:p>
    <w:p w14:paraId="2BBC487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12.1按关于印发《滁州市建筑工地围挡提档升级标准》的通知（建质﹝2022﹞34 号文）执行。 </w:t>
      </w:r>
    </w:p>
    <w:p w14:paraId="4CB6295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color w:val="auto"/>
          <w:highlight w:val="none"/>
        </w:rPr>
      </w:pPr>
      <w:r>
        <w:rPr>
          <w:rFonts w:hint="eastAsia" w:ascii="宋体" w:hAnsi="宋体" w:eastAsia="宋体" w:cs="宋体"/>
          <w:color w:val="auto"/>
          <w:highlight w:val="none"/>
        </w:rPr>
        <w:t>13</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本合同文本未尽事宜，由合同</w:t>
      </w:r>
      <w:r>
        <w:rPr>
          <w:rFonts w:hint="eastAsia" w:ascii="宋体" w:hAnsi="宋体" w:cs="宋体"/>
          <w:color w:val="auto"/>
          <w:highlight w:val="none"/>
          <w:lang w:eastAsia="zh-CN"/>
        </w:rPr>
        <w:t>签订</w:t>
      </w:r>
      <w:r>
        <w:rPr>
          <w:rFonts w:hint="eastAsia" w:ascii="宋体" w:hAnsi="宋体" w:eastAsia="宋体" w:cs="宋体"/>
          <w:color w:val="auto"/>
          <w:highlight w:val="none"/>
        </w:rPr>
        <w:t>双方在发生时具体商定</w:t>
      </w:r>
      <w:r>
        <w:rPr>
          <w:rFonts w:hint="eastAsia" w:ascii="宋体" w:hAnsi="宋体" w:eastAsia="宋体" w:cs="宋体"/>
          <w:color w:val="auto"/>
          <w:highlight w:val="none"/>
          <w:lang w:eastAsia="zh-CN"/>
        </w:rPr>
        <w:t>。</w:t>
      </w:r>
      <w:r>
        <w:rPr>
          <w:rFonts w:hint="eastAsia" w:ascii="宋体" w:hAnsi="宋体" w:eastAsia="宋体" w:cs="宋体"/>
          <w:b w:val="0"/>
          <w:color w:val="auto"/>
          <w:sz w:val="21"/>
          <w:szCs w:val="21"/>
          <w:highlight w:val="none"/>
          <w:lang w:val="en-US" w:eastAsia="zh-CN"/>
        </w:rPr>
        <w:br w:type="page"/>
      </w:r>
    </w:p>
    <w:p w14:paraId="65BB047D">
      <w:pPr>
        <w:keepNext/>
        <w:keepLines/>
        <w:spacing w:before="120" w:after="120" w:line="360" w:lineRule="auto"/>
        <w:jc w:val="left"/>
        <w:outlineLvl w:val="2"/>
        <w:rPr>
          <w:rFonts w:hint="eastAsia" w:ascii="宋体" w:hAnsi="宋体" w:cs="宋体"/>
          <w:bCs/>
          <w:color w:val="auto"/>
          <w:sz w:val="24"/>
          <w:highlight w:val="none"/>
        </w:rPr>
      </w:pPr>
      <w:bookmarkStart w:id="1283" w:name="_Toc95223486"/>
      <w:r>
        <w:rPr>
          <w:rFonts w:hint="eastAsia" w:ascii="宋体" w:hAnsi="宋体" w:cs="宋体"/>
          <w:bCs/>
          <w:color w:val="auto"/>
          <w:sz w:val="24"/>
          <w:highlight w:val="none"/>
        </w:rPr>
        <w:t>附件1：承包人承揽工程项目一览表</w:t>
      </w:r>
      <w:bookmarkEnd w:id="1283"/>
    </w:p>
    <w:p w14:paraId="3C1F66A4">
      <w:pPr>
        <w:spacing w:line="360" w:lineRule="auto"/>
        <w:jc w:val="center"/>
        <w:rPr>
          <w:rFonts w:hint="eastAsia" w:ascii="宋体" w:hAnsi="宋体" w:cs="宋体"/>
          <w:color w:val="auto"/>
          <w:sz w:val="22"/>
          <w:szCs w:val="21"/>
          <w:highlight w:val="none"/>
        </w:rPr>
      </w:pPr>
      <w:r>
        <w:rPr>
          <w:rFonts w:hint="eastAsia" w:ascii="宋体" w:hAnsi="宋体" w:cs="宋体"/>
          <w:color w:val="auto"/>
          <w:sz w:val="22"/>
          <w:szCs w:val="21"/>
          <w:highlight w:val="none"/>
        </w:rPr>
        <w:t>承包人承揽工程项目一览表</w:t>
      </w:r>
    </w:p>
    <w:tbl>
      <w:tblPr>
        <w:tblStyle w:val="21"/>
        <w:tblW w:w="94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134"/>
        <w:gridCol w:w="1134"/>
        <w:gridCol w:w="993"/>
        <w:gridCol w:w="708"/>
        <w:gridCol w:w="1134"/>
        <w:gridCol w:w="1134"/>
        <w:gridCol w:w="993"/>
        <w:gridCol w:w="708"/>
        <w:gridCol w:w="567"/>
      </w:tblGrid>
      <w:tr w14:paraId="2E3EAC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center"/>
          </w:tcPr>
          <w:p w14:paraId="5A53861D">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单位工程名称</w:t>
            </w:r>
          </w:p>
        </w:tc>
        <w:tc>
          <w:tcPr>
            <w:tcW w:w="1134" w:type="dxa"/>
            <w:tcBorders>
              <w:top w:val="single" w:color="auto" w:sz="12" w:space="0"/>
              <w:bottom w:val="double" w:color="auto" w:sz="6" w:space="0"/>
            </w:tcBorders>
            <w:noWrap w:val="0"/>
            <w:vAlign w:val="center"/>
          </w:tcPr>
          <w:p w14:paraId="5B3060C1">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建设规模</w:t>
            </w:r>
          </w:p>
        </w:tc>
        <w:tc>
          <w:tcPr>
            <w:tcW w:w="1134" w:type="dxa"/>
            <w:tcBorders>
              <w:top w:val="single" w:color="auto" w:sz="12" w:space="0"/>
              <w:bottom w:val="double" w:color="auto" w:sz="6" w:space="0"/>
            </w:tcBorders>
            <w:noWrap w:val="0"/>
            <w:vAlign w:val="center"/>
          </w:tcPr>
          <w:p w14:paraId="2109DD09">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建筑面积</w:t>
            </w:r>
            <w:r>
              <w:rPr>
                <w:rFonts w:hint="eastAsia" w:ascii="宋体" w:hAnsi="宋体" w:cs="宋体"/>
                <w:color w:val="auto"/>
                <w:sz w:val="22"/>
                <w:szCs w:val="21"/>
                <w:highlight w:val="none"/>
                <w:lang w:eastAsia="zh-CN"/>
              </w:rPr>
              <w:t>（</w:t>
            </w:r>
            <w:r>
              <w:rPr>
                <w:rFonts w:hint="eastAsia" w:ascii="宋体" w:hAnsi="宋体" w:cs="宋体"/>
                <w:color w:val="auto"/>
                <w:sz w:val="22"/>
                <w:szCs w:val="21"/>
                <w:highlight w:val="none"/>
              </w:rPr>
              <w:t>平方米</w:t>
            </w:r>
            <w:r>
              <w:rPr>
                <w:rFonts w:hint="eastAsia" w:ascii="宋体" w:hAnsi="宋体" w:cs="宋体"/>
                <w:color w:val="auto"/>
                <w:sz w:val="22"/>
                <w:szCs w:val="21"/>
                <w:highlight w:val="none"/>
                <w:lang w:eastAsia="zh-CN"/>
              </w:rPr>
              <w:t>）</w:t>
            </w:r>
          </w:p>
        </w:tc>
        <w:tc>
          <w:tcPr>
            <w:tcW w:w="993" w:type="dxa"/>
            <w:tcBorders>
              <w:top w:val="single" w:color="auto" w:sz="12" w:space="0"/>
              <w:bottom w:val="double" w:color="auto" w:sz="6" w:space="0"/>
            </w:tcBorders>
            <w:noWrap w:val="0"/>
            <w:vAlign w:val="center"/>
          </w:tcPr>
          <w:p w14:paraId="07789EDD">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结构形式</w:t>
            </w:r>
          </w:p>
        </w:tc>
        <w:tc>
          <w:tcPr>
            <w:tcW w:w="708" w:type="dxa"/>
            <w:tcBorders>
              <w:top w:val="single" w:color="auto" w:sz="12" w:space="0"/>
              <w:bottom w:val="double" w:color="auto" w:sz="6" w:space="0"/>
            </w:tcBorders>
            <w:noWrap w:val="0"/>
            <w:vAlign w:val="center"/>
          </w:tcPr>
          <w:p w14:paraId="15870FAB">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层数</w:t>
            </w:r>
          </w:p>
        </w:tc>
        <w:tc>
          <w:tcPr>
            <w:tcW w:w="1134" w:type="dxa"/>
            <w:tcBorders>
              <w:top w:val="single" w:color="auto" w:sz="12" w:space="0"/>
              <w:bottom w:val="double" w:color="auto" w:sz="6" w:space="0"/>
            </w:tcBorders>
            <w:noWrap w:val="0"/>
            <w:vAlign w:val="center"/>
          </w:tcPr>
          <w:p w14:paraId="5976C713">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生产能力</w:t>
            </w:r>
          </w:p>
        </w:tc>
        <w:tc>
          <w:tcPr>
            <w:tcW w:w="1134" w:type="dxa"/>
            <w:tcBorders>
              <w:top w:val="single" w:color="auto" w:sz="12" w:space="0"/>
              <w:bottom w:val="double" w:color="auto" w:sz="6" w:space="0"/>
            </w:tcBorders>
            <w:noWrap w:val="0"/>
            <w:vAlign w:val="center"/>
          </w:tcPr>
          <w:p w14:paraId="7FB15F6A">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设备安装内容</w:t>
            </w:r>
          </w:p>
        </w:tc>
        <w:tc>
          <w:tcPr>
            <w:tcW w:w="993" w:type="dxa"/>
            <w:tcBorders>
              <w:top w:val="single" w:color="auto" w:sz="12" w:space="0"/>
              <w:bottom w:val="double" w:color="auto" w:sz="6" w:space="0"/>
            </w:tcBorders>
            <w:noWrap w:val="0"/>
            <w:vAlign w:val="center"/>
          </w:tcPr>
          <w:p w14:paraId="3A679D6E">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合同价格（元）</w:t>
            </w:r>
          </w:p>
        </w:tc>
        <w:tc>
          <w:tcPr>
            <w:tcW w:w="708" w:type="dxa"/>
            <w:tcBorders>
              <w:top w:val="single" w:color="auto" w:sz="12" w:space="0"/>
              <w:bottom w:val="double" w:color="auto" w:sz="6" w:space="0"/>
            </w:tcBorders>
            <w:noWrap w:val="0"/>
            <w:vAlign w:val="center"/>
          </w:tcPr>
          <w:p w14:paraId="5E709F28">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开工日期</w:t>
            </w:r>
          </w:p>
        </w:tc>
        <w:tc>
          <w:tcPr>
            <w:tcW w:w="567" w:type="dxa"/>
            <w:tcBorders>
              <w:top w:val="single" w:color="auto" w:sz="12" w:space="0"/>
              <w:bottom w:val="double" w:color="auto" w:sz="6" w:space="0"/>
            </w:tcBorders>
            <w:noWrap w:val="0"/>
            <w:vAlign w:val="center"/>
          </w:tcPr>
          <w:p w14:paraId="27826EAC">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竣工日期</w:t>
            </w:r>
          </w:p>
        </w:tc>
      </w:tr>
      <w:tr w14:paraId="58816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double" w:color="auto" w:sz="6" w:space="0"/>
            </w:tcBorders>
            <w:noWrap w:val="0"/>
            <w:vAlign w:val="center"/>
          </w:tcPr>
          <w:p w14:paraId="0E440A9B">
            <w:pPr>
              <w:keepNext/>
              <w:snapToGrid w:val="0"/>
              <w:spacing w:line="360" w:lineRule="auto"/>
              <w:rPr>
                <w:rFonts w:hint="eastAsia" w:ascii="宋体" w:hAnsi="宋体" w:cs="宋体"/>
                <w:color w:val="auto"/>
                <w:sz w:val="22"/>
                <w:szCs w:val="21"/>
                <w:highlight w:val="none"/>
              </w:rPr>
            </w:pPr>
          </w:p>
        </w:tc>
        <w:tc>
          <w:tcPr>
            <w:tcW w:w="1134" w:type="dxa"/>
            <w:tcBorders>
              <w:top w:val="double" w:color="auto" w:sz="6" w:space="0"/>
            </w:tcBorders>
            <w:noWrap w:val="0"/>
            <w:vAlign w:val="center"/>
          </w:tcPr>
          <w:p w14:paraId="389E5CFF">
            <w:pPr>
              <w:keepNext/>
              <w:snapToGrid w:val="0"/>
              <w:spacing w:line="360" w:lineRule="auto"/>
              <w:rPr>
                <w:rFonts w:hint="eastAsia" w:ascii="宋体" w:hAnsi="宋体" w:cs="宋体"/>
                <w:color w:val="auto"/>
                <w:sz w:val="22"/>
                <w:szCs w:val="21"/>
                <w:highlight w:val="none"/>
              </w:rPr>
            </w:pPr>
          </w:p>
        </w:tc>
        <w:tc>
          <w:tcPr>
            <w:tcW w:w="1134" w:type="dxa"/>
            <w:tcBorders>
              <w:top w:val="double" w:color="auto" w:sz="6" w:space="0"/>
            </w:tcBorders>
            <w:noWrap w:val="0"/>
            <w:vAlign w:val="center"/>
          </w:tcPr>
          <w:p w14:paraId="55003783">
            <w:pPr>
              <w:keepNext/>
              <w:snapToGrid w:val="0"/>
              <w:spacing w:line="360" w:lineRule="auto"/>
              <w:rPr>
                <w:rFonts w:hint="eastAsia" w:ascii="宋体" w:hAnsi="宋体" w:cs="宋体"/>
                <w:color w:val="auto"/>
                <w:sz w:val="22"/>
                <w:szCs w:val="21"/>
                <w:highlight w:val="none"/>
              </w:rPr>
            </w:pPr>
          </w:p>
        </w:tc>
        <w:tc>
          <w:tcPr>
            <w:tcW w:w="993" w:type="dxa"/>
            <w:tcBorders>
              <w:top w:val="double" w:color="auto" w:sz="6" w:space="0"/>
            </w:tcBorders>
            <w:noWrap w:val="0"/>
            <w:vAlign w:val="center"/>
          </w:tcPr>
          <w:p w14:paraId="687E1AE7">
            <w:pPr>
              <w:keepNext/>
              <w:snapToGrid w:val="0"/>
              <w:spacing w:line="360" w:lineRule="auto"/>
              <w:rPr>
                <w:rFonts w:hint="eastAsia" w:ascii="宋体" w:hAnsi="宋体" w:cs="宋体"/>
                <w:color w:val="auto"/>
                <w:sz w:val="22"/>
                <w:szCs w:val="21"/>
                <w:highlight w:val="none"/>
              </w:rPr>
            </w:pPr>
          </w:p>
        </w:tc>
        <w:tc>
          <w:tcPr>
            <w:tcW w:w="708" w:type="dxa"/>
            <w:tcBorders>
              <w:top w:val="double" w:color="auto" w:sz="6" w:space="0"/>
            </w:tcBorders>
            <w:noWrap w:val="0"/>
            <w:vAlign w:val="center"/>
          </w:tcPr>
          <w:p w14:paraId="68FD6B8A">
            <w:pPr>
              <w:keepNext/>
              <w:snapToGrid w:val="0"/>
              <w:spacing w:line="360" w:lineRule="auto"/>
              <w:rPr>
                <w:rFonts w:hint="eastAsia" w:ascii="宋体" w:hAnsi="宋体" w:cs="宋体"/>
                <w:color w:val="auto"/>
                <w:sz w:val="22"/>
                <w:szCs w:val="21"/>
                <w:highlight w:val="none"/>
              </w:rPr>
            </w:pPr>
          </w:p>
        </w:tc>
        <w:tc>
          <w:tcPr>
            <w:tcW w:w="1134" w:type="dxa"/>
            <w:tcBorders>
              <w:top w:val="double" w:color="auto" w:sz="6" w:space="0"/>
            </w:tcBorders>
            <w:noWrap w:val="0"/>
            <w:vAlign w:val="center"/>
          </w:tcPr>
          <w:p w14:paraId="1A02E0B0">
            <w:pPr>
              <w:keepNext/>
              <w:snapToGrid w:val="0"/>
              <w:spacing w:line="360" w:lineRule="auto"/>
              <w:rPr>
                <w:rFonts w:hint="eastAsia" w:ascii="宋体" w:hAnsi="宋体" w:cs="宋体"/>
                <w:color w:val="auto"/>
                <w:sz w:val="22"/>
                <w:szCs w:val="21"/>
                <w:highlight w:val="none"/>
              </w:rPr>
            </w:pPr>
          </w:p>
        </w:tc>
        <w:tc>
          <w:tcPr>
            <w:tcW w:w="1134" w:type="dxa"/>
            <w:tcBorders>
              <w:top w:val="double" w:color="auto" w:sz="6" w:space="0"/>
            </w:tcBorders>
            <w:noWrap w:val="0"/>
            <w:vAlign w:val="center"/>
          </w:tcPr>
          <w:p w14:paraId="779035D6">
            <w:pPr>
              <w:keepNext/>
              <w:snapToGrid w:val="0"/>
              <w:spacing w:line="360" w:lineRule="auto"/>
              <w:rPr>
                <w:rFonts w:hint="eastAsia" w:ascii="宋体" w:hAnsi="宋体" w:cs="宋体"/>
                <w:color w:val="auto"/>
                <w:sz w:val="22"/>
                <w:szCs w:val="21"/>
                <w:highlight w:val="none"/>
              </w:rPr>
            </w:pPr>
          </w:p>
        </w:tc>
        <w:tc>
          <w:tcPr>
            <w:tcW w:w="993" w:type="dxa"/>
            <w:tcBorders>
              <w:top w:val="double" w:color="auto" w:sz="6" w:space="0"/>
            </w:tcBorders>
            <w:noWrap w:val="0"/>
            <w:vAlign w:val="center"/>
          </w:tcPr>
          <w:p w14:paraId="542EB249">
            <w:pPr>
              <w:keepNext/>
              <w:snapToGrid w:val="0"/>
              <w:spacing w:line="360" w:lineRule="auto"/>
              <w:rPr>
                <w:rFonts w:hint="eastAsia" w:ascii="宋体" w:hAnsi="宋体" w:cs="宋体"/>
                <w:color w:val="auto"/>
                <w:sz w:val="22"/>
                <w:szCs w:val="21"/>
                <w:highlight w:val="none"/>
              </w:rPr>
            </w:pPr>
          </w:p>
        </w:tc>
        <w:tc>
          <w:tcPr>
            <w:tcW w:w="708" w:type="dxa"/>
            <w:tcBorders>
              <w:top w:val="double" w:color="auto" w:sz="6" w:space="0"/>
            </w:tcBorders>
            <w:noWrap w:val="0"/>
            <w:vAlign w:val="center"/>
          </w:tcPr>
          <w:p w14:paraId="6C96B9A0">
            <w:pPr>
              <w:keepNext/>
              <w:snapToGrid w:val="0"/>
              <w:spacing w:line="360" w:lineRule="auto"/>
              <w:rPr>
                <w:rFonts w:hint="eastAsia" w:ascii="宋体" w:hAnsi="宋体" w:cs="宋体"/>
                <w:color w:val="auto"/>
                <w:sz w:val="22"/>
                <w:szCs w:val="21"/>
                <w:highlight w:val="none"/>
              </w:rPr>
            </w:pPr>
          </w:p>
        </w:tc>
        <w:tc>
          <w:tcPr>
            <w:tcW w:w="567" w:type="dxa"/>
            <w:tcBorders>
              <w:top w:val="double" w:color="auto" w:sz="6" w:space="0"/>
            </w:tcBorders>
            <w:noWrap w:val="0"/>
            <w:vAlign w:val="center"/>
          </w:tcPr>
          <w:p w14:paraId="1215C284">
            <w:pPr>
              <w:keepNext/>
              <w:snapToGrid w:val="0"/>
              <w:spacing w:line="360" w:lineRule="auto"/>
              <w:rPr>
                <w:rFonts w:hint="eastAsia" w:ascii="宋体" w:hAnsi="宋体" w:cs="宋体"/>
                <w:color w:val="auto"/>
                <w:sz w:val="22"/>
                <w:szCs w:val="21"/>
                <w:highlight w:val="none"/>
              </w:rPr>
            </w:pPr>
          </w:p>
        </w:tc>
      </w:tr>
      <w:tr w14:paraId="7088C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nil"/>
            </w:tcBorders>
            <w:noWrap w:val="0"/>
            <w:vAlign w:val="center"/>
          </w:tcPr>
          <w:p w14:paraId="30F47035">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3D8DB66A">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55A03562">
            <w:pPr>
              <w:keepNext/>
              <w:snapToGrid w:val="0"/>
              <w:spacing w:line="360" w:lineRule="auto"/>
              <w:rPr>
                <w:rFonts w:hint="eastAsia" w:ascii="宋体" w:hAnsi="宋体" w:cs="宋体"/>
                <w:color w:val="auto"/>
                <w:sz w:val="22"/>
                <w:szCs w:val="21"/>
                <w:highlight w:val="none"/>
              </w:rPr>
            </w:pPr>
          </w:p>
        </w:tc>
        <w:tc>
          <w:tcPr>
            <w:tcW w:w="993" w:type="dxa"/>
            <w:tcBorders>
              <w:top w:val="nil"/>
            </w:tcBorders>
            <w:noWrap w:val="0"/>
            <w:vAlign w:val="center"/>
          </w:tcPr>
          <w:p w14:paraId="272696C4">
            <w:pPr>
              <w:keepNext/>
              <w:snapToGrid w:val="0"/>
              <w:spacing w:line="360" w:lineRule="auto"/>
              <w:rPr>
                <w:rFonts w:hint="eastAsia" w:ascii="宋体" w:hAnsi="宋体" w:cs="宋体"/>
                <w:color w:val="auto"/>
                <w:sz w:val="22"/>
                <w:szCs w:val="21"/>
                <w:highlight w:val="none"/>
              </w:rPr>
            </w:pPr>
          </w:p>
        </w:tc>
        <w:tc>
          <w:tcPr>
            <w:tcW w:w="708" w:type="dxa"/>
            <w:tcBorders>
              <w:top w:val="nil"/>
            </w:tcBorders>
            <w:noWrap w:val="0"/>
            <w:vAlign w:val="center"/>
          </w:tcPr>
          <w:p w14:paraId="1411801D">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6B59F18C">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54663984">
            <w:pPr>
              <w:keepNext/>
              <w:snapToGrid w:val="0"/>
              <w:spacing w:line="360" w:lineRule="auto"/>
              <w:rPr>
                <w:rFonts w:hint="eastAsia" w:ascii="宋体" w:hAnsi="宋体" w:cs="宋体"/>
                <w:color w:val="auto"/>
                <w:sz w:val="22"/>
                <w:szCs w:val="21"/>
                <w:highlight w:val="none"/>
              </w:rPr>
            </w:pPr>
          </w:p>
        </w:tc>
        <w:tc>
          <w:tcPr>
            <w:tcW w:w="993" w:type="dxa"/>
            <w:tcBorders>
              <w:top w:val="nil"/>
            </w:tcBorders>
            <w:noWrap w:val="0"/>
            <w:vAlign w:val="center"/>
          </w:tcPr>
          <w:p w14:paraId="1960B23A">
            <w:pPr>
              <w:keepNext/>
              <w:snapToGrid w:val="0"/>
              <w:spacing w:line="360" w:lineRule="auto"/>
              <w:rPr>
                <w:rFonts w:hint="eastAsia" w:ascii="宋体" w:hAnsi="宋体" w:cs="宋体"/>
                <w:color w:val="auto"/>
                <w:sz w:val="22"/>
                <w:szCs w:val="21"/>
                <w:highlight w:val="none"/>
              </w:rPr>
            </w:pPr>
          </w:p>
        </w:tc>
        <w:tc>
          <w:tcPr>
            <w:tcW w:w="708" w:type="dxa"/>
            <w:tcBorders>
              <w:top w:val="nil"/>
            </w:tcBorders>
            <w:noWrap w:val="0"/>
            <w:vAlign w:val="center"/>
          </w:tcPr>
          <w:p w14:paraId="087457AF">
            <w:pPr>
              <w:keepNext/>
              <w:snapToGrid w:val="0"/>
              <w:spacing w:line="360" w:lineRule="auto"/>
              <w:rPr>
                <w:rFonts w:hint="eastAsia" w:ascii="宋体" w:hAnsi="宋体" w:cs="宋体"/>
                <w:color w:val="auto"/>
                <w:sz w:val="22"/>
                <w:szCs w:val="21"/>
                <w:highlight w:val="none"/>
              </w:rPr>
            </w:pPr>
          </w:p>
        </w:tc>
        <w:tc>
          <w:tcPr>
            <w:tcW w:w="567" w:type="dxa"/>
            <w:tcBorders>
              <w:top w:val="nil"/>
            </w:tcBorders>
            <w:noWrap w:val="0"/>
            <w:vAlign w:val="center"/>
          </w:tcPr>
          <w:p w14:paraId="00DEB885">
            <w:pPr>
              <w:keepNext/>
              <w:snapToGrid w:val="0"/>
              <w:spacing w:line="360" w:lineRule="auto"/>
              <w:rPr>
                <w:rFonts w:hint="eastAsia" w:ascii="宋体" w:hAnsi="宋体" w:cs="宋体"/>
                <w:color w:val="auto"/>
                <w:sz w:val="22"/>
                <w:szCs w:val="21"/>
                <w:highlight w:val="none"/>
              </w:rPr>
            </w:pPr>
          </w:p>
        </w:tc>
      </w:tr>
      <w:tr w14:paraId="4EC4F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nil"/>
            </w:tcBorders>
            <w:noWrap w:val="0"/>
            <w:vAlign w:val="center"/>
          </w:tcPr>
          <w:p w14:paraId="40E13479">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7E6CBC31">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008F3060">
            <w:pPr>
              <w:keepNext/>
              <w:snapToGrid w:val="0"/>
              <w:spacing w:line="360" w:lineRule="auto"/>
              <w:rPr>
                <w:rFonts w:hint="eastAsia" w:ascii="宋体" w:hAnsi="宋体" w:cs="宋体"/>
                <w:color w:val="auto"/>
                <w:sz w:val="22"/>
                <w:szCs w:val="21"/>
                <w:highlight w:val="none"/>
              </w:rPr>
            </w:pPr>
          </w:p>
        </w:tc>
        <w:tc>
          <w:tcPr>
            <w:tcW w:w="993" w:type="dxa"/>
            <w:tcBorders>
              <w:top w:val="nil"/>
            </w:tcBorders>
            <w:noWrap w:val="0"/>
            <w:vAlign w:val="center"/>
          </w:tcPr>
          <w:p w14:paraId="39BACEEC">
            <w:pPr>
              <w:keepNext/>
              <w:snapToGrid w:val="0"/>
              <w:spacing w:line="360" w:lineRule="auto"/>
              <w:rPr>
                <w:rFonts w:hint="eastAsia" w:ascii="宋体" w:hAnsi="宋体" w:cs="宋体"/>
                <w:color w:val="auto"/>
                <w:sz w:val="22"/>
                <w:szCs w:val="21"/>
                <w:highlight w:val="none"/>
              </w:rPr>
            </w:pPr>
          </w:p>
        </w:tc>
        <w:tc>
          <w:tcPr>
            <w:tcW w:w="708" w:type="dxa"/>
            <w:tcBorders>
              <w:top w:val="nil"/>
            </w:tcBorders>
            <w:noWrap w:val="0"/>
            <w:vAlign w:val="center"/>
          </w:tcPr>
          <w:p w14:paraId="70A9D8A7">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3B970DD2">
            <w:pPr>
              <w:keepNext/>
              <w:snapToGrid w:val="0"/>
              <w:spacing w:line="360" w:lineRule="auto"/>
              <w:rPr>
                <w:rFonts w:hint="eastAsia" w:ascii="宋体" w:hAnsi="宋体" w:cs="宋体"/>
                <w:color w:val="auto"/>
                <w:sz w:val="22"/>
                <w:szCs w:val="21"/>
                <w:highlight w:val="none"/>
              </w:rPr>
            </w:pPr>
          </w:p>
        </w:tc>
        <w:tc>
          <w:tcPr>
            <w:tcW w:w="1134" w:type="dxa"/>
            <w:tcBorders>
              <w:top w:val="nil"/>
            </w:tcBorders>
            <w:noWrap w:val="0"/>
            <w:vAlign w:val="center"/>
          </w:tcPr>
          <w:p w14:paraId="3EC59406">
            <w:pPr>
              <w:keepNext/>
              <w:snapToGrid w:val="0"/>
              <w:spacing w:line="360" w:lineRule="auto"/>
              <w:rPr>
                <w:rFonts w:hint="eastAsia" w:ascii="宋体" w:hAnsi="宋体" w:cs="宋体"/>
                <w:color w:val="auto"/>
                <w:sz w:val="22"/>
                <w:szCs w:val="21"/>
                <w:highlight w:val="none"/>
              </w:rPr>
            </w:pPr>
          </w:p>
        </w:tc>
        <w:tc>
          <w:tcPr>
            <w:tcW w:w="993" w:type="dxa"/>
            <w:tcBorders>
              <w:top w:val="nil"/>
            </w:tcBorders>
            <w:noWrap w:val="0"/>
            <w:vAlign w:val="center"/>
          </w:tcPr>
          <w:p w14:paraId="0BA0D482">
            <w:pPr>
              <w:keepNext/>
              <w:snapToGrid w:val="0"/>
              <w:spacing w:line="360" w:lineRule="auto"/>
              <w:rPr>
                <w:rFonts w:hint="eastAsia" w:ascii="宋体" w:hAnsi="宋体" w:cs="宋体"/>
                <w:color w:val="auto"/>
                <w:sz w:val="22"/>
                <w:szCs w:val="21"/>
                <w:highlight w:val="none"/>
              </w:rPr>
            </w:pPr>
          </w:p>
        </w:tc>
        <w:tc>
          <w:tcPr>
            <w:tcW w:w="708" w:type="dxa"/>
            <w:tcBorders>
              <w:top w:val="nil"/>
            </w:tcBorders>
            <w:noWrap w:val="0"/>
            <w:vAlign w:val="center"/>
          </w:tcPr>
          <w:p w14:paraId="6D724F88">
            <w:pPr>
              <w:keepNext/>
              <w:snapToGrid w:val="0"/>
              <w:spacing w:line="360" w:lineRule="auto"/>
              <w:rPr>
                <w:rFonts w:hint="eastAsia" w:ascii="宋体" w:hAnsi="宋体" w:cs="宋体"/>
                <w:color w:val="auto"/>
                <w:sz w:val="22"/>
                <w:szCs w:val="21"/>
                <w:highlight w:val="none"/>
              </w:rPr>
            </w:pPr>
          </w:p>
        </w:tc>
        <w:tc>
          <w:tcPr>
            <w:tcW w:w="567" w:type="dxa"/>
            <w:tcBorders>
              <w:top w:val="nil"/>
            </w:tcBorders>
            <w:noWrap w:val="0"/>
            <w:vAlign w:val="center"/>
          </w:tcPr>
          <w:p w14:paraId="6E4E1E5B">
            <w:pPr>
              <w:keepNext/>
              <w:snapToGrid w:val="0"/>
              <w:spacing w:line="360" w:lineRule="auto"/>
              <w:rPr>
                <w:rFonts w:hint="eastAsia" w:ascii="宋体" w:hAnsi="宋体" w:cs="宋体"/>
                <w:color w:val="auto"/>
                <w:sz w:val="22"/>
                <w:szCs w:val="21"/>
                <w:highlight w:val="none"/>
              </w:rPr>
            </w:pPr>
          </w:p>
        </w:tc>
      </w:tr>
      <w:tr w14:paraId="6643F3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bottom w:val="single" w:color="auto" w:sz="12" w:space="0"/>
            </w:tcBorders>
            <w:noWrap w:val="0"/>
            <w:vAlign w:val="center"/>
          </w:tcPr>
          <w:p w14:paraId="2499733B">
            <w:pPr>
              <w:keepNext/>
              <w:snapToGrid w:val="0"/>
              <w:spacing w:line="360" w:lineRule="auto"/>
              <w:rPr>
                <w:rFonts w:hint="eastAsia" w:ascii="宋体" w:hAnsi="宋体" w:cs="宋体"/>
                <w:color w:val="auto"/>
                <w:sz w:val="22"/>
                <w:szCs w:val="21"/>
                <w:highlight w:val="none"/>
              </w:rPr>
            </w:pPr>
          </w:p>
        </w:tc>
        <w:tc>
          <w:tcPr>
            <w:tcW w:w="1134" w:type="dxa"/>
            <w:tcBorders>
              <w:bottom w:val="single" w:color="auto" w:sz="12" w:space="0"/>
            </w:tcBorders>
            <w:noWrap w:val="0"/>
            <w:vAlign w:val="center"/>
          </w:tcPr>
          <w:p w14:paraId="2C4AD8FC">
            <w:pPr>
              <w:keepNext/>
              <w:snapToGrid w:val="0"/>
              <w:spacing w:line="360" w:lineRule="auto"/>
              <w:rPr>
                <w:rFonts w:hint="eastAsia" w:ascii="宋体" w:hAnsi="宋体" w:cs="宋体"/>
                <w:color w:val="auto"/>
                <w:sz w:val="22"/>
                <w:szCs w:val="21"/>
                <w:highlight w:val="none"/>
              </w:rPr>
            </w:pPr>
          </w:p>
        </w:tc>
        <w:tc>
          <w:tcPr>
            <w:tcW w:w="1134" w:type="dxa"/>
            <w:tcBorders>
              <w:bottom w:val="single" w:color="auto" w:sz="12" w:space="0"/>
            </w:tcBorders>
            <w:noWrap w:val="0"/>
            <w:vAlign w:val="center"/>
          </w:tcPr>
          <w:p w14:paraId="204EA477">
            <w:pPr>
              <w:keepNext/>
              <w:snapToGrid w:val="0"/>
              <w:spacing w:line="360" w:lineRule="auto"/>
              <w:rPr>
                <w:rFonts w:hint="eastAsia" w:ascii="宋体" w:hAnsi="宋体" w:cs="宋体"/>
                <w:color w:val="auto"/>
                <w:sz w:val="22"/>
                <w:szCs w:val="21"/>
                <w:highlight w:val="none"/>
              </w:rPr>
            </w:pPr>
          </w:p>
        </w:tc>
        <w:tc>
          <w:tcPr>
            <w:tcW w:w="993" w:type="dxa"/>
            <w:tcBorders>
              <w:bottom w:val="single" w:color="auto" w:sz="12" w:space="0"/>
            </w:tcBorders>
            <w:noWrap w:val="0"/>
            <w:vAlign w:val="center"/>
          </w:tcPr>
          <w:p w14:paraId="18F3C5E6">
            <w:pPr>
              <w:keepNext/>
              <w:snapToGrid w:val="0"/>
              <w:spacing w:line="360" w:lineRule="auto"/>
              <w:rPr>
                <w:rFonts w:hint="eastAsia" w:ascii="宋体" w:hAnsi="宋体" w:cs="宋体"/>
                <w:color w:val="auto"/>
                <w:sz w:val="22"/>
                <w:szCs w:val="21"/>
                <w:highlight w:val="none"/>
              </w:rPr>
            </w:pPr>
          </w:p>
        </w:tc>
        <w:tc>
          <w:tcPr>
            <w:tcW w:w="708" w:type="dxa"/>
            <w:tcBorders>
              <w:bottom w:val="single" w:color="auto" w:sz="12" w:space="0"/>
            </w:tcBorders>
            <w:noWrap w:val="0"/>
            <w:vAlign w:val="center"/>
          </w:tcPr>
          <w:p w14:paraId="290C266C">
            <w:pPr>
              <w:keepNext/>
              <w:snapToGrid w:val="0"/>
              <w:spacing w:line="360" w:lineRule="auto"/>
              <w:rPr>
                <w:rFonts w:hint="eastAsia" w:ascii="宋体" w:hAnsi="宋体" w:cs="宋体"/>
                <w:color w:val="auto"/>
                <w:sz w:val="22"/>
                <w:szCs w:val="21"/>
                <w:highlight w:val="none"/>
              </w:rPr>
            </w:pPr>
          </w:p>
        </w:tc>
        <w:tc>
          <w:tcPr>
            <w:tcW w:w="1134" w:type="dxa"/>
            <w:tcBorders>
              <w:bottom w:val="single" w:color="auto" w:sz="12" w:space="0"/>
            </w:tcBorders>
            <w:noWrap w:val="0"/>
            <w:vAlign w:val="center"/>
          </w:tcPr>
          <w:p w14:paraId="56366ADF">
            <w:pPr>
              <w:keepNext/>
              <w:snapToGrid w:val="0"/>
              <w:spacing w:line="360" w:lineRule="auto"/>
              <w:rPr>
                <w:rFonts w:hint="eastAsia" w:ascii="宋体" w:hAnsi="宋体" w:cs="宋体"/>
                <w:color w:val="auto"/>
                <w:sz w:val="22"/>
                <w:szCs w:val="21"/>
                <w:highlight w:val="none"/>
              </w:rPr>
            </w:pPr>
          </w:p>
        </w:tc>
        <w:tc>
          <w:tcPr>
            <w:tcW w:w="1134" w:type="dxa"/>
            <w:tcBorders>
              <w:bottom w:val="single" w:color="auto" w:sz="12" w:space="0"/>
            </w:tcBorders>
            <w:noWrap w:val="0"/>
            <w:vAlign w:val="center"/>
          </w:tcPr>
          <w:p w14:paraId="29397A54">
            <w:pPr>
              <w:keepNext/>
              <w:snapToGrid w:val="0"/>
              <w:spacing w:line="360" w:lineRule="auto"/>
              <w:rPr>
                <w:rFonts w:hint="eastAsia" w:ascii="宋体" w:hAnsi="宋体" w:cs="宋体"/>
                <w:color w:val="auto"/>
                <w:sz w:val="22"/>
                <w:szCs w:val="21"/>
                <w:highlight w:val="none"/>
              </w:rPr>
            </w:pPr>
          </w:p>
        </w:tc>
        <w:tc>
          <w:tcPr>
            <w:tcW w:w="993" w:type="dxa"/>
            <w:tcBorders>
              <w:bottom w:val="single" w:color="auto" w:sz="12" w:space="0"/>
            </w:tcBorders>
            <w:noWrap w:val="0"/>
            <w:vAlign w:val="center"/>
          </w:tcPr>
          <w:p w14:paraId="74EB2F5E">
            <w:pPr>
              <w:keepNext/>
              <w:snapToGrid w:val="0"/>
              <w:spacing w:line="360" w:lineRule="auto"/>
              <w:rPr>
                <w:rFonts w:hint="eastAsia" w:ascii="宋体" w:hAnsi="宋体" w:cs="宋体"/>
                <w:color w:val="auto"/>
                <w:sz w:val="22"/>
                <w:szCs w:val="21"/>
                <w:highlight w:val="none"/>
              </w:rPr>
            </w:pPr>
          </w:p>
        </w:tc>
        <w:tc>
          <w:tcPr>
            <w:tcW w:w="708" w:type="dxa"/>
            <w:tcBorders>
              <w:bottom w:val="single" w:color="auto" w:sz="12" w:space="0"/>
            </w:tcBorders>
            <w:noWrap w:val="0"/>
            <w:vAlign w:val="center"/>
          </w:tcPr>
          <w:p w14:paraId="47F91B09">
            <w:pPr>
              <w:keepNext/>
              <w:snapToGrid w:val="0"/>
              <w:spacing w:line="360" w:lineRule="auto"/>
              <w:rPr>
                <w:rFonts w:hint="eastAsia" w:ascii="宋体" w:hAnsi="宋体" w:cs="宋体"/>
                <w:color w:val="auto"/>
                <w:sz w:val="22"/>
                <w:szCs w:val="21"/>
                <w:highlight w:val="none"/>
              </w:rPr>
            </w:pPr>
          </w:p>
        </w:tc>
        <w:tc>
          <w:tcPr>
            <w:tcW w:w="567" w:type="dxa"/>
            <w:tcBorders>
              <w:bottom w:val="single" w:color="auto" w:sz="12" w:space="0"/>
            </w:tcBorders>
            <w:noWrap w:val="0"/>
            <w:vAlign w:val="center"/>
          </w:tcPr>
          <w:p w14:paraId="479836AF">
            <w:pPr>
              <w:keepNext/>
              <w:snapToGrid w:val="0"/>
              <w:spacing w:line="360" w:lineRule="auto"/>
              <w:rPr>
                <w:rFonts w:hint="eastAsia" w:ascii="宋体" w:hAnsi="宋体" w:cs="宋体"/>
                <w:color w:val="auto"/>
                <w:sz w:val="22"/>
                <w:szCs w:val="21"/>
                <w:highlight w:val="none"/>
              </w:rPr>
            </w:pPr>
          </w:p>
        </w:tc>
      </w:tr>
    </w:tbl>
    <w:p w14:paraId="0123E964">
      <w:pPr>
        <w:spacing w:line="360" w:lineRule="auto"/>
        <w:rPr>
          <w:rFonts w:hint="eastAsia" w:ascii="宋体" w:hAnsi="宋体" w:cs="宋体"/>
          <w:color w:val="auto"/>
          <w:sz w:val="22"/>
          <w:szCs w:val="21"/>
          <w:highlight w:val="none"/>
        </w:rPr>
      </w:pPr>
    </w:p>
    <w:p w14:paraId="6EC58DE8">
      <w:pPr>
        <w:spacing w:line="360" w:lineRule="auto"/>
        <w:rPr>
          <w:rFonts w:hint="eastAsia" w:ascii="宋体" w:hAnsi="宋体" w:cs="宋体"/>
          <w:color w:val="auto"/>
          <w:sz w:val="22"/>
          <w:szCs w:val="21"/>
          <w:highlight w:val="none"/>
        </w:rPr>
      </w:pPr>
    </w:p>
    <w:p w14:paraId="035B3D3B">
      <w:pPr>
        <w:keepNext/>
        <w:keepLines/>
        <w:spacing w:before="120" w:after="120" w:line="360" w:lineRule="auto"/>
        <w:jc w:val="left"/>
        <w:outlineLvl w:val="2"/>
        <w:rPr>
          <w:rFonts w:hint="eastAsia" w:ascii="宋体" w:hAnsi="宋体" w:cs="宋体"/>
          <w:bCs/>
          <w:color w:val="auto"/>
          <w:sz w:val="24"/>
          <w:highlight w:val="none"/>
        </w:rPr>
      </w:pPr>
      <w:bookmarkStart w:id="1284" w:name="_Toc95223487"/>
      <w:r>
        <w:rPr>
          <w:rFonts w:hint="eastAsia" w:ascii="宋体" w:hAnsi="宋体" w:cs="宋体"/>
          <w:bCs/>
          <w:color w:val="auto"/>
          <w:sz w:val="24"/>
          <w:highlight w:val="none"/>
        </w:rPr>
        <w:t>附</w:t>
      </w:r>
      <w:bookmarkStart w:id="1285" w:name="_Toc296503225"/>
      <w:bookmarkStart w:id="1286" w:name="_Toc296347224"/>
      <w:bookmarkStart w:id="1287" w:name="_Toc296346726"/>
      <w:bookmarkStart w:id="1288" w:name="_Toc296891053"/>
      <w:bookmarkStart w:id="1289" w:name="_Toc267261692"/>
      <w:bookmarkStart w:id="1290" w:name="_Toc296891265"/>
      <w:bookmarkStart w:id="1291" w:name="_Toc296944564"/>
      <w:r>
        <w:rPr>
          <w:rFonts w:hint="eastAsia" w:ascii="宋体" w:hAnsi="宋体" w:cs="宋体"/>
          <w:bCs/>
          <w:color w:val="auto"/>
          <w:sz w:val="24"/>
          <w:highlight w:val="none"/>
        </w:rPr>
        <w:t>件2：发包人供应材料设备一览表</w:t>
      </w:r>
      <w:bookmarkEnd w:id="1284"/>
    </w:p>
    <w:bookmarkEnd w:id="1285"/>
    <w:bookmarkEnd w:id="1286"/>
    <w:bookmarkEnd w:id="1287"/>
    <w:bookmarkEnd w:id="1288"/>
    <w:bookmarkEnd w:id="1289"/>
    <w:bookmarkEnd w:id="1290"/>
    <w:bookmarkEnd w:id="1291"/>
    <w:p w14:paraId="6A5B1615">
      <w:pPr>
        <w:spacing w:line="360" w:lineRule="auto"/>
        <w:jc w:val="center"/>
        <w:rPr>
          <w:rFonts w:hint="eastAsia" w:ascii="宋体" w:hAnsi="宋体" w:cs="宋体"/>
          <w:color w:val="auto"/>
          <w:sz w:val="22"/>
          <w:szCs w:val="21"/>
          <w:highlight w:val="none"/>
        </w:rPr>
      </w:pPr>
      <w:r>
        <w:rPr>
          <w:rFonts w:hint="eastAsia" w:ascii="宋体" w:hAnsi="宋体" w:cs="宋体"/>
          <w:color w:val="auto"/>
          <w:sz w:val="22"/>
          <w:szCs w:val="21"/>
          <w:highlight w:val="none"/>
        </w:rPr>
        <w:t>发包人供应材料设备一览表</w:t>
      </w:r>
    </w:p>
    <w:tbl>
      <w:tblPr>
        <w:tblStyle w:val="21"/>
        <w:tblW w:w="96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082"/>
        <w:gridCol w:w="940"/>
        <w:gridCol w:w="851"/>
        <w:gridCol w:w="1044"/>
        <w:gridCol w:w="992"/>
        <w:gridCol w:w="851"/>
        <w:gridCol w:w="966"/>
        <w:gridCol w:w="803"/>
      </w:tblGrid>
      <w:tr w14:paraId="681311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51" w:type="dxa"/>
            <w:tcBorders>
              <w:top w:val="single" w:color="auto" w:sz="12" w:space="0"/>
              <w:bottom w:val="double" w:color="auto" w:sz="6" w:space="0"/>
            </w:tcBorders>
            <w:noWrap w:val="0"/>
            <w:vAlign w:val="center"/>
          </w:tcPr>
          <w:p w14:paraId="15F5AC73">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序号</w:t>
            </w:r>
          </w:p>
        </w:tc>
        <w:tc>
          <w:tcPr>
            <w:tcW w:w="1276" w:type="dxa"/>
            <w:tcBorders>
              <w:top w:val="single" w:color="auto" w:sz="12" w:space="0"/>
              <w:bottom w:val="double" w:color="auto" w:sz="6" w:space="0"/>
            </w:tcBorders>
            <w:noWrap w:val="0"/>
            <w:vAlign w:val="center"/>
          </w:tcPr>
          <w:p w14:paraId="0F896ABB">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材料、设备品种</w:t>
            </w:r>
          </w:p>
        </w:tc>
        <w:tc>
          <w:tcPr>
            <w:tcW w:w="1082" w:type="dxa"/>
            <w:tcBorders>
              <w:top w:val="single" w:color="auto" w:sz="12" w:space="0"/>
              <w:bottom w:val="double" w:color="auto" w:sz="6" w:space="0"/>
            </w:tcBorders>
            <w:noWrap w:val="0"/>
            <w:vAlign w:val="center"/>
          </w:tcPr>
          <w:p w14:paraId="0E1D8642">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规格型号</w:t>
            </w:r>
          </w:p>
        </w:tc>
        <w:tc>
          <w:tcPr>
            <w:tcW w:w="940" w:type="dxa"/>
            <w:tcBorders>
              <w:top w:val="single" w:color="auto" w:sz="12" w:space="0"/>
              <w:bottom w:val="double" w:color="auto" w:sz="6" w:space="0"/>
            </w:tcBorders>
            <w:noWrap w:val="0"/>
            <w:vAlign w:val="center"/>
          </w:tcPr>
          <w:p w14:paraId="1F3C8FDF">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单位</w:t>
            </w:r>
          </w:p>
        </w:tc>
        <w:tc>
          <w:tcPr>
            <w:tcW w:w="851" w:type="dxa"/>
            <w:tcBorders>
              <w:top w:val="single" w:color="auto" w:sz="12" w:space="0"/>
              <w:bottom w:val="double" w:color="auto" w:sz="6" w:space="0"/>
            </w:tcBorders>
            <w:noWrap w:val="0"/>
            <w:vAlign w:val="center"/>
          </w:tcPr>
          <w:p w14:paraId="2E4CC768">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数量</w:t>
            </w:r>
          </w:p>
        </w:tc>
        <w:tc>
          <w:tcPr>
            <w:tcW w:w="1044" w:type="dxa"/>
            <w:tcBorders>
              <w:top w:val="single" w:color="auto" w:sz="12" w:space="0"/>
              <w:bottom w:val="double" w:color="auto" w:sz="6" w:space="0"/>
            </w:tcBorders>
            <w:noWrap w:val="0"/>
            <w:vAlign w:val="center"/>
          </w:tcPr>
          <w:p w14:paraId="6EF8548D">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单价（元）</w:t>
            </w:r>
          </w:p>
        </w:tc>
        <w:tc>
          <w:tcPr>
            <w:tcW w:w="992" w:type="dxa"/>
            <w:tcBorders>
              <w:top w:val="single" w:color="auto" w:sz="12" w:space="0"/>
              <w:bottom w:val="double" w:color="auto" w:sz="6" w:space="0"/>
            </w:tcBorders>
            <w:noWrap w:val="0"/>
            <w:vAlign w:val="center"/>
          </w:tcPr>
          <w:p w14:paraId="7628B595">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质量等级</w:t>
            </w:r>
          </w:p>
        </w:tc>
        <w:tc>
          <w:tcPr>
            <w:tcW w:w="851" w:type="dxa"/>
            <w:tcBorders>
              <w:top w:val="single" w:color="auto" w:sz="12" w:space="0"/>
              <w:bottom w:val="double" w:color="auto" w:sz="6" w:space="0"/>
            </w:tcBorders>
            <w:noWrap w:val="0"/>
            <w:vAlign w:val="center"/>
          </w:tcPr>
          <w:p w14:paraId="6A0ABCFB">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供应时间</w:t>
            </w:r>
          </w:p>
        </w:tc>
        <w:tc>
          <w:tcPr>
            <w:tcW w:w="966" w:type="dxa"/>
            <w:tcBorders>
              <w:top w:val="single" w:color="auto" w:sz="12" w:space="0"/>
              <w:bottom w:val="double" w:color="auto" w:sz="6" w:space="0"/>
            </w:tcBorders>
            <w:noWrap w:val="0"/>
            <w:vAlign w:val="center"/>
          </w:tcPr>
          <w:p w14:paraId="258522E7">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送达地点</w:t>
            </w:r>
          </w:p>
        </w:tc>
        <w:tc>
          <w:tcPr>
            <w:tcW w:w="803" w:type="dxa"/>
            <w:tcBorders>
              <w:top w:val="single" w:color="auto" w:sz="12" w:space="0"/>
              <w:bottom w:val="double" w:color="auto" w:sz="6" w:space="0"/>
            </w:tcBorders>
            <w:noWrap w:val="0"/>
            <w:vAlign w:val="center"/>
          </w:tcPr>
          <w:p w14:paraId="2A340338">
            <w:pPr>
              <w:keepNext/>
              <w:snapToGrid w:val="0"/>
              <w:spacing w:line="360" w:lineRule="auto"/>
              <w:rPr>
                <w:rFonts w:hint="eastAsia" w:ascii="宋体" w:hAnsi="宋体" w:cs="宋体"/>
                <w:color w:val="auto"/>
                <w:sz w:val="22"/>
                <w:szCs w:val="21"/>
                <w:highlight w:val="none"/>
              </w:rPr>
            </w:pPr>
            <w:r>
              <w:rPr>
                <w:rFonts w:hint="eastAsia" w:ascii="宋体" w:hAnsi="宋体" w:cs="宋体"/>
                <w:color w:val="auto"/>
                <w:sz w:val="22"/>
                <w:szCs w:val="21"/>
                <w:highlight w:val="none"/>
              </w:rPr>
              <w:t>备注</w:t>
            </w:r>
          </w:p>
        </w:tc>
      </w:tr>
      <w:tr w14:paraId="745810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tcBorders>
              <w:top w:val="double" w:color="auto" w:sz="6" w:space="0"/>
            </w:tcBorders>
            <w:noWrap w:val="0"/>
            <w:vAlign w:val="center"/>
          </w:tcPr>
          <w:p w14:paraId="5BA7DDE1">
            <w:pPr>
              <w:keepNext/>
              <w:snapToGrid w:val="0"/>
              <w:spacing w:line="360" w:lineRule="auto"/>
              <w:rPr>
                <w:rFonts w:hint="eastAsia" w:ascii="宋体" w:hAnsi="宋体" w:cs="宋体"/>
                <w:color w:val="auto"/>
                <w:sz w:val="22"/>
                <w:szCs w:val="21"/>
                <w:highlight w:val="none"/>
              </w:rPr>
            </w:pPr>
          </w:p>
        </w:tc>
        <w:tc>
          <w:tcPr>
            <w:tcW w:w="1276" w:type="dxa"/>
            <w:tcBorders>
              <w:top w:val="double" w:color="auto" w:sz="6" w:space="0"/>
            </w:tcBorders>
            <w:noWrap w:val="0"/>
            <w:vAlign w:val="center"/>
          </w:tcPr>
          <w:p w14:paraId="683FFB89">
            <w:pPr>
              <w:keepNext/>
              <w:snapToGrid w:val="0"/>
              <w:spacing w:line="360" w:lineRule="auto"/>
              <w:rPr>
                <w:rFonts w:hint="eastAsia" w:ascii="宋体" w:hAnsi="宋体" w:cs="宋体"/>
                <w:color w:val="auto"/>
                <w:sz w:val="22"/>
                <w:szCs w:val="21"/>
                <w:highlight w:val="none"/>
              </w:rPr>
            </w:pPr>
          </w:p>
        </w:tc>
        <w:tc>
          <w:tcPr>
            <w:tcW w:w="1082" w:type="dxa"/>
            <w:tcBorders>
              <w:top w:val="double" w:color="auto" w:sz="6" w:space="0"/>
            </w:tcBorders>
            <w:noWrap w:val="0"/>
            <w:vAlign w:val="center"/>
          </w:tcPr>
          <w:p w14:paraId="180CF4EF">
            <w:pPr>
              <w:keepNext/>
              <w:snapToGrid w:val="0"/>
              <w:spacing w:line="360" w:lineRule="auto"/>
              <w:rPr>
                <w:rFonts w:hint="eastAsia" w:ascii="宋体" w:hAnsi="宋体" w:cs="宋体"/>
                <w:color w:val="auto"/>
                <w:sz w:val="22"/>
                <w:szCs w:val="21"/>
                <w:highlight w:val="none"/>
              </w:rPr>
            </w:pPr>
          </w:p>
        </w:tc>
        <w:tc>
          <w:tcPr>
            <w:tcW w:w="940" w:type="dxa"/>
            <w:tcBorders>
              <w:top w:val="double" w:color="auto" w:sz="6" w:space="0"/>
            </w:tcBorders>
            <w:noWrap w:val="0"/>
            <w:vAlign w:val="center"/>
          </w:tcPr>
          <w:p w14:paraId="3BA6CD60">
            <w:pPr>
              <w:keepNext/>
              <w:snapToGrid w:val="0"/>
              <w:spacing w:line="360" w:lineRule="auto"/>
              <w:rPr>
                <w:rFonts w:hint="eastAsia" w:ascii="宋体" w:hAnsi="宋体" w:cs="宋体"/>
                <w:color w:val="auto"/>
                <w:sz w:val="22"/>
                <w:szCs w:val="21"/>
                <w:highlight w:val="none"/>
              </w:rPr>
            </w:pPr>
          </w:p>
        </w:tc>
        <w:tc>
          <w:tcPr>
            <w:tcW w:w="851" w:type="dxa"/>
            <w:tcBorders>
              <w:top w:val="double" w:color="auto" w:sz="6" w:space="0"/>
            </w:tcBorders>
            <w:noWrap w:val="0"/>
            <w:vAlign w:val="center"/>
          </w:tcPr>
          <w:p w14:paraId="19B35E51">
            <w:pPr>
              <w:keepNext/>
              <w:snapToGrid w:val="0"/>
              <w:spacing w:line="360" w:lineRule="auto"/>
              <w:rPr>
                <w:rFonts w:hint="eastAsia" w:ascii="宋体" w:hAnsi="宋体" w:cs="宋体"/>
                <w:color w:val="auto"/>
                <w:sz w:val="22"/>
                <w:szCs w:val="21"/>
                <w:highlight w:val="none"/>
              </w:rPr>
            </w:pPr>
          </w:p>
        </w:tc>
        <w:tc>
          <w:tcPr>
            <w:tcW w:w="1044" w:type="dxa"/>
            <w:tcBorders>
              <w:top w:val="double" w:color="auto" w:sz="6" w:space="0"/>
            </w:tcBorders>
            <w:noWrap w:val="0"/>
            <w:vAlign w:val="center"/>
          </w:tcPr>
          <w:p w14:paraId="02F80009">
            <w:pPr>
              <w:keepNext/>
              <w:snapToGrid w:val="0"/>
              <w:spacing w:line="360" w:lineRule="auto"/>
              <w:rPr>
                <w:rFonts w:hint="eastAsia" w:ascii="宋体" w:hAnsi="宋体" w:cs="宋体"/>
                <w:color w:val="auto"/>
                <w:sz w:val="22"/>
                <w:szCs w:val="21"/>
                <w:highlight w:val="none"/>
              </w:rPr>
            </w:pPr>
          </w:p>
        </w:tc>
        <w:tc>
          <w:tcPr>
            <w:tcW w:w="992" w:type="dxa"/>
            <w:tcBorders>
              <w:top w:val="double" w:color="auto" w:sz="6" w:space="0"/>
            </w:tcBorders>
            <w:noWrap w:val="0"/>
            <w:vAlign w:val="center"/>
          </w:tcPr>
          <w:p w14:paraId="60F5FF4E">
            <w:pPr>
              <w:keepNext/>
              <w:snapToGrid w:val="0"/>
              <w:spacing w:line="360" w:lineRule="auto"/>
              <w:rPr>
                <w:rFonts w:hint="eastAsia" w:ascii="宋体" w:hAnsi="宋体" w:cs="宋体"/>
                <w:color w:val="auto"/>
                <w:sz w:val="22"/>
                <w:szCs w:val="21"/>
                <w:highlight w:val="none"/>
              </w:rPr>
            </w:pPr>
          </w:p>
        </w:tc>
        <w:tc>
          <w:tcPr>
            <w:tcW w:w="851" w:type="dxa"/>
            <w:tcBorders>
              <w:top w:val="double" w:color="auto" w:sz="6" w:space="0"/>
            </w:tcBorders>
            <w:noWrap w:val="0"/>
            <w:vAlign w:val="center"/>
          </w:tcPr>
          <w:p w14:paraId="1BFE4FB9">
            <w:pPr>
              <w:keepNext/>
              <w:snapToGrid w:val="0"/>
              <w:spacing w:line="360" w:lineRule="auto"/>
              <w:rPr>
                <w:rFonts w:hint="eastAsia" w:ascii="宋体" w:hAnsi="宋体" w:cs="宋体"/>
                <w:color w:val="auto"/>
                <w:sz w:val="22"/>
                <w:szCs w:val="21"/>
                <w:highlight w:val="none"/>
              </w:rPr>
            </w:pPr>
          </w:p>
        </w:tc>
        <w:tc>
          <w:tcPr>
            <w:tcW w:w="966" w:type="dxa"/>
            <w:tcBorders>
              <w:top w:val="double" w:color="auto" w:sz="6" w:space="0"/>
            </w:tcBorders>
            <w:noWrap w:val="0"/>
            <w:vAlign w:val="center"/>
          </w:tcPr>
          <w:p w14:paraId="4A53F83F">
            <w:pPr>
              <w:keepNext/>
              <w:snapToGrid w:val="0"/>
              <w:spacing w:line="360" w:lineRule="auto"/>
              <w:rPr>
                <w:rFonts w:hint="eastAsia" w:ascii="宋体" w:hAnsi="宋体" w:cs="宋体"/>
                <w:color w:val="auto"/>
                <w:sz w:val="22"/>
                <w:szCs w:val="21"/>
                <w:highlight w:val="none"/>
              </w:rPr>
            </w:pPr>
          </w:p>
        </w:tc>
        <w:tc>
          <w:tcPr>
            <w:tcW w:w="803" w:type="dxa"/>
            <w:tcBorders>
              <w:top w:val="double" w:color="auto" w:sz="6" w:space="0"/>
            </w:tcBorders>
            <w:noWrap w:val="0"/>
            <w:vAlign w:val="center"/>
          </w:tcPr>
          <w:p w14:paraId="11804DAB">
            <w:pPr>
              <w:keepNext/>
              <w:snapToGrid w:val="0"/>
              <w:spacing w:line="360" w:lineRule="auto"/>
              <w:rPr>
                <w:rFonts w:hint="eastAsia" w:ascii="宋体" w:hAnsi="宋体" w:cs="宋体"/>
                <w:color w:val="auto"/>
                <w:sz w:val="22"/>
                <w:szCs w:val="21"/>
                <w:highlight w:val="none"/>
              </w:rPr>
            </w:pPr>
          </w:p>
        </w:tc>
      </w:tr>
      <w:tr w14:paraId="27256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noWrap w:val="0"/>
            <w:vAlign w:val="center"/>
          </w:tcPr>
          <w:p w14:paraId="203AC21E">
            <w:pPr>
              <w:snapToGrid w:val="0"/>
              <w:spacing w:line="360" w:lineRule="auto"/>
              <w:rPr>
                <w:rFonts w:hint="eastAsia" w:ascii="宋体" w:hAnsi="宋体" w:cs="宋体"/>
                <w:color w:val="auto"/>
                <w:sz w:val="22"/>
                <w:szCs w:val="21"/>
                <w:highlight w:val="none"/>
              </w:rPr>
            </w:pPr>
          </w:p>
        </w:tc>
        <w:tc>
          <w:tcPr>
            <w:tcW w:w="1276" w:type="dxa"/>
            <w:noWrap w:val="0"/>
            <w:vAlign w:val="center"/>
          </w:tcPr>
          <w:p w14:paraId="7E898B0F">
            <w:pPr>
              <w:snapToGrid w:val="0"/>
              <w:spacing w:line="360" w:lineRule="auto"/>
              <w:rPr>
                <w:rFonts w:hint="eastAsia" w:ascii="宋体" w:hAnsi="宋体" w:cs="宋体"/>
                <w:color w:val="auto"/>
                <w:sz w:val="22"/>
                <w:szCs w:val="21"/>
                <w:highlight w:val="none"/>
              </w:rPr>
            </w:pPr>
          </w:p>
        </w:tc>
        <w:tc>
          <w:tcPr>
            <w:tcW w:w="1082" w:type="dxa"/>
            <w:noWrap w:val="0"/>
            <w:vAlign w:val="center"/>
          </w:tcPr>
          <w:p w14:paraId="23AED75A">
            <w:pPr>
              <w:snapToGrid w:val="0"/>
              <w:spacing w:line="360" w:lineRule="auto"/>
              <w:rPr>
                <w:rFonts w:hint="eastAsia" w:ascii="宋体" w:hAnsi="宋体" w:cs="宋体"/>
                <w:color w:val="auto"/>
                <w:sz w:val="22"/>
                <w:szCs w:val="21"/>
                <w:highlight w:val="none"/>
              </w:rPr>
            </w:pPr>
          </w:p>
        </w:tc>
        <w:tc>
          <w:tcPr>
            <w:tcW w:w="940" w:type="dxa"/>
            <w:noWrap w:val="0"/>
            <w:vAlign w:val="center"/>
          </w:tcPr>
          <w:p w14:paraId="5306420E">
            <w:pPr>
              <w:snapToGrid w:val="0"/>
              <w:spacing w:line="360" w:lineRule="auto"/>
              <w:rPr>
                <w:rFonts w:hint="eastAsia" w:ascii="宋体" w:hAnsi="宋体" w:cs="宋体"/>
                <w:color w:val="auto"/>
                <w:sz w:val="22"/>
                <w:szCs w:val="21"/>
                <w:highlight w:val="none"/>
              </w:rPr>
            </w:pPr>
          </w:p>
        </w:tc>
        <w:tc>
          <w:tcPr>
            <w:tcW w:w="851" w:type="dxa"/>
            <w:noWrap w:val="0"/>
            <w:vAlign w:val="center"/>
          </w:tcPr>
          <w:p w14:paraId="7AE88DD4">
            <w:pPr>
              <w:snapToGrid w:val="0"/>
              <w:spacing w:line="360" w:lineRule="auto"/>
              <w:rPr>
                <w:rFonts w:hint="eastAsia" w:ascii="宋体" w:hAnsi="宋体" w:cs="宋体"/>
                <w:color w:val="auto"/>
                <w:sz w:val="22"/>
                <w:szCs w:val="21"/>
                <w:highlight w:val="none"/>
              </w:rPr>
            </w:pPr>
          </w:p>
        </w:tc>
        <w:tc>
          <w:tcPr>
            <w:tcW w:w="1044" w:type="dxa"/>
            <w:noWrap w:val="0"/>
            <w:vAlign w:val="center"/>
          </w:tcPr>
          <w:p w14:paraId="36163A8C">
            <w:pPr>
              <w:snapToGrid w:val="0"/>
              <w:spacing w:line="360" w:lineRule="auto"/>
              <w:rPr>
                <w:rFonts w:hint="eastAsia" w:ascii="宋体" w:hAnsi="宋体" w:cs="宋体"/>
                <w:color w:val="auto"/>
                <w:sz w:val="22"/>
                <w:szCs w:val="21"/>
                <w:highlight w:val="none"/>
              </w:rPr>
            </w:pPr>
          </w:p>
        </w:tc>
        <w:tc>
          <w:tcPr>
            <w:tcW w:w="992" w:type="dxa"/>
            <w:noWrap w:val="0"/>
            <w:vAlign w:val="center"/>
          </w:tcPr>
          <w:p w14:paraId="4E8FB620">
            <w:pPr>
              <w:snapToGrid w:val="0"/>
              <w:spacing w:line="360" w:lineRule="auto"/>
              <w:rPr>
                <w:rFonts w:hint="eastAsia" w:ascii="宋体" w:hAnsi="宋体" w:cs="宋体"/>
                <w:color w:val="auto"/>
                <w:sz w:val="22"/>
                <w:szCs w:val="21"/>
                <w:highlight w:val="none"/>
              </w:rPr>
            </w:pPr>
          </w:p>
        </w:tc>
        <w:tc>
          <w:tcPr>
            <w:tcW w:w="851" w:type="dxa"/>
            <w:noWrap w:val="0"/>
            <w:vAlign w:val="center"/>
          </w:tcPr>
          <w:p w14:paraId="00050826">
            <w:pPr>
              <w:snapToGrid w:val="0"/>
              <w:spacing w:line="360" w:lineRule="auto"/>
              <w:rPr>
                <w:rFonts w:hint="eastAsia" w:ascii="宋体" w:hAnsi="宋体" w:cs="宋体"/>
                <w:color w:val="auto"/>
                <w:sz w:val="22"/>
                <w:szCs w:val="21"/>
                <w:highlight w:val="none"/>
              </w:rPr>
            </w:pPr>
          </w:p>
        </w:tc>
        <w:tc>
          <w:tcPr>
            <w:tcW w:w="966" w:type="dxa"/>
            <w:noWrap w:val="0"/>
            <w:vAlign w:val="center"/>
          </w:tcPr>
          <w:p w14:paraId="1044849C">
            <w:pPr>
              <w:snapToGrid w:val="0"/>
              <w:spacing w:line="360" w:lineRule="auto"/>
              <w:rPr>
                <w:rFonts w:hint="eastAsia" w:ascii="宋体" w:hAnsi="宋体" w:cs="宋体"/>
                <w:color w:val="auto"/>
                <w:sz w:val="22"/>
                <w:szCs w:val="21"/>
                <w:highlight w:val="none"/>
              </w:rPr>
            </w:pPr>
          </w:p>
        </w:tc>
        <w:tc>
          <w:tcPr>
            <w:tcW w:w="803" w:type="dxa"/>
            <w:noWrap w:val="0"/>
            <w:vAlign w:val="center"/>
          </w:tcPr>
          <w:p w14:paraId="1F27AC8E">
            <w:pPr>
              <w:snapToGrid w:val="0"/>
              <w:spacing w:line="360" w:lineRule="auto"/>
              <w:rPr>
                <w:rFonts w:hint="eastAsia" w:ascii="宋体" w:hAnsi="宋体" w:cs="宋体"/>
                <w:color w:val="auto"/>
                <w:sz w:val="22"/>
                <w:szCs w:val="21"/>
                <w:highlight w:val="none"/>
              </w:rPr>
            </w:pPr>
          </w:p>
        </w:tc>
      </w:tr>
      <w:tr w14:paraId="20BBD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tcBorders>
              <w:bottom w:val="single" w:color="auto" w:sz="12" w:space="0"/>
            </w:tcBorders>
            <w:noWrap w:val="0"/>
            <w:vAlign w:val="center"/>
          </w:tcPr>
          <w:p w14:paraId="735B6E4F">
            <w:pPr>
              <w:snapToGrid w:val="0"/>
              <w:spacing w:line="360" w:lineRule="auto"/>
              <w:rPr>
                <w:rFonts w:hint="eastAsia" w:ascii="宋体" w:hAnsi="宋体" w:cs="宋体"/>
                <w:color w:val="auto"/>
                <w:sz w:val="22"/>
                <w:szCs w:val="21"/>
                <w:highlight w:val="none"/>
              </w:rPr>
            </w:pPr>
          </w:p>
        </w:tc>
        <w:tc>
          <w:tcPr>
            <w:tcW w:w="1276" w:type="dxa"/>
            <w:tcBorders>
              <w:bottom w:val="single" w:color="auto" w:sz="12" w:space="0"/>
            </w:tcBorders>
            <w:noWrap w:val="0"/>
            <w:vAlign w:val="center"/>
          </w:tcPr>
          <w:p w14:paraId="7E572894">
            <w:pPr>
              <w:snapToGrid w:val="0"/>
              <w:spacing w:line="360" w:lineRule="auto"/>
              <w:rPr>
                <w:rFonts w:hint="eastAsia" w:ascii="宋体" w:hAnsi="宋体" w:cs="宋体"/>
                <w:color w:val="auto"/>
                <w:sz w:val="22"/>
                <w:szCs w:val="21"/>
                <w:highlight w:val="none"/>
              </w:rPr>
            </w:pPr>
          </w:p>
        </w:tc>
        <w:tc>
          <w:tcPr>
            <w:tcW w:w="1082" w:type="dxa"/>
            <w:tcBorders>
              <w:bottom w:val="single" w:color="auto" w:sz="12" w:space="0"/>
            </w:tcBorders>
            <w:noWrap w:val="0"/>
            <w:vAlign w:val="center"/>
          </w:tcPr>
          <w:p w14:paraId="0B6F284B">
            <w:pPr>
              <w:snapToGrid w:val="0"/>
              <w:spacing w:line="360" w:lineRule="auto"/>
              <w:rPr>
                <w:rFonts w:hint="eastAsia" w:ascii="宋体" w:hAnsi="宋体" w:cs="宋体"/>
                <w:color w:val="auto"/>
                <w:sz w:val="22"/>
                <w:szCs w:val="21"/>
                <w:highlight w:val="none"/>
              </w:rPr>
            </w:pPr>
          </w:p>
        </w:tc>
        <w:tc>
          <w:tcPr>
            <w:tcW w:w="940" w:type="dxa"/>
            <w:tcBorders>
              <w:bottom w:val="single" w:color="auto" w:sz="12" w:space="0"/>
            </w:tcBorders>
            <w:noWrap w:val="0"/>
            <w:vAlign w:val="center"/>
          </w:tcPr>
          <w:p w14:paraId="55A16A39">
            <w:pPr>
              <w:snapToGrid w:val="0"/>
              <w:spacing w:line="360" w:lineRule="auto"/>
              <w:rPr>
                <w:rFonts w:hint="eastAsia" w:ascii="宋体" w:hAnsi="宋体" w:cs="宋体"/>
                <w:color w:val="auto"/>
                <w:sz w:val="22"/>
                <w:szCs w:val="21"/>
                <w:highlight w:val="none"/>
              </w:rPr>
            </w:pPr>
          </w:p>
        </w:tc>
        <w:tc>
          <w:tcPr>
            <w:tcW w:w="851" w:type="dxa"/>
            <w:tcBorders>
              <w:bottom w:val="single" w:color="auto" w:sz="12" w:space="0"/>
            </w:tcBorders>
            <w:noWrap w:val="0"/>
            <w:vAlign w:val="center"/>
          </w:tcPr>
          <w:p w14:paraId="42F84DD8">
            <w:pPr>
              <w:snapToGrid w:val="0"/>
              <w:spacing w:line="360" w:lineRule="auto"/>
              <w:rPr>
                <w:rFonts w:hint="eastAsia" w:ascii="宋体" w:hAnsi="宋体" w:cs="宋体"/>
                <w:color w:val="auto"/>
                <w:sz w:val="22"/>
                <w:szCs w:val="21"/>
                <w:highlight w:val="none"/>
              </w:rPr>
            </w:pPr>
          </w:p>
        </w:tc>
        <w:tc>
          <w:tcPr>
            <w:tcW w:w="1044" w:type="dxa"/>
            <w:tcBorders>
              <w:bottom w:val="single" w:color="auto" w:sz="12" w:space="0"/>
            </w:tcBorders>
            <w:noWrap w:val="0"/>
            <w:vAlign w:val="center"/>
          </w:tcPr>
          <w:p w14:paraId="17E23B3E">
            <w:pPr>
              <w:snapToGrid w:val="0"/>
              <w:spacing w:line="360" w:lineRule="auto"/>
              <w:rPr>
                <w:rFonts w:hint="eastAsia" w:ascii="宋体" w:hAnsi="宋体" w:cs="宋体"/>
                <w:color w:val="auto"/>
                <w:sz w:val="22"/>
                <w:szCs w:val="21"/>
                <w:highlight w:val="none"/>
              </w:rPr>
            </w:pPr>
          </w:p>
        </w:tc>
        <w:tc>
          <w:tcPr>
            <w:tcW w:w="992" w:type="dxa"/>
            <w:tcBorders>
              <w:bottom w:val="single" w:color="auto" w:sz="12" w:space="0"/>
            </w:tcBorders>
            <w:noWrap w:val="0"/>
            <w:vAlign w:val="center"/>
          </w:tcPr>
          <w:p w14:paraId="1CADBEBB">
            <w:pPr>
              <w:snapToGrid w:val="0"/>
              <w:spacing w:line="360" w:lineRule="auto"/>
              <w:rPr>
                <w:rFonts w:hint="eastAsia" w:ascii="宋体" w:hAnsi="宋体" w:cs="宋体"/>
                <w:color w:val="auto"/>
                <w:sz w:val="22"/>
                <w:szCs w:val="21"/>
                <w:highlight w:val="none"/>
              </w:rPr>
            </w:pPr>
          </w:p>
        </w:tc>
        <w:tc>
          <w:tcPr>
            <w:tcW w:w="851" w:type="dxa"/>
            <w:tcBorders>
              <w:bottom w:val="single" w:color="auto" w:sz="12" w:space="0"/>
            </w:tcBorders>
            <w:noWrap w:val="0"/>
            <w:vAlign w:val="center"/>
          </w:tcPr>
          <w:p w14:paraId="3F00F661">
            <w:pPr>
              <w:snapToGrid w:val="0"/>
              <w:spacing w:line="360" w:lineRule="auto"/>
              <w:rPr>
                <w:rFonts w:hint="eastAsia" w:ascii="宋体" w:hAnsi="宋体" w:cs="宋体"/>
                <w:color w:val="auto"/>
                <w:sz w:val="22"/>
                <w:szCs w:val="21"/>
                <w:highlight w:val="none"/>
              </w:rPr>
            </w:pPr>
          </w:p>
        </w:tc>
        <w:tc>
          <w:tcPr>
            <w:tcW w:w="966" w:type="dxa"/>
            <w:tcBorders>
              <w:bottom w:val="single" w:color="auto" w:sz="12" w:space="0"/>
            </w:tcBorders>
            <w:noWrap w:val="0"/>
            <w:vAlign w:val="center"/>
          </w:tcPr>
          <w:p w14:paraId="28972C4A">
            <w:pPr>
              <w:snapToGrid w:val="0"/>
              <w:spacing w:line="360" w:lineRule="auto"/>
              <w:rPr>
                <w:rFonts w:hint="eastAsia" w:ascii="宋体" w:hAnsi="宋体" w:cs="宋体"/>
                <w:color w:val="auto"/>
                <w:sz w:val="22"/>
                <w:szCs w:val="21"/>
                <w:highlight w:val="none"/>
              </w:rPr>
            </w:pPr>
          </w:p>
        </w:tc>
        <w:tc>
          <w:tcPr>
            <w:tcW w:w="803" w:type="dxa"/>
            <w:tcBorders>
              <w:bottom w:val="single" w:color="auto" w:sz="12" w:space="0"/>
            </w:tcBorders>
            <w:noWrap w:val="0"/>
            <w:vAlign w:val="center"/>
          </w:tcPr>
          <w:p w14:paraId="088DFB5B">
            <w:pPr>
              <w:snapToGrid w:val="0"/>
              <w:spacing w:line="360" w:lineRule="auto"/>
              <w:rPr>
                <w:rFonts w:hint="eastAsia" w:ascii="宋体" w:hAnsi="宋体" w:cs="宋体"/>
                <w:color w:val="auto"/>
                <w:sz w:val="22"/>
                <w:szCs w:val="21"/>
                <w:highlight w:val="none"/>
              </w:rPr>
            </w:pPr>
          </w:p>
        </w:tc>
      </w:tr>
    </w:tbl>
    <w:p w14:paraId="3671A3C2">
      <w:pPr>
        <w:pStyle w:val="20"/>
        <w:rPr>
          <w:rFonts w:hint="eastAsia"/>
          <w:color w:val="auto"/>
          <w:highlight w:val="none"/>
        </w:rPr>
      </w:pPr>
    </w:p>
    <w:p w14:paraId="536CEE9D">
      <w:pPr>
        <w:rPr>
          <w:rFonts w:hint="eastAsia"/>
          <w:color w:val="auto"/>
          <w:highlight w:val="none"/>
        </w:rPr>
      </w:pPr>
    </w:p>
    <w:p w14:paraId="5D4EDBF7">
      <w:pPr>
        <w:pStyle w:val="20"/>
        <w:rPr>
          <w:rFonts w:hint="eastAsia"/>
          <w:color w:val="auto"/>
          <w:highlight w:val="none"/>
        </w:rPr>
      </w:pPr>
    </w:p>
    <w:p w14:paraId="25B81F5D">
      <w:pPr>
        <w:rPr>
          <w:rFonts w:hint="eastAsia"/>
          <w:color w:val="auto"/>
          <w:highlight w:val="none"/>
        </w:rPr>
      </w:pPr>
    </w:p>
    <w:p w14:paraId="3FA47E80">
      <w:pPr>
        <w:pStyle w:val="20"/>
        <w:rPr>
          <w:rFonts w:hint="eastAsia"/>
          <w:color w:val="auto"/>
          <w:highlight w:val="none"/>
        </w:rPr>
      </w:pPr>
    </w:p>
    <w:p w14:paraId="469C8722">
      <w:pPr>
        <w:rPr>
          <w:rFonts w:hint="eastAsia"/>
          <w:color w:val="auto"/>
          <w:highlight w:val="none"/>
        </w:rPr>
      </w:pPr>
    </w:p>
    <w:p w14:paraId="5E2E78D0">
      <w:pPr>
        <w:pStyle w:val="20"/>
        <w:rPr>
          <w:rFonts w:hint="eastAsia"/>
          <w:color w:val="auto"/>
          <w:highlight w:val="none"/>
        </w:rPr>
      </w:pPr>
    </w:p>
    <w:p w14:paraId="30D8F669">
      <w:pPr>
        <w:rPr>
          <w:rFonts w:hint="eastAsia"/>
          <w:color w:val="auto"/>
          <w:highlight w:val="none"/>
        </w:rPr>
      </w:pPr>
    </w:p>
    <w:p w14:paraId="10D992F2">
      <w:pPr>
        <w:pStyle w:val="20"/>
        <w:rPr>
          <w:rFonts w:hint="eastAsia"/>
          <w:color w:val="auto"/>
          <w:highlight w:val="none"/>
        </w:rPr>
      </w:pPr>
    </w:p>
    <w:p w14:paraId="42404F08">
      <w:pPr>
        <w:rPr>
          <w:rFonts w:hint="eastAsia"/>
          <w:color w:val="auto"/>
          <w:highlight w:val="none"/>
        </w:rPr>
      </w:pPr>
    </w:p>
    <w:p w14:paraId="1AF87B8C">
      <w:pPr>
        <w:pStyle w:val="20"/>
        <w:rPr>
          <w:rFonts w:hint="eastAsia"/>
          <w:color w:val="auto"/>
          <w:highlight w:val="none"/>
        </w:rPr>
      </w:pPr>
    </w:p>
    <w:p w14:paraId="6DD36991">
      <w:pPr>
        <w:rPr>
          <w:rFonts w:hint="eastAsia"/>
          <w:color w:val="auto"/>
          <w:highlight w:val="none"/>
        </w:rPr>
      </w:pPr>
    </w:p>
    <w:p w14:paraId="3C755D5C">
      <w:pPr>
        <w:pStyle w:val="20"/>
        <w:rPr>
          <w:rFonts w:hint="eastAsia"/>
          <w:color w:val="auto"/>
          <w:highlight w:val="none"/>
        </w:rPr>
      </w:pPr>
    </w:p>
    <w:p w14:paraId="12D971EF">
      <w:pPr>
        <w:pStyle w:val="20"/>
        <w:rPr>
          <w:rFonts w:hint="eastAsia"/>
          <w:color w:val="auto"/>
          <w:highlight w:val="none"/>
        </w:rPr>
      </w:pPr>
    </w:p>
    <w:p w14:paraId="077C1918">
      <w:pPr>
        <w:rPr>
          <w:rFonts w:hint="eastAsia"/>
          <w:color w:val="auto"/>
          <w:highlight w:val="none"/>
        </w:rPr>
      </w:pPr>
    </w:p>
    <w:p w14:paraId="3D8D0772">
      <w:pPr>
        <w:pStyle w:val="20"/>
        <w:rPr>
          <w:rFonts w:hint="eastAsia"/>
          <w:color w:val="auto"/>
          <w:highlight w:val="none"/>
        </w:rPr>
      </w:pPr>
    </w:p>
    <w:p w14:paraId="492FE915">
      <w:pPr>
        <w:keepNext/>
        <w:keepLines/>
        <w:spacing w:before="120" w:after="120" w:line="360" w:lineRule="auto"/>
        <w:jc w:val="left"/>
        <w:outlineLvl w:val="2"/>
        <w:rPr>
          <w:rFonts w:ascii="宋体" w:hAnsi="宋体" w:cs="宋体"/>
          <w:bCs/>
          <w:color w:val="auto"/>
          <w:sz w:val="24"/>
          <w:highlight w:val="none"/>
        </w:rPr>
        <w:sectPr>
          <w:footnotePr>
            <w:numFmt w:val="decimalEnclosedCircleChinese"/>
            <w:numRestart w:val="eachPage"/>
          </w:footnotePr>
          <w:pgSz w:w="11907" w:h="16840"/>
          <w:pgMar w:top="1474" w:right="1474" w:bottom="1474" w:left="1474" w:header="799" w:footer="907" w:gutter="0"/>
          <w:pgNumType w:fmt="numberInDash"/>
          <w:cols w:space="720" w:num="1"/>
          <w:docGrid w:linePitch="271" w:charSpace="0"/>
        </w:sectPr>
      </w:pPr>
      <w:bookmarkStart w:id="1292" w:name="_Toc95223488"/>
    </w:p>
    <w:p w14:paraId="2698CCCF">
      <w:pPr>
        <w:keepNext/>
        <w:keepLines/>
        <w:spacing w:before="120" w:after="120" w:line="360" w:lineRule="auto"/>
        <w:jc w:val="left"/>
        <w:outlineLvl w:val="2"/>
        <w:rPr>
          <w:rFonts w:hint="eastAsia" w:ascii="宋体" w:hAnsi="宋体" w:cs="宋体"/>
          <w:bCs/>
          <w:color w:val="auto"/>
          <w:sz w:val="24"/>
          <w:highlight w:val="none"/>
        </w:rPr>
      </w:pPr>
      <w:r>
        <w:rPr>
          <w:rFonts w:hint="eastAsia" w:ascii="宋体" w:hAnsi="宋体" w:cs="宋体"/>
          <w:bCs/>
          <w:color w:val="auto"/>
          <w:sz w:val="24"/>
          <w:highlight w:val="none"/>
        </w:rPr>
        <w:t xml:space="preserve">附件3：工程质量保修书 </w:t>
      </w:r>
      <w:bookmarkEnd w:id="1292"/>
    </w:p>
    <w:p w14:paraId="1DBF9790">
      <w:pPr>
        <w:adjustRightInd w:val="0"/>
        <w:snapToGrid w:val="0"/>
        <w:spacing w:before="120" w:beforeLines="50" w:after="120" w:afterLines="50"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工程质量保修书</w:t>
      </w:r>
    </w:p>
    <w:p w14:paraId="47D6399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9BB995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36EB45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发包人和承包人根据《中华人民共和国建筑法》和《建设工程质量管理条例》，经协商一致就_______________（工程全称）签订工程质量保修书。</w:t>
      </w:r>
    </w:p>
    <w:p w14:paraId="3153D4FA">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一、工程质量保修范围和内容</w:t>
      </w:r>
    </w:p>
    <w:p w14:paraId="4218DD7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承包人在质量保修期内，按照有关法律规定和合同约定，承担工程质量保修责任。</w:t>
      </w:r>
    </w:p>
    <w:p w14:paraId="5AF751D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A3B59CC">
      <w:pPr>
        <w:adjustRightInd w:val="0"/>
        <w:snapToGrid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二、质量保修期</w:t>
      </w:r>
    </w:p>
    <w:p w14:paraId="1D8EEB1E">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根据《建设工程质量管理条例》及有关规定，工程的质量保修期如下：</w:t>
      </w:r>
    </w:p>
    <w:p w14:paraId="421D8FD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地基基础工程和主体结构工程为设计文件规定的工程合理使用年限；</w:t>
      </w:r>
    </w:p>
    <w:p w14:paraId="723202C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 屋面防水工程、有防水要求的卫生间、房间和外墙面的防渗为</w:t>
      </w:r>
      <w:r>
        <w:rPr>
          <w:rFonts w:hint="eastAsia" w:ascii="宋体" w:hAnsi="宋体" w:cs="宋体"/>
          <w:color w:val="auto"/>
          <w:szCs w:val="21"/>
          <w:highlight w:val="none"/>
          <w:u w:val="single"/>
        </w:rPr>
        <w:t>5</w:t>
      </w:r>
      <w:r>
        <w:rPr>
          <w:rFonts w:hint="eastAsia" w:ascii="宋体" w:hAnsi="宋体" w:cs="宋体"/>
          <w:color w:val="auto"/>
          <w:szCs w:val="21"/>
          <w:highlight w:val="none"/>
        </w:rPr>
        <w:t>年；</w:t>
      </w:r>
    </w:p>
    <w:p w14:paraId="0FD8CE6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装修工程为</w:t>
      </w:r>
      <w:r>
        <w:rPr>
          <w:rFonts w:hint="eastAsia" w:ascii="宋体" w:hAnsi="宋体" w:cs="宋体"/>
          <w:color w:val="auto"/>
          <w:szCs w:val="21"/>
          <w:highlight w:val="none"/>
          <w:u w:val="single"/>
        </w:rPr>
        <w:t>2</w:t>
      </w:r>
      <w:r>
        <w:rPr>
          <w:rFonts w:hint="eastAsia" w:ascii="宋体" w:hAnsi="宋体" w:cs="宋体"/>
          <w:color w:val="auto"/>
          <w:szCs w:val="21"/>
          <w:highlight w:val="none"/>
        </w:rPr>
        <w:t>年；</w:t>
      </w:r>
    </w:p>
    <w:p w14:paraId="3C5E65C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 电气管线、给排水管道、设备安装工程为</w:t>
      </w:r>
      <w:r>
        <w:rPr>
          <w:rFonts w:hint="eastAsia" w:ascii="宋体" w:hAnsi="宋体" w:cs="宋体"/>
          <w:color w:val="auto"/>
          <w:szCs w:val="21"/>
          <w:highlight w:val="none"/>
          <w:u w:val="single"/>
        </w:rPr>
        <w:t>2</w:t>
      </w:r>
      <w:r>
        <w:rPr>
          <w:rFonts w:hint="eastAsia" w:ascii="宋体" w:hAnsi="宋体" w:cs="宋体"/>
          <w:color w:val="auto"/>
          <w:szCs w:val="21"/>
          <w:highlight w:val="none"/>
        </w:rPr>
        <w:t>年；</w:t>
      </w:r>
    </w:p>
    <w:p w14:paraId="3E6AE7B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 供热与供冷系统为</w:t>
      </w:r>
      <w:r>
        <w:rPr>
          <w:rFonts w:hint="eastAsia" w:ascii="宋体" w:hAnsi="宋体" w:cs="宋体"/>
          <w:color w:val="auto"/>
          <w:szCs w:val="21"/>
          <w:highlight w:val="none"/>
          <w:u w:val="single"/>
        </w:rPr>
        <w:t>2</w:t>
      </w:r>
      <w:r>
        <w:rPr>
          <w:rFonts w:hint="eastAsia" w:ascii="宋体" w:hAnsi="宋体" w:cs="宋体"/>
          <w:color w:val="auto"/>
          <w:szCs w:val="21"/>
          <w:highlight w:val="none"/>
        </w:rPr>
        <w:t>个采暖期、供冷期；</w:t>
      </w:r>
    </w:p>
    <w:p w14:paraId="52317AC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 住宅小区内的给排水设施、道路等配套工程为</w:t>
      </w:r>
      <w:r>
        <w:rPr>
          <w:rFonts w:hint="eastAsia" w:ascii="宋体" w:hAnsi="宋体" w:cs="宋体"/>
          <w:color w:val="auto"/>
          <w:szCs w:val="21"/>
          <w:highlight w:val="none"/>
          <w:u w:val="single"/>
        </w:rPr>
        <w:t>2</w:t>
      </w:r>
      <w:r>
        <w:rPr>
          <w:rFonts w:hint="eastAsia" w:ascii="宋体" w:hAnsi="宋体" w:cs="宋体"/>
          <w:color w:val="auto"/>
          <w:szCs w:val="21"/>
          <w:highlight w:val="none"/>
        </w:rPr>
        <w:t>年；</w:t>
      </w:r>
    </w:p>
    <w:p w14:paraId="313D60E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 其他项目保修期限约定如下：</w:t>
      </w:r>
      <w:r>
        <w:rPr>
          <w:rFonts w:hint="eastAsia" w:ascii="宋体" w:hAnsi="宋体" w:cs="宋体"/>
          <w:color w:val="auto"/>
          <w:szCs w:val="21"/>
          <w:highlight w:val="none"/>
          <w:u w:val="single"/>
        </w:rPr>
        <w:t>保温工程5年</w:t>
      </w:r>
      <w:r>
        <w:rPr>
          <w:rFonts w:hint="eastAsia" w:ascii="宋体" w:hAnsi="宋体" w:cs="宋体"/>
          <w:color w:val="auto"/>
          <w:szCs w:val="21"/>
          <w:highlight w:val="none"/>
        </w:rPr>
        <w:t>。</w:t>
      </w:r>
    </w:p>
    <w:p w14:paraId="63C0660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质量保修期自工程竣工验收合格之日起计算。</w:t>
      </w:r>
    </w:p>
    <w:p w14:paraId="594C8412">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三、缺陷责任期</w:t>
      </w:r>
    </w:p>
    <w:p w14:paraId="594BA0F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工程缺陷责任期为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24个月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，缺陷责任期自工程竣工验收合格之日起计算。单位工程先于全部工程进行验收，单位工程缺陷责任期自单位工程验收合格之日起算。</w:t>
      </w:r>
    </w:p>
    <w:p w14:paraId="35C0B744">
      <w:pPr>
        <w:adjustRightInd w:val="0"/>
        <w:snapToGrid w:val="0"/>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缺陷责任期终止后，发包人应退还剩余的质量保证金。</w:t>
      </w:r>
    </w:p>
    <w:p w14:paraId="1BD22A73">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四、质量保修责任</w:t>
      </w:r>
    </w:p>
    <w:p w14:paraId="0187C874">
      <w:pPr>
        <w:adjustRightInd w:val="0"/>
        <w:snapToGrid w:val="0"/>
        <w:spacing w:line="360" w:lineRule="auto"/>
        <w:ind w:firstLine="430" w:firstLineChars="205"/>
        <w:rPr>
          <w:rFonts w:hint="eastAsia" w:ascii="宋体" w:hAnsi="宋体" w:cs="宋体"/>
          <w:color w:val="auto"/>
          <w:szCs w:val="21"/>
          <w:highlight w:val="none"/>
        </w:rPr>
      </w:pPr>
      <w:r>
        <w:rPr>
          <w:rFonts w:hint="eastAsia" w:ascii="宋体" w:hAnsi="宋体" w:cs="宋体"/>
          <w:color w:val="auto"/>
          <w:szCs w:val="21"/>
          <w:highlight w:val="none"/>
        </w:rPr>
        <w:t>1. 属于保修范围、内容的项目，承包人应当在接到保修通知之日起7天内派人保修。承包人不在约定期限内派人保修的，发包人可以委托他人修理。</w:t>
      </w:r>
    </w:p>
    <w:p w14:paraId="460EE827">
      <w:pPr>
        <w:adjustRightInd w:val="0"/>
        <w:snapToGrid w:val="0"/>
        <w:spacing w:line="360" w:lineRule="auto"/>
        <w:ind w:firstLine="430" w:firstLineChars="205"/>
        <w:rPr>
          <w:rFonts w:hint="eastAsia" w:ascii="宋体" w:hAnsi="宋体" w:cs="宋体"/>
          <w:color w:val="auto"/>
          <w:szCs w:val="21"/>
          <w:highlight w:val="none"/>
        </w:rPr>
      </w:pPr>
      <w:r>
        <w:rPr>
          <w:rFonts w:hint="eastAsia" w:ascii="宋体" w:hAnsi="宋体" w:cs="宋体"/>
          <w:color w:val="auto"/>
          <w:szCs w:val="21"/>
          <w:highlight w:val="none"/>
        </w:rPr>
        <w:t>2. 发生紧急事故需抢修的，承包人在接到事故通知后，应当立即到达事故现场抢修。</w:t>
      </w:r>
    </w:p>
    <w:p w14:paraId="319FEBE8">
      <w:pPr>
        <w:adjustRightInd w:val="0"/>
        <w:snapToGrid w:val="0"/>
        <w:spacing w:line="360" w:lineRule="auto"/>
        <w:ind w:firstLine="430" w:firstLineChars="205"/>
        <w:rPr>
          <w:rFonts w:hint="eastAsia" w:ascii="宋体" w:hAnsi="宋体" w:cs="宋体"/>
          <w:color w:val="auto"/>
          <w:szCs w:val="21"/>
          <w:highlight w:val="none"/>
        </w:rPr>
      </w:pPr>
      <w:r>
        <w:rPr>
          <w:rFonts w:hint="eastAsia" w:ascii="宋体" w:hAnsi="宋体" w:cs="宋体"/>
          <w:color w:val="auto"/>
          <w:szCs w:val="21"/>
          <w:highlight w:val="none"/>
        </w:rPr>
        <w:t>3. 对于涉及结构安全的质量问题，应当按照《建设工程质量管理条例》的规定，立即向当地建设行政主管部门和有关部门报告，采取安全防范措施，并由原设计人或者具有相应资质等级的设计人提出保修方案</w:t>
      </w:r>
      <w:r>
        <w:rPr>
          <w:rFonts w:hint="eastAsia" w:ascii="宋体" w:hAnsi="宋体" w:cs="宋体"/>
          <w:color w:val="auto"/>
          <w:szCs w:val="21"/>
          <w:highlight w:val="none"/>
          <w:lang w:eastAsia="zh-CN"/>
        </w:rPr>
        <w:t>，由</w:t>
      </w:r>
      <w:r>
        <w:rPr>
          <w:rFonts w:hint="eastAsia" w:ascii="宋体" w:hAnsi="宋体" w:cs="宋体"/>
          <w:color w:val="auto"/>
          <w:szCs w:val="21"/>
          <w:highlight w:val="none"/>
        </w:rPr>
        <w:t>承包人实施保修。</w:t>
      </w:r>
    </w:p>
    <w:p w14:paraId="26EAC818">
      <w:pPr>
        <w:adjustRightInd w:val="0"/>
        <w:snapToGrid w:val="0"/>
        <w:spacing w:line="360" w:lineRule="auto"/>
        <w:ind w:firstLine="430" w:firstLineChars="205"/>
        <w:rPr>
          <w:rFonts w:hint="eastAsia" w:ascii="宋体" w:hAnsi="宋体" w:cs="宋体"/>
          <w:color w:val="auto"/>
          <w:szCs w:val="21"/>
          <w:highlight w:val="none"/>
        </w:rPr>
      </w:pPr>
      <w:r>
        <w:rPr>
          <w:rFonts w:hint="eastAsia" w:ascii="宋体" w:hAnsi="宋体" w:cs="宋体"/>
          <w:color w:val="auto"/>
          <w:szCs w:val="21"/>
          <w:highlight w:val="none"/>
        </w:rPr>
        <w:t>4. 质量保修完成后，由发包人组织验收。</w:t>
      </w:r>
    </w:p>
    <w:p w14:paraId="2D85E7E9">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五、保修费用</w:t>
      </w:r>
    </w:p>
    <w:p w14:paraId="6A50885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保修费用由造成质量缺陷的责任方承担。</w:t>
      </w:r>
    </w:p>
    <w:p w14:paraId="7A85C0DA">
      <w:pPr>
        <w:adjustRightInd w:val="0"/>
        <w:snapToGrid w:val="0"/>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六、双方约定的其他工程质量保修事项：</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rPr>
        <w:t>。</w:t>
      </w:r>
    </w:p>
    <w:p w14:paraId="430484F4">
      <w:pPr>
        <w:adjustRightInd w:val="0"/>
        <w:snapToGrid w:val="0"/>
        <w:spacing w:line="360" w:lineRule="auto"/>
        <w:ind w:firstLine="399" w:firstLineChars="190"/>
        <w:rPr>
          <w:rFonts w:hint="eastAsia" w:ascii="宋体" w:hAnsi="宋体" w:cs="宋体"/>
          <w:color w:val="auto"/>
          <w:szCs w:val="21"/>
          <w:highlight w:val="none"/>
        </w:rPr>
      </w:pPr>
      <w:r>
        <w:rPr>
          <w:rFonts w:hint="eastAsia" w:ascii="宋体" w:hAnsi="宋体" w:cs="宋体"/>
          <w:color w:val="auto"/>
          <w:szCs w:val="21"/>
          <w:highlight w:val="none"/>
        </w:rPr>
        <w:t>工程质量保修书由发包人、承包人在工程竣工验收前共同签署，作为施工合同附件，其有效期限至保修期满。</w:t>
      </w:r>
    </w:p>
    <w:p w14:paraId="6BF06FDA">
      <w:pPr>
        <w:adjustRightInd w:val="0"/>
        <w:snapToGrid w:val="0"/>
        <w:spacing w:line="360" w:lineRule="auto"/>
        <w:ind w:firstLine="420"/>
        <w:rPr>
          <w:rFonts w:hint="eastAsia" w:ascii="宋体" w:hAnsi="宋体" w:cs="宋体"/>
          <w:color w:val="auto"/>
          <w:szCs w:val="21"/>
          <w:highlight w:val="none"/>
        </w:rPr>
      </w:pPr>
    </w:p>
    <w:p w14:paraId="4451B9F7">
      <w:pPr>
        <w:adjustRightInd w:val="0"/>
        <w:snapToGrid w:val="0"/>
        <w:spacing w:line="360" w:lineRule="auto"/>
        <w:ind w:firstLine="420"/>
        <w:rPr>
          <w:rFonts w:hint="eastAsia" w:ascii="宋体" w:hAnsi="宋体" w:cs="宋体"/>
          <w:color w:val="auto"/>
          <w:szCs w:val="21"/>
          <w:highlight w:val="none"/>
        </w:rPr>
      </w:pPr>
    </w:p>
    <w:p w14:paraId="27E4D24E">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发包人</w:t>
      </w:r>
      <w:r>
        <w:rPr>
          <w:rFonts w:hint="eastAsia" w:ascii="宋体" w:hAnsi="宋体" w:cs="宋体"/>
          <w:color w:val="auto"/>
          <w:szCs w:val="21"/>
          <w:highlight w:val="none"/>
          <w:lang w:eastAsia="zh-CN"/>
        </w:rPr>
        <w:t>（</w:t>
      </w:r>
      <w:r>
        <w:rPr>
          <w:rFonts w:hint="eastAsia" w:ascii="宋体" w:hAnsi="宋体" w:cs="宋体"/>
          <w:color w:val="auto"/>
          <w:szCs w:val="21"/>
          <w:highlight w:val="none"/>
        </w:rPr>
        <w:t>公章</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承包人</w:t>
      </w:r>
      <w:r>
        <w:rPr>
          <w:rFonts w:hint="eastAsia" w:ascii="宋体" w:hAnsi="宋体" w:cs="宋体"/>
          <w:color w:val="auto"/>
          <w:szCs w:val="21"/>
          <w:highlight w:val="none"/>
          <w:lang w:eastAsia="zh-CN"/>
        </w:rPr>
        <w:t>（</w:t>
      </w:r>
      <w:r>
        <w:rPr>
          <w:rFonts w:hint="eastAsia" w:ascii="宋体" w:hAnsi="宋体" w:cs="宋体"/>
          <w:color w:val="auto"/>
          <w:szCs w:val="21"/>
          <w:highlight w:val="none"/>
        </w:rPr>
        <w:t>公章</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 </w:t>
      </w:r>
    </w:p>
    <w:p w14:paraId="49C11215">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w:t>
      </w:r>
    </w:p>
    <w:p w14:paraId="499A7297">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法定代表人</w:t>
      </w:r>
      <w:r>
        <w:rPr>
          <w:rFonts w:hint="eastAsia" w:ascii="宋体" w:hAnsi="宋体" w:cs="宋体"/>
          <w:color w:val="auto"/>
          <w:szCs w:val="21"/>
          <w:highlight w:val="none"/>
          <w:lang w:eastAsia="zh-CN"/>
        </w:rPr>
        <w:t>（</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lang w:eastAsia="zh-CN"/>
        </w:rPr>
        <w:t>（</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766D755">
      <w:pPr>
        <w:adjustRightInd w:val="0"/>
        <w:snapToGrid w:val="0"/>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lang w:eastAsia="zh-CN"/>
        </w:rPr>
        <w:t>（</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lang w:eastAsia="zh-CN"/>
        </w:rPr>
        <w:t>（</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372E47F">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1CCB3189">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3A954C2C">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6C8DAF42">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账  号：</w:t>
      </w:r>
      <w:r>
        <w:rPr>
          <w:rFonts w:hint="eastAsia" w:ascii="宋体" w:hAnsi="宋体" w:cs="宋体"/>
          <w:color w:val="auto"/>
          <w:szCs w:val="21"/>
          <w:highlight w:val="none"/>
          <w:u w:val="single"/>
        </w:rPr>
        <w:t xml:space="preserve">                     </w:t>
      </w:r>
    </w:p>
    <w:p w14:paraId="15700EC1">
      <w:pPr>
        <w:adjustRightInd w:val="0"/>
        <w:snapToGrid w:val="0"/>
        <w:spacing w:line="360" w:lineRule="auto"/>
        <w:rPr>
          <w:rFonts w:hint="eastAsia" w:ascii="宋体" w:hAnsi="宋体" w:cs="宋体"/>
          <w:color w:val="auto"/>
          <w:sz w:val="24"/>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712D35BE">
      <w:pPr>
        <w:widowControl/>
        <w:jc w:val="left"/>
        <w:rPr>
          <w:rFonts w:hint="eastAsia" w:ascii="宋体" w:hAnsi="宋体" w:cs="宋体"/>
          <w:b/>
          <w:color w:val="auto"/>
          <w:sz w:val="24"/>
          <w:highlight w:val="none"/>
        </w:rPr>
      </w:pPr>
    </w:p>
    <w:p w14:paraId="1D6E7653">
      <w:pPr>
        <w:pStyle w:val="20"/>
        <w:rPr>
          <w:rFonts w:hint="eastAsia"/>
          <w:color w:val="auto"/>
          <w:highlight w:val="none"/>
        </w:rPr>
      </w:pPr>
    </w:p>
    <w:p w14:paraId="1173D9C2">
      <w:pPr>
        <w:rPr>
          <w:rFonts w:hint="eastAsia"/>
          <w:color w:val="auto"/>
          <w:highlight w:val="none"/>
        </w:rPr>
      </w:pPr>
    </w:p>
    <w:p w14:paraId="082FB029">
      <w:pPr>
        <w:pStyle w:val="20"/>
        <w:rPr>
          <w:rFonts w:hint="eastAsia"/>
          <w:color w:val="auto"/>
          <w:highlight w:val="none"/>
        </w:rPr>
      </w:pPr>
    </w:p>
    <w:p w14:paraId="7B401E2C">
      <w:pPr>
        <w:rPr>
          <w:rFonts w:hint="eastAsia"/>
          <w:color w:val="auto"/>
          <w:highlight w:val="none"/>
        </w:rPr>
      </w:pPr>
    </w:p>
    <w:p w14:paraId="6393748F">
      <w:pPr>
        <w:pStyle w:val="20"/>
        <w:rPr>
          <w:rFonts w:hint="eastAsia"/>
          <w:color w:val="auto"/>
          <w:highlight w:val="none"/>
        </w:rPr>
      </w:pPr>
    </w:p>
    <w:p w14:paraId="0CF9B41E">
      <w:pPr>
        <w:rPr>
          <w:rFonts w:hint="eastAsia"/>
          <w:color w:val="auto"/>
          <w:highlight w:val="none"/>
        </w:rPr>
      </w:pPr>
    </w:p>
    <w:p w14:paraId="0D13CF4D">
      <w:pPr>
        <w:pStyle w:val="20"/>
        <w:rPr>
          <w:rFonts w:hint="eastAsia"/>
          <w:color w:val="auto"/>
          <w:highlight w:val="none"/>
        </w:rPr>
      </w:pPr>
    </w:p>
    <w:p w14:paraId="64ABEFCF">
      <w:pPr>
        <w:rPr>
          <w:rFonts w:hint="eastAsia"/>
          <w:color w:val="auto"/>
          <w:highlight w:val="none"/>
        </w:rPr>
      </w:pPr>
    </w:p>
    <w:p w14:paraId="19D11BA9">
      <w:pPr>
        <w:pStyle w:val="20"/>
        <w:rPr>
          <w:rFonts w:hint="eastAsia"/>
          <w:color w:val="auto"/>
          <w:highlight w:val="none"/>
        </w:rPr>
      </w:pPr>
    </w:p>
    <w:p w14:paraId="161D580E">
      <w:pPr>
        <w:rPr>
          <w:rFonts w:hint="eastAsia"/>
          <w:color w:val="auto"/>
          <w:highlight w:val="none"/>
        </w:rPr>
      </w:pPr>
    </w:p>
    <w:p w14:paraId="21D50536">
      <w:pPr>
        <w:pStyle w:val="20"/>
        <w:rPr>
          <w:rFonts w:hint="eastAsia"/>
          <w:color w:val="auto"/>
          <w:highlight w:val="none"/>
        </w:rPr>
      </w:pPr>
    </w:p>
    <w:p w14:paraId="7B55AE6D">
      <w:pPr>
        <w:rPr>
          <w:rFonts w:hint="eastAsia"/>
          <w:color w:val="auto"/>
          <w:highlight w:val="none"/>
        </w:rPr>
      </w:pPr>
    </w:p>
    <w:p w14:paraId="4F9E1B04">
      <w:pPr>
        <w:pStyle w:val="20"/>
        <w:rPr>
          <w:rFonts w:hint="eastAsia"/>
          <w:color w:val="auto"/>
          <w:highlight w:val="none"/>
        </w:rPr>
      </w:pPr>
    </w:p>
    <w:p w14:paraId="31547B9A">
      <w:pPr>
        <w:rPr>
          <w:rFonts w:hint="eastAsia"/>
          <w:color w:val="auto"/>
          <w:highlight w:val="none"/>
        </w:rPr>
      </w:pPr>
    </w:p>
    <w:p w14:paraId="70CD7E86">
      <w:pPr>
        <w:pStyle w:val="20"/>
        <w:rPr>
          <w:rFonts w:hint="eastAsia"/>
          <w:color w:val="auto"/>
          <w:highlight w:val="none"/>
        </w:rPr>
      </w:pPr>
    </w:p>
    <w:p w14:paraId="04903D5C">
      <w:pPr>
        <w:rPr>
          <w:rFonts w:hint="eastAsia"/>
          <w:color w:val="auto"/>
          <w:highlight w:val="none"/>
        </w:rPr>
      </w:pPr>
    </w:p>
    <w:p w14:paraId="53A3B7EF">
      <w:pPr>
        <w:pStyle w:val="20"/>
        <w:rPr>
          <w:rFonts w:hint="eastAsia"/>
          <w:color w:val="auto"/>
          <w:highlight w:val="none"/>
        </w:rPr>
      </w:pPr>
    </w:p>
    <w:p w14:paraId="481D4BD9">
      <w:pPr>
        <w:rPr>
          <w:rFonts w:hint="eastAsia"/>
          <w:color w:val="auto"/>
          <w:highlight w:val="none"/>
        </w:rPr>
      </w:pPr>
    </w:p>
    <w:p w14:paraId="2D20616B">
      <w:pPr>
        <w:pStyle w:val="20"/>
        <w:rPr>
          <w:rFonts w:hint="eastAsia"/>
          <w:color w:val="auto"/>
          <w:highlight w:val="none"/>
        </w:rPr>
      </w:pPr>
    </w:p>
    <w:p w14:paraId="5C11C335">
      <w:pPr>
        <w:rPr>
          <w:rFonts w:hint="eastAsia"/>
          <w:color w:val="auto"/>
          <w:highlight w:val="none"/>
        </w:rPr>
      </w:pPr>
    </w:p>
    <w:p w14:paraId="533F8BD4">
      <w:pPr>
        <w:pStyle w:val="20"/>
        <w:rPr>
          <w:rFonts w:hint="eastAsia"/>
          <w:color w:val="auto"/>
          <w:highlight w:val="none"/>
        </w:rPr>
      </w:pPr>
    </w:p>
    <w:p w14:paraId="63FD55D3">
      <w:pPr>
        <w:keepNext/>
        <w:keepLines/>
        <w:spacing w:before="120" w:after="120" w:line="360" w:lineRule="auto"/>
        <w:jc w:val="left"/>
        <w:outlineLvl w:val="2"/>
        <w:rPr>
          <w:rFonts w:ascii="宋体" w:hAnsi="宋体" w:cs="宋体"/>
          <w:bCs/>
          <w:color w:val="auto"/>
          <w:sz w:val="24"/>
          <w:highlight w:val="none"/>
        </w:rPr>
        <w:sectPr>
          <w:footnotePr>
            <w:numFmt w:val="decimalEnclosedCircleChinese"/>
            <w:numRestart w:val="eachPage"/>
          </w:footnotePr>
          <w:pgSz w:w="11907" w:h="16840"/>
          <w:pgMar w:top="1474" w:right="1474" w:bottom="1474" w:left="1474" w:header="799" w:footer="907" w:gutter="0"/>
          <w:pgNumType w:fmt="numberInDash"/>
          <w:cols w:space="720" w:num="1"/>
          <w:docGrid w:linePitch="271" w:charSpace="0"/>
        </w:sectPr>
      </w:pPr>
      <w:bookmarkStart w:id="1293" w:name="_Toc95223489"/>
    </w:p>
    <w:bookmarkEnd w:id="1293"/>
    <w:p w14:paraId="733EC1ED">
      <w:pPr>
        <w:keepNext/>
        <w:keepLines/>
        <w:spacing w:before="120" w:after="120" w:line="360" w:lineRule="auto"/>
        <w:jc w:val="left"/>
        <w:outlineLvl w:val="2"/>
        <w:rPr>
          <w:rFonts w:hint="eastAsia" w:ascii="宋体" w:hAnsi="宋体" w:cs="宋体"/>
          <w:bCs/>
          <w:color w:val="auto"/>
          <w:sz w:val="24"/>
          <w:highlight w:val="none"/>
        </w:rPr>
      </w:pPr>
      <w:bookmarkStart w:id="1294" w:name="_Toc95223490"/>
      <w:r>
        <w:rPr>
          <w:rFonts w:hint="eastAsia" w:ascii="宋体" w:hAnsi="宋体" w:cs="宋体"/>
          <w:bCs/>
          <w:color w:val="auto"/>
          <w:sz w:val="24"/>
          <w:highlight w:val="none"/>
        </w:rPr>
        <w:t>附件4：主要建设工程文件目录</w:t>
      </w:r>
      <w:bookmarkEnd w:id="1294"/>
    </w:p>
    <w:p w14:paraId="57DCAB78">
      <w:pPr>
        <w:spacing w:before="120" w:beforeLines="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主要建设工程文件目录</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49A0BA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953" w:type="dxa"/>
            <w:tcBorders>
              <w:top w:val="single" w:color="auto" w:sz="12" w:space="0"/>
              <w:bottom w:val="double" w:color="auto" w:sz="6" w:space="0"/>
            </w:tcBorders>
            <w:noWrap w:val="0"/>
            <w:vAlign w:val="center"/>
          </w:tcPr>
          <w:p w14:paraId="51EF69FD">
            <w:pPr>
              <w:keepNext/>
              <w:rPr>
                <w:rFonts w:hint="eastAsia" w:ascii="宋体" w:hAnsi="宋体" w:cs="宋体"/>
                <w:color w:val="auto"/>
                <w:szCs w:val="21"/>
                <w:highlight w:val="none"/>
              </w:rPr>
            </w:pPr>
            <w:r>
              <w:rPr>
                <w:rFonts w:hint="eastAsia" w:ascii="宋体" w:hAnsi="宋体" w:cs="宋体"/>
                <w:color w:val="auto"/>
                <w:szCs w:val="21"/>
                <w:highlight w:val="none"/>
              </w:rPr>
              <w:t>文件名称</w:t>
            </w:r>
          </w:p>
        </w:tc>
        <w:tc>
          <w:tcPr>
            <w:tcW w:w="1276" w:type="dxa"/>
            <w:tcBorders>
              <w:top w:val="single" w:color="auto" w:sz="12" w:space="0"/>
              <w:bottom w:val="double" w:color="auto" w:sz="6" w:space="0"/>
            </w:tcBorders>
            <w:noWrap w:val="0"/>
            <w:vAlign w:val="center"/>
          </w:tcPr>
          <w:p w14:paraId="34F78476">
            <w:pPr>
              <w:keepNext/>
              <w:rPr>
                <w:rFonts w:hint="eastAsia" w:ascii="宋体" w:hAnsi="宋体" w:cs="宋体"/>
                <w:color w:val="auto"/>
                <w:szCs w:val="21"/>
                <w:highlight w:val="none"/>
              </w:rPr>
            </w:pPr>
            <w:r>
              <w:rPr>
                <w:rFonts w:hint="eastAsia" w:ascii="宋体" w:hAnsi="宋体" w:cs="宋体"/>
                <w:color w:val="auto"/>
                <w:szCs w:val="21"/>
                <w:highlight w:val="none"/>
              </w:rPr>
              <w:t>套数</w:t>
            </w:r>
          </w:p>
        </w:tc>
        <w:tc>
          <w:tcPr>
            <w:tcW w:w="1450" w:type="dxa"/>
            <w:tcBorders>
              <w:top w:val="single" w:color="auto" w:sz="12" w:space="0"/>
              <w:bottom w:val="double" w:color="auto" w:sz="6" w:space="0"/>
            </w:tcBorders>
            <w:noWrap w:val="0"/>
            <w:vAlign w:val="center"/>
          </w:tcPr>
          <w:p w14:paraId="57326B0D">
            <w:pPr>
              <w:keepNext/>
              <w:rPr>
                <w:rFonts w:hint="eastAsia" w:ascii="宋体" w:hAnsi="宋体" w:cs="宋体"/>
                <w:color w:val="auto"/>
                <w:szCs w:val="21"/>
                <w:highlight w:val="none"/>
              </w:rPr>
            </w:pPr>
            <w:r>
              <w:rPr>
                <w:rFonts w:hint="eastAsia" w:ascii="宋体" w:hAnsi="宋体" w:cs="宋体"/>
                <w:color w:val="auto"/>
                <w:szCs w:val="21"/>
                <w:highlight w:val="none"/>
              </w:rPr>
              <w:t>费用（元）</w:t>
            </w:r>
          </w:p>
        </w:tc>
        <w:tc>
          <w:tcPr>
            <w:tcW w:w="1243" w:type="dxa"/>
            <w:tcBorders>
              <w:top w:val="single" w:color="auto" w:sz="12" w:space="0"/>
              <w:bottom w:val="double" w:color="auto" w:sz="6" w:space="0"/>
            </w:tcBorders>
            <w:noWrap w:val="0"/>
            <w:vAlign w:val="center"/>
          </w:tcPr>
          <w:p w14:paraId="435323AE">
            <w:pPr>
              <w:keepNext/>
              <w:rPr>
                <w:rFonts w:hint="eastAsia" w:ascii="宋体" w:hAnsi="宋体" w:cs="宋体"/>
                <w:color w:val="auto"/>
                <w:szCs w:val="21"/>
                <w:highlight w:val="none"/>
              </w:rPr>
            </w:pPr>
            <w:r>
              <w:rPr>
                <w:rFonts w:hint="eastAsia" w:ascii="宋体" w:hAnsi="宋体" w:cs="宋体"/>
                <w:color w:val="auto"/>
                <w:szCs w:val="21"/>
                <w:highlight w:val="none"/>
              </w:rPr>
              <w:t>质量</w:t>
            </w:r>
          </w:p>
        </w:tc>
        <w:tc>
          <w:tcPr>
            <w:tcW w:w="1450" w:type="dxa"/>
            <w:tcBorders>
              <w:top w:val="single" w:color="auto" w:sz="12" w:space="0"/>
              <w:bottom w:val="double" w:color="auto" w:sz="6" w:space="0"/>
            </w:tcBorders>
            <w:noWrap w:val="0"/>
            <w:vAlign w:val="top"/>
          </w:tcPr>
          <w:p w14:paraId="2D6D9CF3">
            <w:pPr>
              <w:rPr>
                <w:rFonts w:hint="eastAsia" w:ascii="宋体" w:hAnsi="宋体" w:cs="宋体"/>
                <w:color w:val="auto"/>
                <w:szCs w:val="21"/>
                <w:highlight w:val="none"/>
              </w:rPr>
            </w:pPr>
            <w:r>
              <w:rPr>
                <w:rFonts w:hint="eastAsia" w:ascii="宋体" w:hAnsi="宋体" w:cs="宋体"/>
                <w:color w:val="auto"/>
                <w:szCs w:val="21"/>
                <w:highlight w:val="none"/>
              </w:rPr>
              <w:t>移交时间</w:t>
            </w:r>
          </w:p>
        </w:tc>
        <w:tc>
          <w:tcPr>
            <w:tcW w:w="1667" w:type="dxa"/>
            <w:tcBorders>
              <w:top w:val="single" w:color="auto" w:sz="12" w:space="0"/>
              <w:bottom w:val="double" w:color="auto" w:sz="6" w:space="0"/>
            </w:tcBorders>
            <w:noWrap w:val="0"/>
            <w:vAlign w:val="top"/>
          </w:tcPr>
          <w:p w14:paraId="38C9D329">
            <w:pPr>
              <w:rPr>
                <w:rFonts w:hint="eastAsia" w:ascii="宋体" w:hAnsi="宋体" w:cs="宋体"/>
                <w:color w:val="auto"/>
                <w:szCs w:val="21"/>
                <w:highlight w:val="none"/>
              </w:rPr>
            </w:pPr>
            <w:r>
              <w:rPr>
                <w:rFonts w:hint="eastAsia" w:ascii="宋体" w:hAnsi="宋体" w:cs="宋体"/>
                <w:color w:val="auto"/>
                <w:szCs w:val="21"/>
                <w:highlight w:val="none"/>
              </w:rPr>
              <w:t>责任人</w:t>
            </w:r>
          </w:p>
        </w:tc>
      </w:tr>
      <w:tr w14:paraId="21565A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double" w:color="auto" w:sz="6" w:space="0"/>
            </w:tcBorders>
            <w:noWrap w:val="0"/>
            <w:vAlign w:val="center"/>
          </w:tcPr>
          <w:p w14:paraId="76D3E292">
            <w:pPr>
              <w:keepNext/>
              <w:rPr>
                <w:rFonts w:hint="eastAsia" w:ascii="宋体" w:hAnsi="宋体" w:cs="宋体"/>
                <w:color w:val="auto"/>
                <w:szCs w:val="21"/>
                <w:highlight w:val="none"/>
              </w:rPr>
            </w:pPr>
          </w:p>
        </w:tc>
        <w:tc>
          <w:tcPr>
            <w:tcW w:w="1276" w:type="dxa"/>
            <w:tcBorders>
              <w:top w:val="double" w:color="auto" w:sz="6" w:space="0"/>
            </w:tcBorders>
            <w:noWrap w:val="0"/>
            <w:vAlign w:val="center"/>
          </w:tcPr>
          <w:p w14:paraId="19570B27">
            <w:pPr>
              <w:keepNext/>
              <w:rPr>
                <w:rFonts w:hint="eastAsia" w:ascii="宋体" w:hAnsi="宋体" w:cs="宋体"/>
                <w:color w:val="auto"/>
                <w:szCs w:val="21"/>
                <w:highlight w:val="none"/>
              </w:rPr>
            </w:pPr>
          </w:p>
        </w:tc>
        <w:tc>
          <w:tcPr>
            <w:tcW w:w="1450" w:type="dxa"/>
            <w:tcBorders>
              <w:top w:val="double" w:color="auto" w:sz="6" w:space="0"/>
            </w:tcBorders>
            <w:noWrap w:val="0"/>
            <w:vAlign w:val="center"/>
          </w:tcPr>
          <w:p w14:paraId="1DE2E619">
            <w:pPr>
              <w:keepNext/>
              <w:rPr>
                <w:rFonts w:hint="eastAsia" w:ascii="宋体" w:hAnsi="宋体" w:cs="宋体"/>
                <w:color w:val="auto"/>
                <w:szCs w:val="21"/>
                <w:highlight w:val="none"/>
              </w:rPr>
            </w:pPr>
          </w:p>
        </w:tc>
        <w:tc>
          <w:tcPr>
            <w:tcW w:w="1243" w:type="dxa"/>
            <w:tcBorders>
              <w:top w:val="double" w:color="auto" w:sz="6" w:space="0"/>
            </w:tcBorders>
            <w:noWrap w:val="0"/>
            <w:vAlign w:val="center"/>
          </w:tcPr>
          <w:p w14:paraId="77C67C36">
            <w:pPr>
              <w:keepNext/>
              <w:rPr>
                <w:rFonts w:hint="eastAsia" w:ascii="宋体" w:hAnsi="宋体" w:cs="宋体"/>
                <w:color w:val="auto"/>
                <w:szCs w:val="21"/>
                <w:highlight w:val="none"/>
              </w:rPr>
            </w:pPr>
          </w:p>
        </w:tc>
        <w:tc>
          <w:tcPr>
            <w:tcW w:w="1450" w:type="dxa"/>
            <w:tcBorders>
              <w:top w:val="double" w:color="auto" w:sz="6" w:space="0"/>
            </w:tcBorders>
            <w:noWrap w:val="0"/>
            <w:vAlign w:val="center"/>
          </w:tcPr>
          <w:p w14:paraId="4C14B6EC">
            <w:pPr>
              <w:keepNext/>
              <w:rPr>
                <w:rFonts w:hint="eastAsia" w:ascii="宋体" w:hAnsi="宋体" w:cs="宋体"/>
                <w:color w:val="auto"/>
                <w:szCs w:val="21"/>
                <w:highlight w:val="none"/>
              </w:rPr>
            </w:pPr>
          </w:p>
        </w:tc>
        <w:tc>
          <w:tcPr>
            <w:tcW w:w="1667" w:type="dxa"/>
            <w:tcBorders>
              <w:top w:val="double" w:color="auto" w:sz="6" w:space="0"/>
            </w:tcBorders>
            <w:noWrap w:val="0"/>
            <w:vAlign w:val="center"/>
          </w:tcPr>
          <w:p w14:paraId="0A33D526">
            <w:pPr>
              <w:keepNext/>
              <w:rPr>
                <w:rFonts w:hint="eastAsia" w:ascii="宋体" w:hAnsi="宋体" w:cs="宋体"/>
                <w:color w:val="auto"/>
                <w:szCs w:val="21"/>
                <w:highlight w:val="none"/>
              </w:rPr>
            </w:pPr>
          </w:p>
        </w:tc>
      </w:tr>
      <w:tr w14:paraId="362E8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nil"/>
            </w:tcBorders>
            <w:noWrap w:val="0"/>
            <w:vAlign w:val="center"/>
          </w:tcPr>
          <w:p w14:paraId="04808F76">
            <w:pPr>
              <w:keepNext/>
              <w:rPr>
                <w:rFonts w:hint="eastAsia" w:ascii="宋体" w:hAnsi="宋体" w:cs="宋体"/>
                <w:color w:val="auto"/>
                <w:szCs w:val="21"/>
                <w:highlight w:val="none"/>
              </w:rPr>
            </w:pPr>
          </w:p>
        </w:tc>
        <w:tc>
          <w:tcPr>
            <w:tcW w:w="1276" w:type="dxa"/>
            <w:tcBorders>
              <w:top w:val="nil"/>
            </w:tcBorders>
            <w:noWrap w:val="0"/>
            <w:vAlign w:val="center"/>
          </w:tcPr>
          <w:p w14:paraId="0BFC5205">
            <w:pPr>
              <w:keepNext/>
              <w:rPr>
                <w:rFonts w:hint="eastAsia" w:ascii="宋体" w:hAnsi="宋体" w:cs="宋体"/>
                <w:color w:val="auto"/>
                <w:szCs w:val="21"/>
                <w:highlight w:val="none"/>
              </w:rPr>
            </w:pPr>
          </w:p>
        </w:tc>
        <w:tc>
          <w:tcPr>
            <w:tcW w:w="1450" w:type="dxa"/>
            <w:tcBorders>
              <w:top w:val="nil"/>
            </w:tcBorders>
            <w:noWrap w:val="0"/>
            <w:vAlign w:val="center"/>
          </w:tcPr>
          <w:p w14:paraId="56FE031C">
            <w:pPr>
              <w:keepNext/>
              <w:rPr>
                <w:rFonts w:hint="eastAsia" w:ascii="宋体" w:hAnsi="宋体" w:cs="宋体"/>
                <w:color w:val="auto"/>
                <w:szCs w:val="21"/>
                <w:highlight w:val="none"/>
              </w:rPr>
            </w:pPr>
          </w:p>
        </w:tc>
        <w:tc>
          <w:tcPr>
            <w:tcW w:w="1243" w:type="dxa"/>
            <w:tcBorders>
              <w:top w:val="nil"/>
            </w:tcBorders>
            <w:noWrap w:val="0"/>
            <w:vAlign w:val="center"/>
          </w:tcPr>
          <w:p w14:paraId="4DEB4BDE">
            <w:pPr>
              <w:keepNext/>
              <w:rPr>
                <w:rFonts w:hint="eastAsia" w:ascii="宋体" w:hAnsi="宋体" w:cs="宋体"/>
                <w:color w:val="auto"/>
                <w:szCs w:val="21"/>
                <w:highlight w:val="none"/>
              </w:rPr>
            </w:pPr>
          </w:p>
        </w:tc>
        <w:tc>
          <w:tcPr>
            <w:tcW w:w="1450" w:type="dxa"/>
            <w:tcBorders>
              <w:top w:val="nil"/>
            </w:tcBorders>
            <w:noWrap w:val="0"/>
            <w:vAlign w:val="center"/>
          </w:tcPr>
          <w:p w14:paraId="252A9FFB">
            <w:pPr>
              <w:keepNext/>
              <w:rPr>
                <w:rFonts w:hint="eastAsia" w:ascii="宋体" w:hAnsi="宋体" w:cs="宋体"/>
                <w:color w:val="auto"/>
                <w:szCs w:val="21"/>
                <w:highlight w:val="none"/>
              </w:rPr>
            </w:pPr>
          </w:p>
        </w:tc>
        <w:tc>
          <w:tcPr>
            <w:tcW w:w="1667" w:type="dxa"/>
            <w:tcBorders>
              <w:top w:val="nil"/>
            </w:tcBorders>
            <w:noWrap w:val="0"/>
            <w:vAlign w:val="center"/>
          </w:tcPr>
          <w:p w14:paraId="609C7F92">
            <w:pPr>
              <w:keepNext/>
              <w:rPr>
                <w:rFonts w:hint="eastAsia" w:ascii="宋体" w:hAnsi="宋体" w:cs="宋体"/>
                <w:color w:val="auto"/>
                <w:szCs w:val="21"/>
                <w:highlight w:val="none"/>
              </w:rPr>
            </w:pPr>
          </w:p>
        </w:tc>
      </w:tr>
      <w:tr w14:paraId="25FB3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1285A4B6">
            <w:pPr>
              <w:rPr>
                <w:rFonts w:hint="eastAsia" w:ascii="宋体" w:hAnsi="宋体" w:cs="宋体"/>
                <w:color w:val="auto"/>
                <w:szCs w:val="21"/>
                <w:highlight w:val="none"/>
              </w:rPr>
            </w:pPr>
          </w:p>
        </w:tc>
        <w:tc>
          <w:tcPr>
            <w:tcW w:w="1276" w:type="dxa"/>
            <w:noWrap w:val="0"/>
            <w:vAlign w:val="top"/>
          </w:tcPr>
          <w:p w14:paraId="41F4021A">
            <w:pPr>
              <w:rPr>
                <w:rFonts w:hint="eastAsia" w:ascii="宋体" w:hAnsi="宋体" w:cs="宋体"/>
                <w:color w:val="auto"/>
                <w:szCs w:val="21"/>
                <w:highlight w:val="none"/>
              </w:rPr>
            </w:pPr>
          </w:p>
        </w:tc>
        <w:tc>
          <w:tcPr>
            <w:tcW w:w="1450" w:type="dxa"/>
            <w:noWrap w:val="0"/>
            <w:vAlign w:val="top"/>
          </w:tcPr>
          <w:p w14:paraId="273EFB1B">
            <w:pPr>
              <w:rPr>
                <w:rFonts w:hint="eastAsia" w:ascii="宋体" w:hAnsi="宋体" w:cs="宋体"/>
                <w:color w:val="auto"/>
                <w:szCs w:val="21"/>
                <w:highlight w:val="none"/>
              </w:rPr>
            </w:pPr>
          </w:p>
        </w:tc>
        <w:tc>
          <w:tcPr>
            <w:tcW w:w="1243" w:type="dxa"/>
            <w:noWrap w:val="0"/>
            <w:vAlign w:val="top"/>
          </w:tcPr>
          <w:p w14:paraId="73B094B8">
            <w:pPr>
              <w:rPr>
                <w:rFonts w:hint="eastAsia" w:ascii="宋体" w:hAnsi="宋体" w:cs="宋体"/>
                <w:color w:val="auto"/>
                <w:szCs w:val="21"/>
                <w:highlight w:val="none"/>
              </w:rPr>
            </w:pPr>
          </w:p>
        </w:tc>
        <w:tc>
          <w:tcPr>
            <w:tcW w:w="1450" w:type="dxa"/>
            <w:noWrap w:val="0"/>
            <w:vAlign w:val="top"/>
          </w:tcPr>
          <w:p w14:paraId="099AE198">
            <w:pPr>
              <w:rPr>
                <w:rFonts w:hint="eastAsia" w:ascii="宋体" w:hAnsi="宋体" w:cs="宋体"/>
                <w:color w:val="auto"/>
                <w:szCs w:val="21"/>
                <w:highlight w:val="none"/>
              </w:rPr>
            </w:pPr>
          </w:p>
        </w:tc>
        <w:tc>
          <w:tcPr>
            <w:tcW w:w="1667" w:type="dxa"/>
            <w:noWrap w:val="0"/>
            <w:vAlign w:val="top"/>
          </w:tcPr>
          <w:p w14:paraId="2B714B7C">
            <w:pPr>
              <w:rPr>
                <w:rFonts w:hint="eastAsia" w:ascii="宋体" w:hAnsi="宋体" w:cs="宋体"/>
                <w:color w:val="auto"/>
                <w:szCs w:val="21"/>
                <w:highlight w:val="none"/>
              </w:rPr>
            </w:pPr>
          </w:p>
        </w:tc>
      </w:tr>
      <w:tr w14:paraId="0FFF23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77B1B8F6">
            <w:pPr>
              <w:rPr>
                <w:rFonts w:hint="eastAsia" w:ascii="宋体" w:hAnsi="宋体" w:cs="宋体"/>
                <w:color w:val="auto"/>
                <w:szCs w:val="21"/>
                <w:highlight w:val="none"/>
              </w:rPr>
            </w:pPr>
          </w:p>
        </w:tc>
        <w:tc>
          <w:tcPr>
            <w:tcW w:w="1276" w:type="dxa"/>
            <w:noWrap w:val="0"/>
            <w:vAlign w:val="top"/>
          </w:tcPr>
          <w:p w14:paraId="08FEAE9F">
            <w:pPr>
              <w:rPr>
                <w:rFonts w:hint="eastAsia" w:ascii="宋体" w:hAnsi="宋体" w:cs="宋体"/>
                <w:color w:val="auto"/>
                <w:szCs w:val="21"/>
                <w:highlight w:val="none"/>
              </w:rPr>
            </w:pPr>
          </w:p>
        </w:tc>
        <w:tc>
          <w:tcPr>
            <w:tcW w:w="1450" w:type="dxa"/>
            <w:noWrap w:val="0"/>
            <w:vAlign w:val="top"/>
          </w:tcPr>
          <w:p w14:paraId="686FE5F3">
            <w:pPr>
              <w:rPr>
                <w:rFonts w:hint="eastAsia" w:ascii="宋体" w:hAnsi="宋体" w:cs="宋体"/>
                <w:color w:val="auto"/>
                <w:szCs w:val="21"/>
                <w:highlight w:val="none"/>
              </w:rPr>
            </w:pPr>
          </w:p>
        </w:tc>
        <w:tc>
          <w:tcPr>
            <w:tcW w:w="1243" w:type="dxa"/>
            <w:noWrap w:val="0"/>
            <w:vAlign w:val="top"/>
          </w:tcPr>
          <w:p w14:paraId="129E0F92">
            <w:pPr>
              <w:rPr>
                <w:rFonts w:hint="eastAsia" w:ascii="宋体" w:hAnsi="宋体" w:cs="宋体"/>
                <w:color w:val="auto"/>
                <w:szCs w:val="21"/>
                <w:highlight w:val="none"/>
              </w:rPr>
            </w:pPr>
          </w:p>
        </w:tc>
        <w:tc>
          <w:tcPr>
            <w:tcW w:w="1450" w:type="dxa"/>
            <w:noWrap w:val="0"/>
            <w:vAlign w:val="top"/>
          </w:tcPr>
          <w:p w14:paraId="6875480C">
            <w:pPr>
              <w:rPr>
                <w:rFonts w:hint="eastAsia" w:ascii="宋体" w:hAnsi="宋体" w:cs="宋体"/>
                <w:color w:val="auto"/>
                <w:szCs w:val="21"/>
                <w:highlight w:val="none"/>
              </w:rPr>
            </w:pPr>
          </w:p>
        </w:tc>
        <w:tc>
          <w:tcPr>
            <w:tcW w:w="1667" w:type="dxa"/>
            <w:noWrap w:val="0"/>
            <w:vAlign w:val="top"/>
          </w:tcPr>
          <w:p w14:paraId="565A9140">
            <w:pPr>
              <w:rPr>
                <w:rFonts w:hint="eastAsia" w:ascii="宋体" w:hAnsi="宋体" w:cs="宋体"/>
                <w:color w:val="auto"/>
                <w:szCs w:val="21"/>
                <w:highlight w:val="none"/>
              </w:rPr>
            </w:pPr>
          </w:p>
        </w:tc>
      </w:tr>
      <w:tr w14:paraId="7DC68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bottom w:val="single" w:color="auto" w:sz="12" w:space="0"/>
            </w:tcBorders>
            <w:noWrap w:val="0"/>
            <w:vAlign w:val="top"/>
          </w:tcPr>
          <w:p w14:paraId="4CA65BF9">
            <w:pPr>
              <w:rPr>
                <w:rFonts w:hint="eastAsia" w:ascii="宋体" w:hAnsi="宋体" w:cs="宋体"/>
                <w:color w:val="auto"/>
                <w:szCs w:val="21"/>
                <w:highlight w:val="none"/>
              </w:rPr>
            </w:pPr>
          </w:p>
        </w:tc>
        <w:tc>
          <w:tcPr>
            <w:tcW w:w="1276" w:type="dxa"/>
            <w:tcBorders>
              <w:bottom w:val="single" w:color="auto" w:sz="12" w:space="0"/>
            </w:tcBorders>
            <w:noWrap w:val="0"/>
            <w:vAlign w:val="top"/>
          </w:tcPr>
          <w:p w14:paraId="7CBC0D24">
            <w:pPr>
              <w:rPr>
                <w:rFonts w:hint="eastAsia" w:ascii="宋体" w:hAnsi="宋体" w:cs="宋体"/>
                <w:color w:val="auto"/>
                <w:szCs w:val="21"/>
                <w:highlight w:val="none"/>
              </w:rPr>
            </w:pPr>
          </w:p>
        </w:tc>
        <w:tc>
          <w:tcPr>
            <w:tcW w:w="1450" w:type="dxa"/>
            <w:tcBorders>
              <w:bottom w:val="single" w:color="auto" w:sz="12" w:space="0"/>
            </w:tcBorders>
            <w:noWrap w:val="0"/>
            <w:vAlign w:val="top"/>
          </w:tcPr>
          <w:p w14:paraId="18814E79">
            <w:pPr>
              <w:rPr>
                <w:rFonts w:hint="eastAsia" w:ascii="宋体" w:hAnsi="宋体" w:cs="宋体"/>
                <w:color w:val="auto"/>
                <w:szCs w:val="21"/>
                <w:highlight w:val="none"/>
              </w:rPr>
            </w:pPr>
          </w:p>
        </w:tc>
        <w:tc>
          <w:tcPr>
            <w:tcW w:w="1243" w:type="dxa"/>
            <w:tcBorders>
              <w:bottom w:val="single" w:color="auto" w:sz="12" w:space="0"/>
            </w:tcBorders>
            <w:noWrap w:val="0"/>
            <w:vAlign w:val="top"/>
          </w:tcPr>
          <w:p w14:paraId="573D9BD9">
            <w:pPr>
              <w:rPr>
                <w:rFonts w:hint="eastAsia" w:ascii="宋体" w:hAnsi="宋体" w:cs="宋体"/>
                <w:color w:val="auto"/>
                <w:szCs w:val="21"/>
                <w:highlight w:val="none"/>
              </w:rPr>
            </w:pPr>
          </w:p>
        </w:tc>
        <w:tc>
          <w:tcPr>
            <w:tcW w:w="1450" w:type="dxa"/>
            <w:tcBorders>
              <w:bottom w:val="single" w:color="auto" w:sz="12" w:space="0"/>
            </w:tcBorders>
            <w:noWrap w:val="0"/>
            <w:vAlign w:val="top"/>
          </w:tcPr>
          <w:p w14:paraId="1D3ABAFF">
            <w:pPr>
              <w:rPr>
                <w:rFonts w:hint="eastAsia" w:ascii="宋体" w:hAnsi="宋体" w:cs="宋体"/>
                <w:color w:val="auto"/>
                <w:szCs w:val="21"/>
                <w:highlight w:val="none"/>
              </w:rPr>
            </w:pPr>
          </w:p>
        </w:tc>
        <w:tc>
          <w:tcPr>
            <w:tcW w:w="1667" w:type="dxa"/>
            <w:tcBorders>
              <w:bottom w:val="single" w:color="auto" w:sz="12" w:space="0"/>
            </w:tcBorders>
            <w:noWrap w:val="0"/>
            <w:vAlign w:val="top"/>
          </w:tcPr>
          <w:p w14:paraId="435A7DD3">
            <w:pPr>
              <w:rPr>
                <w:rFonts w:hint="eastAsia" w:ascii="宋体" w:hAnsi="宋体" w:cs="宋体"/>
                <w:color w:val="auto"/>
                <w:szCs w:val="21"/>
                <w:highlight w:val="none"/>
              </w:rPr>
            </w:pPr>
          </w:p>
        </w:tc>
      </w:tr>
    </w:tbl>
    <w:p w14:paraId="30F179FB">
      <w:pPr>
        <w:rPr>
          <w:rFonts w:hint="eastAsia" w:ascii="宋体" w:hAnsi="宋体" w:cs="宋体"/>
          <w:color w:val="auto"/>
          <w:szCs w:val="21"/>
          <w:highlight w:val="none"/>
        </w:rPr>
      </w:pPr>
    </w:p>
    <w:p w14:paraId="0C64153C">
      <w:pPr>
        <w:keepNext/>
        <w:keepLines/>
        <w:spacing w:before="120" w:after="120" w:line="360" w:lineRule="auto"/>
        <w:jc w:val="left"/>
        <w:outlineLvl w:val="2"/>
        <w:rPr>
          <w:rFonts w:hint="eastAsia" w:ascii="宋体" w:hAnsi="宋体" w:cs="宋体"/>
          <w:bCs/>
          <w:color w:val="auto"/>
          <w:sz w:val="24"/>
          <w:highlight w:val="none"/>
        </w:rPr>
      </w:pPr>
      <w:bookmarkStart w:id="1295" w:name="_Toc95223491"/>
      <w:r>
        <w:rPr>
          <w:rFonts w:hint="eastAsia" w:ascii="宋体" w:hAnsi="宋体" w:cs="宋体"/>
          <w:bCs/>
          <w:color w:val="auto"/>
          <w:sz w:val="24"/>
          <w:highlight w:val="none"/>
        </w:rPr>
        <w:t>附</w:t>
      </w:r>
      <w:bookmarkStart w:id="1296" w:name="_Toc296891055"/>
      <w:bookmarkStart w:id="1297" w:name="_Toc296503227"/>
      <w:bookmarkStart w:id="1298" w:name="_Toc296347226"/>
      <w:bookmarkStart w:id="1299" w:name="_Toc267261698"/>
      <w:bookmarkStart w:id="1300" w:name="_Toc296346728"/>
      <w:bookmarkStart w:id="1301" w:name="_Toc296891267"/>
      <w:bookmarkStart w:id="1302" w:name="_Toc296944566"/>
      <w:r>
        <w:rPr>
          <w:rFonts w:hint="eastAsia" w:ascii="宋体" w:hAnsi="宋体" w:cs="宋体"/>
          <w:bCs/>
          <w:color w:val="auto"/>
          <w:sz w:val="24"/>
          <w:highlight w:val="none"/>
        </w:rPr>
        <w:t>件5：承包人用于本工程施工的机械设备表</w:t>
      </w:r>
      <w:bookmarkEnd w:id="1295"/>
    </w:p>
    <w:bookmarkEnd w:id="1296"/>
    <w:bookmarkEnd w:id="1297"/>
    <w:bookmarkEnd w:id="1298"/>
    <w:bookmarkEnd w:id="1299"/>
    <w:bookmarkEnd w:id="1300"/>
    <w:bookmarkEnd w:id="1301"/>
    <w:bookmarkEnd w:id="1302"/>
    <w:p w14:paraId="6BAED965">
      <w:pPr>
        <w:spacing w:before="120" w:beforeLines="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承包人用于本工程施工的机械设备表</w:t>
      </w:r>
    </w:p>
    <w:tbl>
      <w:tblPr>
        <w:tblStyle w:val="21"/>
        <w:tblW w:w="895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7"/>
        <w:gridCol w:w="1418"/>
        <w:gridCol w:w="850"/>
        <w:gridCol w:w="709"/>
        <w:gridCol w:w="850"/>
        <w:gridCol w:w="963"/>
        <w:gridCol w:w="1480"/>
        <w:gridCol w:w="1020"/>
        <w:gridCol w:w="932"/>
      </w:tblGrid>
      <w:tr w14:paraId="102690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737" w:type="dxa"/>
            <w:tcBorders>
              <w:top w:val="single" w:color="auto" w:sz="12" w:space="0"/>
              <w:bottom w:val="double" w:color="auto" w:sz="6" w:space="0"/>
            </w:tcBorders>
            <w:noWrap w:val="0"/>
            <w:vAlign w:val="center"/>
          </w:tcPr>
          <w:p w14:paraId="4F102245">
            <w:pPr>
              <w:keepNext/>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418" w:type="dxa"/>
            <w:tcBorders>
              <w:top w:val="single" w:color="auto" w:sz="12" w:space="0"/>
              <w:bottom w:val="double" w:color="auto" w:sz="6" w:space="0"/>
            </w:tcBorders>
            <w:noWrap w:val="0"/>
            <w:vAlign w:val="center"/>
          </w:tcPr>
          <w:p w14:paraId="70CAB31B">
            <w:pPr>
              <w:keepNext/>
              <w:rPr>
                <w:rFonts w:hint="eastAsia" w:ascii="宋体" w:hAnsi="宋体" w:cs="宋体"/>
                <w:color w:val="auto"/>
                <w:szCs w:val="21"/>
                <w:highlight w:val="none"/>
              </w:rPr>
            </w:pPr>
            <w:r>
              <w:rPr>
                <w:rFonts w:hint="eastAsia" w:ascii="宋体" w:hAnsi="宋体" w:cs="宋体"/>
                <w:color w:val="auto"/>
                <w:szCs w:val="21"/>
                <w:highlight w:val="none"/>
              </w:rPr>
              <w:t>机械或设备名称</w:t>
            </w:r>
          </w:p>
        </w:tc>
        <w:tc>
          <w:tcPr>
            <w:tcW w:w="850" w:type="dxa"/>
            <w:tcBorders>
              <w:top w:val="single" w:color="auto" w:sz="12" w:space="0"/>
              <w:bottom w:val="double" w:color="auto" w:sz="6" w:space="0"/>
            </w:tcBorders>
            <w:noWrap w:val="0"/>
            <w:vAlign w:val="center"/>
          </w:tcPr>
          <w:p w14:paraId="6FD03D1E">
            <w:pPr>
              <w:keepNext/>
              <w:rPr>
                <w:rFonts w:hint="eastAsia" w:ascii="宋体" w:hAnsi="宋体" w:cs="宋体"/>
                <w:color w:val="auto"/>
                <w:szCs w:val="21"/>
                <w:highlight w:val="none"/>
              </w:rPr>
            </w:pPr>
            <w:r>
              <w:rPr>
                <w:rFonts w:hint="eastAsia" w:ascii="宋体" w:hAnsi="宋体" w:cs="宋体"/>
                <w:color w:val="auto"/>
                <w:szCs w:val="21"/>
                <w:highlight w:val="none"/>
              </w:rPr>
              <w:t>规格型号</w:t>
            </w:r>
          </w:p>
        </w:tc>
        <w:tc>
          <w:tcPr>
            <w:tcW w:w="709" w:type="dxa"/>
            <w:tcBorders>
              <w:top w:val="single" w:color="auto" w:sz="12" w:space="0"/>
              <w:bottom w:val="double" w:color="auto" w:sz="6" w:space="0"/>
            </w:tcBorders>
            <w:noWrap w:val="0"/>
            <w:vAlign w:val="center"/>
          </w:tcPr>
          <w:p w14:paraId="41568FD1">
            <w:pPr>
              <w:keepNext/>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850" w:type="dxa"/>
            <w:tcBorders>
              <w:top w:val="single" w:color="auto" w:sz="12" w:space="0"/>
              <w:bottom w:val="double" w:color="auto" w:sz="6" w:space="0"/>
            </w:tcBorders>
            <w:noWrap w:val="0"/>
            <w:vAlign w:val="center"/>
          </w:tcPr>
          <w:p w14:paraId="15B10A09">
            <w:pPr>
              <w:keepNext/>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963" w:type="dxa"/>
            <w:tcBorders>
              <w:top w:val="single" w:color="auto" w:sz="12" w:space="0"/>
              <w:bottom w:val="double" w:color="auto" w:sz="6" w:space="0"/>
            </w:tcBorders>
            <w:noWrap w:val="0"/>
            <w:vAlign w:val="center"/>
          </w:tcPr>
          <w:p w14:paraId="277CBA7D">
            <w:pPr>
              <w:keepNext/>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480" w:type="dxa"/>
            <w:tcBorders>
              <w:top w:val="single" w:color="auto" w:sz="12" w:space="0"/>
              <w:bottom w:val="double" w:color="auto" w:sz="6" w:space="0"/>
            </w:tcBorders>
            <w:noWrap w:val="0"/>
            <w:vAlign w:val="center"/>
          </w:tcPr>
          <w:p w14:paraId="4C387BE1">
            <w:pPr>
              <w:keepNext/>
              <w:rPr>
                <w:rFonts w:hint="eastAsia" w:ascii="宋体" w:hAnsi="宋体" w:cs="宋体"/>
                <w:color w:val="auto"/>
                <w:szCs w:val="21"/>
                <w:highlight w:val="none"/>
              </w:rPr>
            </w:pPr>
            <w:r>
              <w:rPr>
                <w:rFonts w:hint="eastAsia" w:ascii="宋体" w:hAnsi="宋体" w:cs="宋体"/>
                <w:color w:val="auto"/>
                <w:szCs w:val="21"/>
                <w:highlight w:val="none"/>
              </w:rPr>
              <w:t>额定功率</w:t>
            </w:r>
            <w:r>
              <w:rPr>
                <w:rFonts w:hint="eastAsia" w:ascii="宋体" w:hAnsi="宋体" w:cs="宋体"/>
                <w:color w:val="auto"/>
                <w:szCs w:val="21"/>
                <w:highlight w:val="none"/>
                <w:lang w:eastAsia="zh-CN"/>
              </w:rPr>
              <w:t>（</w:t>
            </w:r>
            <w:r>
              <w:rPr>
                <w:rFonts w:hint="eastAsia" w:ascii="宋体" w:hAnsi="宋体" w:cs="宋体"/>
                <w:color w:val="auto"/>
                <w:szCs w:val="21"/>
                <w:highlight w:val="none"/>
              </w:rPr>
              <w:t>kW</w:t>
            </w:r>
            <w:r>
              <w:rPr>
                <w:rFonts w:hint="eastAsia" w:ascii="宋体" w:hAnsi="宋体" w:cs="宋体"/>
                <w:color w:val="auto"/>
                <w:szCs w:val="21"/>
                <w:highlight w:val="none"/>
                <w:lang w:eastAsia="zh-CN"/>
              </w:rPr>
              <w:t>）</w:t>
            </w:r>
          </w:p>
        </w:tc>
        <w:tc>
          <w:tcPr>
            <w:tcW w:w="1020" w:type="dxa"/>
            <w:tcBorders>
              <w:top w:val="single" w:color="auto" w:sz="12" w:space="0"/>
              <w:bottom w:val="double" w:color="auto" w:sz="6" w:space="0"/>
            </w:tcBorders>
            <w:noWrap w:val="0"/>
            <w:vAlign w:val="center"/>
          </w:tcPr>
          <w:p w14:paraId="36D601C2">
            <w:pPr>
              <w:keepNext/>
              <w:rPr>
                <w:rFonts w:hint="eastAsia" w:ascii="宋体" w:hAnsi="宋体" w:cs="宋体"/>
                <w:color w:val="auto"/>
                <w:szCs w:val="21"/>
                <w:highlight w:val="none"/>
              </w:rPr>
            </w:pPr>
            <w:r>
              <w:rPr>
                <w:rFonts w:hint="eastAsia" w:ascii="宋体" w:hAnsi="宋体" w:cs="宋体"/>
                <w:color w:val="auto"/>
                <w:szCs w:val="21"/>
                <w:highlight w:val="none"/>
              </w:rPr>
              <w:t>生产能力</w:t>
            </w:r>
          </w:p>
        </w:tc>
        <w:tc>
          <w:tcPr>
            <w:tcW w:w="932" w:type="dxa"/>
            <w:tcBorders>
              <w:top w:val="single" w:color="auto" w:sz="12" w:space="0"/>
              <w:bottom w:val="double" w:color="auto" w:sz="6" w:space="0"/>
            </w:tcBorders>
            <w:noWrap w:val="0"/>
            <w:vAlign w:val="center"/>
          </w:tcPr>
          <w:p w14:paraId="52750D6A">
            <w:pPr>
              <w:keepNext/>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1647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top w:val="double" w:color="auto" w:sz="6" w:space="0"/>
            </w:tcBorders>
            <w:noWrap w:val="0"/>
            <w:vAlign w:val="center"/>
          </w:tcPr>
          <w:p w14:paraId="30278E95">
            <w:pPr>
              <w:keepNext/>
              <w:rPr>
                <w:rFonts w:hint="eastAsia" w:ascii="宋体" w:hAnsi="宋体" w:cs="宋体"/>
                <w:color w:val="auto"/>
                <w:szCs w:val="21"/>
                <w:highlight w:val="none"/>
              </w:rPr>
            </w:pPr>
          </w:p>
        </w:tc>
        <w:tc>
          <w:tcPr>
            <w:tcW w:w="1418" w:type="dxa"/>
            <w:tcBorders>
              <w:top w:val="double" w:color="auto" w:sz="6" w:space="0"/>
            </w:tcBorders>
            <w:noWrap w:val="0"/>
            <w:vAlign w:val="center"/>
          </w:tcPr>
          <w:p w14:paraId="5BF8B85D">
            <w:pPr>
              <w:keepNext/>
              <w:rPr>
                <w:rFonts w:hint="eastAsia" w:ascii="宋体" w:hAnsi="宋体" w:cs="宋体"/>
                <w:color w:val="auto"/>
                <w:szCs w:val="21"/>
                <w:highlight w:val="none"/>
              </w:rPr>
            </w:pPr>
          </w:p>
        </w:tc>
        <w:tc>
          <w:tcPr>
            <w:tcW w:w="850" w:type="dxa"/>
            <w:tcBorders>
              <w:top w:val="double" w:color="auto" w:sz="6" w:space="0"/>
            </w:tcBorders>
            <w:noWrap w:val="0"/>
            <w:vAlign w:val="center"/>
          </w:tcPr>
          <w:p w14:paraId="648A6709">
            <w:pPr>
              <w:keepNext/>
              <w:rPr>
                <w:rFonts w:hint="eastAsia" w:ascii="宋体" w:hAnsi="宋体" w:cs="宋体"/>
                <w:color w:val="auto"/>
                <w:szCs w:val="21"/>
                <w:highlight w:val="none"/>
              </w:rPr>
            </w:pPr>
          </w:p>
        </w:tc>
        <w:tc>
          <w:tcPr>
            <w:tcW w:w="709" w:type="dxa"/>
            <w:tcBorders>
              <w:top w:val="double" w:color="auto" w:sz="6" w:space="0"/>
            </w:tcBorders>
            <w:noWrap w:val="0"/>
            <w:vAlign w:val="center"/>
          </w:tcPr>
          <w:p w14:paraId="5FA16438">
            <w:pPr>
              <w:keepNext/>
              <w:rPr>
                <w:rFonts w:hint="eastAsia" w:ascii="宋体" w:hAnsi="宋体" w:cs="宋体"/>
                <w:color w:val="auto"/>
                <w:szCs w:val="21"/>
                <w:highlight w:val="none"/>
              </w:rPr>
            </w:pPr>
          </w:p>
        </w:tc>
        <w:tc>
          <w:tcPr>
            <w:tcW w:w="850" w:type="dxa"/>
            <w:tcBorders>
              <w:top w:val="double" w:color="auto" w:sz="6" w:space="0"/>
            </w:tcBorders>
            <w:noWrap w:val="0"/>
            <w:vAlign w:val="center"/>
          </w:tcPr>
          <w:p w14:paraId="4897B9D5">
            <w:pPr>
              <w:keepNext/>
              <w:rPr>
                <w:rFonts w:hint="eastAsia" w:ascii="宋体" w:hAnsi="宋体" w:cs="宋体"/>
                <w:color w:val="auto"/>
                <w:szCs w:val="21"/>
                <w:highlight w:val="none"/>
              </w:rPr>
            </w:pPr>
          </w:p>
        </w:tc>
        <w:tc>
          <w:tcPr>
            <w:tcW w:w="963" w:type="dxa"/>
            <w:tcBorders>
              <w:top w:val="double" w:color="auto" w:sz="6" w:space="0"/>
            </w:tcBorders>
            <w:noWrap w:val="0"/>
            <w:vAlign w:val="center"/>
          </w:tcPr>
          <w:p w14:paraId="16F5DD1A">
            <w:pPr>
              <w:keepNext/>
              <w:rPr>
                <w:rFonts w:hint="eastAsia" w:ascii="宋体" w:hAnsi="宋体" w:cs="宋体"/>
                <w:color w:val="auto"/>
                <w:szCs w:val="21"/>
                <w:highlight w:val="none"/>
              </w:rPr>
            </w:pPr>
          </w:p>
        </w:tc>
        <w:tc>
          <w:tcPr>
            <w:tcW w:w="1480" w:type="dxa"/>
            <w:tcBorders>
              <w:top w:val="double" w:color="auto" w:sz="6" w:space="0"/>
            </w:tcBorders>
            <w:noWrap w:val="0"/>
            <w:vAlign w:val="center"/>
          </w:tcPr>
          <w:p w14:paraId="0A6DBE16">
            <w:pPr>
              <w:keepNext/>
              <w:rPr>
                <w:rFonts w:hint="eastAsia" w:ascii="宋体" w:hAnsi="宋体" w:cs="宋体"/>
                <w:color w:val="auto"/>
                <w:szCs w:val="21"/>
                <w:highlight w:val="none"/>
              </w:rPr>
            </w:pPr>
          </w:p>
        </w:tc>
        <w:tc>
          <w:tcPr>
            <w:tcW w:w="1020" w:type="dxa"/>
            <w:tcBorders>
              <w:top w:val="double" w:color="auto" w:sz="6" w:space="0"/>
            </w:tcBorders>
            <w:noWrap w:val="0"/>
            <w:vAlign w:val="center"/>
          </w:tcPr>
          <w:p w14:paraId="3C996589">
            <w:pPr>
              <w:keepNext/>
              <w:rPr>
                <w:rFonts w:hint="eastAsia" w:ascii="宋体" w:hAnsi="宋体" w:cs="宋体"/>
                <w:color w:val="auto"/>
                <w:szCs w:val="21"/>
                <w:highlight w:val="none"/>
              </w:rPr>
            </w:pPr>
          </w:p>
        </w:tc>
        <w:tc>
          <w:tcPr>
            <w:tcW w:w="932" w:type="dxa"/>
            <w:tcBorders>
              <w:top w:val="double" w:color="auto" w:sz="6" w:space="0"/>
            </w:tcBorders>
            <w:noWrap w:val="0"/>
            <w:vAlign w:val="center"/>
          </w:tcPr>
          <w:p w14:paraId="092ED841">
            <w:pPr>
              <w:keepNext/>
              <w:rPr>
                <w:rFonts w:hint="eastAsia" w:ascii="宋体" w:hAnsi="宋体" w:cs="宋体"/>
                <w:color w:val="auto"/>
                <w:szCs w:val="21"/>
                <w:highlight w:val="none"/>
              </w:rPr>
            </w:pPr>
          </w:p>
        </w:tc>
      </w:tr>
      <w:tr w14:paraId="5FF0BE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top w:val="nil"/>
            </w:tcBorders>
            <w:noWrap w:val="0"/>
            <w:vAlign w:val="center"/>
          </w:tcPr>
          <w:p w14:paraId="7DD249B1">
            <w:pPr>
              <w:keepNext/>
              <w:rPr>
                <w:rFonts w:hint="eastAsia" w:ascii="宋体" w:hAnsi="宋体" w:cs="宋体"/>
                <w:color w:val="auto"/>
                <w:szCs w:val="21"/>
                <w:highlight w:val="none"/>
              </w:rPr>
            </w:pPr>
          </w:p>
        </w:tc>
        <w:tc>
          <w:tcPr>
            <w:tcW w:w="1418" w:type="dxa"/>
            <w:tcBorders>
              <w:top w:val="nil"/>
            </w:tcBorders>
            <w:noWrap w:val="0"/>
            <w:vAlign w:val="center"/>
          </w:tcPr>
          <w:p w14:paraId="111F99F1">
            <w:pPr>
              <w:keepNext/>
              <w:rPr>
                <w:rFonts w:hint="eastAsia" w:ascii="宋体" w:hAnsi="宋体" w:cs="宋体"/>
                <w:color w:val="auto"/>
                <w:szCs w:val="21"/>
                <w:highlight w:val="none"/>
              </w:rPr>
            </w:pPr>
          </w:p>
        </w:tc>
        <w:tc>
          <w:tcPr>
            <w:tcW w:w="850" w:type="dxa"/>
            <w:tcBorders>
              <w:top w:val="nil"/>
            </w:tcBorders>
            <w:noWrap w:val="0"/>
            <w:vAlign w:val="center"/>
          </w:tcPr>
          <w:p w14:paraId="6A3E13A1">
            <w:pPr>
              <w:keepNext/>
              <w:rPr>
                <w:rFonts w:hint="eastAsia" w:ascii="宋体" w:hAnsi="宋体" w:cs="宋体"/>
                <w:color w:val="auto"/>
                <w:szCs w:val="21"/>
                <w:highlight w:val="none"/>
              </w:rPr>
            </w:pPr>
          </w:p>
        </w:tc>
        <w:tc>
          <w:tcPr>
            <w:tcW w:w="709" w:type="dxa"/>
            <w:tcBorders>
              <w:top w:val="nil"/>
            </w:tcBorders>
            <w:noWrap w:val="0"/>
            <w:vAlign w:val="center"/>
          </w:tcPr>
          <w:p w14:paraId="504F7A82">
            <w:pPr>
              <w:keepNext/>
              <w:rPr>
                <w:rFonts w:hint="eastAsia" w:ascii="宋体" w:hAnsi="宋体" w:cs="宋体"/>
                <w:color w:val="auto"/>
                <w:szCs w:val="21"/>
                <w:highlight w:val="none"/>
              </w:rPr>
            </w:pPr>
          </w:p>
        </w:tc>
        <w:tc>
          <w:tcPr>
            <w:tcW w:w="850" w:type="dxa"/>
            <w:tcBorders>
              <w:top w:val="nil"/>
            </w:tcBorders>
            <w:noWrap w:val="0"/>
            <w:vAlign w:val="center"/>
          </w:tcPr>
          <w:p w14:paraId="69DB39C6">
            <w:pPr>
              <w:keepNext/>
              <w:rPr>
                <w:rFonts w:hint="eastAsia" w:ascii="宋体" w:hAnsi="宋体" w:cs="宋体"/>
                <w:color w:val="auto"/>
                <w:szCs w:val="21"/>
                <w:highlight w:val="none"/>
              </w:rPr>
            </w:pPr>
          </w:p>
        </w:tc>
        <w:tc>
          <w:tcPr>
            <w:tcW w:w="963" w:type="dxa"/>
            <w:tcBorders>
              <w:top w:val="nil"/>
            </w:tcBorders>
            <w:noWrap w:val="0"/>
            <w:vAlign w:val="center"/>
          </w:tcPr>
          <w:p w14:paraId="1D61BDAA">
            <w:pPr>
              <w:keepNext/>
              <w:rPr>
                <w:rFonts w:hint="eastAsia" w:ascii="宋体" w:hAnsi="宋体" w:cs="宋体"/>
                <w:color w:val="auto"/>
                <w:szCs w:val="21"/>
                <w:highlight w:val="none"/>
              </w:rPr>
            </w:pPr>
          </w:p>
        </w:tc>
        <w:tc>
          <w:tcPr>
            <w:tcW w:w="1480" w:type="dxa"/>
            <w:tcBorders>
              <w:top w:val="nil"/>
            </w:tcBorders>
            <w:noWrap w:val="0"/>
            <w:vAlign w:val="center"/>
          </w:tcPr>
          <w:p w14:paraId="2BCB2338">
            <w:pPr>
              <w:keepNext/>
              <w:rPr>
                <w:rFonts w:hint="eastAsia" w:ascii="宋体" w:hAnsi="宋体" w:cs="宋体"/>
                <w:color w:val="auto"/>
                <w:szCs w:val="21"/>
                <w:highlight w:val="none"/>
              </w:rPr>
            </w:pPr>
          </w:p>
        </w:tc>
        <w:tc>
          <w:tcPr>
            <w:tcW w:w="1020" w:type="dxa"/>
            <w:tcBorders>
              <w:top w:val="nil"/>
            </w:tcBorders>
            <w:noWrap w:val="0"/>
            <w:vAlign w:val="center"/>
          </w:tcPr>
          <w:p w14:paraId="16E1EAE2">
            <w:pPr>
              <w:keepNext/>
              <w:rPr>
                <w:rFonts w:hint="eastAsia" w:ascii="宋体" w:hAnsi="宋体" w:cs="宋体"/>
                <w:color w:val="auto"/>
                <w:szCs w:val="21"/>
                <w:highlight w:val="none"/>
              </w:rPr>
            </w:pPr>
          </w:p>
        </w:tc>
        <w:tc>
          <w:tcPr>
            <w:tcW w:w="932" w:type="dxa"/>
            <w:tcBorders>
              <w:top w:val="nil"/>
            </w:tcBorders>
            <w:noWrap w:val="0"/>
            <w:vAlign w:val="center"/>
          </w:tcPr>
          <w:p w14:paraId="73B4EDA5">
            <w:pPr>
              <w:keepNext/>
              <w:rPr>
                <w:rFonts w:hint="eastAsia" w:ascii="宋体" w:hAnsi="宋体" w:cs="宋体"/>
                <w:color w:val="auto"/>
                <w:szCs w:val="21"/>
                <w:highlight w:val="none"/>
              </w:rPr>
            </w:pPr>
          </w:p>
        </w:tc>
      </w:tr>
      <w:tr w14:paraId="39FD32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noWrap w:val="0"/>
            <w:vAlign w:val="top"/>
          </w:tcPr>
          <w:p w14:paraId="0E6F19D5">
            <w:pPr>
              <w:rPr>
                <w:rFonts w:hint="eastAsia" w:ascii="宋体" w:hAnsi="宋体" w:cs="宋体"/>
                <w:color w:val="auto"/>
                <w:szCs w:val="21"/>
                <w:highlight w:val="none"/>
              </w:rPr>
            </w:pPr>
          </w:p>
        </w:tc>
        <w:tc>
          <w:tcPr>
            <w:tcW w:w="1418" w:type="dxa"/>
            <w:noWrap w:val="0"/>
            <w:vAlign w:val="top"/>
          </w:tcPr>
          <w:p w14:paraId="7726F2AD">
            <w:pPr>
              <w:rPr>
                <w:rFonts w:hint="eastAsia" w:ascii="宋体" w:hAnsi="宋体" w:cs="宋体"/>
                <w:color w:val="auto"/>
                <w:szCs w:val="21"/>
                <w:highlight w:val="none"/>
              </w:rPr>
            </w:pPr>
          </w:p>
        </w:tc>
        <w:tc>
          <w:tcPr>
            <w:tcW w:w="850" w:type="dxa"/>
            <w:noWrap w:val="0"/>
            <w:vAlign w:val="top"/>
          </w:tcPr>
          <w:p w14:paraId="45893B84">
            <w:pPr>
              <w:rPr>
                <w:rFonts w:hint="eastAsia" w:ascii="宋体" w:hAnsi="宋体" w:cs="宋体"/>
                <w:color w:val="auto"/>
                <w:szCs w:val="21"/>
                <w:highlight w:val="none"/>
              </w:rPr>
            </w:pPr>
          </w:p>
        </w:tc>
        <w:tc>
          <w:tcPr>
            <w:tcW w:w="709" w:type="dxa"/>
            <w:noWrap w:val="0"/>
            <w:vAlign w:val="top"/>
          </w:tcPr>
          <w:p w14:paraId="33079292">
            <w:pPr>
              <w:rPr>
                <w:rFonts w:hint="eastAsia" w:ascii="宋体" w:hAnsi="宋体" w:cs="宋体"/>
                <w:color w:val="auto"/>
                <w:szCs w:val="21"/>
                <w:highlight w:val="none"/>
              </w:rPr>
            </w:pPr>
          </w:p>
        </w:tc>
        <w:tc>
          <w:tcPr>
            <w:tcW w:w="850" w:type="dxa"/>
            <w:noWrap w:val="0"/>
            <w:vAlign w:val="top"/>
          </w:tcPr>
          <w:p w14:paraId="09B4266F">
            <w:pPr>
              <w:rPr>
                <w:rFonts w:hint="eastAsia" w:ascii="宋体" w:hAnsi="宋体" w:cs="宋体"/>
                <w:color w:val="auto"/>
                <w:szCs w:val="21"/>
                <w:highlight w:val="none"/>
              </w:rPr>
            </w:pPr>
          </w:p>
        </w:tc>
        <w:tc>
          <w:tcPr>
            <w:tcW w:w="963" w:type="dxa"/>
            <w:noWrap w:val="0"/>
            <w:vAlign w:val="top"/>
          </w:tcPr>
          <w:p w14:paraId="0F867728">
            <w:pPr>
              <w:rPr>
                <w:rFonts w:hint="eastAsia" w:ascii="宋体" w:hAnsi="宋体" w:cs="宋体"/>
                <w:color w:val="auto"/>
                <w:szCs w:val="21"/>
                <w:highlight w:val="none"/>
              </w:rPr>
            </w:pPr>
          </w:p>
        </w:tc>
        <w:tc>
          <w:tcPr>
            <w:tcW w:w="1480" w:type="dxa"/>
            <w:noWrap w:val="0"/>
            <w:vAlign w:val="top"/>
          </w:tcPr>
          <w:p w14:paraId="2B96ECE4">
            <w:pPr>
              <w:rPr>
                <w:rFonts w:hint="eastAsia" w:ascii="宋体" w:hAnsi="宋体" w:cs="宋体"/>
                <w:color w:val="auto"/>
                <w:szCs w:val="21"/>
                <w:highlight w:val="none"/>
              </w:rPr>
            </w:pPr>
          </w:p>
        </w:tc>
        <w:tc>
          <w:tcPr>
            <w:tcW w:w="1020" w:type="dxa"/>
            <w:noWrap w:val="0"/>
            <w:vAlign w:val="top"/>
          </w:tcPr>
          <w:p w14:paraId="4E998377">
            <w:pPr>
              <w:rPr>
                <w:rFonts w:hint="eastAsia" w:ascii="宋体" w:hAnsi="宋体" w:cs="宋体"/>
                <w:color w:val="auto"/>
                <w:szCs w:val="21"/>
                <w:highlight w:val="none"/>
              </w:rPr>
            </w:pPr>
          </w:p>
        </w:tc>
        <w:tc>
          <w:tcPr>
            <w:tcW w:w="932" w:type="dxa"/>
            <w:noWrap w:val="0"/>
            <w:vAlign w:val="top"/>
          </w:tcPr>
          <w:p w14:paraId="176F6153">
            <w:pPr>
              <w:rPr>
                <w:rFonts w:hint="eastAsia" w:ascii="宋体" w:hAnsi="宋体" w:cs="宋体"/>
                <w:color w:val="auto"/>
                <w:szCs w:val="21"/>
                <w:highlight w:val="none"/>
              </w:rPr>
            </w:pPr>
          </w:p>
        </w:tc>
      </w:tr>
      <w:tr w14:paraId="268F9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noWrap w:val="0"/>
            <w:vAlign w:val="top"/>
          </w:tcPr>
          <w:p w14:paraId="2EF50B03">
            <w:pPr>
              <w:rPr>
                <w:rFonts w:hint="eastAsia" w:ascii="宋体" w:hAnsi="宋体" w:cs="宋体"/>
                <w:color w:val="auto"/>
                <w:szCs w:val="21"/>
                <w:highlight w:val="none"/>
              </w:rPr>
            </w:pPr>
          </w:p>
        </w:tc>
        <w:tc>
          <w:tcPr>
            <w:tcW w:w="1418" w:type="dxa"/>
            <w:noWrap w:val="0"/>
            <w:vAlign w:val="top"/>
          </w:tcPr>
          <w:p w14:paraId="4F7D1C22">
            <w:pPr>
              <w:rPr>
                <w:rFonts w:hint="eastAsia" w:ascii="宋体" w:hAnsi="宋体" w:cs="宋体"/>
                <w:color w:val="auto"/>
                <w:szCs w:val="21"/>
                <w:highlight w:val="none"/>
              </w:rPr>
            </w:pPr>
          </w:p>
        </w:tc>
        <w:tc>
          <w:tcPr>
            <w:tcW w:w="850" w:type="dxa"/>
            <w:noWrap w:val="0"/>
            <w:vAlign w:val="top"/>
          </w:tcPr>
          <w:p w14:paraId="7042C8CE">
            <w:pPr>
              <w:rPr>
                <w:rFonts w:hint="eastAsia" w:ascii="宋体" w:hAnsi="宋体" w:cs="宋体"/>
                <w:color w:val="auto"/>
                <w:szCs w:val="21"/>
                <w:highlight w:val="none"/>
              </w:rPr>
            </w:pPr>
          </w:p>
        </w:tc>
        <w:tc>
          <w:tcPr>
            <w:tcW w:w="709" w:type="dxa"/>
            <w:noWrap w:val="0"/>
            <w:vAlign w:val="top"/>
          </w:tcPr>
          <w:p w14:paraId="3E2D9F7D">
            <w:pPr>
              <w:rPr>
                <w:rFonts w:hint="eastAsia" w:ascii="宋体" w:hAnsi="宋体" w:cs="宋体"/>
                <w:color w:val="auto"/>
                <w:szCs w:val="21"/>
                <w:highlight w:val="none"/>
              </w:rPr>
            </w:pPr>
          </w:p>
        </w:tc>
        <w:tc>
          <w:tcPr>
            <w:tcW w:w="850" w:type="dxa"/>
            <w:noWrap w:val="0"/>
            <w:vAlign w:val="top"/>
          </w:tcPr>
          <w:p w14:paraId="7174CA7C">
            <w:pPr>
              <w:rPr>
                <w:rFonts w:hint="eastAsia" w:ascii="宋体" w:hAnsi="宋体" w:cs="宋体"/>
                <w:color w:val="auto"/>
                <w:szCs w:val="21"/>
                <w:highlight w:val="none"/>
              </w:rPr>
            </w:pPr>
          </w:p>
        </w:tc>
        <w:tc>
          <w:tcPr>
            <w:tcW w:w="963" w:type="dxa"/>
            <w:noWrap w:val="0"/>
            <w:vAlign w:val="top"/>
          </w:tcPr>
          <w:p w14:paraId="2BE2298F">
            <w:pPr>
              <w:rPr>
                <w:rFonts w:hint="eastAsia" w:ascii="宋体" w:hAnsi="宋体" w:cs="宋体"/>
                <w:color w:val="auto"/>
                <w:szCs w:val="21"/>
                <w:highlight w:val="none"/>
              </w:rPr>
            </w:pPr>
          </w:p>
        </w:tc>
        <w:tc>
          <w:tcPr>
            <w:tcW w:w="1480" w:type="dxa"/>
            <w:noWrap w:val="0"/>
            <w:vAlign w:val="top"/>
          </w:tcPr>
          <w:p w14:paraId="34BADCD3">
            <w:pPr>
              <w:rPr>
                <w:rFonts w:hint="eastAsia" w:ascii="宋体" w:hAnsi="宋体" w:cs="宋体"/>
                <w:color w:val="auto"/>
                <w:szCs w:val="21"/>
                <w:highlight w:val="none"/>
              </w:rPr>
            </w:pPr>
          </w:p>
        </w:tc>
        <w:tc>
          <w:tcPr>
            <w:tcW w:w="1020" w:type="dxa"/>
            <w:noWrap w:val="0"/>
            <w:vAlign w:val="top"/>
          </w:tcPr>
          <w:p w14:paraId="4E451B54">
            <w:pPr>
              <w:rPr>
                <w:rFonts w:hint="eastAsia" w:ascii="宋体" w:hAnsi="宋体" w:cs="宋体"/>
                <w:color w:val="auto"/>
                <w:szCs w:val="21"/>
                <w:highlight w:val="none"/>
              </w:rPr>
            </w:pPr>
          </w:p>
        </w:tc>
        <w:tc>
          <w:tcPr>
            <w:tcW w:w="932" w:type="dxa"/>
            <w:noWrap w:val="0"/>
            <w:vAlign w:val="top"/>
          </w:tcPr>
          <w:p w14:paraId="440E0579">
            <w:pPr>
              <w:rPr>
                <w:rFonts w:hint="eastAsia" w:ascii="宋体" w:hAnsi="宋体" w:cs="宋体"/>
                <w:color w:val="auto"/>
                <w:szCs w:val="21"/>
                <w:highlight w:val="none"/>
              </w:rPr>
            </w:pPr>
          </w:p>
        </w:tc>
      </w:tr>
      <w:tr w14:paraId="3A9175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bottom w:val="single" w:color="auto" w:sz="12" w:space="0"/>
            </w:tcBorders>
            <w:noWrap w:val="0"/>
            <w:vAlign w:val="top"/>
          </w:tcPr>
          <w:p w14:paraId="2AA0A793">
            <w:pPr>
              <w:rPr>
                <w:rFonts w:hint="eastAsia" w:ascii="宋体" w:hAnsi="宋体" w:cs="宋体"/>
                <w:color w:val="auto"/>
                <w:szCs w:val="21"/>
                <w:highlight w:val="none"/>
              </w:rPr>
            </w:pPr>
          </w:p>
        </w:tc>
        <w:tc>
          <w:tcPr>
            <w:tcW w:w="1418" w:type="dxa"/>
            <w:tcBorders>
              <w:bottom w:val="single" w:color="auto" w:sz="12" w:space="0"/>
            </w:tcBorders>
            <w:noWrap w:val="0"/>
            <w:vAlign w:val="top"/>
          </w:tcPr>
          <w:p w14:paraId="161CF547">
            <w:pPr>
              <w:rPr>
                <w:rFonts w:hint="eastAsia" w:ascii="宋体" w:hAnsi="宋体" w:cs="宋体"/>
                <w:color w:val="auto"/>
                <w:szCs w:val="21"/>
                <w:highlight w:val="none"/>
              </w:rPr>
            </w:pPr>
          </w:p>
        </w:tc>
        <w:tc>
          <w:tcPr>
            <w:tcW w:w="850" w:type="dxa"/>
            <w:tcBorders>
              <w:bottom w:val="single" w:color="auto" w:sz="12" w:space="0"/>
            </w:tcBorders>
            <w:noWrap w:val="0"/>
            <w:vAlign w:val="top"/>
          </w:tcPr>
          <w:p w14:paraId="64A7F18B">
            <w:pPr>
              <w:rPr>
                <w:rFonts w:hint="eastAsia" w:ascii="宋体" w:hAnsi="宋体" w:cs="宋体"/>
                <w:color w:val="auto"/>
                <w:szCs w:val="21"/>
                <w:highlight w:val="none"/>
              </w:rPr>
            </w:pPr>
          </w:p>
        </w:tc>
        <w:tc>
          <w:tcPr>
            <w:tcW w:w="709" w:type="dxa"/>
            <w:tcBorders>
              <w:bottom w:val="single" w:color="auto" w:sz="12" w:space="0"/>
            </w:tcBorders>
            <w:noWrap w:val="0"/>
            <w:vAlign w:val="top"/>
          </w:tcPr>
          <w:p w14:paraId="03A631B4">
            <w:pPr>
              <w:rPr>
                <w:rFonts w:hint="eastAsia" w:ascii="宋体" w:hAnsi="宋体" w:cs="宋体"/>
                <w:color w:val="auto"/>
                <w:szCs w:val="21"/>
                <w:highlight w:val="none"/>
              </w:rPr>
            </w:pPr>
          </w:p>
        </w:tc>
        <w:tc>
          <w:tcPr>
            <w:tcW w:w="850" w:type="dxa"/>
            <w:tcBorders>
              <w:bottom w:val="single" w:color="auto" w:sz="12" w:space="0"/>
            </w:tcBorders>
            <w:noWrap w:val="0"/>
            <w:vAlign w:val="top"/>
          </w:tcPr>
          <w:p w14:paraId="32A9AE54">
            <w:pPr>
              <w:rPr>
                <w:rFonts w:hint="eastAsia" w:ascii="宋体" w:hAnsi="宋体" w:cs="宋体"/>
                <w:color w:val="auto"/>
                <w:szCs w:val="21"/>
                <w:highlight w:val="none"/>
              </w:rPr>
            </w:pPr>
          </w:p>
        </w:tc>
        <w:tc>
          <w:tcPr>
            <w:tcW w:w="963" w:type="dxa"/>
            <w:tcBorders>
              <w:bottom w:val="single" w:color="auto" w:sz="12" w:space="0"/>
            </w:tcBorders>
            <w:noWrap w:val="0"/>
            <w:vAlign w:val="top"/>
          </w:tcPr>
          <w:p w14:paraId="1C8860BD">
            <w:pPr>
              <w:rPr>
                <w:rFonts w:hint="eastAsia" w:ascii="宋体" w:hAnsi="宋体" w:cs="宋体"/>
                <w:color w:val="auto"/>
                <w:szCs w:val="21"/>
                <w:highlight w:val="none"/>
              </w:rPr>
            </w:pPr>
          </w:p>
        </w:tc>
        <w:tc>
          <w:tcPr>
            <w:tcW w:w="1480" w:type="dxa"/>
            <w:tcBorders>
              <w:bottom w:val="single" w:color="auto" w:sz="12" w:space="0"/>
            </w:tcBorders>
            <w:noWrap w:val="0"/>
            <w:vAlign w:val="top"/>
          </w:tcPr>
          <w:p w14:paraId="3880BA9E">
            <w:pPr>
              <w:rPr>
                <w:rFonts w:hint="eastAsia" w:ascii="宋体" w:hAnsi="宋体" w:cs="宋体"/>
                <w:color w:val="auto"/>
                <w:szCs w:val="21"/>
                <w:highlight w:val="none"/>
              </w:rPr>
            </w:pPr>
          </w:p>
        </w:tc>
        <w:tc>
          <w:tcPr>
            <w:tcW w:w="1020" w:type="dxa"/>
            <w:tcBorders>
              <w:bottom w:val="single" w:color="auto" w:sz="12" w:space="0"/>
            </w:tcBorders>
            <w:noWrap w:val="0"/>
            <w:vAlign w:val="top"/>
          </w:tcPr>
          <w:p w14:paraId="1A834AA5">
            <w:pPr>
              <w:rPr>
                <w:rFonts w:hint="eastAsia" w:ascii="宋体" w:hAnsi="宋体" w:cs="宋体"/>
                <w:color w:val="auto"/>
                <w:szCs w:val="21"/>
                <w:highlight w:val="none"/>
              </w:rPr>
            </w:pPr>
          </w:p>
        </w:tc>
        <w:tc>
          <w:tcPr>
            <w:tcW w:w="932" w:type="dxa"/>
            <w:tcBorders>
              <w:bottom w:val="single" w:color="auto" w:sz="12" w:space="0"/>
            </w:tcBorders>
            <w:noWrap w:val="0"/>
            <w:vAlign w:val="top"/>
          </w:tcPr>
          <w:p w14:paraId="330A3C74">
            <w:pPr>
              <w:rPr>
                <w:rFonts w:hint="eastAsia" w:ascii="宋体" w:hAnsi="宋体" w:cs="宋体"/>
                <w:color w:val="auto"/>
                <w:szCs w:val="21"/>
                <w:highlight w:val="none"/>
              </w:rPr>
            </w:pPr>
          </w:p>
        </w:tc>
      </w:tr>
    </w:tbl>
    <w:p w14:paraId="4B75818D">
      <w:pPr>
        <w:rPr>
          <w:rFonts w:hint="eastAsia" w:ascii="宋体" w:hAnsi="宋体" w:cs="宋体"/>
          <w:color w:val="auto"/>
          <w:szCs w:val="21"/>
          <w:highlight w:val="none"/>
        </w:rPr>
      </w:pPr>
    </w:p>
    <w:p w14:paraId="700CCFA4">
      <w:pPr>
        <w:widowControl/>
        <w:spacing w:line="360" w:lineRule="auto"/>
        <w:rPr>
          <w:rFonts w:hint="eastAsia" w:ascii="宋体" w:hAnsi="宋体" w:cs="宋体"/>
          <w:color w:val="auto"/>
          <w:szCs w:val="21"/>
          <w:highlight w:val="none"/>
        </w:rPr>
      </w:pPr>
    </w:p>
    <w:p w14:paraId="39E45DF6">
      <w:pPr>
        <w:widowControl/>
        <w:spacing w:line="360" w:lineRule="auto"/>
        <w:rPr>
          <w:rFonts w:hint="eastAsia" w:ascii="宋体" w:hAnsi="宋体" w:cs="宋体"/>
          <w:color w:val="auto"/>
          <w:szCs w:val="21"/>
          <w:highlight w:val="none"/>
        </w:rPr>
      </w:pPr>
    </w:p>
    <w:p w14:paraId="721A3A09">
      <w:pPr>
        <w:widowControl/>
        <w:spacing w:line="360" w:lineRule="auto"/>
        <w:rPr>
          <w:rFonts w:hint="eastAsia" w:ascii="宋体" w:hAnsi="宋体" w:cs="宋体"/>
          <w:color w:val="auto"/>
          <w:szCs w:val="21"/>
          <w:highlight w:val="none"/>
        </w:rPr>
      </w:pPr>
    </w:p>
    <w:p w14:paraId="010EF81F">
      <w:pPr>
        <w:widowControl/>
        <w:spacing w:line="360" w:lineRule="auto"/>
        <w:rPr>
          <w:rFonts w:hint="eastAsia" w:ascii="宋体" w:hAnsi="宋体" w:cs="宋体"/>
          <w:color w:val="auto"/>
          <w:szCs w:val="21"/>
          <w:highlight w:val="none"/>
        </w:rPr>
      </w:pPr>
    </w:p>
    <w:p w14:paraId="26E7B1A9">
      <w:pPr>
        <w:widowControl/>
        <w:spacing w:line="360" w:lineRule="auto"/>
        <w:rPr>
          <w:rFonts w:hint="eastAsia" w:ascii="宋体" w:hAnsi="宋体" w:cs="宋体"/>
          <w:color w:val="auto"/>
          <w:szCs w:val="21"/>
          <w:highlight w:val="none"/>
        </w:rPr>
      </w:pPr>
    </w:p>
    <w:p w14:paraId="0EB03E72">
      <w:pPr>
        <w:widowControl/>
        <w:spacing w:line="360" w:lineRule="auto"/>
        <w:rPr>
          <w:rFonts w:hint="eastAsia" w:ascii="宋体" w:hAnsi="宋体" w:cs="宋体"/>
          <w:color w:val="auto"/>
          <w:szCs w:val="21"/>
          <w:highlight w:val="none"/>
        </w:rPr>
      </w:pPr>
    </w:p>
    <w:p w14:paraId="36094118">
      <w:pPr>
        <w:widowControl/>
        <w:spacing w:line="360" w:lineRule="auto"/>
        <w:rPr>
          <w:rFonts w:hint="eastAsia" w:ascii="宋体" w:hAnsi="宋体" w:cs="宋体"/>
          <w:color w:val="auto"/>
          <w:szCs w:val="21"/>
          <w:highlight w:val="none"/>
        </w:rPr>
      </w:pPr>
    </w:p>
    <w:p w14:paraId="6E488DD6">
      <w:pPr>
        <w:widowControl/>
        <w:spacing w:line="360" w:lineRule="auto"/>
        <w:rPr>
          <w:rFonts w:hint="eastAsia" w:ascii="宋体" w:hAnsi="宋体" w:cs="宋体"/>
          <w:color w:val="auto"/>
          <w:sz w:val="24"/>
          <w:highlight w:val="none"/>
        </w:rPr>
      </w:pPr>
    </w:p>
    <w:p w14:paraId="3F09BDA2">
      <w:pPr>
        <w:rPr>
          <w:rFonts w:hint="eastAsia" w:ascii="宋体" w:hAnsi="宋体" w:cs="宋体"/>
          <w:bCs/>
          <w:color w:val="auto"/>
          <w:sz w:val="24"/>
          <w:highlight w:val="none"/>
        </w:rPr>
      </w:pPr>
      <w:bookmarkStart w:id="1303" w:name="_Toc95223492"/>
      <w:r>
        <w:rPr>
          <w:rFonts w:hint="eastAsia" w:ascii="宋体" w:hAnsi="宋体" w:cs="宋体"/>
          <w:bCs/>
          <w:color w:val="auto"/>
          <w:sz w:val="24"/>
          <w:highlight w:val="none"/>
        </w:rPr>
        <w:br w:type="page"/>
      </w:r>
    </w:p>
    <w:p w14:paraId="5BD1D1C1">
      <w:pPr>
        <w:keepNext/>
        <w:keepLines/>
        <w:spacing w:before="120" w:after="120" w:line="360" w:lineRule="auto"/>
        <w:jc w:val="left"/>
        <w:outlineLvl w:val="2"/>
        <w:rPr>
          <w:rFonts w:hint="eastAsia" w:ascii="宋体" w:hAnsi="宋体" w:cs="宋体"/>
          <w:bCs/>
          <w:color w:val="auto"/>
          <w:sz w:val="24"/>
          <w:highlight w:val="none"/>
        </w:rPr>
      </w:pPr>
      <w:r>
        <w:rPr>
          <w:rFonts w:hint="eastAsia" w:ascii="宋体" w:hAnsi="宋体" w:cs="宋体"/>
          <w:bCs/>
          <w:color w:val="auto"/>
          <w:sz w:val="24"/>
          <w:highlight w:val="none"/>
        </w:rPr>
        <w:t>附</w:t>
      </w:r>
      <w:bookmarkStart w:id="1304" w:name="_Toc296944567"/>
      <w:bookmarkStart w:id="1305" w:name="_Toc296346729"/>
      <w:bookmarkStart w:id="1306" w:name="_Toc296347227"/>
      <w:bookmarkStart w:id="1307" w:name="_Toc296891268"/>
      <w:bookmarkStart w:id="1308" w:name="_Toc296503228"/>
      <w:bookmarkStart w:id="1309" w:name="_Toc296891056"/>
      <w:bookmarkStart w:id="1310" w:name="_Toc267261699"/>
      <w:r>
        <w:rPr>
          <w:rFonts w:hint="eastAsia" w:ascii="宋体" w:hAnsi="宋体" w:cs="宋体"/>
          <w:bCs/>
          <w:color w:val="auto"/>
          <w:sz w:val="24"/>
          <w:highlight w:val="none"/>
        </w:rPr>
        <w:t>件</w:t>
      </w:r>
      <w:bookmarkEnd w:id="1304"/>
      <w:bookmarkEnd w:id="1305"/>
      <w:bookmarkEnd w:id="1306"/>
      <w:bookmarkEnd w:id="1307"/>
      <w:bookmarkEnd w:id="1308"/>
      <w:bookmarkEnd w:id="1309"/>
      <w:bookmarkEnd w:id="1310"/>
      <w:r>
        <w:rPr>
          <w:rFonts w:hint="eastAsia" w:ascii="宋体" w:hAnsi="宋体" w:cs="宋体"/>
          <w:bCs/>
          <w:color w:val="auto"/>
          <w:sz w:val="24"/>
          <w:highlight w:val="none"/>
        </w:rPr>
        <w:t>6：承包人主要施工管理人员表</w:t>
      </w:r>
      <w:bookmarkEnd w:id="1303"/>
    </w:p>
    <w:p w14:paraId="098728A8">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承包人主要施工管理人员表</w:t>
      </w:r>
    </w:p>
    <w:tbl>
      <w:tblPr>
        <w:tblStyle w:val="21"/>
        <w:tblW w:w="511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729"/>
        <w:gridCol w:w="1156"/>
        <w:gridCol w:w="926"/>
        <w:gridCol w:w="926"/>
        <w:gridCol w:w="2358"/>
        <w:gridCol w:w="2124"/>
      </w:tblGrid>
      <w:tr w14:paraId="344D13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single" w:color="auto" w:sz="12" w:space="0"/>
              <w:bottom w:val="double" w:color="auto" w:sz="6" w:space="0"/>
            </w:tcBorders>
            <w:noWrap w:val="0"/>
            <w:vAlign w:val="center"/>
          </w:tcPr>
          <w:p w14:paraId="634024CD">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名    称</w:t>
            </w:r>
          </w:p>
        </w:tc>
        <w:tc>
          <w:tcPr>
            <w:tcW w:w="627" w:type="pct"/>
            <w:tcBorders>
              <w:top w:val="single" w:color="auto" w:sz="12" w:space="0"/>
              <w:bottom w:val="double" w:color="auto" w:sz="6" w:space="0"/>
            </w:tcBorders>
            <w:noWrap w:val="0"/>
            <w:vAlign w:val="center"/>
          </w:tcPr>
          <w:p w14:paraId="4491CE20">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502" w:type="pct"/>
            <w:tcBorders>
              <w:top w:val="single" w:color="auto" w:sz="12" w:space="0"/>
              <w:bottom w:val="double" w:color="auto" w:sz="6" w:space="0"/>
            </w:tcBorders>
            <w:noWrap w:val="0"/>
            <w:vAlign w:val="center"/>
          </w:tcPr>
          <w:p w14:paraId="267445A5">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职务</w:t>
            </w:r>
          </w:p>
        </w:tc>
        <w:tc>
          <w:tcPr>
            <w:tcW w:w="502" w:type="pct"/>
            <w:tcBorders>
              <w:top w:val="single" w:color="auto" w:sz="12" w:space="0"/>
              <w:bottom w:val="double" w:color="auto" w:sz="6" w:space="0"/>
            </w:tcBorders>
            <w:noWrap w:val="0"/>
            <w:vAlign w:val="center"/>
          </w:tcPr>
          <w:p w14:paraId="0518C0CB">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职称</w:t>
            </w:r>
          </w:p>
        </w:tc>
        <w:tc>
          <w:tcPr>
            <w:tcW w:w="1279" w:type="pct"/>
            <w:tcBorders>
              <w:top w:val="single" w:color="auto" w:sz="12" w:space="0"/>
              <w:bottom w:val="double" w:color="auto" w:sz="6" w:space="0"/>
            </w:tcBorders>
            <w:noWrap w:val="0"/>
            <w:vAlign w:val="center"/>
          </w:tcPr>
          <w:p w14:paraId="62D361DB">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主要资历、经验及承担过的项目</w:t>
            </w:r>
          </w:p>
        </w:tc>
        <w:tc>
          <w:tcPr>
            <w:tcW w:w="1153" w:type="pct"/>
            <w:tcBorders>
              <w:top w:val="single" w:color="auto" w:sz="12" w:space="0"/>
              <w:bottom w:val="double" w:color="auto" w:sz="6" w:space="0"/>
            </w:tcBorders>
            <w:noWrap w:val="0"/>
            <w:vAlign w:val="top"/>
          </w:tcPr>
          <w:p w14:paraId="074FCA67">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w:t>
            </w:r>
          </w:p>
        </w:tc>
      </w:tr>
      <w:tr w14:paraId="1924CB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7" w:type="pct"/>
            <w:gridSpan w:val="5"/>
            <w:tcBorders>
              <w:top w:val="double" w:color="auto" w:sz="6" w:space="0"/>
            </w:tcBorders>
            <w:noWrap w:val="0"/>
            <w:vAlign w:val="center"/>
          </w:tcPr>
          <w:p w14:paraId="5928DD88">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一、总部人员</w:t>
            </w:r>
          </w:p>
        </w:tc>
        <w:tc>
          <w:tcPr>
            <w:tcW w:w="1153" w:type="pct"/>
            <w:tcBorders>
              <w:top w:val="double" w:color="auto" w:sz="6" w:space="0"/>
            </w:tcBorders>
            <w:noWrap w:val="0"/>
            <w:vAlign w:val="top"/>
          </w:tcPr>
          <w:p w14:paraId="3A27CBDB">
            <w:pPr>
              <w:keepNext/>
              <w:spacing w:line="360" w:lineRule="auto"/>
              <w:jc w:val="center"/>
              <w:rPr>
                <w:rFonts w:hint="eastAsia" w:ascii="宋体" w:hAnsi="宋体" w:cs="宋体"/>
                <w:color w:val="auto"/>
                <w:szCs w:val="21"/>
                <w:highlight w:val="none"/>
              </w:rPr>
            </w:pPr>
          </w:p>
        </w:tc>
      </w:tr>
      <w:tr w14:paraId="3ADD8F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3F512D4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项目主管</w:t>
            </w:r>
          </w:p>
        </w:tc>
        <w:tc>
          <w:tcPr>
            <w:tcW w:w="627" w:type="pct"/>
            <w:tcBorders>
              <w:top w:val="nil"/>
            </w:tcBorders>
            <w:noWrap w:val="0"/>
            <w:vAlign w:val="center"/>
          </w:tcPr>
          <w:p w14:paraId="3CD06A36">
            <w:pPr>
              <w:keepNext/>
              <w:spacing w:line="360" w:lineRule="auto"/>
              <w:jc w:val="center"/>
              <w:rPr>
                <w:rFonts w:hint="eastAsia" w:ascii="宋体" w:hAnsi="宋体" w:cs="宋体"/>
                <w:color w:val="auto"/>
                <w:szCs w:val="21"/>
                <w:highlight w:val="none"/>
              </w:rPr>
            </w:pPr>
          </w:p>
        </w:tc>
        <w:tc>
          <w:tcPr>
            <w:tcW w:w="502" w:type="pct"/>
            <w:tcBorders>
              <w:top w:val="nil"/>
            </w:tcBorders>
            <w:noWrap w:val="0"/>
            <w:vAlign w:val="center"/>
          </w:tcPr>
          <w:p w14:paraId="55CA328D">
            <w:pPr>
              <w:keepNext/>
              <w:spacing w:line="360" w:lineRule="auto"/>
              <w:jc w:val="center"/>
              <w:rPr>
                <w:rFonts w:hint="eastAsia" w:ascii="宋体" w:hAnsi="宋体" w:cs="宋体"/>
                <w:color w:val="auto"/>
                <w:szCs w:val="21"/>
                <w:highlight w:val="none"/>
              </w:rPr>
            </w:pPr>
          </w:p>
        </w:tc>
        <w:tc>
          <w:tcPr>
            <w:tcW w:w="502" w:type="pct"/>
            <w:tcBorders>
              <w:top w:val="nil"/>
            </w:tcBorders>
            <w:noWrap w:val="0"/>
            <w:vAlign w:val="center"/>
          </w:tcPr>
          <w:p w14:paraId="2BFE56CB">
            <w:pPr>
              <w:keepNext/>
              <w:spacing w:line="360" w:lineRule="auto"/>
              <w:jc w:val="center"/>
              <w:rPr>
                <w:rFonts w:hint="eastAsia" w:ascii="宋体" w:hAnsi="宋体" w:cs="宋体"/>
                <w:color w:val="auto"/>
                <w:szCs w:val="21"/>
                <w:highlight w:val="none"/>
              </w:rPr>
            </w:pPr>
          </w:p>
        </w:tc>
        <w:tc>
          <w:tcPr>
            <w:tcW w:w="1279" w:type="pct"/>
            <w:tcBorders>
              <w:top w:val="nil"/>
            </w:tcBorders>
            <w:noWrap w:val="0"/>
            <w:vAlign w:val="center"/>
          </w:tcPr>
          <w:p w14:paraId="5FDD10EA">
            <w:pPr>
              <w:keepNext/>
              <w:spacing w:line="360" w:lineRule="auto"/>
              <w:jc w:val="center"/>
              <w:rPr>
                <w:rFonts w:hint="eastAsia" w:ascii="宋体" w:hAnsi="宋体" w:cs="宋体"/>
                <w:color w:val="auto"/>
                <w:szCs w:val="21"/>
                <w:highlight w:val="none"/>
              </w:rPr>
            </w:pPr>
          </w:p>
        </w:tc>
        <w:tc>
          <w:tcPr>
            <w:tcW w:w="1153" w:type="pct"/>
            <w:tcBorders>
              <w:top w:val="nil"/>
            </w:tcBorders>
            <w:noWrap w:val="0"/>
            <w:vAlign w:val="top"/>
          </w:tcPr>
          <w:p w14:paraId="652D947A">
            <w:pPr>
              <w:keepNext/>
              <w:spacing w:line="360" w:lineRule="auto"/>
              <w:jc w:val="center"/>
              <w:rPr>
                <w:rFonts w:hint="eastAsia" w:ascii="宋体" w:hAnsi="宋体" w:cs="宋体"/>
                <w:color w:val="auto"/>
                <w:szCs w:val="21"/>
                <w:highlight w:val="none"/>
              </w:rPr>
            </w:pPr>
          </w:p>
        </w:tc>
      </w:tr>
      <w:tr w14:paraId="0D67E4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bottom w:val="nil"/>
            </w:tcBorders>
            <w:noWrap w:val="0"/>
            <w:vAlign w:val="center"/>
          </w:tcPr>
          <w:p w14:paraId="23399CF7">
            <w:pPr>
              <w:spacing w:line="360" w:lineRule="auto"/>
              <w:jc w:val="center"/>
              <w:rPr>
                <w:rFonts w:hint="eastAsia" w:ascii="宋体" w:hAnsi="宋体" w:cs="宋体"/>
                <w:color w:val="auto"/>
                <w:szCs w:val="21"/>
                <w:highlight w:val="none"/>
              </w:rPr>
            </w:pPr>
          </w:p>
        </w:tc>
        <w:tc>
          <w:tcPr>
            <w:tcW w:w="627" w:type="pct"/>
            <w:noWrap w:val="0"/>
            <w:vAlign w:val="center"/>
          </w:tcPr>
          <w:p w14:paraId="338F3162">
            <w:pPr>
              <w:keepNext/>
              <w:spacing w:line="360" w:lineRule="auto"/>
              <w:jc w:val="center"/>
              <w:rPr>
                <w:rFonts w:hint="eastAsia" w:ascii="宋体" w:hAnsi="宋体" w:cs="宋体"/>
                <w:color w:val="auto"/>
                <w:szCs w:val="21"/>
                <w:highlight w:val="none"/>
              </w:rPr>
            </w:pPr>
          </w:p>
        </w:tc>
        <w:tc>
          <w:tcPr>
            <w:tcW w:w="502" w:type="pct"/>
            <w:noWrap w:val="0"/>
            <w:vAlign w:val="center"/>
          </w:tcPr>
          <w:p w14:paraId="3FED93D8">
            <w:pPr>
              <w:keepNext/>
              <w:spacing w:line="360" w:lineRule="auto"/>
              <w:jc w:val="center"/>
              <w:rPr>
                <w:rFonts w:hint="eastAsia" w:ascii="宋体" w:hAnsi="宋体" w:cs="宋体"/>
                <w:color w:val="auto"/>
                <w:szCs w:val="21"/>
                <w:highlight w:val="none"/>
              </w:rPr>
            </w:pPr>
          </w:p>
        </w:tc>
        <w:tc>
          <w:tcPr>
            <w:tcW w:w="502" w:type="pct"/>
            <w:noWrap w:val="0"/>
            <w:vAlign w:val="center"/>
          </w:tcPr>
          <w:p w14:paraId="60149CD7">
            <w:pPr>
              <w:keepNext/>
              <w:spacing w:line="360" w:lineRule="auto"/>
              <w:jc w:val="center"/>
              <w:rPr>
                <w:rFonts w:hint="eastAsia" w:ascii="宋体" w:hAnsi="宋体" w:cs="宋体"/>
                <w:color w:val="auto"/>
                <w:szCs w:val="21"/>
                <w:highlight w:val="none"/>
              </w:rPr>
            </w:pPr>
          </w:p>
        </w:tc>
        <w:tc>
          <w:tcPr>
            <w:tcW w:w="1279" w:type="pct"/>
            <w:noWrap w:val="0"/>
            <w:vAlign w:val="center"/>
          </w:tcPr>
          <w:p w14:paraId="252B113E">
            <w:pPr>
              <w:keepNext/>
              <w:spacing w:line="360" w:lineRule="auto"/>
              <w:jc w:val="center"/>
              <w:rPr>
                <w:rFonts w:hint="eastAsia" w:ascii="宋体" w:hAnsi="宋体" w:cs="宋体"/>
                <w:color w:val="auto"/>
                <w:szCs w:val="21"/>
                <w:highlight w:val="none"/>
              </w:rPr>
            </w:pPr>
          </w:p>
        </w:tc>
        <w:tc>
          <w:tcPr>
            <w:tcW w:w="1153" w:type="pct"/>
            <w:noWrap w:val="0"/>
            <w:vAlign w:val="top"/>
          </w:tcPr>
          <w:p w14:paraId="10AF7547">
            <w:pPr>
              <w:keepNext/>
              <w:spacing w:line="360" w:lineRule="auto"/>
              <w:jc w:val="center"/>
              <w:rPr>
                <w:rFonts w:hint="eastAsia" w:ascii="宋体" w:hAnsi="宋体" w:cs="宋体"/>
                <w:color w:val="auto"/>
                <w:szCs w:val="21"/>
                <w:highlight w:val="none"/>
              </w:rPr>
            </w:pPr>
          </w:p>
        </w:tc>
      </w:tr>
      <w:tr w14:paraId="091D2C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48314E0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其他人员</w:t>
            </w:r>
          </w:p>
        </w:tc>
        <w:tc>
          <w:tcPr>
            <w:tcW w:w="627" w:type="pct"/>
            <w:noWrap w:val="0"/>
            <w:vAlign w:val="center"/>
          </w:tcPr>
          <w:p w14:paraId="003DECA1">
            <w:pPr>
              <w:keepNext/>
              <w:spacing w:line="360" w:lineRule="auto"/>
              <w:jc w:val="center"/>
              <w:rPr>
                <w:rFonts w:hint="eastAsia" w:ascii="宋体" w:hAnsi="宋体" w:cs="宋体"/>
                <w:color w:val="auto"/>
                <w:szCs w:val="21"/>
                <w:highlight w:val="none"/>
              </w:rPr>
            </w:pPr>
          </w:p>
        </w:tc>
        <w:tc>
          <w:tcPr>
            <w:tcW w:w="502" w:type="pct"/>
            <w:noWrap w:val="0"/>
            <w:vAlign w:val="center"/>
          </w:tcPr>
          <w:p w14:paraId="2615E91A">
            <w:pPr>
              <w:keepNext/>
              <w:spacing w:line="360" w:lineRule="auto"/>
              <w:jc w:val="center"/>
              <w:rPr>
                <w:rFonts w:hint="eastAsia" w:ascii="宋体" w:hAnsi="宋体" w:cs="宋体"/>
                <w:color w:val="auto"/>
                <w:szCs w:val="21"/>
                <w:highlight w:val="none"/>
              </w:rPr>
            </w:pPr>
          </w:p>
        </w:tc>
        <w:tc>
          <w:tcPr>
            <w:tcW w:w="502" w:type="pct"/>
            <w:noWrap w:val="0"/>
            <w:vAlign w:val="center"/>
          </w:tcPr>
          <w:p w14:paraId="02F8645B">
            <w:pPr>
              <w:keepNext/>
              <w:spacing w:line="360" w:lineRule="auto"/>
              <w:jc w:val="center"/>
              <w:rPr>
                <w:rFonts w:hint="eastAsia" w:ascii="宋体" w:hAnsi="宋体" w:cs="宋体"/>
                <w:color w:val="auto"/>
                <w:szCs w:val="21"/>
                <w:highlight w:val="none"/>
              </w:rPr>
            </w:pPr>
          </w:p>
        </w:tc>
        <w:tc>
          <w:tcPr>
            <w:tcW w:w="1279" w:type="pct"/>
            <w:noWrap w:val="0"/>
            <w:vAlign w:val="center"/>
          </w:tcPr>
          <w:p w14:paraId="6CEF734F">
            <w:pPr>
              <w:keepNext/>
              <w:spacing w:line="360" w:lineRule="auto"/>
              <w:jc w:val="center"/>
              <w:rPr>
                <w:rFonts w:hint="eastAsia" w:ascii="宋体" w:hAnsi="宋体" w:cs="宋体"/>
                <w:color w:val="auto"/>
                <w:szCs w:val="21"/>
                <w:highlight w:val="none"/>
              </w:rPr>
            </w:pPr>
          </w:p>
        </w:tc>
        <w:tc>
          <w:tcPr>
            <w:tcW w:w="1153" w:type="pct"/>
            <w:noWrap w:val="0"/>
            <w:vAlign w:val="top"/>
          </w:tcPr>
          <w:p w14:paraId="689A9EBA">
            <w:pPr>
              <w:keepNext/>
              <w:spacing w:line="360" w:lineRule="auto"/>
              <w:jc w:val="center"/>
              <w:rPr>
                <w:rFonts w:hint="eastAsia" w:ascii="宋体" w:hAnsi="宋体" w:cs="宋体"/>
                <w:color w:val="auto"/>
                <w:szCs w:val="21"/>
                <w:highlight w:val="none"/>
              </w:rPr>
            </w:pPr>
          </w:p>
        </w:tc>
      </w:tr>
      <w:tr w14:paraId="50C1A6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6ECA28F1">
            <w:pPr>
              <w:spacing w:line="360" w:lineRule="auto"/>
              <w:jc w:val="center"/>
              <w:rPr>
                <w:rFonts w:hint="eastAsia" w:ascii="宋体" w:hAnsi="宋体" w:cs="宋体"/>
                <w:color w:val="auto"/>
                <w:szCs w:val="21"/>
                <w:highlight w:val="none"/>
              </w:rPr>
            </w:pPr>
          </w:p>
        </w:tc>
        <w:tc>
          <w:tcPr>
            <w:tcW w:w="627" w:type="pct"/>
            <w:noWrap w:val="0"/>
            <w:vAlign w:val="center"/>
          </w:tcPr>
          <w:p w14:paraId="48E5E353">
            <w:pPr>
              <w:keepNext/>
              <w:spacing w:line="360" w:lineRule="auto"/>
              <w:jc w:val="center"/>
              <w:rPr>
                <w:rFonts w:hint="eastAsia" w:ascii="宋体" w:hAnsi="宋体" w:cs="宋体"/>
                <w:color w:val="auto"/>
                <w:szCs w:val="21"/>
                <w:highlight w:val="none"/>
              </w:rPr>
            </w:pPr>
          </w:p>
        </w:tc>
        <w:tc>
          <w:tcPr>
            <w:tcW w:w="502" w:type="pct"/>
            <w:noWrap w:val="0"/>
            <w:vAlign w:val="center"/>
          </w:tcPr>
          <w:p w14:paraId="18A15662">
            <w:pPr>
              <w:keepNext/>
              <w:spacing w:line="360" w:lineRule="auto"/>
              <w:jc w:val="center"/>
              <w:rPr>
                <w:rFonts w:hint="eastAsia" w:ascii="宋体" w:hAnsi="宋体" w:cs="宋体"/>
                <w:color w:val="auto"/>
                <w:szCs w:val="21"/>
                <w:highlight w:val="none"/>
              </w:rPr>
            </w:pPr>
          </w:p>
        </w:tc>
        <w:tc>
          <w:tcPr>
            <w:tcW w:w="502" w:type="pct"/>
            <w:noWrap w:val="0"/>
            <w:vAlign w:val="center"/>
          </w:tcPr>
          <w:p w14:paraId="2A08C040">
            <w:pPr>
              <w:keepNext/>
              <w:spacing w:line="360" w:lineRule="auto"/>
              <w:jc w:val="center"/>
              <w:rPr>
                <w:rFonts w:hint="eastAsia" w:ascii="宋体" w:hAnsi="宋体" w:cs="宋体"/>
                <w:color w:val="auto"/>
                <w:szCs w:val="21"/>
                <w:highlight w:val="none"/>
              </w:rPr>
            </w:pPr>
          </w:p>
        </w:tc>
        <w:tc>
          <w:tcPr>
            <w:tcW w:w="1279" w:type="pct"/>
            <w:noWrap w:val="0"/>
            <w:vAlign w:val="center"/>
          </w:tcPr>
          <w:p w14:paraId="23F2A05A">
            <w:pPr>
              <w:keepNext/>
              <w:spacing w:line="360" w:lineRule="auto"/>
              <w:jc w:val="center"/>
              <w:rPr>
                <w:rFonts w:hint="eastAsia" w:ascii="宋体" w:hAnsi="宋体" w:cs="宋体"/>
                <w:color w:val="auto"/>
                <w:szCs w:val="21"/>
                <w:highlight w:val="none"/>
              </w:rPr>
            </w:pPr>
          </w:p>
        </w:tc>
        <w:tc>
          <w:tcPr>
            <w:tcW w:w="1153" w:type="pct"/>
            <w:noWrap w:val="0"/>
            <w:vAlign w:val="top"/>
          </w:tcPr>
          <w:p w14:paraId="3827E7DC">
            <w:pPr>
              <w:keepNext/>
              <w:spacing w:line="360" w:lineRule="auto"/>
              <w:jc w:val="center"/>
              <w:rPr>
                <w:rFonts w:hint="eastAsia" w:ascii="宋体" w:hAnsi="宋体" w:cs="宋体"/>
                <w:color w:val="auto"/>
                <w:szCs w:val="21"/>
                <w:highlight w:val="none"/>
              </w:rPr>
            </w:pPr>
          </w:p>
        </w:tc>
      </w:tr>
      <w:tr w14:paraId="4F7E1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7" w:type="pct"/>
            <w:gridSpan w:val="5"/>
            <w:noWrap w:val="0"/>
            <w:vAlign w:val="center"/>
          </w:tcPr>
          <w:p w14:paraId="02F19817">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二、现场人员</w:t>
            </w:r>
          </w:p>
        </w:tc>
        <w:tc>
          <w:tcPr>
            <w:tcW w:w="1153" w:type="pct"/>
            <w:noWrap w:val="0"/>
            <w:vAlign w:val="top"/>
          </w:tcPr>
          <w:p w14:paraId="12913025">
            <w:pPr>
              <w:keepNext/>
              <w:spacing w:line="360" w:lineRule="auto"/>
              <w:jc w:val="center"/>
              <w:rPr>
                <w:rFonts w:hint="eastAsia" w:ascii="宋体" w:hAnsi="宋体" w:cs="宋体"/>
                <w:color w:val="auto"/>
                <w:szCs w:val="21"/>
                <w:highlight w:val="none"/>
              </w:rPr>
            </w:pPr>
          </w:p>
        </w:tc>
      </w:tr>
      <w:tr w14:paraId="0F5F3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24B49A8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627" w:type="pct"/>
            <w:noWrap w:val="0"/>
            <w:vAlign w:val="center"/>
          </w:tcPr>
          <w:p w14:paraId="76CEB1F9">
            <w:pPr>
              <w:keepNext/>
              <w:spacing w:line="360" w:lineRule="auto"/>
              <w:jc w:val="center"/>
              <w:rPr>
                <w:rFonts w:hint="eastAsia" w:ascii="宋体" w:hAnsi="宋体" w:cs="宋体"/>
                <w:color w:val="auto"/>
                <w:szCs w:val="21"/>
                <w:highlight w:val="none"/>
              </w:rPr>
            </w:pPr>
          </w:p>
        </w:tc>
        <w:tc>
          <w:tcPr>
            <w:tcW w:w="502" w:type="pct"/>
            <w:noWrap w:val="0"/>
            <w:vAlign w:val="center"/>
          </w:tcPr>
          <w:p w14:paraId="385164B7">
            <w:pPr>
              <w:keepNext/>
              <w:spacing w:line="360" w:lineRule="auto"/>
              <w:jc w:val="center"/>
              <w:rPr>
                <w:rFonts w:hint="eastAsia" w:ascii="宋体" w:hAnsi="宋体" w:cs="宋体"/>
                <w:color w:val="auto"/>
                <w:szCs w:val="21"/>
                <w:highlight w:val="none"/>
              </w:rPr>
            </w:pPr>
          </w:p>
        </w:tc>
        <w:tc>
          <w:tcPr>
            <w:tcW w:w="502" w:type="pct"/>
            <w:noWrap w:val="0"/>
            <w:vAlign w:val="center"/>
          </w:tcPr>
          <w:p w14:paraId="59677E35">
            <w:pPr>
              <w:keepNext/>
              <w:spacing w:line="360" w:lineRule="auto"/>
              <w:jc w:val="center"/>
              <w:rPr>
                <w:rFonts w:hint="eastAsia" w:ascii="宋体" w:hAnsi="宋体" w:cs="宋体"/>
                <w:color w:val="auto"/>
                <w:szCs w:val="21"/>
                <w:highlight w:val="none"/>
              </w:rPr>
            </w:pPr>
          </w:p>
        </w:tc>
        <w:tc>
          <w:tcPr>
            <w:tcW w:w="1279" w:type="pct"/>
            <w:noWrap w:val="0"/>
            <w:vAlign w:val="center"/>
          </w:tcPr>
          <w:p w14:paraId="5DBDFB54">
            <w:pPr>
              <w:keepNext/>
              <w:spacing w:line="360" w:lineRule="auto"/>
              <w:jc w:val="center"/>
              <w:rPr>
                <w:rFonts w:hint="eastAsia" w:ascii="宋体" w:hAnsi="宋体" w:cs="宋体"/>
                <w:color w:val="auto"/>
                <w:szCs w:val="21"/>
                <w:highlight w:val="none"/>
              </w:rPr>
            </w:pPr>
          </w:p>
        </w:tc>
        <w:tc>
          <w:tcPr>
            <w:tcW w:w="1153" w:type="pct"/>
            <w:noWrap w:val="0"/>
            <w:vAlign w:val="top"/>
          </w:tcPr>
          <w:p w14:paraId="0FD091CF">
            <w:pPr>
              <w:keepNext/>
              <w:spacing w:line="360" w:lineRule="auto"/>
              <w:jc w:val="center"/>
              <w:rPr>
                <w:rFonts w:hint="eastAsia" w:ascii="宋体" w:hAnsi="宋体" w:cs="宋体"/>
                <w:color w:val="auto"/>
                <w:szCs w:val="21"/>
                <w:highlight w:val="none"/>
              </w:rPr>
            </w:pPr>
          </w:p>
        </w:tc>
      </w:tr>
      <w:tr w14:paraId="12FB23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2065104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项目副经理</w:t>
            </w:r>
          </w:p>
        </w:tc>
        <w:tc>
          <w:tcPr>
            <w:tcW w:w="627" w:type="pct"/>
            <w:noWrap w:val="0"/>
            <w:vAlign w:val="center"/>
          </w:tcPr>
          <w:p w14:paraId="4BE8AF8D">
            <w:pPr>
              <w:keepNext/>
              <w:spacing w:line="360" w:lineRule="auto"/>
              <w:jc w:val="center"/>
              <w:rPr>
                <w:rFonts w:hint="eastAsia" w:ascii="宋体" w:hAnsi="宋体" w:cs="宋体"/>
                <w:color w:val="auto"/>
                <w:szCs w:val="21"/>
                <w:highlight w:val="none"/>
              </w:rPr>
            </w:pPr>
          </w:p>
        </w:tc>
        <w:tc>
          <w:tcPr>
            <w:tcW w:w="502" w:type="pct"/>
            <w:noWrap w:val="0"/>
            <w:vAlign w:val="center"/>
          </w:tcPr>
          <w:p w14:paraId="766792F4">
            <w:pPr>
              <w:keepNext/>
              <w:spacing w:line="360" w:lineRule="auto"/>
              <w:jc w:val="center"/>
              <w:rPr>
                <w:rFonts w:hint="eastAsia" w:ascii="宋体" w:hAnsi="宋体" w:cs="宋体"/>
                <w:color w:val="auto"/>
                <w:szCs w:val="21"/>
                <w:highlight w:val="none"/>
              </w:rPr>
            </w:pPr>
          </w:p>
        </w:tc>
        <w:tc>
          <w:tcPr>
            <w:tcW w:w="502" w:type="pct"/>
            <w:noWrap w:val="0"/>
            <w:vAlign w:val="center"/>
          </w:tcPr>
          <w:p w14:paraId="18AC6A0C">
            <w:pPr>
              <w:keepNext/>
              <w:spacing w:line="360" w:lineRule="auto"/>
              <w:jc w:val="center"/>
              <w:rPr>
                <w:rFonts w:hint="eastAsia" w:ascii="宋体" w:hAnsi="宋体" w:cs="宋体"/>
                <w:color w:val="auto"/>
                <w:szCs w:val="21"/>
                <w:highlight w:val="none"/>
              </w:rPr>
            </w:pPr>
          </w:p>
        </w:tc>
        <w:tc>
          <w:tcPr>
            <w:tcW w:w="1279" w:type="pct"/>
            <w:noWrap w:val="0"/>
            <w:vAlign w:val="center"/>
          </w:tcPr>
          <w:p w14:paraId="38D6709F">
            <w:pPr>
              <w:keepNext/>
              <w:spacing w:line="360" w:lineRule="auto"/>
              <w:jc w:val="center"/>
              <w:rPr>
                <w:rFonts w:hint="eastAsia" w:ascii="宋体" w:hAnsi="宋体" w:cs="宋体"/>
                <w:color w:val="auto"/>
                <w:szCs w:val="21"/>
                <w:highlight w:val="none"/>
              </w:rPr>
            </w:pPr>
          </w:p>
        </w:tc>
        <w:tc>
          <w:tcPr>
            <w:tcW w:w="1153" w:type="pct"/>
            <w:noWrap w:val="0"/>
            <w:vAlign w:val="top"/>
          </w:tcPr>
          <w:p w14:paraId="59393C19">
            <w:pPr>
              <w:keepNext/>
              <w:spacing w:line="360" w:lineRule="auto"/>
              <w:jc w:val="center"/>
              <w:rPr>
                <w:rFonts w:hint="eastAsia" w:ascii="宋体" w:hAnsi="宋体" w:cs="宋体"/>
                <w:color w:val="auto"/>
                <w:szCs w:val="21"/>
                <w:highlight w:val="none"/>
              </w:rPr>
            </w:pPr>
          </w:p>
        </w:tc>
      </w:tr>
      <w:tr w14:paraId="67CE4B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2B402BD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项目技术负责人</w:t>
            </w:r>
          </w:p>
        </w:tc>
        <w:tc>
          <w:tcPr>
            <w:tcW w:w="627" w:type="pct"/>
            <w:noWrap w:val="0"/>
            <w:vAlign w:val="center"/>
          </w:tcPr>
          <w:p w14:paraId="5CC0F8EA">
            <w:pPr>
              <w:keepNext/>
              <w:spacing w:line="360" w:lineRule="auto"/>
              <w:jc w:val="center"/>
              <w:rPr>
                <w:rFonts w:hint="eastAsia" w:ascii="宋体" w:hAnsi="宋体" w:cs="宋体"/>
                <w:color w:val="auto"/>
                <w:szCs w:val="21"/>
                <w:highlight w:val="none"/>
              </w:rPr>
            </w:pPr>
          </w:p>
        </w:tc>
        <w:tc>
          <w:tcPr>
            <w:tcW w:w="502" w:type="pct"/>
            <w:noWrap w:val="0"/>
            <w:vAlign w:val="center"/>
          </w:tcPr>
          <w:p w14:paraId="176DBB00">
            <w:pPr>
              <w:keepNext/>
              <w:spacing w:line="360" w:lineRule="auto"/>
              <w:jc w:val="center"/>
              <w:rPr>
                <w:rFonts w:hint="eastAsia" w:ascii="宋体" w:hAnsi="宋体" w:cs="宋体"/>
                <w:color w:val="auto"/>
                <w:szCs w:val="21"/>
                <w:highlight w:val="none"/>
              </w:rPr>
            </w:pPr>
          </w:p>
        </w:tc>
        <w:tc>
          <w:tcPr>
            <w:tcW w:w="502" w:type="pct"/>
            <w:noWrap w:val="0"/>
            <w:vAlign w:val="center"/>
          </w:tcPr>
          <w:p w14:paraId="1DA2F3E6">
            <w:pPr>
              <w:keepNext/>
              <w:spacing w:line="360" w:lineRule="auto"/>
              <w:jc w:val="center"/>
              <w:rPr>
                <w:rFonts w:hint="eastAsia" w:ascii="宋体" w:hAnsi="宋体" w:cs="宋体"/>
                <w:color w:val="auto"/>
                <w:szCs w:val="21"/>
                <w:highlight w:val="none"/>
              </w:rPr>
            </w:pPr>
          </w:p>
        </w:tc>
        <w:tc>
          <w:tcPr>
            <w:tcW w:w="1279" w:type="pct"/>
            <w:noWrap w:val="0"/>
            <w:vAlign w:val="center"/>
          </w:tcPr>
          <w:p w14:paraId="52364820">
            <w:pPr>
              <w:keepNext/>
              <w:spacing w:line="360" w:lineRule="auto"/>
              <w:jc w:val="center"/>
              <w:rPr>
                <w:rFonts w:hint="eastAsia" w:ascii="宋体" w:hAnsi="宋体" w:cs="宋体"/>
                <w:color w:val="auto"/>
                <w:szCs w:val="21"/>
                <w:highlight w:val="none"/>
              </w:rPr>
            </w:pPr>
          </w:p>
        </w:tc>
        <w:tc>
          <w:tcPr>
            <w:tcW w:w="1153" w:type="pct"/>
            <w:noWrap w:val="0"/>
            <w:vAlign w:val="top"/>
          </w:tcPr>
          <w:p w14:paraId="32EAC359">
            <w:pPr>
              <w:keepNext/>
              <w:spacing w:line="360" w:lineRule="auto"/>
              <w:jc w:val="center"/>
              <w:rPr>
                <w:rFonts w:hint="eastAsia" w:ascii="宋体" w:hAnsi="宋体" w:cs="宋体"/>
                <w:color w:val="auto"/>
                <w:szCs w:val="21"/>
                <w:highlight w:val="none"/>
              </w:rPr>
            </w:pPr>
          </w:p>
        </w:tc>
      </w:tr>
      <w:tr w14:paraId="4E8051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4F60F72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627" w:type="pct"/>
            <w:noWrap w:val="0"/>
            <w:vAlign w:val="center"/>
          </w:tcPr>
          <w:p w14:paraId="35525868">
            <w:pPr>
              <w:keepNext/>
              <w:spacing w:line="360" w:lineRule="auto"/>
              <w:jc w:val="center"/>
              <w:rPr>
                <w:rFonts w:hint="eastAsia" w:ascii="宋体" w:hAnsi="宋体" w:cs="宋体"/>
                <w:color w:val="auto"/>
                <w:szCs w:val="21"/>
                <w:highlight w:val="none"/>
              </w:rPr>
            </w:pPr>
          </w:p>
        </w:tc>
        <w:tc>
          <w:tcPr>
            <w:tcW w:w="502" w:type="pct"/>
            <w:noWrap w:val="0"/>
            <w:vAlign w:val="center"/>
          </w:tcPr>
          <w:p w14:paraId="38CEE7E2">
            <w:pPr>
              <w:keepNext/>
              <w:spacing w:line="360" w:lineRule="auto"/>
              <w:jc w:val="center"/>
              <w:rPr>
                <w:rFonts w:hint="eastAsia" w:ascii="宋体" w:hAnsi="宋体" w:cs="宋体"/>
                <w:color w:val="auto"/>
                <w:szCs w:val="21"/>
                <w:highlight w:val="none"/>
              </w:rPr>
            </w:pPr>
          </w:p>
        </w:tc>
        <w:tc>
          <w:tcPr>
            <w:tcW w:w="502" w:type="pct"/>
            <w:noWrap w:val="0"/>
            <w:vAlign w:val="center"/>
          </w:tcPr>
          <w:p w14:paraId="65921F3D">
            <w:pPr>
              <w:keepNext/>
              <w:spacing w:line="360" w:lineRule="auto"/>
              <w:jc w:val="center"/>
              <w:rPr>
                <w:rFonts w:hint="eastAsia" w:ascii="宋体" w:hAnsi="宋体" w:cs="宋体"/>
                <w:color w:val="auto"/>
                <w:szCs w:val="21"/>
                <w:highlight w:val="none"/>
              </w:rPr>
            </w:pPr>
          </w:p>
        </w:tc>
        <w:tc>
          <w:tcPr>
            <w:tcW w:w="1279" w:type="pct"/>
            <w:noWrap w:val="0"/>
            <w:vAlign w:val="center"/>
          </w:tcPr>
          <w:p w14:paraId="5164D494">
            <w:pPr>
              <w:keepNext/>
              <w:spacing w:line="360" w:lineRule="auto"/>
              <w:jc w:val="center"/>
              <w:rPr>
                <w:rFonts w:hint="eastAsia" w:ascii="宋体" w:hAnsi="宋体" w:cs="宋体"/>
                <w:color w:val="auto"/>
                <w:szCs w:val="21"/>
                <w:highlight w:val="none"/>
              </w:rPr>
            </w:pPr>
          </w:p>
        </w:tc>
        <w:tc>
          <w:tcPr>
            <w:tcW w:w="1153" w:type="pct"/>
            <w:noWrap w:val="0"/>
            <w:vAlign w:val="top"/>
          </w:tcPr>
          <w:p w14:paraId="6F97E46E">
            <w:pPr>
              <w:keepNext/>
              <w:spacing w:line="360" w:lineRule="auto"/>
              <w:jc w:val="center"/>
              <w:rPr>
                <w:rFonts w:hint="eastAsia" w:ascii="宋体" w:hAnsi="宋体" w:cs="宋体"/>
                <w:color w:val="auto"/>
                <w:szCs w:val="21"/>
                <w:highlight w:val="none"/>
              </w:rPr>
            </w:pPr>
          </w:p>
        </w:tc>
      </w:tr>
      <w:tr w14:paraId="57C226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31AE2E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质检员（质量员）</w:t>
            </w:r>
          </w:p>
        </w:tc>
        <w:tc>
          <w:tcPr>
            <w:tcW w:w="627" w:type="pct"/>
            <w:noWrap w:val="0"/>
            <w:vAlign w:val="center"/>
          </w:tcPr>
          <w:p w14:paraId="6469F40C">
            <w:pPr>
              <w:keepNext/>
              <w:spacing w:line="360" w:lineRule="auto"/>
              <w:jc w:val="center"/>
              <w:rPr>
                <w:rFonts w:hint="eastAsia" w:ascii="宋体" w:hAnsi="宋体" w:cs="宋体"/>
                <w:color w:val="auto"/>
                <w:szCs w:val="21"/>
                <w:highlight w:val="none"/>
              </w:rPr>
            </w:pPr>
          </w:p>
        </w:tc>
        <w:tc>
          <w:tcPr>
            <w:tcW w:w="502" w:type="pct"/>
            <w:noWrap w:val="0"/>
            <w:vAlign w:val="center"/>
          </w:tcPr>
          <w:p w14:paraId="263FA33F">
            <w:pPr>
              <w:keepNext/>
              <w:spacing w:line="360" w:lineRule="auto"/>
              <w:jc w:val="center"/>
              <w:rPr>
                <w:rFonts w:hint="eastAsia" w:ascii="宋体" w:hAnsi="宋体" w:cs="宋体"/>
                <w:color w:val="auto"/>
                <w:szCs w:val="21"/>
                <w:highlight w:val="none"/>
              </w:rPr>
            </w:pPr>
          </w:p>
        </w:tc>
        <w:tc>
          <w:tcPr>
            <w:tcW w:w="502" w:type="pct"/>
            <w:noWrap w:val="0"/>
            <w:vAlign w:val="center"/>
          </w:tcPr>
          <w:p w14:paraId="3F159E70">
            <w:pPr>
              <w:keepNext/>
              <w:spacing w:line="360" w:lineRule="auto"/>
              <w:jc w:val="center"/>
              <w:rPr>
                <w:rFonts w:hint="eastAsia" w:ascii="宋体" w:hAnsi="宋体" w:cs="宋体"/>
                <w:color w:val="auto"/>
                <w:szCs w:val="21"/>
                <w:highlight w:val="none"/>
              </w:rPr>
            </w:pPr>
          </w:p>
        </w:tc>
        <w:tc>
          <w:tcPr>
            <w:tcW w:w="1279" w:type="pct"/>
            <w:noWrap w:val="0"/>
            <w:vAlign w:val="center"/>
          </w:tcPr>
          <w:p w14:paraId="4DD12B3E">
            <w:pPr>
              <w:keepNext/>
              <w:spacing w:line="360" w:lineRule="auto"/>
              <w:jc w:val="center"/>
              <w:rPr>
                <w:rFonts w:hint="eastAsia" w:ascii="宋体" w:hAnsi="宋体" w:cs="宋体"/>
                <w:color w:val="auto"/>
                <w:szCs w:val="21"/>
                <w:highlight w:val="none"/>
              </w:rPr>
            </w:pPr>
          </w:p>
        </w:tc>
        <w:tc>
          <w:tcPr>
            <w:tcW w:w="1153" w:type="pct"/>
            <w:noWrap w:val="0"/>
            <w:vAlign w:val="top"/>
          </w:tcPr>
          <w:p w14:paraId="3D1FFB38">
            <w:pPr>
              <w:keepNext/>
              <w:spacing w:line="360" w:lineRule="auto"/>
              <w:jc w:val="center"/>
              <w:rPr>
                <w:rFonts w:hint="eastAsia" w:ascii="宋体" w:hAnsi="宋体" w:cs="宋体"/>
                <w:color w:val="auto"/>
                <w:szCs w:val="21"/>
                <w:highlight w:val="none"/>
              </w:rPr>
            </w:pPr>
          </w:p>
        </w:tc>
      </w:tr>
      <w:tr w14:paraId="5263B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7796D65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627" w:type="pct"/>
            <w:noWrap w:val="0"/>
            <w:vAlign w:val="center"/>
          </w:tcPr>
          <w:p w14:paraId="07DB6216">
            <w:pPr>
              <w:keepNext/>
              <w:spacing w:line="360" w:lineRule="auto"/>
              <w:jc w:val="center"/>
              <w:rPr>
                <w:rFonts w:hint="eastAsia" w:ascii="宋体" w:hAnsi="宋体" w:cs="宋体"/>
                <w:color w:val="auto"/>
                <w:szCs w:val="21"/>
                <w:highlight w:val="none"/>
              </w:rPr>
            </w:pPr>
          </w:p>
        </w:tc>
        <w:tc>
          <w:tcPr>
            <w:tcW w:w="502" w:type="pct"/>
            <w:noWrap w:val="0"/>
            <w:vAlign w:val="center"/>
          </w:tcPr>
          <w:p w14:paraId="2CE0D748">
            <w:pPr>
              <w:keepNext/>
              <w:spacing w:line="360" w:lineRule="auto"/>
              <w:jc w:val="center"/>
              <w:rPr>
                <w:rFonts w:hint="eastAsia" w:ascii="宋体" w:hAnsi="宋体" w:cs="宋体"/>
                <w:color w:val="auto"/>
                <w:szCs w:val="21"/>
                <w:highlight w:val="none"/>
              </w:rPr>
            </w:pPr>
          </w:p>
        </w:tc>
        <w:tc>
          <w:tcPr>
            <w:tcW w:w="502" w:type="pct"/>
            <w:noWrap w:val="0"/>
            <w:vAlign w:val="center"/>
          </w:tcPr>
          <w:p w14:paraId="4A3E4681">
            <w:pPr>
              <w:keepNext/>
              <w:spacing w:line="360" w:lineRule="auto"/>
              <w:jc w:val="center"/>
              <w:rPr>
                <w:rFonts w:hint="eastAsia" w:ascii="宋体" w:hAnsi="宋体" w:cs="宋体"/>
                <w:color w:val="auto"/>
                <w:szCs w:val="21"/>
                <w:highlight w:val="none"/>
              </w:rPr>
            </w:pPr>
          </w:p>
        </w:tc>
        <w:tc>
          <w:tcPr>
            <w:tcW w:w="1279" w:type="pct"/>
            <w:noWrap w:val="0"/>
            <w:vAlign w:val="center"/>
          </w:tcPr>
          <w:p w14:paraId="351E7161">
            <w:pPr>
              <w:keepNext/>
              <w:spacing w:line="360" w:lineRule="auto"/>
              <w:jc w:val="center"/>
              <w:rPr>
                <w:rFonts w:hint="eastAsia" w:ascii="宋体" w:hAnsi="宋体" w:cs="宋体"/>
                <w:color w:val="auto"/>
                <w:szCs w:val="21"/>
                <w:highlight w:val="none"/>
              </w:rPr>
            </w:pPr>
          </w:p>
        </w:tc>
        <w:tc>
          <w:tcPr>
            <w:tcW w:w="1153" w:type="pct"/>
            <w:noWrap w:val="0"/>
            <w:vAlign w:val="top"/>
          </w:tcPr>
          <w:p w14:paraId="6D194248">
            <w:pPr>
              <w:keepNext/>
              <w:spacing w:line="360" w:lineRule="auto"/>
              <w:jc w:val="center"/>
              <w:rPr>
                <w:rFonts w:hint="eastAsia" w:ascii="宋体" w:hAnsi="宋体" w:cs="宋体"/>
                <w:color w:val="auto"/>
                <w:szCs w:val="21"/>
                <w:highlight w:val="none"/>
              </w:rPr>
            </w:pPr>
          </w:p>
        </w:tc>
      </w:tr>
      <w:tr w14:paraId="6F3648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2374FE7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资料员</w:t>
            </w:r>
          </w:p>
        </w:tc>
        <w:tc>
          <w:tcPr>
            <w:tcW w:w="627" w:type="pct"/>
            <w:noWrap w:val="0"/>
            <w:vAlign w:val="center"/>
          </w:tcPr>
          <w:p w14:paraId="7BEE1A18">
            <w:pPr>
              <w:keepNext/>
              <w:spacing w:line="360" w:lineRule="auto"/>
              <w:jc w:val="center"/>
              <w:rPr>
                <w:rFonts w:hint="eastAsia" w:ascii="宋体" w:hAnsi="宋体" w:cs="宋体"/>
                <w:color w:val="auto"/>
                <w:szCs w:val="21"/>
                <w:highlight w:val="none"/>
              </w:rPr>
            </w:pPr>
          </w:p>
        </w:tc>
        <w:tc>
          <w:tcPr>
            <w:tcW w:w="502" w:type="pct"/>
            <w:noWrap w:val="0"/>
            <w:vAlign w:val="center"/>
          </w:tcPr>
          <w:p w14:paraId="415528C8">
            <w:pPr>
              <w:keepNext/>
              <w:spacing w:line="360" w:lineRule="auto"/>
              <w:jc w:val="center"/>
              <w:rPr>
                <w:rFonts w:hint="eastAsia" w:ascii="宋体" w:hAnsi="宋体" w:cs="宋体"/>
                <w:color w:val="auto"/>
                <w:szCs w:val="21"/>
                <w:highlight w:val="none"/>
              </w:rPr>
            </w:pPr>
          </w:p>
        </w:tc>
        <w:tc>
          <w:tcPr>
            <w:tcW w:w="502" w:type="pct"/>
            <w:noWrap w:val="0"/>
            <w:vAlign w:val="center"/>
          </w:tcPr>
          <w:p w14:paraId="64C0FB06">
            <w:pPr>
              <w:keepNext/>
              <w:spacing w:line="360" w:lineRule="auto"/>
              <w:jc w:val="center"/>
              <w:rPr>
                <w:rFonts w:hint="eastAsia" w:ascii="宋体" w:hAnsi="宋体" w:cs="宋体"/>
                <w:color w:val="auto"/>
                <w:szCs w:val="21"/>
                <w:highlight w:val="none"/>
              </w:rPr>
            </w:pPr>
          </w:p>
        </w:tc>
        <w:tc>
          <w:tcPr>
            <w:tcW w:w="1279" w:type="pct"/>
            <w:noWrap w:val="0"/>
            <w:vAlign w:val="center"/>
          </w:tcPr>
          <w:p w14:paraId="60FCE041">
            <w:pPr>
              <w:keepNext/>
              <w:spacing w:line="360" w:lineRule="auto"/>
              <w:jc w:val="center"/>
              <w:rPr>
                <w:rFonts w:hint="eastAsia" w:ascii="宋体" w:hAnsi="宋体" w:cs="宋体"/>
                <w:color w:val="auto"/>
                <w:szCs w:val="21"/>
                <w:highlight w:val="none"/>
              </w:rPr>
            </w:pPr>
          </w:p>
        </w:tc>
        <w:tc>
          <w:tcPr>
            <w:tcW w:w="1153" w:type="pct"/>
            <w:noWrap w:val="0"/>
            <w:vAlign w:val="top"/>
          </w:tcPr>
          <w:p w14:paraId="338717E9">
            <w:pPr>
              <w:keepNext/>
              <w:spacing w:line="360" w:lineRule="auto"/>
              <w:jc w:val="center"/>
              <w:rPr>
                <w:rFonts w:hint="eastAsia" w:ascii="宋体" w:hAnsi="宋体" w:cs="宋体"/>
                <w:color w:val="auto"/>
                <w:szCs w:val="21"/>
                <w:highlight w:val="none"/>
              </w:rPr>
            </w:pPr>
          </w:p>
        </w:tc>
      </w:tr>
      <w:tr w14:paraId="1D62F1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restart"/>
            <w:noWrap w:val="0"/>
            <w:vAlign w:val="center"/>
          </w:tcPr>
          <w:p w14:paraId="2018340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其他人员</w:t>
            </w:r>
          </w:p>
        </w:tc>
        <w:tc>
          <w:tcPr>
            <w:tcW w:w="627" w:type="pct"/>
            <w:noWrap w:val="0"/>
            <w:vAlign w:val="center"/>
          </w:tcPr>
          <w:p w14:paraId="5DA4F5C0">
            <w:pPr>
              <w:keepNext/>
              <w:spacing w:line="360" w:lineRule="auto"/>
              <w:jc w:val="center"/>
              <w:rPr>
                <w:rFonts w:hint="eastAsia" w:ascii="宋体" w:hAnsi="宋体" w:cs="宋体"/>
                <w:color w:val="auto"/>
                <w:szCs w:val="21"/>
                <w:highlight w:val="none"/>
              </w:rPr>
            </w:pPr>
          </w:p>
        </w:tc>
        <w:tc>
          <w:tcPr>
            <w:tcW w:w="502" w:type="pct"/>
            <w:noWrap w:val="0"/>
            <w:vAlign w:val="center"/>
          </w:tcPr>
          <w:p w14:paraId="406B246C">
            <w:pPr>
              <w:keepNext/>
              <w:spacing w:line="360" w:lineRule="auto"/>
              <w:jc w:val="center"/>
              <w:rPr>
                <w:rFonts w:hint="eastAsia" w:ascii="宋体" w:hAnsi="宋体" w:cs="宋体"/>
                <w:color w:val="auto"/>
                <w:szCs w:val="21"/>
                <w:highlight w:val="none"/>
              </w:rPr>
            </w:pPr>
          </w:p>
        </w:tc>
        <w:tc>
          <w:tcPr>
            <w:tcW w:w="502" w:type="pct"/>
            <w:noWrap w:val="0"/>
            <w:vAlign w:val="center"/>
          </w:tcPr>
          <w:p w14:paraId="0F23B9A9">
            <w:pPr>
              <w:keepNext/>
              <w:spacing w:line="360" w:lineRule="auto"/>
              <w:jc w:val="center"/>
              <w:rPr>
                <w:rFonts w:hint="eastAsia" w:ascii="宋体" w:hAnsi="宋体" w:cs="宋体"/>
                <w:color w:val="auto"/>
                <w:szCs w:val="21"/>
                <w:highlight w:val="none"/>
              </w:rPr>
            </w:pPr>
          </w:p>
        </w:tc>
        <w:tc>
          <w:tcPr>
            <w:tcW w:w="1279" w:type="pct"/>
            <w:noWrap w:val="0"/>
            <w:vAlign w:val="center"/>
          </w:tcPr>
          <w:p w14:paraId="5D84F9FC">
            <w:pPr>
              <w:keepNext/>
              <w:spacing w:line="360" w:lineRule="auto"/>
              <w:jc w:val="center"/>
              <w:rPr>
                <w:rFonts w:hint="eastAsia" w:ascii="宋体" w:hAnsi="宋体" w:cs="宋体"/>
                <w:color w:val="auto"/>
                <w:szCs w:val="21"/>
                <w:highlight w:val="none"/>
              </w:rPr>
            </w:pPr>
          </w:p>
        </w:tc>
        <w:tc>
          <w:tcPr>
            <w:tcW w:w="1153" w:type="pct"/>
            <w:noWrap w:val="0"/>
            <w:vAlign w:val="top"/>
          </w:tcPr>
          <w:p w14:paraId="3E551F6D">
            <w:pPr>
              <w:keepNext/>
              <w:spacing w:line="360" w:lineRule="auto"/>
              <w:jc w:val="center"/>
              <w:rPr>
                <w:rFonts w:hint="eastAsia" w:ascii="宋体" w:hAnsi="宋体" w:cs="宋体"/>
                <w:color w:val="auto"/>
                <w:szCs w:val="21"/>
                <w:highlight w:val="none"/>
              </w:rPr>
            </w:pPr>
          </w:p>
        </w:tc>
      </w:tr>
      <w:tr w14:paraId="559080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1F4C3711">
            <w:pPr>
              <w:keepNext/>
              <w:spacing w:line="360" w:lineRule="auto"/>
              <w:jc w:val="center"/>
              <w:rPr>
                <w:rFonts w:hint="eastAsia" w:ascii="宋体" w:hAnsi="宋体" w:cs="宋体"/>
                <w:color w:val="auto"/>
                <w:szCs w:val="21"/>
                <w:highlight w:val="none"/>
              </w:rPr>
            </w:pPr>
          </w:p>
        </w:tc>
        <w:tc>
          <w:tcPr>
            <w:tcW w:w="627" w:type="pct"/>
            <w:tcBorders>
              <w:bottom w:val="nil"/>
            </w:tcBorders>
            <w:noWrap w:val="0"/>
            <w:vAlign w:val="center"/>
          </w:tcPr>
          <w:p w14:paraId="3BDD24EA">
            <w:pPr>
              <w:keepNext/>
              <w:spacing w:line="360" w:lineRule="auto"/>
              <w:jc w:val="center"/>
              <w:rPr>
                <w:rFonts w:hint="eastAsia" w:ascii="宋体" w:hAnsi="宋体" w:cs="宋体"/>
                <w:color w:val="auto"/>
                <w:szCs w:val="21"/>
                <w:highlight w:val="none"/>
              </w:rPr>
            </w:pPr>
          </w:p>
        </w:tc>
        <w:tc>
          <w:tcPr>
            <w:tcW w:w="502" w:type="pct"/>
            <w:tcBorders>
              <w:bottom w:val="nil"/>
            </w:tcBorders>
            <w:noWrap w:val="0"/>
            <w:vAlign w:val="center"/>
          </w:tcPr>
          <w:p w14:paraId="4AB958A7">
            <w:pPr>
              <w:keepNext/>
              <w:spacing w:line="360" w:lineRule="auto"/>
              <w:jc w:val="center"/>
              <w:rPr>
                <w:rFonts w:hint="eastAsia" w:ascii="宋体" w:hAnsi="宋体" w:cs="宋体"/>
                <w:color w:val="auto"/>
                <w:szCs w:val="21"/>
                <w:highlight w:val="none"/>
              </w:rPr>
            </w:pPr>
          </w:p>
        </w:tc>
        <w:tc>
          <w:tcPr>
            <w:tcW w:w="502" w:type="pct"/>
            <w:tcBorders>
              <w:bottom w:val="nil"/>
            </w:tcBorders>
            <w:noWrap w:val="0"/>
            <w:vAlign w:val="center"/>
          </w:tcPr>
          <w:p w14:paraId="7B229CDB">
            <w:pPr>
              <w:keepNext/>
              <w:spacing w:line="360" w:lineRule="auto"/>
              <w:jc w:val="center"/>
              <w:rPr>
                <w:rFonts w:hint="eastAsia" w:ascii="宋体" w:hAnsi="宋体" w:cs="宋体"/>
                <w:color w:val="auto"/>
                <w:szCs w:val="21"/>
                <w:highlight w:val="none"/>
              </w:rPr>
            </w:pPr>
          </w:p>
        </w:tc>
        <w:tc>
          <w:tcPr>
            <w:tcW w:w="1279" w:type="pct"/>
            <w:tcBorders>
              <w:bottom w:val="nil"/>
            </w:tcBorders>
            <w:noWrap w:val="0"/>
            <w:vAlign w:val="center"/>
          </w:tcPr>
          <w:p w14:paraId="09CA239F">
            <w:pPr>
              <w:keepNext/>
              <w:spacing w:line="360" w:lineRule="auto"/>
              <w:jc w:val="center"/>
              <w:rPr>
                <w:rFonts w:hint="eastAsia" w:ascii="宋体" w:hAnsi="宋体" w:cs="宋体"/>
                <w:color w:val="auto"/>
                <w:szCs w:val="21"/>
                <w:highlight w:val="none"/>
              </w:rPr>
            </w:pPr>
          </w:p>
        </w:tc>
        <w:tc>
          <w:tcPr>
            <w:tcW w:w="1153" w:type="pct"/>
            <w:tcBorders>
              <w:bottom w:val="nil"/>
            </w:tcBorders>
            <w:noWrap w:val="0"/>
            <w:vAlign w:val="top"/>
          </w:tcPr>
          <w:p w14:paraId="1E47327C">
            <w:pPr>
              <w:keepNext/>
              <w:spacing w:line="360" w:lineRule="auto"/>
              <w:jc w:val="center"/>
              <w:rPr>
                <w:rFonts w:hint="eastAsia" w:ascii="宋体" w:hAnsi="宋体" w:cs="宋体"/>
                <w:color w:val="auto"/>
                <w:szCs w:val="21"/>
                <w:highlight w:val="none"/>
              </w:rPr>
            </w:pPr>
          </w:p>
        </w:tc>
      </w:tr>
      <w:tr w14:paraId="3EEEE5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465047A9">
            <w:pPr>
              <w:keepNext/>
              <w:spacing w:line="360" w:lineRule="auto"/>
              <w:jc w:val="center"/>
              <w:rPr>
                <w:rFonts w:hint="eastAsia" w:ascii="宋体" w:hAnsi="宋体" w:cs="宋体"/>
                <w:color w:val="auto"/>
                <w:szCs w:val="21"/>
                <w:highlight w:val="none"/>
              </w:rPr>
            </w:pPr>
          </w:p>
        </w:tc>
        <w:tc>
          <w:tcPr>
            <w:tcW w:w="627" w:type="pct"/>
            <w:noWrap w:val="0"/>
            <w:vAlign w:val="center"/>
          </w:tcPr>
          <w:p w14:paraId="03CA0B77">
            <w:pPr>
              <w:keepNext/>
              <w:spacing w:line="360" w:lineRule="auto"/>
              <w:jc w:val="center"/>
              <w:rPr>
                <w:rFonts w:hint="eastAsia" w:ascii="宋体" w:hAnsi="宋体" w:cs="宋体"/>
                <w:color w:val="auto"/>
                <w:szCs w:val="21"/>
                <w:highlight w:val="none"/>
              </w:rPr>
            </w:pPr>
          </w:p>
        </w:tc>
        <w:tc>
          <w:tcPr>
            <w:tcW w:w="502" w:type="pct"/>
            <w:noWrap w:val="0"/>
            <w:vAlign w:val="center"/>
          </w:tcPr>
          <w:p w14:paraId="5394B207">
            <w:pPr>
              <w:keepNext/>
              <w:spacing w:line="360" w:lineRule="auto"/>
              <w:jc w:val="center"/>
              <w:rPr>
                <w:rFonts w:hint="eastAsia" w:ascii="宋体" w:hAnsi="宋体" w:cs="宋体"/>
                <w:color w:val="auto"/>
                <w:szCs w:val="21"/>
                <w:highlight w:val="none"/>
              </w:rPr>
            </w:pPr>
          </w:p>
        </w:tc>
        <w:tc>
          <w:tcPr>
            <w:tcW w:w="502" w:type="pct"/>
            <w:noWrap w:val="0"/>
            <w:vAlign w:val="center"/>
          </w:tcPr>
          <w:p w14:paraId="2BA971C5">
            <w:pPr>
              <w:keepNext/>
              <w:spacing w:line="360" w:lineRule="auto"/>
              <w:jc w:val="center"/>
              <w:rPr>
                <w:rFonts w:hint="eastAsia" w:ascii="宋体" w:hAnsi="宋体" w:cs="宋体"/>
                <w:color w:val="auto"/>
                <w:szCs w:val="21"/>
                <w:highlight w:val="none"/>
              </w:rPr>
            </w:pPr>
          </w:p>
        </w:tc>
        <w:tc>
          <w:tcPr>
            <w:tcW w:w="1279" w:type="pct"/>
            <w:noWrap w:val="0"/>
            <w:vAlign w:val="center"/>
          </w:tcPr>
          <w:p w14:paraId="2E66F4F2">
            <w:pPr>
              <w:keepNext/>
              <w:spacing w:line="360" w:lineRule="auto"/>
              <w:jc w:val="center"/>
              <w:rPr>
                <w:rFonts w:hint="eastAsia" w:ascii="宋体" w:hAnsi="宋体" w:cs="宋体"/>
                <w:color w:val="auto"/>
                <w:szCs w:val="21"/>
                <w:highlight w:val="none"/>
              </w:rPr>
            </w:pPr>
          </w:p>
        </w:tc>
        <w:tc>
          <w:tcPr>
            <w:tcW w:w="1153" w:type="pct"/>
            <w:noWrap w:val="0"/>
            <w:vAlign w:val="top"/>
          </w:tcPr>
          <w:p w14:paraId="15B7F4CC">
            <w:pPr>
              <w:keepNext/>
              <w:spacing w:line="360" w:lineRule="auto"/>
              <w:jc w:val="center"/>
              <w:rPr>
                <w:rFonts w:hint="eastAsia" w:ascii="宋体" w:hAnsi="宋体" w:cs="宋体"/>
                <w:color w:val="auto"/>
                <w:szCs w:val="21"/>
                <w:highlight w:val="none"/>
              </w:rPr>
            </w:pPr>
          </w:p>
        </w:tc>
      </w:tr>
      <w:tr w14:paraId="2A97A2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357CAE51">
            <w:pPr>
              <w:keepNext/>
              <w:spacing w:line="360" w:lineRule="auto"/>
              <w:jc w:val="center"/>
              <w:rPr>
                <w:rFonts w:hint="eastAsia" w:ascii="宋体" w:hAnsi="宋体" w:cs="宋体"/>
                <w:color w:val="auto"/>
                <w:szCs w:val="21"/>
                <w:highlight w:val="none"/>
              </w:rPr>
            </w:pPr>
          </w:p>
        </w:tc>
        <w:tc>
          <w:tcPr>
            <w:tcW w:w="627" w:type="pct"/>
            <w:noWrap w:val="0"/>
            <w:vAlign w:val="center"/>
          </w:tcPr>
          <w:p w14:paraId="05AF67F0">
            <w:pPr>
              <w:keepNext/>
              <w:spacing w:line="360" w:lineRule="auto"/>
              <w:jc w:val="center"/>
              <w:rPr>
                <w:rFonts w:hint="eastAsia" w:ascii="宋体" w:hAnsi="宋体" w:cs="宋体"/>
                <w:color w:val="auto"/>
                <w:szCs w:val="21"/>
                <w:highlight w:val="none"/>
              </w:rPr>
            </w:pPr>
          </w:p>
        </w:tc>
        <w:tc>
          <w:tcPr>
            <w:tcW w:w="502" w:type="pct"/>
            <w:noWrap w:val="0"/>
            <w:vAlign w:val="center"/>
          </w:tcPr>
          <w:p w14:paraId="3251C2A9">
            <w:pPr>
              <w:keepNext/>
              <w:spacing w:line="360" w:lineRule="auto"/>
              <w:jc w:val="center"/>
              <w:rPr>
                <w:rFonts w:hint="eastAsia" w:ascii="宋体" w:hAnsi="宋体" w:cs="宋体"/>
                <w:color w:val="auto"/>
                <w:szCs w:val="21"/>
                <w:highlight w:val="none"/>
              </w:rPr>
            </w:pPr>
          </w:p>
        </w:tc>
        <w:tc>
          <w:tcPr>
            <w:tcW w:w="502" w:type="pct"/>
            <w:noWrap w:val="0"/>
            <w:vAlign w:val="center"/>
          </w:tcPr>
          <w:p w14:paraId="02C672B8">
            <w:pPr>
              <w:keepNext/>
              <w:spacing w:line="360" w:lineRule="auto"/>
              <w:jc w:val="center"/>
              <w:rPr>
                <w:rFonts w:hint="eastAsia" w:ascii="宋体" w:hAnsi="宋体" w:cs="宋体"/>
                <w:color w:val="auto"/>
                <w:szCs w:val="21"/>
                <w:highlight w:val="none"/>
              </w:rPr>
            </w:pPr>
          </w:p>
        </w:tc>
        <w:tc>
          <w:tcPr>
            <w:tcW w:w="1279" w:type="pct"/>
            <w:noWrap w:val="0"/>
            <w:vAlign w:val="center"/>
          </w:tcPr>
          <w:p w14:paraId="112AEA24">
            <w:pPr>
              <w:keepNext/>
              <w:spacing w:line="360" w:lineRule="auto"/>
              <w:jc w:val="center"/>
              <w:rPr>
                <w:rFonts w:hint="eastAsia" w:ascii="宋体" w:hAnsi="宋体" w:cs="宋体"/>
                <w:color w:val="auto"/>
                <w:szCs w:val="21"/>
                <w:highlight w:val="none"/>
              </w:rPr>
            </w:pPr>
          </w:p>
        </w:tc>
        <w:tc>
          <w:tcPr>
            <w:tcW w:w="1153" w:type="pct"/>
            <w:noWrap w:val="0"/>
            <w:vAlign w:val="top"/>
          </w:tcPr>
          <w:p w14:paraId="6E265D04">
            <w:pPr>
              <w:keepNext/>
              <w:spacing w:line="360" w:lineRule="auto"/>
              <w:jc w:val="center"/>
              <w:rPr>
                <w:rFonts w:hint="eastAsia" w:ascii="宋体" w:hAnsi="宋体" w:cs="宋体"/>
                <w:color w:val="auto"/>
                <w:szCs w:val="21"/>
                <w:highlight w:val="none"/>
              </w:rPr>
            </w:pPr>
          </w:p>
        </w:tc>
      </w:tr>
      <w:tr w14:paraId="789CCB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5BAC09E3">
            <w:pPr>
              <w:keepNext/>
              <w:spacing w:line="360" w:lineRule="auto"/>
              <w:jc w:val="center"/>
              <w:rPr>
                <w:rFonts w:hint="eastAsia" w:ascii="宋体" w:hAnsi="宋体" w:cs="宋体"/>
                <w:color w:val="auto"/>
                <w:szCs w:val="21"/>
                <w:highlight w:val="none"/>
              </w:rPr>
            </w:pPr>
          </w:p>
        </w:tc>
        <w:tc>
          <w:tcPr>
            <w:tcW w:w="627" w:type="pct"/>
            <w:noWrap w:val="0"/>
            <w:vAlign w:val="center"/>
          </w:tcPr>
          <w:p w14:paraId="7079AFE5">
            <w:pPr>
              <w:keepNext/>
              <w:spacing w:line="360" w:lineRule="auto"/>
              <w:jc w:val="center"/>
              <w:rPr>
                <w:rFonts w:hint="eastAsia" w:ascii="宋体" w:hAnsi="宋体" w:cs="宋体"/>
                <w:color w:val="auto"/>
                <w:szCs w:val="21"/>
                <w:highlight w:val="none"/>
              </w:rPr>
            </w:pPr>
          </w:p>
        </w:tc>
        <w:tc>
          <w:tcPr>
            <w:tcW w:w="502" w:type="pct"/>
            <w:noWrap w:val="0"/>
            <w:vAlign w:val="center"/>
          </w:tcPr>
          <w:p w14:paraId="20230F1D">
            <w:pPr>
              <w:keepNext/>
              <w:spacing w:line="360" w:lineRule="auto"/>
              <w:jc w:val="center"/>
              <w:rPr>
                <w:rFonts w:hint="eastAsia" w:ascii="宋体" w:hAnsi="宋体" w:cs="宋体"/>
                <w:color w:val="auto"/>
                <w:szCs w:val="21"/>
                <w:highlight w:val="none"/>
              </w:rPr>
            </w:pPr>
          </w:p>
        </w:tc>
        <w:tc>
          <w:tcPr>
            <w:tcW w:w="502" w:type="pct"/>
            <w:noWrap w:val="0"/>
            <w:vAlign w:val="center"/>
          </w:tcPr>
          <w:p w14:paraId="6A0BC399">
            <w:pPr>
              <w:keepNext/>
              <w:spacing w:line="360" w:lineRule="auto"/>
              <w:jc w:val="center"/>
              <w:rPr>
                <w:rFonts w:hint="eastAsia" w:ascii="宋体" w:hAnsi="宋体" w:cs="宋体"/>
                <w:color w:val="auto"/>
                <w:szCs w:val="21"/>
                <w:highlight w:val="none"/>
              </w:rPr>
            </w:pPr>
          </w:p>
        </w:tc>
        <w:tc>
          <w:tcPr>
            <w:tcW w:w="1279" w:type="pct"/>
            <w:noWrap w:val="0"/>
            <w:vAlign w:val="center"/>
          </w:tcPr>
          <w:p w14:paraId="7D7ADD90">
            <w:pPr>
              <w:keepNext/>
              <w:spacing w:line="360" w:lineRule="auto"/>
              <w:jc w:val="center"/>
              <w:rPr>
                <w:rFonts w:hint="eastAsia" w:ascii="宋体" w:hAnsi="宋体" w:cs="宋体"/>
                <w:color w:val="auto"/>
                <w:szCs w:val="21"/>
                <w:highlight w:val="none"/>
              </w:rPr>
            </w:pPr>
          </w:p>
        </w:tc>
        <w:tc>
          <w:tcPr>
            <w:tcW w:w="1153" w:type="pct"/>
            <w:noWrap w:val="0"/>
            <w:vAlign w:val="top"/>
          </w:tcPr>
          <w:p w14:paraId="2C3922DC">
            <w:pPr>
              <w:keepNext/>
              <w:spacing w:line="360" w:lineRule="auto"/>
              <w:jc w:val="center"/>
              <w:rPr>
                <w:rFonts w:hint="eastAsia" w:ascii="宋体" w:hAnsi="宋体" w:cs="宋体"/>
                <w:color w:val="auto"/>
                <w:szCs w:val="21"/>
                <w:highlight w:val="none"/>
              </w:rPr>
            </w:pPr>
          </w:p>
        </w:tc>
      </w:tr>
      <w:tr w14:paraId="34D1F7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tcBorders>
              <w:bottom w:val="single" w:color="auto" w:sz="12" w:space="0"/>
            </w:tcBorders>
            <w:noWrap w:val="0"/>
            <w:vAlign w:val="center"/>
          </w:tcPr>
          <w:p w14:paraId="1868F0C4">
            <w:pPr>
              <w:keepNext/>
              <w:spacing w:line="360" w:lineRule="auto"/>
              <w:jc w:val="center"/>
              <w:rPr>
                <w:rFonts w:hint="eastAsia" w:ascii="宋体" w:hAnsi="宋体" w:cs="宋体"/>
                <w:color w:val="auto"/>
                <w:szCs w:val="21"/>
                <w:highlight w:val="none"/>
              </w:rPr>
            </w:pPr>
          </w:p>
        </w:tc>
        <w:tc>
          <w:tcPr>
            <w:tcW w:w="627" w:type="pct"/>
            <w:tcBorders>
              <w:bottom w:val="single" w:color="auto" w:sz="12" w:space="0"/>
            </w:tcBorders>
            <w:noWrap w:val="0"/>
            <w:vAlign w:val="center"/>
          </w:tcPr>
          <w:p w14:paraId="1BA3E7DB">
            <w:pPr>
              <w:keepNext/>
              <w:spacing w:line="360" w:lineRule="auto"/>
              <w:jc w:val="center"/>
              <w:rPr>
                <w:rFonts w:hint="eastAsia" w:ascii="宋体" w:hAnsi="宋体" w:cs="宋体"/>
                <w:color w:val="auto"/>
                <w:szCs w:val="21"/>
                <w:highlight w:val="none"/>
              </w:rPr>
            </w:pPr>
          </w:p>
        </w:tc>
        <w:tc>
          <w:tcPr>
            <w:tcW w:w="502" w:type="pct"/>
            <w:tcBorders>
              <w:bottom w:val="single" w:color="auto" w:sz="12" w:space="0"/>
            </w:tcBorders>
            <w:noWrap w:val="0"/>
            <w:vAlign w:val="center"/>
          </w:tcPr>
          <w:p w14:paraId="5BE846E7">
            <w:pPr>
              <w:keepNext/>
              <w:spacing w:line="360" w:lineRule="auto"/>
              <w:jc w:val="center"/>
              <w:rPr>
                <w:rFonts w:hint="eastAsia" w:ascii="宋体" w:hAnsi="宋体" w:cs="宋体"/>
                <w:color w:val="auto"/>
                <w:szCs w:val="21"/>
                <w:highlight w:val="none"/>
              </w:rPr>
            </w:pPr>
          </w:p>
        </w:tc>
        <w:tc>
          <w:tcPr>
            <w:tcW w:w="502" w:type="pct"/>
            <w:tcBorders>
              <w:bottom w:val="single" w:color="auto" w:sz="12" w:space="0"/>
            </w:tcBorders>
            <w:noWrap w:val="0"/>
            <w:vAlign w:val="center"/>
          </w:tcPr>
          <w:p w14:paraId="407B4F4A">
            <w:pPr>
              <w:keepNext/>
              <w:spacing w:line="360" w:lineRule="auto"/>
              <w:jc w:val="center"/>
              <w:rPr>
                <w:rFonts w:hint="eastAsia" w:ascii="宋体" w:hAnsi="宋体" w:cs="宋体"/>
                <w:color w:val="auto"/>
                <w:szCs w:val="21"/>
                <w:highlight w:val="none"/>
              </w:rPr>
            </w:pPr>
          </w:p>
        </w:tc>
        <w:tc>
          <w:tcPr>
            <w:tcW w:w="1279" w:type="pct"/>
            <w:tcBorders>
              <w:bottom w:val="single" w:color="auto" w:sz="12" w:space="0"/>
            </w:tcBorders>
            <w:noWrap w:val="0"/>
            <w:vAlign w:val="center"/>
          </w:tcPr>
          <w:p w14:paraId="749F3DE3">
            <w:pPr>
              <w:keepNext/>
              <w:spacing w:line="360" w:lineRule="auto"/>
              <w:jc w:val="center"/>
              <w:rPr>
                <w:rFonts w:hint="eastAsia" w:ascii="宋体" w:hAnsi="宋体" w:cs="宋体"/>
                <w:color w:val="auto"/>
                <w:szCs w:val="21"/>
                <w:highlight w:val="none"/>
              </w:rPr>
            </w:pPr>
          </w:p>
        </w:tc>
        <w:tc>
          <w:tcPr>
            <w:tcW w:w="1153" w:type="pct"/>
            <w:tcBorders>
              <w:bottom w:val="single" w:color="auto" w:sz="12" w:space="0"/>
            </w:tcBorders>
            <w:noWrap w:val="0"/>
            <w:vAlign w:val="top"/>
          </w:tcPr>
          <w:p w14:paraId="2316333C">
            <w:pPr>
              <w:keepNext/>
              <w:spacing w:line="360" w:lineRule="auto"/>
              <w:jc w:val="center"/>
              <w:rPr>
                <w:rFonts w:hint="eastAsia" w:ascii="宋体" w:hAnsi="宋体" w:cs="宋体"/>
                <w:color w:val="auto"/>
                <w:szCs w:val="21"/>
                <w:highlight w:val="none"/>
              </w:rPr>
            </w:pPr>
          </w:p>
        </w:tc>
      </w:tr>
    </w:tbl>
    <w:p w14:paraId="54321798">
      <w:pPr>
        <w:keepNext/>
        <w:keepLines/>
        <w:spacing w:before="120" w:after="120" w:line="360" w:lineRule="auto"/>
        <w:jc w:val="left"/>
        <w:outlineLvl w:val="2"/>
        <w:rPr>
          <w:rFonts w:hint="eastAsia" w:ascii="宋体" w:hAnsi="宋体" w:cs="宋体"/>
          <w:bCs/>
          <w:color w:val="auto"/>
          <w:sz w:val="24"/>
          <w:highlight w:val="none"/>
        </w:rPr>
      </w:pPr>
      <w:r>
        <w:rPr>
          <w:rFonts w:hint="eastAsia" w:ascii="宋体" w:hAnsi="宋体" w:cs="宋体"/>
          <w:bCs/>
          <w:color w:val="auto"/>
          <w:sz w:val="24"/>
          <w:highlight w:val="none"/>
        </w:rPr>
        <w:br w:type="page"/>
      </w:r>
      <w:bookmarkStart w:id="1311" w:name="_Toc95223493"/>
      <w:r>
        <w:rPr>
          <w:rFonts w:hint="eastAsia" w:ascii="宋体" w:hAnsi="宋体" w:cs="宋体"/>
          <w:bCs/>
          <w:color w:val="auto"/>
          <w:sz w:val="24"/>
          <w:highlight w:val="none"/>
        </w:rPr>
        <w:t>附</w:t>
      </w:r>
      <w:bookmarkStart w:id="1312" w:name="_Toc296347228"/>
      <w:bookmarkStart w:id="1313" w:name="_Toc296503229"/>
      <w:bookmarkStart w:id="1314" w:name="_Toc296891269"/>
      <w:bookmarkStart w:id="1315" w:name="_Toc296944568"/>
      <w:bookmarkStart w:id="1316" w:name="_Toc296891057"/>
      <w:bookmarkStart w:id="1317" w:name="_Toc296346730"/>
      <w:r>
        <w:rPr>
          <w:rFonts w:hint="eastAsia" w:ascii="宋体" w:hAnsi="宋体" w:cs="宋体"/>
          <w:bCs/>
          <w:color w:val="auto"/>
          <w:sz w:val="24"/>
          <w:highlight w:val="none"/>
        </w:rPr>
        <w:t>件7：分包人主要施工管理人员表</w:t>
      </w:r>
      <w:bookmarkEnd w:id="1311"/>
    </w:p>
    <w:bookmarkEnd w:id="1312"/>
    <w:bookmarkEnd w:id="1313"/>
    <w:bookmarkEnd w:id="1314"/>
    <w:bookmarkEnd w:id="1315"/>
    <w:bookmarkEnd w:id="1316"/>
    <w:bookmarkEnd w:id="1317"/>
    <w:p w14:paraId="3168F88E">
      <w:pPr>
        <w:spacing w:before="120" w:beforeLines="50" w:after="120" w:afterLines="50" w:line="360" w:lineRule="auto"/>
        <w:jc w:val="center"/>
        <w:rPr>
          <w:rFonts w:hint="eastAsia" w:ascii="宋体" w:hAnsi="宋体" w:cs="宋体"/>
          <w:b/>
          <w:color w:val="auto"/>
          <w:szCs w:val="21"/>
          <w:highlight w:val="none"/>
        </w:rPr>
      </w:pPr>
      <w:bookmarkStart w:id="1318" w:name="_Toc95223494"/>
      <w:bookmarkStart w:id="1319" w:name="_Toc22101"/>
      <w:bookmarkStart w:id="1320" w:name="_Toc179"/>
      <w:r>
        <w:rPr>
          <w:rFonts w:hint="eastAsia" w:ascii="宋体" w:hAnsi="宋体" w:cs="宋体"/>
          <w:b/>
          <w:color w:val="auto"/>
          <w:szCs w:val="21"/>
          <w:highlight w:val="none"/>
        </w:rPr>
        <w:t>分包人主要施工管理人员表</w:t>
      </w:r>
      <w:bookmarkEnd w:id="1318"/>
      <w:bookmarkEnd w:id="1319"/>
      <w:bookmarkEnd w:id="1320"/>
    </w:p>
    <w:tbl>
      <w:tblPr>
        <w:tblStyle w:val="21"/>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525"/>
        <w:gridCol w:w="1156"/>
        <w:gridCol w:w="925"/>
        <w:gridCol w:w="674"/>
        <w:gridCol w:w="3119"/>
        <w:gridCol w:w="1616"/>
      </w:tblGrid>
      <w:tr w14:paraId="7A04A6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single" w:color="auto" w:sz="12" w:space="0"/>
              <w:bottom w:val="double" w:color="auto" w:sz="6" w:space="0"/>
            </w:tcBorders>
            <w:noWrap w:val="0"/>
            <w:vAlign w:val="center"/>
          </w:tcPr>
          <w:p w14:paraId="30E9FE87">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名    称</w:t>
            </w:r>
          </w:p>
        </w:tc>
        <w:tc>
          <w:tcPr>
            <w:tcW w:w="641" w:type="pct"/>
            <w:tcBorders>
              <w:top w:val="single" w:color="auto" w:sz="12" w:space="0"/>
              <w:bottom w:val="double" w:color="auto" w:sz="6" w:space="0"/>
            </w:tcBorders>
            <w:noWrap w:val="0"/>
            <w:vAlign w:val="center"/>
          </w:tcPr>
          <w:p w14:paraId="048E24F1">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513" w:type="pct"/>
            <w:tcBorders>
              <w:top w:val="single" w:color="auto" w:sz="12" w:space="0"/>
              <w:bottom w:val="double" w:color="auto" w:sz="6" w:space="0"/>
            </w:tcBorders>
            <w:noWrap w:val="0"/>
            <w:vAlign w:val="center"/>
          </w:tcPr>
          <w:p w14:paraId="2E9238F6">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职务</w:t>
            </w:r>
          </w:p>
        </w:tc>
        <w:tc>
          <w:tcPr>
            <w:tcW w:w="374" w:type="pct"/>
            <w:tcBorders>
              <w:top w:val="single" w:color="auto" w:sz="12" w:space="0"/>
              <w:bottom w:val="double" w:color="auto" w:sz="6" w:space="0"/>
            </w:tcBorders>
            <w:noWrap w:val="0"/>
            <w:vAlign w:val="center"/>
          </w:tcPr>
          <w:p w14:paraId="6EC2C064">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职称</w:t>
            </w:r>
          </w:p>
        </w:tc>
        <w:tc>
          <w:tcPr>
            <w:tcW w:w="1730" w:type="pct"/>
            <w:tcBorders>
              <w:top w:val="single" w:color="auto" w:sz="12" w:space="0"/>
              <w:bottom w:val="double" w:color="auto" w:sz="6" w:space="0"/>
            </w:tcBorders>
            <w:noWrap w:val="0"/>
            <w:vAlign w:val="center"/>
          </w:tcPr>
          <w:p w14:paraId="6C2F729D">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主要资历、经验及承担过的项目</w:t>
            </w:r>
          </w:p>
        </w:tc>
        <w:tc>
          <w:tcPr>
            <w:tcW w:w="896" w:type="pct"/>
            <w:tcBorders>
              <w:top w:val="single" w:color="auto" w:sz="12" w:space="0"/>
              <w:bottom w:val="double" w:color="auto" w:sz="6" w:space="0"/>
            </w:tcBorders>
            <w:noWrap w:val="0"/>
            <w:vAlign w:val="center"/>
          </w:tcPr>
          <w:p w14:paraId="3402FFD0">
            <w:pPr>
              <w:keepNext/>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w:t>
            </w:r>
          </w:p>
        </w:tc>
      </w:tr>
      <w:tr w14:paraId="0558C2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104" w:type="pct"/>
            <w:gridSpan w:val="5"/>
            <w:tcBorders>
              <w:top w:val="double" w:color="auto" w:sz="6" w:space="0"/>
            </w:tcBorders>
            <w:noWrap w:val="0"/>
            <w:vAlign w:val="center"/>
          </w:tcPr>
          <w:p w14:paraId="60D146E4">
            <w:pPr>
              <w:keepNext/>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一、总部人员</w:t>
            </w:r>
          </w:p>
        </w:tc>
        <w:tc>
          <w:tcPr>
            <w:tcW w:w="896" w:type="pct"/>
            <w:tcBorders>
              <w:top w:val="double" w:color="auto" w:sz="6" w:space="0"/>
            </w:tcBorders>
            <w:noWrap w:val="0"/>
            <w:vAlign w:val="top"/>
          </w:tcPr>
          <w:p w14:paraId="3B82B40D">
            <w:pPr>
              <w:keepNext/>
              <w:spacing w:line="360" w:lineRule="auto"/>
              <w:rPr>
                <w:rFonts w:hint="eastAsia" w:ascii="宋体" w:hAnsi="宋体" w:cs="宋体"/>
                <w:color w:val="auto"/>
                <w:szCs w:val="21"/>
                <w:highlight w:val="none"/>
              </w:rPr>
            </w:pPr>
          </w:p>
        </w:tc>
      </w:tr>
      <w:tr w14:paraId="02DA1B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nil"/>
              <w:bottom w:val="nil"/>
            </w:tcBorders>
            <w:noWrap w:val="0"/>
            <w:vAlign w:val="center"/>
          </w:tcPr>
          <w:p w14:paraId="100E779A">
            <w:pPr>
              <w:keepNext/>
              <w:spacing w:line="360" w:lineRule="auto"/>
              <w:rPr>
                <w:rFonts w:hint="eastAsia" w:ascii="宋体" w:hAnsi="宋体" w:cs="宋体"/>
                <w:color w:val="auto"/>
                <w:szCs w:val="21"/>
                <w:highlight w:val="none"/>
              </w:rPr>
            </w:pPr>
            <w:r>
              <w:rPr>
                <w:rFonts w:hint="eastAsia" w:ascii="宋体" w:hAnsi="宋体" w:cs="宋体"/>
                <w:color w:val="auto"/>
                <w:szCs w:val="21"/>
                <w:highlight w:val="none"/>
              </w:rPr>
              <w:t>项目主管</w:t>
            </w:r>
          </w:p>
        </w:tc>
        <w:tc>
          <w:tcPr>
            <w:tcW w:w="641" w:type="pct"/>
            <w:tcBorders>
              <w:top w:val="nil"/>
            </w:tcBorders>
            <w:noWrap w:val="0"/>
            <w:vAlign w:val="center"/>
          </w:tcPr>
          <w:p w14:paraId="6FE28F13">
            <w:pPr>
              <w:keepNext/>
              <w:spacing w:line="360" w:lineRule="auto"/>
              <w:rPr>
                <w:rFonts w:hint="eastAsia" w:ascii="宋体" w:hAnsi="宋体" w:cs="宋体"/>
                <w:color w:val="auto"/>
                <w:szCs w:val="21"/>
                <w:highlight w:val="none"/>
              </w:rPr>
            </w:pPr>
          </w:p>
        </w:tc>
        <w:tc>
          <w:tcPr>
            <w:tcW w:w="513" w:type="pct"/>
            <w:tcBorders>
              <w:top w:val="nil"/>
            </w:tcBorders>
            <w:noWrap w:val="0"/>
            <w:vAlign w:val="center"/>
          </w:tcPr>
          <w:p w14:paraId="73BF353A">
            <w:pPr>
              <w:keepNext/>
              <w:spacing w:line="360" w:lineRule="auto"/>
              <w:rPr>
                <w:rFonts w:hint="eastAsia" w:ascii="宋体" w:hAnsi="宋体" w:cs="宋体"/>
                <w:color w:val="auto"/>
                <w:szCs w:val="21"/>
                <w:highlight w:val="none"/>
              </w:rPr>
            </w:pPr>
          </w:p>
        </w:tc>
        <w:tc>
          <w:tcPr>
            <w:tcW w:w="374" w:type="pct"/>
            <w:tcBorders>
              <w:top w:val="nil"/>
            </w:tcBorders>
            <w:noWrap w:val="0"/>
            <w:vAlign w:val="center"/>
          </w:tcPr>
          <w:p w14:paraId="2D357BE0">
            <w:pPr>
              <w:keepNext/>
              <w:spacing w:line="360" w:lineRule="auto"/>
              <w:rPr>
                <w:rFonts w:hint="eastAsia" w:ascii="宋体" w:hAnsi="宋体" w:cs="宋体"/>
                <w:color w:val="auto"/>
                <w:szCs w:val="21"/>
                <w:highlight w:val="none"/>
              </w:rPr>
            </w:pPr>
          </w:p>
        </w:tc>
        <w:tc>
          <w:tcPr>
            <w:tcW w:w="1730" w:type="pct"/>
            <w:tcBorders>
              <w:top w:val="nil"/>
            </w:tcBorders>
            <w:noWrap w:val="0"/>
            <w:vAlign w:val="center"/>
          </w:tcPr>
          <w:p w14:paraId="63103BA5">
            <w:pPr>
              <w:keepNext/>
              <w:spacing w:line="360" w:lineRule="auto"/>
              <w:rPr>
                <w:rFonts w:hint="eastAsia" w:ascii="宋体" w:hAnsi="宋体" w:cs="宋体"/>
                <w:color w:val="auto"/>
                <w:szCs w:val="21"/>
                <w:highlight w:val="none"/>
              </w:rPr>
            </w:pPr>
          </w:p>
        </w:tc>
        <w:tc>
          <w:tcPr>
            <w:tcW w:w="896" w:type="pct"/>
            <w:tcBorders>
              <w:top w:val="nil"/>
            </w:tcBorders>
            <w:noWrap w:val="0"/>
            <w:vAlign w:val="top"/>
          </w:tcPr>
          <w:p w14:paraId="11993FA7">
            <w:pPr>
              <w:keepNext/>
              <w:spacing w:line="360" w:lineRule="auto"/>
              <w:rPr>
                <w:rFonts w:hint="eastAsia" w:ascii="宋体" w:hAnsi="宋体" w:cs="宋体"/>
                <w:color w:val="auto"/>
                <w:szCs w:val="21"/>
                <w:highlight w:val="none"/>
              </w:rPr>
            </w:pPr>
          </w:p>
        </w:tc>
      </w:tr>
      <w:tr w14:paraId="0A74FA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bottom w:val="nil"/>
            </w:tcBorders>
            <w:noWrap w:val="0"/>
            <w:vAlign w:val="center"/>
          </w:tcPr>
          <w:p w14:paraId="760A981E">
            <w:pPr>
              <w:keepNext/>
              <w:spacing w:line="360" w:lineRule="auto"/>
              <w:rPr>
                <w:rFonts w:hint="eastAsia" w:ascii="宋体" w:hAnsi="宋体" w:cs="宋体"/>
                <w:color w:val="auto"/>
                <w:szCs w:val="21"/>
                <w:highlight w:val="none"/>
              </w:rPr>
            </w:pPr>
          </w:p>
        </w:tc>
        <w:tc>
          <w:tcPr>
            <w:tcW w:w="641" w:type="pct"/>
            <w:noWrap w:val="0"/>
            <w:vAlign w:val="center"/>
          </w:tcPr>
          <w:p w14:paraId="2A4AA9CE">
            <w:pPr>
              <w:keepNext/>
              <w:spacing w:line="360" w:lineRule="auto"/>
              <w:rPr>
                <w:rFonts w:hint="eastAsia" w:ascii="宋体" w:hAnsi="宋体" w:cs="宋体"/>
                <w:color w:val="auto"/>
                <w:szCs w:val="21"/>
                <w:highlight w:val="none"/>
              </w:rPr>
            </w:pPr>
          </w:p>
        </w:tc>
        <w:tc>
          <w:tcPr>
            <w:tcW w:w="513" w:type="pct"/>
            <w:noWrap w:val="0"/>
            <w:vAlign w:val="center"/>
          </w:tcPr>
          <w:p w14:paraId="42613A3B">
            <w:pPr>
              <w:keepNext/>
              <w:spacing w:line="360" w:lineRule="auto"/>
              <w:rPr>
                <w:rFonts w:hint="eastAsia" w:ascii="宋体" w:hAnsi="宋体" w:cs="宋体"/>
                <w:color w:val="auto"/>
                <w:szCs w:val="21"/>
                <w:highlight w:val="none"/>
              </w:rPr>
            </w:pPr>
          </w:p>
        </w:tc>
        <w:tc>
          <w:tcPr>
            <w:tcW w:w="374" w:type="pct"/>
            <w:noWrap w:val="0"/>
            <w:vAlign w:val="center"/>
          </w:tcPr>
          <w:p w14:paraId="5F064921">
            <w:pPr>
              <w:keepNext/>
              <w:spacing w:line="360" w:lineRule="auto"/>
              <w:rPr>
                <w:rFonts w:hint="eastAsia" w:ascii="宋体" w:hAnsi="宋体" w:cs="宋体"/>
                <w:color w:val="auto"/>
                <w:szCs w:val="21"/>
                <w:highlight w:val="none"/>
              </w:rPr>
            </w:pPr>
          </w:p>
        </w:tc>
        <w:tc>
          <w:tcPr>
            <w:tcW w:w="1730" w:type="pct"/>
            <w:noWrap w:val="0"/>
            <w:vAlign w:val="center"/>
          </w:tcPr>
          <w:p w14:paraId="6B43333B">
            <w:pPr>
              <w:keepNext/>
              <w:spacing w:line="360" w:lineRule="auto"/>
              <w:rPr>
                <w:rFonts w:hint="eastAsia" w:ascii="宋体" w:hAnsi="宋体" w:cs="宋体"/>
                <w:color w:val="auto"/>
                <w:szCs w:val="21"/>
                <w:highlight w:val="none"/>
              </w:rPr>
            </w:pPr>
          </w:p>
        </w:tc>
        <w:tc>
          <w:tcPr>
            <w:tcW w:w="896" w:type="pct"/>
            <w:noWrap w:val="0"/>
            <w:vAlign w:val="top"/>
          </w:tcPr>
          <w:p w14:paraId="6EA5B731">
            <w:pPr>
              <w:keepNext/>
              <w:spacing w:line="360" w:lineRule="auto"/>
              <w:rPr>
                <w:rFonts w:hint="eastAsia" w:ascii="宋体" w:hAnsi="宋体" w:cs="宋体"/>
                <w:color w:val="auto"/>
                <w:szCs w:val="21"/>
                <w:highlight w:val="none"/>
              </w:rPr>
            </w:pPr>
          </w:p>
        </w:tc>
      </w:tr>
      <w:tr w14:paraId="6835F1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nil"/>
              <w:bottom w:val="nil"/>
            </w:tcBorders>
            <w:noWrap w:val="0"/>
            <w:vAlign w:val="center"/>
          </w:tcPr>
          <w:p w14:paraId="6D18B003">
            <w:pPr>
              <w:keepNext/>
              <w:spacing w:line="360" w:lineRule="auto"/>
              <w:rPr>
                <w:rFonts w:hint="eastAsia" w:ascii="宋体" w:hAnsi="宋体" w:cs="宋体"/>
                <w:color w:val="auto"/>
                <w:szCs w:val="21"/>
                <w:highlight w:val="none"/>
              </w:rPr>
            </w:pPr>
            <w:r>
              <w:rPr>
                <w:rFonts w:hint="eastAsia" w:ascii="宋体" w:hAnsi="宋体" w:cs="宋体"/>
                <w:color w:val="auto"/>
                <w:szCs w:val="21"/>
                <w:highlight w:val="none"/>
              </w:rPr>
              <w:t>其他人员</w:t>
            </w:r>
          </w:p>
        </w:tc>
        <w:tc>
          <w:tcPr>
            <w:tcW w:w="641" w:type="pct"/>
            <w:noWrap w:val="0"/>
            <w:vAlign w:val="center"/>
          </w:tcPr>
          <w:p w14:paraId="1152BAF0">
            <w:pPr>
              <w:keepNext/>
              <w:spacing w:line="360" w:lineRule="auto"/>
              <w:rPr>
                <w:rFonts w:hint="eastAsia" w:ascii="宋体" w:hAnsi="宋体" w:cs="宋体"/>
                <w:color w:val="auto"/>
                <w:szCs w:val="21"/>
                <w:highlight w:val="none"/>
              </w:rPr>
            </w:pPr>
          </w:p>
        </w:tc>
        <w:tc>
          <w:tcPr>
            <w:tcW w:w="513" w:type="pct"/>
            <w:noWrap w:val="0"/>
            <w:vAlign w:val="center"/>
          </w:tcPr>
          <w:p w14:paraId="34DF8BAB">
            <w:pPr>
              <w:keepNext/>
              <w:spacing w:line="360" w:lineRule="auto"/>
              <w:rPr>
                <w:rFonts w:hint="eastAsia" w:ascii="宋体" w:hAnsi="宋体" w:cs="宋体"/>
                <w:color w:val="auto"/>
                <w:szCs w:val="21"/>
                <w:highlight w:val="none"/>
              </w:rPr>
            </w:pPr>
          </w:p>
        </w:tc>
        <w:tc>
          <w:tcPr>
            <w:tcW w:w="374" w:type="pct"/>
            <w:noWrap w:val="0"/>
            <w:vAlign w:val="center"/>
          </w:tcPr>
          <w:p w14:paraId="51509158">
            <w:pPr>
              <w:keepNext/>
              <w:spacing w:line="360" w:lineRule="auto"/>
              <w:rPr>
                <w:rFonts w:hint="eastAsia" w:ascii="宋体" w:hAnsi="宋体" w:cs="宋体"/>
                <w:color w:val="auto"/>
                <w:szCs w:val="21"/>
                <w:highlight w:val="none"/>
              </w:rPr>
            </w:pPr>
          </w:p>
        </w:tc>
        <w:tc>
          <w:tcPr>
            <w:tcW w:w="1730" w:type="pct"/>
            <w:noWrap w:val="0"/>
            <w:vAlign w:val="center"/>
          </w:tcPr>
          <w:p w14:paraId="3F729724">
            <w:pPr>
              <w:keepNext/>
              <w:spacing w:line="360" w:lineRule="auto"/>
              <w:rPr>
                <w:rFonts w:hint="eastAsia" w:ascii="宋体" w:hAnsi="宋体" w:cs="宋体"/>
                <w:color w:val="auto"/>
                <w:szCs w:val="21"/>
                <w:highlight w:val="none"/>
              </w:rPr>
            </w:pPr>
          </w:p>
        </w:tc>
        <w:tc>
          <w:tcPr>
            <w:tcW w:w="896" w:type="pct"/>
            <w:noWrap w:val="0"/>
            <w:vAlign w:val="top"/>
          </w:tcPr>
          <w:p w14:paraId="473FBD37">
            <w:pPr>
              <w:keepNext/>
              <w:spacing w:line="360" w:lineRule="auto"/>
              <w:rPr>
                <w:rFonts w:hint="eastAsia" w:ascii="宋体" w:hAnsi="宋体" w:cs="宋体"/>
                <w:color w:val="auto"/>
                <w:szCs w:val="21"/>
                <w:highlight w:val="none"/>
              </w:rPr>
            </w:pPr>
          </w:p>
        </w:tc>
      </w:tr>
      <w:tr w14:paraId="620504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nil"/>
              <w:bottom w:val="nil"/>
            </w:tcBorders>
            <w:noWrap w:val="0"/>
            <w:vAlign w:val="center"/>
          </w:tcPr>
          <w:p w14:paraId="6B315B25">
            <w:pPr>
              <w:keepNext/>
              <w:spacing w:line="360" w:lineRule="auto"/>
              <w:rPr>
                <w:rFonts w:hint="eastAsia" w:ascii="宋体" w:hAnsi="宋体" w:cs="宋体"/>
                <w:color w:val="auto"/>
                <w:szCs w:val="21"/>
                <w:highlight w:val="none"/>
              </w:rPr>
            </w:pPr>
          </w:p>
        </w:tc>
        <w:tc>
          <w:tcPr>
            <w:tcW w:w="641" w:type="pct"/>
            <w:noWrap w:val="0"/>
            <w:vAlign w:val="center"/>
          </w:tcPr>
          <w:p w14:paraId="68626705">
            <w:pPr>
              <w:keepNext/>
              <w:spacing w:line="360" w:lineRule="auto"/>
              <w:rPr>
                <w:rFonts w:hint="eastAsia" w:ascii="宋体" w:hAnsi="宋体" w:cs="宋体"/>
                <w:color w:val="auto"/>
                <w:szCs w:val="21"/>
                <w:highlight w:val="none"/>
              </w:rPr>
            </w:pPr>
          </w:p>
        </w:tc>
        <w:tc>
          <w:tcPr>
            <w:tcW w:w="513" w:type="pct"/>
            <w:noWrap w:val="0"/>
            <w:vAlign w:val="center"/>
          </w:tcPr>
          <w:p w14:paraId="0DFFF14B">
            <w:pPr>
              <w:keepNext/>
              <w:spacing w:line="360" w:lineRule="auto"/>
              <w:rPr>
                <w:rFonts w:hint="eastAsia" w:ascii="宋体" w:hAnsi="宋体" w:cs="宋体"/>
                <w:color w:val="auto"/>
                <w:szCs w:val="21"/>
                <w:highlight w:val="none"/>
              </w:rPr>
            </w:pPr>
          </w:p>
        </w:tc>
        <w:tc>
          <w:tcPr>
            <w:tcW w:w="374" w:type="pct"/>
            <w:noWrap w:val="0"/>
            <w:vAlign w:val="center"/>
          </w:tcPr>
          <w:p w14:paraId="6ABB3047">
            <w:pPr>
              <w:keepNext/>
              <w:spacing w:line="360" w:lineRule="auto"/>
              <w:rPr>
                <w:rFonts w:hint="eastAsia" w:ascii="宋体" w:hAnsi="宋体" w:cs="宋体"/>
                <w:color w:val="auto"/>
                <w:szCs w:val="21"/>
                <w:highlight w:val="none"/>
              </w:rPr>
            </w:pPr>
          </w:p>
        </w:tc>
        <w:tc>
          <w:tcPr>
            <w:tcW w:w="1730" w:type="pct"/>
            <w:noWrap w:val="0"/>
            <w:vAlign w:val="center"/>
          </w:tcPr>
          <w:p w14:paraId="3A2F3C38">
            <w:pPr>
              <w:keepNext/>
              <w:spacing w:line="360" w:lineRule="auto"/>
              <w:rPr>
                <w:rFonts w:hint="eastAsia" w:ascii="宋体" w:hAnsi="宋体" w:cs="宋体"/>
                <w:color w:val="auto"/>
                <w:szCs w:val="21"/>
                <w:highlight w:val="none"/>
              </w:rPr>
            </w:pPr>
          </w:p>
        </w:tc>
        <w:tc>
          <w:tcPr>
            <w:tcW w:w="896" w:type="pct"/>
            <w:noWrap w:val="0"/>
            <w:vAlign w:val="top"/>
          </w:tcPr>
          <w:p w14:paraId="0F6CECF1">
            <w:pPr>
              <w:keepNext/>
              <w:spacing w:line="360" w:lineRule="auto"/>
              <w:rPr>
                <w:rFonts w:hint="eastAsia" w:ascii="宋体" w:hAnsi="宋体" w:cs="宋体"/>
                <w:color w:val="auto"/>
                <w:szCs w:val="21"/>
                <w:highlight w:val="none"/>
              </w:rPr>
            </w:pPr>
          </w:p>
        </w:tc>
      </w:tr>
      <w:tr w14:paraId="0943E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104" w:type="pct"/>
            <w:gridSpan w:val="5"/>
            <w:noWrap w:val="0"/>
            <w:vAlign w:val="center"/>
          </w:tcPr>
          <w:p w14:paraId="7F8A89CF">
            <w:pPr>
              <w:keepNext/>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二、现场人员</w:t>
            </w:r>
          </w:p>
        </w:tc>
        <w:tc>
          <w:tcPr>
            <w:tcW w:w="896" w:type="pct"/>
            <w:noWrap w:val="0"/>
            <w:vAlign w:val="top"/>
          </w:tcPr>
          <w:p w14:paraId="3604BDB9">
            <w:pPr>
              <w:keepNext/>
              <w:spacing w:line="360" w:lineRule="auto"/>
              <w:rPr>
                <w:rFonts w:hint="eastAsia" w:ascii="宋体" w:hAnsi="宋体" w:cs="宋体"/>
                <w:color w:val="auto"/>
                <w:szCs w:val="21"/>
                <w:highlight w:val="none"/>
              </w:rPr>
            </w:pPr>
          </w:p>
        </w:tc>
      </w:tr>
      <w:tr w14:paraId="26EB4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1CA8FC50">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项目经理</w:t>
            </w:r>
          </w:p>
        </w:tc>
        <w:tc>
          <w:tcPr>
            <w:tcW w:w="641" w:type="pct"/>
            <w:noWrap w:val="0"/>
            <w:vAlign w:val="center"/>
          </w:tcPr>
          <w:p w14:paraId="39E64046">
            <w:pPr>
              <w:keepNext/>
              <w:spacing w:line="360" w:lineRule="auto"/>
              <w:rPr>
                <w:rFonts w:hint="eastAsia" w:ascii="宋体" w:hAnsi="宋体" w:cs="宋体"/>
                <w:color w:val="auto"/>
                <w:szCs w:val="21"/>
                <w:highlight w:val="none"/>
              </w:rPr>
            </w:pPr>
          </w:p>
        </w:tc>
        <w:tc>
          <w:tcPr>
            <w:tcW w:w="513" w:type="pct"/>
            <w:noWrap w:val="0"/>
            <w:vAlign w:val="center"/>
          </w:tcPr>
          <w:p w14:paraId="4965226A">
            <w:pPr>
              <w:keepNext/>
              <w:spacing w:line="360" w:lineRule="auto"/>
              <w:rPr>
                <w:rFonts w:hint="eastAsia" w:ascii="宋体" w:hAnsi="宋体" w:cs="宋体"/>
                <w:color w:val="auto"/>
                <w:szCs w:val="21"/>
                <w:highlight w:val="none"/>
              </w:rPr>
            </w:pPr>
          </w:p>
        </w:tc>
        <w:tc>
          <w:tcPr>
            <w:tcW w:w="374" w:type="pct"/>
            <w:noWrap w:val="0"/>
            <w:vAlign w:val="center"/>
          </w:tcPr>
          <w:p w14:paraId="55902D1F">
            <w:pPr>
              <w:keepNext/>
              <w:spacing w:line="360" w:lineRule="auto"/>
              <w:rPr>
                <w:rFonts w:hint="eastAsia" w:ascii="宋体" w:hAnsi="宋体" w:cs="宋体"/>
                <w:color w:val="auto"/>
                <w:szCs w:val="21"/>
                <w:highlight w:val="none"/>
              </w:rPr>
            </w:pPr>
          </w:p>
        </w:tc>
        <w:tc>
          <w:tcPr>
            <w:tcW w:w="1730" w:type="pct"/>
            <w:noWrap w:val="0"/>
            <w:vAlign w:val="center"/>
          </w:tcPr>
          <w:p w14:paraId="3BD78EAE">
            <w:pPr>
              <w:keepNext/>
              <w:spacing w:line="360" w:lineRule="auto"/>
              <w:rPr>
                <w:rFonts w:hint="eastAsia" w:ascii="宋体" w:hAnsi="宋体" w:cs="宋体"/>
                <w:color w:val="auto"/>
                <w:szCs w:val="21"/>
                <w:highlight w:val="none"/>
              </w:rPr>
            </w:pPr>
          </w:p>
        </w:tc>
        <w:tc>
          <w:tcPr>
            <w:tcW w:w="896" w:type="pct"/>
            <w:noWrap w:val="0"/>
            <w:vAlign w:val="top"/>
          </w:tcPr>
          <w:p w14:paraId="1EA5A667">
            <w:pPr>
              <w:keepNext/>
              <w:spacing w:line="360" w:lineRule="auto"/>
              <w:rPr>
                <w:rFonts w:hint="eastAsia" w:ascii="宋体" w:hAnsi="宋体" w:cs="宋体"/>
                <w:color w:val="auto"/>
                <w:szCs w:val="21"/>
                <w:highlight w:val="none"/>
              </w:rPr>
            </w:pPr>
          </w:p>
        </w:tc>
      </w:tr>
      <w:tr w14:paraId="0C81D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560E08D5">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项目副经理</w:t>
            </w:r>
          </w:p>
        </w:tc>
        <w:tc>
          <w:tcPr>
            <w:tcW w:w="641" w:type="pct"/>
            <w:noWrap w:val="0"/>
            <w:vAlign w:val="center"/>
          </w:tcPr>
          <w:p w14:paraId="5382FCFD">
            <w:pPr>
              <w:keepNext/>
              <w:spacing w:line="360" w:lineRule="auto"/>
              <w:rPr>
                <w:rFonts w:hint="eastAsia" w:ascii="宋体" w:hAnsi="宋体" w:cs="宋体"/>
                <w:color w:val="auto"/>
                <w:szCs w:val="21"/>
                <w:highlight w:val="none"/>
              </w:rPr>
            </w:pPr>
          </w:p>
        </w:tc>
        <w:tc>
          <w:tcPr>
            <w:tcW w:w="513" w:type="pct"/>
            <w:noWrap w:val="0"/>
            <w:vAlign w:val="center"/>
          </w:tcPr>
          <w:p w14:paraId="0E5DF9D9">
            <w:pPr>
              <w:keepNext/>
              <w:spacing w:line="360" w:lineRule="auto"/>
              <w:rPr>
                <w:rFonts w:hint="eastAsia" w:ascii="宋体" w:hAnsi="宋体" w:cs="宋体"/>
                <w:color w:val="auto"/>
                <w:szCs w:val="21"/>
                <w:highlight w:val="none"/>
              </w:rPr>
            </w:pPr>
          </w:p>
        </w:tc>
        <w:tc>
          <w:tcPr>
            <w:tcW w:w="374" w:type="pct"/>
            <w:noWrap w:val="0"/>
            <w:vAlign w:val="center"/>
          </w:tcPr>
          <w:p w14:paraId="52190EEF">
            <w:pPr>
              <w:keepNext/>
              <w:spacing w:line="360" w:lineRule="auto"/>
              <w:rPr>
                <w:rFonts w:hint="eastAsia" w:ascii="宋体" w:hAnsi="宋体" w:cs="宋体"/>
                <w:color w:val="auto"/>
                <w:szCs w:val="21"/>
                <w:highlight w:val="none"/>
              </w:rPr>
            </w:pPr>
          </w:p>
        </w:tc>
        <w:tc>
          <w:tcPr>
            <w:tcW w:w="1730" w:type="pct"/>
            <w:noWrap w:val="0"/>
            <w:vAlign w:val="center"/>
          </w:tcPr>
          <w:p w14:paraId="1678366F">
            <w:pPr>
              <w:keepNext/>
              <w:spacing w:line="360" w:lineRule="auto"/>
              <w:rPr>
                <w:rFonts w:hint="eastAsia" w:ascii="宋体" w:hAnsi="宋体" w:cs="宋体"/>
                <w:color w:val="auto"/>
                <w:szCs w:val="21"/>
                <w:highlight w:val="none"/>
              </w:rPr>
            </w:pPr>
          </w:p>
        </w:tc>
        <w:tc>
          <w:tcPr>
            <w:tcW w:w="896" w:type="pct"/>
            <w:noWrap w:val="0"/>
            <w:vAlign w:val="top"/>
          </w:tcPr>
          <w:p w14:paraId="6DB364EB">
            <w:pPr>
              <w:keepNext/>
              <w:spacing w:line="360" w:lineRule="auto"/>
              <w:rPr>
                <w:rFonts w:hint="eastAsia" w:ascii="宋体" w:hAnsi="宋体" w:cs="宋体"/>
                <w:color w:val="auto"/>
                <w:szCs w:val="21"/>
                <w:highlight w:val="none"/>
              </w:rPr>
            </w:pPr>
          </w:p>
        </w:tc>
      </w:tr>
      <w:tr w14:paraId="424CC2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0EFD60D3">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项目技术负责人</w:t>
            </w:r>
          </w:p>
        </w:tc>
        <w:tc>
          <w:tcPr>
            <w:tcW w:w="641" w:type="pct"/>
            <w:noWrap w:val="0"/>
            <w:vAlign w:val="center"/>
          </w:tcPr>
          <w:p w14:paraId="5FB87807">
            <w:pPr>
              <w:keepNext/>
              <w:spacing w:line="360" w:lineRule="auto"/>
              <w:rPr>
                <w:rFonts w:hint="eastAsia" w:ascii="宋体" w:hAnsi="宋体" w:cs="宋体"/>
                <w:color w:val="auto"/>
                <w:szCs w:val="21"/>
                <w:highlight w:val="none"/>
              </w:rPr>
            </w:pPr>
          </w:p>
        </w:tc>
        <w:tc>
          <w:tcPr>
            <w:tcW w:w="513" w:type="pct"/>
            <w:noWrap w:val="0"/>
            <w:vAlign w:val="center"/>
          </w:tcPr>
          <w:p w14:paraId="5A2AB131">
            <w:pPr>
              <w:keepNext/>
              <w:spacing w:line="360" w:lineRule="auto"/>
              <w:rPr>
                <w:rFonts w:hint="eastAsia" w:ascii="宋体" w:hAnsi="宋体" w:cs="宋体"/>
                <w:color w:val="auto"/>
                <w:szCs w:val="21"/>
                <w:highlight w:val="none"/>
              </w:rPr>
            </w:pPr>
          </w:p>
        </w:tc>
        <w:tc>
          <w:tcPr>
            <w:tcW w:w="374" w:type="pct"/>
            <w:noWrap w:val="0"/>
            <w:vAlign w:val="center"/>
          </w:tcPr>
          <w:p w14:paraId="6E3BC0EF">
            <w:pPr>
              <w:keepNext/>
              <w:spacing w:line="360" w:lineRule="auto"/>
              <w:rPr>
                <w:rFonts w:hint="eastAsia" w:ascii="宋体" w:hAnsi="宋体" w:cs="宋体"/>
                <w:color w:val="auto"/>
                <w:szCs w:val="21"/>
                <w:highlight w:val="none"/>
              </w:rPr>
            </w:pPr>
          </w:p>
        </w:tc>
        <w:tc>
          <w:tcPr>
            <w:tcW w:w="1730" w:type="pct"/>
            <w:noWrap w:val="0"/>
            <w:vAlign w:val="center"/>
          </w:tcPr>
          <w:p w14:paraId="3965ED9E">
            <w:pPr>
              <w:keepNext/>
              <w:spacing w:line="360" w:lineRule="auto"/>
              <w:rPr>
                <w:rFonts w:hint="eastAsia" w:ascii="宋体" w:hAnsi="宋体" w:cs="宋体"/>
                <w:color w:val="auto"/>
                <w:szCs w:val="21"/>
                <w:highlight w:val="none"/>
              </w:rPr>
            </w:pPr>
          </w:p>
        </w:tc>
        <w:tc>
          <w:tcPr>
            <w:tcW w:w="896" w:type="pct"/>
            <w:noWrap w:val="0"/>
            <w:vAlign w:val="top"/>
          </w:tcPr>
          <w:p w14:paraId="27CA0A71">
            <w:pPr>
              <w:keepNext/>
              <w:spacing w:line="360" w:lineRule="auto"/>
              <w:rPr>
                <w:rFonts w:hint="eastAsia" w:ascii="宋体" w:hAnsi="宋体" w:cs="宋体"/>
                <w:color w:val="auto"/>
                <w:szCs w:val="21"/>
                <w:highlight w:val="none"/>
              </w:rPr>
            </w:pPr>
          </w:p>
        </w:tc>
      </w:tr>
      <w:tr w14:paraId="7010CB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55995304">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施工员</w:t>
            </w:r>
          </w:p>
        </w:tc>
        <w:tc>
          <w:tcPr>
            <w:tcW w:w="641" w:type="pct"/>
            <w:noWrap w:val="0"/>
            <w:vAlign w:val="center"/>
          </w:tcPr>
          <w:p w14:paraId="655931E8">
            <w:pPr>
              <w:keepNext/>
              <w:spacing w:line="360" w:lineRule="auto"/>
              <w:rPr>
                <w:rFonts w:hint="eastAsia" w:ascii="宋体" w:hAnsi="宋体" w:cs="宋体"/>
                <w:color w:val="auto"/>
                <w:szCs w:val="21"/>
                <w:highlight w:val="none"/>
              </w:rPr>
            </w:pPr>
          </w:p>
        </w:tc>
        <w:tc>
          <w:tcPr>
            <w:tcW w:w="513" w:type="pct"/>
            <w:noWrap w:val="0"/>
            <w:vAlign w:val="center"/>
          </w:tcPr>
          <w:p w14:paraId="566CF62E">
            <w:pPr>
              <w:keepNext/>
              <w:spacing w:line="360" w:lineRule="auto"/>
              <w:rPr>
                <w:rFonts w:hint="eastAsia" w:ascii="宋体" w:hAnsi="宋体" w:cs="宋体"/>
                <w:color w:val="auto"/>
                <w:szCs w:val="21"/>
                <w:highlight w:val="none"/>
              </w:rPr>
            </w:pPr>
          </w:p>
        </w:tc>
        <w:tc>
          <w:tcPr>
            <w:tcW w:w="374" w:type="pct"/>
            <w:noWrap w:val="0"/>
            <w:vAlign w:val="center"/>
          </w:tcPr>
          <w:p w14:paraId="79399596">
            <w:pPr>
              <w:keepNext/>
              <w:spacing w:line="360" w:lineRule="auto"/>
              <w:rPr>
                <w:rFonts w:hint="eastAsia" w:ascii="宋体" w:hAnsi="宋体" w:cs="宋体"/>
                <w:color w:val="auto"/>
                <w:szCs w:val="21"/>
                <w:highlight w:val="none"/>
              </w:rPr>
            </w:pPr>
          </w:p>
        </w:tc>
        <w:tc>
          <w:tcPr>
            <w:tcW w:w="1730" w:type="pct"/>
            <w:noWrap w:val="0"/>
            <w:vAlign w:val="center"/>
          </w:tcPr>
          <w:p w14:paraId="703F7765">
            <w:pPr>
              <w:keepNext/>
              <w:spacing w:line="360" w:lineRule="auto"/>
              <w:rPr>
                <w:rFonts w:hint="eastAsia" w:ascii="宋体" w:hAnsi="宋体" w:cs="宋体"/>
                <w:color w:val="auto"/>
                <w:szCs w:val="21"/>
                <w:highlight w:val="none"/>
              </w:rPr>
            </w:pPr>
          </w:p>
        </w:tc>
        <w:tc>
          <w:tcPr>
            <w:tcW w:w="896" w:type="pct"/>
            <w:noWrap w:val="0"/>
            <w:vAlign w:val="top"/>
          </w:tcPr>
          <w:p w14:paraId="08007285">
            <w:pPr>
              <w:keepNext/>
              <w:spacing w:line="360" w:lineRule="auto"/>
              <w:rPr>
                <w:rFonts w:hint="eastAsia" w:ascii="宋体" w:hAnsi="宋体" w:cs="宋体"/>
                <w:color w:val="auto"/>
                <w:szCs w:val="21"/>
                <w:highlight w:val="none"/>
              </w:rPr>
            </w:pPr>
          </w:p>
        </w:tc>
      </w:tr>
      <w:tr w14:paraId="6AFE6A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653314D7">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质检员（质量员）</w:t>
            </w:r>
          </w:p>
        </w:tc>
        <w:tc>
          <w:tcPr>
            <w:tcW w:w="641" w:type="pct"/>
            <w:noWrap w:val="0"/>
            <w:vAlign w:val="center"/>
          </w:tcPr>
          <w:p w14:paraId="4F615EC4">
            <w:pPr>
              <w:keepNext/>
              <w:spacing w:line="360" w:lineRule="auto"/>
              <w:rPr>
                <w:rFonts w:hint="eastAsia" w:ascii="宋体" w:hAnsi="宋体" w:cs="宋体"/>
                <w:color w:val="auto"/>
                <w:szCs w:val="21"/>
                <w:highlight w:val="none"/>
              </w:rPr>
            </w:pPr>
          </w:p>
        </w:tc>
        <w:tc>
          <w:tcPr>
            <w:tcW w:w="513" w:type="pct"/>
            <w:noWrap w:val="0"/>
            <w:vAlign w:val="center"/>
          </w:tcPr>
          <w:p w14:paraId="6654CD5F">
            <w:pPr>
              <w:keepNext/>
              <w:spacing w:line="360" w:lineRule="auto"/>
              <w:rPr>
                <w:rFonts w:hint="eastAsia" w:ascii="宋体" w:hAnsi="宋体" w:cs="宋体"/>
                <w:color w:val="auto"/>
                <w:szCs w:val="21"/>
                <w:highlight w:val="none"/>
              </w:rPr>
            </w:pPr>
          </w:p>
        </w:tc>
        <w:tc>
          <w:tcPr>
            <w:tcW w:w="374" w:type="pct"/>
            <w:noWrap w:val="0"/>
            <w:vAlign w:val="center"/>
          </w:tcPr>
          <w:p w14:paraId="54C3198C">
            <w:pPr>
              <w:keepNext/>
              <w:spacing w:line="360" w:lineRule="auto"/>
              <w:rPr>
                <w:rFonts w:hint="eastAsia" w:ascii="宋体" w:hAnsi="宋体" w:cs="宋体"/>
                <w:color w:val="auto"/>
                <w:szCs w:val="21"/>
                <w:highlight w:val="none"/>
              </w:rPr>
            </w:pPr>
          </w:p>
        </w:tc>
        <w:tc>
          <w:tcPr>
            <w:tcW w:w="1730" w:type="pct"/>
            <w:noWrap w:val="0"/>
            <w:vAlign w:val="center"/>
          </w:tcPr>
          <w:p w14:paraId="010938D8">
            <w:pPr>
              <w:keepNext/>
              <w:spacing w:line="360" w:lineRule="auto"/>
              <w:rPr>
                <w:rFonts w:hint="eastAsia" w:ascii="宋体" w:hAnsi="宋体" w:cs="宋体"/>
                <w:color w:val="auto"/>
                <w:szCs w:val="21"/>
                <w:highlight w:val="none"/>
              </w:rPr>
            </w:pPr>
          </w:p>
        </w:tc>
        <w:tc>
          <w:tcPr>
            <w:tcW w:w="896" w:type="pct"/>
            <w:noWrap w:val="0"/>
            <w:vAlign w:val="top"/>
          </w:tcPr>
          <w:p w14:paraId="03F02BBB">
            <w:pPr>
              <w:keepNext/>
              <w:spacing w:line="360" w:lineRule="auto"/>
              <w:rPr>
                <w:rFonts w:hint="eastAsia" w:ascii="宋体" w:hAnsi="宋体" w:cs="宋体"/>
                <w:color w:val="auto"/>
                <w:szCs w:val="21"/>
                <w:highlight w:val="none"/>
              </w:rPr>
            </w:pPr>
          </w:p>
        </w:tc>
      </w:tr>
      <w:tr w14:paraId="10FA0E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2697B62F">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安全员</w:t>
            </w:r>
          </w:p>
        </w:tc>
        <w:tc>
          <w:tcPr>
            <w:tcW w:w="641" w:type="pct"/>
            <w:noWrap w:val="0"/>
            <w:vAlign w:val="center"/>
          </w:tcPr>
          <w:p w14:paraId="5E49CDB4">
            <w:pPr>
              <w:keepNext/>
              <w:spacing w:line="360" w:lineRule="auto"/>
              <w:rPr>
                <w:rFonts w:hint="eastAsia" w:ascii="宋体" w:hAnsi="宋体" w:cs="宋体"/>
                <w:color w:val="auto"/>
                <w:szCs w:val="21"/>
                <w:highlight w:val="none"/>
              </w:rPr>
            </w:pPr>
          </w:p>
        </w:tc>
        <w:tc>
          <w:tcPr>
            <w:tcW w:w="513" w:type="pct"/>
            <w:noWrap w:val="0"/>
            <w:vAlign w:val="center"/>
          </w:tcPr>
          <w:p w14:paraId="6230641F">
            <w:pPr>
              <w:keepNext/>
              <w:spacing w:line="360" w:lineRule="auto"/>
              <w:rPr>
                <w:rFonts w:hint="eastAsia" w:ascii="宋体" w:hAnsi="宋体" w:cs="宋体"/>
                <w:color w:val="auto"/>
                <w:szCs w:val="21"/>
                <w:highlight w:val="none"/>
              </w:rPr>
            </w:pPr>
          </w:p>
        </w:tc>
        <w:tc>
          <w:tcPr>
            <w:tcW w:w="374" w:type="pct"/>
            <w:noWrap w:val="0"/>
            <w:vAlign w:val="center"/>
          </w:tcPr>
          <w:p w14:paraId="5D7A6532">
            <w:pPr>
              <w:keepNext/>
              <w:spacing w:line="360" w:lineRule="auto"/>
              <w:rPr>
                <w:rFonts w:hint="eastAsia" w:ascii="宋体" w:hAnsi="宋体" w:cs="宋体"/>
                <w:color w:val="auto"/>
                <w:szCs w:val="21"/>
                <w:highlight w:val="none"/>
              </w:rPr>
            </w:pPr>
          </w:p>
        </w:tc>
        <w:tc>
          <w:tcPr>
            <w:tcW w:w="1730" w:type="pct"/>
            <w:noWrap w:val="0"/>
            <w:vAlign w:val="center"/>
          </w:tcPr>
          <w:p w14:paraId="42228EDF">
            <w:pPr>
              <w:keepNext/>
              <w:spacing w:line="360" w:lineRule="auto"/>
              <w:rPr>
                <w:rFonts w:hint="eastAsia" w:ascii="宋体" w:hAnsi="宋体" w:cs="宋体"/>
                <w:color w:val="auto"/>
                <w:szCs w:val="21"/>
                <w:highlight w:val="none"/>
              </w:rPr>
            </w:pPr>
          </w:p>
        </w:tc>
        <w:tc>
          <w:tcPr>
            <w:tcW w:w="896" w:type="pct"/>
            <w:noWrap w:val="0"/>
            <w:vAlign w:val="top"/>
          </w:tcPr>
          <w:p w14:paraId="32BD4469">
            <w:pPr>
              <w:keepNext/>
              <w:spacing w:line="360" w:lineRule="auto"/>
              <w:rPr>
                <w:rFonts w:hint="eastAsia" w:ascii="宋体" w:hAnsi="宋体" w:cs="宋体"/>
                <w:color w:val="auto"/>
                <w:szCs w:val="21"/>
                <w:highlight w:val="none"/>
              </w:rPr>
            </w:pPr>
          </w:p>
        </w:tc>
      </w:tr>
      <w:tr w14:paraId="21B083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5DC93EA2">
            <w:pPr>
              <w:spacing w:line="360" w:lineRule="auto"/>
              <w:rPr>
                <w:rFonts w:hint="eastAsia" w:ascii="宋体" w:hAnsi="宋体" w:cs="宋体"/>
                <w:color w:val="auto"/>
                <w:szCs w:val="22"/>
                <w:highlight w:val="none"/>
              </w:rPr>
            </w:pPr>
            <w:r>
              <w:rPr>
                <w:rFonts w:hint="eastAsia" w:ascii="宋体" w:hAnsi="宋体" w:cs="宋体"/>
                <w:color w:val="auto"/>
                <w:szCs w:val="22"/>
                <w:highlight w:val="none"/>
              </w:rPr>
              <w:t>资料员</w:t>
            </w:r>
          </w:p>
        </w:tc>
        <w:tc>
          <w:tcPr>
            <w:tcW w:w="641" w:type="pct"/>
            <w:noWrap w:val="0"/>
            <w:vAlign w:val="center"/>
          </w:tcPr>
          <w:p w14:paraId="4C5B151B">
            <w:pPr>
              <w:keepNext/>
              <w:spacing w:line="360" w:lineRule="auto"/>
              <w:rPr>
                <w:rFonts w:hint="eastAsia" w:ascii="宋体" w:hAnsi="宋体" w:cs="宋体"/>
                <w:color w:val="auto"/>
                <w:szCs w:val="21"/>
                <w:highlight w:val="none"/>
              </w:rPr>
            </w:pPr>
          </w:p>
        </w:tc>
        <w:tc>
          <w:tcPr>
            <w:tcW w:w="513" w:type="pct"/>
            <w:noWrap w:val="0"/>
            <w:vAlign w:val="center"/>
          </w:tcPr>
          <w:p w14:paraId="67EA7DAE">
            <w:pPr>
              <w:keepNext/>
              <w:spacing w:line="360" w:lineRule="auto"/>
              <w:rPr>
                <w:rFonts w:hint="eastAsia" w:ascii="宋体" w:hAnsi="宋体" w:cs="宋体"/>
                <w:color w:val="auto"/>
                <w:szCs w:val="21"/>
                <w:highlight w:val="none"/>
              </w:rPr>
            </w:pPr>
          </w:p>
        </w:tc>
        <w:tc>
          <w:tcPr>
            <w:tcW w:w="374" w:type="pct"/>
            <w:noWrap w:val="0"/>
            <w:vAlign w:val="center"/>
          </w:tcPr>
          <w:p w14:paraId="527A0670">
            <w:pPr>
              <w:keepNext/>
              <w:spacing w:line="360" w:lineRule="auto"/>
              <w:rPr>
                <w:rFonts w:hint="eastAsia" w:ascii="宋体" w:hAnsi="宋体" w:cs="宋体"/>
                <w:color w:val="auto"/>
                <w:szCs w:val="21"/>
                <w:highlight w:val="none"/>
              </w:rPr>
            </w:pPr>
          </w:p>
        </w:tc>
        <w:tc>
          <w:tcPr>
            <w:tcW w:w="1730" w:type="pct"/>
            <w:noWrap w:val="0"/>
            <w:vAlign w:val="center"/>
          </w:tcPr>
          <w:p w14:paraId="641C42DB">
            <w:pPr>
              <w:keepNext/>
              <w:spacing w:line="360" w:lineRule="auto"/>
              <w:rPr>
                <w:rFonts w:hint="eastAsia" w:ascii="宋体" w:hAnsi="宋体" w:cs="宋体"/>
                <w:color w:val="auto"/>
                <w:szCs w:val="21"/>
                <w:highlight w:val="none"/>
              </w:rPr>
            </w:pPr>
          </w:p>
        </w:tc>
        <w:tc>
          <w:tcPr>
            <w:tcW w:w="896" w:type="pct"/>
            <w:noWrap w:val="0"/>
            <w:vAlign w:val="top"/>
          </w:tcPr>
          <w:p w14:paraId="4D542842">
            <w:pPr>
              <w:keepNext/>
              <w:spacing w:line="360" w:lineRule="auto"/>
              <w:rPr>
                <w:rFonts w:hint="eastAsia" w:ascii="宋体" w:hAnsi="宋体" w:cs="宋体"/>
                <w:color w:val="auto"/>
                <w:szCs w:val="21"/>
                <w:highlight w:val="none"/>
              </w:rPr>
            </w:pPr>
          </w:p>
        </w:tc>
      </w:tr>
      <w:tr w14:paraId="0269C8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restart"/>
            <w:noWrap w:val="0"/>
            <w:vAlign w:val="center"/>
          </w:tcPr>
          <w:p w14:paraId="537A7C40">
            <w:pPr>
              <w:keepNext/>
              <w:spacing w:line="360" w:lineRule="auto"/>
              <w:rPr>
                <w:rFonts w:hint="eastAsia" w:ascii="宋体" w:hAnsi="宋体" w:cs="宋体"/>
                <w:color w:val="auto"/>
                <w:szCs w:val="21"/>
                <w:highlight w:val="none"/>
              </w:rPr>
            </w:pPr>
            <w:r>
              <w:rPr>
                <w:rFonts w:hint="eastAsia" w:ascii="宋体" w:hAnsi="宋体" w:cs="宋体"/>
                <w:color w:val="auto"/>
                <w:szCs w:val="21"/>
                <w:highlight w:val="none"/>
              </w:rPr>
              <w:t>其他人员</w:t>
            </w:r>
          </w:p>
        </w:tc>
        <w:tc>
          <w:tcPr>
            <w:tcW w:w="641" w:type="pct"/>
            <w:noWrap w:val="0"/>
            <w:vAlign w:val="center"/>
          </w:tcPr>
          <w:p w14:paraId="0B41C5B8">
            <w:pPr>
              <w:keepNext/>
              <w:spacing w:line="360" w:lineRule="auto"/>
              <w:rPr>
                <w:rFonts w:hint="eastAsia" w:ascii="宋体" w:hAnsi="宋体" w:cs="宋体"/>
                <w:color w:val="auto"/>
                <w:szCs w:val="21"/>
                <w:highlight w:val="none"/>
              </w:rPr>
            </w:pPr>
          </w:p>
        </w:tc>
        <w:tc>
          <w:tcPr>
            <w:tcW w:w="513" w:type="pct"/>
            <w:noWrap w:val="0"/>
            <w:vAlign w:val="center"/>
          </w:tcPr>
          <w:p w14:paraId="60F2CFC8">
            <w:pPr>
              <w:keepNext/>
              <w:spacing w:line="360" w:lineRule="auto"/>
              <w:rPr>
                <w:rFonts w:hint="eastAsia" w:ascii="宋体" w:hAnsi="宋体" w:cs="宋体"/>
                <w:color w:val="auto"/>
                <w:szCs w:val="21"/>
                <w:highlight w:val="none"/>
              </w:rPr>
            </w:pPr>
          </w:p>
        </w:tc>
        <w:tc>
          <w:tcPr>
            <w:tcW w:w="374" w:type="pct"/>
            <w:noWrap w:val="0"/>
            <w:vAlign w:val="center"/>
          </w:tcPr>
          <w:p w14:paraId="5CA8EC62">
            <w:pPr>
              <w:keepNext/>
              <w:spacing w:line="360" w:lineRule="auto"/>
              <w:rPr>
                <w:rFonts w:hint="eastAsia" w:ascii="宋体" w:hAnsi="宋体" w:cs="宋体"/>
                <w:color w:val="auto"/>
                <w:szCs w:val="21"/>
                <w:highlight w:val="none"/>
              </w:rPr>
            </w:pPr>
          </w:p>
        </w:tc>
        <w:tc>
          <w:tcPr>
            <w:tcW w:w="1730" w:type="pct"/>
            <w:noWrap w:val="0"/>
            <w:vAlign w:val="center"/>
          </w:tcPr>
          <w:p w14:paraId="09EBF0AB">
            <w:pPr>
              <w:keepNext/>
              <w:spacing w:line="360" w:lineRule="auto"/>
              <w:rPr>
                <w:rFonts w:hint="eastAsia" w:ascii="宋体" w:hAnsi="宋体" w:cs="宋体"/>
                <w:color w:val="auto"/>
                <w:szCs w:val="21"/>
                <w:highlight w:val="none"/>
              </w:rPr>
            </w:pPr>
          </w:p>
        </w:tc>
        <w:tc>
          <w:tcPr>
            <w:tcW w:w="896" w:type="pct"/>
            <w:noWrap w:val="0"/>
            <w:vAlign w:val="top"/>
          </w:tcPr>
          <w:p w14:paraId="4FE47B6A">
            <w:pPr>
              <w:keepNext/>
              <w:spacing w:line="360" w:lineRule="auto"/>
              <w:rPr>
                <w:rFonts w:hint="eastAsia" w:ascii="宋体" w:hAnsi="宋体" w:cs="宋体"/>
                <w:color w:val="auto"/>
                <w:szCs w:val="21"/>
                <w:highlight w:val="none"/>
              </w:rPr>
            </w:pPr>
          </w:p>
        </w:tc>
      </w:tr>
      <w:tr w14:paraId="00EE66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2BD6453D">
            <w:pPr>
              <w:keepNext/>
              <w:spacing w:line="360" w:lineRule="auto"/>
              <w:rPr>
                <w:rFonts w:hint="eastAsia" w:ascii="宋体" w:hAnsi="宋体" w:cs="宋体"/>
                <w:color w:val="auto"/>
                <w:szCs w:val="21"/>
                <w:highlight w:val="none"/>
              </w:rPr>
            </w:pPr>
          </w:p>
        </w:tc>
        <w:tc>
          <w:tcPr>
            <w:tcW w:w="641" w:type="pct"/>
            <w:tcBorders>
              <w:bottom w:val="nil"/>
            </w:tcBorders>
            <w:noWrap w:val="0"/>
            <w:vAlign w:val="center"/>
          </w:tcPr>
          <w:p w14:paraId="71AD9D63">
            <w:pPr>
              <w:keepNext/>
              <w:spacing w:line="360" w:lineRule="auto"/>
              <w:rPr>
                <w:rFonts w:hint="eastAsia" w:ascii="宋体" w:hAnsi="宋体" w:cs="宋体"/>
                <w:color w:val="auto"/>
                <w:szCs w:val="21"/>
                <w:highlight w:val="none"/>
              </w:rPr>
            </w:pPr>
          </w:p>
        </w:tc>
        <w:tc>
          <w:tcPr>
            <w:tcW w:w="513" w:type="pct"/>
            <w:tcBorders>
              <w:bottom w:val="nil"/>
            </w:tcBorders>
            <w:noWrap w:val="0"/>
            <w:vAlign w:val="center"/>
          </w:tcPr>
          <w:p w14:paraId="5F3D578C">
            <w:pPr>
              <w:keepNext/>
              <w:spacing w:line="360" w:lineRule="auto"/>
              <w:rPr>
                <w:rFonts w:hint="eastAsia" w:ascii="宋体" w:hAnsi="宋体" w:cs="宋体"/>
                <w:color w:val="auto"/>
                <w:szCs w:val="21"/>
                <w:highlight w:val="none"/>
              </w:rPr>
            </w:pPr>
          </w:p>
        </w:tc>
        <w:tc>
          <w:tcPr>
            <w:tcW w:w="374" w:type="pct"/>
            <w:tcBorders>
              <w:bottom w:val="nil"/>
            </w:tcBorders>
            <w:noWrap w:val="0"/>
            <w:vAlign w:val="center"/>
          </w:tcPr>
          <w:p w14:paraId="1A6833D0">
            <w:pPr>
              <w:keepNext/>
              <w:spacing w:line="360" w:lineRule="auto"/>
              <w:rPr>
                <w:rFonts w:hint="eastAsia" w:ascii="宋体" w:hAnsi="宋体" w:cs="宋体"/>
                <w:color w:val="auto"/>
                <w:szCs w:val="21"/>
                <w:highlight w:val="none"/>
              </w:rPr>
            </w:pPr>
          </w:p>
        </w:tc>
        <w:tc>
          <w:tcPr>
            <w:tcW w:w="1730" w:type="pct"/>
            <w:tcBorders>
              <w:bottom w:val="nil"/>
            </w:tcBorders>
            <w:noWrap w:val="0"/>
            <w:vAlign w:val="center"/>
          </w:tcPr>
          <w:p w14:paraId="7503E171">
            <w:pPr>
              <w:keepNext/>
              <w:spacing w:line="360" w:lineRule="auto"/>
              <w:rPr>
                <w:rFonts w:hint="eastAsia" w:ascii="宋体" w:hAnsi="宋体" w:cs="宋体"/>
                <w:color w:val="auto"/>
                <w:szCs w:val="21"/>
                <w:highlight w:val="none"/>
              </w:rPr>
            </w:pPr>
          </w:p>
        </w:tc>
        <w:tc>
          <w:tcPr>
            <w:tcW w:w="896" w:type="pct"/>
            <w:tcBorders>
              <w:bottom w:val="nil"/>
            </w:tcBorders>
            <w:noWrap w:val="0"/>
            <w:vAlign w:val="top"/>
          </w:tcPr>
          <w:p w14:paraId="73B2E52E">
            <w:pPr>
              <w:keepNext/>
              <w:spacing w:line="360" w:lineRule="auto"/>
              <w:rPr>
                <w:rFonts w:hint="eastAsia" w:ascii="宋体" w:hAnsi="宋体" w:cs="宋体"/>
                <w:color w:val="auto"/>
                <w:szCs w:val="21"/>
                <w:highlight w:val="none"/>
              </w:rPr>
            </w:pPr>
          </w:p>
        </w:tc>
      </w:tr>
      <w:tr w14:paraId="4914E8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16575DF5">
            <w:pPr>
              <w:keepNext/>
              <w:spacing w:line="360" w:lineRule="auto"/>
              <w:rPr>
                <w:rFonts w:hint="eastAsia" w:ascii="宋体" w:hAnsi="宋体" w:cs="宋体"/>
                <w:color w:val="auto"/>
                <w:szCs w:val="21"/>
                <w:highlight w:val="none"/>
              </w:rPr>
            </w:pPr>
          </w:p>
        </w:tc>
        <w:tc>
          <w:tcPr>
            <w:tcW w:w="641" w:type="pct"/>
            <w:noWrap w:val="0"/>
            <w:vAlign w:val="center"/>
          </w:tcPr>
          <w:p w14:paraId="42FEB554">
            <w:pPr>
              <w:keepNext/>
              <w:spacing w:line="360" w:lineRule="auto"/>
              <w:rPr>
                <w:rFonts w:hint="eastAsia" w:ascii="宋体" w:hAnsi="宋体" w:cs="宋体"/>
                <w:color w:val="auto"/>
                <w:szCs w:val="21"/>
                <w:highlight w:val="none"/>
              </w:rPr>
            </w:pPr>
          </w:p>
        </w:tc>
        <w:tc>
          <w:tcPr>
            <w:tcW w:w="513" w:type="pct"/>
            <w:noWrap w:val="0"/>
            <w:vAlign w:val="center"/>
          </w:tcPr>
          <w:p w14:paraId="30C9679B">
            <w:pPr>
              <w:keepNext/>
              <w:spacing w:line="360" w:lineRule="auto"/>
              <w:rPr>
                <w:rFonts w:hint="eastAsia" w:ascii="宋体" w:hAnsi="宋体" w:cs="宋体"/>
                <w:color w:val="auto"/>
                <w:szCs w:val="21"/>
                <w:highlight w:val="none"/>
              </w:rPr>
            </w:pPr>
          </w:p>
        </w:tc>
        <w:tc>
          <w:tcPr>
            <w:tcW w:w="374" w:type="pct"/>
            <w:noWrap w:val="0"/>
            <w:vAlign w:val="center"/>
          </w:tcPr>
          <w:p w14:paraId="779B60D0">
            <w:pPr>
              <w:keepNext/>
              <w:spacing w:line="360" w:lineRule="auto"/>
              <w:rPr>
                <w:rFonts w:hint="eastAsia" w:ascii="宋体" w:hAnsi="宋体" w:cs="宋体"/>
                <w:color w:val="auto"/>
                <w:szCs w:val="21"/>
                <w:highlight w:val="none"/>
              </w:rPr>
            </w:pPr>
          </w:p>
        </w:tc>
        <w:tc>
          <w:tcPr>
            <w:tcW w:w="1730" w:type="pct"/>
            <w:noWrap w:val="0"/>
            <w:vAlign w:val="center"/>
          </w:tcPr>
          <w:p w14:paraId="2558E7A7">
            <w:pPr>
              <w:keepNext/>
              <w:spacing w:line="360" w:lineRule="auto"/>
              <w:rPr>
                <w:rFonts w:hint="eastAsia" w:ascii="宋体" w:hAnsi="宋体" w:cs="宋体"/>
                <w:color w:val="auto"/>
                <w:szCs w:val="21"/>
                <w:highlight w:val="none"/>
              </w:rPr>
            </w:pPr>
          </w:p>
        </w:tc>
        <w:tc>
          <w:tcPr>
            <w:tcW w:w="896" w:type="pct"/>
            <w:noWrap w:val="0"/>
            <w:vAlign w:val="top"/>
          </w:tcPr>
          <w:p w14:paraId="2A1C8261">
            <w:pPr>
              <w:keepNext/>
              <w:spacing w:line="360" w:lineRule="auto"/>
              <w:rPr>
                <w:rFonts w:hint="eastAsia" w:ascii="宋体" w:hAnsi="宋体" w:cs="宋体"/>
                <w:color w:val="auto"/>
                <w:szCs w:val="21"/>
                <w:highlight w:val="none"/>
              </w:rPr>
            </w:pPr>
          </w:p>
        </w:tc>
      </w:tr>
      <w:tr w14:paraId="3B75E6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5C985F21">
            <w:pPr>
              <w:keepNext/>
              <w:spacing w:line="360" w:lineRule="auto"/>
              <w:rPr>
                <w:rFonts w:hint="eastAsia" w:ascii="宋体" w:hAnsi="宋体" w:cs="宋体"/>
                <w:color w:val="auto"/>
                <w:szCs w:val="21"/>
                <w:highlight w:val="none"/>
              </w:rPr>
            </w:pPr>
          </w:p>
        </w:tc>
        <w:tc>
          <w:tcPr>
            <w:tcW w:w="641" w:type="pct"/>
            <w:noWrap w:val="0"/>
            <w:vAlign w:val="center"/>
          </w:tcPr>
          <w:p w14:paraId="348A0781">
            <w:pPr>
              <w:keepNext/>
              <w:spacing w:line="360" w:lineRule="auto"/>
              <w:rPr>
                <w:rFonts w:hint="eastAsia" w:ascii="宋体" w:hAnsi="宋体" w:cs="宋体"/>
                <w:color w:val="auto"/>
                <w:szCs w:val="21"/>
                <w:highlight w:val="none"/>
              </w:rPr>
            </w:pPr>
          </w:p>
        </w:tc>
        <w:tc>
          <w:tcPr>
            <w:tcW w:w="513" w:type="pct"/>
            <w:noWrap w:val="0"/>
            <w:vAlign w:val="center"/>
          </w:tcPr>
          <w:p w14:paraId="425FC552">
            <w:pPr>
              <w:keepNext/>
              <w:spacing w:line="360" w:lineRule="auto"/>
              <w:rPr>
                <w:rFonts w:hint="eastAsia" w:ascii="宋体" w:hAnsi="宋体" w:cs="宋体"/>
                <w:color w:val="auto"/>
                <w:szCs w:val="21"/>
                <w:highlight w:val="none"/>
              </w:rPr>
            </w:pPr>
          </w:p>
        </w:tc>
        <w:tc>
          <w:tcPr>
            <w:tcW w:w="374" w:type="pct"/>
            <w:noWrap w:val="0"/>
            <w:vAlign w:val="center"/>
          </w:tcPr>
          <w:p w14:paraId="746FDEBE">
            <w:pPr>
              <w:keepNext/>
              <w:spacing w:line="360" w:lineRule="auto"/>
              <w:rPr>
                <w:rFonts w:hint="eastAsia" w:ascii="宋体" w:hAnsi="宋体" w:cs="宋体"/>
                <w:color w:val="auto"/>
                <w:szCs w:val="21"/>
                <w:highlight w:val="none"/>
              </w:rPr>
            </w:pPr>
          </w:p>
        </w:tc>
        <w:tc>
          <w:tcPr>
            <w:tcW w:w="1730" w:type="pct"/>
            <w:noWrap w:val="0"/>
            <w:vAlign w:val="center"/>
          </w:tcPr>
          <w:p w14:paraId="6C6929D4">
            <w:pPr>
              <w:keepNext/>
              <w:spacing w:line="360" w:lineRule="auto"/>
              <w:rPr>
                <w:rFonts w:hint="eastAsia" w:ascii="宋体" w:hAnsi="宋体" w:cs="宋体"/>
                <w:color w:val="auto"/>
                <w:szCs w:val="21"/>
                <w:highlight w:val="none"/>
              </w:rPr>
            </w:pPr>
          </w:p>
        </w:tc>
        <w:tc>
          <w:tcPr>
            <w:tcW w:w="896" w:type="pct"/>
            <w:noWrap w:val="0"/>
            <w:vAlign w:val="top"/>
          </w:tcPr>
          <w:p w14:paraId="6F156017">
            <w:pPr>
              <w:keepNext/>
              <w:spacing w:line="360" w:lineRule="auto"/>
              <w:rPr>
                <w:rFonts w:hint="eastAsia" w:ascii="宋体" w:hAnsi="宋体" w:cs="宋体"/>
                <w:color w:val="auto"/>
                <w:szCs w:val="21"/>
                <w:highlight w:val="none"/>
              </w:rPr>
            </w:pPr>
          </w:p>
        </w:tc>
      </w:tr>
      <w:tr w14:paraId="687E93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77D6129E">
            <w:pPr>
              <w:keepNext/>
              <w:spacing w:line="360" w:lineRule="auto"/>
              <w:rPr>
                <w:rFonts w:hint="eastAsia" w:ascii="宋体" w:hAnsi="宋体" w:cs="宋体"/>
                <w:color w:val="auto"/>
                <w:szCs w:val="21"/>
                <w:highlight w:val="none"/>
              </w:rPr>
            </w:pPr>
          </w:p>
        </w:tc>
        <w:tc>
          <w:tcPr>
            <w:tcW w:w="641" w:type="pct"/>
            <w:noWrap w:val="0"/>
            <w:vAlign w:val="center"/>
          </w:tcPr>
          <w:p w14:paraId="31850FC1">
            <w:pPr>
              <w:keepNext/>
              <w:spacing w:line="360" w:lineRule="auto"/>
              <w:rPr>
                <w:rFonts w:hint="eastAsia" w:ascii="宋体" w:hAnsi="宋体" w:cs="宋体"/>
                <w:color w:val="auto"/>
                <w:szCs w:val="21"/>
                <w:highlight w:val="none"/>
              </w:rPr>
            </w:pPr>
          </w:p>
        </w:tc>
        <w:tc>
          <w:tcPr>
            <w:tcW w:w="513" w:type="pct"/>
            <w:noWrap w:val="0"/>
            <w:vAlign w:val="center"/>
          </w:tcPr>
          <w:p w14:paraId="52C54858">
            <w:pPr>
              <w:keepNext/>
              <w:spacing w:line="360" w:lineRule="auto"/>
              <w:rPr>
                <w:rFonts w:hint="eastAsia" w:ascii="宋体" w:hAnsi="宋体" w:cs="宋体"/>
                <w:color w:val="auto"/>
                <w:szCs w:val="21"/>
                <w:highlight w:val="none"/>
              </w:rPr>
            </w:pPr>
          </w:p>
        </w:tc>
        <w:tc>
          <w:tcPr>
            <w:tcW w:w="374" w:type="pct"/>
            <w:noWrap w:val="0"/>
            <w:vAlign w:val="center"/>
          </w:tcPr>
          <w:p w14:paraId="7A2E48E7">
            <w:pPr>
              <w:keepNext/>
              <w:spacing w:line="360" w:lineRule="auto"/>
              <w:rPr>
                <w:rFonts w:hint="eastAsia" w:ascii="宋体" w:hAnsi="宋体" w:cs="宋体"/>
                <w:color w:val="auto"/>
                <w:szCs w:val="21"/>
                <w:highlight w:val="none"/>
              </w:rPr>
            </w:pPr>
          </w:p>
        </w:tc>
        <w:tc>
          <w:tcPr>
            <w:tcW w:w="1730" w:type="pct"/>
            <w:noWrap w:val="0"/>
            <w:vAlign w:val="center"/>
          </w:tcPr>
          <w:p w14:paraId="2A34E6AA">
            <w:pPr>
              <w:keepNext/>
              <w:spacing w:line="360" w:lineRule="auto"/>
              <w:rPr>
                <w:rFonts w:hint="eastAsia" w:ascii="宋体" w:hAnsi="宋体" w:cs="宋体"/>
                <w:color w:val="auto"/>
                <w:szCs w:val="21"/>
                <w:highlight w:val="none"/>
              </w:rPr>
            </w:pPr>
          </w:p>
        </w:tc>
        <w:tc>
          <w:tcPr>
            <w:tcW w:w="896" w:type="pct"/>
            <w:noWrap w:val="0"/>
            <w:vAlign w:val="top"/>
          </w:tcPr>
          <w:p w14:paraId="40018662">
            <w:pPr>
              <w:keepNext/>
              <w:spacing w:line="360" w:lineRule="auto"/>
              <w:rPr>
                <w:rFonts w:hint="eastAsia" w:ascii="宋体" w:hAnsi="宋体" w:cs="宋体"/>
                <w:color w:val="auto"/>
                <w:szCs w:val="21"/>
                <w:highlight w:val="none"/>
              </w:rPr>
            </w:pPr>
          </w:p>
        </w:tc>
      </w:tr>
      <w:tr w14:paraId="6A555C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tcBorders>
              <w:bottom w:val="single" w:color="auto" w:sz="12" w:space="0"/>
            </w:tcBorders>
            <w:noWrap w:val="0"/>
            <w:vAlign w:val="center"/>
          </w:tcPr>
          <w:p w14:paraId="7C70C984">
            <w:pPr>
              <w:keepNext/>
              <w:spacing w:line="360" w:lineRule="auto"/>
              <w:rPr>
                <w:rFonts w:hint="eastAsia" w:ascii="宋体" w:hAnsi="宋体" w:cs="宋体"/>
                <w:color w:val="auto"/>
                <w:szCs w:val="21"/>
                <w:highlight w:val="none"/>
              </w:rPr>
            </w:pPr>
          </w:p>
        </w:tc>
        <w:tc>
          <w:tcPr>
            <w:tcW w:w="641" w:type="pct"/>
            <w:tcBorders>
              <w:bottom w:val="single" w:color="auto" w:sz="12" w:space="0"/>
            </w:tcBorders>
            <w:noWrap w:val="0"/>
            <w:vAlign w:val="center"/>
          </w:tcPr>
          <w:p w14:paraId="5A6B1897">
            <w:pPr>
              <w:keepNext/>
              <w:spacing w:line="360" w:lineRule="auto"/>
              <w:rPr>
                <w:rFonts w:hint="eastAsia" w:ascii="宋体" w:hAnsi="宋体" w:cs="宋体"/>
                <w:color w:val="auto"/>
                <w:szCs w:val="21"/>
                <w:highlight w:val="none"/>
              </w:rPr>
            </w:pPr>
          </w:p>
        </w:tc>
        <w:tc>
          <w:tcPr>
            <w:tcW w:w="513" w:type="pct"/>
            <w:tcBorders>
              <w:bottom w:val="single" w:color="auto" w:sz="12" w:space="0"/>
            </w:tcBorders>
            <w:noWrap w:val="0"/>
            <w:vAlign w:val="center"/>
          </w:tcPr>
          <w:p w14:paraId="1DB8A24A">
            <w:pPr>
              <w:keepNext/>
              <w:spacing w:line="360" w:lineRule="auto"/>
              <w:rPr>
                <w:rFonts w:hint="eastAsia" w:ascii="宋体" w:hAnsi="宋体" w:cs="宋体"/>
                <w:color w:val="auto"/>
                <w:szCs w:val="21"/>
                <w:highlight w:val="none"/>
              </w:rPr>
            </w:pPr>
          </w:p>
        </w:tc>
        <w:tc>
          <w:tcPr>
            <w:tcW w:w="374" w:type="pct"/>
            <w:tcBorders>
              <w:bottom w:val="single" w:color="auto" w:sz="12" w:space="0"/>
            </w:tcBorders>
            <w:noWrap w:val="0"/>
            <w:vAlign w:val="center"/>
          </w:tcPr>
          <w:p w14:paraId="3AC141CE">
            <w:pPr>
              <w:keepNext/>
              <w:spacing w:line="360" w:lineRule="auto"/>
              <w:rPr>
                <w:rFonts w:hint="eastAsia" w:ascii="宋体" w:hAnsi="宋体" w:cs="宋体"/>
                <w:color w:val="auto"/>
                <w:szCs w:val="21"/>
                <w:highlight w:val="none"/>
              </w:rPr>
            </w:pPr>
          </w:p>
        </w:tc>
        <w:tc>
          <w:tcPr>
            <w:tcW w:w="1730" w:type="pct"/>
            <w:tcBorders>
              <w:bottom w:val="single" w:color="auto" w:sz="12" w:space="0"/>
            </w:tcBorders>
            <w:noWrap w:val="0"/>
            <w:vAlign w:val="center"/>
          </w:tcPr>
          <w:p w14:paraId="57D3C82F">
            <w:pPr>
              <w:keepNext/>
              <w:spacing w:line="360" w:lineRule="auto"/>
              <w:rPr>
                <w:rFonts w:hint="eastAsia" w:ascii="宋体" w:hAnsi="宋体" w:cs="宋体"/>
                <w:color w:val="auto"/>
                <w:szCs w:val="21"/>
                <w:highlight w:val="none"/>
              </w:rPr>
            </w:pPr>
          </w:p>
        </w:tc>
        <w:tc>
          <w:tcPr>
            <w:tcW w:w="896" w:type="pct"/>
            <w:tcBorders>
              <w:bottom w:val="single" w:color="auto" w:sz="12" w:space="0"/>
            </w:tcBorders>
            <w:noWrap w:val="0"/>
            <w:vAlign w:val="top"/>
          </w:tcPr>
          <w:p w14:paraId="659008DC">
            <w:pPr>
              <w:keepNext/>
              <w:spacing w:line="360" w:lineRule="auto"/>
              <w:rPr>
                <w:rFonts w:hint="eastAsia" w:ascii="宋体" w:hAnsi="宋体" w:cs="宋体"/>
                <w:color w:val="auto"/>
                <w:szCs w:val="21"/>
                <w:highlight w:val="none"/>
              </w:rPr>
            </w:pPr>
          </w:p>
        </w:tc>
      </w:tr>
    </w:tbl>
    <w:p w14:paraId="49ECC600">
      <w:pPr>
        <w:keepNext/>
        <w:keepLines/>
        <w:spacing w:before="120" w:after="120" w:line="360" w:lineRule="auto"/>
        <w:jc w:val="left"/>
        <w:outlineLvl w:val="2"/>
        <w:rPr>
          <w:rFonts w:hint="eastAsia" w:ascii="宋体" w:hAnsi="宋体" w:cs="宋体"/>
          <w:bCs/>
          <w:color w:val="auto"/>
          <w:sz w:val="24"/>
          <w:highlight w:val="none"/>
        </w:rPr>
      </w:pPr>
      <w:r>
        <w:rPr>
          <w:rFonts w:hint="eastAsia" w:ascii="宋体" w:hAnsi="宋体" w:cs="宋体"/>
          <w:bCs/>
          <w:color w:val="auto"/>
          <w:sz w:val="24"/>
          <w:highlight w:val="none"/>
        </w:rPr>
        <w:br w:type="page"/>
      </w:r>
      <w:bookmarkStart w:id="1321" w:name="_Toc25726"/>
      <w:bookmarkStart w:id="1322" w:name="_Toc7655"/>
      <w:bookmarkStart w:id="1323" w:name="_Toc95223495"/>
      <w:r>
        <w:rPr>
          <w:rFonts w:hint="eastAsia" w:ascii="宋体" w:hAnsi="宋体" w:cs="宋体"/>
          <w:bCs/>
          <w:color w:val="auto"/>
          <w:sz w:val="24"/>
          <w:highlight w:val="none"/>
        </w:rPr>
        <w:t>附</w:t>
      </w:r>
      <w:bookmarkStart w:id="1324" w:name="_Toc296503231"/>
      <w:bookmarkStart w:id="1325" w:name="_Toc296891271"/>
      <w:bookmarkStart w:id="1326" w:name="_Toc296944570"/>
      <w:bookmarkStart w:id="1327" w:name="_Toc296347230"/>
      <w:bookmarkStart w:id="1328" w:name="_Toc296891059"/>
      <w:bookmarkStart w:id="1329" w:name="_Toc296346732"/>
      <w:r>
        <w:rPr>
          <w:rFonts w:hint="eastAsia" w:ascii="宋体" w:hAnsi="宋体" w:cs="宋体"/>
          <w:bCs/>
          <w:color w:val="auto"/>
          <w:sz w:val="24"/>
          <w:highlight w:val="none"/>
        </w:rPr>
        <w:t>件8：廉政协议</w:t>
      </w:r>
      <w:bookmarkEnd w:id="1321"/>
      <w:bookmarkEnd w:id="1322"/>
      <w:bookmarkEnd w:id="1323"/>
    </w:p>
    <w:bookmarkEnd w:id="1324"/>
    <w:bookmarkEnd w:id="1325"/>
    <w:bookmarkEnd w:id="1326"/>
    <w:bookmarkEnd w:id="1327"/>
    <w:bookmarkEnd w:id="1328"/>
    <w:bookmarkEnd w:id="1329"/>
    <w:p w14:paraId="4966CE2A">
      <w:pPr>
        <w:widowControl/>
        <w:spacing w:line="360" w:lineRule="auto"/>
        <w:ind w:firstLine="641"/>
        <w:jc w:val="center"/>
        <w:rPr>
          <w:rFonts w:hint="eastAsia" w:ascii="宋体" w:hAnsi="宋体" w:cs="宋体"/>
          <w:b/>
          <w:bCs/>
          <w:color w:val="auto"/>
          <w:kern w:val="0"/>
          <w:sz w:val="32"/>
          <w:szCs w:val="32"/>
          <w:highlight w:val="none"/>
        </w:rPr>
      </w:pPr>
      <w:bookmarkStart w:id="1330" w:name="_Toc9808"/>
      <w:bookmarkStart w:id="1331" w:name="_Toc95223496"/>
      <w:bookmarkStart w:id="1332" w:name="_Toc7607"/>
      <w:r>
        <w:rPr>
          <w:rFonts w:hint="eastAsia" w:ascii="宋体" w:hAnsi="宋体" w:cs="宋体"/>
          <w:b/>
          <w:bCs/>
          <w:color w:val="auto"/>
          <w:kern w:val="0"/>
          <w:sz w:val="32"/>
          <w:szCs w:val="32"/>
          <w:highlight w:val="none"/>
        </w:rPr>
        <w:t>廉 政 协 议</w:t>
      </w:r>
      <w:bookmarkEnd w:id="1330"/>
      <w:bookmarkEnd w:id="1331"/>
      <w:bookmarkEnd w:id="1332"/>
    </w:p>
    <w:p w14:paraId="18467AEA">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为促进双方诚信经营、廉洁从业，防范商业贿赂，保护国家、集体和当事人的合法权益，根据国家有关法律法规和安徽省、项目所在地廉政建设的规定，</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(以下称甲方)与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(以下称乙方)，特此订立本协议共同遵照执行。</w:t>
      </w:r>
    </w:p>
    <w:p w14:paraId="3CA3AE29">
      <w:pPr>
        <w:widowControl/>
        <w:spacing w:line="360" w:lineRule="auto"/>
        <w:ind w:firstLine="420" w:firstLineChars="200"/>
        <w:jc w:val="left"/>
        <w:rPr>
          <w:rFonts w:hint="eastAsia" w:ascii="宋体" w:hAnsi="宋体" w:cs="宋体"/>
          <w:color w:val="auto"/>
          <w:kern w:val="0"/>
          <w:szCs w:val="21"/>
          <w:highlight w:val="none"/>
        </w:rPr>
      </w:pPr>
      <w:bookmarkStart w:id="1333" w:name="_Toc21306"/>
      <w:bookmarkStart w:id="1334" w:name="_Toc95223497"/>
      <w:bookmarkStart w:id="1335" w:name="_Toc9888"/>
      <w:r>
        <w:rPr>
          <w:rFonts w:hint="eastAsia" w:ascii="宋体" w:hAnsi="宋体" w:cs="宋体"/>
          <w:color w:val="auto"/>
          <w:kern w:val="0"/>
          <w:szCs w:val="21"/>
          <w:highlight w:val="none"/>
        </w:rPr>
        <w:t>第一条 甲乙双方的权利和义务</w:t>
      </w:r>
      <w:bookmarkEnd w:id="1333"/>
      <w:bookmarkEnd w:id="1334"/>
      <w:bookmarkEnd w:id="1335"/>
    </w:p>
    <w:p w14:paraId="2C632DEA">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74A7ADB7">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（二）严格执行</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的合同要求，自觉履行合同约定的相关义务。</w:t>
      </w:r>
    </w:p>
    <w:p w14:paraId="56BDE7FC">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（三）在业务活动中坚持公开、公正、诚信、透明的原则，不得损害国家、集体利益。</w:t>
      </w:r>
    </w:p>
    <w:p w14:paraId="140CE433">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（四）建立健全廉政制度，开展廉政教育，公布举报电话，监督并认真查处违法违纪行为。</w:t>
      </w:r>
    </w:p>
    <w:p w14:paraId="07E7D874">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（五）发现对方在业务活动中有违反廉政规定的行为，应及时提醒对方纠正。情节严重的，应向其上级有关部门举报、建议给予处理，并有权要求告知处理结果。</w:t>
      </w:r>
    </w:p>
    <w:p w14:paraId="12FAB6F6">
      <w:pPr>
        <w:widowControl/>
        <w:spacing w:line="360" w:lineRule="auto"/>
        <w:ind w:firstLine="420" w:firstLineChars="200"/>
        <w:jc w:val="left"/>
        <w:rPr>
          <w:rFonts w:hint="eastAsia" w:ascii="宋体" w:hAnsi="宋体" w:cs="宋体"/>
          <w:color w:val="auto"/>
          <w:kern w:val="0"/>
          <w:szCs w:val="21"/>
          <w:highlight w:val="none"/>
        </w:rPr>
      </w:pPr>
      <w:bookmarkStart w:id="1336" w:name="_Toc1917"/>
      <w:bookmarkStart w:id="1337" w:name="_Toc3866"/>
      <w:bookmarkStart w:id="1338" w:name="_Toc95223498"/>
      <w:r>
        <w:rPr>
          <w:rFonts w:hint="eastAsia" w:ascii="宋体" w:hAnsi="宋体" w:cs="宋体"/>
          <w:color w:val="auto"/>
          <w:kern w:val="0"/>
          <w:szCs w:val="21"/>
          <w:highlight w:val="none"/>
        </w:rPr>
        <w:t>第二条 甲方的义务</w:t>
      </w:r>
      <w:bookmarkEnd w:id="1336"/>
      <w:bookmarkEnd w:id="1337"/>
      <w:bookmarkEnd w:id="1338"/>
    </w:p>
    <w:p w14:paraId="71CB99E9">
      <w:pPr>
        <w:widowControl/>
        <w:spacing w:line="360" w:lineRule="auto"/>
        <w:ind w:firstLine="525" w:firstLineChars="2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(一)甲方及其工作人员不得索要或接受乙方的礼金、有价证券和贵重物品，不得在乙方报销任何应由甲方单位或个人支付的费用等。</w:t>
      </w:r>
    </w:p>
    <w:p w14:paraId="44FCA4CA">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4543DF07">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（三） 甲方及其工作人员不得要求或者接受乙方为其住房装修、婚丧嫁娶活动、配偶子女工作安排以及出国出境、旅游等提供方便等。</w:t>
      </w:r>
    </w:p>
    <w:p w14:paraId="60A0C636">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（四） 甲方工作人员不得在乙方有股权关联的企业兼职，不得向乙方介绍家属或者亲友从事与甲方业务有关的经济活动。</w:t>
      </w:r>
    </w:p>
    <w:p w14:paraId="170B6D26">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（五）甲方工作人员不得以明显低于市场的价格向乙方购买房屋、汽车等物品；不得以明显高于市场的价格向乙方出售房屋、汽车等物品；不得以其他交易形式非法收受请托人财物。</w:t>
      </w:r>
    </w:p>
    <w:p w14:paraId="3ECAF2EC">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（六）甲方工作人员不得利用职务之便收受乙方以回扣、手续费、加班费、咨询费、劳务费、协调费、辛苦费等各种名义给予或赠送的钱物。</w:t>
      </w:r>
    </w:p>
    <w:p w14:paraId="2A612DE0">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（七）甲方工作人员不得接受乙方给予或赠送的干股或红利。</w:t>
      </w:r>
    </w:p>
    <w:p w14:paraId="77C15EF1">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（八）甲方任何人不得以个人的名义向乙方推荐设备、部件等供货商以及其他合作单位。</w:t>
      </w:r>
    </w:p>
    <w:p w14:paraId="5FB8CBAF">
      <w:pPr>
        <w:widowControl/>
        <w:spacing w:line="360" w:lineRule="auto"/>
        <w:ind w:firstLine="420" w:firstLineChars="200"/>
        <w:jc w:val="left"/>
        <w:rPr>
          <w:rFonts w:hint="eastAsia" w:ascii="宋体" w:hAnsi="宋体" w:cs="宋体"/>
          <w:color w:val="auto"/>
          <w:kern w:val="0"/>
          <w:szCs w:val="21"/>
          <w:highlight w:val="none"/>
        </w:rPr>
      </w:pPr>
      <w:bookmarkStart w:id="1339" w:name="_Toc10556"/>
      <w:bookmarkStart w:id="1340" w:name="_Toc20831"/>
      <w:bookmarkStart w:id="1341" w:name="_Toc95223499"/>
      <w:r>
        <w:rPr>
          <w:rFonts w:hint="eastAsia" w:ascii="宋体" w:hAnsi="宋体" w:cs="宋体"/>
          <w:color w:val="auto"/>
          <w:kern w:val="0"/>
          <w:szCs w:val="21"/>
          <w:highlight w:val="none"/>
        </w:rPr>
        <w:t>第三条 乙方的义务</w:t>
      </w:r>
      <w:bookmarkEnd w:id="1339"/>
      <w:bookmarkEnd w:id="1340"/>
      <w:bookmarkEnd w:id="1341"/>
    </w:p>
    <w:p w14:paraId="6B83D764">
      <w:pPr>
        <w:widowControl/>
        <w:spacing w:line="360" w:lineRule="auto"/>
        <w:ind w:firstLine="525" w:firstLineChars="2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(一)乙方不得以任何理由向甲方及其工作人员行贿或馈赠礼金、有价证券、贵重礼品。</w:t>
      </w:r>
    </w:p>
    <w:p w14:paraId="125984A0">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（二)乙方不得以任何名义为甲方及其工作人员报销应由甲方单位或个人支付的任何费用。</w:t>
      </w:r>
    </w:p>
    <w:p w14:paraId="32CD12F3">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(三)乙方不得以任何理由安排甲方工作人员参加可能影响相关业务公开、公正、公平性的宴请及娱乐活动。</w:t>
      </w:r>
    </w:p>
    <w:p w14:paraId="4812F70B">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（四）乙方不得为甲方单位和个人购置或提供通讯工具和高档办公用品等物品，也不得为甲方提供与工作无关的房屋、汽车等。</w:t>
      </w:r>
    </w:p>
    <w:p w14:paraId="10CA79F8">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（五）乙方不得与甲方工作人员就合同中的质量、数量、价格、工程量、验收等条款进行私下商谈或者达成默契。</w:t>
      </w:r>
    </w:p>
    <w:p w14:paraId="489A056D">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（六）乙方不得以回扣、手续费、加班费、咨询费、劳务费、协调费、辛苦费等各种名义向甲方工作人员给予或赠送钱物。</w:t>
      </w:r>
    </w:p>
    <w:p w14:paraId="58B98ED0">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（七）乙方不得向甲方工作人员提供干股或红利。</w:t>
      </w:r>
    </w:p>
    <w:p w14:paraId="2EE105FF">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（八）乙方须按</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专项纪检监察工作组</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如有</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要求开展相关工作。</w:t>
      </w:r>
    </w:p>
    <w:p w14:paraId="109EC867">
      <w:pPr>
        <w:widowControl/>
        <w:spacing w:line="360" w:lineRule="auto"/>
        <w:ind w:firstLine="420" w:firstLineChars="200"/>
        <w:jc w:val="left"/>
        <w:rPr>
          <w:rFonts w:hint="eastAsia" w:ascii="宋体" w:hAnsi="宋体" w:cs="宋体"/>
          <w:color w:val="auto"/>
          <w:kern w:val="0"/>
          <w:szCs w:val="21"/>
          <w:highlight w:val="none"/>
        </w:rPr>
      </w:pPr>
      <w:bookmarkStart w:id="1342" w:name="_Toc14507"/>
      <w:bookmarkStart w:id="1343" w:name="_Toc95223500"/>
      <w:bookmarkStart w:id="1344" w:name="_Toc2198"/>
      <w:r>
        <w:rPr>
          <w:rFonts w:hint="eastAsia" w:ascii="宋体" w:hAnsi="宋体" w:cs="宋体"/>
          <w:color w:val="auto"/>
          <w:kern w:val="0"/>
          <w:szCs w:val="21"/>
          <w:highlight w:val="none"/>
        </w:rPr>
        <w:t>第四条 违约责任</w:t>
      </w:r>
      <w:bookmarkEnd w:id="1342"/>
      <w:bookmarkEnd w:id="1343"/>
      <w:bookmarkEnd w:id="1344"/>
    </w:p>
    <w:p w14:paraId="33DA9F98">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60B462FD">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甲方投诉联系部门：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，联系电话：</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671E6C4A">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（二）乙方及其工作人员违反本协议第一、三条规定。根据具体情节和造成的后果，甲方有权对乙方采取以下一种或多种处理办法：</w:t>
      </w:r>
    </w:p>
    <w:p w14:paraId="5B57D50C">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 全额收取乙方合同履约保证金不予退还； </w:t>
      </w:r>
    </w:p>
    <w:p w14:paraId="0CB72509">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 追究乙方其他违约责任；</w:t>
      </w:r>
    </w:p>
    <w:p w14:paraId="5EC1E860">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 终止或解除双方已签订的包括本合同在内的所有合同；</w:t>
      </w:r>
    </w:p>
    <w:p w14:paraId="7EDA5706">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 乙</w:t>
      </w:r>
      <w:r>
        <w:rPr>
          <w:rFonts w:hint="eastAsia" w:ascii="宋体" w:hAnsi="宋体" w:cs="宋体"/>
          <w:color w:val="auto"/>
          <w:kern w:val="0"/>
          <w:szCs w:val="21"/>
          <w:highlight w:val="none"/>
          <w:lang w:eastAsia="zh-CN"/>
        </w:rPr>
        <w:t>方在</w:t>
      </w:r>
      <w:r>
        <w:rPr>
          <w:rFonts w:hint="eastAsia" w:ascii="宋体" w:hAnsi="宋体" w:cs="宋体"/>
          <w:color w:val="auto"/>
          <w:kern w:val="0"/>
          <w:szCs w:val="21"/>
          <w:highlight w:val="none"/>
        </w:rPr>
        <w:t>一定期限内（6个月至3年，具体由甲方根据情况而定）不得参与甲方作为发包人（业主）的工程项目投标。</w:t>
      </w:r>
    </w:p>
    <w:p w14:paraId="0A3607D8">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甲方作出的处理意见，乙方应无条件接受并承担给甲方造成的损失，全额返还通过不正当手段从甲方获取的非法所得，并承担相应的法律责任。</w:t>
      </w:r>
    </w:p>
    <w:p w14:paraId="057D94F7">
      <w:pPr>
        <w:widowControl/>
        <w:spacing w:line="360" w:lineRule="auto"/>
        <w:ind w:firstLine="420" w:firstLineChars="200"/>
        <w:jc w:val="left"/>
        <w:rPr>
          <w:rFonts w:hint="eastAsia" w:ascii="宋体" w:hAnsi="宋体" w:cs="宋体"/>
          <w:color w:val="auto"/>
          <w:kern w:val="0"/>
          <w:szCs w:val="21"/>
          <w:highlight w:val="none"/>
        </w:rPr>
      </w:pPr>
      <w:bookmarkStart w:id="1345" w:name="_Toc95223501"/>
      <w:bookmarkStart w:id="1346" w:name="_Toc10228"/>
      <w:bookmarkStart w:id="1347" w:name="_Toc2334"/>
      <w:r>
        <w:rPr>
          <w:rFonts w:hint="eastAsia" w:ascii="宋体" w:hAnsi="宋体" w:cs="宋体"/>
          <w:color w:val="auto"/>
          <w:kern w:val="0"/>
          <w:szCs w:val="21"/>
          <w:highlight w:val="none"/>
        </w:rPr>
        <w:t>第五条 双方约定</w:t>
      </w:r>
      <w:bookmarkEnd w:id="1345"/>
      <w:bookmarkEnd w:id="1346"/>
      <w:bookmarkEnd w:id="1347"/>
    </w:p>
    <w:p w14:paraId="0F6C90A0">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本协议由双方或双方上级单位负责监督。可由甲方或甲方上级单位的纪检监察部门约请乙方或乙方上级单位的纪检监察部门对本协议履行情况进行检查，提出在本协议规定范围内的裁定意见。</w:t>
      </w:r>
    </w:p>
    <w:p w14:paraId="1117D77D">
      <w:pPr>
        <w:widowControl/>
        <w:spacing w:line="360" w:lineRule="auto"/>
        <w:ind w:firstLine="420" w:firstLineChars="200"/>
        <w:jc w:val="left"/>
        <w:rPr>
          <w:rFonts w:hint="eastAsia" w:ascii="宋体" w:hAnsi="宋体" w:cs="宋体"/>
          <w:color w:val="auto"/>
          <w:kern w:val="0"/>
          <w:szCs w:val="21"/>
          <w:highlight w:val="none"/>
        </w:rPr>
      </w:pPr>
      <w:bookmarkStart w:id="1348" w:name="_Toc95223502"/>
      <w:bookmarkStart w:id="1349" w:name="_Toc17717"/>
      <w:bookmarkStart w:id="1350" w:name="_Toc32140"/>
      <w:r>
        <w:rPr>
          <w:rFonts w:hint="eastAsia" w:ascii="宋体" w:hAnsi="宋体" w:cs="宋体"/>
          <w:color w:val="auto"/>
          <w:kern w:val="0"/>
          <w:szCs w:val="21"/>
          <w:highlight w:val="none"/>
        </w:rPr>
        <w:t>第六条  本协议有效期为甲乙双方签署之日起至合同终止。</w:t>
      </w:r>
      <w:bookmarkEnd w:id="1348"/>
      <w:bookmarkEnd w:id="1349"/>
      <w:bookmarkEnd w:id="1350"/>
      <w:r>
        <w:rPr>
          <w:rFonts w:hint="eastAsia" w:ascii="宋体" w:hAnsi="宋体" w:cs="宋体"/>
          <w:color w:val="auto"/>
          <w:kern w:val="0"/>
          <w:szCs w:val="21"/>
          <w:highlight w:val="none"/>
        </w:rPr>
        <w:t xml:space="preserve">  </w:t>
      </w:r>
    </w:p>
    <w:p w14:paraId="18C9B99E">
      <w:pPr>
        <w:widowControl/>
        <w:spacing w:line="360" w:lineRule="auto"/>
        <w:ind w:firstLine="420" w:firstLineChars="200"/>
        <w:jc w:val="left"/>
        <w:rPr>
          <w:rFonts w:hint="eastAsia" w:ascii="宋体" w:hAnsi="宋体" w:cs="宋体"/>
          <w:color w:val="auto"/>
          <w:kern w:val="0"/>
          <w:szCs w:val="21"/>
          <w:highlight w:val="none"/>
        </w:rPr>
      </w:pPr>
      <w:bookmarkStart w:id="1351" w:name="_Toc1871"/>
      <w:bookmarkStart w:id="1352" w:name="_Toc24032"/>
      <w:bookmarkStart w:id="1353" w:name="_Toc95223503"/>
      <w:r>
        <w:rPr>
          <w:rFonts w:hint="eastAsia" w:ascii="宋体" w:hAnsi="宋体" w:cs="宋体"/>
          <w:color w:val="auto"/>
          <w:kern w:val="0"/>
          <w:szCs w:val="21"/>
          <w:highlight w:val="none"/>
        </w:rPr>
        <w:t>第七条  本协议作为合同的附件，与本合同具有同等法律效力。</w:t>
      </w:r>
      <w:bookmarkEnd w:id="1351"/>
      <w:bookmarkEnd w:id="1352"/>
      <w:bookmarkEnd w:id="1353"/>
    </w:p>
    <w:p w14:paraId="74E6A18A">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p>
    <w:p w14:paraId="44A5AD4C">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甲方（盖章）：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乙方（盖章）：</w:t>
      </w:r>
      <w:r>
        <w:rPr>
          <w:rFonts w:hint="eastAsia" w:ascii="宋体" w:hAnsi="宋体" w:cs="宋体"/>
          <w:color w:val="auto"/>
          <w:kern w:val="0"/>
          <w:szCs w:val="21"/>
          <w:highlight w:val="none"/>
          <w:u w:val="single"/>
        </w:rPr>
        <w:t xml:space="preserve">                      </w:t>
      </w:r>
    </w:p>
    <w:p w14:paraId="3B2AFAD8">
      <w:pPr>
        <w:widowControl/>
        <w:spacing w:line="360" w:lineRule="auto"/>
        <w:ind w:firstLine="420" w:firstLineChars="200"/>
        <w:jc w:val="left"/>
        <w:rPr>
          <w:rFonts w:hint="eastAsia" w:ascii="宋体" w:hAnsi="宋体" w:cs="宋体"/>
          <w:color w:val="auto"/>
          <w:kern w:val="0"/>
          <w:szCs w:val="21"/>
          <w:highlight w:val="none"/>
        </w:rPr>
      </w:pPr>
    </w:p>
    <w:p w14:paraId="3D1C0B4A">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                                法定代表人或</w:t>
      </w:r>
    </w:p>
    <w:p w14:paraId="1C75D8FF">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授权代表：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eastAsia="zh-CN"/>
        </w:rPr>
        <w:t>（</w:t>
      </w:r>
      <w:r>
        <w:rPr>
          <w:rFonts w:hint="eastAsia" w:ascii="宋体" w:hAnsi="宋体" w:cs="宋体"/>
          <w:color w:val="auto"/>
          <w:kern w:val="0"/>
          <w:szCs w:val="21"/>
          <w:highlight w:val="none"/>
        </w:rPr>
        <w:t>职务</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授权代表：</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eastAsia="zh-CN"/>
        </w:rPr>
        <w:t>（</w:t>
      </w:r>
      <w:r>
        <w:rPr>
          <w:rFonts w:hint="eastAsia" w:ascii="宋体" w:hAnsi="宋体" w:cs="宋体"/>
          <w:color w:val="auto"/>
          <w:kern w:val="0"/>
          <w:szCs w:val="21"/>
          <w:highlight w:val="none"/>
        </w:rPr>
        <w:t>职务</w:t>
      </w:r>
      <w:r>
        <w:rPr>
          <w:rFonts w:hint="eastAsia" w:ascii="宋体" w:hAnsi="宋体" w:cs="宋体"/>
          <w:color w:val="auto"/>
          <w:kern w:val="0"/>
          <w:szCs w:val="21"/>
          <w:highlight w:val="none"/>
          <w:lang w:eastAsia="zh-CN"/>
        </w:rPr>
        <w:t>）</w:t>
      </w:r>
    </w:p>
    <w:p w14:paraId="5640E0C5">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姓名：</w:t>
      </w:r>
      <w:r>
        <w:rPr>
          <w:rFonts w:hint="eastAsia" w:ascii="宋体" w:hAnsi="宋体" w:cs="宋体"/>
          <w:color w:val="auto"/>
          <w:kern w:val="0"/>
          <w:szCs w:val="21"/>
          <w:highlight w:val="none"/>
          <w:u w:val="single"/>
        </w:rPr>
        <w:t xml:space="preserve">             </w:t>
      </w:r>
    </w:p>
    <w:p w14:paraId="725E0179">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签字：</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签字：</w:t>
      </w:r>
      <w:r>
        <w:rPr>
          <w:rFonts w:hint="eastAsia" w:ascii="宋体" w:hAnsi="宋体" w:cs="宋体"/>
          <w:color w:val="auto"/>
          <w:kern w:val="0"/>
          <w:szCs w:val="21"/>
          <w:highlight w:val="none"/>
          <w:u w:val="single"/>
        </w:rPr>
        <w:t xml:space="preserve">             </w:t>
      </w:r>
    </w:p>
    <w:p w14:paraId="266FC0E2">
      <w:pPr>
        <w:widowControl/>
        <w:spacing w:line="360" w:lineRule="auto"/>
        <w:ind w:firstLine="420" w:firstLineChars="200"/>
        <w:jc w:val="left"/>
        <w:rPr>
          <w:rFonts w:hint="eastAsia" w:ascii="宋体" w:hAnsi="宋体" w:cs="宋体"/>
          <w:color w:val="auto"/>
          <w:kern w:val="0"/>
          <w:szCs w:val="21"/>
          <w:highlight w:val="none"/>
        </w:rPr>
      </w:pPr>
    </w:p>
    <w:p w14:paraId="776DF6CC">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廉政监督联系人                              廉政监督联系人</w:t>
      </w:r>
    </w:p>
    <w:p w14:paraId="2C341145">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姓名：</w:t>
      </w:r>
      <w:r>
        <w:rPr>
          <w:rFonts w:hint="eastAsia" w:ascii="宋体" w:hAnsi="宋体" w:cs="宋体"/>
          <w:color w:val="auto"/>
          <w:kern w:val="0"/>
          <w:szCs w:val="21"/>
          <w:highlight w:val="none"/>
          <w:u w:val="single"/>
        </w:rPr>
        <w:t xml:space="preserve">                       </w:t>
      </w:r>
    </w:p>
    <w:p w14:paraId="35861181">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签字：</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签字：</w:t>
      </w:r>
      <w:r>
        <w:rPr>
          <w:rFonts w:hint="eastAsia" w:ascii="宋体" w:hAnsi="宋体" w:cs="宋体"/>
          <w:color w:val="auto"/>
          <w:kern w:val="0"/>
          <w:szCs w:val="21"/>
          <w:highlight w:val="none"/>
          <w:u w:val="single"/>
        </w:rPr>
        <w:t xml:space="preserve">                       </w:t>
      </w:r>
    </w:p>
    <w:p w14:paraId="690D570F">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电话：</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电话：</w:t>
      </w:r>
      <w:r>
        <w:rPr>
          <w:rFonts w:hint="eastAsia" w:ascii="宋体" w:hAnsi="宋体" w:cs="宋体"/>
          <w:color w:val="auto"/>
          <w:kern w:val="0"/>
          <w:szCs w:val="21"/>
          <w:highlight w:val="none"/>
          <w:u w:val="single"/>
        </w:rPr>
        <w:t xml:space="preserve">                       </w:t>
      </w:r>
    </w:p>
    <w:p w14:paraId="66538019">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地址：</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地址：</w:t>
      </w:r>
      <w:r>
        <w:rPr>
          <w:rFonts w:hint="eastAsia" w:ascii="宋体" w:hAnsi="宋体" w:cs="宋体"/>
          <w:color w:val="auto"/>
          <w:kern w:val="0"/>
          <w:szCs w:val="21"/>
          <w:highlight w:val="none"/>
          <w:u w:val="single"/>
        </w:rPr>
        <w:t xml:space="preserve">                       </w:t>
      </w:r>
    </w:p>
    <w:p w14:paraId="57318095">
      <w:pPr>
        <w:widowControl/>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日期：</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日期：</w:t>
      </w:r>
      <w:r>
        <w:rPr>
          <w:rFonts w:hint="eastAsia" w:ascii="宋体" w:hAnsi="宋体" w:cs="宋体"/>
          <w:color w:val="auto"/>
          <w:kern w:val="0"/>
          <w:szCs w:val="21"/>
          <w:highlight w:val="none"/>
          <w:u w:val="single"/>
        </w:rPr>
        <w:t xml:space="preserve">                       </w:t>
      </w:r>
    </w:p>
    <w:p w14:paraId="37399CB3">
      <w:pPr>
        <w:keepNext/>
        <w:keepLines/>
        <w:spacing w:before="120" w:after="120" w:line="360" w:lineRule="auto"/>
        <w:jc w:val="left"/>
        <w:outlineLvl w:val="2"/>
        <w:rPr>
          <w:rFonts w:hint="eastAsia" w:ascii="宋体" w:hAnsi="宋体" w:cs="宋体"/>
          <w:color w:val="auto"/>
          <w:szCs w:val="21"/>
          <w:highlight w:val="none"/>
        </w:rPr>
      </w:pPr>
      <w:r>
        <w:rPr>
          <w:rFonts w:hint="eastAsia" w:ascii="宋体" w:hAnsi="宋体" w:cs="宋体"/>
          <w:bCs/>
          <w:color w:val="auto"/>
          <w:kern w:val="0"/>
          <w:sz w:val="24"/>
          <w:szCs w:val="21"/>
          <w:highlight w:val="none"/>
        </w:rPr>
        <w:br w:type="page"/>
      </w:r>
      <w:bookmarkStart w:id="1354" w:name="_Toc95223504"/>
      <w:r>
        <w:rPr>
          <w:rFonts w:hint="eastAsia" w:ascii="宋体" w:hAnsi="宋体" w:cs="宋体"/>
          <w:bCs/>
          <w:color w:val="auto"/>
          <w:sz w:val="24"/>
          <w:highlight w:val="none"/>
        </w:rPr>
        <w:t>附件9：履约保证金</w:t>
      </w:r>
      <w:bookmarkEnd w:id="1354"/>
    </w:p>
    <w:p w14:paraId="73B788A0">
      <w:pPr>
        <w:adjustRightInd w:val="0"/>
        <w:snapToGrid w:val="0"/>
        <w:spacing w:line="360" w:lineRule="auto"/>
        <w:jc w:val="center"/>
        <w:rPr>
          <w:rFonts w:hint="eastAsia" w:ascii="宋体" w:hAnsi="宋体" w:cs="宋体"/>
          <w:b/>
          <w:bCs/>
          <w:color w:val="auto"/>
          <w:sz w:val="32"/>
          <w:szCs w:val="32"/>
          <w:highlight w:val="none"/>
        </w:rPr>
      </w:pPr>
      <w:bookmarkStart w:id="1355" w:name="_Toc25855"/>
      <w:bookmarkStart w:id="1356" w:name="_Toc95223505"/>
      <w:bookmarkStart w:id="1357" w:name="_Toc8655"/>
      <w:r>
        <w:rPr>
          <w:rFonts w:hint="eastAsia" w:ascii="宋体" w:hAnsi="宋体" w:cs="宋体"/>
          <w:b/>
          <w:bCs/>
          <w:color w:val="auto"/>
          <w:sz w:val="32"/>
          <w:szCs w:val="32"/>
          <w:highlight w:val="none"/>
        </w:rPr>
        <w:t>履约保函示范文本</w:t>
      </w:r>
      <w:bookmarkEnd w:id="1355"/>
      <w:bookmarkEnd w:id="1356"/>
      <w:bookmarkEnd w:id="1357"/>
    </w:p>
    <w:p w14:paraId="191B12D7">
      <w:pPr>
        <w:wordWrap w:val="0"/>
        <w:adjustRightInd w:val="0"/>
        <w:snapToGrid w:val="0"/>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rPr>
        <w:t xml:space="preserve">编号：           </w:t>
      </w:r>
    </w:p>
    <w:p w14:paraId="1DB5E965">
      <w:pPr>
        <w:adjustRightInd w:val="0"/>
        <w:snapToGrid w:val="0"/>
        <w:spacing w:line="360" w:lineRule="auto"/>
        <w:rPr>
          <w:rFonts w:hint="eastAsia" w:ascii="宋体" w:hAnsi="宋体" w:cs="宋体"/>
          <w:color w:val="auto"/>
          <w:szCs w:val="21"/>
          <w:highlight w:val="none"/>
        </w:rPr>
      </w:pPr>
    </w:p>
    <w:p w14:paraId="6A031B3A">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p w14:paraId="7F6A600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3EE6242A">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一、本保函担保范围：承包人未按照基础合同的约定履行义务，应当向受益人承担的违约责任和赔偿因此造成的损失、利息、律师费、诉讼费用等实现债权的费用。</w:t>
      </w:r>
    </w:p>
    <w:p w14:paraId="460743F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B09C37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三、本保函有效期自开立之日起至基础合同约定的缺陷责任期满之日止。 </w:t>
      </w:r>
    </w:p>
    <w:p w14:paraId="23492488">
      <w:pPr>
        <w:adjustRightInd w:val="0"/>
        <w:snapToGrid w:val="0"/>
        <w:spacing w:line="360" w:lineRule="auto"/>
        <w:ind w:firstLine="480"/>
        <w:rPr>
          <w:rFonts w:hint="eastAsia" w:ascii="宋体" w:hAnsi="宋体" w:cs="宋体"/>
          <w:color w:val="auto"/>
          <w:szCs w:val="21"/>
          <w:highlight w:val="none"/>
        </w:rPr>
      </w:pPr>
      <w:bookmarkStart w:id="1358" w:name="_Hlk40302764"/>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bookmarkEnd w:id="1358"/>
    <w:p w14:paraId="3F28D9A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038491F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（2）载明要求支付的金额；</w:t>
      </w:r>
    </w:p>
    <w:p w14:paraId="6ADBBE1A">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76154413">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7726980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BD019F3">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bookmarkStart w:id="1359" w:name="_Hlk40303486"/>
      <w:r>
        <w:rPr>
          <w:rFonts w:hint="eastAsia" w:ascii="宋体" w:hAnsi="宋体" w:cs="宋体"/>
          <w:color w:val="auto"/>
          <w:szCs w:val="21"/>
          <w:highlight w:val="none"/>
        </w:rPr>
        <w:t>受益人发出的书面付款通知应由其法定代表人（负责人）或授权代理人签字并加盖公章。</w:t>
      </w:r>
      <w:bookmarkEnd w:id="1359"/>
    </w:p>
    <w:p w14:paraId="3BACB8A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五、本保函项下的权利不得转让，不得设定担保。受益人未经我方书面同意转 让本保函或其项下任何权利，对我方不发生法律效力。 </w:t>
      </w:r>
    </w:p>
    <w:p w14:paraId="6C797DA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六、与本保函有关的基础合同不成立、不生效、无效、被撤销、被解除，不影响本保函的独立有效。 </w:t>
      </w:r>
    </w:p>
    <w:p w14:paraId="64C8FA94">
      <w:pPr>
        <w:adjustRightInd w:val="0"/>
        <w:snapToGrid w:val="0"/>
        <w:spacing w:line="360" w:lineRule="auto"/>
        <w:ind w:firstLine="420" w:firstLineChars="200"/>
        <w:rPr>
          <w:rFonts w:hint="eastAsia" w:ascii="宋体" w:hAnsi="宋体" w:cs="宋体"/>
          <w:color w:val="auto"/>
          <w:szCs w:val="21"/>
          <w:highlight w:val="none"/>
        </w:rPr>
      </w:pPr>
      <w:bookmarkStart w:id="1360" w:name="_Hlk40303383"/>
      <w:bookmarkStart w:id="1361" w:name="_Hlk40354981"/>
      <w:r>
        <w:rPr>
          <w:rFonts w:hint="eastAsia" w:ascii="宋体" w:hAnsi="宋体" w:cs="宋体"/>
          <w:color w:val="auto"/>
          <w:szCs w:val="21"/>
          <w:highlight w:val="none"/>
        </w:rPr>
        <w:t xml:space="preserve">七、本保函项下的义务和责任均在保函有效期到期后自动消灭。 </w:t>
      </w:r>
    </w:p>
    <w:p w14:paraId="19F59AB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八、本保函适用的法律为中华人民共和国法律，因本保函产生的纠纷案件，</w:t>
      </w:r>
      <w:bookmarkEnd w:id="1360"/>
      <w:r>
        <w:rPr>
          <w:rFonts w:hint="eastAsia" w:ascii="宋体" w:hAnsi="宋体" w:cs="宋体"/>
          <w:color w:val="auto"/>
          <w:szCs w:val="21"/>
          <w:highlight w:val="none"/>
        </w:rPr>
        <w:t xml:space="preserve">由受益人所在地人民法院管辖。 </w:t>
      </w:r>
    </w:p>
    <w:bookmarkEnd w:id="1361"/>
    <w:p w14:paraId="760A5B3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55511CE6">
      <w:pPr>
        <w:adjustRightInd w:val="0"/>
        <w:snapToGrid w:val="0"/>
        <w:spacing w:line="360" w:lineRule="auto"/>
        <w:ind w:firstLine="420" w:firstLineChars="200"/>
        <w:rPr>
          <w:rFonts w:hint="eastAsia" w:ascii="宋体" w:hAnsi="宋体" w:cs="宋体"/>
          <w:color w:val="auto"/>
          <w:szCs w:val="21"/>
          <w:highlight w:val="none"/>
        </w:rPr>
      </w:pPr>
    </w:p>
    <w:p w14:paraId="46113FD7">
      <w:pPr>
        <w:adjustRightInd w:val="0"/>
        <w:snapToGrid w:val="0"/>
        <w:spacing w:line="360" w:lineRule="auto"/>
        <w:ind w:firstLine="420" w:firstLineChars="200"/>
        <w:rPr>
          <w:rFonts w:hint="eastAsia" w:ascii="宋体" w:hAnsi="宋体" w:cs="宋体"/>
          <w:color w:val="auto"/>
          <w:szCs w:val="21"/>
          <w:highlight w:val="none"/>
        </w:rPr>
      </w:pPr>
    </w:p>
    <w:p w14:paraId="33447417">
      <w:pPr>
        <w:adjustRightInd w:val="0"/>
        <w:snapToGrid w:val="0"/>
        <w:spacing w:line="360" w:lineRule="auto"/>
        <w:ind w:firstLine="420" w:firstLineChars="200"/>
        <w:rPr>
          <w:rFonts w:hint="eastAsia" w:ascii="宋体" w:hAnsi="宋体" w:cs="宋体"/>
          <w:color w:val="auto"/>
          <w:szCs w:val="21"/>
          <w:highlight w:val="none"/>
        </w:rPr>
      </w:pPr>
    </w:p>
    <w:p w14:paraId="16D6E4B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247E7DD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3F236C0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0F30F18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6BC94AA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7390ED07">
      <w:pPr>
        <w:adjustRightInd w:val="0"/>
        <w:snapToGrid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0B54DBFD">
      <w:pPr>
        <w:adjustRightInd w:val="0"/>
        <w:snapToGrid w:val="0"/>
        <w:spacing w:line="360" w:lineRule="auto"/>
        <w:ind w:left="1323" w:leftChars="200" w:hanging="903" w:hangingChars="430"/>
        <w:rPr>
          <w:rFonts w:hint="eastAsia"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7D52DE">
      <w:pPr>
        <w:spacing w:line="360" w:lineRule="auto"/>
        <w:ind w:left="1329" w:hanging="1329" w:hangingChars="633"/>
        <w:rPr>
          <w:rFonts w:hint="eastAsia" w:ascii="宋体" w:hAnsi="宋体" w:cs="宋体"/>
          <w:color w:val="auto"/>
          <w:szCs w:val="21"/>
          <w:highlight w:val="none"/>
        </w:rPr>
      </w:pPr>
    </w:p>
    <w:p w14:paraId="58F25415">
      <w:pPr>
        <w:pStyle w:val="20"/>
        <w:rPr>
          <w:rFonts w:hint="eastAsia"/>
          <w:color w:val="auto"/>
          <w:highlight w:val="none"/>
        </w:rPr>
      </w:pPr>
    </w:p>
    <w:p w14:paraId="3C86E321">
      <w:pPr>
        <w:rPr>
          <w:rFonts w:hint="eastAsia"/>
          <w:color w:val="auto"/>
          <w:highlight w:val="none"/>
        </w:rPr>
      </w:pPr>
    </w:p>
    <w:p w14:paraId="421E9B29">
      <w:pPr>
        <w:pStyle w:val="20"/>
        <w:rPr>
          <w:rFonts w:hint="eastAsia"/>
          <w:color w:val="auto"/>
          <w:highlight w:val="none"/>
        </w:rPr>
      </w:pPr>
    </w:p>
    <w:p w14:paraId="25A74BBC">
      <w:pPr>
        <w:rPr>
          <w:rFonts w:hint="eastAsia"/>
          <w:color w:val="auto"/>
          <w:highlight w:val="none"/>
        </w:rPr>
      </w:pPr>
    </w:p>
    <w:p w14:paraId="00318F98">
      <w:pPr>
        <w:pStyle w:val="20"/>
        <w:rPr>
          <w:rFonts w:hint="eastAsia"/>
          <w:color w:val="auto"/>
          <w:highlight w:val="none"/>
        </w:rPr>
      </w:pPr>
    </w:p>
    <w:p w14:paraId="31056E2D">
      <w:pPr>
        <w:rPr>
          <w:rFonts w:hint="eastAsia"/>
          <w:color w:val="auto"/>
          <w:highlight w:val="none"/>
        </w:rPr>
      </w:pPr>
    </w:p>
    <w:p w14:paraId="5B957CCA">
      <w:pPr>
        <w:pStyle w:val="20"/>
        <w:rPr>
          <w:rFonts w:hint="eastAsia"/>
          <w:color w:val="auto"/>
          <w:highlight w:val="none"/>
        </w:rPr>
      </w:pPr>
    </w:p>
    <w:p w14:paraId="52035F2B">
      <w:pPr>
        <w:rPr>
          <w:rFonts w:hint="eastAsia"/>
          <w:color w:val="auto"/>
          <w:highlight w:val="none"/>
        </w:rPr>
      </w:pPr>
    </w:p>
    <w:p w14:paraId="1544D9FF">
      <w:pPr>
        <w:pStyle w:val="20"/>
        <w:rPr>
          <w:rFonts w:hint="eastAsia"/>
          <w:color w:val="auto"/>
          <w:highlight w:val="none"/>
        </w:rPr>
      </w:pPr>
    </w:p>
    <w:p w14:paraId="00D4F261">
      <w:pPr>
        <w:rPr>
          <w:rFonts w:hint="eastAsia"/>
          <w:color w:val="auto"/>
          <w:highlight w:val="none"/>
        </w:rPr>
      </w:pPr>
    </w:p>
    <w:p w14:paraId="0DCD61E8">
      <w:pPr>
        <w:pStyle w:val="20"/>
        <w:rPr>
          <w:rFonts w:hint="eastAsia"/>
          <w:color w:val="auto"/>
          <w:highlight w:val="none"/>
        </w:rPr>
      </w:pPr>
    </w:p>
    <w:p w14:paraId="6624EA2B">
      <w:pPr>
        <w:rPr>
          <w:rFonts w:hint="eastAsia"/>
          <w:color w:val="auto"/>
          <w:highlight w:val="none"/>
        </w:rPr>
      </w:pPr>
    </w:p>
    <w:p w14:paraId="13154D33">
      <w:pPr>
        <w:pStyle w:val="20"/>
        <w:rPr>
          <w:rFonts w:hint="eastAsia"/>
          <w:color w:val="auto"/>
          <w:highlight w:val="none"/>
        </w:rPr>
      </w:pPr>
    </w:p>
    <w:p w14:paraId="11464B10">
      <w:pPr>
        <w:rPr>
          <w:rFonts w:hint="eastAsia"/>
          <w:color w:val="auto"/>
          <w:highlight w:val="none"/>
        </w:rPr>
      </w:pPr>
    </w:p>
    <w:p w14:paraId="6F69E6A2">
      <w:pPr>
        <w:pStyle w:val="20"/>
        <w:rPr>
          <w:rFonts w:hint="eastAsia"/>
          <w:color w:val="auto"/>
          <w:highlight w:val="none"/>
        </w:rPr>
      </w:pPr>
    </w:p>
    <w:p w14:paraId="12309E6B">
      <w:pPr>
        <w:rPr>
          <w:rFonts w:hint="eastAsia"/>
          <w:color w:val="auto"/>
          <w:highlight w:val="none"/>
        </w:rPr>
      </w:pPr>
    </w:p>
    <w:p w14:paraId="06362620">
      <w:pPr>
        <w:pStyle w:val="20"/>
        <w:rPr>
          <w:rFonts w:hint="eastAsia"/>
          <w:color w:val="auto"/>
          <w:highlight w:val="none"/>
        </w:rPr>
      </w:pPr>
    </w:p>
    <w:p w14:paraId="682E19B9">
      <w:pPr>
        <w:rPr>
          <w:rFonts w:hint="eastAsia"/>
          <w:color w:val="auto"/>
          <w:highlight w:val="none"/>
        </w:rPr>
      </w:pPr>
    </w:p>
    <w:p w14:paraId="594B559D">
      <w:pPr>
        <w:pStyle w:val="20"/>
        <w:rPr>
          <w:rFonts w:hint="eastAsia"/>
          <w:color w:val="auto"/>
          <w:highlight w:val="none"/>
        </w:rPr>
      </w:pPr>
    </w:p>
    <w:p w14:paraId="26A8125F">
      <w:pPr>
        <w:rPr>
          <w:rFonts w:hint="eastAsia"/>
          <w:color w:val="auto"/>
          <w:highlight w:val="none"/>
        </w:rPr>
      </w:pPr>
    </w:p>
    <w:p w14:paraId="468250FE">
      <w:pPr>
        <w:pStyle w:val="20"/>
        <w:rPr>
          <w:rFonts w:hint="eastAsia"/>
          <w:color w:val="auto"/>
          <w:highlight w:val="none"/>
        </w:rPr>
      </w:pPr>
    </w:p>
    <w:p w14:paraId="316D0E6F">
      <w:pPr>
        <w:rPr>
          <w:rFonts w:hint="eastAsia"/>
          <w:color w:val="auto"/>
          <w:highlight w:val="none"/>
        </w:rPr>
      </w:pPr>
    </w:p>
    <w:p w14:paraId="731F2795">
      <w:pPr>
        <w:pStyle w:val="20"/>
        <w:rPr>
          <w:rFonts w:hint="eastAsia"/>
          <w:color w:val="auto"/>
          <w:highlight w:val="none"/>
        </w:rPr>
      </w:pPr>
    </w:p>
    <w:p w14:paraId="03468979">
      <w:pPr>
        <w:pStyle w:val="20"/>
        <w:ind w:left="0" w:leftChars="0" w:firstLine="0" w:firstLineChars="0"/>
        <w:rPr>
          <w:rFonts w:hint="eastAsia"/>
          <w:color w:val="auto"/>
          <w:highlight w:val="none"/>
        </w:rPr>
      </w:pPr>
    </w:p>
    <w:p w14:paraId="59771464">
      <w:pPr>
        <w:pStyle w:val="20"/>
        <w:rPr>
          <w:rFonts w:hint="eastAsia"/>
          <w:color w:val="auto"/>
          <w:highlight w:val="none"/>
        </w:rPr>
      </w:pPr>
    </w:p>
    <w:p w14:paraId="35F006D6">
      <w:pPr>
        <w:rPr>
          <w:rFonts w:hint="eastAsia"/>
          <w:color w:val="auto"/>
          <w:highlight w:val="none"/>
        </w:rPr>
      </w:pPr>
    </w:p>
    <w:p w14:paraId="0D527360">
      <w:pPr>
        <w:pStyle w:val="20"/>
        <w:rPr>
          <w:rFonts w:hint="eastAsia"/>
          <w:color w:val="auto"/>
          <w:highlight w:val="none"/>
        </w:rPr>
      </w:pPr>
    </w:p>
    <w:p w14:paraId="02D4FF34">
      <w:pPr>
        <w:rPr>
          <w:rFonts w:hint="eastAsia"/>
          <w:color w:val="auto"/>
          <w:highlight w:val="none"/>
        </w:rPr>
      </w:pPr>
    </w:p>
    <w:p w14:paraId="5F7A9E62">
      <w:pPr>
        <w:pStyle w:val="20"/>
        <w:rPr>
          <w:rFonts w:hint="eastAsia"/>
          <w:color w:val="auto"/>
          <w:highlight w:val="none"/>
        </w:rPr>
      </w:pPr>
    </w:p>
    <w:p w14:paraId="541B6B0D">
      <w:pPr>
        <w:rPr>
          <w:rFonts w:hint="eastAsia"/>
          <w:color w:val="auto"/>
          <w:highlight w:val="none"/>
        </w:rPr>
      </w:pPr>
    </w:p>
    <w:p w14:paraId="4B221EB8">
      <w:pPr>
        <w:pStyle w:val="20"/>
        <w:rPr>
          <w:rFonts w:hint="eastAsia"/>
          <w:color w:val="auto"/>
          <w:highlight w:val="none"/>
        </w:rPr>
      </w:pPr>
    </w:p>
    <w:p w14:paraId="5C450C0E">
      <w:pPr>
        <w:rPr>
          <w:rFonts w:hint="eastAsia"/>
          <w:color w:val="auto"/>
          <w:highlight w:val="none"/>
        </w:rPr>
      </w:pPr>
    </w:p>
    <w:p w14:paraId="22AB1455">
      <w:pPr>
        <w:pStyle w:val="20"/>
        <w:rPr>
          <w:rFonts w:hint="eastAsia"/>
          <w:color w:val="auto"/>
          <w:highlight w:val="none"/>
        </w:rPr>
      </w:pPr>
    </w:p>
    <w:p w14:paraId="7F88EA1F">
      <w:pPr>
        <w:spacing w:line="360" w:lineRule="auto"/>
        <w:rPr>
          <w:rFonts w:hint="eastAsia" w:ascii="宋体" w:hAnsi="宋体" w:cs="宋体"/>
          <w:color w:val="auto"/>
          <w:szCs w:val="21"/>
          <w:highlight w:val="none"/>
        </w:rPr>
      </w:pPr>
    </w:p>
    <w:p w14:paraId="47072DBB">
      <w:pPr>
        <w:keepNext/>
        <w:keepLines/>
        <w:spacing w:before="120" w:after="120" w:line="360" w:lineRule="auto"/>
        <w:jc w:val="left"/>
        <w:outlineLvl w:val="2"/>
        <w:rPr>
          <w:rFonts w:ascii="宋体" w:hAnsi="宋体" w:cs="宋体"/>
          <w:bCs/>
          <w:color w:val="auto"/>
          <w:sz w:val="24"/>
          <w:highlight w:val="none"/>
        </w:rPr>
        <w:sectPr>
          <w:footnotePr>
            <w:numFmt w:val="decimalEnclosedCircleChinese"/>
            <w:numRestart w:val="eachPage"/>
          </w:footnotePr>
          <w:pgSz w:w="11907" w:h="16840"/>
          <w:pgMar w:top="1474" w:right="1474" w:bottom="1474" w:left="1474" w:header="799" w:footer="907" w:gutter="0"/>
          <w:pgNumType w:fmt="numberInDash"/>
          <w:cols w:space="720" w:num="1"/>
          <w:docGrid w:linePitch="271" w:charSpace="0"/>
        </w:sectPr>
      </w:pPr>
      <w:bookmarkStart w:id="1362" w:name="_Toc95223508"/>
    </w:p>
    <w:p w14:paraId="7C0BDEBE">
      <w:pPr>
        <w:keepNext/>
        <w:keepLines/>
        <w:spacing w:before="120" w:after="120" w:line="360" w:lineRule="auto"/>
        <w:jc w:val="left"/>
        <w:outlineLvl w:val="2"/>
        <w:rPr>
          <w:rFonts w:hint="eastAsia" w:ascii="宋体" w:hAnsi="宋体" w:cs="宋体"/>
          <w:bCs/>
          <w:color w:val="auto"/>
          <w:sz w:val="24"/>
          <w:highlight w:val="none"/>
        </w:rPr>
      </w:pPr>
      <w:r>
        <w:rPr>
          <w:rFonts w:hint="eastAsia" w:ascii="宋体" w:hAnsi="宋体" w:cs="宋体"/>
          <w:bCs/>
          <w:color w:val="auto"/>
          <w:sz w:val="24"/>
          <w:highlight w:val="none"/>
        </w:rPr>
        <w:t>附</w:t>
      </w:r>
      <w:bookmarkStart w:id="1363" w:name="_Toc296891273"/>
      <w:bookmarkStart w:id="1364" w:name="_Toc296891061"/>
      <w:bookmarkStart w:id="1365" w:name="_Toc296944572"/>
      <w:bookmarkStart w:id="1366" w:name="_Toc296503233"/>
      <w:bookmarkStart w:id="1367" w:name="_Toc296347232"/>
      <w:bookmarkStart w:id="1368" w:name="_Toc296346734"/>
      <w:r>
        <w:rPr>
          <w:rFonts w:hint="eastAsia" w:ascii="宋体" w:hAnsi="宋体" w:cs="宋体"/>
          <w:bCs/>
          <w:color w:val="auto"/>
          <w:sz w:val="24"/>
          <w:highlight w:val="none"/>
        </w:rPr>
        <w:t>件10：支付担保</w:t>
      </w:r>
      <w:bookmarkEnd w:id="1362"/>
      <w:bookmarkEnd w:id="1363"/>
      <w:bookmarkEnd w:id="1364"/>
      <w:bookmarkEnd w:id="1365"/>
      <w:bookmarkEnd w:id="1366"/>
      <w:bookmarkEnd w:id="1367"/>
      <w:bookmarkEnd w:id="1368"/>
    </w:p>
    <w:p w14:paraId="162FAA55">
      <w:pPr>
        <w:adjustRightInd w:val="0"/>
        <w:snapToGrid w:val="0"/>
        <w:spacing w:line="360" w:lineRule="auto"/>
        <w:jc w:val="center"/>
        <w:rPr>
          <w:rFonts w:hint="eastAsia" w:ascii="宋体" w:hAnsi="宋体" w:cs="宋体"/>
          <w:b/>
          <w:bCs/>
          <w:color w:val="auto"/>
          <w:sz w:val="32"/>
          <w:szCs w:val="32"/>
          <w:highlight w:val="none"/>
        </w:rPr>
      </w:pPr>
      <w:bookmarkStart w:id="1369" w:name="_Toc8319"/>
      <w:bookmarkStart w:id="1370" w:name="_Toc3562"/>
      <w:bookmarkStart w:id="1371" w:name="_Toc95223509"/>
      <w:r>
        <w:rPr>
          <w:rFonts w:hint="eastAsia" w:ascii="宋体" w:hAnsi="宋体" w:cs="宋体"/>
          <w:b/>
          <w:bCs/>
          <w:color w:val="auto"/>
          <w:sz w:val="32"/>
          <w:szCs w:val="32"/>
          <w:highlight w:val="none"/>
        </w:rPr>
        <w:t>支付保函示范文本</w:t>
      </w:r>
      <w:bookmarkEnd w:id="1369"/>
      <w:bookmarkEnd w:id="1370"/>
      <w:bookmarkEnd w:id="1371"/>
    </w:p>
    <w:p w14:paraId="4AEA7492">
      <w:pPr>
        <w:wordWrap w:val="0"/>
        <w:adjustRightInd w:val="0"/>
        <w:snapToGrid w:val="0"/>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rPr>
        <w:t xml:space="preserve">编号：           </w:t>
      </w:r>
    </w:p>
    <w:p w14:paraId="456416B3">
      <w:pPr>
        <w:adjustRightInd w:val="0"/>
        <w:snapToGrid w:val="0"/>
        <w:spacing w:line="360" w:lineRule="auto"/>
        <w:rPr>
          <w:rFonts w:hint="eastAsia" w:ascii="宋体" w:hAnsi="宋体" w:cs="宋体"/>
          <w:color w:val="auto"/>
          <w:szCs w:val="21"/>
          <w:highlight w:val="none"/>
        </w:rPr>
      </w:pPr>
    </w:p>
    <w:p w14:paraId="4FEA9BFE">
      <w:pPr>
        <w:adjustRightInd w:val="0"/>
        <w:snapToGrid w:val="0"/>
        <w:spacing w:line="360" w:lineRule="auto"/>
        <w:rPr>
          <w:rFonts w:hint="eastAsia" w:ascii="宋体" w:hAnsi="宋体" w:cs="宋体"/>
          <w:color w:val="auto"/>
          <w:szCs w:val="21"/>
          <w:highlight w:val="none"/>
        </w:rPr>
      </w:pPr>
      <w:bookmarkStart w:id="1372" w:name="_Hlk40355074"/>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（受益人名称）： </w:t>
      </w:r>
    </w:p>
    <w:bookmarkEnd w:id="1372"/>
    <w:p w14:paraId="5AF03AA6">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（以下简称“受益人”）与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（以下简称“申请人”）于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日就</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（标段编号）的</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（标段名称）</w:t>
      </w:r>
      <w:r>
        <w:rPr>
          <w:rFonts w:hint="eastAsia" w:ascii="宋体" w:hAnsi="宋体" w:cs="宋体"/>
          <w:color w:val="auto"/>
          <w:szCs w:val="21"/>
          <w:highlight w:val="none"/>
        </w:rPr>
        <w:t>有关事项协商一致共同签订</w:t>
      </w:r>
      <w:r>
        <w:rPr>
          <w:rFonts w:hint="eastAsia" w:ascii="宋体" w:hAnsi="宋体" w:cs="宋体"/>
          <w:color w:val="auto"/>
          <w:szCs w:val="21"/>
          <w:highlight w:val="none"/>
          <w:u w:val="single"/>
        </w:rPr>
        <w:t>《        》</w:t>
      </w:r>
      <w:r>
        <w:rPr>
          <w:rFonts w:hint="eastAsia" w:ascii="宋体" w:hAnsi="宋体" w:cs="宋体"/>
          <w:color w:val="auto"/>
          <w:szCs w:val="21"/>
          <w:highlight w:val="none"/>
        </w:rPr>
        <w:t xml:space="preserve">（以下简称基础合同”），开立人根据基础合同了解到申请人为基础合同项下之发包人，受益人为基础合同项下之承包人，基于申请人的请求，开立人同意就申请人履行与受益人签订的基础合同项下的工程款（指基础合同约定的除工程质量保修金以外的工程款）付款义务，向受益人提供不可撤销、不可转让的见索即付独立保函（以下简称“本保函”）。 </w:t>
      </w:r>
    </w:p>
    <w:p w14:paraId="0BED8E7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一、本保函担保范围：申请人未履行基础合同约定的工程款支付义务，应当向受益人</w:t>
      </w:r>
      <w:r>
        <w:rPr>
          <w:rFonts w:hint="eastAsia" w:ascii="宋体" w:hAnsi="宋体" w:cs="宋体"/>
          <w:color w:val="auto"/>
          <w:szCs w:val="21"/>
          <w:highlight w:val="none"/>
          <w:lang w:eastAsia="zh-CN"/>
        </w:rPr>
        <w:t>承担</w:t>
      </w:r>
      <w:r>
        <w:rPr>
          <w:rFonts w:hint="eastAsia" w:ascii="宋体" w:hAnsi="宋体" w:cs="宋体"/>
          <w:color w:val="auto"/>
          <w:szCs w:val="21"/>
          <w:highlight w:val="none"/>
        </w:rPr>
        <w:t>违约责任和赔偿因此造成的损失、利息、律师费、诉讼费用等实现债权的费用。</w:t>
      </w:r>
    </w:p>
    <w:p w14:paraId="51F3304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二、本保函担保金额最高不超过人民币（大写）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35676EDB">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三、本保函有效期自开立之日起至基础合同约定的除工程质量保修金以外的全部工程结算款项支付之日后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日止。 </w:t>
      </w:r>
    </w:p>
    <w:p w14:paraId="189597AF">
      <w:pPr>
        <w:adjustRightInd w:val="0"/>
        <w:snapToGrid w:val="0"/>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rPr>
        <w:t>四、开立人承诺，在收到受益人发来的书面付款通知后的七日内无条件支付，前述书面付款通知即为付款要求之单据，且应满足以下要求：</w:t>
      </w:r>
    </w:p>
    <w:p w14:paraId="1ACBC28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（1）付款通知到达的日期在本保函的有效期内；</w:t>
      </w:r>
    </w:p>
    <w:p w14:paraId="7957118D">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（2）载明要求支付的金额；</w:t>
      </w:r>
    </w:p>
    <w:p w14:paraId="1ACBA2D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（3）载明申请人违反合同义务的条款和内容；</w:t>
      </w:r>
    </w:p>
    <w:p w14:paraId="26D8FC7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（4）声明不存在合同文件约定或我国法律规定免除申请人或开立人支付责任的情形；</w:t>
      </w:r>
    </w:p>
    <w:p w14:paraId="72A772B9">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（5）付款通知应在本保函有效期内到达的地址是：</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B24892C">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受益人发出的书面付款通知应由其法定代表人（负责人）或授权代理人签字并加盖公章。</w:t>
      </w:r>
    </w:p>
    <w:p w14:paraId="2B532CFF">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五、本保函项下的权利不得转让，不得设定担保。受益人未经开立人书面同意转让本保函或其项下任何权利，对开立人不发生法律效力。 </w:t>
      </w:r>
    </w:p>
    <w:p w14:paraId="5BDCBD61">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六、本保函项下的基础交易不成立、不生效、无效、被撤销、被解除，不影响本保函的独立有效。</w:t>
      </w:r>
    </w:p>
    <w:p w14:paraId="19FD66A7">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七、本保函项下的义务和责任均在保函有效期到期后自动消灭。 </w:t>
      </w:r>
    </w:p>
    <w:p w14:paraId="20A4A4D0">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八、本保函适用的法律为中华人民共和国法律，因本保函产生的纠纷案件，由申请人所在地人民法院管辖。 </w:t>
      </w:r>
    </w:p>
    <w:p w14:paraId="3A5CC2C8">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九、本保函自我方法定代表人或授权代表签字并加盖公章之日起生效。 </w:t>
      </w:r>
    </w:p>
    <w:p w14:paraId="2A35A2FD">
      <w:pPr>
        <w:adjustRightInd w:val="0"/>
        <w:snapToGrid w:val="0"/>
        <w:spacing w:line="360" w:lineRule="auto"/>
        <w:ind w:firstLine="420" w:firstLineChars="200"/>
        <w:rPr>
          <w:rFonts w:hint="eastAsia" w:ascii="宋体" w:hAnsi="宋体" w:cs="宋体"/>
          <w:color w:val="auto"/>
          <w:szCs w:val="21"/>
          <w:highlight w:val="none"/>
        </w:rPr>
      </w:pPr>
    </w:p>
    <w:p w14:paraId="5AB74D0E">
      <w:pPr>
        <w:adjustRightInd w:val="0"/>
        <w:snapToGrid w:val="0"/>
        <w:spacing w:line="360" w:lineRule="auto"/>
        <w:ind w:firstLine="420" w:firstLineChars="200"/>
        <w:rPr>
          <w:rFonts w:hint="eastAsia" w:ascii="宋体" w:hAnsi="宋体" w:cs="宋体"/>
          <w:color w:val="auto"/>
          <w:szCs w:val="21"/>
          <w:highlight w:val="none"/>
        </w:rPr>
      </w:pPr>
    </w:p>
    <w:p w14:paraId="21E7911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 立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（公章） </w:t>
      </w:r>
    </w:p>
    <w:p w14:paraId="32D23B7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（签字） </w:t>
      </w:r>
    </w:p>
    <w:p w14:paraId="39EB0C34">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7349438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395FB9E2">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4C4EA4B3">
      <w:pPr>
        <w:adjustRightInd w:val="0"/>
        <w:snapToGrid w:val="0"/>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3B3768D0">
      <w:pPr>
        <w:adjustRightInd w:val="0"/>
        <w:snapToGrid w:val="0"/>
        <w:spacing w:line="360" w:lineRule="auto"/>
        <w:ind w:left="1323" w:leftChars="200" w:hanging="903" w:hangingChars="430"/>
        <w:rPr>
          <w:rFonts w:hint="eastAsia" w:ascii="宋体" w:hAnsi="宋体" w:cs="宋体"/>
          <w:color w:val="auto"/>
          <w:szCs w:val="21"/>
          <w:highlight w:val="none"/>
        </w:rPr>
      </w:pPr>
      <w:r>
        <w:rPr>
          <w:rFonts w:hint="eastAsia" w:ascii="宋体" w:hAnsi="宋体" w:cs="宋体"/>
          <w:color w:val="auto"/>
          <w:szCs w:val="21"/>
          <w:highlight w:val="none"/>
        </w:rPr>
        <w:t>开立时间：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48476237">
      <w:pPr>
        <w:adjustRightInd w:val="0"/>
        <w:snapToGrid w:val="0"/>
        <w:spacing w:line="360" w:lineRule="auto"/>
        <w:rPr>
          <w:rFonts w:hint="eastAsia" w:ascii="宋体" w:hAnsi="宋体" w:cs="宋体"/>
          <w:color w:val="auto"/>
          <w:szCs w:val="21"/>
          <w:highlight w:val="none"/>
        </w:rPr>
      </w:pPr>
    </w:p>
    <w:p w14:paraId="71EE749F">
      <w:pPr>
        <w:adjustRightInd w:val="0"/>
        <w:snapToGrid w:val="0"/>
        <w:spacing w:line="360" w:lineRule="auto"/>
        <w:rPr>
          <w:rFonts w:hint="eastAsia" w:ascii="宋体" w:hAnsi="宋体" w:cs="宋体"/>
          <w:color w:val="auto"/>
          <w:szCs w:val="21"/>
          <w:highlight w:val="none"/>
        </w:rPr>
      </w:pPr>
    </w:p>
    <w:p w14:paraId="5BFA1B8A">
      <w:pPr>
        <w:adjustRightInd w:val="0"/>
        <w:snapToGrid w:val="0"/>
        <w:spacing w:line="360" w:lineRule="auto"/>
        <w:rPr>
          <w:rFonts w:hint="eastAsia" w:ascii="宋体" w:hAnsi="宋体" w:cs="宋体"/>
          <w:color w:val="auto"/>
          <w:szCs w:val="21"/>
          <w:highlight w:val="none"/>
        </w:rPr>
      </w:pPr>
    </w:p>
    <w:p w14:paraId="2F979FAA">
      <w:pPr>
        <w:keepNext/>
        <w:keepLines/>
        <w:adjustRightInd w:val="0"/>
        <w:snapToGrid w:val="0"/>
        <w:spacing w:line="360" w:lineRule="auto"/>
        <w:jc w:val="left"/>
        <w:outlineLvl w:val="2"/>
        <w:rPr>
          <w:rFonts w:hint="eastAsia" w:ascii="宋体" w:hAnsi="宋体" w:cs="宋体"/>
          <w:bCs/>
          <w:color w:val="auto"/>
          <w:sz w:val="24"/>
          <w:highlight w:val="none"/>
        </w:rPr>
      </w:pPr>
      <w:r>
        <w:rPr>
          <w:rFonts w:hint="eastAsia" w:ascii="宋体" w:hAnsi="宋体" w:cs="宋体"/>
          <w:bCs/>
          <w:color w:val="auto"/>
          <w:sz w:val="24"/>
          <w:highlight w:val="none"/>
        </w:rPr>
        <w:br w:type="page"/>
      </w:r>
      <w:bookmarkStart w:id="1373" w:name="_Toc95223510"/>
      <w:r>
        <w:rPr>
          <w:rFonts w:hint="eastAsia" w:ascii="宋体" w:hAnsi="宋体" w:cs="宋体"/>
          <w:bCs/>
          <w:color w:val="auto"/>
          <w:sz w:val="24"/>
          <w:highlight w:val="none"/>
        </w:rPr>
        <w:t>附件11：暂估价一览表</w:t>
      </w:r>
      <w:bookmarkEnd w:id="1373"/>
    </w:p>
    <w:p w14:paraId="146F20F8">
      <w:pPr>
        <w:spacing w:before="120" w:beforeLines="50" w:after="120"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12-1：材料暂估价表</w:t>
      </w:r>
    </w:p>
    <w:tbl>
      <w:tblPr>
        <w:tblStyle w:val="21"/>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216BF8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1868CBCC">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84" w:type="dxa"/>
            <w:tcBorders>
              <w:top w:val="single" w:color="auto" w:sz="12" w:space="0"/>
              <w:bottom w:val="double" w:color="auto" w:sz="6" w:space="0"/>
            </w:tcBorders>
            <w:noWrap w:val="0"/>
            <w:vAlign w:val="top"/>
          </w:tcPr>
          <w:p w14:paraId="3C59F3D4">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851" w:type="dxa"/>
            <w:tcBorders>
              <w:top w:val="single" w:color="auto" w:sz="12" w:space="0"/>
              <w:bottom w:val="double" w:color="auto" w:sz="6" w:space="0"/>
            </w:tcBorders>
            <w:noWrap w:val="0"/>
            <w:vAlign w:val="top"/>
          </w:tcPr>
          <w:p w14:paraId="5C5DDCAA">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774" w:type="dxa"/>
            <w:tcBorders>
              <w:top w:val="single" w:color="auto" w:sz="12" w:space="0"/>
              <w:bottom w:val="double" w:color="auto" w:sz="6" w:space="0"/>
            </w:tcBorders>
            <w:noWrap w:val="0"/>
            <w:vAlign w:val="top"/>
          </w:tcPr>
          <w:p w14:paraId="57A448B1">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352" w:type="dxa"/>
            <w:tcBorders>
              <w:top w:val="single" w:color="auto" w:sz="12" w:space="0"/>
              <w:bottom w:val="double" w:color="auto" w:sz="6" w:space="0"/>
            </w:tcBorders>
            <w:noWrap w:val="0"/>
            <w:vAlign w:val="top"/>
          </w:tcPr>
          <w:p w14:paraId="76E84C9F">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单价（元）</w:t>
            </w:r>
          </w:p>
        </w:tc>
        <w:tc>
          <w:tcPr>
            <w:tcW w:w="1418" w:type="dxa"/>
            <w:tcBorders>
              <w:top w:val="single" w:color="auto" w:sz="12" w:space="0"/>
              <w:bottom w:val="double" w:color="auto" w:sz="6" w:space="0"/>
            </w:tcBorders>
            <w:noWrap w:val="0"/>
            <w:vAlign w:val="top"/>
          </w:tcPr>
          <w:p w14:paraId="165476F9">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合价（元）</w:t>
            </w:r>
          </w:p>
        </w:tc>
        <w:tc>
          <w:tcPr>
            <w:tcW w:w="1701" w:type="dxa"/>
            <w:tcBorders>
              <w:top w:val="single" w:color="auto" w:sz="12" w:space="0"/>
              <w:bottom w:val="double" w:color="auto" w:sz="6" w:space="0"/>
            </w:tcBorders>
            <w:noWrap w:val="0"/>
            <w:vAlign w:val="top"/>
          </w:tcPr>
          <w:p w14:paraId="03CB6C63">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028A7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1A4034B7">
            <w:pPr>
              <w:keepNext/>
              <w:spacing w:line="440" w:lineRule="exact"/>
              <w:rPr>
                <w:rFonts w:hint="eastAsia" w:ascii="宋体" w:hAnsi="宋体" w:cs="宋体"/>
                <w:color w:val="auto"/>
                <w:szCs w:val="21"/>
                <w:highlight w:val="none"/>
              </w:rPr>
            </w:pPr>
          </w:p>
        </w:tc>
        <w:tc>
          <w:tcPr>
            <w:tcW w:w="1984" w:type="dxa"/>
            <w:tcBorders>
              <w:top w:val="double" w:color="auto" w:sz="6" w:space="0"/>
            </w:tcBorders>
            <w:noWrap w:val="0"/>
            <w:vAlign w:val="top"/>
          </w:tcPr>
          <w:p w14:paraId="28686243">
            <w:pPr>
              <w:keepNext/>
              <w:spacing w:line="440" w:lineRule="exact"/>
              <w:rPr>
                <w:rFonts w:hint="eastAsia" w:ascii="宋体" w:hAnsi="宋体" w:cs="宋体"/>
                <w:color w:val="auto"/>
                <w:szCs w:val="21"/>
                <w:highlight w:val="none"/>
              </w:rPr>
            </w:pPr>
          </w:p>
        </w:tc>
        <w:tc>
          <w:tcPr>
            <w:tcW w:w="851" w:type="dxa"/>
            <w:tcBorders>
              <w:top w:val="double" w:color="auto" w:sz="6" w:space="0"/>
            </w:tcBorders>
            <w:noWrap w:val="0"/>
            <w:vAlign w:val="top"/>
          </w:tcPr>
          <w:p w14:paraId="23FA4275">
            <w:pPr>
              <w:keepNext/>
              <w:spacing w:line="440" w:lineRule="exact"/>
              <w:rPr>
                <w:rFonts w:hint="eastAsia" w:ascii="宋体" w:hAnsi="宋体" w:cs="宋体"/>
                <w:color w:val="auto"/>
                <w:szCs w:val="21"/>
                <w:highlight w:val="none"/>
              </w:rPr>
            </w:pPr>
          </w:p>
        </w:tc>
        <w:tc>
          <w:tcPr>
            <w:tcW w:w="774" w:type="dxa"/>
            <w:tcBorders>
              <w:top w:val="double" w:color="auto" w:sz="6" w:space="0"/>
            </w:tcBorders>
            <w:noWrap w:val="0"/>
            <w:vAlign w:val="top"/>
          </w:tcPr>
          <w:p w14:paraId="0497628F">
            <w:pPr>
              <w:keepNext/>
              <w:spacing w:line="440" w:lineRule="exact"/>
              <w:rPr>
                <w:rFonts w:hint="eastAsia" w:ascii="宋体" w:hAnsi="宋体" w:cs="宋体"/>
                <w:color w:val="auto"/>
                <w:szCs w:val="21"/>
                <w:highlight w:val="none"/>
              </w:rPr>
            </w:pPr>
          </w:p>
        </w:tc>
        <w:tc>
          <w:tcPr>
            <w:tcW w:w="1352" w:type="dxa"/>
            <w:tcBorders>
              <w:top w:val="double" w:color="auto" w:sz="6" w:space="0"/>
            </w:tcBorders>
            <w:noWrap w:val="0"/>
            <w:vAlign w:val="top"/>
          </w:tcPr>
          <w:p w14:paraId="00883DEF">
            <w:pPr>
              <w:keepNext/>
              <w:spacing w:line="440" w:lineRule="exact"/>
              <w:rPr>
                <w:rFonts w:hint="eastAsia" w:ascii="宋体" w:hAnsi="宋体" w:cs="宋体"/>
                <w:color w:val="auto"/>
                <w:szCs w:val="21"/>
                <w:highlight w:val="none"/>
              </w:rPr>
            </w:pPr>
          </w:p>
        </w:tc>
        <w:tc>
          <w:tcPr>
            <w:tcW w:w="1418" w:type="dxa"/>
            <w:tcBorders>
              <w:top w:val="double" w:color="auto" w:sz="6" w:space="0"/>
            </w:tcBorders>
            <w:noWrap w:val="0"/>
            <w:vAlign w:val="top"/>
          </w:tcPr>
          <w:p w14:paraId="7CAABD59">
            <w:pPr>
              <w:keepNext/>
              <w:spacing w:line="440" w:lineRule="exact"/>
              <w:rPr>
                <w:rFonts w:hint="eastAsia" w:ascii="宋体" w:hAnsi="宋体" w:cs="宋体"/>
                <w:color w:val="auto"/>
                <w:szCs w:val="21"/>
                <w:highlight w:val="none"/>
              </w:rPr>
            </w:pPr>
          </w:p>
        </w:tc>
        <w:tc>
          <w:tcPr>
            <w:tcW w:w="1701" w:type="dxa"/>
            <w:tcBorders>
              <w:top w:val="double" w:color="auto" w:sz="6" w:space="0"/>
            </w:tcBorders>
            <w:noWrap w:val="0"/>
            <w:vAlign w:val="top"/>
          </w:tcPr>
          <w:p w14:paraId="30DBB0F1">
            <w:pPr>
              <w:keepNext/>
              <w:spacing w:line="440" w:lineRule="exact"/>
              <w:rPr>
                <w:rFonts w:hint="eastAsia" w:ascii="宋体" w:hAnsi="宋体" w:cs="宋体"/>
                <w:color w:val="auto"/>
                <w:szCs w:val="21"/>
                <w:highlight w:val="none"/>
              </w:rPr>
            </w:pPr>
          </w:p>
        </w:tc>
      </w:tr>
      <w:tr w14:paraId="606218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000F3157">
            <w:pPr>
              <w:keepNext/>
              <w:spacing w:line="440" w:lineRule="exact"/>
              <w:rPr>
                <w:rFonts w:hint="eastAsia" w:ascii="宋体" w:hAnsi="宋体" w:cs="宋体"/>
                <w:color w:val="auto"/>
                <w:szCs w:val="21"/>
                <w:highlight w:val="none"/>
              </w:rPr>
            </w:pPr>
          </w:p>
        </w:tc>
        <w:tc>
          <w:tcPr>
            <w:tcW w:w="1984" w:type="dxa"/>
            <w:tcBorders>
              <w:top w:val="nil"/>
            </w:tcBorders>
            <w:noWrap w:val="0"/>
            <w:vAlign w:val="top"/>
          </w:tcPr>
          <w:p w14:paraId="75227686">
            <w:pPr>
              <w:keepNext/>
              <w:spacing w:line="440" w:lineRule="exact"/>
              <w:rPr>
                <w:rFonts w:hint="eastAsia" w:ascii="宋体" w:hAnsi="宋体" w:cs="宋体"/>
                <w:color w:val="auto"/>
                <w:szCs w:val="21"/>
                <w:highlight w:val="none"/>
              </w:rPr>
            </w:pPr>
          </w:p>
        </w:tc>
        <w:tc>
          <w:tcPr>
            <w:tcW w:w="851" w:type="dxa"/>
            <w:tcBorders>
              <w:top w:val="nil"/>
            </w:tcBorders>
            <w:noWrap w:val="0"/>
            <w:vAlign w:val="top"/>
          </w:tcPr>
          <w:p w14:paraId="784F79D5">
            <w:pPr>
              <w:keepNext/>
              <w:spacing w:line="440" w:lineRule="exact"/>
              <w:rPr>
                <w:rFonts w:hint="eastAsia" w:ascii="宋体" w:hAnsi="宋体" w:cs="宋体"/>
                <w:color w:val="auto"/>
                <w:szCs w:val="21"/>
                <w:highlight w:val="none"/>
              </w:rPr>
            </w:pPr>
          </w:p>
        </w:tc>
        <w:tc>
          <w:tcPr>
            <w:tcW w:w="774" w:type="dxa"/>
            <w:tcBorders>
              <w:top w:val="nil"/>
            </w:tcBorders>
            <w:noWrap w:val="0"/>
            <w:vAlign w:val="top"/>
          </w:tcPr>
          <w:p w14:paraId="0384B8A4">
            <w:pPr>
              <w:keepNext/>
              <w:spacing w:line="440" w:lineRule="exact"/>
              <w:rPr>
                <w:rFonts w:hint="eastAsia" w:ascii="宋体" w:hAnsi="宋体" w:cs="宋体"/>
                <w:color w:val="auto"/>
                <w:szCs w:val="21"/>
                <w:highlight w:val="none"/>
              </w:rPr>
            </w:pPr>
          </w:p>
        </w:tc>
        <w:tc>
          <w:tcPr>
            <w:tcW w:w="1352" w:type="dxa"/>
            <w:tcBorders>
              <w:top w:val="nil"/>
            </w:tcBorders>
            <w:noWrap w:val="0"/>
            <w:vAlign w:val="top"/>
          </w:tcPr>
          <w:p w14:paraId="157533EA">
            <w:pPr>
              <w:keepNext/>
              <w:spacing w:line="440" w:lineRule="exact"/>
              <w:rPr>
                <w:rFonts w:hint="eastAsia" w:ascii="宋体" w:hAnsi="宋体" w:cs="宋体"/>
                <w:color w:val="auto"/>
                <w:szCs w:val="21"/>
                <w:highlight w:val="none"/>
              </w:rPr>
            </w:pPr>
          </w:p>
        </w:tc>
        <w:tc>
          <w:tcPr>
            <w:tcW w:w="1418" w:type="dxa"/>
            <w:tcBorders>
              <w:top w:val="nil"/>
            </w:tcBorders>
            <w:noWrap w:val="0"/>
            <w:vAlign w:val="top"/>
          </w:tcPr>
          <w:p w14:paraId="0CD9C2FA">
            <w:pPr>
              <w:keepNext/>
              <w:spacing w:line="440" w:lineRule="exact"/>
              <w:rPr>
                <w:rFonts w:hint="eastAsia" w:ascii="宋体" w:hAnsi="宋体" w:cs="宋体"/>
                <w:color w:val="auto"/>
                <w:szCs w:val="21"/>
                <w:highlight w:val="none"/>
              </w:rPr>
            </w:pPr>
          </w:p>
        </w:tc>
        <w:tc>
          <w:tcPr>
            <w:tcW w:w="1701" w:type="dxa"/>
            <w:tcBorders>
              <w:top w:val="nil"/>
            </w:tcBorders>
            <w:noWrap w:val="0"/>
            <w:vAlign w:val="top"/>
          </w:tcPr>
          <w:p w14:paraId="01B27AEB">
            <w:pPr>
              <w:keepNext/>
              <w:spacing w:line="440" w:lineRule="exact"/>
              <w:rPr>
                <w:rFonts w:hint="eastAsia" w:ascii="宋体" w:hAnsi="宋体" w:cs="宋体"/>
                <w:color w:val="auto"/>
                <w:szCs w:val="21"/>
                <w:highlight w:val="none"/>
              </w:rPr>
            </w:pPr>
          </w:p>
        </w:tc>
      </w:tr>
      <w:tr w14:paraId="65EC98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698C22F">
            <w:pPr>
              <w:keepNext/>
              <w:spacing w:line="440" w:lineRule="exact"/>
              <w:rPr>
                <w:rFonts w:hint="eastAsia" w:ascii="宋体" w:hAnsi="宋体" w:cs="宋体"/>
                <w:color w:val="auto"/>
                <w:szCs w:val="21"/>
                <w:highlight w:val="none"/>
              </w:rPr>
            </w:pPr>
          </w:p>
        </w:tc>
        <w:tc>
          <w:tcPr>
            <w:tcW w:w="1984" w:type="dxa"/>
            <w:noWrap w:val="0"/>
            <w:vAlign w:val="top"/>
          </w:tcPr>
          <w:p w14:paraId="441A724E">
            <w:pPr>
              <w:keepNext/>
              <w:spacing w:line="440" w:lineRule="exact"/>
              <w:rPr>
                <w:rFonts w:hint="eastAsia" w:ascii="宋体" w:hAnsi="宋体" w:cs="宋体"/>
                <w:color w:val="auto"/>
                <w:szCs w:val="21"/>
                <w:highlight w:val="none"/>
              </w:rPr>
            </w:pPr>
          </w:p>
        </w:tc>
        <w:tc>
          <w:tcPr>
            <w:tcW w:w="851" w:type="dxa"/>
            <w:noWrap w:val="0"/>
            <w:vAlign w:val="top"/>
          </w:tcPr>
          <w:p w14:paraId="4CE910BA">
            <w:pPr>
              <w:keepNext/>
              <w:spacing w:line="440" w:lineRule="exact"/>
              <w:rPr>
                <w:rFonts w:hint="eastAsia" w:ascii="宋体" w:hAnsi="宋体" w:cs="宋体"/>
                <w:color w:val="auto"/>
                <w:szCs w:val="21"/>
                <w:highlight w:val="none"/>
              </w:rPr>
            </w:pPr>
          </w:p>
        </w:tc>
        <w:tc>
          <w:tcPr>
            <w:tcW w:w="774" w:type="dxa"/>
            <w:noWrap w:val="0"/>
            <w:vAlign w:val="top"/>
          </w:tcPr>
          <w:p w14:paraId="14F2A243">
            <w:pPr>
              <w:keepNext/>
              <w:spacing w:line="440" w:lineRule="exact"/>
              <w:rPr>
                <w:rFonts w:hint="eastAsia" w:ascii="宋体" w:hAnsi="宋体" w:cs="宋体"/>
                <w:color w:val="auto"/>
                <w:szCs w:val="21"/>
                <w:highlight w:val="none"/>
              </w:rPr>
            </w:pPr>
          </w:p>
        </w:tc>
        <w:tc>
          <w:tcPr>
            <w:tcW w:w="1352" w:type="dxa"/>
            <w:noWrap w:val="0"/>
            <w:vAlign w:val="top"/>
          </w:tcPr>
          <w:p w14:paraId="07C6EB56">
            <w:pPr>
              <w:keepNext/>
              <w:spacing w:line="440" w:lineRule="exact"/>
              <w:rPr>
                <w:rFonts w:hint="eastAsia" w:ascii="宋体" w:hAnsi="宋体" w:cs="宋体"/>
                <w:color w:val="auto"/>
                <w:szCs w:val="21"/>
                <w:highlight w:val="none"/>
              </w:rPr>
            </w:pPr>
          </w:p>
        </w:tc>
        <w:tc>
          <w:tcPr>
            <w:tcW w:w="1418" w:type="dxa"/>
            <w:noWrap w:val="0"/>
            <w:vAlign w:val="top"/>
          </w:tcPr>
          <w:p w14:paraId="305AA19F">
            <w:pPr>
              <w:keepNext/>
              <w:spacing w:line="440" w:lineRule="exact"/>
              <w:rPr>
                <w:rFonts w:hint="eastAsia" w:ascii="宋体" w:hAnsi="宋体" w:cs="宋体"/>
                <w:color w:val="auto"/>
                <w:szCs w:val="21"/>
                <w:highlight w:val="none"/>
              </w:rPr>
            </w:pPr>
          </w:p>
        </w:tc>
        <w:tc>
          <w:tcPr>
            <w:tcW w:w="1701" w:type="dxa"/>
            <w:noWrap w:val="0"/>
            <w:vAlign w:val="top"/>
          </w:tcPr>
          <w:p w14:paraId="4EF50CD9">
            <w:pPr>
              <w:keepNext/>
              <w:spacing w:line="440" w:lineRule="exact"/>
              <w:rPr>
                <w:rFonts w:hint="eastAsia" w:ascii="宋体" w:hAnsi="宋体" w:cs="宋体"/>
                <w:color w:val="auto"/>
                <w:szCs w:val="21"/>
                <w:highlight w:val="none"/>
              </w:rPr>
            </w:pPr>
          </w:p>
        </w:tc>
      </w:tr>
      <w:tr w14:paraId="2571FE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406777F3">
            <w:pPr>
              <w:keepNext/>
              <w:spacing w:line="440" w:lineRule="exact"/>
              <w:rPr>
                <w:rFonts w:hint="eastAsia" w:ascii="宋体" w:hAnsi="宋体" w:cs="宋体"/>
                <w:color w:val="auto"/>
                <w:szCs w:val="21"/>
                <w:highlight w:val="none"/>
              </w:rPr>
            </w:pPr>
          </w:p>
        </w:tc>
        <w:tc>
          <w:tcPr>
            <w:tcW w:w="1984" w:type="dxa"/>
            <w:noWrap w:val="0"/>
            <w:vAlign w:val="top"/>
          </w:tcPr>
          <w:p w14:paraId="5C0C39B8">
            <w:pPr>
              <w:keepNext/>
              <w:spacing w:line="440" w:lineRule="exact"/>
              <w:rPr>
                <w:rFonts w:hint="eastAsia" w:ascii="宋体" w:hAnsi="宋体" w:cs="宋体"/>
                <w:color w:val="auto"/>
                <w:szCs w:val="21"/>
                <w:highlight w:val="none"/>
              </w:rPr>
            </w:pPr>
          </w:p>
        </w:tc>
        <w:tc>
          <w:tcPr>
            <w:tcW w:w="851" w:type="dxa"/>
            <w:noWrap w:val="0"/>
            <w:vAlign w:val="top"/>
          </w:tcPr>
          <w:p w14:paraId="3C41DEF1">
            <w:pPr>
              <w:keepNext/>
              <w:spacing w:line="440" w:lineRule="exact"/>
              <w:rPr>
                <w:rFonts w:hint="eastAsia" w:ascii="宋体" w:hAnsi="宋体" w:cs="宋体"/>
                <w:color w:val="auto"/>
                <w:szCs w:val="21"/>
                <w:highlight w:val="none"/>
              </w:rPr>
            </w:pPr>
          </w:p>
        </w:tc>
        <w:tc>
          <w:tcPr>
            <w:tcW w:w="774" w:type="dxa"/>
            <w:noWrap w:val="0"/>
            <w:vAlign w:val="top"/>
          </w:tcPr>
          <w:p w14:paraId="3EC5120A">
            <w:pPr>
              <w:keepNext/>
              <w:spacing w:line="440" w:lineRule="exact"/>
              <w:rPr>
                <w:rFonts w:hint="eastAsia" w:ascii="宋体" w:hAnsi="宋体" w:cs="宋体"/>
                <w:color w:val="auto"/>
                <w:szCs w:val="21"/>
                <w:highlight w:val="none"/>
              </w:rPr>
            </w:pPr>
          </w:p>
        </w:tc>
        <w:tc>
          <w:tcPr>
            <w:tcW w:w="1352" w:type="dxa"/>
            <w:noWrap w:val="0"/>
            <w:vAlign w:val="top"/>
          </w:tcPr>
          <w:p w14:paraId="643924C6">
            <w:pPr>
              <w:keepNext/>
              <w:spacing w:line="440" w:lineRule="exact"/>
              <w:rPr>
                <w:rFonts w:hint="eastAsia" w:ascii="宋体" w:hAnsi="宋体" w:cs="宋体"/>
                <w:color w:val="auto"/>
                <w:szCs w:val="21"/>
                <w:highlight w:val="none"/>
              </w:rPr>
            </w:pPr>
          </w:p>
        </w:tc>
        <w:tc>
          <w:tcPr>
            <w:tcW w:w="1418" w:type="dxa"/>
            <w:noWrap w:val="0"/>
            <w:vAlign w:val="top"/>
          </w:tcPr>
          <w:p w14:paraId="1F996C6C">
            <w:pPr>
              <w:keepNext/>
              <w:spacing w:line="440" w:lineRule="exact"/>
              <w:rPr>
                <w:rFonts w:hint="eastAsia" w:ascii="宋体" w:hAnsi="宋体" w:cs="宋体"/>
                <w:color w:val="auto"/>
                <w:szCs w:val="21"/>
                <w:highlight w:val="none"/>
              </w:rPr>
            </w:pPr>
          </w:p>
        </w:tc>
        <w:tc>
          <w:tcPr>
            <w:tcW w:w="1701" w:type="dxa"/>
            <w:noWrap w:val="0"/>
            <w:vAlign w:val="top"/>
          </w:tcPr>
          <w:p w14:paraId="3678AD62">
            <w:pPr>
              <w:keepNext/>
              <w:spacing w:line="440" w:lineRule="exact"/>
              <w:rPr>
                <w:rFonts w:hint="eastAsia" w:ascii="宋体" w:hAnsi="宋体" w:cs="宋体"/>
                <w:color w:val="auto"/>
                <w:szCs w:val="21"/>
                <w:highlight w:val="none"/>
              </w:rPr>
            </w:pPr>
          </w:p>
        </w:tc>
      </w:tr>
      <w:tr w14:paraId="11C57E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40C983FB">
            <w:pPr>
              <w:keepNext/>
              <w:spacing w:line="440" w:lineRule="exact"/>
              <w:rPr>
                <w:rFonts w:hint="eastAsia" w:ascii="宋体" w:hAnsi="宋体" w:cs="宋体"/>
                <w:color w:val="auto"/>
                <w:szCs w:val="21"/>
                <w:highlight w:val="none"/>
              </w:rPr>
            </w:pPr>
          </w:p>
        </w:tc>
        <w:tc>
          <w:tcPr>
            <w:tcW w:w="1984" w:type="dxa"/>
            <w:tcBorders>
              <w:bottom w:val="single" w:color="auto" w:sz="12" w:space="0"/>
            </w:tcBorders>
            <w:noWrap w:val="0"/>
            <w:vAlign w:val="top"/>
          </w:tcPr>
          <w:p w14:paraId="476B123B">
            <w:pPr>
              <w:keepNext/>
              <w:spacing w:line="440" w:lineRule="exact"/>
              <w:rPr>
                <w:rFonts w:hint="eastAsia" w:ascii="宋体" w:hAnsi="宋体" w:cs="宋体"/>
                <w:color w:val="auto"/>
                <w:szCs w:val="21"/>
                <w:highlight w:val="none"/>
              </w:rPr>
            </w:pPr>
          </w:p>
        </w:tc>
        <w:tc>
          <w:tcPr>
            <w:tcW w:w="851" w:type="dxa"/>
            <w:tcBorders>
              <w:bottom w:val="single" w:color="auto" w:sz="12" w:space="0"/>
            </w:tcBorders>
            <w:noWrap w:val="0"/>
            <w:vAlign w:val="top"/>
          </w:tcPr>
          <w:p w14:paraId="1EEC0A71">
            <w:pPr>
              <w:keepNext/>
              <w:spacing w:line="440" w:lineRule="exact"/>
              <w:rPr>
                <w:rFonts w:hint="eastAsia" w:ascii="宋体" w:hAnsi="宋体" w:cs="宋体"/>
                <w:color w:val="auto"/>
                <w:szCs w:val="21"/>
                <w:highlight w:val="none"/>
              </w:rPr>
            </w:pPr>
          </w:p>
        </w:tc>
        <w:tc>
          <w:tcPr>
            <w:tcW w:w="774" w:type="dxa"/>
            <w:tcBorders>
              <w:bottom w:val="single" w:color="auto" w:sz="12" w:space="0"/>
            </w:tcBorders>
            <w:noWrap w:val="0"/>
            <w:vAlign w:val="top"/>
          </w:tcPr>
          <w:p w14:paraId="4656ACD9">
            <w:pPr>
              <w:keepNext/>
              <w:spacing w:line="440" w:lineRule="exact"/>
              <w:rPr>
                <w:rFonts w:hint="eastAsia" w:ascii="宋体" w:hAnsi="宋体" w:cs="宋体"/>
                <w:color w:val="auto"/>
                <w:szCs w:val="21"/>
                <w:highlight w:val="none"/>
              </w:rPr>
            </w:pPr>
          </w:p>
        </w:tc>
        <w:tc>
          <w:tcPr>
            <w:tcW w:w="1352" w:type="dxa"/>
            <w:tcBorders>
              <w:bottom w:val="single" w:color="auto" w:sz="12" w:space="0"/>
            </w:tcBorders>
            <w:noWrap w:val="0"/>
            <w:vAlign w:val="top"/>
          </w:tcPr>
          <w:p w14:paraId="62FEE887">
            <w:pPr>
              <w:keepNext/>
              <w:spacing w:line="440" w:lineRule="exact"/>
              <w:rPr>
                <w:rFonts w:hint="eastAsia" w:ascii="宋体" w:hAnsi="宋体" w:cs="宋体"/>
                <w:color w:val="auto"/>
                <w:szCs w:val="21"/>
                <w:highlight w:val="none"/>
              </w:rPr>
            </w:pPr>
          </w:p>
        </w:tc>
        <w:tc>
          <w:tcPr>
            <w:tcW w:w="1418" w:type="dxa"/>
            <w:tcBorders>
              <w:bottom w:val="single" w:color="auto" w:sz="12" w:space="0"/>
            </w:tcBorders>
            <w:noWrap w:val="0"/>
            <w:vAlign w:val="top"/>
          </w:tcPr>
          <w:p w14:paraId="09F43A1F">
            <w:pPr>
              <w:keepNext/>
              <w:spacing w:line="440" w:lineRule="exact"/>
              <w:rPr>
                <w:rFonts w:hint="eastAsia" w:ascii="宋体" w:hAnsi="宋体" w:cs="宋体"/>
                <w:color w:val="auto"/>
                <w:szCs w:val="21"/>
                <w:highlight w:val="none"/>
              </w:rPr>
            </w:pPr>
          </w:p>
        </w:tc>
        <w:tc>
          <w:tcPr>
            <w:tcW w:w="1701" w:type="dxa"/>
            <w:tcBorders>
              <w:bottom w:val="single" w:color="auto" w:sz="12" w:space="0"/>
            </w:tcBorders>
            <w:noWrap w:val="0"/>
            <w:vAlign w:val="top"/>
          </w:tcPr>
          <w:p w14:paraId="2D2C3443">
            <w:pPr>
              <w:keepNext/>
              <w:spacing w:line="440" w:lineRule="exact"/>
              <w:rPr>
                <w:rFonts w:hint="eastAsia" w:ascii="宋体" w:hAnsi="宋体" w:cs="宋体"/>
                <w:color w:val="auto"/>
                <w:szCs w:val="21"/>
                <w:highlight w:val="none"/>
              </w:rPr>
            </w:pPr>
          </w:p>
        </w:tc>
      </w:tr>
    </w:tbl>
    <w:p w14:paraId="1A076EA8">
      <w:pPr>
        <w:spacing w:before="120" w:beforeLines="50" w:after="120" w:afterLines="50" w:line="440" w:lineRule="exact"/>
        <w:rPr>
          <w:rFonts w:hint="eastAsia" w:ascii="宋体" w:hAnsi="宋体" w:cs="宋体"/>
          <w:color w:val="auto"/>
          <w:szCs w:val="21"/>
          <w:highlight w:val="none"/>
        </w:rPr>
      </w:pPr>
    </w:p>
    <w:p w14:paraId="7BCCDA81">
      <w:pPr>
        <w:spacing w:before="120" w:beforeLines="50" w:after="120"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12-2：工程设备暂估价表</w:t>
      </w:r>
    </w:p>
    <w:tbl>
      <w:tblPr>
        <w:tblStyle w:val="21"/>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687A88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128B8C4D">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84" w:type="dxa"/>
            <w:tcBorders>
              <w:top w:val="single" w:color="auto" w:sz="12" w:space="0"/>
              <w:bottom w:val="double" w:color="auto" w:sz="6" w:space="0"/>
            </w:tcBorders>
            <w:noWrap w:val="0"/>
            <w:vAlign w:val="top"/>
          </w:tcPr>
          <w:p w14:paraId="170635B7">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851" w:type="dxa"/>
            <w:tcBorders>
              <w:top w:val="single" w:color="auto" w:sz="12" w:space="0"/>
              <w:bottom w:val="double" w:color="auto" w:sz="6" w:space="0"/>
            </w:tcBorders>
            <w:noWrap w:val="0"/>
            <w:vAlign w:val="top"/>
          </w:tcPr>
          <w:p w14:paraId="1C20622B">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774" w:type="dxa"/>
            <w:tcBorders>
              <w:top w:val="single" w:color="auto" w:sz="12" w:space="0"/>
              <w:bottom w:val="double" w:color="auto" w:sz="6" w:space="0"/>
            </w:tcBorders>
            <w:noWrap w:val="0"/>
            <w:vAlign w:val="top"/>
          </w:tcPr>
          <w:p w14:paraId="44ADA9FA">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352" w:type="dxa"/>
            <w:tcBorders>
              <w:top w:val="single" w:color="auto" w:sz="12" w:space="0"/>
              <w:bottom w:val="double" w:color="auto" w:sz="6" w:space="0"/>
            </w:tcBorders>
            <w:noWrap w:val="0"/>
            <w:vAlign w:val="top"/>
          </w:tcPr>
          <w:p w14:paraId="16FF35B9">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单价（元）</w:t>
            </w:r>
          </w:p>
        </w:tc>
        <w:tc>
          <w:tcPr>
            <w:tcW w:w="1418" w:type="dxa"/>
            <w:tcBorders>
              <w:top w:val="single" w:color="auto" w:sz="12" w:space="0"/>
              <w:bottom w:val="double" w:color="auto" w:sz="6" w:space="0"/>
            </w:tcBorders>
            <w:noWrap w:val="0"/>
            <w:vAlign w:val="top"/>
          </w:tcPr>
          <w:p w14:paraId="60622D0B">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合价（元）</w:t>
            </w:r>
          </w:p>
        </w:tc>
        <w:tc>
          <w:tcPr>
            <w:tcW w:w="1701" w:type="dxa"/>
            <w:tcBorders>
              <w:top w:val="single" w:color="auto" w:sz="12" w:space="0"/>
              <w:bottom w:val="double" w:color="auto" w:sz="6" w:space="0"/>
            </w:tcBorders>
            <w:noWrap w:val="0"/>
            <w:vAlign w:val="top"/>
          </w:tcPr>
          <w:p w14:paraId="124FC529">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ABCB4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4F92AF04">
            <w:pPr>
              <w:keepNext/>
              <w:spacing w:line="440" w:lineRule="exact"/>
              <w:rPr>
                <w:rFonts w:hint="eastAsia" w:ascii="宋体" w:hAnsi="宋体" w:cs="宋体"/>
                <w:color w:val="auto"/>
                <w:szCs w:val="21"/>
                <w:highlight w:val="none"/>
              </w:rPr>
            </w:pPr>
          </w:p>
        </w:tc>
        <w:tc>
          <w:tcPr>
            <w:tcW w:w="1984" w:type="dxa"/>
            <w:tcBorders>
              <w:top w:val="double" w:color="auto" w:sz="6" w:space="0"/>
            </w:tcBorders>
            <w:noWrap w:val="0"/>
            <w:vAlign w:val="top"/>
          </w:tcPr>
          <w:p w14:paraId="6E6026F4">
            <w:pPr>
              <w:keepNext/>
              <w:spacing w:line="440" w:lineRule="exact"/>
              <w:rPr>
                <w:rFonts w:hint="eastAsia" w:ascii="宋体" w:hAnsi="宋体" w:cs="宋体"/>
                <w:color w:val="auto"/>
                <w:szCs w:val="21"/>
                <w:highlight w:val="none"/>
              </w:rPr>
            </w:pPr>
          </w:p>
        </w:tc>
        <w:tc>
          <w:tcPr>
            <w:tcW w:w="851" w:type="dxa"/>
            <w:tcBorders>
              <w:top w:val="double" w:color="auto" w:sz="6" w:space="0"/>
            </w:tcBorders>
            <w:noWrap w:val="0"/>
            <w:vAlign w:val="top"/>
          </w:tcPr>
          <w:p w14:paraId="4AFB4DF9">
            <w:pPr>
              <w:keepNext/>
              <w:spacing w:line="440" w:lineRule="exact"/>
              <w:rPr>
                <w:rFonts w:hint="eastAsia" w:ascii="宋体" w:hAnsi="宋体" w:cs="宋体"/>
                <w:color w:val="auto"/>
                <w:szCs w:val="21"/>
                <w:highlight w:val="none"/>
              </w:rPr>
            </w:pPr>
          </w:p>
        </w:tc>
        <w:tc>
          <w:tcPr>
            <w:tcW w:w="774" w:type="dxa"/>
            <w:tcBorders>
              <w:top w:val="double" w:color="auto" w:sz="6" w:space="0"/>
            </w:tcBorders>
            <w:noWrap w:val="0"/>
            <w:vAlign w:val="top"/>
          </w:tcPr>
          <w:p w14:paraId="4B4B72D8">
            <w:pPr>
              <w:keepNext/>
              <w:spacing w:line="440" w:lineRule="exact"/>
              <w:rPr>
                <w:rFonts w:hint="eastAsia" w:ascii="宋体" w:hAnsi="宋体" w:cs="宋体"/>
                <w:color w:val="auto"/>
                <w:szCs w:val="21"/>
                <w:highlight w:val="none"/>
              </w:rPr>
            </w:pPr>
          </w:p>
        </w:tc>
        <w:tc>
          <w:tcPr>
            <w:tcW w:w="1352" w:type="dxa"/>
            <w:tcBorders>
              <w:top w:val="double" w:color="auto" w:sz="6" w:space="0"/>
            </w:tcBorders>
            <w:noWrap w:val="0"/>
            <w:vAlign w:val="top"/>
          </w:tcPr>
          <w:p w14:paraId="3B914D08">
            <w:pPr>
              <w:keepNext/>
              <w:spacing w:line="440" w:lineRule="exact"/>
              <w:rPr>
                <w:rFonts w:hint="eastAsia" w:ascii="宋体" w:hAnsi="宋体" w:cs="宋体"/>
                <w:color w:val="auto"/>
                <w:szCs w:val="21"/>
                <w:highlight w:val="none"/>
              </w:rPr>
            </w:pPr>
          </w:p>
        </w:tc>
        <w:tc>
          <w:tcPr>
            <w:tcW w:w="1418" w:type="dxa"/>
            <w:tcBorders>
              <w:top w:val="double" w:color="auto" w:sz="6" w:space="0"/>
            </w:tcBorders>
            <w:noWrap w:val="0"/>
            <w:vAlign w:val="top"/>
          </w:tcPr>
          <w:p w14:paraId="35710CDF">
            <w:pPr>
              <w:keepNext/>
              <w:spacing w:line="440" w:lineRule="exact"/>
              <w:rPr>
                <w:rFonts w:hint="eastAsia" w:ascii="宋体" w:hAnsi="宋体" w:cs="宋体"/>
                <w:color w:val="auto"/>
                <w:szCs w:val="21"/>
                <w:highlight w:val="none"/>
              </w:rPr>
            </w:pPr>
          </w:p>
        </w:tc>
        <w:tc>
          <w:tcPr>
            <w:tcW w:w="1701" w:type="dxa"/>
            <w:tcBorders>
              <w:top w:val="double" w:color="auto" w:sz="6" w:space="0"/>
            </w:tcBorders>
            <w:noWrap w:val="0"/>
            <w:vAlign w:val="top"/>
          </w:tcPr>
          <w:p w14:paraId="5EA0C569">
            <w:pPr>
              <w:keepNext/>
              <w:spacing w:line="440" w:lineRule="exact"/>
              <w:rPr>
                <w:rFonts w:hint="eastAsia" w:ascii="宋体" w:hAnsi="宋体" w:cs="宋体"/>
                <w:color w:val="auto"/>
                <w:szCs w:val="21"/>
                <w:highlight w:val="none"/>
              </w:rPr>
            </w:pPr>
          </w:p>
        </w:tc>
      </w:tr>
      <w:tr w14:paraId="2C204C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64589B30">
            <w:pPr>
              <w:keepNext/>
              <w:spacing w:line="440" w:lineRule="exact"/>
              <w:rPr>
                <w:rFonts w:hint="eastAsia" w:ascii="宋体" w:hAnsi="宋体" w:cs="宋体"/>
                <w:color w:val="auto"/>
                <w:szCs w:val="21"/>
                <w:highlight w:val="none"/>
              </w:rPr>
            </w:pPr>
          </w:p>
        </w:tc>
        <w:tc>
          <w:tcPr>
            <w:tcW w:w="1984" w:type="dxa"/>
            <w:tcBorders>
              <w:top w:val="nil"/>
            </w:tcBorders>
            <w:noWrap w:val="0"/>
            <w:vAlign w:val="top"/>
          </w:tcPr>
          <w:p w14:paraId="16F91195">
            <w:pPr>
              <w:keepNext/>
              <w:spacing w:line="440" w:lineRule="exact"/>
              <w:rPr>
                <w:rFonts w:hint="eastAsia" w:ascii="宋体" w:hAnsi="宋体" w:cs="宋体"/>
                <w:color w:val="auto"/>
                <w:szCs w:val="21"/>
                <w:highlight w:val="none"/>
              </w:rPr>
            </w:pPr>
          </w:p>
        </w:tc>
        <w:tc>
          <w:tcPr>
            <w:tcW w:w="851" w:type="dxa"/>
            <w:tcBorders>
              <w:top w:val="nil"/>
            </w:tcBorders>
            <w:noWrap w:val="0"/>
            <w:vAlign w:val="top"/>
          </w:tcPr>
          <w:p w14:paraId="352909D0">
            <w:pPr>
              <w:keepNext/>
              <w:spacing w:line="440" w:lineRule="exact"/>
              <w:rPr>
                <w:rFonts w:hint="eastAsia" w:ascii="宋体" w:hAnsi="宋体" w:cs="宋体"/>
                <w:color w:val="auto"/>
                <w:szCs w:val="21"/>
                <w:highlight w:val="none"/>
              </w:rPr>
            </w:pPr>
          </w:p>
        </w:tc>
        <w:tc>
          <w:tcPr>
            <w:tcW w:w="774" w:type="dxa"/>
            <w:tcBorders>
              <w:top w:val="nil"/>
            </w:tcBorders>
            <w:noWrap w:val="0"/>
            <w:vAlign w:val="top"/>
          </w:tcPr>
          <w:p w14:paraId="17329027">
            <w:pPr>
              <w:keepNext/>
              <w:spacing w:line="440" w:lineRule="exact"/>
              <w:rPr>
                <w:rFonts w:hint="eastAsia" w:ascii="宋体" w:hAnsi="宋体" w:cs="宋体"/>
                <w:color w:val="auto"/>
                <w:szCs w:val="21"/>
                <w:highlight w:val="none"/>
              </w:rPr>
            </w:pPr>
          </w:p>
        </w:tc>
        <w:tc>
          <w:tcPr>
            <w:tcW w:w="1352" w:type="dxa"/>
            <w:tcBorders>
              <w:top w:val="nil"/>
            </w:tcBorders>
            <w:noWrap w:val="0"/>
            <w:vAlign w:val="top"/>
          </w:tcPr>
          <w:p w14:paraId="48696F6D">
            <w:pPr>
              <w:keepNext/>
              <w:spacing w:line="440" w:lineRule="exact"/>
              <w:rPr>
                <w:rFonts w:hint="eastAsia" w:ascii="宋体" w:hAnsi="宋体" w:cs="宋体"/>
                <w:color w:val="auto"/>
                <w:szCs w:val="21"/>
                <w:highlight w:val="none"/>
              </w:rPr>
            </w:pPr>
          </w:p>
        </w:tc>
        <w:tc>
          <w:tcPr>
            <w:tcW w:w="1418" w:type="dxa"/>
            <w:tcBorders>
              <w:top w:val="nil"/>
            </w:tcBorders>
            <w:noWrap w:val="0"/>
            <w:vAlign w:val="top"/>
          </w:tcPr>
          <w:p w14:paraId="0CF252B3">
            <w:pPr>
              <w:keepNext/>
              <w:spacing w:line="440" w:lineRule="exact"/>
              <w:rPr>
                <w:rFonts w:hint="eastAsia" w:ascii="宋体" w:hAnsi="宋体" w:cs="宋体"/>
                <w:color w:val="auto"/>
                <w:szCs w:val="21"/>
                <w:highlight w:val="none"/>
              </w:rPr>
            </w:pPr>
          </w:p>
        </w:tc>
        <w:tc>
          <w:tcPr>
            <w:tcW w:w="1701" w:type="dxa"/>
            <w:tcBorders>
              <w:top w:val="nil"/>
            </w:tcBorders>
            <w:noWrap w:val="0"/>
            <w:vAlign w:val="top"/>
          </w:tcPr>
          <w:p w14:paraId="3A0B0479">
            <w:pPr>
              <w:keepNext/>
              <w:spacing w:line="440" w:lineRule="exact"/>
              <w:rPr>
                <w:rFonts w:hint="eastAsia" w:ascii="宋体" w:hAnsi="宋体" w:cs="宋体"/>
                <w:color w:val="auto"/>
                <w:szCs w:val="21"/>
                <w:highlight w:val="none"/>
              </w:rPr>
            </w:pPr>
          </w:p>
        </w:tc>
      </w:tr>
      <w:tr w14:paraId="4CBA25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7AB9D94A">
            <w:pPr>
              <w:keepNext/>
              <w:spacing w:line="440" w:lineRule="exact"/>
              <w:rPr>
                <w:rFonts w:hint="eastAsia" w:ascii="宋体" w:hAnsi="宋体" w:cs="宋体"/>
                <w:color w:val="auto"/>
                <w:szCs w:val="21"/>
                <w:highlight w:val="none"/>
              </w:rPr>
            </w:pPr>
          </w:p>
        </w:tc>
        <w:tc>
          <w:tcPr>
            <w:tcW w:w="1984" w:type="dxa"/>
            <w:noWrap w:val="0"/>
            <w:vAlign w:val="top"/>
          </w:tcPr>
          <w:p w14:paraId="67E81133">
            <w:pPr>
              <w:keepNext/>
              <w:spacing w:line="440" w:lineRule="exact"/>
              <w:rPr>
                <w:rFonts w:hint="eastAsia" w:ascii="宋体" w:hAnsi="宋体" w:cs="宋体"/>
                <w:color w:val="auto"/>
                <w:szCs w:val="21"/>
                <w:highlight w:val="none"/>
              </w:rPr>
            </w:pPr>
          </w:p>
        </w:tc>
        <w:tc>
          <w:tcPr>
            <w:tcW w:w="851" w:type="dxa"/>
            <w:noWrap w:val="0"/>
            <w:vAlign w:val="top"/>
          </w:tcPr>
          <w:p w14:paraId="468B1612">
            <w:pPr>
              <w:keepNext/>
              <w:spacing w:line="440" w:lineRule="exact"/>
              <w:rPr>
                <w:rFonts w:hint="eastAsia" w:ascii="宋体" w:hAnsi="宋体" w:cs="宋体"/>
                <w:color w:val="auto"/>
                <w:szCs w:val="21"/>
                <w:highlight w:val="none"/>
              </w:rPr>
            </w:pPr>
          </w:p>
        </w:tc>
        <w:tc>
          <w:tcPr>
            <w:tcW w:w="774" w:type="dxa"/>
            <w:noWrap w:val="0"/>
            <w:vAlign w:val="top"/>
          </w:tcPr>
          <w:p w14:paraId="3E06D97A">
            <w:pPr>
              <w:keepNext/>
              <w:spacing w:line="440" w:lineRule="exact"/>
              <w:rPr>
                <w:rFonts w:hint="eastAsia" w:ascii="宋体" w:hAnsi="宋体" w:cs="宋体"/>
                <w:color w:val="auto"/>
                <w:szCs w:val="21"/>
                <w:highlight w:val="none"/>
              </w:rPr>
            </w:pPr>
          </w:p>
        </w:tc>
        <w:tc>
          <w:tcPr>
            <w:tcW w:w="1352" w:type="dxa"/>
            <w:noWrap w:val="0"/>
            <w:vAlign w:val="top"/>
          </w:tcPr>
          <w:p w14:paraId="64CDE5BB">
            <w:pPr>
              <w:keepNext/>
              <w:spacing w:line="440" w:lineRule="exact"/>
              <w:rPr>
                <w:rFonts w:hint="eastAsia" w:ascii="宋体" w:hAnsi="宋体" w:cs="宋体"/>
                <w:color w:val="auto"/>
                <w:szCs w:val="21"/>
                <w:highlight w:val="none"/>
              </w:rPr>
            </w:pPr>
          </w:p>
        </w:tc>
        <w:tc>
          <w:tcPr>
            <w:tcW w:w="1418" w:type="dxa"/>
            <w:noWrap w:val="0"/>
            <w:vAlign w:val="top"/>
          </w:tcPr>
          <w:p w14:paraId="194967BE">
            <w:pPr>
              <w:keepNext/>
              <w:spacing w:line="440" w:lineRule="exact"/>
              <w:rPr>
                <w:rFonts w:hint="eastAsia" w:ascii="宋体" w:hAnsi="宋体" w:cs="宋体"/>
                <w:color w:val="auto"/>
                <w:szCs w:val="21"/>
                <w:highlight w:val="none"/>
              </w:rPr>
            </w:pPr>
          </w:p>
        </w:tc>
        <w:tc>
          <w:tcPr>
            <w:tcW w:w="1701" w:type="dxa"/>
            <w:noWrap w:val="0"/>
            <w:vAlign w:val="top"/>
          </w:tcPr>
          <w:p w14:paraId="5A0AB210">
            <w:pPr>
              <w:keepNext/>
              <w:spacing w:line="440" w:lineRule="exact"/>
              <w:rPr>
                <w:rFonts w:hint="eastAsia" w:ascii="宋体" w:hAnsi="宋体" w:cs="宋体"/>
                <w:color w:val="auto"/>
                <w:szCs w:val="21"/>
                <w:highlight w:val="none"/>
              </w:rPr>
            </w:pPr>
          </w:p>
        </w:tc>
      </w:tr>
      <w:tr w14:paraId="3679B9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6C073B6D">
            <w:pPr>
              <w:keepNext/>
              <w:spacing w:line="440" w:lineRule="exact"/>
              <w:rPr>
                <w:rFonts w:hint="eastAsia" w:ascii="宋体" w:hAnsi="宋体" w:cs="宋体"/>
                <w:color w:val="auto"/>
                <w:szCs w:val="21"/>
                <w:highlight w:val="none"/>
              </w:rPr>
            </w:pPr>
          </w:p>
        </w:tc>
        <w:tc>
          <w:tcPr>
            <w:tcW w:w="1984" w:type="dxa"/>
            <w:tcBorders>
              <w:bottom w:val="single" w:color="auto" w:sz="12" w:space="0"/>
            </w:tcBorders>
            <w:noWrap w:val="0"/>
            <w:vAlign w:val="top"/>
          </w:tcPr>
          <w:p w14:paraId="345F567D">
            <w:pPr>
              <w:keepNext/>
              <w:spacing w:line="440" w:lineRule="exact"/>
              <w:rPr>
                <w:rFonts w:hint="eastAsia" w:ascii="宋体" w:hAnsi="宋体" w:cs="宋体"/>
                <w:color w:val="auto"/>
                <w:szCs w:val="21"/>
                <w:highlight w:val="none"/>
              </w:rPr>
            </w:pPr>
          </w:p>
        </w:tc>
        <w:tc>
          <w:tcPr>
            <w:tcW w:w="851" w:type="dxa"/>
            <w:tcBorders>
              <w:bottom w:val="single" w:color="auto" w:sz="12" w:space="0"/>
            </w:tcBorders>
            <w:noWrap w:val="0"/>
            <w:vAlign w:val="top"/>
          </w:tcPr>
          <w:p w14:paraId="4AD30864">
            <w:pPr>
              <w:keepNext/>
              <w:spacing w:line="440" w:lineRule="exact"/>
              <w:rPr>
                <w:rFonts w:hint="eastAsia" w:ascii="宋体" w:hAnsi="宋体" w:cs="宋体"/>
                <w:color w:val="auto"/>
                <w:szCs w:val="21"/>
                <w:highlight w:val="none"/>
              </w:rPr>
            </w:pPr>
          </w:p>
        </w:tc>
        <w:tc>
          <w:tcPr>
            <w:tcW w:w="774" w:type="dxa"/>
            <w:tcBorders>
              <w:bottom w:val="single" w:color="auto" w:sz="12" w:space="0"/>
            </w:tcBorders>
            <w:noWrap w:val="0"/>
            <w:vAlign w:val="top"/>
          </w:tcPr>
          <w:p w14:paraId="38BA02CF">
            <w:pPr>
              <w:keepNext/>
              <w:spacing w:line="440" w:lineRule="exact"/>
              <w:rPr>
                <w:rFonts w:hint="eastAsia" w:ascii="宋体" w:hAnsi="宋体" w:cs="宋体"/>
                <w:color w:val="auto"/>
                <w:szCs w:val="21"/>
                <w:highlight w:val="none"/>
              </w:rPr>
            </w:pPr>
          </w:p>
        </w:tc>
        <w:tc>
          <w:tcPr>
            <w:tcW w:w="1352" w:type="dxa"/>
            <w:tcBorders>
              <w:bottom w:val="single" w:color="auto" w:sz="12" w:space="0"/>
            </w:tcBorders>
            <w:noWrap w:val="0"/>
            <w:vAlign w:val="top"/>
          </w:tcPr>
          <w:p w14:paraId="51CDFB74">
            <w:pPr>
              <w:keepNext/>
              <w:spacing w:line="440" w:lineRule="exact"/>
              <w:rPr>
                <w:rFonts w:hint="eastAsia" w:ascii="宋体" w:hAnsi="宋体" w:cs="宋体"/>
                <w:color w:val="auto"/>
                <w:szCs w:val="21"/>
                <w:highlight w:val="none"/>
              </w:rPr>
            </w:pPr>
          </w:p>
        </w:tc>
        <w:tc>
          <w:tcPr>
            <w:tcW w:w="1418" w:type="dxa"/>
            <w:tcBorders>
              <w:bottom w:val="single" w:color="auto" w:sz="12" w:space="0"/>
            </w:tcBorders>
            <w:noWrap w:val="0"/>
            <w:vAlign w:val="top"/>
          </w:tcPr>
          <w:p w14:paraId="4A8204FB">
            <w:pPr>
              <w:keepNext/>
              <w:spacing w:line="440" w:lineRule="exact"/>
              <w:rPr>
                <w:rFonts w:hint="eastAsia" w:ascii="宋体" w:hAnsi="宋体" w:cs="宋体"/>
                <w:color w:val="auto"/>
                <w:szCs w:val="21"/>
                <w:highlight w:val="none"/>
              </w:rPr>
            </w:pPr>
          </w:p>
        </w:tc>
        <w:tc>
          <w:tcPr>
            <w:tcW w:w="1701" w:type="dxa"/>
            <w:tcBorders>
              <w:bottom w:val="single" w:color="auto" w:sz="12" w:space="0"/>
            </w:tcBorders>
            <w:noWrap w:val="0"/>
            <w:vAlign w:val="top"/>
          </w:tcPr>
          <w:p w14:paraId="705E0C24">
            <w:pPr>
              <w:keepNext/>
              <w:spacing w:line="440" w:lineRule="exact"/>
              <w:rPr>
                <w:rFonts w:hint="eastAsia" w:ascii="宋体" w:hAnsi="宋体" w:cs="宋体"/>
                <w:color w:val="auto"/>
                <w:szCs w:val="21"/>
                <w:highlight w:val="none"/>
              </w:rPr>
            </w:pPr>
          </w:p>
        </w:tc>
      </w:tr>
    </w:tbl>
    <w:p w14:paraId="0EB1FA7D">
      <w:pPr>
        <w:spacing w:line="440" w:lineRule="exact"/>
        <w:rPr>
          <w:rFonts w:hint="eastAsia" w:ascii="宋体" w:hAnsi="宋体" w:cs="宋体"/>
          <w:color w:val="auto"/>
          <w:szCs w:val="21"/>
          <w:highlight w:val="none"/>
        </w:rPr>
      </w:pPr>
    </w:p>
    <w:p w14:paraId="0A7E2156">
      <w:pPr>
        <w:spacing w:before="120" w:beforeLines="50" w:after="120" w:afterLines="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12-3：专业工程暂估价表</w:t>
      </w:r>
    </w:p>
    <w:tbl>
      <w:tblPr>
        <w:tblStyle w:val="21"/>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6313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1A73E702">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84" w:type="dxa"/>
            <w:tcBorders>
              <w:top w:val="single" w:color="auto" w:sz="12" w:space="0"/>
              <w:bottom w:val="double" w:color="auto" w:sz="6" w:space="0"/>
            </w:tcBorders>
            <w:noWrap w:val="0"/>
            <w:vAlign w:val="top"/>
          </w:tcPr>
          <w:p w14:paraId="5326C7C6">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851" w:type="dxa"/>
            <w:tcBorders>
              <w:top w:val="single" w:color="auto" w:sz="12" w:space="0"/>
              <w:bottom w:val="double" w:color="auto" w:sz="6" w:space="0"/>
            </w:tcBorders>
            <w:noWrap w:val="0"/>
            <w:vAlign w:val="top"/>
          </w:tcPr>
          <w:p w14:paraId="41B18E00">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774" w:type="dxa"/>
            <w:tcBorders>
              <w:top w:val="single" w:color="auto" w:sz="12" w:space="0"/>
              <w:bottom w:val="double" w:color="auto" w:sz="6" w:space="0"/>
            </w:tcBorders>
            <w:noWrap w:val="0"/>
            <w:vAlign w:val="top"/>
          </w:tcPr>
          <w:p w14:paraId="0794FC9A">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1352" w:type="dxa"/>
            <w:tcBorders>
              <w:top w:val="single" w:color="auto" w:sz="12" w:space="0"/>
              <w:bottom w:val="double" w:color="auto" w:sz="6" w:space="0"/>
            </w:tcBorders>
            <w:noWrap w:val="0"/>
            <w:vAlign w:val="top"/>
          </w:tcPr>
          <w:p w14:paraId="68576067">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单价（元）</w:t>
            </w:r>
          </w:p>
        </w:tc>
        <w:tc>
          <w:tcPr>
            <w:tcW w:w="1418" w:type="dxa"/>
            <w:tcBorders>
              <w:top w:val="single" w:color="auto" w:sz="12" w:space="0"/>
              <w:bottom w:val="double" w:color="auto" w:sz="6" w:space="0"/>
            </w:tcBorders>
            <w:noWrap w:val="0"/>
            <w:vAlign w:val="top"/>
          </w:tcPr>
          <w:p w14:paraId="7E50E7FD">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合价（元）</w:t>
            </w:r>
          </w:p>
        </w:tc>
        <w:tc>
          <w:tcPr>
            <w:tcW w:w="1701" w:type="dxa"/>
            <w:tcBorders>
              <w:top w:val="single" w:color="auto" w:sz="12" w:space="0"/>
              <w:bottom w:val="double" w:color="auto" w:sz="6" w:space="0"/>
            </w:tcBorders>
            <w:noWrap w:val="0"/>
            <w:vAlign w:val="top"/>
          </w:tcPr>
          <w:p w14:paraId="2895DB28">
            <w:pPr>
              <w:keepNext/>
              <w:spacing w:line="440" w:lineRule="exact"/>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2A506B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1882441E">
            <w:pPr>
              <w:keepNext/>
              <w:spacing w:line="440" w:lineRule="exact"/>
              <w:rPr>
                <w:rFonts w:hint="eastAsia" w:ascii="宋体" w:hAnsi="宋体" w:cs="宋体"/>
                <w:color w:val="auto"/>
                <w:szCs w:val="21"/>
                <w:highlight w:val="none"/>
              </w:rPr>
            </w:pPr>
          </w:p>
        </w:tc>
        <w:tc>
          <w:tcPr>
            <w:tcW w:w="1984" w:type="dxa"/>
            <w:tcBorders>
              <w:top w:val="double" w:color="auto" w:sz="6" w:space="0"/>
            </w:tcBorders>
            <w:noWrap w:val="0"/>
            <w:vAlign w:val="top"/>
          </w:tcPr>
          <w:p w14:paraId="752E666C">
            <w:pPr>
              <w:keepNext/>
              <w:spacing w:line="440" w:lineRule="exact"/>
              <w:rPr>
                <w:rFonts w:hint="eastAsia" w:ascii="宋体" w:hAnsi="宋体" w:cs="宋体"/>
                <w:color w:val="auto"/>
                <w:szCs w:val="21"/>
                <w:highlight w:val="none"/>
              </w:rPr>
            </w:pPr>
          </w:p>
        </w:tc>
        <w:tc>
          <w:tcPr>
            <w:tcW w:w="851" w:type="dxa"/>
            <w:tcBorders>
              <w:top w:val="double" w:color="auto" w:sz="6" w:space="0"/>
            </w:tcBorders>
            <w:noWrap w:val="0"/>
            <w:vAlign w:val="top"/>
          </w:tcPr>
          <w:p w14:paraId="68F096EF">
            <w:pPr>
              <w:keepNext/>
              <w:spacing w:line="440" w:lineRule="exact"/>
              <w:rPr>
                <w:rFonts w:hint="eastAsia" w:ascii="宋体" w:hAnsi="宋体" w:cs="宋体"/>
                <w:color w:val="auto"/>
                <w:szCs w:val="21"/>
                <w:highlight w:val="none"/>
              </w:rPr>
            </w:pPr>
          </w:p>
        </w:tc>
        <w:tc>
          <w:tcPr>
            <w:tcW w:w="774" w:type="dxa"/>
            <w:tcBorders>
              <w:top w:val="double" w:color="auto" w:sz="6" w:space="0"/>
            </w:tcBorders>
            <w:noWrap w:val="0"/>
            <w:vAlign w:val="top"/>
          </w:tcPr>
          <w:p w14:paraId="6E742011">
            <w:pPr>
              <w:keepNext/>
              <w:spacing w:line="440" w:lineRule="exact"/>
              <w:rPr>
                <w:rFonts w:hint="eastAsia" w:ascii="宋体" w:hAnsi="宋体" w:cs="宋体"/>
                <w:color w:val="auto"/>
                <w:szCs w:val="21"/>
                <w:highlight w:val="none"/>
              </w:rPr>
            </w:pPr>
          </w:p>
        </w:tc>
        <w:tc>
          <w:tcPr>
            <w:tcW w:w="1352" w:type="dxa"/>
            <w:tcBorders>
              <w:top w:val="double" w:color="auto" w:sz="6" w:space="0"/>
            </w:tcBorders>
            <w:noWrap w:val="0"/>
            <w:vAlign w:val="top"/>
          </w:tcPr>
          <w:p w14:paraId="06196F87">
            <w:pPr>
              <w:keepNext/>
              <w:spacing w:line="440" w:lineRule="exact"/>
              <w:rPr>
                <w:rFonts w:hint="eastAsia" w:ascii="宋体" w:hAnsi="宋体" w:cs="宋体"/>
                <w:color w:val="auto"/>
                <w:szCs w:val="21"/>
                <w:highlight w:val="none"/>
              </w:rPr>
            </w:pPr>
          </w:p>
        </w:tc>
        <w:tc>
          <w:tcPr>
            <w:tcW w:w="1418" w:type="dxa"/>
            <w:tcBorders>
              <w:top w:val="double" w:color="auto" w:sz="6" w:space="0"/>
            </w:tcBorders>
            <w:noWrap w:val="0"/>
            <w:vAlign w:val="top"/>
          </w:tcPr>
          <w:p w14:paraId="1A2836AE">
            <w:pPr>
              <w:keepNext/>
              <w:spacing w:line="440" w:lineRule="exact"/>
              <w:rPr>
                <w:rFonts w:hint="eastAsia" w:ascii="宋体" w:hAnsi="宋体" w:cs="宋体"/>
                <w:color w:val="auto"/>
                <w:szCs w:val="21"/>
                <w:highlight w:val="none"/>
              </w:rPr>
            </w:pPr>
          </w:p>
        </w:tc>
        <w:tc>
          <w:tcPr>
            <w:tcW w:w="1701" w:type="dxa"/>
            <w:tcBorders>
              <w:top w:val="double" w:color="auto" w:sz="6" w:space="0"/>
            </w:tcBorders>
            <w:noWrap w:val="0"/>
            <w:vAlign w:val="top"/>
          </w:tcPr>
          <w:p w14:paraId="0E82423B">
            <w:pPr>
              <w:keepNext/>
              <w:spacing w:line="440" w:lineRule="exact"/>
              <w:rPr>
                <w:rFonts w:hint="eastAsia" w:ascii="宋体" w:hAnsi="宋体" w:cs="宋体"/>
                <w:color w:val="auto"/>
                <w:szCs w:val="21"/>
                <w:highlight w:val="none"/>
              </w:rPr>
            </w:pPr>
          </w:p>
        </w:tc>
      </w:tr>
      <w:tr w14:paraId="0B7C16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13744AA6">
            <w:pPr>
              <w:keepNext/>
              <w:spacing w:line="440" w:lineRule="exact"/>
              <w:rPr>
                <w:rFonts w:hint="eastAsia" w:ascii="宋体" w:hAnsi="宋体" w:cs="宋体"/>
                <w:color w:val="auto"/>
                <w:szCs w:val="21"/>
                <w:highlight w:val="none"/>
              </w:rPr>
            </w:pPr>
          </w:p>
        </w:tc>
        <w:tc>
          <w:tcPr>
            <w:tcW w:w="1984" w:type="dxa"/>
            <w:tcBorders>
              <w:top w:val="nil"/>
            </w:tcBorders>
            <w:noWrap w:val="0"/>
            <w:vAlign w:val="top"/>
          </w:tcPr>
          <w:p w14:paraId="1CE8108D">
            <w:pPr>
              <w:keepNext/>
              <w:spacing w:line="440" w:lineRule="exact"/>
              <w:rPr>
                <w:rFonts w:hint="eastAsia" w:ascii="宋体" w:hAnsi="宋体" w:cs="宋体"/>
                <w:color w:val="auto"/>
                <w:szCs w:val="21"/>
                <w:highlight w:val="none"/>
              </w:rPr>
            </w:pPr>
          </w:p>
        </w:tc>
        <w:tc>
          <w:tcPr>
            <w:tcW w:w="851" w:type="dxa"/>
            <w:tcBorders>
              <w:top w:val="nil"/>
            </w:tcBorders>
            <w:noWrap w:val="0"/>
            <w:vAlign w:val="top"/>
          </w:tcPr>
          <w:p w14:paraId="6F9C1C0A">
            <w:pPr>
              <w:keepNext/>
              <w:spacing w:line="440" w:lineRule="exact"/>
              <w:rPr>
                <w:rFonts w:hint="eastAsia" w:ascii="宋体" w:hAnsi="宋体" w:cs="宋体"/>
                <w:color w:val="auto"/>
                <w:szCs w:val="21"/>
                <w:highlight w:val="none"/>
              </w:rPr>
            </w:pPr>
          </w:p>
        </w:tc>
        <w:tc>
          <w:tcPr>
            <w:tcW w:w="774" w:type="dxa"/>
            <w:tcBorders>
              <w:top w:val="nil"/>
            </w:tcBorders>
            <w:noWrap w:val="0"/>
            <w:vAlign w:val="top"/>
          </w:tcPr>
          <w:p w14:paraId="4840022D">
            <w:pPr>
              <w:keepNext/>
              <w:spacing w:line="440" w:lineRule="exact"/>
              <w:rPr>
                <w:rFonts w:hint="eastAsia" w:ascii="宋体" w:hAnsi="宋体" w:cs="宋体"/>
                <w:color w:val="auto"/>
                <w:szCs w:val="21"/>
                <w:highlight w:val="none"/>
              </w:rPr>
            </w:pPr>
          </w:p>
        </w:tc>
        <w:tc>
          <w:tcPr>
            <w:tcW w:w="1352" w:type="dxa"/>
            <w:tcBorders>
              <w:top w:val="nil"/>
            </w:tcBorders>
            <w:noWrap w:val="0"/>
            <w:vAlign w:val="top"/>
          </w:tcPr>
          <w:p w14:paraId="1EEC642A">
            <w:pPr>
              <w:keepNext/>
              <w:spacing w:line="440" w:lineRule="exact"/>
              <w:rPr>
                <w:rFonts w:hint="eastAsia" w:ascii="宋体" w:hAnsi="宋体" w:cs="宋体"/>
                <w:color w:val="auto"/>
                <w:szCs w:val="21"/>
                <w:highlight w:val="none"/>
              </w:rPr>
            </w:pPr>
          </w:p>
        </w:tc>
        <w:tc>
          <w:tcPr>
            <w:tcW w:w="1418" w:type="dxa"/>
            <w:tcBorders>
              <w:top w:val="nil"/>
            </w:tcBorders>
            <w:noWrap w:val="0"/>
            <w:vAlign w:val="top"/>
          </w:tcPr>
          <w:p w14:paraId="4313B2DB">
            <w:pPr>
              <w:keepNext/>
              <w:spacing w:line="440" w:lineRule="exact"/>
              <w:rPr>
                <w:rFonts w:hint="eastAsia" w:ascii="宋体" w:hAnsi="宋体" w:cs="宋体"/>
                <w:color w:val="auto"/>
                <w:szCs w:val="21"/>
                <w:highlight w:val="none"/>
              </w:rPr>
            </w:pPr>
          </w:p>
        </w:tc>
        <w:tc>
          <w:tcPr>
            <w:tcW w:w="1701" w:type="dxa"/>
            <w:tcBorders>
              <w:top w:val="nil"/>
            </w:tcBorders>
            <w:noWrap w:val="0"/>
            <w:vAlign w:val="top"/>
          </w:tcPr>
          <w:p w14:paraId="2007A04A">
            <w:pPr>
              <w:keepNext/>
              <w:spacing w:line="440" w:lineRule="exact"/>
              <w:rPr>
                <w:rFonts w:hint="eastAsia" w:ascii="宋体" w:hAnsi="宋体" w:cs="宋体"/>
                <w:color w:val="auto"/>
                <w:szCs w:val="21"/>
                <w:highlight w:val="none"/>
              </w:rPr>
            </w:pPr>
          </w:p>
        </w:tc>
      </w:tr>
      <w:tr w14:paraId="401BD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3F3B6E3A">
            <w:pPr>
              <w:keepNext/>
              <w:spacing w:line="440" w:lineRule="exact"/>
              <w:rPr>
                <w:rFonts w:hint="eastAsia" w:ascii="宋体" w:hAnsi="宋体" w:cs="宋体"/>
                <w:color w:val="auto"/>
                <w:szCs w:val="21"/>
                <w:highlight w:val="none"/>
              </w:rPr>
            </w:pPr>
          </w:p>
        </w:tc>
        <w:tc>
          <w:tcPr>
            <w:tcW w:w="1984" w:type="dxa"/>
            <w:noWrap w:val="0"/>
            <w:vAlign w:val="top"/>
          </w:tcPr>
          <w:p w14:paraId="71D27D80">
            <w:pPr>
              <w:keepNext/>
              <w:spacing w:line="440" w:lineRule="exact"/>
              <w:rPr>
                <w:rFonts w:hint="eastAsia" w:ascii="宋体" w:hAnsi="宋体" w:cs="宋体"/>
                <w:color w:val="auto"/>
                <w:szCs w:val="21"/>
                <w:highlight w:val="none"/>
              </w:rPr>
            </w:pPr>
          </w:p>
        </w:tc>
        <w:tc>
          <w:tcPr>
            <w:tcW w:w="851" w:type="dxa"/>
            <w:noWrap w:val="0"/>
            <w:vAlign w:val="top"/>
          </w:tcPr>
          <w:p w14:paraId="1772DBA8">
            <w:pPr>
              <w:keepNext/>
              <w:spacing w:line="440" w:lineRule="exact"/>
              <w:rPr>
                <w:rFonts w:hint="eastAsia" w:ascii="宋体" w:hAnsi="宋体" w:cs="宋体"/>
                <w:color w:val="auto"/>
                <w:szCs w:val="21"/>
                <w:highlight w:val="none"/>
              </w:rPr>
            </w:pPr>
          </w:p>
        </w:tc>
        <w:tc>
          <w:tcPr>
            <w:tcW w:w="774" w:type="dxa"/>
            <w:noWrap w:val="0"/>
            <w:vAlign w:val="top"/>
          </w:tcPr>
          <w:p w14:paraId="68001062">
            <w:pPr>
              <w:keepNext/>
              <w:spacing w:line="440" w:lineRule="exact"/>
              <w:rPr>
                <w:rFonts w:hint="eastAsia" w:ascii="宋体" w:hAnsi="宋体" w:cs="宋体"/>
                <w:color w:val="auto"/>
                <w:szCs w:val="21"/>
                <w:highlight w:val="none"/>
              </w:rPr>
            </w:pPr>
          </w:p>
        </w:tc>
        <w:tc>
          <w:tcPr>
            <w:tcW w:w="1352" w:type="dxa"/>
            <w:noWrap w:val="0"/>
            <w:vAlign w:val="top"/>
          </w:tcPr>
          <w:p w14:paraId="314E8EEE">
            <w:pPr>
              <w:keepNext/>
              <w:spacing w:line="440" w:lineRule="exact"/>
              <w:rPr>
                <w:rFonts w:hint="eastAsia" w:ascii="宋体" w:hAnsi="宋体" w:cs="宋体"/>
                <w:color w:val="auto"/>
                <w:szCs w:val="21"/>
                <w:highlight w:val="none"/>
              </w:rPr>
            </w:pPr>
          </w:p>
        </w:tc>
        <w:tc>
          <w:tcPr>
            <w:tcW w:w="1418" w:type="dxa"/>
            <w:noWrap w:val="0"/>
            <w:vAlign w:val="top"/>
          </w:tcPr>
          <w:p w14:paraId="4BE32129">
            <w:pPr>
              <w:keepNext/>
              <w:spacing w:line="440" w:lineRule="exact"/>
              <w:rPr>
                <w:rFonts w:hint="eastAsia" w:ascii="宋体" w:hAnsi="宋体" w:cs="宋体"/>
                <w:color w:val="auto"/>
                <w:szCs w:val="21"/>
                <w:highlight w:val="none"/>
              </w:rPr>
            </w:pPr>
          </w:p>
        </w:tc>
        <w:tc>
          <w:tcPr>
            <w:tcW w:w="1701" w:type="dxa"/>
            <w:noWrap w:val="0"/>
            <w:vAlign w:val="top"/>
          </w:tcPr>
          <w:p w14:paraId="21208CEF">
            <w:pPr>
              <w:keepNext/>
              <w:spacing w:line="440" w:lineRule="exact"/>
              <w:rPr>
                <w:rFonts w:hint="eastAsia" w:ascii="宋体" w:hAnsi="宋体" w:cs="宋体"/>
                <w:color w:val="auto"/>
                <w:szCs w:val="21"/>
                <w:highlight w:val="none"/>
              </w:rPr>
            </w:pPr>
          </w:p>
        </w:tc>
      </w:tr>
      <w:tr w14:paraId="399585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7CB4E974">
            <w:pPr>
              <w:keepNext/>
              <w:spacing w:line="440" w:lineRule="exact"/>
              <w:rPr>
                <w:rFonts w:hint="eastAsia" w:ascii="宋体" w:hAnsi="宋体" w:cs="宋体"/>
                <w:color w:val="auto"/>
                <w:szCs w:val="21"/>
                <w:highlight w:val="none"/>
              </w:rPr>
            </w:pPr>
          </w:p>
        </w:tc>
        <w:tc>
          <w:tcPr>
            <w:tcW w:w="1984" w:type="dxa"/>
            <w:tcBorders>
              <w:bottom w:val="single" w:color="auto" w:sz="12" w:space="0"/>
            </w:tcBorders>
            <w:noWrap w:val="0"/>
            <w:vAlign w:val="top"/>
          </w:tcPr>
          <w:p w14:paraId="16DD4A99">
            <w:pPr>
              <w:keepNext/>
              <w:spacing w:line="440" w:lineRule="exact"/>
              <w:rPr>
                <w:rFonts w:hint="eastAsia" w:ascii="宋体" w:hAnsi="宋体" w:cs="宋体"/>
                <w:color w:val="auto"/>
                <w:szCs w:val="21"/>
                <w:highlight w:val="none"/>
              </w:rPr>
            </w:pPr>
          </w:p>
        </w:tc>
        <w:tc>
          <w:tcPr>
            <w:tcW w:w="851" w:type="dxa"/>
            <w:tcBorders>
              <w:bottom w:val="single" w:color="auto" w:sz="12" w:space="0"/>
            </w:tcBorders>
            <w:noWrap w:val="0"/>
            <w:vAlign w:val="top"/>
          </w:tcPr>
          <w:p w14:paraId="7A962C17">
            <w:pPr>
              <w:keepNext/>
              <w:spacing w:line="440" w:lineRule="exact"/>
              <w:rPr>
                <w:rFonts w:hint="eastAsia" w:ascii="宋体" w:hAnsi="宋体" w:cs="宋体"/>
                <w:color w:val="auto"/>
                <w:szCs w:val="21"/>
                <w:highlight w:val="none"/>
              </w:rPr>
            </w:pPr>
          </w:p>
        </w:tc>
        <w:tc>
          <w:tcPr>
            <w:tcW w:w="774" w:type="dxa"/>
            <w:tcBorders>
              <w:bottom w:val="single" w:color="auto" w:sz="12" w:space="0"/>
            </w:tcBorders>
            <w:noWrap w:val="0"/>
            <w:vAlign w:val="top"/>
          </w:tcPr>
          <w:p w14:paraId="54635857">
            <w:pPr>
              <w:keepNext/>
              <w:spacing w:line="440" w:lineRule="exact"/>
              <w:rPr>
                <w:rFonts w:hint="eastAsia" w:ascii="宋体" w:hAnsi="宋体" w:cs="宋体"/>
                <w:color w:val="auto"/>
                <w:szCs w:val="21"/>
                <w:highlight w:val="none"/>
              </w:rPr>
            </w:pPr>
          </w:p>
        </w:tc>
        <w:tc>
          <w:tcPr>
            <w:tcW w:w="1352" w:type="dxa"/>
            <w:tcBorders>
              <w:bottom w:val="single" w:color="auto" w:sz="12" w:space="0"/>
            </w:tcBorders>
            <w:noWrap w:val="0"/>
            <w:vAlign w:val="top"/>
          </w:tcPr>
          <w:p w14:paraId="548154F5">
            <w:pPr>
              <w:keepNext/>
              <w:spacing w:line="440" w:lineRule="exact"/>
              <w:rPr>
                <w:rFonts w:hint="eastAsia" w:ascii="宋体" w:hAnsi="宋体" w:cs="宋体"/>
                <w:color w:val="auto"/>
                <w:szCs w:val="21"/>
                <w:highlight w:val="none"/>
              </w:rPr>
            </w:pPr>
          </w:p>
        </w:tc>
        <w:tc>
          <w:tcPr>
            <w:tcW w:w="1418" w:type="dxa"/>
            <w:tcBorders>
              <w:bottom w:val="single" w:color="auto" w:sz="12" w:space="0"/>
            </w:tcBorders>
            <w:noWrap w:val="0"/>
            <w:vAlign w:val="top"/>
          </w:tcPr>
          <w:p w14:paraId="7D6A805F">
            <w:pPr>
              <w:keepNext/>
              <w:spacing w:line="440" w:lineRule="exact"/>
              <w:rPr>
                <w:rFonts w:hint="eastAsia" w:ascii="宋体" w:hAnsi="宋体" w:cs="宋体"/>
                <w:color w:val="auto"/>
                <w:szCs w:val="21"/>
                <w:highlight w:val="none"/>
              </w:rPr>
            </w:pPr>
          </w:p>
        </w:tc>
        <w:tc>
          <w:tcPr>
            <w:tcW w:w="1701" w:type="dxa"/>
            <w:tcBorders>
              <w:bottom w:val="single" w:color="auto" w:sz="12" w:space="0"/>
            </w:tcBorders>
            <w:noWrap w:val="0"/>
            <w:vAlign w:val="top"/>
          </w:tcPr>
          <w:p w14:paraId="32406104">
            <w:pPr>
              <w:keepNext/>
              <w:spacing w:line="440" w:lineRule="exact"/>
              <w:rPr>
                <w:rFonts w:hint="eastAsia" w:ascii="宋体" w:hAnsi="宋体" w:cs="宋体"/>
                <w:color w:val="auto"/>
                <w:szCs w:val="21"/>
                <w:highlight w:val="none"/>
              </w:rPr>
            </w:pPr>
          </w:p>
        </w:tc>
      </w:tr>
    </w:tbl>
    <w:p w14:paraId="24537184">
      <w:pPr>
        <w:rPr>
          <w:rFonts w:hint="eastAsia" w:ascii="宋体" w:hAnsi="宋体" w:cs="宋体"/>
          <w:color w:val="auto"/>
          <w:szCs w:val="21"/>
          <w:highlight w:val="none"/>
        </w:rPr>
      </w:pPr>
    </w:p>
    <w:p w14:paraId="62C33048">
      <w:pPr>
        <w:rPr>
          <w:rFonts w:hint="eastAsia" w:ascii="宋体" w:hAnsi="宋体" w:cs="宋体"/>
          <w:color w:val="auto"/>
          <w:szCs w:val="22"/>
          <w:highlight w:val="none"/>
        </w:rPr>
      </w:pPr>
    </w:p>
    <w:p w14:paraId="64BD3CAB">
      <w:pPr>
        <w:rPr>
          <w:rFonts w:hint="eastAsia" w:ascii="宋体" w:hAnsi="宋体" w:cs="宋体"/>
          <w:color w:val="auto"/>
          <w:szCs w:val="22"/>
          <w:highlight w:val="none"/>
        </w:rPr>
      </w:pPr>
    </w:p>
    <w:p w14:paraId="0FCB3CC3">
      <w:pPr>
        <w:keepNext/>
        <w:keepLines/>
        <w:spacing w:before="120" w:after="120" w:line="360" w:lineRule="auto"/>
        <w:jc w:val="left"/>
        <w:outlineLvl w:val="2"/>
        <w:rPr>
          <w:rFonts w:hint="eastAsia" w:ascii="宋体" w:hAnsi="宋体" w:cs="宋体"/>
          <w:color w:val="auto"/>
          <w:highlight w:val="none"/>
        </w:rPr>
        <w:sectPr>
          <w:footnotePr>
            <w:numFmt w:val="decimalEnclosedCircleChinese"/>
            <w:numRestart w:val="eachPage"/>
          </w:footnotePr>
          <w:pgSz w:w="11907" w:h="16840"/>
          <w:pgMar w:top="1474" w:right="1474" w:bottom="1474" w:left="1474" w:header="799" w:footer="907" w:gutter="0"/>
          <w:pgNumType w:fmt="numberInDash"/>
          <w:cols w:space="720" w:num="1"/>
          <w:docGrid w:linePitch="271" w:charSpace="0"/>
        </w:sectPr>
      </w:pPr>
    </w:p>
    <w:p w14:paraId="0ECB0BB5">
      <w:pPr>
        <w:keepNext/>
        <w:keepLines/>
        <w:spacing w:before="120" w:after="120" w:line="360" w:lineRule="auto"/>
        <w:jc w:val="left"/>
        <w:outlineLvl w:val="2"/>
        <w:rPr>
          <w:rFonts w:hint="eastAsia" w:ascii="宋体" w:hAnsi="宋体" w:cs="宋体"/>
          <w:bCs/>
          <w:color w:val="auto"/>
          <w:sz w:val="24"/>
          <w:highlight w:val="none"/>
        </w:rPr>
      </w:pPr>
      <w:bookmarkStart w:id="1374" w:name="_Toc95223511"/>
      <w:r>
        <w:rPr>
          <w:rFonts w:hint="eastAsia" w:ascii="宋体" w:hAnsi="宋体" w:cs="宋体"/>
          <w:bCs/>
          <w:color w:val="auto"/>
          <w:sz w:val="24"/>
          <w:highlight w:val="none"/>
        </w:rPr>
        <w:t>附件12：安全生产合同</w:t>
      </w:r>
      <w:bookmarkEnd w:id="1374"/>
    </w:p>
    <w:p w14:paraId="62E5B8A0">
      <w:pPr>
        <w:adjustRightInd w:val="0"/>
        <w:snapToGrid w:val="0"/>
        <w:spacing w:line="360" w:lineRule="auto"/>
        <w:jc w:val="center"/>
        <w:rPr>
          <w:rFonts w:hint="eastAsia" w:ascii="宋体" w:hAnsi="宋体" w:cs="宋体"/>
          <w:b/>
          <w:color w:val="auto"/>
          <w:sz w:val="32"/>
          <w:szCs w:val="32"/>
          <w:highlight w:val="none"/>
        </w:rPr>
      </w:pPr>
      <w:bookmarkStart w:id="1375" w:name="_Toc16956"/>
      <w:bookmarkStart w:id="1376" w:name="_Toc95223512"/>
      <w:bookmarkStart w:id="1377" w:name="_Toc32439"/>
      <w:r>
        <w:rPr>
          <w:rFonts w:hint="eastAsia" w:ascii="宋体" w:hAnsi="宋体" w:cs="宋体"/>
          <w:b/>
          <w:color w:val="auto"/>
          <w:sz w:val="32"/>
          <w:szCs w:val="32"/>
          <w:highlight w:val="none"/>
        </w:rPr>
        <w:t>安全生产合同</w:t>
      </w:r>
      <w:bookmarkEnd w:id="1375"/>
      <w:bookmarkEnd w:id="1376"/>
      <w:bookmarkEnd w:id="1377"/>
    </w:p>
    <w:p w14:paraId="7A92DCB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为在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（标段）施工合同的实施过程中创造安全、高效的施工环境，切实搞好本项目的安全管理工作，本项目发包人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（发包人名称，以下简称“发包人”）与承包人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（承包人名称，以下简称“承包人”）特此签订安全生产合同：</w:t>
      </w:r>
    </w:p>
    <w:p w14:paraId="039274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1.发包人职责</w:t>
      </w:r>
    </w:p>
    <w:p w14:paraId="49DCAD4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（1）严格遵守国家有关安全生产的法律法规，认真执行工程承包合同中的有关安全要求。</w:t>
      </w:r>
    </w:p>
    <w:p w14:paraId="2F76A03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（2）按照“安全第一、预防为主”和坚持“管生产必须管安全”的原则进行安全生产管理，做到生产与安全工作同时计划、布置、检查、总结和评比。</w:t>
      </w:r>
    </w:p>
    <w:p w14:paraId="7A7D63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（3）重要的安全设施必须坚持与主体工程“三同时”的原则，即：同时设计、审批，同时施工，同时验收，投入使用。</w:t>
      </w:r>
    </w:p>
    <w:p w14:paraId="6011CFF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（4）定期召开安全生产调度会，及时传达中央及地方有关安全生产的精神。</w:t>
      </w:r>
    </w:p>
    <w:p w14:paraId="6C707A6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（5）组织对承包人施工现场安全生产检查，监督承包人及时处理发现的各种安全隐患。</w:t>
      </w:r>
    </w:p>
    <w:p w14:paraId="7336E5C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2.承包人职责</w:t>
      </w:r>
    </w:p>
    <w:p w14:paraId="639C1F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（1）严格遵守《中华人民共和国安全生产法</w:t>
      </w:r>
      <w:r>
        <w:rPr>
          <w:rFonts w:hint="eastAsia" w:ascii="宋体" w:hAnsi="宋体" w:cs="宋体"/>
          <w:color w:val="auto"/>
          <w:szCs w:val="21"/>
          <w:highlight w:val="none"/>
          <w:lang w:eastAsia="zh-CN"/>
        </w:rPr>
        <w:t>》《</w:t>
      </w:r>
      <w:r>
        <w:rPr>
          <w:rFonts w:hint="eastAsia" w:ascii="宋体" w:hAnsi="宋体" w:cs="宋体"/>
          <w:color w:val="auto"/>
          <w:szCs w:val="21"/>
          <w:highlight w:val="none"/>
        </w:rPr>
        <w:t>建设工程安全生产管理条例》等国家有关安全生产的法律法规、《建设项目安全设施“三同时”监督管理办法》等有关安全生产的规定。认真执行工程承包合同中的有关安全要求。</w:t>
      </w:r>
    </w:p>
    <w:p w14:paraId="08DD05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38C7B66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049AB90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（4）承包人在任何时候都应采取各种合理的预防措施，防止其员工发生任何违法、违禁、暴力或妨碍治安的行为。</w:t>
      </w:r>
    </w:p>
    <w:p w14:paraId="55F4C04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07D98A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2023C38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（7）操作人员上岗，必须按规定穿戴防护用品。施工负责人和安全检查员应随时检查劳动防护用品的穿戴情况，不按规定穿戴防护用品的人员不得上岗。</w:t>
      </w:r>
    </w:p>
    <w:p w14:paraId="3A8CDA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（8）所有施工机具设备和高空作业的设备均应定期检查，并有安全员的签字记录，保证其经常处于完好状态；不合格的机具、设备和劳动保护用品严禁使用：</w:t>
      </w:r>
    </w:p>
    <w:p w14:paraId="79CA73C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（9）施工中采用新技术、新工艺、新设备、新材料时，必须制定相应的安全技术措施，施工现场必须具有相关的安全标志牌。</w:t>
      </w:r>
    </w:p>
    <w:p w14:paraId="11478AA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7FF35F5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（11）安全生产费用按照《建设工程安全生产管理条例》的相关规定使用和管理。</w:t>
      </w:r>
    </w:p>
    <w:p w14:paraId="366422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3.违约责任</w:t>
      </w:r>
    </w:p>
    <w:p w14:paraId="55B31B2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如因发包人或承包人违约造成安全事故，将依法追究责任。</w:t>
      </w:r>
    </w:p>
    <w:p w14:paraId="491A3EB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4.本合同由双方法定代表人或其授权的代理人签署并加盖单位章后生效，全部工程竣工验收后失效。</w:t>
      </w:r>
    </w:p>
    <w:p w14:paraId="29A7A3A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5.本合同正本—式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份，副本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份，合同双方各执正本—份，副本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份，当正本与副本的内容不一致时，以正本为准。</w:t>
      </w:r>
    </w:p>
    <w:p w14:paraId="04CBF6C8">
      <w:pPr>
        <w:spacing w:line="360" w:lineRule="auto"/>
        <w:rPr>
          <w:rFonts w:hint="eastAsia" w:ascii="宋体" w:hAnsi="宋体" w:cs="宋体"/>
          <w:color w:val="auto"/>
          <w:szCs w:val="21"/>
          <w:highlight w:val="none"/>
        </w:rPr>
      </w:pPr>
    </w:p>
    <w:p w14:paraId="5383189D">
      <w:pPr>
        <w:spacing w:line="360" w:lineRule="auto"/>
        <w:rPr>
          <w:rFonts w:hint="eastAsia" w:ascii="宋体" w:hAnsi="宋体" w:cs="宋体"/>
          <w:color w:val="auto"/>
          <w:szCs w:val="21"/>
          <w:highlight w:val="none"/>
        </w:rPr>
      </w:pPr>
    </w:p>
    <w:p w14:paraId="0FB93F3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发包人：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           承包人：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1B5F4138">
      <w:pPr>
        <w:spacing w:line="360" w:lineRule="auto"/>
        <w:rPr>
          <w:rFonts w:hint="eastAsia" w:ascii="宋体" w:hAnsi="宋体" w:cs="宋体"/>
          <w:color w:val="auto"/>
          <w:szCs w:val="21"/>
          <w:highlight w:val="none"/>
        </w:rPr>
      </w:pPr>
    </w:p>
    <w:p w14:paraId="31DF1EB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           法定代表人或其委托代理人：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14:paraId="3D099C89">
      <w:pPr>
        <w:spacing w:line="360" w:lineRule="auto"/>
        <w:rPr>
          <w:rFonts w:hint="eastAsia" w:ascii="宋体" w:hAnsi="宋体" w:cs="宋体"/>
          <w:color w:val="auto"/>
          <w:szCs w:val="21"/>
          <w:highlight w:val="none"/>
        </w:rPr>
      </w:pPr>
    </w:p>
    <w:p w14:paraId="51FA3828">
      <w:pPr>
        <w:spacing w:line="360" w:lineRule="auto"/>
        <w:ind w:firstLine="840"/>
        <w:rPr>
          <w:rFonts w:ascii="宋体" w:hAnsi="宋体" w:cs="宋体"/>
          <w:bCs/>
          <w:color w:val="auto"/>
          <w:kern w:val="44"/>
          <w:sz w:val="32"/>
          <w:szCs w:val="44"/>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B26FA25">
      <w:pPr>
        <w:rPr>
          <w:rFonts w:ascii="宋体" w:hAnsi="宋体" w:cs="宋体"/>
          <w:color w:val="auto"/>
          <w:sz w:val="32"/>
          <w:szCs w:val="44"/>
          <w:highlight w:val="none"/>
        </w:rPr>
      </w:pPr>
    </w:p>
    <w:p w14:paraId="2BA7C0BE">
      <w:pPr>
        <w:rPr>
          <w:rFonts w:ascii="宋体" w:hAnsi="宋体" w:cs="宋体"/>
          <w:color w:val="auto"/>
          <w:sz w:val="32"/>
          <w:szCs w:val="44"/>
          <w:highlight w:val="none"/>
        </w:rPr>
      </w:pPr>
    </w:p>
    <w:p w14:paraId="6A7B4498">
      <w:pPr>
        <w:tabs>
          <w:tab w:val="left" w:pos="2820"/>
        </w:tabs>
        <w:outlineLvl w:val="2"/>
        <w:rPr>
          <w:rFonts w:hint="eastAsia" w:ascii="宋体" w:hAnsi="宋体" w:cs="宋体"/>
          <w:color w:val="auto"/>
          <w:sz w:val="32"/>
          <w:szCs w:val="44"/>
          <w:highlight w:val="none"/>
        </w:rPr>
      </w:pPr>
      <w:r>
        <w:rPr>
          <w:rFonts w:hint="eastAsia" w:ascii="宋体" w:hAnsi="宋体" w:cs="宋体"/>
          <w:color w:val="auto"/>
          <w:sz w:val="32"/>
          <w:szCs w:val="44"/>
          <w:highlight w:val="none"/>
        </w:rPr>
        <w:br w:type="page"/>
      </w:r>
      <w:bookmarkStart w:id="1378" w:name="_Toc95223513"/>
      <w:r>
        <w:rPr>
          <w:rFonts w:hint="eastAsia" w:ascii="宋体" w:hAnsi="宋体" w:cs="宋体"/>
          <w:bCs/>
          <w:color w:val="auto"/>
          <w:sz w:val="24"/>
          <w:highlight w:val="none"/>
        </w:rPr>
        <w:t>附件14：项目经理质量终身责任制承诺</w:t>
      </w:r>
      <w:bookmarkEnd w:id="1378"/>
    </w:p>
    <w:p w14:paraId="2FCA2C95">
      <w:pPr>
        <w:adjustRightInd w:val="0"/>
        <w:snapToGrid w:val="0"/>
        <w:spacing w:line="360" w:lineRule="auto"/>
        <w:jc w:val="center"/>
        <w:rPr>
          <w:rFonts w:hint="eastAsia" w:ascii="宋体" w:hAnsi="宋体" w:cs="宋体"/>
          <w:b/>
          <w:color w:val="auto"/>
          <w:sz w:val="32"/>
          <w:szCs w:val="32"/>
          <w:highlight w:val="none"/>
        </w:rPr>
      </w:pPr>
      <w:bookmarkStart w:id="1379" w:name="_Toc19059"/>
      <w:bookmarkStart w:id="1380" w:name="_Toc95223514"/>
      <w:bookmarkStart w:id="1381" w:name="_Toc20282"/>
    </w:p>
    <w:p w14:paraId="7A5C5ED9">
      <w:pPr>
        <w:adjustRightInd w:val="0"/>
        <w:snapToGrid w:val="0"/>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项目经理质量终身责任制承诺</w:t>
      </w:r>
      <w:bookmarkEnd w:id="1379"/>
      <w:bookmarkEnd w:id="1380"/>
      <w:bookmarkEnd w:id="1381"/>
    </w:p>
    <w:p w14:paraId="7BA0E053">
      <w:pPr>
        <w:adjustRightInd w:val="0"/>
        <w:snapToGrid w:val="0"/>
        <w:spacing w:line="360" w:lineRule="auto"/>
        <w:rPr>
          <w:rFonts w:hint="eastAsia" w:ascii="宋体" w:hAnsi="宋体" w:cs="宋体"/>
          <w:bCs/>
          <w:color w:val="auto"/>
          <w:sz w:val="24"/>
          <w:szCs w:val="21"/>
          <w:highlight w:val="none"/>
        </w:rPr>
      </w:pPr>
      <w:r>
        <w:rPr>
          <w:rFonts w:hint="eastAsia" w:ascii="宋体" w:hAnsi="宋体" w:cs="宋体"/>
          <w:bCs/>
          <w:color w:val="auto"/>
          <w:sz w:val="24"/>
          <w:szCs w:val="21"/>
          <w:highlight w:val="none"/>
        </w:rPr>
        <w:t>致：______________</w:t>
      </w:r>
      <w:r>
        <w:rPr>
          <w:rFonts w:hint="eastAsia" w:ascii="宋体" w:hAnsi="宋体" w:cs="宋体"/>
          <w:bCs/>
          <w:color w:val="auto"/>
          <w:sz w:val="24"/>
          <w:szCs w:val="21"/>
          <w:highlight w:val="none"/>
          <w:lang w:eastAsia="zh-CN"/>
        </w:rPr>
        <w:t>（</w:t>
      </w:r>
      <w:r>
        <w:rPr>
          <w:rFonts w:hint="eastAsia" w:ascii="宋体" w:hAnsi="宋体" w:cs="宋体"/>
          <w:bCs/>
          <w:color w:val="auto"/>
          <w:sz w:val="24"/>
          <w:szCs w:val="21"/>
          <w:highlight w:val="none"/>
        </w:rPr>
        <w:t>招标人名称</w:t>
      </w:r>
      <w:r>
        <w:rPr>
          <w:rFonts w:hint="eastAsia" w:ascii="宋体" w:hAnsi="宋体" w:cs="宋体"/>
          <w:bCs/>
          <w:color w:val="auto"/>
          <w:sz w:val="24"/>
          <w:szCs w:val="21"/>
          <w:highlight w:val="none"/>
          <w:lang w:eastAsia="zh-CN"/>
        </w:rPr>
        <w:t>）</w:t>
      </w:r>
    </w:p>
    <w:p w14:paraId="0387034A">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本人作为拟委任的施工项目经理，承担相关质量终身责任，现郑重承诺如下：</w:t>
      </w:r>
    </w:p>
    <w:p w14:paraId="4390D60A">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一、在取得施工许可证后进行施工。</w:t>
      </w:r>
    </w:p>
    <w:p w14:paraId="0EB8171F">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二、严格执行施工规范及标准。</w:t>
      </w:r>
    </w:p>
    <w:p w14:paraId="08B58BC2">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三、严格按规定配备施工项目部关键岗位人员，并确保所有人员到岗履职。</w:t>
      </w:r>
    </w:p>
    <w:p w14:paraId="6ECC55EB">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四、严格按照经施工图审查机构审查合格的工程设计文件及合同约定的质量标准精心组织施工。</w:t>
      </w:r>
    </w:p>
    <w:p w14:paraId="707174DD">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五、施工中采用合格的建筑材料、建筑构配件和设备等，并严格按规定执行见证取样制度。</w:t>
      </w:r>
    </w:p>
    <w:p w14:paraId="48D844E2">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六、建立、健全质量检查、验收制度，严格工序管理，做好隐蔽工程质量的检查和记录。</w:t>
      </w:r>
    </w:p>
    <w:p w14:paraId="211914EE">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七、对施工中出现的质量问题，及时进行整改。严格依法依规履行义务。</w:t>
      </w:r>
    </w:p>
    <w:p w14:paraId="137E8C51">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八、履行相关工程质量检查、验收及事故处理等职责。</w:t>
      </w:r>
    </w:p>
    <w:p w14:paraId="6AAEC943">
      <w:pPr>
        <w:adjustRightInd w:val="0"/>
        <w:snapToGrid w:val="0"/>
        <w:spacing w:line="360" w:lineRule="auto"/>
        <w:ind w:firstLine="480" w:firstLineChars="200"/>
        <w:rPr>
          <w:rFonts w:hint="eastAsia" w:ascii="宋体" w:hAnsi="宋体" w:cs="宋体"/>
          <w:bCs/>
          <w:color w:val="auto"/>
          <w:sz w:val="24"/>
          <w:szCs w:val="21"/>
          <w:highlight w:val="none"/>
        </w:rPr>
      </w:pPr>
      <w:r>
        <w:rPr>
          <w:rFonts w:hint="eastAsia" w:ascii="宋体" w:hAnsi="宋体" w:cs="宋体"/>
          <w:bCs/>
          <w:color w:val="auto"/>
          <w:sz w:val="24"/>
          <w:szCs w:val="21"/>
          <w:highlight w:val="none"/>
        </w:rPr>
        <w:t>九、履行其他法律法规规定的职责。</w:t>
      </w:r>
    </w:p>
    <w:p w14:paraId="4FC16411">
      <w:pPr>
        <w:spacing w:line="360" w:lineRule="auto"/>
        <w:ind w:left="359" w:leftChars="171" w:firstLine="720" w:firstLineChars="300"/>
        <w:rPr>
          <w:rFonts w:hint="eastAsia" w:ascii="宋体" w:hAnsi="宋体" w:cs="宋体"/>
          <w:bCs/>
          <w:color w:val="auto"/>
          <w:sz w:val="24"/>
          <w:szCs w:val="21"/>
          <w:highlight w:val="none"/>
        </w:rPr>
      </w:pPr>
    </w:p>
    <w:p w14:paraId="4DA1625A">
      <w:pPr>
        <w:spacing w:line="360" w:lineRule="auto"/>
        <w:ind w:left="359" w:leftChars="171" w:firstLine="720" w:firstLineChars="300"/>
        <w:rPr>
          <w:rFonts w:hint="eastAsia" w:ascii="宋体" w:hAnsi="宋体" w:cs="宋体"/>
          <w:bCs/>
          <w:color w:val="auto"/>
          <w:sz w:val="24"/>
          <w:szCs w:val="21"/>
          <w:highlight w:val="none"/>
        </w:rPr>
      </w:pPr>
    </w:p>
    <w:p w14:paraId="2352AC91">
      <w:pPr>
        <w:spacing w:line="360" w:lineRule="auto"/>
        <w:ind w:left="359" w:leftChars="171" w:firstLine="720" w:firstLineChars="300"/>
        <w:rPr>
          <w:rFonts w:hint="eastAsia" w:ascii="宋体" w:hAnsi="宋体" w:cs="宋体"/>
          <w:bCs/>
          <w:color w:val="auto"/>
          <w:sz w:val="24"/>
          <w:szCs w:val="21"/>
          <w:highlight w:val="none"/>
        </w:rPr>
      </w:pPr>
      <w:r>
        <w:rPr>
          <w:rFonts w:hint="eastAsia" w:ascii="宋体" w:hAnsi="宋体" w:cs="宋体"/>
          <w:bCs/>
          <w:color w:val="auto"/>
          <w:sz w:val="24"/>
          <w:szCs w:val="21"/>
          <w:highlight w:val="none"/>
        </w:rPr>
        <w:t>项目经理：</w:t>
      </w:r>
      <w:r>
        <w:rPr>
          <w:rFonts w:hint="eastAsia" w:ascii="宋体" w:hAnsi="宋体" w:cs="宋体"/>
          <w:bCs/>
          <w:color w:val="auto"/>
          <w:sz w:val="24"/>
          <w:szCs w:val="21"/>
          <w:highlight w:val="none"/>
          <w:u w:val="single"/>
        </w:rPr>
        <w:t xml:space="preserve">                   </w:t>
      </w:r>
      <w:r>
        <w:rPr>
          <w:rFonts w:hint="eastAsia" w:ascii="宋体" w:hAnsi="宋体" w:cs="宋体"/>
          <w:bCs/>
          <w:color w:val="auto"/>
          <w:sz w:val="24"/>
          <w:szCs w:val="21"/>
          <w:highlight w:val="none"/>
        </w:rPr>
        <w:t>（签字）</w:t>
      </w:r>
    </w:p>
    <w:p w14:paraId="1C59FBC0">
      <w:pPr>
        <w:spacing w:line="360" w:lineRule="auto"/>
        <w:ind w:left="359" w:leftChars="171" w:firstLine="720" w:firstLineChars="300"/>
        <w:rPr>
          <w:rFonts w:hint="eastAsia" w:ascii="宋体" w:hAnsi="宋体" w:cs="宋体"/>
          <w:bCs/>
          <w:color w:val="auto"/>
          <w:sz w:val="24"/>
          <w:szCs w:val="21"/>
          <w:highlight w:val="none"/>
        </w:rPr>
      </w:pPr>
      <w:r>
        <w:rPr>
          <w:rFonts w:hint="eastAsia" w:ascii="宋体" w:hAnsi="宋体" w:cs="宋体"/>
          <w:bCs/>
          <w:color w:val="auto"/>
          <w:sz w:val="24"/>
          <w:szCs w:val="21"/>
          <w:highlight w:val="none"/>
        </w:rPr>
        <w:t>日期：_____年____月____日</w:t>
      </w:r>
    </w:p>
    <w:p w14:paraId="120A606A">
      <w:pPr>
        <w:pStyle w:val="20"/>
        <w:rPr>
          <w:rFonts w:hint="eastAsia"/>
          <w:color w:val="auto"/>
          <w:highlight w:val="none"/>
        </w:rPr>
      </w:pPr>
    </w:p>
    <w:p w14:paraId="301A9373">
      <w:pPr>
        <w:ind w:firstLine="630"/>
        <w:rPr>
          <w:rFonts w:hint="eastAsia"/>
          <w:color w:val="auto"/>
          <w:highlight w:val="none"/>
        </w:rPr>
      </w:pPr>
    </w:p>
    <w:p w14:paraId="546F33CA">
      <w:pPr>
        <w:pStyle w:val="20"/>
        <w:rPr>
          <w:rFonts w:hint="eastAsia"/>
          <w:color w:val="auto"/>
          <w:highlight w:val="none"/>
        </w:rPr>
      </w:pPr>
    </w:p>
    <w:p w14:paraId="2FBCC5F0">
      <w:pPr>
        <w:ind w:firstLine="630"/>
        <w:rPr>
          <w:rFonts w:hint="eastAsia"/>
          <w:color w:val="auto"/>
          <w:highlight w:val="none"/>
        </w:rPr>
      </w:pPr>
    </w:p>
    <w:p w14:paraId="52F502B0">
      <w:pPr>
        <w:pStyle w:val="20"/>
        <w:ind w:left="0" w:leftChars="0" w:firstLine="0" w:firstLineChars="0"/>
        <w:outlineLvl w:val="2"/>
        <w:rPr>
          <w:rFonts w:hint="eastAsia"/>
          <w:color w:val="auto"/>
          <w:highlight w:val="none"/>
        </w:rPr>
      </w:pPr>
      <w:r>
        <w:rPr>
          <w:rFonts w:hint="eastAsia"/>
          <w:color w:val="auto"/>
          <w:highlight w:val="none"/>
        </w:rPr>
        <w:t>其他需要补充的材料</w:t>
      </w:r>
    </w:p>
    <w:p w14:paraId="05FC88CB">
      <w:pPr>
        <w:keepNext/>
        <w:keepLines/>
        <w:spacing w:line="360" w:lineRule="auto"/>
        <w:jc w:val="center"/>
        <w:outlineLvl w:val="0"/>
        <w:rPr>
          <w:rFonts w:hint="eastAsia" w:ascii="宋体" w:hAnsi="宋体" w:cs="宋体"/>
          <w:b/>
          <w:bCs/>
          <w:color w:val="auto"/>
          <w:kern w:val="44"/>
          <w:sz w:val="32"/>
          <w:szCs w:val="44"/>
          <w:highlight w:val="none"/>
        </w:rPr>
      </w:pPr>
      <w:r>
        <w:rPr>
          <w:rFonts w:hint="eastAsia" w:ascii="宋体" w:hAnsi="宋体" w:cs="宋体"/>
          <w:color w:val="auto"/>
          <w:szCs w:val="21"/>
          <w:highlight w:val="none"/>
        </w:rPr>
        <w:br w:type="page"/>
      </w:r>
      <w:bookmarkStart w:id="1382" w:name="_Toc4767"/>
      <w:bookmarkStart w:id="1383" w:name="_Toc95223515"/>
      <w:r>
        <w:rPr>
          <w:rFonts w:hint="eastAsia" w:ascii="宋体" w:hAnsi="宋体" w:cs="宋体"/>
          <w:b/>
          <w:bCs/>
          <w:color w:val="auto"/>
          <w:kern w:val="44"/>
          <w:sz w:val="32"/>
          <w:szCs w:val="44"/>
          <w:highlight w:val="none"/>
        </w:rPr>
        <w:t xml:space="preserve">第六章  </w:t>
      </w:r>
      <w:bookmarkEnd w:id="1382"/>
      <w:bookmarkEnd w:id="1383"/>
      <w:r>
        <w:rPr>
          <w:rFonts w:hint="eastAsia" w:ascii="宋体" w:hAnsi="宋体" w:cs="宋体"/>
          <w:b/>
          <w:bCs/>
          <w:color w:val="auto"/>
          <w:kern w:val="44"/>
          <w:sz w:val="32"/>
          <w:szCs w:val="44"/>
          <w:highlight w:val="none"/>
        </w:rPr>
        <w:t>招标工程量清单、最高投标限价、投标报价的相关要求</w:t>
      </w:r>
    </w:p>
    <w:p w14:paraId="70E4BD79">
      <w:pPr>
        <w:keepNext/>
        <w:keepLines/>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b/>
          <w:bCs/>
          <w:color w:val="auto"/>
          <w:sz w:val="21"/>
          <w:szCs w:val="21"/>
          <w:highlight w:val="none"/>
        </w:rPr>
      </w:pPr>
      <w:bookmarkStart w:id="1384" w:name="_Toc95223522"/>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 工程造价确定</w:t>
      </w:r>
    </w:p>
    <w:p w14:paraId="4C42B59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本项目采用工程量清单计价。</w:t>
      </w:r>
    </w:p>
    <w:p w14:paraId="2AB69D8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.2 除招标文件另有约定外，本项目计税采用增值税一般计税方法。</w:t>
      </w:r>
    </w:p>
    <w:p w14:paraId="7AAC62A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.3 建设工程造价由分部分项工程费、措施项目费、其他项目费</w:t>
      </w:r>
      <w:r>
        <w:rPr>
          <w:rFonts w:hint="eastAsia" w:ascii="宋体" w:hAnsi="宋体" w:eastAsia="宋体" w:cs="宋体"/>
          <w:color w:val="auto"/>
          <w:sz w:val="21"/>
          <w:szCs w:val="21"/>
          <w:highlight w:val="none"/>
          <w:lang w:eastAsia="zh-CN"/>
        </w:rPr>
        <w:t>和增值税</w:t>
      </w:r>
      <w:r>
        <w:rPr>
          <w:rFonts w:hint="eastAsia" w:ascii="宋体" w:hAnsi="宋体" w:eastAsia="宋体" w:cs="宋体"/>
          <w:color w:val="auto"/>
          <w:sz w:val="21"/>
          <w:szCs w:val="21"/>
          <w:highlight w:val="none"/>
        </w:rPr>
        <w:t>构成。</w:t>
      </w:r>
    </w:p>
    <w:p w14:paraId="5B1459A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1.4参考费率表</w:t>
      </w:r>
    </w:p>
    <w:p w14:paraId="36675555">
      <w:pPr>
        <w:keepNext w:val="0"/>
        <w:keepLines w:val="0"/>
        <w:pageBreakBefore w:val="0"/>
        <w:widowControl w:val="0"/>
        <w:kinsoku/>
        <w:wordWrap/>
        <w:overflowPunct/>
        <w:topLinePunct w:val="0"/>
        <w:autoSpaceDE/>
        <w:autoSpaceDN/>
        <w:bidi w:val="0"/>
        <w:adjustRightInd/>
        <w:snapToGrid/>
        <w:spacing w:line="500" w:lineRule="exact"/>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6"/>
          <w:sz w:val="21"/>
          <w:szCs w:val="21"/>
        </w:rPr>
        <w:t>建筑工程</w:t>
      </w:r>
    </w:p>
    <w:tbl>
      <w:tblPr>
        <w:tblStyle w:val="44"/>
        <w:tblW w:w="89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1"/>
        <w:gridCol w:w="3209"/>
        <w:gridCol w:w="1192"/>
        <w:gridCol w:w="2479"/>
      </w:tblGrid>
      <w:tr w14:paraId="6B7E3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2033" w:type="dxa"/>
            <w:noWrap w:val="0"/>
            <w:vAlign w:val="center"/>
          </w:tcPr>
          <w:p w14:paraId="1BA69C3F">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项目名称</w:t>
            </w:r>
          </w:p>
        </w:tc>
        <w:tc>
          <w:tcPr>
            <w:tcW w:w="3226" w:type="dxa"/>
            <w:noWrap w:val="0"/>
            <w:vAlign w:val="center"/>
          </w:tcPr>
          <w:p w14:paraId="7FB7BA8E">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计算基础</w:t>
            </w:r>
          </w:p>
        </w:tc>
        <w:tc>
          <w:tcPr>
            <w:tcW w:w="1198" w:type="dxa"/>
            <w:noWrap w:val="0"/>
            <w:vAlign w:val="center"/>
          </w:tcPr>
          <w:p w14:paraId="7AF3F94F">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参考费率</w:t>
            </w:r>
          </w:p>
        </w:tc>
        <w:tc>
          <w:tcPr>
            <w:tcW w:w="2492" w:type="dxa"/>
            <w:noWrap w:val="0"/>
            <w:vAlign w:val="center"/>
          </w:tcPr>
          <w:p w14:paraId="0772E725">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5"/>
                <w:sz w:val="21"/>
                <w:szCs w:val="21"/>
              </w:rPr>
              <w:t>备注</w:t>
            </w:r>
          </w:p>
        </w:tc>
      </w:tr>
      <w:tr w14:paraId="01B7B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2033" w:type="dxa"/>
            <w:noWrap w:val="0"/>
            <w:vAlign w:val="center"/>
          </w:tcPr>
          <w:p w14:paraId="376859C2">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企业管理费</w:t>
            </w:r>
          </w:p>
        </w:tc>
        <w:tc>
          <w:tcPr>
            <w:tcW w:w="3226" w:type="dxa"/>
            <w:noWrap w:val="0"/>
            <w:vAlign w:val="center"/>
          </w:tcPr>
          <w:p w14:paraId="012D3910">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人工费+材料费+机械机具使用费</w:t>
            </w:r>
          </w:p>
        </w:tc>
        <w:tc>
          <w:tcPr>
            <w:tcW w:w="1198" w:type="dxa"/>
            <w:noWrap w:val="0"/>
            <w:vAlign w:val="center"/>
          </w:tcPr>
          <w:p w14:paraId="14DD00C0">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3.84%</w:t>
            </w:r>
          </w:p>
        </w:tc>
        <w:tc>
          <w:tcPr>
            <w:tcW w:w="2492" w:type="dxa"/>
            <w:noWrap w:val="0"/>
            <w:vAlign w:val="center"/>
          </w:tcPr>
          <w:p w14:paraId="561EB05A">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tc>
      </w:tr>
      <w:tr w14:paraId="2799A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2033" w:type="dxa"/>
            <w:noWrap w:val="0"/>
            <w:vAlign w:val="center"/>
          </w:tcPr>
          <w:p w14:paraId="011D92D9">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8"/>
                <w:sz w:val="21"/>
                <w:szCs w:val="21"/>
              </w:rPr>
              <w:t>利润</w:t>
            </w:r>
          </w:p>
        </w:tc>
        <w:tc>
          <w:tcPr>
            <w:tcW w:w="3226" w:type="dxa"/>
            <w:noWrap w:val="0"/>
            <w:vAlign w:val="center"/>
          </w:tcPr>
          <w:p w14:paraId="1F959D01">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人工费+材料费+机械机具使用费</w:t>
            </w:r>
          </w:p>
        </w:tc>
        <w:tc>
          <w:tcPr>
            <w:tcW w:w="1198" w:type="dxa"/>
            <w:noWrap w:val="0"/>
            <w:vAlign w:val="center"/>
          </w:tcPr>
          <w:p w14:paraId="5D3341B5">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2.68%</w:t>
            </w:r>
          </w:p>
        </w:tc>
        <w:tc>
          <w:tcPr>
            <w:tcW w:w="2492" w:type="dxa"/>
            <w:noWrap w:val="0"/>
            <w:vAlign w:val="center"/>
          </w:tcPr>
          <w:p w14:paraId="07FB769F">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tc>
      </w:tr>
      <w:tr w14:paraId="4AA40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jc w:val="center"/>
        </w:trPr>
        <w:tc>
          <w:tcPr>
            <w:tcW w:w="2033" w:type="dxa"/>
            <w:noWrap w:val="0"/>
            <w:vAlign w:val="center"/>
          </w:tcPr>
          <w:p w14:paraId="22278010">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p w14:paraId="7BE3FB0D">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安全生产措施费</w:t>
            </w:r>
          </w:p>
        </w:tc>
        <w:tc>
          <w:tcPr>
            <w:tcW w:w="3226" w:type="dxa"/>
            <w:noWrap w:val="0"/>
            <w:vAlign w:val="center"/>
          </w:tcPr>
          <w:p w14:paraId="4F092D9D">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分部分项工程费</w:t>
            </w:r>
          </w:p>
        </w:tc>
        <w:tc>
          <w:tcPr>
            <w:tcW w:w="1198" w:type="dxa"/>
            <w:noWrap w:val="0"/>
            <w:vAlign w:val="center"/>
          </w:tcPr>
          <w:p w14:paraId="1A15FF98">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p w14:paraId="2288DFCB">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2.79%</w:t>
            </w:r>
          </w:p>
        </w:tc>
        <w:tc>
          <w:tcPr>
            <w:tcW w:w="2492" w:type="dxa"/>
            <w:noWrap w:val="0"/>
            <w:vAlign w:val="center"/>
          </w:tcPr>
          <w:p w14:paraId="4948A9C0">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其中：安全生产责任保</w:t>
            </w:r>
            <w:r>
              <w:rPr>
                <w:rFonts w:hint="eastAsia" w:ascii="宋体" w:hAnsi="宋体" w:eastAsia="宋体" w:cs="宋体"/>
                <w:color w:val="auto"/>
                <w:sz w:val="21"/>
                <w:szCs w:val="21"/>
              </w:rPr>
              <w:t>险费率为0.19%。编制工</w:t>
            </w:r>
            <w:r>
              <w:rPr>
                <w:rFonts w:hint="eastAsia" w:ascii="宋体" w:hAnsi="宋体" w:eastAsia="宋体" w:cs="宋体"/>
                <w:color w:val="auto"/>
                <w:spacing w:val="-1"/>
                <w:sz w:val="21"/>
                <w:szCs w:val="21"/>
              </w:rPr>
              <w:t>程结算时，应据实调整。</w:t>
            </w:r>
          </w:p>
        </w:tc>
      </w:tr>
      <w:tr w14:paraId="006BF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2033" w:type="dxa"/>
            <w:noWrap w:val="0"/>
            <w:vAlign w:val="center"/>
          </w:tcPr>
          <w:p w14:paraId="42B1DA7B">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文明施工费</w:t>
            </w:r>
          </w:p>
        </w:tc>
        <w:tc>
          <w:tcPr>
            <w:tcW w:w="3226" w:type="dxa"/>
            <w:noWrap w:val="0"/>
            <w:vAlign w:val="center"/>
          </w:tcPr>
          <w:p w14:paraId="6E93E5AF">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分部分项工程费</w:t>
            </w:r>
          </w:p>
        </w:tc>
        <w:tc>
          <w:tcPr>
            <w:tcW w:w="1198" w:type="dxa"/>
            <w:noWrap w:val="0"/>
            <w:vAlign w:val="center"/>
          </w:tcPr>
          <w:p w14:paraId="36AD7EF0">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4"/>
                <w:sz w:val="21"/>
                <w:szCs w:val="21"/>
              </w:rPr>
              <w:t>1.18%</w:t>
            </w:r>
          </w:p>
        </w:tc>
        <w:tc>
          <w:tcPr>
            <w:tcW w:w="2492" w:type="dxa"/>
            <w:noWrap w:val="0"/>
            <w:vAlign w:val="center"/>
          </w:tcPr>
          <w:p w14:paraId="055A795B">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tc>
      </w:tr>
      <w:tr w14:paraId="4FD2A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2033" w:type="dxa"/>
            <w:noWrap w:val="0"/>
            <w:vAlign w:val="center"/>
          </w:tcPr>
          <w:p w14:paraId="3FD5625E">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环境保护费</w:t>
            </w:r>
          </w:p>
        </w:tc>
        <w:tc>
          <w:tcPr>
            <w:tcW w:w="3226" w:type="dxa"/>
            <w:noWrap w:val="0"/>
            <w:vAlign w:val="center"/>
          </w:tcPr>
          <w:p w14:paraId="653B5AD6">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分部分项工程费</w:t>
            </w:r>
          </w:p>
        </w:tc>
        <w:tc>
          <w:tcPr>
            <w:tcW w:w="1198" w:type="dxa"/>
            <w:noWrap w:val="0"/>
            <w:vAlign w:val="center"/>
          </w:tcPr>
          <w:p w14:paraId="6D15FB1C">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0.79%</w:t>
            </w:r>
          </w:p>
        </w:tc>
        <w:tc>
          <w:tcPr>
            <w:tcW w:w="2492" w:type="dxa"/>
            <w:noWrap w:val="0"/>
            <w:vAlign w:val="center"/>
          </w:tcPr>
          <w:p w14:paraId="754BE8DE">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tc>
      </w:tr>
      <w:tr w14:paraId="6A899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2033" w:type="dxa"/>
            <w:noWrap w:val="0"/>
            <w:vAlign w:val="center"/>
          </w:tcPr>
          <w:p w14:paraId="0ACF14AE">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临时设施费</w:t>
            </w:r>
          </w:p>
        </w:tc>
        <w:tc>
          <w:tcPr>
            <w:tcW w:w="3226" w:type="dxa"/>
            <w:noWrap w:val="0"/>
            <w:vAlign w:val="center"/>
          </w:tcPr>
          <w:p w14:paraId="64F5765C">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分部分项工程费</w:t>
            </w:r>
          </w:p>
        </w:tc>
        <w:tc>
          <w:tcPr>
            <w:tcW w:w="1198" w:type="dxa"/>
            <w:noWrap w:val="0"/>
            <w:vAlign w:val="center"/>
          </w:tcPr>
          <w:p w14:paraId="28C9B7BF">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5"/>
                <w:sz w:val="21"/>
                <w:szCs w:val="21"/>
              </w:rPr>
              <w:t>1.96%</w:t>
            </w:r>
          </w:p>
        </w:tc>
        <w:tc>
          <w:tcPr>
            <w:tcW w:w="2492" w:type="dxa"/>
            <w:noWrap w:val="0"/>
            <w:vAlign w:val="center"/>
          </w:tcPr>
          <w:p w14:paraId="0CD0CE01">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tc>
      </w:tr>
      <w:tr w14:paraId="774F5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jc w:val="center"/>
        </w:trPr>
        <w:tc>
          <w:tcPr>
            <w:tcW w:w="2033" w:type="dxa"/>
            <w:noWrap w:val="0"/>
            <w:vAlign w:val="center"/>
          </w:tcPr>
          <w:p w14:paraId="03A7F3EB">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2"/>
                <w:sz w:val="21"/>
                <w:szCs w:val="21"/>
              </w:rPr>
              <w:t>总承包服务费</w:t>
            </w:r>
          </w:p>
        </w:tc>
        <w:tc>
          <w:tcPr>
            <w:tcW w:w="3226" w:type="dxa"/>
            <w:noWrap w:val="0"/>
            <w:vAlign w:val="center"/>
          </w:tcPr>
          <w:p w14:paraId="6B474B85">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发包人提供材料价值</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不含税</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r>
              <w:rPr>
                <w:rFonts w:hint="eastAsia" w:ascii="宋体" w:hAnsi="宋体" w:eastAsia="宋体" w:cs="宋体"/>
                <w:color w:val="auto"/>
                <w:spacing w:val="12"/>
                <w:sz w:val="21"/>
                <w:szCs w:val="21"/>
              </w:rPr>
              <w:t xml:space="preserve"> </w:t>
            </w:r>
            <w:r>
              <w:rPr>
                <w:rFonts w:hint="eastAsia" w:ascii="宋体" w:hAnsi="宋体" w:eastAsia="宋体" w:cs="宋体"/>
                <w:color w:val="auto"/>
                <w:spacing w:val="3"/>
                <w:sz w:val="21"/>
                <w:szCs w:val="21"/>
              </w:rPr>
              <w:t>专业工程建安工程费</w:t>
            </w:r>
            <w:r>
              <w:rPr>
                <w:rFonts w:hint="eastAsia" w:ascii="宋体" w:hAnsi="宋体" w:eastAsia="宋体" w:cs="宋体"/>
                <w:color w:val="auto"/>
                <w:spacing w:val="3"/>
                <w:sz w:val="21"/>
                <w:szCs w:val="21"/>
                <w:lang w:eastAsia="zh-CN"/>
              </w:rPr>
              <w:t>（</w:t>
            </w:r>
            <w:r>
              <w:rPr>
                <w:rFonts w:hint="eastAsia" w:ascii="宋体" w:hAnsi="宋体" w:eastAsia="宋体" w:cs="宋体"/>
                <w:color w:val="auto"/>
                <w:spacing w:val="3"/>
                <w:sz w:val="21"/>
                <w:szCs w:val="21"/>
              </w:rPr>
              <w:t>含税</w:t>
            </w:r>
            <w:r>
              <w:rPr>
                <w:rFonts w:hint="eastAsia" w:ascii="宋体" w:hAnsi="宋体" w:eastAsia="宋体" w:cs="宋体"/>
                <w:color w:val="auto"/>
                <w:spacing w:val="3"/>
                <w:sz w:val="21"/>
                <w:szCs w:val="21"/>
                <w:lang w:eastAsia="zh-CN"/>
              </w:rPr>
              <w:t>）</w:t>
            </w:r>
          </w:p>
        </w:tc>
        <w:tc>
          <w:tcPr>
            <w:tcW w:w="1198" w:type="dxa"/>
            <w:noWrap w:val="0"/>
            <w:vAlign w:val="center"/>
          </w:tcPr>
          <w:p w14:paraId="447F780E">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4"/>
                <w:sz w:val="21"/>
                <w:szCs w:val="21"/>
              </w:rPr>
              <w:t>1%</w:t>
            </w:r>
            <w:r>
              <w:rPr>
                <w:rFonts w:hint="eastAsia" w:ascii="宋体" w:hAnsi="宋体" w:eastAsia="宋体" w:cs="宋体"/>
                <w:color w:val="auto"/>
                <w:spacing w:val="-4"/>
                <w:sz w:val="21"/>
                <w:szCs w:val="21"/>
                <w:lang w:eastAsia="zh-CN"/>
              </w:rPr>
              <w:t>~</w:t>
            </w:r>
            <w:r>
              <w:rPr>
                <w:rFonts w:hint="eastAsia" w:ascii="宋体" w:hAnsi="宋体" w:eastAsia="宋体" w:cs="宋体"/>
                <w:color w:val="auto"/>
                <w:spacing w:val="-4"/>
                <w:sz w:val="21"/>
                <w:szCs w:val="21"/>
              </w:rPr>
              <w:t>3%</w:t>
            </w:r>
          </w:p>
        </w:tc>
        <w:tc>
          <w:tcPr>
            <w:tcW w:w="2492" w:type="dxa"/>
            <w:noWrap w:val="0"/>
            <w:vAlign w:val="center"/>
          </w:tcPr>
          <w:p w14:paraId="1DAA4D9B">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tc>
      </w:tr>
      <w:tr w14:paraId="7C71E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jc w:val="center"/>
        </w:trPr>
        <w:tc>
          <w:tcPr>
            <w:tcW w:w="2033" w:type="dxa"/>
            <w:noWrap w:val="0"/>
            <w:vAlign w:val="center"/>
          </w:tcPr>
          <w:p w14:paraId="2D43FB9A">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优质工程创建费</w:t>
            </w:r>
          </w:p>
        </w:tc>
        <w:tc>
          <w:tcPr>
            <w:tcW w:w="3226" w:type="dxa"/>
            <w:noWrap w:val="0"/>
            <w:vAlign w:val="center"/>
          </w:tcPr>
          <w:p w14:paraId="18FEDE1B">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分部分项工程费</w:t>
            </w:r>
          </w:p>
        </w:tc>
        <w:tc>
          <w:tcPr>
            <w:tcW w:w="1198" w:type="dxa"/>
            <w:noWrap w:val="0"/>
            <w:vAlign w:val="center"/>
          </w:tcPr>
          <w:p w14:paraId="1E3DC449">
            <w:pPr>
              <w:pStyle w:val="43"/>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4"/>
                <w:sz w:val="21"/>
                <w:szCs w:val="21"/>
              </w:rPr>
              <w:t>1%</w:t>
            </w:r>
            <w:r>
              <w:rPr>
                <w:rFonts w:hint="eastAsia" w:ascii="宋体" w:hAnsi="宋体" w:eastAsia="宋体" w:cs="宋体"/>
                <w:color w:val="auto"/>
                <w:spacing w:val="-4"/>
                <w:sz w:val="21"/>
                <w:szCs w:val="21"/>
                <w:lang w:eastAsia="zh-CN"/>
              </w:rPr>
              <w:t>~</w:t>
            </w:r>
            <w:r>
              <w:rPr>
                <w:rFonts w:hint="eastAsia" w:ascii="宋体" w:hAnsi="宋体" w:eastAsia="宋体" w:cs="宋体"/>
                <w:color w:val="auto"/>
                <w:spacing w:val="-4"/>
                <w:sz w:val="21"/>
                <w:szCs w:val="21"/>
              </w:rPr>
              <w:t>2%</w:t>
            </w:r>
          </w:p>
        </w:tc>
        <w:tc>
          <w:tcPr>
            <w:tcW w:w="2492" w:type="dxa"/>
            <w:noWrap w:val="0"/>
            <w:vAlign w:val="center"/>
          </w:tcPr>
          <w:p w14:paraId="7B38074E">
            <w:pPr>
              <w:keepNext w:val="0"/>
              <w:keepLines w:val="0"/>
              <w:pageBreakBefore w:val="0"/>
              <w:widowControl w:val="0"/>
              <w:kinsoku/>
              <w:wordWrap/>
              <w:overflowPunct/>
              <w:topLinePunct w:val="0"/>
              <w:autoSpaceDE/>
              <w:autoSpaceDN/>
              <w:bidi w:val="0"/>
              <w:adjustRightInd/>
              <w:snapToGrid/>
              <w:spacing w:line="500" w:lineRule="exact"/>
              <w:ind w:left="0" w:right="0" w:firstLine="0"/>
              <w:jc w:val="center"/>
              <w:textAlignment w:val="auto"/>
              <w:rPr>
                <w:rFonts w:hint="eastAsia" w:ascii="宋体" w:hAnsi="宋体" w:eastAsia="宋体" w:cs="宋体"/>
                <w:color w:val="auto"/>
                <w:sz w:val="21"/>
                <w:szCs w:val="21"/>
              </w:rPr>
            </w:pPr>
          </w:p>
        </w:tc>
      </w:tr>
    </w:tbl>
    <w:p w14:paraId="641063A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1.5参考费率基于编制期我省工程实际综合测算，在编制最高投标限价及投标报价时，可根据工程特点或企业实际情况进行调整。</w:t>
      </w:r>
    </w:p>
    <w:p w14:paraId="3B8CF20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1.6编制最高投标限价时，企业管理费、利润、环境保护费、文明施工费、临时设施费、总承包服务费按计算基础乘以相应费率计算，费率不应高于参考费率。</w:t>
      </w:r>
    </w:p>
    <w:p w14:paraId="6F6627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1.7编制最高投标限价及投标报价时，安全生产措施费应按计算基础乘以相应费率计算，费率不应低于参考费率。</w:t>
      </w:r>
    </w:p>
    <w:p w14:paraId="79975F0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strike/>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1.8编制最高投标限价时，优质工程创建费应根据招标文件明确的优质工程创建目标及要求，按计算基础乘以相应费率计算。</w:t>
      </w:r>
    </w:p>
    <w:p w14:paraId="13F1434E">
      <w:pPr>
        <w:keepNext/>
        <w:keepLines/>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 xml:space="preserve">. </w:t>
      </w:r>
      <w:r>
        <w:rPr>
          <w:rFonts w:hint="eastAsia" w:ascii="宋体" w:hAnsi="宋体" w:eastAsia="宋体" w:cs="宋体"/>
          <w:b/>
          <w:bCs/>
          <w:color w:val="auto"/>
          <w:sz w:val="21"/>
          <w:szCs w:val="21"/>
          <w:highlight w:val="none"/>
          <w:lang w:val="en-US" w:eastAsia="zh-CN"/>
        </w:rPr>
        <w:t>招标工程量清单编制</w:t>
      </w:r>
      <w:r>
        <w:rPr>
          <w:rFonts w:hint="eastAsia" w:ascii="宋体" w:hAnsi="宋体" w:eastAsia="宋体" w:cs="宋体"/>
          <w:b/>
          <w:bCs/>
          <w:color w:val="auto"/>
          <w:sz w:val="21"/>
          <w:szCs w:val="21"/>
          <w:highlight w:val="none"/>
        </w:rPr>
        <w:t>依据</w:t>
      </w:r>
    </w:p>
    <w:p w14:paraId="0D9728E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执行《建设工程工程量清单计价标准》（GB/T 50500-2024）、2026版《安徽省建设工程工程量清单计价规程》及行业工程量计算标准。</w:t>
      </w:r>
    </w:p>
    <w:p w14:paraId="3544B92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（2）国家及安徽省行业建设主管部门颁发的工程计量与计价相关规定，以及根据工程需要补充的工程量计算规则；</w:t>
      </w:r>
    </w:p>
    <w:p w14:paraId="0959808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（3）招标文件、拟订的合同条款及其相关资料；</w:t>
      </w:r>
    </w:p>
    <w:p w14:paraId="068B39C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（4）工程招标图纸及其相关资料；</w:t>
      </w:r>
    </w:p>
    <w:p w14:paraId="582205F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（5）与建设工程有关的技术标准规范；</w:t>
      </w:r>
    </w:p>
    <w:p w14:paraId="2F81C8B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（6）施工现场情况、相关地勘水文资料、工程特点及交付标准；</w:t>
      </w:r>
    </w:p>
    <w:p w14:paraId="2C3B250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（7）其他相关资料。</w:t>
      </w:r>
    </w:p>
    <w:p w14:paraId="26200940">
      <w:pPr>
        <w:keepNext/>
        <w:keepLines/>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 招标工程量清单编制要求</w:t>
      </w:r>
    </w:p>
    <w:p w14:paraId="5EFD9C0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3.1招标工程量清单</w:t>
      </w:r>
      <w:r>
        <w:rPr>
          <w:rFonts w:hint="eastAsia" w:ascii="宋体" w:hAnsi="宋体" w:eastAsia="宋体" w:cs="宋体"/>
          <w:color w:val="auto"/>
          <w:sz w:val="21"/>
          <w:szCs w:val="21"/>
          <w:highlight w:val="none"/>
        </w:rPr>
        <w:t>编制说明应包括工程概况、</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范围、编制依据、特殊要求</w:t>
      </w:r>
      <w:r>
        <w:rPr>
          <w:rFonts w:hint="eastAsia" w:ascii="宋体" w:hAnsi="宋体" w:eastAsia="宋体" w:cs="宋体"/>
          <w:color w:val="auto"/>
          <w:sz w:val="21"/>
          <w:szCs w:val="21"/>
          <w:highlight w:val="none"/>
          <w:lang w:eastAsia="zh-CN"/>
        </w:rPr>
        <w:t>（如有）</w:t>
      </w:r>
      <w:r>
        <w:rPr>
          <w:rFonts w:hint="eastAsia" w:ascii="宋体" w:hAnsi="宋体" w:eastAsia="宋体" w:cs="宋体"/>
          <w:color w:val="auto"/>
          <w:sz w:val="21"/>
          <w:szCs w:val="21"/>
          <w:highlight w:val="none"/>
        </w:rPr>
        <w:t>及其他需要说明的问题等内容。</w:t>
      </w:r>
    </w:p>
    <w:p w14:paraId="464B5E2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工程量清单的项目特征应按</w:t>
      </w:r>
      <w:r>
        <w:rPr>
          <w:rFonts w:hint="eastAsia" w:ascii="宋体" w:hAnsi="宋体" w:eastAsia="宋体" w:cs="宋体"/>
          <w:color w:val="auto"/>
          <w:sz w:val="21"/>
          <w:szCs w:val="21"/>
          <w:highlight w:val="none"/>
          <w:lang w:val="en-US" w:eastAsia="zh-CN"/>
        </w:rPr>
        <w:t>国家及本省</w:t>
      </w:r>
      <w:r>
        <w:rPr>
          <w:rFonts w:hint="eastAsia" w:ascii="宋体" w:hAnsi="宋体" w:eastAsia="宋体" w:cs="宋体"/>
          <w:color w:val="auto"/>
          <w:sz w:val="21"/>
          <w:szCs w:val="21"/>
          <w:highlight w:val="none"/>
        </w:rPr>
        <w:t>要求结合工程实际进行描述，可</w:t>
      </w:r>
      <w:r>
        <w:rPr>
          <w:rFonts w:hint="eastAsia" w:ascii="宋体" w:hAnsi="宋体" w:eastAsia="宋体" w:cs="宋体"/>
          <w:color w:val="auto"/>
          <w:sz w:val="21"/>
          <w:szCs w:val="21"/>
          <w:highlight w:val="none"/>
          <w:lang w:val="en-US" w:eastAsia="zh-CN"/>
        </w:rPr>
        <w:t>在不超出计算标准所列</w:t>
      </w:r>
      <w:r>
        <w:rPr>
          <w:rFonts w:hint="eastAsia" w:ascii="宋体" w:hAnsi="宋体" w:eastAsia="宋体" w:cs="宋体"/>
          <w:color w:val="auto"/>
          <w:sz w:val="21"/>
          <w:szCs w:val="21"/>
          <w:highlight w:val="none"/>
        </w:rPr>
        <w:t>工作内容</w:t>
      </w:r>
      <w:r>
        <w:rPr>
          <w:rFonts w:hint="eastAsia" w:ascii="宋体" w:hAnsi="宋体" w:eastAsia="宋体" w:cs="宋体"/>
          <w:color w:val="auto"/>
          <w:sz w:val="21"/>
          <w:szCs w:val="21"/>
          <w:highlight w:val="none"/>
          <w:lang w:val="en-US" w:eastAsia="zh-CN"/>
        </w:rPr>
        <w:t>的范围内对</w:t>
      </w:r>
      <w:r>
        <w:rPr>
          <w:rFonts w:hint="eastAsia" w:ascii="宋体" w:hAnsi="宋体" w:eastAsia="宋体" w:cs="宋体"/>
          <w:color w:val="auto"/>
          <w:sz w:val="21"/>
          <w:szCs w:val="21"/>
          <w:highlight w:val="none"/>
        </w:rPr>
        <w:t>项目特征</w:t>
      </w:r>
      <w:r>
        <w:rPr>
          <w:rFonts w:hint="eastAsia" w:ascii="宋体" w:hAnsi="宋体" w:eastAsia="宋体" w:cs="宋体"/>
          <w:color w:val="auto"/>
          <w:sz w:val="21"/>
          <w:szCs w:val="21"/>
          <w:highlight w:val="none"/>
          <w:lang w:val="en-US" w:eastAsia="zh-CN"/>
        </w:rPr>
        <w:t>进行</w:t>
      </w:r>
      <w:r>
        <w:rPr>
          <w:rFonts w:hint="eastAsia" w:ascii="宋体" w:hAnsi="宋体" w:eastAsia="宋体" w:cs="宋体"/>
          <w:color w:val="auto"/>
          <w:sz w:val="21"/>
          <w:szCs w:val="21"/>
          <w:highlight w:val="none"/>
        </w:rPr>
        <w:t>补充完善，不得仅使用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未尽事宜详见招标文件、设计图纸、规范及其</w:t>
      </w:r>
      <w:r>
        <w:rPr>
          <w:rFonts w:hint="eastAsia" w:ascii="宋体" w:hAnsi="宋体" w:eastAsia="宋体" w:cs="宋体"/>
          <w:color w:val="auto"/>
          <w:sz w:val="21"/>
          <w:szCs w:val="21"/>
          <w:highlight w:val="none"/>
          <w:lang w:eastAsia="zh-CN"/>
        </w:rPr>
        <w:t>他</w:t>
      </w:r>
      <w:r>
        <w:rPr>
          <w:rFonts w:hint="eastAsia" w:ascii="宋体" w:hAnsi="宋体" w:eastAsia="宋体" w:cs="宋体"/>
          <w:color w:val="auto"/>
          <w:sz w:val="21"/>
          <w:szCs w:val="21"/>
          <w:highlight w:val="none"/>
        </w:rPr>
        <w:t>资料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等类似语句。</w:t>
      </w:r>
    </w:p>
    <w:p w14:paraId="5BB0A21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bookmarkStart w:id="1385" w:name="OLE_LINK32"/>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bookmarkStart w:id="1386" w:name="OLE_LINK16"/>
      <w:bookmarkStart w:id="1387" w:name="OLE_LINK15"/>
      <w:r>
        <w:rPr>
          <w:rFonts w:hint="eastAsia" w:ascii="宋体" w:hAnsi="宋体" w:eastAsia="宋体" w:cs="宋体"/>
          <w:color w:val="auto"/>
          <w:sz w:val="21"/>
          <w:szCs w:val="21"/>
          <w:highlight w:val="none"/>
          <w:lang w:val="en-US" w:eastAsia="zh-CN"/>
        </w:rPr>
        <w:t>3</w:t>
      </w:r>
      <w:bookmarkEnd w:id="1386"/>
      <w:bookmarkEnd w:id="1387"/>
      <w:r>
        <w:rPr>
          <w:rFonts w:hint="eastAsia" w:ascii="宋体" w:hAnsi="宋体" w:eastAsia="宋体" w:cs="宋体"/>
          <w:color w:val="auto"/>
          <w:sz w:val="21"/>
          <w:szCs w:val="21"/>
          <w:highlight w:val="none"/>
        </w:rPr>
        <w:t>发包人应当组织勘察、设计等单位在招标文件中列出“危大工程”和“超危大工程”清单，作为招标工程量清单编制依据。</w:t>
      </w:r>
    </w:p>
    <w:p w14:paraId="579AA64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建设工程</w:t>
      </w:r>
      <w:r>
        <w:rPr>
          <w:rFonts w:hint="eastAsia" w:ascii="宋体" w:hAnsi="宋体" w:eastAsia="宋体" w:cs="宋体"/>
          <w:color w:val="auto"/>
          <w:sz w:val="21"/>
          <w:szCs w:val="21"/>
          <w:highlight w:val="none"/>
          <w:lang w:val="en-US" w:eastAsia="zh-CN"/>
        </w:rPr>
        <w:t>计划</w:t>
      </w:r>
      <w:r>
        <w:rPr>
          <w:rFonts w:hint="eastAsia" w:ascii="宋体" w:hAnsi="宋体" w:eastAsia="宋体" w:cs="宋体"/>
          <w:color w:val="auto"/>
          <w:sz w:val="21"/>
          <w:szCs w:val="21"/>
          <w:highlight w:val="none"/>
        </w:rPr>
        <w:t>工期应当依据工程实际合理确定，确需压缩工期的，压缩工期比例一般不宜超过本省定额工期的20%，压缩工期比例超过10%的，招标工程量清单中应编列压缩工期措施项目，并在工作内容中明确压缩工期比例。</w:t>
      </w:r>
    </w:p>
    <w:p w14:paraId="09FCF67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压缩工期比例=（本省定额工期-招标文件要求的工期）/本省定额工期×100%。</w:t>
      </w:r>
    </w:p>
    <w:bookmarkEnd w:id="1385"/>
    <w:p w14:paraId="5589DB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总承包服务费清单应依据招标文件要求，按发包人提供材料的总承包服务费、专业分包工程总承包服务费和直接发包的专业工程总承包服务费分别列项，并列明服务内容、计算基础及费率。服务内容不得仅使用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配合服务、协调管理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等类似语句。</w:t>
      </w:r>
    </w:p>
    <w:p w14:paraId="70838D6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建设工程</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材料暂估价的，应编制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材料暂估单价表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，明确暂估材料名称、规格、型号、计量单位、数量、不含税材料暂估单价，</w:t>
      </w:r>
      <w:bookmarkStart w:id="1388" w:name="OLE_LINK68"/>
      <w:bookmarkStart w:id="1389" w:name="OLE_LINK69"/>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在分部分项工程量清单项目特征中予以描述</w:t>
      </w:r>
      <w:bookmarkEnd w:id="1388"/>
      <w:bookmarkEnd w:id="1389"/>
      <w:r>
        <w:rPr>
          <w:rFonts w:hint="eastAsia" w:ascii="宋体" w:hAnsi="宋体" w:eastAsia="宋体" w:cs="宋体"/>
          <w:color w:val="auto"/>
          <w:sz w:val="21"/>
          <w:szCs w:val="21"/>
          <w:highlight w:val="none"/>
        </w:rPr>
        <w:t>。</w:t>
      </w:r>
    </w:p>
    <w:p w14:paraId="24FD467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3.7</w:t>
      </w:r>
      <w:r>
        <w:rPr>
          <w:rFonts w:hint="eastAsia" w:ascii="宋体" w:hAnsi="宋体" w:eastAsia="宋体" w:cs="宋体"/>
          <w:color w:val="auto"/>
          <w:sz w:val="21"/>
          <w:szCs w:val="21"/>
          <w:highlight w:val="none"/>
        </w:rPr>
        <w:t>暂列金额、专业工程暂估价（含税价格）累计金额分别不</w:t>
      </w:r>
      <w:r>
        <w:rPr>
          <w:rFonts w:hint="eastAsia" w:ascii="宋体" w:hAnsi="宋体" w:eastAsia="宋体" w:cs="宋体"/>
          <w:color w:val="auto"/>
          <w:sz w:val="21"/>
          <w:szCs w:val="21"/>
          <w:highlight w:val="none"/>
          <w:lang w:val="en-US" w:eastAsia="zh-CN"/>
        </w:rPr>
        <w:t>应</w:t>
      </w:r>
      <w:r>
        <w:rPr>
          <w:rFonts w:hint="eastAsia" w:ascii="宋体" w:hAnsi="宋体" w:eastAsia="宋体" w:cs="宋体"/>
          <w:color w:val="auto"/>
          <w:sz w:val="21"/>
          <w:szCs w:val="21"/>
          <w:highlight w:val="none"/>
        </w:rPr>
        <w:t>超过</w:t>
      </w:r>
      <w:r>
        <w:rPr>
          <w:rFonts w:hint="eastAsia" w:ascii="宋体" w:hAnsi="宋体" w:eastAsia="宋体" w:cs="宋体"/>
          <w:color w:val="auto"/>
          <w:sz w:val="21"/>
          <w:szCs w:val="21"/>
          <w:highlight w:val="none"/>
          <w:lang w:eastAsia="zh-CN"/>
        </w:rPr>
        <w:t>分部分项工程费</w:t>
      </w:r>
      <w:r>
        <w:rPr>
          <w:rFonts w:hint="eastAsia" w:ascii="宋体" w:hAnsi="宋体" w:eastAsia="宋体" w:cs="宋体"/>
          <w:color w:val="auto"/>
          <w:sz w:val="21"/>
          <w:szCs w:val="21"/>
          <w:highlight w:val="none"/>
        </w:rPr>
        <w:t>的10%。</w:t>
      </w:r>
    </w:p>
    <w:p w14:paraId="629290B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发包人提供材料的，应编制</w:t>
      </w:r>
      <w:bookmarkStart w:id="1390" w:name="OLE_LINK38"/>
      <w:bookmarkStart w:id="1391" w:name="OLE_LINK39"/>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发包人提供材料</w:t>
      </w:r>
      <w:bookmarkEnd w:id="1390"/>
      <w:bookmarkEnd w:id="1391"/>
      <w:r>
        <w:rPr>
          <w:rFonts w:hint="eastAsia" w:ascii="宋体" w:hAnsi="宋体" w:eastAsia="宋体" w:cs="宋体"/>
          <w:color w:val="auto"/>
          <w:sz w:val="21"/>
          <w:szCs w:val="21"/>
          <w:highlight w:val="none"/>
        </w:rPr>
        <w:t>一览表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其中，不含税材料单价应包含材料到达交货地点的卸货费用。</w:t>
      </w:r>
    </w:p>
    <w:p w14:paraId="3A96375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3.9招标文件应列明发包人要求的其他项目清单中不可竞争的项目。</w:t>
      </w:r>
    </w:p>
    <w:p w14:paraId="5F0CD98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10国家</w:t>
      </w:r>
      <w:r>
        <w:rPr>
          <w:rFonts w:hint="eastAsia" w:ascii="宋体" w:hAnsi="宋体" w:eastAsia="宋体" w:cs="宋体"/>
          <w:color w:val="auto"/>
          <w:sz w:val="21"/>
          <w:szCs w:val="21"/>
          <w:highlight w:val="none"/>
        </w:rPr>
        <w:t>标准及</w:t>
      </w:r>
      <w:r>
        <w:rPr>
          <w:rFonts w:hint="eastAsia" w:ascii="宋体" w:hAnsi="宋体" w:eastAsia="宋体" w:cs="宋体"/>
          <w:color w:val="auto"/>
          <w:sz w:val="21"/>
          <w:szCs w:val="21"/>
          <w:highlight w:val="none"/>
          <w:lang w:eastAsia="zh-CN"/>
        </w:rPr>
        <w:t>本省</w:t>
      </w:r>
      <w:r>
        <w:rPr>
          <w:rFonts w:hint="eastAsia" w:ascii="宋体" w:hAnsi="宋体" w:eastAsia="宋体" w:cs="宋体"/>
          <w:color w:val="auto"/>
          <w:sz w:val="21"/>
          <w:szCs w:val="21"/>
          <w:highlight w:val="none"/>
        </w:rPr>
        <w:t>补充清单没有的项目，编制人可</w:t>
      </w:r>
      <w:r>
        <w:rPr>
          <w:rFonts w:hint="eastAsia" w:ascii="宋体" w:hAnsi="宋体" w:eastAsia="宋体" w:cs="宋体"/>
          <w:color w:val="auto"/>
          <w:sz w:val="21"/>
          <w:szCs w:val="21"/>
          <w:highlight w:val="none"/>
          <w:lang w:val="en-US" w:eastAsia="zh-CN"/>
        </w:rPr>
        <w:t>自行</w:t>
      </w:r>
      <w:r>
        <w:rPr>
          <w:rFonts w:hint="eastAsia" w:ascii="宋体" w:hAnsi="宋体" w:eastAsia="宋体" w:cs="宋体"/>
          <w:color w:val="auto"/>
          <w:sz w:val="21"/>
          <w:szCs w:val="21"/>
          <w:highlight w:val="none"/>
        </w:rPr>
        <w:t>补充，补充</w:t>
      </w:r>
      <w:r>
        <w:rPr>
          <w:rFonts w:hint="eastAsia" w:ascii="宋体" w:hAnsi="宋体" w:eastAsia="宋体" w:cs="宋体"/>
          <w:color w:val="auto"/>
          <w:sz w:val="21"/>
          <w:szCs w:val="21"/>
          <w:highlight w:val="none"/>
          <w:lang w:val="en-US" w:eastAsia="zh-CN"/>
        </w:rPr>
        <w:t>清单</w:t>
      </w:r>
      <w:r>
        <w:rPr>
          <w:rFonts w:hint="eastAsia" w:ascii="宋体" w:hAnsi="宋体" w:eastAsia="宋体" w:cs="宋体"/>
          <w:color w:val="auto"/>
          <w:sz w:val="21"/>
          <w:szCs w:val="21"/>
          <w:highlight w:val="none"/>
        </w:rPr>
        <w:t>项目的编码由专业工程代码</w:t>
      </w:r>
      <w:r>
        <w:rPr>
          <w:rFonts w:hint="eastAsia" w:ascii="宋体" w:hAnsi="宋体" w:eastAsia="宋体" w:cs="宋体"/>
          <w:color w:val="auto"/>
          <w:sz w:val="21"/>
          <w:szCs w:val="21"/>
          <w:highlight w:val="none"/>
          <w:lang w:val="en-US" w:eastAsia="zh-CN"/>
        </w:rPr>
        <w:t>加</w:t>
      </w:r>
      <w:r>
        <w:rPr>
          <w:rFonts w:hint="eastAsia" w:ascii="宋体" w:hAnsi="宋体" w:eastAsia="宋体" w:cs="宋体"/>
          <w:color w:val="auto"/>
          <w:sz w:val="21"/>
          <w:szCs w:val="21"/>
          <w:highlight w:val="none"/>
        </w:rPr>
        <w:t>B和三位阿拉伯数字组成，并</w:t>
      </w:r>
      <w:r>
        <w:rPr>
          <w:rFonts w:hint="eastAsia" w:ascii="宋体" w:hAnsi="宋体" w:eastAsia="宋体" w:cs="宋体"/>
          <w:color w:val="auto"/>
          <w:sz w:val="21"/>
          <w:szCs w:val="21"/>
          <w:highlight w:val="none"/>
          <w:lang w:eastAsia="zh-CN"/>
        </w:rPr>
        <w:t>应</w:t>
      </w:r>
      <w:r>
        <w:rPr>
          <w:rFonts w:hint="eastAsia" w:ascii="宋体" w:hAnsi="宋体" w:eastAsia="宋体" w:cs="宋体"/>
          <w:color w:val="auto"/>
          <w:sz w:val="21"/>
          <w:szCs w:val="21"/>
          <w:highlight w:val="none"/>
        </w:rPr>
        <w:t>从001起顺序编制。</w:t>
      </w:r>
    </w:p>
    <w:p w14:paraId="7265A9A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3.11自行补充的清单项目应在《工程量清单计算规则说明》中详细描述项目编码、项目名称、项目特征、计量单位、工程量计算规则与工作内容。</w:t>
      </w:r>
    </w:p>
    <w:p w14:paraId="4AFEE148">
      <w:pPr>
        <w:keepNext w:val="0"/>
        <w:keepLines w:val="0"/>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 最高投标限价编制</w:t>
      </w:r>
      <w:r>
        <w:rPr>
          <w:rFonts w:hint="eastAsia" w:ascii="宋体" w:hAnsi="宋体" w:eastAsia="宋体" w:cs="宋体"/>
          <w:b/>
          <w:bCs/>
          <w:color w:val="auto"/>
          <w:sz w:val="21"/>
          <w:szCs w:val="21"/>
          <w:highlight w:val="none"/>
          <w:lang w:val="en-US" w:eastAsia="zh-CN"/>
        </w:rPr>
        <w:t>依据</w:t>
      </w:r>
    </w:p>
    <w:p w14:paraId="5A3BFDB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执行《建设工程工程量清单计价标准》（GB/T 50500-2024）、2026版《安徽省建设工程工程量清单计价规程》</w:t>
      </w:r>
      <w:r>
        <w:rPr>
          <w:rFonts w:hint="eastAsia" w:ascii="宋体" w:hAnsi="宋体" w:eastAsia="宋体" w:cs="宋体"/>
          <w:color w:val="auto"/>
          <w:sz w:val="21"/>
          <w:szCs w:val="21"/>
          <w:highlight w:val="none"/>
        </w:rPr>
        <w:t>及行业工程量计算标准；</w:t>
      </w:r>
    </w:p>
    <w:p w14:paraId="125E580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招标文件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包括招标工程量清单、合同条款、招标图纸、技术标准规范等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及其补遗、澄清或修改；</w:t>
      </w:r>
    </w:p>
    <w:p w14:paraId="720F8DF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国家及</w:t>
      </w:r>
      <w:r>
        <w:rPr>
          <w:rFonts w:hint="eastAsia" w:ascii="宋体" w:hAnsi="宋体" w:eastAsia="宋体" w:cs="宋体"/>
          <w:color w:val="auto"/>
          <w:sz w:val="21"/>
          <w:szCs w:val="21"/>
          <w:highlight w:val="none"/>
          <w:lang w:val="en-US" w:eastAsia="zh-CN"/>
        </w:rPr>
        <w:t>安徽省</w:t>
      </w:r>
      <w:r>
        <w:rPr>
          <w:rFonts w:hint="eastAsia" w:ascii="宋体" w:hAnsi="宋体" w:eastAsia="宋体" w:cs="宋体"/>
          <w:color w:val="auto"/>
          <w:sz w:val="21"/>
          <w:szCs w:val="21"/>
          <w:highlight w:val="none"/>
        </w:rPr>
        <w:t>行业建设主管部门颁发的工程计量与计价相关规定，以及根据工程需要补充的工程量计算规则；</w:t>
      </w:r>
    </w:p>
    <w:p w14:paraId="2839B8C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与招标工程相关的技术标准规范；</w:t>
      </w:r>
    </w:p>
    <w:p w14:paraId="1D23B7BA">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工程特点及交付标准、地勘水文资料、现场情况；</w:t>
      </w:r>
    </w:p>
    <w:p w14:paraId="1353CE9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合理施工工期及常规施工工艺、顺序；</w:t>
      </w:r>
    </w:p>
    <w:p w14:paraId="5D640772">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工程价格信息及造价资讯、工程造价数据及指数；</w:t>
      </w:r>
    </w:p>
    <w:p w14:paraId="077B262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其他相关资料。</w:t>
      </w:r>
    </w:p>
    <w:p w14:paraId="64318D9C">
      <w:pPr>
        <w:keepNext w:val="0"/>
        <w:keepLines w:val="0"/>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 最高投标限价编制</w:t>
      </w:r>
      <w:r>
        <w:rPr>
          <w:rFonts w:hint="eastAsia" w:ascii="宋体" w:hAnsi="宋体" w:eastAsia="宋体" w:cs="宋体"/>
          <w:b/>
          <w:bCs/>
          <w:color w:val="auto"/>
          <w:sz w:val="21"/>
          <w:szCs w:val="21"/>
          <w:highlight w:val="none"/>
          <w:lang w:val="en-US" w:eastAsia="zh-CN"/>
        </w:rPr>
        <w:t>要求</w:t>
      </w:r>
    </w:p>
    <w:p w14:paraId="2362CBD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5.1</w:t>
      </w:r>
      <w:r>
        <w:rPr>
          <w:rFonts w:hint="eastAsia" w:ascii="宋体" w:hAnsi="宋体" w:eastAsia="宋体" w:cs="宋体"/>
          <w:color w:val="auto"/>
          <w:sz w:val="21"/>
          <w:szCs w:val="21"/>
          <w:highlight w:val="none"/>
        </w:rPr>
        <w:t>建设工程招标设有最高投标限价的，招标人应同时发布招标文件和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最高投标限价公布表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6B41C48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5.2最高投标限价编制说明应包括工程概况（建设规模、工程特征、施工现场情况及工程要求等）、招标范围、编制依据、特殊要求（如有）及其他需要说明的事项，需重点阐明人工、材料、施工机具等价格来源及确定方式</w:t>
      </w:r>
      <w:r>
        <w:rPr>
          <w:rFonts w:hint="eastAsia" w:ascii="宋体" w:hAnsi="宋体" w:eastAsia="宋体" w:cs="宋体"/>
          <w:color w:val="auto"/>
          <w:sz w:val="21"/>
          <w:szCs w:val="21"/>
          <w:highlight w:val="none"/>
        </w:rPr>
        <w:t>。</w:t>
      </w:r>
    </w:p>
    <w:p w14:paraId="0B9485B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5.3分部分项工程项目清单综合单价、措施项目清单价格应采用工料机法编制。</w:t>
      </w:r>
      <w:r>
        <w:rPr>
          <w:rFonts w:hint="eastAsia" w:ascii="宋体" w:hAnsi="宋体" w:eastAsia="宋体" w:cs="宋体"/>
          <w:color w:val="auto"/>
          <w:sz w:val="21"/>
          <w:szCs w:val="21"/>
          <w:highlight w:val="none"/>
        </w:rPr>
        <w:t>工料机法是指依据招标</w:t>
      </w:r>
      <w:r>
        <w:rPr>
          <w:rFonts w:hint="eastAsia" w:ascii="宋体" w:hAnsi="宋体" w:eastAsia="宋体" w:cs="宋体"/>
          <w:color w:val="auto"/>
          <w:sz w:val="21"/>
          <w:szCs w:val="21"/>
          <w:highlight w:val="none"/>
          <w:lang w:val="en-US" w:eastAsia="zh-CN"/>
        </w:rPr>
        <w:t>工程量清单、招标图纸</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按施工方案，测算清单</w:t>
      </w:r>
      <w:r>
        <w:rPr>
          <w:rFonts w:hint="eastAsia" w:ascii="宋体" w:hAnsi="宋体" w:eastAsia="宋体" w:cs="宋体"/>
          <w:color w:val="auto"/>
          <w:sz w:val="21"/>
          <w:szCs w:val="21"/>
          <w:highlight w:val="none"/>
        </w:rPr>
        <w:t>工程量所需的人工</w:t>
      </w:r>
      <w:r>
        <w:rPr>
          <w:rFonts w:hint="eastAsia" w:ascii="宋体" w:hAnsi="宋体" w:eastAsia="宋体" w:cs="宋体"/>
          <w:color w:val="auto"/>
          <w:sz w:val="21"/>
          <w:szCs w:val="21"/>
          <w:highlight w:val="none"/>
          <w:lang w:val="en-US" w:eastAsia="zh-CN"/>
        </w:rPr>
        <w:t>费</w:t>
      </w:r>
      <w:r>
        <w:rPr>
          <w:rFonts w:hint="eastAsia" w:ascii="宋体" w:hAnsi="宋体" w:eastAsia="宋体" w:cs="宋体"/>
          <w:color w:val="auto"/>
          <w:sz w:val="21"/>
          <w:szCs w:val="21"/>
          <w:highlight w:val="none"/>
        </w:rPr>
        <w:t>、材料</w:t>
      </w:r>
      <w:r>
        <w:rPr>
          <w:rFonts w:hint="eastAsia" w:ascii="宋体" w:hAnsi="宋体" w:eastAsia="宋体" w:cs="宋体"/>
          <w:color w:val="auto"/>
          <w:sz w:val="21"/>
          <w:szCs w:val="21"/>
          <w:highlight w:val="none"/>
          <w:lang w:val="en-US" w:eastAsia="zh-CN"/>
        </w:rPr>
        <w:t>费</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施工机具使用费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计算管理费、利润并考虑合理范围的风险费的计价方法</w:t>
      </w:r>
      <w:r>
        <w:rPr>
          <w:rFonts w:hint="eastAsia" w:ascii="宋体" w:hAnsi="宋体" w:eastAsia="宋体" w:cs="宋体"/>
          <w:color w:val="auto"/>
          <w:sz w:val="21"/>
          <w:szCs w:val="21"/>
          <w:highlight w:val="none"/>
        </w:rPr>
        <w:t>。</w:t>
      </w:r>
    </w:p>
    <w:p w14:paraId="41FD138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5.4分部分项工程项目清单综合单价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措施项目</w:t>
      </w:r>
      <w:r>
        <w:rPr>
          <w:rFonts w:hint="eastAsia" w:ascii="宋体" w:hAnsi="宋体" w:eastAsia="宋体" w:cs="宋体"/>
          <w:color w:val="auto"/>
          <w:sz w:val="21"/>
          <w:szCs w:val="21"/>
          <w:highlight w:val="none"/>
          <w:lang w:val="en-US" w:eastAsia="zh-CN"/>
        </w:rPr>
        <w:t>清单价格</w:t>
      </w:r>
      <w:r>
        <w:rPr>
          <w:rFonts w:hint="eastAsia" w:ascii="宋体" w:hAnsi="宋体" w:eastAsia="宋体" w:cs="宋体"/>
          <w:color w:val="auto"/>
          <w:sz w:val="21"/>
          <w:szCs w:val="21"/>
          <w:highlight w:val="none"/>
        </w:rPr>
        <w:t>形成应做</w:t>
      </w:r>
      <w:r>
        <w:rPr>
          <w:rFonts w:hint="eastAsia" w:ascii="宋体" w:hAnsi="宋体" w:eastAsia="宋体" w:cs="宋体"/>
          <w:color w:val="auto"/>
          <w:sz w:val="21"/>
          <w:szCs w:val="21"/>
          <w:highlight w:val="none"/>
          <w:lang w:val="en-US" w:eastAsia="zh-CN"/>
        </w:rPr>
        <w:t>相应</w:t>
      </w:r>
      <w:r>
        <w:rPr>
          <w:rFonts w:hint="eastAsia" w:ascii="宋体" w:hAnsi="宋体" w:eastAsia="宋体" w:cs="宋体"/>
          <w:color w:val="auto"/>
          <w:sz w:val="21"/>
          <w:szCs w:val="21"/>
          <w:highlight w:val="none"/>
        </w:rPr>
        <w:t>记录，保留测算底稿</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确保数据</w:t>
      </w:r>
      <w:r>
        <w:rPr>
          <w:rFonts w:hint="eastAsia" w:ascii="宋体" w:hAnsi="宋体" w:eastAsia="宋体" w:cs="宋体"/>
          <w:color w:val="auto"/>
          <w:sz w:val="21"/>
          <w:szCs w:val="21"/>
          <w:highlight w:val="none"/>
          <w:lang w:val="en-US" w:eastAsia="zh-CN"/>
        </w:rPr>
        <w:t>来源</w:t>
      </w:r>
      <w:r>
        <w:rPr>
          <w:rFonts w:hint="eastAsia" w:ascii="宋体" w:hAnsi="宋体" w:eastAsia="宋体" w:cs="宋体"/>
          <w:color w:val="auto"/>
          <w:sz w:val="21"/>
          <w:szCs w:val="21"/>
          <w:highlight w:val="none"/>
        </w:rPr>
        <w:t>有依据、可追溯</w:t>
      </w:r>
      <w:r>
        <w:rPr>
          <w:rFonts w:hint="eastAsia" w:ascii="宋体" w:hAnsi="宋体" w:eastAsia="宋体" w:cs="宋体"/>
          <w:color w:val="auto"/>
          <w:sz w:val="21"/>
          <w:szCs w:val="21"/>
          <w:highlight w:val="none"/>
          <w:lang w:eastAsia="zh-CN"/>
        </w:rPr>
        <w:t>。</w:t>
      </w:r>
    </w:p>
    <w:p w14:paraId="2B60CB22">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5.5总承包服务费应采用服务内容的计算基础乘以费率的计算方式确定。</w:t>
      </w:r>
    </w:p>
    <w:p w14:paraId="19E20D46">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5.6建设工程项目明确创建优质工程、建筑信息模型应用的，应在最高投标限价编制时在发包人要求的其他项目费中编列相应费用。</w:t>
      </w:r>
    </w:p>
    <w:p w14:paraId="793C7B80">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5.7 造价咨询人在完成最高投标限价编制前，应与发包人共同确定询价材料范围及计价原则，填写并签署《</w:t>
      </w:r>
      <w:r>
        <w:rPr>
          <w:rFonts w:hint="eastAsia" w:ascii="宋体" w:hAnsi="宋体" w:eastAsia="宋体" w:cs="宋体"/>
          <w:color w:val="auto"/>
          <w:sz w:val="21"/>
          <w:szCs w:val="21"/>
          <w:highlight w:val="none"/>
        </w:rPr>
        <w:t>询价材料单价确认表</w:t>
      </w:r>
      <w:r>
        <w:rPr>
          <w:rFonts w:hint="eastAsia" w:ascii="宋体" w:hAnsi="宋体" w:eastAsia="宋体" w:cs="宋体"/>
          <w:color w:val="auto"/>
          <w:sz w:val="21"/>
          <w:szCs w:val="21"/>
          <w:highlight w:val="none"/>
          <w:lang w:val="en-US" w:eastAsia="zh-CN"/>
        </w:rPr>
        <w:t>》，按照表中确定的单价计入最高投标限价。</w:t>
      </w:r>
    </w:p>
    <w:p w14:paraId="2A7B37B3">
      <w:pPr>
        <w:keepNext/>
        <w:keepLines/>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 投标报价参考编制</w:t>
      </w:r>
      <w:r>
        <w:rPr>
          <w:rFonts w:hint="eastAsia" w:ascii="宋体" w:hAnsi="宋体" w:eastAsia="宋体" w:cs="宋体"/>
          <w:b/>
          <w:bCs/>
          <w:color w:val="auto"/>
          <w:sz w:val="21"/>
          <w:szCs w:val="21"/>
          <w:highlight w:val="none"/>
          <w:lang w:val="en-US" w:eastAsia="zh-CN"/>
        </w:rPr>
        <w:t>依据</w:t>
      </w:r>
    </w:p>
    <w:p w14:paraId="7F799AC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执行《建设工程工程量清单计价标准》（GB/T 50500-2024）、《安徽省建设工程工程量清单计价规程》</w:t>
      </w:r>
      <w:r>
        <w:rPr>
          <w:rFonts w:hint="eastAsia" w:ascii="宋体" w:hAnsi="宋体" w:eastAsia="宋体" w:cs="宋体"/>
          <w:color w:val="auto"/>
          <w:sz w:val="21"/>
          <w:szCs w:val="21"/>
          <w:highlight w:val="none"/>
        </w:rPr>
        <w:t>及行业工程量计算标准；</w:t>
      </w:r>
    </w:p>
    <w:p w14:paraId="09396F1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招标文件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包括招标工程量清单、合同条款、招标图纸、技术标准规范等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及其补遗、答疑、异议澄清或修正；</w:t>
      </w:r>
    </w:p>
    <w:p w14:paraId="40FA4F6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国家及</w:t>
      </w:r>
      <w:r>
        <w:rPr>
          <w:rFonts w:hint="eastAsia" w:ascii="宋体" w:hAnsi="宋体" w:eastAsia="宋体" w:cs="宋体"/>
          <w:color w:val="auto"/>
          <w:sz w:val="21"/>
          <w:szCs w:val="21"/>
          <w:highlight w:val="none"/>
          <w:lang w:val="en-US" w:eastAsia="zh-CN"/>
        </w:rPr>
        <w:t>安徽省</w:t>
      </w:r>
      <w:r>
        <w:rPr>
          <w:rFonts w:hint="eastAsia" w:ascii="宋体" w:hAnsi="宋体" w:eastAsia="宋体" w:cs="宋体"/>
          <w:color w:val="auto"/>
          <w:sz w:val="21"/>
          <w:szCs w:val="21"/>
          <w:highlight w:val="none"/>
        </w:rPr>
        <w:t>行业建设主管部门颁发的工程计量与计价相关规定，以及根据工程需要补充的工程量计算规则；</w:t>
      </w:r>
    </w:p>
    <w:p w14:paraId="50C22DC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与招标工程相关的技术标准规范等技术资料；</w:t>
      </w:r>
    </w:p>
    <w:p w14:paraId="6C46C359">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工程特点及交付标准、地勘水文资料、现场踏勘情况；</w:t>
      </w:r>
    </w:p>
    <w:p w14:paraId="6A8ADE3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投标人的工程实施方案及投标工期；</w:t>
      </w:r>
    </w:p>
    <w:p w14:paraId="50F56BC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投标人企业定额、工程造价数据、市场价格信息及价格变动预期、装备及管理水平、造价资讯等；</w:t>
      </w:r>
    </w:p>
    <w:p w14:paraId="7D41012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其他相关资料。</w:t>
      </w:r>
    </w:p>
    <w:p w14:paraId="41AAD280">
      <w:pPr>
        <w:keepNext/>
        <w:keepLines/>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 投标报价参考编制</w:t>
      </w:r>
      <w:r>
        <w:rPr>
          <w:rFonts w:hint="eastAsia" w:ascii="宋体" w:hAnsi="宋体" w:eastAsia="宋体" w:cs="宋体"/>
          <w:b/>
          <w:bCs/>
          <w:color w:val="auto"/>
          <w:sz w:val="21"/>
          <w:szCs w:val="21"/>
          <w:highlight w:val="none"/>
          <w:lang w:val="en-US" w:eastAsia="zh-CN"/>
        </w:rPr>
        <w:t>要求</w:t>
      </w:r>
    </w:p>
    <w:p w14:paraId="62D1801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7.1</w:t>
      </w:r>
      <w:r>
        <w:rPr>
          <w:rFonts w:hint="eastAsia" w:ascii="宋体" w:hAnsi="宋体" w:eastAsia="宋体" w:cs="宋体"/>
          <w:color w:val="auto"/>
          <w:sz w:val="21"/>
          <w:szCs w:val="21"/>
          <w:highlight w:val="none"/>
        </w:rPr>
        <w:t xml:space="preserve"> 投标人应在充分熟悉招标工程资料（包括设计文件、技术标准规范、合同条款、地勘水文资料等）、项目地理位置、场地条件及周边环境的基础上，依据招标文件、工期要求和招标工程量清单，结合自身实际情况与风险承受能力，自主报价。</w:t>
      </w:r>
    </w:p>
    <w:p w14:paraId="17941B9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投标人应完整填报</w:t>
      </w:r>
      <w:r>
        <w:rPr>
          <w:rFonts w:hint="eastAsia" w:ascii="宋体" w:hAnsi="宋体" w:eastAsia="宋体" w:cs="宋体"/>
          <w:color w:val="auto"/>
          <w:sz w:val="21"/>
          <w:szCs w:val="21"/>
          <w:highlight w:val="none"/>
          <w:lang w:eastAsia="zh-CN"/>
        </w:rPr>
        <w:t>招标工程量</w:t>
      </w:r>
      <w:r>
        <w:rPr>
          <w:rFonts w:hint="eastAsia" w:ascii="宋体" w:hAnsi="宋体" w:eastAsia="宋体" w:cs="宋体"/>
          <w:color w:val="auto"/>
          <w:sz w:val="21"/>
          <w:szCs w:val="21"/>
          <w:highlight w:val="none"/>
        </w:rPr>
        <w:t>清单项目的综合单价、合价或总价。投标总价应</w:t>
      </w:r>
      <w:r>
        <w:rPr>
          <w:rFonts w:hint="eastAsia" w:ascii="宋体" w:hAnsi="宋体" w:eastAsia="宋体" w:cs="宋体"/>
          <w:color w:val="auto"/>
          <w:sz w:val="21"/>
          <w:szCs w:val="21"/>
          <w:highlight w:val="none"/>
          <w:lang w:eastAsia="zh-CN"/>
        </w:rPr>
        <w:t>是</w:t>
      </w:r>
      <w:r>
        <w:rPr>
          <w:rFonts w:hint="eastAsia" w:ascii="宋体" w:hAnsi="宋体" w:eastAsia="宋体" w:cs="宋体"/>
          <w:color w:val="auto"/>
          <w:sz w:val="21"/>
          <w:szCs w:val="21"/>
          <w:highlight w:val="none"/>
        </w:rPr>
        <w:t>分部分项工程费、措施项目费、其他项目费及</w:t>
      </w:r>
      <w:r>
        <w:rPr>
          <w:rFonts w:hint="eastAsia" w:ascii="宋体" w:hAnsi="宋体" w:eastAsia="宋体" w:cs="宋体"/>
          <w:color w:val="auto"/>
          <w:sz w:val="21"/>
          <w:szCs w:val="21"/>
          <w:highlight w:val="none"/>
          <w:lang w:val="en-US" w:eastAsia="zh-CN"/>
        </w:rPr>
        <w:t>增值税</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合计金额。</w:t>
      </w:r>
    </w:p>
    <w:p w14:paraId="2700B2B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7.3</w:t>
      </w:r>
      <w:r>
        <w:rPr>
          <w:rFonts w:hint="eastAsia" w:ascii="宋体" w:hAnsi="宋体" w:eastAsia="宋体" w:cs="宋体"/>
          <w:color w:val="auto"/>
          <w:sz w:val="21"/>
          <w:szCs w:val="21"/>
          <w:highlight w:val="none"/>
        </w:rPr>
        <w:t>投标文件不得改变招标工程量清单（含修正内容）的项目编码、项目名称、项目特征、计量单位、工程量（总价合同除外）、工作内容等已标明条件，也不得改变招标工程量清单（含修正内容）项目的排序方式。</w:t>
      </w:r>
    </w:p>
    <w:p w14:paraId="74C4FB40">
      <w:pPr>
        <w:keepNext/>
        <w:keepLines/>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7.4</w:t>
      </w:r>
      <w:r>
        <w:rPr>
          <w:rFonts w:hint="eastAsia" w:ascii="宋体" w:hAnsi="宋体" w:eastAsia="宋体" w:cs="宋体"/>
          <w:color w:val="auto"/>
          <w:sz w:val="21"/>
          <w:szCs w:val="21"/>
          <w:highlight w:val="none"/>
        </w:rPr>
        <w:t>投标文件不得改变招标工程量清单中载明的</w:t>
      </w:r>
      <w:r>
        <w:rPr>
          <w:rFonts w:hint="eastAsia" w:ascii="宋体" w:hAnsi="宋体" w:eastAsia="宋体" w:cs="宋体"/>
          <w:color w:val="auto"/>
          <w:sz w:val="21"/>
          <w:szCs w:val="21"/>
          <w:highlight w:val="none"/>
          <w:lang w:eastAsia="zh-CN"/>
        </w:rPr>
        <w:t>安全生产措施费</w:t>
      </w:r>
      <w:r>
        <w:rPr>
          <w:rFonts w:hint="eastAsia" w:ascii="宋体" w:hAnsi="宋体" w:eastAsia="宋体" w:cs="宋体"/>
          <w:color w:val="auto"/>
          <w:sz w:val="21"/>
          <w:szCs w:val="21"/>
          <w:highlight w:val="none"/>
        </w:rPr>
        <w:t>费率及发包人提供的材料</w:t>
      </w:r>
      <w:r>
        <w:rPr>
          <w:rFonts w:hint="eastAsia" w:ascii="宋体" w:hAnsi="宋体" w:eastAsia="宋体" w:cs="宋体"/>
          <w:color w:val="auto"/>
          <w:sz w:val="21"/>
          <w:szCs w:val="21"/>
          <w:highlight w:val="none"/>
          <w:lang w:eastAsia="zh-CN"/>
        </w:rPr>
        <w:t>暂估价</w:t>
      </w:r>
      <w:r>
        <w:rPr>
          <w:rFonts w:hint="eastAsia" w:ascii="宋体" w:hAnsi="宋体" w:eastAsia="宋体" w:cs="宋体"/>
          <w:color w:val="auto"/>
          <w:sz w:val="21"/>
          <w:szCs w:val="21"/>
          <w:highlight w:val="none"/>
        </w:rPr>
        <w:t>、暂列金</w:t>
      </w:r>
      <w:r>
        <w:rPr>
          <w:rFonts w:hint="eastAsia" w:ascii="宋体" w:hAnsi="宋体" w:eastAsia="宋体" w:cs="宋体"/>
          <w:color w:val="auto"/>
          <w:sz w:val="21"/>
          <w:szCs w:val="21"/>
          <w:highlight w:val="none"/>
          <w:lang w:val="en-US" w:eastAsia="zh-CN"/>
        </w:rPr>
        <w:t>额</w:t>
      </w:r>
      <w:r>
        <w:rPr>
          <w:rFonts w:hint="eastAsia" w:ascii="宋体" w:hAnsi="宋体" w:eastAsia="宋体" w:cs="宋体"/>
          <w:color w:val="auto"/>
          <w:sz w:val="21"/>
          <w:szCs w:val="21"/>
          <w:highlight w:val="none"/>
        </w:rPr>
        <w:t>、专业工程暂估价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发包人要求的不可竞争的其他项目费的金额</w:t>
      </w:r>
      <w:r>
        <w:rPr>
          <w:rFonts w:hint="eastAsia" w:ascii="宋体" w:hAnsi="宋体" w:eastAsia="宋体" w:cs="宋体"/>
          <w:color w:val="auto"/>
          <w:sz w:val="21"/>
          <w:szCs w:val="21"/>
          <w:highlight w:val="none"/>
        </w:rPr>
        <w:t>。</w:t>
      </w:r>
    </w:p>
    <w:p w14:paraId="6048095C">
      <w:pPr>
        <w:keepNext/>
        <w:keepLines/>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7.5投标时总承包服务费不得按项报价，不得改变招标文件总承包服务费计算基础，费率应自行确定，一般不宜超过《总承包服务费清单表》中列明的费率。</w:t>
      </w:r>
    </w:p>
    <w:p w14:paraId="261126A6">
      <w:pPr>
        <w:keepNext/>
        <w:keepLines/>
        <w:pageBreakBefore w:val="0"/>
        <w:widowControl w:val="0"/>
        <w:kinsoku/>
        <w:wordWrap/>
        <w:overflowPunct/>
        <w:topLinePunct w:val="0"/>
        <w:autoSpaceDE/>
        <w:autoSpaceDN/>
        <w:bidi w:val="0"/>
        <w:adjustRightInd w:val="0"/>
        <w:snapToGrid w:val="0"/>
        <w:spacing w:line="500" w:lineRule="exact"/>
        <w:ind w:firstLine="420"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7.6</w:t>
      </w:r>
      <w:r>
        <w:rPr>
          <w:rFonts w:hint="eastAsia" w:ascii="宋体" w:hAnsi="宋体" w:eastAsia="宋体" w:cs="宋体"/>
          <w:color w:val="auto"/>
          <w:sz w:val="21"/>
          <w:szCs w:val="21"/>
          <w:highlight w:val="none"/>
        </w:rPr>
        <w:t>投标人自行补充的清单项目，应置于各单位工程</w:t>
      </w:r>
      <w:r>
        <w:rPr>
          <w:rFonts w:hint="eastAsia" w:ascii="宋体" w:hAnsi="宋体" w:eastAsia="宋体" w:cs="宋体"/>
          <w:color w:val="auto"/>
          <w:sz w:val="21"/>
          <w:szCs w:val="21"/>
          <w:highlight w:val="none"/>
          <w:lang w:val="en-US" w:eastAsia="zh-CN"/>
        </w:rPr>
        <w:t>清单计价表的</w:t>
      </w:r>
      <w:r>
        <w:rPr>
          <w:rFonts w:hint="eastAsia" w:ascii="宋体" w:hAnsi="宋体" w:eastAsia="宋体" w:cs="宋体"/>
          <w:color w:val="auto"/>
          <w:sz w:val="21"/>
          <w:szCs w:val="21"/>
          <w:highlight w:val="none"/>
        </w:rPr>
        <w:t>末尾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分部分项工程项目清单以T</w:t>
      </w:r>
      <w:r>
        <w:rPr>
          <w:rFonts w:hint="eastAsia" w:ascii="宋体" w:hAnsi="宋体" w:eastAsia="宋体" w:cs="宋体"/>
          <w:color w:val="auto"/>
          <w:sz w:val="21"/>
          <w:szCs w:val="21"/>
          <w:highlight w:val="none"/>
          <w:lang w:val="en-US" w:eastAsia="zh-CN"/>
        </w:rPr>
        <w:t>F</w:t>
      </w:r>
      <w:r>
        <w:rPr>
          <w:rFonts w:hint="eastAsia" w:ascii="宋体" w:hAnsi="宋体" w:eastAsia="宋体" w:cs="宋体"/>
          <w:color w:val="auto"/>
          <w:sz w:val="21"/>
          <w:szCs w:val="21"/>
          <w:highlight w:val="none"/>
        </w:rPr>
        <w:t>B001为初始编号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措施项目清单以T</w:t>
      </w:r>
      <w:r>
        <w:rPr>
          <w:rFonts w:hint="eastAsia" w:ascii="宋体" w:hAnsi="宋体" w:eastAsia="宋体" w:cs="宋体"/>
          <w:color w:val="auto"/>
          <w:sz w:val="21"/>
          <w:szCs w:val="21"/>
          <w:highlight w:val="none"/>
          <w:lang w:val="en-US" w:eastAsia="zh-CN"/>
        </w:rPr>
        <w:t>C</w:t>
      </w:r>
      <w:r>
        <w:rPr>
          <w:rFonts w:hint="eastAsia" w:ascii="宋体" w:hAnsi="宋体" w:eastAsia="宋体" w:cs="宋体"/>
          <w:color w:val="auto"/>
          <w:sz w:val="21"/>
          <w:szCs w:val="21"/>
          <w:highlight w:val="none"/>
        </w:rPr>
        <w:t>B001为初始编号，按顺序</w:t>
      </w:r>
      <w:r>
        <w:rPr>
          <w:rFonts w:hint="eastAsia" w:ascii="宋体" w:hAnsi="宋体" w:eastAsia="宋体" w:cs="宋体"/>
          <w:color w:val="auto"/>
          <w:sz w:val="21"/>
          <w:szCs w:val="21"/>
          <w:highlight w:val="none"/>
          <w:lang w:eastAsia="zh-CN"/>
        </w:rPr>
        <w:t>编制</w:t>
      </w:r>
      <w:r>
        <w:rPr>
          <w:rFonts w:hint="eastAsia" w:ascii="宋体" w:hAnsi="宋体" w:eastAsia="宋体" w:cs="宋体"/>
          <w:color w:val="auto"/>
          <w:sz w:val="21"/>
          <w:szCs w:val="21"/>
          <w:highlight w:val="none"/>
        </w:rPr>
        <w:t>。</w:t>
      </w:r>
    </w:p>
    <w:p w14:paraId="034F3AC7">
      <w:pPr>
        <w:keepNext/>
        <w:keepLines/>
        <w:pageBreakBefore w:val="0"/>
        <w:widowControl w:val="0"/>
        <w:kinsoku/>
        <w:wordWrap/>
        <w:overflowPunct/>
        <w:topLinePunct w:val="0"/>
        <w:autoSpaceDE/>
        <w:autoSpaceDN/>
        <w:bidi w:val="0"/>
        <w:adjustRightInd w:val="0"/>
        <w:snapToGrid w:val="0"/>
        <w:spacing w:line="500" w:lineRule="exact"/>
        <w:textAlignment w:val="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 工程量清单</w:t>
      </w:r>
    </w:p>
    <w:p w14:paraId="0E6FA2A6">
      <w:pPr>
        <w:pageBreakBefore w:val="0"/>
        <w:widowControl w:val="0"/>
        <w:kinsoku/>
        <w:wordWrap/>
        <w:overflowPunct/>
        <w:topLinePunct w:val="0"/>
        <w:autoSpaceDE/>
        <w:autoSpaceDN/>
        <w:bidi w:val="0"/>
        <w:spacing w:line="500" w:lineRule="exact"/>
        <w:textAlignment w:val="auto"/>
        <w:rPr>
          <w:rFonts w:hint="eastAsia" w:ascii="宋体" w:hAnsi="宋体" w:cs="宋体"/>
          <w:b/>
          <w:bCs/>
          <w:color w:val="auto"/>
          <w:kern w:val="44"/>
          <w:sz w:val="32"/>
          <w:szCs w:val="44"/>
          <w:highlight w:val="none"/>
        </w:rPr>
      </w:pPr>
      <w:r>
        <w:rPr>
          <w:rFonts w:hint="eastAsia" w:ascii="宋体" w:hAnsi="宋体" w:eastAsia="宋体" w:cs="宋体"/>
          <w:color w:val="auto"/>
          <w:sz w:val="21"/>
          <w:szCs w:val="21"/>
          <w:highlight w:val="none"/>
        </w:rPr>
        <w:t>另册。</w:t>
      </w:r>
      <w:r>
        <w:rPr>
          <w:rFonts w:hint="eastAsia" w:ascii="宋体" w:hAnsi="宋体" w:cs="宋体"/>
          <w:b/>
          <w:bCs/>
          <w:color w:val="auto"/>
          <w:kern w:val="44"/>
          <w:sz w:val="32"/>
          <w:szCs w:val="44"/>
          <w:highlight w:val="none"/>
        </w:rPr>
        <w:br w:type="page"/>
      </w:r>
    </w:p>
    <w:p w14:paraId="23EAD3F3">
      <w:pPr>
        <w:keepNext/>
        <w:keepLines/>
        <w:spacing w:line="360" w:lineRule="auto"/>
        <w:jc w:val="center"/>
        <w:outlineLvl w:val="0"/>
        <w:rPr>
          <w:rFonts w:hint="eastAsia" w:ascii="宋体" w:hAnsi="宋体" w:cs="宋体"/>
          <w:b/>
          <w:bCs/>
          <w:color w:val="auto"/>
          <w:kern w:val="44"/>
          <w:sz w:val="32"/>
          <w:szCs w:val="44"/>
          <w:highlight w:val="none"/>
        </w:rPr>
      </w:pPr>
      <w:r>
        <w:rPr>
          <w:rFonts w:hint="eastAsia" w:ascii="宋体" w:hAnsi="宋体" w:cs="宋体"/>
          <w:b/>
          <w:bCs/>
          <w:color w:val="auto"/>
          <w:kern w:val="44"/>
          <w:sz w:val="32"/>
          <w:szCs w:val="44"/>
          <w:highlight w:val="none"/>
        </w:rPr>
        <w:t xml:space="preserve">第七章 </w:t>
      </w:r>
      <w:bookmarkStart w:id="1392" w:name="_Toc10656"/>
      <w:r>
        <w:rPr>
          <w:rFonts w:hint="eastAsia" w:ascii="宋体" w:hAnsi="宋体" w:cs="宋体"/>
          <w:b/>
          <w:bCs/>
          <w:color w:val="auto"/>
          <w:kern w:val="44"/>
          <w:sz w:val="32"/>
          <w:szCs w:val="44"/>
          <w:highlight w:val="none"/>
        </w:rPr>
        <w:t>图  纸</w:t>
      </w:r>
      <w:bookmarkEnd w:id="1384"/>
      <w:bookmarkEnd w:id="1392"/>
    </w:p>
    <w:p w14:paraId="7AFE00C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图纸已经审查合格，设计深度符合施工要求。技术标准符合国家、行业以及地方标准、规范和规程，具体内容见下表。</w:t>
      </w:r>
    </w:p>
    <w:p w14:paraId="20E89E26">
      <w:pPr>
        <w:keepNext/>
        <w:keepLines/>
        <w:adjustRightInd w:val="0"/>
        <w:snapToGrid w:val="0"/>
        <w:spacing w:before="120" w:after="120" w:line="360" w:lineRule="auto"/>
        <w:outlineLvl w:val="1"/>
        <w:rPr>
          <w:rFonts w:hint="eastAsia" w:ascii="宋体" w:hAnsi="宋体" w:cs="宋体"/>
          <w:bCs/>
          <w:color w:val="auto"/>
          <w:szCs w:val="21"/>
          <w:highlight w:val="none"/>
        </w:rPr>
      </w:pPr>
      <w:bookmarkStart w:id="1393" w:name="_Toc30096"/>
      <w:bookmarkStart w:id="1394" w:name="_Toc95223523"/>
      <w:r>
        <w:rPr>
          <w:rFonts w:hint="eastAsia" w:ascii="宋体" w:hAnsi="宋体" w:cs="宋体"/>
          <w:bCs/>
          <w:color w:val="auto"/>
          <w:szCs w:val="21"/>
          <w:highlight w:val="none"/>
        </w:rPr>
        <w:t>1</w:t>
      </w:r>
      <w:r>
        <w:rPr>
          <w:rFonts w:hint="eastAsia" w:ascii="宋体" w:hAnsi="宋体" w:cs="宋体"/>
          <w:color w:val="auto"/>
          <w:sz w:val="24"/>
          <w:szCs w:val="21"/>
          <w:highlight w:val="none"/>
        </w:rPr>
        <w:t>.</w:t>
      </w:r>
      <w:r>
        <w:rPr>
          <w:rFonts w:hint="eastAsia" w:ascii="宋体" w:hAnsi="宋体" w:cs="宋体"/>
          <w:bCs/>
          <w:color w:val="auto"/>
          <w:szCs w:val="21"/>
          <w:highlight w:val="none"/>
        </w:rPr>
        <w:t>图纸目录（表6-1）</w:t>
      </w:r>
      <w:bookmarkEnd w:id="1393"/>
      <w:bookmarkEnd w:id="1394"/>
    </w:p>
    <w:p w14:paraId="72301F7D">
      <w:pPr>
        <w:rPr>
          <w:rFonts w:hint="eastAsia" w:ascii="宋体" w:hAnsi="宋体" w:cs="宋体"/>
          <w:color w:val="auto"/>
          <w:highlight w:val="none"/>
        </w:rPr>
      </w:pPr>
    </w:p>
    <w:tbl>
      <w:tblPr>
        <w:tblStyle w:val="21"/>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2160"/>
        <w:gridCol w:w="1344"/>
        <w:gridCol w:w="1588"/>
        <w:gridCol w:w="1588"/>
        <w:gridCol w:w="1589"/>
      </w:tblGrid>
      <w:tr w14:paraId="7E75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260" w:type="dxa"/>
            <w:noWrap w:val="0"/>
            <w:vAlign w:val="center"/>
          </w:tcPr>
          <w:p w14:paraId="65391E4E">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序号</w:t>
            </w:r>
          </w:p>
        </w:tc>
        <w:tc>
          <w:tcPr>
            <w:tcW w:w="2160" w:type="dxa"/>
            <w:noWrap w:val="0"/>
            <w:vAlign w:val="center"/>
          </w:tcPr>
          <w:p w14:paraId="5A35EA5B">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图名</w:t>
            </w:r>
          </w:p>
        </w:tc>
        <w:tc>
          <w:tcPr>
            <w:tcW w:w="1344" w:type="dxa"/>
            <w:noWrap w:val="0"/>
            <w:vAlign w:val="center"/>
          </w:tcPr>
          <w:p w14:paraId="0C5A0F52">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图号</w:t>
            </w:r>
          </w:p>
        </w:tc>
        <w:tc>
          <w:tcPr>
            <w:tcW w:w="1588" w:type="dxa"/>
            <w:noWrap w:val="0"/>
            <w:vAlign w:val="center"/>
          </w:tcPr>
          <w:p w14:paraId="0015C111">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版本</w:t>
            </w:r>
          </w:p>
        </w:tc>
        <w:tc>
          <w:tcPr>
            <w:tcW w:w="1588" w:type="dxa"/>
            <w:noWrap w:val="0"/>
            <w:vAlign w:val="center"/>
          </w:tcPr>
          <w:p w14:paraId="6EC8BA41">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出图日期</w:t>
            </w:r>
          </w:p>
        </w:tc>
        <w:tc>
          <w:tcPr>
            <w:tcW w:w="1589" w:type="dxa"/>
            <w:noWrap w:val="0"/>
            <w:vAlign w:val="center"/>
          </w:tcPr>
          <w:p w14:paraId="5D7CA029">
            <w:pPr>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备注</w:t>
            </w:r>
          </w:p>
        </w:tc>
      </w:tr>
      <w:tr w14:paraId="6A84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260" w:type="dxa"/>
            <w:noWrap w:val="0"/>
            <w:vAlign w:val="top"/>
          </w:tcPr>
          <w:p w14:paraId="31DD9570">
            <w:pPr>
              <w:rPr>
                <w:rFonts w:hint="eastAsia" w:ascii="宋体" w:hAnsi="宋体" w:cs="宋体"/>
                <w:color w:val="auto"/>
                <w:highlight w:val="none"/>
              </w:rPr>
            </w:pPr>
          </w:p>
        </w:tc>
        <w:tc>
          <w:tcPr>
            <w:tcW w:w="2160" w:type="dxa"/>
            <w:noWrap w:val="0"/>
            <w:vAlign w:val="top"/>
          </w:tcPr>
          <w:p w14:paraId="65D2E5AC">
            <w:pPr>
              <w:keepNext/>
              <w:keepLines/>
              <w:spacing w:before="120" w:after="120" w:line="360" w:lineRule="auto"/>
              <w:jc w:val="left"/>
              <w:outlineLvl w:val="2"/>
              <w:rPr>
                <w:rFonts w:hint="eastAsia" w:ascii="宋体" w:hAnsi="宋体" w:cs="宋体"/>
                <w:bCs/>
                <w:color w:val="auto"/>
                <w:sz w:val="24"/>
                <w:highlight w:val="none"/>
              </w:rPr>
            </w:pPr>
          </w:p>
        </w:tc>
        <w:tc>
          <w:tcPr>
            <w:tcW w:w="1344" w:type="dxa"/>
            <w:noWrap w:val="0"/>
            <w:vAlign w:val="top"/>
          </w:tcPr>
          <w:p w14:paraId="2581747F">
            <w:pPr>
              <w:rPr>
                <w:rFonts w:hint="eastAsia" w:ascii="宋体" w:hAnsi="宋体" w:cs="宋体"/>
                <w:color w:val="auto"/>
                <w:highlight w:val="none"/>
              </w:rPr>
            </w:pPr>
          </w:p>
        </w:tc>
        <w:tc>
          <w:tcPr>
            <w:tcW w:w="1588" w:type="dxa"/>
            <w:noWrap w:val="0"/>
            <w:vAlign w:val="top"/>
          </w:tcPr>
          <w:p w14:paraId="5ABC831C">
            <w:pPr>
              <w:rPr>
                <w:rFonts w:hint="eastAsia" w:ascii="宋体" w:hAnsi="宋体" w:cs="宋体"/>
                <w:color w:val="auto"/>
                <w:highlight w:val="none"/>
              </w:rPr>
            </w:pPr>
          </w:p>
        </w:tc>
        <w:tc>
          <w:tcPr>
            <w:tcW w:w="1588" w:type="dxa"/>
            <w:noWrap w:val="0"/>
            <w:vAlign w:val="top"/>
          </w:tcPr>
          <w:p w14:paraId="302C9D2E">
            <w:pPr>
              <w:rPr>
                <w:rFonts w:hint="eastAsia" w:ascii="宋体" w:hAnsi="宋体" w:cs="宋体"/>
                <w:color w:val="auto"/>
                <w:highlight w:val="none"/>
              </w:rPr>
            </w:pPr>
          </w:p>
        </w:tc>
        <w:tc>
          <w:tcPr>
            <w:tcW w:w="1589" w:type="dxa"/>
            <w:noWrap w:val="0"/>
            <w:vAlign w:val="top"/>
          </w:tcPr>
          <w:p w14:paraId="5B2C270E">
            <w:pPr>
              <w:rPr>
                <w:rFonts w:hint="eastAsia" w:ascii="宋体" w:hAnsi="宋体" w:cs="宋体"/>
                <w:color w:val="auto"/>
                <w:highlight w:val="none"/>
              </w:rPr>
            </w:pPr>
          </w:p>
        </w:tc>
      </w:tr>
      <w:tr w14:paraId="3B29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260" w:type="dxa"/>
            <w:noWrap w:val="0"/>
            <w:vAlign w:val="top"/>
          </w:tcPr>
          <w:p w14:paraId="3F1C9A7A">
            <w:pPr>
              <w:spacing w:line="360" w:lineRule="auto"/>
              <w:ind w:firstLine="420" w:firstLineChars="200"/>
              <w:rPr>
                <w:rFonts w:hint="eastAsia" w:ascii="宋体" w:hAnsi="宋体" w:cs="宋体"/>
                <w:color w:val="auto"/>
                <w:highlight w:val="none"/>
              </w:rPr>
            </w:pPr>
          </w:p>
        </w:tc>
        <w:tc>
          <w:tcPr>
            <w:tcW w:w="2160" w:type="dxa"/>
            <w:noWrap w:val="0"/>
            <w:vAlign w:val="top"/>
          </w:tcPr>
          <w:p w14:paraId="6F665ECC">
            <w:pPr>
              <w:rPr>
                <w:rFonts w:hint="eastAsia" w:ascii="宋体" w:hAnsi="宋体" w:cs="宋体"/>
                <w:color w:val="auto"/>
                <w:highlight w:val="none"/>
              </w:rPr>
            </w:pPr>
          </w:p>
        </w:tc>
        <w:tc>
          <w:tcPr>
            <w:tcW w:w="1344" w:type="dxa"/>
            <w:noWrap w:val="0"/>
            <w:vAlign w:val="top"/>
          </w:tcPr>
          <w:p w14:paraId="4FFA6006">
            <w:pPr>
              <w:rPr>
                <w:rFonts w:hint="eastAsia" w:ascii="宋体" w:hAnsi="宋体" w:cs="宋体"/>
                <w:color w:val="auto"/>
                <w:highlight w:val="none"/>
              </w:rPr>
            </w:pPr>
          </w:p>
        </w:tc>
        <w:tc>
          <w:tcPr>
            <w:tcW w:w="1588" w:type="dxa"/>
            <w:noWrap w:val="0"/>
            <w:vAlign w:val="top"/>
          </w:tcPr>
          <w:p w14:paraId="444F3784">
            <w:pPr>
              <w:rPr>
                <w:rFonts w:hint="eastAsia" w:ascii="宋体" w:hAnsi="宋体" w:cs="宋体"/>
                <w:color w:val="auto"/>
                <w:highlight w:val="none"/>
              </w:rPr>
            </w:pPr>
          </w:p>
        </w:tc>
        <w:tc>
          <w:tcPr>
            <w:tcW w:w="1588" w:type="dxa"/>
            <w:noWrap w:val="0"/>
            <w:vAlign w:val="top"/>
          </w:tcPr>
          <w:p w14:paraId="5760F46F">
            <w:pPr>
              <w:rPr>
                <w:rFonts w:hint="eastAsia" w:ascii="宋体" w:hAnsi="宋体" w:cs="宋体"/>
                <w:color w:val="auto"/>
                <w:highlight w:val="none"/>
              </w:rPr>
            </w:pPr>
          </w:p>
        </w:tc>
        <w:tc>
          <w:tcPr>
            <w:tcW w:w="1589" w:type="dxa"/>
            <w:noWrap w:val="0"/>
            <w:vAlign w:val="top"/>
          </w:tcPr>
          <w:p w14:paraId="0617D75E">
            <w:pPr>
              <w:rPr>
                <w:rFonts w:hint="eastAsia" w:ascii="宋体" w:hAnsi="宋体" w:cs="宋体"/>
                <w:color w:val="auto"/>
                <w:highlight w:val="none"/>
              </w:rPr>
            </w:pPr>
          </w:p>
        </w:tc>
      </w:tr>
      <w:tr w14:paraId="7C2B1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260" w:type="dxa"/>
            <w:noWrap w:val="0"/>
            <w:vAlign w:val="top"/>
          </w:tcPr>
          <w:p w14:paraId="5F8208C9">
            <w:pPr>
              <w:rPr>
                <w:rFonts w:hint="eastAsia" w:ascii="宋体" w:hAnsi="宋体" w:cs="宋体"/>
                <w:color w:val="auto"/>
                <w:highlight w:val="none"/>
              </w:rPr>
            </w:pPr>
          </w:p>
        </w:tc>
        <w:tc>
          <w:tcPr>
            <w:tcW w:w="2160" w:type="dxa"/>
            <w:noWrap w:val="0"/>
            <w:vAlign w:val="top"/>
          </w:tcPr>
          <w:p w14:paraId="3E7DA789">
            <w:pPr>
              <w:rPr>
                <w:rFonts w:hint="eastAsia" w:ascii="宋体" w:hAnsi="宋体" w:cs="宋体"/>
                <w:color w:val="auto"/>
                <w:highlight w:val="none"/>
              </w:rPr>
            </w:pPr>
          </w:p>
        </w:tc>
        <w:tc>
          <w:tcPr>
            <w:tcW w:w="1344" w:type="dxa"/>
            <w:noWrap w:val="0"/>
            <w:vAlign w:val="top"/>
          </w:tcPr>
          <w:p w14:paraId="6155C823">
            <w:pPr>
              <w:rPr>
                <w:rFonts w:hint="eastAsia" w:ascii="宋体" w:hAnsi="宋体" w:cs="宋体"/>
                <w:color w:val="auto"/>
                <w:highlight w:val="none"/>
              </w:rPr>
            </w:pPr>
          </w:p>
        </w:tc>
        <w:tc>
          <w:tcPr>
            <w:tcW w:w="1588" w:type="dxa"/>
            <w:noWrap w:val="0"/>
            <w:vAlign w:val="top"/>
          </w:tcPr>
          <w:p w14:paraId="01CBB7BC">
            <w:pPr>
              <w:rPr>
                <w:rFonts w:hint="eastAsia" w:ascii="宋体" w:hAnsi="宋体" w:cs="宋体"/>
                <w:color w:val="auto"/>
                <w:highlight w:val="none"/>
              </w:rPr>
            </w:pPr>
          </w:p>
        </w:tc>
        <w:tc>
          <w:tcPr>
            <w:tcW w:w="1588" w:type="dxa"/>
            <w:noWrap w:val="0"/>
            <w:vAlign w:val="top"/>
          </w:tcPr>
          <w:p w14:paraId="01CDBE81">
            <w:pPr>
              <w:rPr>
                <w:rFonts w:hint="eastAsia" w:ascii="宋体" w:hAnsi="宋体" w:cs="宋体"/>
                <w:color w:val="auto"/>
                <w:highlight w:val="none"/>
              </w:rPr>
            </w:pPr>
          </w:p>
        </w:tc>
        <w:tc>
          <w:tcPr>
            <w:tcW w:w="1589" w:type="dxa"/>
            <w:noWrap w:val="0"/>
            <w:vAlign w:val="top"/>
          </w:tcPr>
          <w:p w14:paraId="7E78883E">
            <w:pPr>
              <w:rPr>
                <w:rFonts w:hint="eastAsia" w:ascii="宋体" w:hAnsi="宋体" w:cs="宋体"/>
                <w:color w:val="auto"/>
                <w:highlight w:val="none"/>
              </w:rPr>
            </w:pPr>
          </w:p>
        </w:tc>
      </w:tr>
      <w:tr w14:paraId="449B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260" w:type="dxa"/>
            <w:noWrap w:val="0"/>
            <w:vAlign w:val="top"/>
          </w:tcPr>
          <w:p w14:paraId="1F2FBE02">
            <w:pPr>
              <w:rPr>
                <w:rFonts w:hint="eastAsia" w:ascii="宋体" w:hAnsi="宋体" w:cs="宋体"/>
                <w:color w:val="auto"/>
                <w:highlight w:val="none"/>
              </w:rPr>
            </w:pPr>
          </w:p>
        </w:tc>
        <w:tc>
          <w:tcPr>
            <w:tcW w:w="2160" w:type="dxa"/>
            <w:noWrap w:val="0"/>
            <w:vAlign w:val="top"/>
          </w:tcPr>
          <w:p w14:paraId="2A3EEB70">
            <w:pPr>
              <w:rPr>
                <w:rFonts w:hint="eastAsia" w:ascii="宋体" w:hAnsi="宋体" w:cs="宋体"/>
                <w:color w:val="auto"/>
                <w:highlight w:val="none"/>
              </w:rPr>
            </w:pPr>
          </w:p>
        </w:tc>
        <w:tc>
          <w:tcPr>
            <w:tcW w:w="1344" w:type="dxa"/>
            <w:noWrap w:val="0"/>
            <w:vAlign w:val="top"/>
          </w:tcPr>
          <w:p w14:paraId="4CD35402">
            <w:pPr>
              <w:rPr>
                <w:rFonts w:hint="eastAsia" w:ascii="宋体" w:hAnsi="宋体" w:cs="宋体"/>
                <w:color w:val="auto"/>
                <w:highlight w:val="none"/>
              </w:rPr>
            </w:pPr>
          </w:p>
        </w:tc>
        <w:tc>
          <w:tcPr>
            <w:tcW w:w="1588" w:type="dxa"/>
            <w:noWrap w:val="0"/>
            <w:vAlign w:val="top"/>
          </w:tcPr>
          <w:p w14:paraId="47C60293">
            <w:pPr>
              <w:rPr>
                <w:rFonts w:hint="eastAsia" w:ascii="宋体" w:hAnsi="宋体" w:cs="宋体"/>
                <w:color w:val="auto"/>
                <w:highlight w:val="none"/>
              </w:rPr>
            </w:pPr>
          </w:p>
        </w:tc>
        <w:tc>
          <w:tcPr>
            <w:tcW w:w="1588" w:type="dxa"/>
            <w:noWrap w:val="0"/>
            <w:vAlign w:val="top"/>
          </w:tcPr>
          <w:p w14:paraId="14D67768">
            <w:pPr>
              <w:rPr>
                <w:rFonts w:hint="eastAsia" w:ascii="宋体" w:hAnsi="宋体" w:cs="宋体"/>
                <w:color w:val="auto"/>
                <w:highlight w:val="none"/>
              </w:rPr>
            </w:pPr>
          </w:p>
        </w:tc>
        <w:tc>
          <w:tcPr>
            <w:tcW w:w="1589" w:type="dxa"/>
            <w:noWrap w:val="0"/>
            <w:vAlign w:val="top"/>
          </w:tcPr>
          <w:p w14:paraId="426876F2">
            <w:pPr>
              <w:rPr>
                <w:rFonts w:hint="eastAsia" w:ascii="宋体" w:hAnsi="宋体" w:cs="宋体"/>
                <w:color w:val="auto"/>
                <w:highlight w:val="none"/>
              </w:rPr>
            </w:pPr>
          </w:p>
        </w:tc>
      </w:tr>
      <w:tr w14:paraId="3B50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260" w:type="dxa"/>
            <w:noWrap w:val="0"/>
            <w:vAlign w:val="top"/>
          </w:tcPr>
          <w:p w14:paraId="3B4BB0BA">
            <w:pPr>
              <w:rPr>
                <w:rFonts w:hint="eastAsia" w:ascii="宋体" w:hAnsi="宋体" w:cs="宋体"/>
                <w:color w:val="auto"/>
                <w:highlight w:val="none"/>
              </w:rPr>
            </w:pPr>
          </w:p>
        </w:tc>
        <w:tc>
          <w:tcPr>
            <w:tcW w:w="2160" w:type="dxa"/>
            <w:noWrap w:val="0"/>
            <w:vAlign w:val="top"/>
          </w:tcPr>
          <w:p w14:paraId="6AC08533">
            <w:pPr>
              <w:rPr>
                <w:rFonts w:hint="eastAsia" w:ascii="宋体" w:hAnsi="宋体" w:cs="宋体"/>
                <w:color w:val="auto"/>
                <w:highlight w:val="none"/>
              </w:rPr>
            </w:pPr>
          </w:p>
        </w:tc>
        <w:tc>
          <w:tcPr>
            <w:tcW w:w="1344" w:type="dxa"/>
            <w:noWrap w:val="0"/>
            <w:vAlign w:val="top"/>
          </w:tcPr>
          <w:p w14:paraId="06AB0F9B">
            <w:pPr>
              <w:rPr>
                <w:rFonts w:hint="eastAsia" w:ascii="宋体" w:hAnsi="宋体" w:cs="宋体"/>
                <w:color w:val="auto"/>
                <w:highlight w:val="none"/>
              </w:rPr>
            </w:pPr>
          </w:p>
        </w:tc>
        <w:tc>
          <w:tcPr>
            <w:tcW w:w="1588" w:type="dxa"/>
            <w:noWrap w:val="0"/>
            <w:vAlign w:val="top"/>
          </w:tcPr>
          <w:p w14:paraId="29AC2994">
            <w:pPr>
              <w:rPr>
                <w:rFonts w:hint="eastAsia" w:ascii="宋体" w:hAnsi="宋体" w:cs="宋体"/>
                <w:color w:val="auto"/>
                <w:highlight w:val="none"/>
              </w:rPr>
            </w:pPr>
          </w:p>
        </w:tc>
        <w:tc>
          <w:tcPr>
            <w:tcW w:w="1588" w:type="dxa"/>
            <w:noWrap w:val="0"/>
            <w:vAlign w:val="top"/>
          </w:tcPr>
          <w:p w14:paraId="40BF3918">
            <w:pPr>
              <w:rPr>
                <w:rFonts w:hint="eastAsia" w:ascii="宋体" w:hAnsi="宋体" w:cs="宋体"/>
                <w:color w:val="auto"/>
                <w:highlight w:val="none"/>
              </w:rPr>
            </w:pPr>
          </w:p>
        </w:tc>
        <w:tc>
          <w:tcPr>
            <w:tcW w:w="1589" w:type="dxa"/>
            <w:noWrap w:val="0"/>
            <w:vAlign w:val="top"/>
          </w:tcPr>
          <w:p w14:paraId="0C177024">
            <w:pPr>
              <w:rPr>
                <w:rFonts w:hint="eastAsia" w:ascii="宋体" w:hAnsi="宋体" w:cs="宋体"/>
                <w:color w:val="auto"/>
                <w:highlight w:val="none"/>
              </w:rPr>
            </w:pPr>
          </w:p>
        </w:tc>
      </w:tr>
      <w:tr w14:paraId="11CC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260" w:type="dxa"/>
            <w:noWrap w:val="0"/>
            <w:vAlign w:val="top"/>
          </w:tcPr>
          <w:p w14:paraId="6C98CF05">
            <w:pPr>
              <w:rPr>
                <w:rFonts w:hint="eastAsia" w:ascii="宋体" w:hAnsi="宋体" w:cs="宋体"/>
                <w:color w:val="auto"/>
                <w:highlight w:val="none"/>
              </w:rPr>
            </w:pPr>
          </w:p>
        </w:tc>
        <w:tc>
          <w:tcPr>
            <w:tcW w:w="2160" w:type="dxa"/>
            <w:noWrap w:val="0"/>
            <w:vAlign w:val="top"/>
          </w:tcPr>
          <w:p w14:paraId="394C83FA">
            <w:pPr>
              <w:rPr>
                <w:rFonts w:hint="eastAsia" w:ascii="宋体" w:hAnsi="宋体" w:cs="宋体"/>
                <w:color w:val="auto"/>
                <w:highlight w:val="none"/>
              </w:rPr>
            </w:pPr>
          </w:p>
        </w:tc>
        <w:tc>
          <w:tcPr>
            <w:tcW w:w="1344" w:type="dxa"/>
            <w:noWrap w:val="0"/>
            <w:vAlign w:val="top"/>
          </w:tcPr>
          <w:p w14:paraId="5A29FCD4">
            <w:pPr>
              <w:rPr>
                <w:rFonts w:hint="eastAsia" w:ascii="宋体" w:hAnsi="宋体" w:cs="宋体"/>
                <w:color w:val="auto"/>
                <w:highlight w:val="none"/>
              </w:rPr>
            </w:pPr>
          </w:p>
        </w:tc>
        <w:tc>
          <w:tcPr>
            <w:tcW w:w="1588" w:type="dxa"/>
            <w:noWrap w:val="0"/>
            <w:vAlign w:val="top"/>
          </w:tcPr>
          <w:p w14:paraId="78AB904C">
            <w:pPr>
              <w:rPr>
                <w:rFonts w:hint="eastAsia" w:ascii="宋体" w:hAnsi="宋体" w:cs="宋体"/>
                <w:color w:val="auto"/>
                <w:highlight w:val="none"/>
              </w:rPr>
            </w:pPr>
          </w:p>
        </w:tc>
        <w:tc>
          <w:tcPr>
            <w:tcW w:w="1588" w:type="dxa"/>
            <w:noWrap w:val="0"/>
            <w:vAlign w:val="top"/>
          </w:tcPr>
          <w:p w14:paraId="51A1EAA5">
            <w:pPr>
              <w:rPr>
                <w:rFonts w:hint="eastAsia" w:ascii="宋体" w:hAnsi="宋体" w:cs="宋体"/>
                <w:color w:val="auto"/>
                <w:highlight w:val="none"/>
              </w:rPr>
            </w:pPr>
          </w:p>
        </w:tc>
        <w:tc>
          <w:tcPr>
            <w:tcW w:w="1589" w:type="dxa"/>
            <w:noWrap w:val="0"/>
            <w:vAlign w:val="top"/>
          </w:tcPr>
          <w:p w14:paraId="69F896C6">
            <w:pPr>
              <w:rPr>
                <w:rFonts w:hint="eastAsia" w:ascii="宋体" w:hAnsi="宋体" w:cs="宋体"/>
                <w:color w:val="auto"/>
                <w:highlight w:val="none"/>
              </w:rPr>
            </w:pPr>
          </w:p>
        </w:tc>
      </w:tr>
    </w:tbl>
    <w:p w14:paraId="43633849">
      <w:pPr>
        <w:rPr>
          <w:rFonts w:hint="eastAsia" w:ascii="宋体" w:hAnsi="宋体" w:cs="宋体"/>
          <w:color w:val="auto"/>
          <w:highlight w:val="none"/>
        </w:rPr>
      </w:pPr>
    </w:p>
    <w:p w14:paraId="609B7A8B">
      <w:pPr>
        <w:outlineLvl w:val="1"/>
        <w:rPr>
          <w:rFonts w:hint="eastAsia" w:ascii="宋体" w:hAnsi="宋体" w:cs="宋体"/>
          <w:color w:val="auto"/>
          <w:highlight w:val="none"/>
        </w:rPr>
      </w:pPr>
      <w:bookmarkStart w:id="1395" w:name="_Toc23955"/>
      <w:bookmarkStart w:id="1396" w:name="_Toc95223524"/>
      <w:r>
        <w:rPr>
          <w:rFonts w:hint="eastAsia" w:ascii="宋体" w:hAnsi="宋体" w:cs="宋体"/>
          <w:color w:val="auto"/>
          <w:szCs w:val="21"/>
          <w:highlight w:val="none"/>
        </w:rPr>
        <w:t>2.图纸</w:t>
      </w:r>
      <w:r>
        <w:rPr>
          <w:rFonts w:hint="eastAsia" w:ascii="宋体" w:hAnsi="宋体" w:cs="宋体"/>
          <w:color w:val="auto"/>
          <w:highlight w:val="none"/>
        </w:rPr>
        <w:t>（另册）</w:t>
      </w:r>
      <w:bookmarkEnd w:id="1395"/>
      <w:bookmarkEnd w:id="1396"/>
    </w:p>
    <w:p w14:paraId="68C54829">
      <w:pPr>
        <w:rPr>
          <w:rFonts w:hint="eastAsia" w:ascii="宋体" w:hAnsi="宋体" w:cs="宋体"/>
          <w:color w:val="auto"/>
          <w:highlight w:val="none"/>
        </w:rPr>
      </w:pPr>
    </w:p>
    <w:p w14:paraId="2035365B">
      <w:pPr>
        <w:pStyle w:val="3"/>
        <w:adjustRightInd w:val="0"/>
        <w:snapToGrid w:val="0"/>
        <w:spacing w:before="0" w:after="0" w:line="560" w:lineRule="exact"/>
        <w:jc w:val="center"/>
        <w:rPr>
          <w:rFonts w:hint="eastAsia" w:ascii="宋体" w:hAnsi="宋体" w:cs="宋体"/>
          <w:b/>
          <w:bCs/>
          <w:color w:val="auto"/>
          <w:sz w:val="24"/>
          <w:szCs w:val="24"/>
          <w:highlight w:val="none"/>
        </w:rPr>
      </w:pPr>
      <w:r>
        <w:rPr>
          <w:rFonts w:hint="eastAsia" w:ascii="宋体" w:hAnsi="宋体" w:cs="宋体"/>
          <w:b w:val="0"/>
          <w:bCs w:val="0"/>
          <w:color w:val="auto"/>
          <w:sz w:val="32"/>
          <w:highlight w:val="none"/>
        </w:rPr>
        <w:br w:type="page"/>
      </w:r>
      <w:bookmarkStart w:id="1397" w:name="_Toc4608"/>
      <w:bookmarkStart w:id="1398" w:name="_Toc95223525"/>
      <w:r>
        <w:rPr>
          <w:rFonts w:hint="eastAsia"/>
          <w:color w:val="auto"/>
          <w:highlight w:val="none"/>
        </w:rPr>
        <w:t>第八章  技术标准和要求</w:t>
      </w:r>
      <w:bookmarkEnd w:id="1397"/>
      <w:bookmarkEnd w:id="1398"/>
      <w:bookmarkStart w:id="1399" w:name="_Toc32647"/>
      <w:bookmarkStart w:id="1400" w:name="_Toc95223526"/>
    </w:p>
    <w:p w14:paraId="1F0B046E">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1"/>
        <w:rPr>
          <w:rFonts w:hint="eastAsia" w:ascii="宋体" w:hAnsi="宋体" w:cs="宋体"/>
          <w:color w:val="auto"/>
          <w:highlight w:val="none"/>
        </w:rPr>
      </w:pPr>
      <w:r>
        <w:rPr>
          <w:rFonts w:hint="eastAsia" w:ascii="宋体" w:hAnsi="宋体" w:cs="宋体"/>
          <w:bCs/>
          <w:color w:val="auto"/>
          <w:szCs w:val="21"/>
          <w:highlight w:val="none"/>
        </w:rPr>
        <w:t>1.</w:t>
      </w:r>
      <w:r>
        <w:rPr>
          <w:rFonts w:hint="eastAsia" w:ascii="宋体" w:hAnsi="宋体" w:cs="宋体"/>
          <w:b/>
          <w:color w:val="auto"/>
          <w:highlight w:val="none"/>
        </w:rPr>
        <w:t xml:space="preserve"> </w:t>
      </w:r>
      <w:r>
        <w:rPr>
          <w:rFonts w:hint="eastAsia" w:ascii="宋体" w:hAnsi="宋体" w:cs="宋体"/>
          <w:color w:val="auto"/>
          <w:highlight w:val="none"/>
        </w:rPr>
        <w:t>一般要求</w:t>
      </w:r>
      <w:bookmarkEnd w:id="1399"/>
      <w:bookmarkEnd w:id="1400"/>
    </w:p>
    <w:p w14:paraId="2DE27362">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1"/>
        <w:rPr>
          <w:rFonts w:hint="eastAsia" w:ascii="宋体" w:hAnsi="宋体" w:cs="宋体"/>
          <w:color w:val="auto"/>
          <w:highlight w:val="none"/>
        </w:rPr>
      </w:pPr>
      <w:bookmarkStart w:id="1401" w:name="_Toc95223527"/>
      <w:bookmarkStart w:id="1402" w:name="_Toc26107"/>
      <w:r>
        <w:rPr>
          <w:rFonts w:hint="eastAsia" w:ascii="宋体" w:hAnsi="宋体" w:cs="宋体"/>
          <w:bCs/>
          <w:color w:val="auto"/>
          <w:szCs w:val="21"/>
          <w:highlight w:val="none"/>
        </w:rPr>
        <w:t>2.</w:t>
      </w:r>
      <w:r>
        <w:rPr>
          <w:rFonts w:hint="eastAsia" w:ascii="宋体" w:hAnsi="宋体" w:cs="宋体"/>
          <w:b/>
          <w:color w:val="auto"/>
          <w:highlight w:val="none"/>
        </w:rPr>
        <w:t xml:space="preserve"> </w:t>
      </w:r>
      <w:r>
        <w:rPr>
          <w:rFonts w:hint="eastAsia" w:ascii="宋体" w:hAnsi="宋体" w:cs="宋体"/>
          <w:color w:val="auto"/>
          <w:highlight w:val="none"/>
        </w:rPr>
        <w:t>特殊技术标准和要求</w:t>
      </w:r>
      <w:bookmarkEnd w:id="1401"/>
      <w:bookmarkEnd w:id="1402"/>
      <w:r>
        <w:rPr>
          <w:rFonts w:hint="eastAsia" w:ascii="宋体" w:hAnsi="宋体" w:cs="宋体"/>
          <w:color w:val="auto"/>
          <w:highlight w:val="none"/>
        </w:rPr>
        <w:t xml:space="preserve"> </w:t>
      </w:r>
    </w:p>
    <w:p w14:paraId="5F8D15BE">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1"/>
        <w:rPr>
          <w:rFonts w:hint="eastAsia" w:ascii="宋体" w:hAnsi="宋体" w:cs="宋体"/>
          <w:color w:val="auto"/>
          <w:highlight w:val="none"/>
        </w:rPr>
      </w:pPr>
      <w:bookmarkStart w:id="1403" w:name="_Toc30517"/>
      <w:bookmarkStart w:id="1404" w:name="_Toc95223528"/>
      <w:r>
        <w:rPr>
          <w:rFonts w:hint="eastAsia" w:ascii="宋体" w:hAnsi="宋体" w:cs="宋体"/>
          <w:bCs/>
          <w:color w:val="auto"/>
          <w:szCs w:val="21"/>
          <w:highlight w:val="none"/>
        </w:rPr>
        <w:t>3.</w:t>
      </w:r>
      <w:r>
        <w:rPr>
          <w:rFonts w:hint="eastAsia" w:ascii="宋体" w:hAnsi="宋体" w:cs="宋体"/>
          <w:b/>
          <w:color w:val="auto"/>
          <w:highlight w:val="none"/>
        </w:rPr>
        <w:t xml:space="preserve"> </w:t>
      </w:r>
      <w:r>
        <w:rPr>
          <w:rFonts w:hint="eastAsia" w:ascii="宋体" w:hAnsi="宋体" w:cs="宋体"/>
          <w:color w:val="auto"/>
          <w:highlight w:val="none"/>
        </w:rPr>
        <w:t>适用的国家、行业以及地方标准、规范和规程</w:t>
      </w:r>
      <w:bookmarkEnd w:id="1403"/>
      <w:bookmarkEnd w:id="1404"/>
      <w:r>
        <w:rPr>
          <w:rFonts w:hint="eastAsia" w:ascii="宋体" w:hAnsi="宋体" w:cs="宋体"/>
          <w:color w:val="auto"/>
          <w:highlight w:val="none"/>
        </w:rPr>
        <w:t xml:space="preserve"> </w:t>
      </w:r>
    </w:p>
    <w:p w14:paraId="15CA79D1">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1"/>
        <w:rPr>
          <w:rFonts w:hint="default" w:ascii="宋体" w:hAnsi="宋体" w:eastAsia="宋体" w:cs="宋体"/>
          <w:color w:val="auto"/>
          <w:highlight w:val="none"/>
          <w:lang w:val="en-US" w:eastAsia="zh-CN"/>
        </w:rPr>
      </w:pPr>
      <w:bookmarkStart w:id="1405" w:name="_Toc16564"/>
      <w:bookmarkStart w:id="1406" w:name="_Toc95223529"/>
      <w:r>
        <w:rPr>
          <w:rFonts w:hint="eastAsia" w:ascii="宋体" w:hAnsi="宋体" w:cs="宋体"/>
          <w:color w:val="auto"/>
          <w:highlight w:val="none"/>
        </w:rPr>
        <w:t>4. 招标人推荐品牌</w:t>
      </w:r>
      <w:bookmarkEnd w:id="1405"/>
      <w:bookmarkEnd w:id="1406"/>
    </w:p>
    <w:p w14:paraId="512325E7">
      <w:pPr>
        <w:spacing w:before="20" w:after="20" w:line="540" w:lineRule="exact"/>
        <w:jc w:val="center"/>
        <w:rPr>
          <w:rFonts w:hint="eastAsia" w:ascii="宋体" w:hAnsi="宋体" w:cs="宋体"/>
          <w:color w:val="000000"/>
          <w:sz w:val="24"/>
          <w:szCs w:val="22"/>
        </w:rPr>
      </w:pPr>
      <w:bookmarkStart w:id="1407" w:name="_Toc4784276"/>
      <w:bookmarkEnd w:id="1407"/>
      <w:bookmarkStart w:id="1408" w:name="_Toc4784277"/>
      <w:bookmarkEnd w:id="1408"/>
      <w:bookmarkStart w:id="1409" w:name="_Toc4784273"/>
      <w:bookmarkEnd w:id="1409"/>
      <w:bookmarkStart w:id="1410" w:name="_Toc4784272"/>
      <w:bookmarkEnd w:id="1410"/>
      <w:bookmarkStart w:id="1411" w:name="_Toc95223530"/>
      <w:bookmarkStart w:id="1412" w:name="_Toc929"/>
      <w:bookmarkStart w:id="1413" w:name="_Toc19422"/>
      <w:bookmarkStart w:id="1414" w:name="_Toc95223531"/>
      <w:r>
        <w:rPr>
          <w:rFonts w:hint="eastAsia" w:ascii="宋体" w:hAnsi="宋体" w:cs="宋体"/>
          <w:b/>
          <w:color w:val="000000"/>
          <w:szCs w:val="21"/>
        </w:rPr>
        <w:t>品牌推荐表（如要求，严禁限定或者指定特定的专利、商标、品牌、原产地或者供应商）</w:t>
      </w:r>
      <w:bookmarkEnd w:id="1411"/>
      <w:bookmarkEnd w:id="1412"/>
      <w:bookmarkEnd w:id="1413"/>
    </w:p>
    <w:tbl>
      <w:tblPr>
        <w:tblStyle w:val="21"/>
        <w:tblW w:w="5000" w:type="pct"/>
        <w:jc w:val="center"/>
        <w:tblLayout w:type="autofit"/>
        <w:tblCellMar>
          <w:top w:w="0" w:type="dxa"/>
          <w:left w:w="108" w:type="dxa"/>
          <w:bottom w:w="0" w:type="dxa"/>
          <w:right w:w="108" w:type="dxa"/>
        </w:tblCellMar>
      </w:tblPr>
      <w:tblGrid>
        <w:gridCol w:w="761"/>
        <w:gridCol w:w="2423"/>
        <w:gridCol w:w="1492"/>
        <w:gridCol w:w="1492"/>
        <w:gridCol w:w="1492"/>
        <w:gridCol w:w="1492"/>
        <w:gridCol w:w="1194"/>
      </w:tblGrid>
      <w:tr w14:paraId="0C5E8BB2">
        <w:tblPrEx>
          <w:tblCellMar>
            <w:top w:w="0" w:type="dxa"/>
            <w:left w:w="108" w:type="dxa"/>
            <w:bottom w:w="0" w:type="dxa"/>
            <w:right w:w="108" w:type="dxa"/>
          </w:tblCellMar>
        </w:tblPrEx>
        <w:trPr>
          <w:trHeight w:val="463" w:hRule="atLeast"/>
          <w:jc w:val="center"/>
        </w:trPr>
        <w:tc>
          <w:tcPr>
            <w:tcW w:w="368" w:type="pct"/>
            <w:tcBorders>
              <w:top w:val="single" w:color="auto" w:sz="4" w:space="0"/>
              <w:left w:val="single" w:color="auto" w:sz="4" w:space="0"/>
              <w:bottom w:val="single" w:color="auto" w:sz="4" w:space="0"/>
              <w:right w:val="single" w:color="auto" w:sz="4" w:space="0"/>
            </w:tcBorders>
            <w:noWrap w:val="0"/>
            <w:vAlign w:val="center"/>
          </w:tcPr>
          <w:p w14:paraId="28220E27">
            <w:pPr>
              <w:widowControl/>
              <w:rPr>
                <w:rFonts w:hint="eastAsia" w:ascii="宋体" w:hAnsi="宋体" w:cs="宋体"/>
                <w:b/>
                <w:bCs/>
                <w:color w:val="000000"/>
                <w:kern w:val="0"/>
                <w:szCs w:val="21"/>
              </w:rPr>
            </w:pPr>
            <w:r>
              <w:rPr>
                <w:rFonts w:hint="eastAsia" w:ascii="宋体" w:hAnsi="宋体" w:cs="宋体"/>
                <w:b/>
                <w:bCs/>
                <w:color w:val="000000"/>
                <w:kern w:val="0"/>
                <w:szCs w:val="21"/>
              </w:rPr>
              <w:t>序号</w:t>
            </w:r>
          </w:p>
        </w:tc>
        <w:tc>
          <w:tcPr>
            <w:tcW w:w="1171" w:type="pct"/>
            <w:tcBorders>
              <w:top w:val="single" w:color="auto" w:sz="4" w:space="0"/>
              <w:left w:val="nil"/>
              <w:bottom w:val="single" w:color="auto" w:sz="4" w:space="0"/>
              <w:right w:val="single" w:color="auto" w:sz="4" w:space="0"/>
            </w:tcBorders>
            <w:noWrap w:val="0"/>
            <w:vAlign w:val="center"/>
          </w:tcPr>
          <w:p w14:paraId="6D9B3C80">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材料、设备名称</w:t>
            </w:r>
          </w:p>
        </w:tc>
        <w:tc>
          <w:tcPr>
            <w:tcW w:w="721" w:type="pct"/>
            <w:tcBorders>
              <w:top w:val="single" w:color="auto" w:sz="4" w:space="0"/>
              <w:left w:val="nil"/>
              <w:bottom w:val="single" w:color="auto" w:sz="4" w:space="0"/>
              <w:right w:val="single" w:color="auto" w:sz="4" w:space="0"/>
            </w:tcBorders>
            <w:noWrap w:val="0"/>
            <w:vAlign w:val="center"/>
          </w:tcPr>
          <w:p w14:paraId="54FC71C5">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品牌1</w:t>
            </w:r>
          </w:p>
        </w:tc>
        <w:tc>
          <w:tcPr>
            <w:tcW w:w="721" w:type="pct"/>
            <w:tcBorders>
              <w:top w:val="single" w:color="auto" w:sz="4" w:space="0"/>
              <w:left w:val="nil"/>
              <w:bottom w:val="single" w:color="auto" w:sz="4" w:space="0"/>
              <w:right w:val="single" w:color="auto" w:sz="4" w:space="0"/>
            </w:tcBorders>
            <w:noWrap w:val="0"/>
            <w:vAlign w:val="center"/>
          </w:tcPr>
          <w:p w14:paraId="219F6AD3">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品牌2</w:t>
            </w:r>
          </w:p>
        </w:tc>
        <w:tc>
          <w:tcPr>
            <w:tcW w:w="721" w:type="pct"/>
            <w:tcBorders>
              <w:top w:val="single" w:color="auto" w:sz="4" w:space="0"/>
              <w:left w:val="nil"/>
              <w:bottom w:val="single" w:color="auto" w:sz="4" w:space="0"/>
              <w:right w:val="single" w:color="auto" w:sz="4" w:space="0"/>
            </w:tcBorders>
            <w:noWrap w:val="0"/>
            <w:vAlign w:val="center"/>
          </w:tcPr>
          <w:p w14:paraId="2B7BFA54">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品牌3</w:t>
            </w:r>
          </w:p>
        </w:tc>
        <w:tc>
          <w:tcPr>
            <w:tcW w:w="721" w:type="pct"/>
            <w:tcBorders>
              <w:top w:val="single" w:color="auto" w:sz="4" w:space="0"/>
              <w:left w:val="nil"/>
              <w:bottom w:val="single" w:color="auto" w:sz="4" w:space="0"/>
              <w:right w:val="single" w:color="auto" w:sz="4" w:space="0"/>
            </w:tcBorders>
            <w:noWrap w:val="0"/>
            <w:vAlign w:val="center"/>
          </w:tcPr>
          <w:p w14:paraId="3EDB557E">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品牌4</w:t>
            </w:r>
          </w:p>
        </w:tc>
        <w:tc>
          <w:tcPr>
            <w:tcW w:w="577" w:type="pct"/>
            <w:tcBorders>
              <w:top w:val="single" w:color="auto" w:sz="4" w:space="0"/>
              <w:left w:val="nil"/>
              <w:bottom w:val="single" w:color="auto" w:sz="4" w:space="0"/>
              <w:right w:val="single" w:color="auto" w:sz="4" w:space="0"/>
            </w:tcBorders>
            <w:noWrap w:val="0"/>
            <w:vAlign w:val="center"/>
          </w:tcPr>
          <w:p w14:paraId="030E3EC0">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备注</w:t>
            </w:r>
          </w:p>
        </w:tc>
      </w:tr>
      <w:tr w14:paraId="5739E231">
        <w:tblPrEx>
          <w:tblCellMar>
            <w:top w:w="0" w:type="dxa"/>
            <w:left w:w="108" w:type="dxa"/>
            <w:bottom w:w="0" w:type="dxa"/>
            <w:right w:w="108" w:type="dxa"/>
          </w:tblCellMar>
        </w:tblPrEx>
        <w:trPr>
          <w:trHeight w:val="487" w:hRule="atLeast"/>
          <w:jc w:val="center"/>
        </w:trPr>
        <w:tc>
          <w:tcPr>
            <w:tcW w:w="368" w:type="pct"/>
            <w:tcBorders>
              <w:top w:val="nil"/>
              <w:left w:val="single" w:color="auto" w:sz="4" w:space="0"/>
              <w:bottom w:val="single" w:color="auto" w:sz="4" w:space="0"/>
              <w:right w:val="single" w:color="auto" w:sz="4" w:space="0"/>
            </w:tcBorders>
            <w:noWrap w:val="0"/>
            <w:vAlign w:val="center"/>
          </w:tcPr>
          <w:p w14:paraId="3B53C0B1">
            <w:pPr>
              <w:widowControl/>
              <w:jc w:val="center"/>
              <w:rPr>
                <w:rFonts w:hint="eastAsia" w:ascii="宋体" w:hAnsi="宋体" w:cs="宋体"/>
                <w:color w:val="000000"/>
                <w:kern w:val="0"/>
                <w:szCs w:val="21"/>
              </w:rPr>
            </w:pPr>
            <w:r>
              <w:rPr>
                <w:rFonts w:hint="eastAsia" w:ascii="宋体" w:hAnsi="宋体" w:cs="宋体"/>
                <w:color w:val="000000"/>
                <w:kern w:val="0"/>
                <w:szCs w:val="21"/>
              </w:rPr>
              <w:t>1</w:t>
            </w:r>
          </w:p>
        </w:tc>
        <w:tc>
          <w:tcPr>
            <w:tcW w:w="1171" w:type="pct"/>
            <w:tcBorders>
              <w:top w:val="nil"/>
              <w:left w:val="nil"/>
              <w:bottom w:val="single" w:color="auto" w:sz="4" w:space="0"/>
              <w:right w:val="single" w:color="auto" w:sz="4" w:space="0"/>
            </w:tcBorders>
            <w:noWrap w:val="0"/>
            <w:vAlign w:val="center"/>
          </w:tcPr>
          <w:p w14:paraId="635FF812">
            <w:pPr>
              <w:widowControl/>
              <w:rPr>
                <w:rFonts w:hint="eastAsia" w:ascii="宋体" w:hAnsi="宋体" w:cs="宋体"/>
                <w:color w:val="000000"/>
                <w:kern w:val="0"/>
                <w:szCs w:val="21"/>
              </w:rPr>
            </w:pPr>
          </w:p>
        </w:tc>
        <w:tc>
          <w:tcPr>
            <w:tcW w:w="721" w:type="pct"/>
            <w:tcBorders>
              <w:top w:val="single" w:color="auto" w:sz="4" w:space="0"/>
              <w:left w:val="nil"/>
              <w:bottom w:val="single" w:color="auto" w:sz="4" w:space="0"/>
              <w:right w:val="single" w:color="auto" w:sz="4" w:space="0"/>
            </w:tcBorders>
            <w:noWrap w:val="0"/>
            <w:vAlign w:val="center"/>
          </w:tcPr>
          <w:p w14:paraId="73D84F96">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3F285B77">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3FD70606">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55C586FA">
            <w:pPr>
              <w:rPr>
                <w:rFonts w:hint="eastAsia" w:ascii="宋体" w:hAnsi="宋体" w:cs="宋体"/>
                <w:color w:val="000000"/>
                <w:sz w:val="22"/>
              </w:rPr>
            </w:pPr>
          </w:p>
        </w:tc>
        <w:tc>
          <w:tcPr>
            <w:tcW w:w="577" w:type="pct"/>
            <w:tcBorders>
              <w:top w:val="nil"/>
              <w:left w:val="nil"/>
              <w:bottom w:val="single" w:color="auto" w:sz="4" w:space="0"/>
              <w:right w:val="single" w:color="auto" w:sz="4" w:space="0"/>
            </w:tcBorders>
            <w:noWrap w:val="0"/>
            <w:vAlign w:val="center"/>
          </w:tcPr>
          <w:p w14:paraId="6FF36AC5">
            <w:pPr>
              <w:widowControl/>
              <w:rPr>
                <w:rFonts w:hint="eastAsia" w:ascii="宋体" w:hAnsi="宋体" w:cs="宋体"/>
                <w:color w:val="000000"/>
                <w:kern w:val="0"/>
                <w:szCs w:val="21"/>
              </w:rPr>
            </w:pPr>
          </w:p>
        </w:tc>
      </w:tr>
      <w:tr w14:paraId="4F92B12D">
        <w:tblPrEx>
          <w:tblCellMar>
            <w:top w:w="0" w:type="dxa"/>
            <w:left w:w="108" w:type="dxa"/>
            <w:bottom w:w="0" w:type="dxa"/>
            <w:right w:w="108" w:type="dxa"/>
          </w:tblCellMar>
        </w:tblPrEx>
        <w:trPr>
          <w:trHeight w:val="487" w:hRule="atLeast"/>
          <w:jc w:val="center"/>
        </w:trPr>
        <w:tc>
          <w:tcPr>
            <w:tcW w:w="368" w:type="pct"/>
            <w:tcBorders>
              <w:top w:val="nil"/>
              <w:left w:val="single" w:color="auto" w:sz="4" w:space="0"/>
              <w:bottom w:val="single" w:color="auto" w:sz="4" w:space="0"/>
              <w:right w:val="single" w:color="auto" w:sz="4" w:space="0"/>
            </w:tcBorders>
            <w:noWrap w:val="0"/>
            <w:vAlign w:val="center"/>
          </w:tcPr>
          <w:p w14:paraId="6F9B25A4">
            <w:pPr>
              <w:widowControl/>
              <w:jc w:val="center"/>
              <w:rPr>
                <w:rFonts w:hint="eastAsia" w:ascii="宋体" w:hAnsi="宋体" w:cs="宋体"/>
                <w:color w:val="000000"/>
                <w:kern w:val="0"/>
                <w:szCs w:val="21"/>
              </w:rPr>
            </w:pPr>
            <w:r>
              <w:rPr>
                <w:rFonts w:hint="eastAsia" w:ascii="宋体" w:hAnsi="宋体" w:cs="宋体"/>
                <w:color w:val="000000"/>
                <w:kern w:val="0"/>
                <w:szCs w:val="21"/>
              </w:rPr>
              <w:t>2</w:t>
            </w:r>
          </w:p>
        </w:tc>
        <w:tc>
          <w:tcPr>
            <w:tcW w:w="1171" w:type="pct"/>
            <w:tcBorders>
              <w:top w:val="nil"/>
              <w:left w:val="nil"/>
              <w:bottom w:val="single" w:color="auto" w:sz="4" w:space="0"/>
              <w:right w:val="single" w:color="auto" w:sz="4" w:space="0"/>
            </w:tcBorders>
            <w:noWrap w:val="0"/>
            <w:vAlign w:val="center"/>
          </w:tcPr>
          <w:p w14:paraId="4AED813D">
            <w:pPr>
              <w:widowControl/>
              <w:rPr>
                <w:rFonts w:hint="eastAsia" w:ascii="宋体" w:hAnsi="宋体" w:cs="宋体"/>
                <w:color w:val="000000"/>
                <w:kern w:val="0"/>
                <w:szCs w:val="21"/>
              </w:rPr>
            </w:pPr>
          </w:p>
        </w:tc>
        <w:tc>
          <w:tcPr>
            <w:tcW w:w="721" w:type="pct"/>
            <w:tcBorders>
              <w:top w:val="single" w:color="auto" w:sz="4" w:space="0"/>
              <w:left w:val="nil"/>
              <w:bottom w:val="single" w:color="auto" w:sz="4" w:space="0"/>
              <w:right w:val="single" w:color="auto" w:sz="4" w:space="0"/>
            </w:tcBorders>
            <w:noWrap w:val="0"/>
            <w:vAlign w:val="center"/>
          </w:tcPr>
          <w:p w14:paraId="54FA39D9">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1E99AD1A">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42873C6E">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381DF896">
            <w:pPr>
              <w:rPr>
                <w:rFonts w:hint="eastAsia" w:ascii="宋体" w:hAnsi="宋体" w:cs="宋体"/>
                <w:color w:val="000000"/>
                <w:sz w:val="22"/>
              </w:rPr>
            </w:pPr>
          </w:p>
        </w:tc>
        <w:tc>
          <w:tcPr>
            <w:tcW w:w="577" w:type="pct"/>
            <w:tcBorders>
              <w:top w:val="nil"/>
              <w:left w:val="nil"/>
              <w:bottom w:val="single" w:color="auto" w:sz="4" w:space="0"/>
              <w:right w:val="single" w:color="auto" w:sz="4" w:space="0"/>
            </w:tcBorders>
            <w:noWrap w:val="0"/>
            <w:vAlign w:val="center"/>
          </w:tcPr>
          <w:p w14:paraId="7C088B51">
            <w:pPr>
              <w:widowControl/>
              <w:rPr>
                <w:rFonts w:hint="eastAsia" w:ascii="宋体" w:hAnsi="宋体" w:cs="宋体"/>
                <w:color w:val="000000"/>
                <w:kern w:val="0"/>
                <w:szCs w:val="21"/>
              </w:rPr>
            </w:pPr>
          </w:p>
        </w:tc>
      </w:tr>
      <w:tr w14:paraId="692E9422">
        <w:tblPrEx>
          <w:tblCellMar>
            <w:top w:w="0" w:type="dxa"/>
            <w:left w:w="108" w:type="dxa"/>
            <w:bottom w:w="0" w:type="dxa"/>
            <w:right w:w="108" w:type="dxa"/>
          </w:tblCellMar>
        </w:tblPrEx>
        <w:trPr>
          <w:trHeight w:val="487" w:hRule="atLeast"/>
          <w:jc w:val="center"/>
        </w:trPr>
        <w:tc>
          <w:tcPr>
            <w:tcW w:w="368" w:type="pct"/>
            <w:tcBorders>
              <w:top w:val="nil"/>
              <w:left w:val="single" w:color="auto" w:sz="4" w:space="0"/>
              <w:bottom w:val="single" w:color="auto" w:sz="4" w:space="0"/>
              <w:right w:val="single" w:color="auto" w:sz="4" w:space="0"/>
            </w:tcBorders>
            <w:noWrap w:val="0"/>
            <w:vAlign w:val="center"/>
          </w:tcPr>
          <w:p w14:paraId="34DD9037">
            <w:pPr>
              <w:widowControl/>
              <w:jc w:val="center"/>
              <w:rPr>
                <w:rFonts w:hint="eastAsia" w:ascii="宋体" w:hAnsi="宋体" w:cs="宋体"/>
                <w:color w:val="000000"/>
                <w:kern w:val="0"/>
                <w:szCs w:val="21"/>
              </w:rPr>
            </w:pPr>
            <w:r>
              <w:rPr>
                <w:rFonts w:hint="eastAsia" w:ascii="宋体" w:hAnsi="宋体" w:cs="宋体"/>
                <w:color w:val="000000"/>
                <w:kern w:val="0"/>
                <w:szCs w:val="21"/>
              </w:rPr>
              <w:t>3</w:t>
            </w:r>
          </w:p>
        </w:tc>
        <w:tc>
          <w:tcPr>
            <w:tcW w:w="1171" w:type="pct"/>
            <w:tcBorders>
              <w:top w:val="nil"/>
              <w:left w:val="nil"/>
              <w:bottom w:val="single" w:color="auto" w:sz="4" w:space="0"/>
              <w:right w:val="single" w:color="auto" w:sz="4" w:space="0"/>
            </w:tcBorders>
            <w:noWrap w:val="0"/>
            <w:vAlign w:val="center"/>
          </w:tcPr>
          <w:p w14:paraId="4DC2F69F">
            <w:pPr>
              <w:widowControl/>
              <w:rPr>
                <w:rFonts w:hint="eastAsia" w:ascii="宋体" w:hAnsi="宋体" w:cs="宋体"/>
                <w:color w:val="000000"/>
                <w:kern w:val="0"/>
                <w:szCs w:val="21"/>
              </w:rPr>
            </w:pPr>
          </w:p>
        </w:tc>
        <w:tc>
          <w:tcPr>
            <w:tcW w:w="721" w:type="pct"/>
            <w:tcBorders>
              <w:top w:val="single" w:color="auto" w:sz="4" w:space="0"/>
              <w:left w:val="nil"/>
              <w:bottom w:val="single" w:color="auto" w:sz="4" w:space="0"/>
              <w:right w:val="single" w:color="auto" w:sz="4" w:space="0"/>
            </w:tcBorders>
            <w:noWrap w:val="0"/>
            <w:vAlign w:val="center"/>
          </w:tcPr>
          <w:p w14:paraId="45C68CDE">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6BB84CA7">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795226B1">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6DB6956B">
            <w:pPr>
              <w:rPr>
                <w:rFonts w:hint="eastAsia" w:ascii="宋体" w:hAnsi="宋体" w:cs="宋体"/>
                <w:color w:val="000000"/>
                <w:sz w:val="22"/>
              </w:rPr>
            </w:pPr>
          </w:p>
        </w:tc>
        <w:tc>
          <w:tcPr>
            <w:tcW w:w="577" w:type="pct"/>
            <w:tcBorders>
              <w:top w:val="nil"/>
              <w:left w:val="nil"/>
              <w:bottom w:val="single" w:color="auto" w:sz="4" w:space="0"/>
              <w:right w:val="single" w:color="auto" w:sz="4" w:space="0"/>
            </w:tcBorders>
            <w:noWrap w:val="0"/>
            <w:vAlign w:val="center"/>
          </w:tcPr>
          <w:p w14:paraId="6BB2EDEE">
            <w:pPr>
              <w:widowControl/>
              <w:rPr>
                <w:rFonts w:hint="eastAsia" w:ascii="宋体" w:hAnsi="宋体" w:cs="宋体"/>
                <w:color w:val="000000"/>
                <w:kern w:val="0"/>
                <w:szCs w:val="21"/>
              </w:rPr>
            </w:pPr>
          </w:p>
        </w:tc>
      </w:tr>
      <w:tr w14:paraId="7AFB903D">
        <w:tblPrEx>
          <w:tblCellMar>
            <w:top w:w="0" w:type="dxa"/>
            <w:left w:w="108" w:type="dxa"/>
            <w:bottom w:w="0" w:type="dxa"/>
            <w:right w:w="108" w:type="dxa"/>
          </w:tblCellMar>
        </w:tblPrEx>
        <w:trPr>
          <w:trHeight w:val="487" w:hRule="atLeast"/>
          <w:jc w:val="center"/>
        </w:trPr>
        <w:tc>
          <w:tcPr>
            <w:tcW w:w="368" w:type="pct"/>
            <w:tcBorders>
              <w:top w:val="nil"/>
              <w:left w:val="single" w:color="auto" w:sz="4" w:space="0"/>
              <w:bottom w:val="single" w:color="auto" w:sz="4" w:space="0"/>
              <w:right w:val="single" w:color="auto" w:sz="4" w:space="0"/>
            </w:tcBorders>
            <w:noWrap w:val="0"/>
            <w:vAlign w:val="center"/>
          </w:tcPr>
          <w:p w14:paraId="0C49B466">
            <w:pPr>
              <w:widowControl/>
              <w:jc w:val="center"/>
              <w:rPr>
                <w:rFonts w:hint="eastAsia" w:ascii="宋体" w:hAnsi="宋体" w:cs="宋体"/>
                <w:color w:val="000000"/>
                <w:kern w:val="0"/>
                <w:szCs w:val="21"/>
              </w:rPr>
            </w:pPr>
            <w:r>
              <w:rPr>
                <w:rFonts w:hint="eastAsia" w:ascii="宋体" w:hAnsi="宋体" w:cs="宋体"/>
                <w:color w:val="000000"/>
                <w:kern w:val="0"/>
                <w:szCs w:val="21"/>
              </w:rPr>
              <w:t>4</w:t>
            </w:r>
          </w:p>
        </w:tc>
        <w:tc>
          <w:tcPr>
            <w:tcW w:w="1171" w:type="pct"/>
            <w:tcBorders>
              <w:top w:val="nil"/>
              <w:left w:val="nil"/>
              <w:bottom w:val="single" w:color="auto" w:sz="4" w:space="0"/>
              <w:right w:val="single" w:color="auto" w:sz="4" w:space="0"/>
            </w:tcBorders>
            <w:noWrap w:val="0"/>
            <w:vAlign w:val="center"/>
          </w:tcPr>
          <w:p w14:paraId="59059107">
            <w:pPr>
              <w:widowControl/>
              <w:rPr>
                <w:rFonts w:hint="eastAsia" w:ascii="宋体" w:hAnsi="宋体" w:cs="宋体"/>
                <w:color w:val="000000"/>
                <w:kern w:val="0"/>
                <w:szCs w:val="21"/>
              </w:rPr>
            </w:pPr>
          </w:p>
        </w:tc>
        <w:tc>
          <w:tcPr>
            <w:tcW w:w="721" w:type="pct"/>
            <w:tcBorders>
              <w:top w:val="single" w:color="auto" w:sz="4" w:space="0"/>
              <w:left w:val="nil"/>
              <w:bottom w:val="single" w:color="auto" w:sz="4" w:space="0"/>
              <w:right w:val="single" w:color="auto" w:sz="4" w:space="0"/>
            </w:tcBorders>
            <w:noWrap w:val="0"/>
            <w:vAlign w:val="center"/>
          </w:tcPr>
          <w:p w14:paraId="03C92CFF">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40E91623">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6D27DF76">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106A3D2E">
            <w:pPr>
              <w:rPr>
                <w:rFonts w:hint="eastAsia" w:ascii="宋体" w:hAnsi="宋体" w:cs="宋体"/>
                <w:color w:val="000000"/>
                <w:sz w:val="22"/>
              </w:rPr>
            </w:pPr>
          </w:p>
        </w:tc>
        <w:tc>
          <w:tcPr>
            <w:tcW w:w="577" w:type="pct"/>
            <w:tcBorders>
              <w:top w:val="nil"/>
              <w:left w:val="nil"/>
              <w:bottom w:val="single" w:color="auto" w:sz="4" w:space="0"/>
              <w:right w:val="single" w:color="auto" w:sz="4" w:space="0"/>
            </w:tcBorders>
            <w:noWrap w:val="0"/>
            <w:vAlign w:val="center"/>
          </w:tcPr>
          <w:p w14:paraId="67CC6614">
            <w:pPr>
              <w:widowControl/>
              <w:rPr>
                <w:rFonts w:hint="eastAsia" w:ascii="宋体" w:hAnsi="宋体" w:cs="宋体"/>
                <w:color w:val="000000"/>
                <w:kern w:val="0"/>
                <w:szCs w:val="21"/>
              </w:rPr>
            </w:pPr>
          </w:p>
        </w:tc>
      </w:tr>
      <w:tr w14:paraId="2CFFDA53">
        <w:tblPrEx>
          <w:tblCellMar>
            <w:top w:w="0" w:type="dxa"/>
            <w:left w:w="108" w:type="dxa"/>
            <w:bottom w:w="0" w:type="dxa"/>
            <w:right w:w="108" w:type="dxa"/>
          </w:tblCellMar>
        </w:tblPrEx>
        <w:trPr>
          <w:trHeight w:val="487" w:hRule="atLeast"/>
          <w:jc w:val="center"/>
        </w:trPr>
        <w:tc>
          <w:tcPr>
            <w:tcW w:w="368" w:type="pct"/>
            <w:tcBorders>
              <w:top w:val="nil"/>
              <w:left w:val="single" w:color="auto" w:sz="4" w:space="0"/>
              <w:bottom w:val="single" w:color="auto" w:sz="4" w:space="0"/>
              <w:right w:val="single" w:color="auto" w:sz="4" w:space="0"/>
            </w:tcBorders>
            <w:noWrap w:val="0"/>
            <w:vAlign w:val="center"/>
          </w:tcPr>
          <w:p w14:paraId="1FD75E21">
            <w:pPr>
              <w:widowControl/>
              <w:jc w:val="center"/>
              <w:rPr>
                <w:rFonts w:hint="eastAsia" w:ascii="宋体" w:hAnsi="宋体" w:cs="宋体"/>
                <w:color w:val="000000"/>
                <w:kern w:val="0"/>
                <w:szCs w:val="21"/>
              </w:rPr>
            </w:pPr>
            <w:r>
              <w:rPr>
                <w:rFonts w:hint="eastAsia" w:ascii="宋体" w:hAnsi="宋体" w:cs="宋体"/>
                <w:color w:val="000000"/>
                <w:kern w:val="0"/>
                <w:szCs w:val="21"/>
              </w:rPr>
              <w:t>5</w:t>
            </w:r>
          </w:p>
        </w:tc>
        <w:tc>
          <w:tcPr>
            <w:tcW w:w="1171" w:type="pct"/>
            <w:tcBorders>
              <w:top w:val="nil"/>
              <w:left w:val="nil"/>
              <w:bottom w:val="single" w:color="auto" w:sz="4" w:space="0"/>
              <w:right w:val="single" w:color="auto" w:sz="4" w:space="0"/>
            </w:tcBorders>
            <w:noWrap w:val="0"/>
            <w:vAlign w:val="center"/>
          </w:tcPr>
          <w:p w14:paraId="0B35D744">
            <w:pPr>
              <w:widowControl/>
              <w:rPr>
                <w:rFonts w:hint="eastAsia" w:ascii="宋体" w:hAnsi="宋体" w:cs="宋体"/>
                <w:color w:val="000000"/>
                <w:kern w:val="0"/>
                <w:szCs w:val="21"/>
              </w:rPr>
            </w:pPr>
          </w:p>
        </w:tc>
        <w:tc>
          <w:tcPr>
            <w:tcW w:w="721" w:type="pct"/>
            <w:tcBorders>
              <w:top w:val="single" w:color="auto" w:sz="4" w:space="0"/>
              <w:left w:val="nil"/>
              <w:bottom w:val="single" w:color="auto" w:sz="4" w:space="0"/>
              <w:right w:val="single" w:color="auto" w:sz="4" w:space="0"/>
            </w:tcBorders>
            <w:noWrap w:val="0"/>
            <w:vAlign w:val="center"/>
          </w:tcPr>
          <w:p w14:paraId="107C2FBE">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4DE00219">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06CF685C">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0ABD3091">
            <w:pPr>
              <w:rPr>
                <w:rFonts w:hint="eastAsia" w:ascii="宋体" w:hAnsi="宋体" w:cs="宋体"/>
                <w:color w:val="000000"/>
                <w:sz w:val="22"/>
              </w:rPr>
            </w:pPr>
          </w:p>
        </w:tc>
        <w:tc>
          <w:tcPr>
            <w:tcW w:w="577" w:type="pct"/>
            <w:tcBorders>
              <w:top w:val="nil"/>
              <w:left w:val="nil"/>
              <w:bottom w:val="single" w:color="auto" w:sz="4" w:space="0"/>
              <w:right w:val="single" w:color="auto" w:sz="4" w:space="0"/>
            </w:tcBorders>
            <w:noWrap w:val="0"/>
            <w:vAlign w:val="center"/>
          </w:tcPr>
          <w:p w14:paraId="3F37DCB4">
            <w:pPr>
              <w:widowControl/>
              <w:rPr>
                <w:rFonts w:hint="eastAsia" w:ascii="宋体" w:hAnsi="宋体" w:cs="宋体"/>
                <w:color w:val="000000"/>
                <w:kern w:val="0"/>
                <w:szCs w:val="21"/>
              </w:rPr>
            </w:pPr>
          </w:p>
        </w:tc>
      </w:tr>
      <w:tr w14:paraId="0D70421A">
        <w:tblPrEx>
          <w:tblCellMar>
            <w:top w:w="0" w:type="dxa"/>
            <w:left w:w="108" w:type="dxa"/>
            <w:bottom w:w="0" w:type="dxa"/>
            <w:right w:w="108" w:type="dxa"/>
          </w:tblCellMar>
        </w:tblPrEx>
        <w:trPr>
          <w:trHeight w:val="487" w:hRule="atLeast"/>
          <w:jc w:val="center"/>
        </w:trPr>
        <w:tc>
          <w:tcPr>
            <w:tcW w:w="368" w:type="pct"/>
            <w:tcBorders>
              <w:top w:val="nil"/>
              <w:left w:val="single" w:color="auto" w:sz="4" w:space="0"/>
              <w:bottom w:val="single" w:color="auto" w:sz="4" w:space="0"/>
              <w:right w:val="single" w:color="auto" w:sz="4" w:space="0"/>
            </w:tcBorders>
            <w:noWrap w:val="0"/>
            <w:vAlign w:val="center"/>
          </w:tcPr>
          <w:p w14:paraId="613A4706">
            <w:pPr>
              <w:widowControl/>
              <w:jc w:val="center"/>
              <w:rPr>
                <w:rFonts w:hint="eastAsia" w:ascii="宋体" w:hAnsi="宋体" w:cs="宋体"/>
                <w:color w:val="000000"/>
                <w:kern w:val="0"/>
                <w:szCs w:val="21"/>
              </w:rPr>
            </w:pPr>
            <w:r>
              <w:rPr>
                <w:rFonts w:hint="eastAsia" w:ascii="宋体" w:hAnsi="宋体" w:cs="宋体"/>
                <w:color w:val="000000"/>
                <w:kern w:val="0"/>
                <w:szCs w:val="21"/>
              </w:rPr>
              <w:t>6</w:t>
            </w:r>
          </w:p>
        </w:tc>
        <w:tc>
          <w:tcPr>
            <w:tcW w:w="1171" w:type="pct"/>
            <w:tcBorders>
              <w:top w:val="nil"/>
              <w:left w:val="nil"/>
              <w:bottom w:val="single" w:color="auto" w:sz="4" w:space="0"/>
              <w:right w:val="single" w:color="auto" w:sz="4" w:space="0"/>
            </w:tcBorders>
            <w:noWrap w:val="0"/>
            <w:vAlign w:val="center"/>
          </w:tcPr>
          <w:p w14:paraId="12C5F299">
            <w:pPr>
              <w:widowControl/>
              <w:rPr>
                <w:rFonts w:hint="eastAsia" w:ascii="宋体" w:hAnsi="宋体" w:cs="宋体"/>
                <w:color w:val="000000"/>
                <w:kern w:val="0"/>
                <w:szCs w:val="21"/>
              </w:rPr>
            </w:pPr>
          </w:p>
        </w:tc>
        <w:tc>
          <w:tcPr>
            <w:tcW w:w="721" w:type="pct"/>
            <w:tcBorders>
              <w:top w:val="single" w:color="auto" w:sz="4" w:space="0"/>
              <w:left w:val="nil"/>
              <w:bottom w:val="single" w:color="auto" w:sz="4" w:space="0"/>
              <w:right w:val="single" w:color="auto" w:sz="4" w:space="0"/>
            </w:tcBorders>
            <w:noWrap w:val="0"/>
            <w:vAlign w:val="center"/>
          </w:tcPr>
          <w:p w14:paraId="423C8C91">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63005B92">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6D1F6B4D">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119ADEA8">
            <w:pPr>
              <w:rPr>
                <w:rFonts w:hint="eastAsia" w:ascii="宋体" w:hAnsi="宋体" w:cs="宋体"/>
                <w:color w:val="000000"/>
                <w:sz w:val="22"/>
              </w:rPr>
            </w:pPr>
          </w:p>
        </w:tc>
        <w:tc>
          <w:tcPr>
            <w:tcW w:w="577" w:type="pct"/>
            <w:tcBorders>
              <w:top w:val="nil"/>
              <w:left w:val="nil"/>
              <w:bottom w:val="single" w:color="auto" w:sz="4" w:space="0"/>
              <w:right w:val="single" w:color="auto" w:sz="4" w:space="0"/>
            </w:tcBorders>
            <w:noWrap w:val="0"/>
            <w:vAlign w:val="center"/>
          </w:tcPr>
          <w:p w14:paraId="4C7CB6A8">
            <w:pPr>
              <w:widowControl/>
              <w:rPr>
                <w:rFonts w:hint="eastAsia" w:ascii="宋体" w:hAnsi="宋体" w:cs="宋体"/>
                <w:color w:val="000000"/>
                <w:kern w:val="0"/>
                <w:szCs w:val="21"/>
              </w:rPr>
            </w:pPr>
          </w:p>
        </w:tc>
      </w:tr>
      <w:tr w14:paraId="52AF52BA">
        <w:trPr>
          <w:trHeight w:val="487" w:hRule="atLeast"/>
          <w:jc w:val="center"/>
        </w:trPr>
        <w:tc>
          <w:tcPr>
            <w:tcW w:w="368" w:type="pct"/>
            <w:tcBorders>
              <w:top w:val="nil"/>
              <w:left w:val="single" w:color="auto" w:sz="4" w:space="0"/>
              <w:bottom w:val="single" w:color="auto" w:sz="4" w:space="0"/>
              <w:right w:val="single" w:color="auto" w:sz="4" w:space="0"/>
            </w:tcBorders>
            <w:noWrap w:val="0"/>
            <w:vAlign w:val="center"/>
          </w:tcPr>
          <w:p w14:paraId="67A9775B">
            <w:pPr>
              <w:widowControl/>
              <w:jc w:val="center"/>
              <w:rPr>
                <w:rFonts w:hint="eastAsia" w:ascii="宋体" w:hAnsi="宋体" w:cs="宋体"/>
                <w:color w:val="000000"/>
                <w:kern w:val="0"/>
                <w:szCs w:val="21"/>
              </w:rPr>
            </w:pPr>
          </w:p>
        </w:tc>
        <w:tc>
          <w:tcPr>
            <w:tcW w:w="1171" w:type="pct"/>
            <w:tcBorders>
              <w:top w:val="nil"/>
              <w:left w:val="nil"/>
              <w:bottom w:val="single" w:color="auto" w:sz="4" w:space="0"/>
              <w:right w:val="single" w:color="auto" w:sz="4" w:space="0"/>
            </w:tcBorders>
            <w:noWrap w:val="0"/>
            <w:vAlign w:val="center"/>
          </w:tcPr>
          <w:p w14:paraId="1140045B">
            <w:pPr>
              <w:widowControl/>
              <w:rPr>
                <w:rFonts w:hint="eastAsia" w:ascii="宋体" w:hAnsi="宋体" w:cs="宋体"/>
                <w:color w:val="000000"/>
                <w:kern w:val="0"/>
                <w:szCs w:val="21"/>
              </w:rPr>
            </w:pPr>
          </w:p>
        </w:tc>
        <w:tc>
          <w:tcPr>
            <w:tcW w:w="721" w:type="pct"/>
            <w:tcBorders>
              <w:top w:val="single" w:color="auto" w:sz="4" w:space="0"/>
              <w:left w:val="nil"/>
              <w:bottom w:val="single" w:color="auto" w:sz="4" w:space="0"/>
              <w:right w:val="single" w:color="auto" w:sz="4" w:space="0"/>
            </w:tcBorders>
            <w:noWrap w:val="0"/>
            <w:vAlign w:val="center"/>
          </w:tcPr>
          <w:p w14:paraId="3E80C9BC">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6A78B542">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6A167C6C">
            <w:pPr>
              <w:rPr>
                <w:rFonts w:hint="eastAsia" w:ascii="宋体" w:hAnsi="宋体" w:cs="宋体"/>
                <w:color w:val="000000"/>
                <w:sz w:val="22"/>
              </w:rPr>
            </w:pPr>
          </w:p>
        </w:tc>
        <w:tc>
          <w:tcPr>
            <w:tcW w:w="721" w:type="pct"/>
            <w:tcBorders>
              <w:top w:val="single" w:color="auto" w:sz="4" w:space="0"/>
              <w:left w:val="nil"/>
              <w:bottom w:val="single" w:color="auto" w:sz="4" w:space="0"/>
              <w:right w:val="single" w:color="auto" w:sz="4" w:space="0"/>
            </w:tcBorders>
            <w:noWrap w:val="0"/>
            <w:vAlign w:val="center"/>
          </w:tcPr>
          <w:p w14:paraId="21FDB568">
            <w:pPr>
              <w:rPr>
                <w:rFonts w:hint="eastAsia" w:ascii="宋体" w:hAnsi="宋体" w:cs="宋体"/>
                <w:color w:val="000000"/>
                <w:sz w:val="22"/>
              </w:rPr>
            </w:pPr>
          </w:p>
        </w:tc>
        <w:tc>
          <w:tcPr>
            <w:tcW w:w="577" w:type="pct"/>
            <w:tcBorders>
              <w:top w:val="nil"/>
              <w:left w:val="nil"/>
              <w:bottom w:val="single" w:color="auto" w:sz="4" w:space="0"/>
              <w:right w:val="single" w:color="auto" w:sz="4" w:space="0"/>
            </w:tcBorders>
            <w:noWrap w:val="0"/>
            <w:vAlign w:val="center"/>
          </w:tcPr>
          <w:p w14:paraId="4E3B4D2E">
            <w:pPr>
              <w:widowControl/>
              <w:rPr>
                <w:rFonts w:hint="eastAsia" w:ascii="宋体" w:hAnsi="宋体" w:cs="宋体"/>
                <w:color w:val="000000"/>
                <w:kern w:val="0"/>
                <w:szCs w:val="21"/>
              </w:rPr>
            </w:pPr>
          </w:p>
        </w:tc>
      </w:tr>
    </w:tbl>
    <w:p w14:paraId="1EBBAA19">
      <w:pPr>
        <w:adjustRightInd w:val="0"/>
        <w:snapToGrid w:val="0"/>
        <w:spacing w:line="520" w:lineRule="exac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注：1、对于招标人推荐品牌的材料、设备，投标人可选用推荐品牌或不低于推荐品牌技术性能指标的其他品牌。未在招标人推荐的材料品牌响应表中注明或未提供相关技术参数、业绩，或经评标委员会评审未通过的，中标后只能从招标人推荐品牌中进行选择，价格不予调整。</w:t>
      </w:r>
    </w:p>
    <w:p w14:paraId="39A884C7">
      <w:pPr>
        <w:adjustRightInd w:val="0"/>
        <w:snapToGrid w:val="0"/>
        <w:spacing w:line="520" w:lineRule="exact"/>
        <w:rPr>
          <w:rFonts w:hint="eastAsia"/>
          <w:color w:val="auto"/>
          <w:highlight w:val="none"/>
        </w:rPr>
      </w:pPr>
      <w:r>
        <w:rPr>
          <w:rFonts w:hint="eastAsia" w:ascii="宋体" w:hAnsi="宋体" w:cs="宋体"/>
          <w:b w:val="0"/>
          <w:bCs w:val="0"/>
          <w:color w:val="auto"/>
          <w:kern w:val="0"/>
          <w:szCs w:val="21"/>
          <w:highlight w:val="none"/>
          <w:lang w:val="en-US" w:eastAsia="zh-CN"/>
        </w:rPr>
        <w:t>2.</w:t>
      </w:r>
      <w:r>
        <w:rPr>
          <w:rFonts w:hint="eastAsia" w:ascii="宋体" w:hAnsi="宋体" w:eastAsia="宋体" w:cs="宋体"/>
          <w:b w:val="0"/>
          <w:bCs w:val="0"/>
          <w:color w:val="auto"/>
          <w:kern w:val="0"/>
          <w:szCs w:val="21"/>
          <w:highlight w:val="none"/>
          <w:lang w:val="en-US" w:eastAsia="zh-CN"/>
        </w:rPr>
        <w:t>如本项目招标文件中出现特定性、唯一性品牌的表述，该品牌仅作为参考</w:t>
      </w:r>
      <w:r>
        <w:rPr>
          <w:rFonts w:hint="eastAsia" w:ascii="宋体" w:hAnsi="宋体" w:cs="宋体"/>
          <w:b w:val="0"/>
          <w:bCs w:val="0"/>
          <w:color w:val="auto"/>
          <w:kern w:val="0"/>
          <w:szCs w:val="21"/>
          <w:highlight w:val="none"/>
          <w:lang w:val="en-US" w:eastAsia="zh-CN"/>
        </w:rPr>
        <w:t>，在</w:t>
      </w:r>
      <w:r>
        <w:rPr>
          <w:rFonts w:hint="eastAsia" w:ascii="宋体" w:hAnsi="宋体" w:eastAsia="宋体" w:cs="宋体"/>
          <w:b w:val="0"/>
          <w:bCs w:val="0"/>
          <w:color w:val="auto"/>
          <w:kern w:val="0"/>
          <w:szCs w:val="21"/>
          <w:highlight w:val="none"/>
          <w:lang w:val="en-US" w:eastAsia="zh-CN"/>
        </w:rPr>
        <w:t>施工过程中不具有限定性。对于招标人推荐品牌的材料、设备等，投标人如认 为招标人推荐的品牌有限定性、唯一性、明显不在同一档次等级的或者其他疑问的，应在本项目异议提出的截止时间前通过电子交易系统向招标人提出。</w:t>
      </w:r>
      <w:r>
        <w:rPr>
          <w:rFonts w:hint="eastAsia"/>
          <w:color w:val="auto"/>
          <w:highlight w:val="none"/>
        </w:rPr>
        <w:br w:type="page"/>
      </w:r>
    </w:p>
    <w:p w14:paraId="3161E865">
      <w:pPr>
        <w:pStyle w:val="3"/>
        <w:adjustRightInd w:val="0"/>
        <w:snapToGrid w:val="0"/>
        <w:spacing w:before="0" w:after="0" w:line="560" w:lineRule="exact"/>
        <w:jc w:val="center"/>
        <w:rPr>
          <w:rFonts w:hint="eastAsia"/>
          <w:color w:val="auto"/>
          <w:highlight w:val="none"/>
        </w:rPr>
      </w:pPr>
      <w:r>
        <w:rPr>
          <w:rFonts w:hint="eastAsia"/>
          <w:color w:val="auto"/>
          <w:highlight w:val="none"/>
        </w:rPr>
        <w:t>第九章   投标文件格式</w:t>
      </w:r>
      <w:bookmarkEnd w:id="1414"/>
    </w:p>
    <w:p w14:paraId="19B0B949">
      <w:pPr>
        <w:adjustRightInd w:val="0"/>
        <w:snapToGrid w:val="0"/>
        <w:spacing w:line="560" w:lineRule="exact"/>
        <w:rPr>
          <w:rFonts w:hint="eastAsia"/>
          <w:color w:val="auto"/>
          <w:highlight w:val="none"/>
        </w:rPr>
      </w:pPr>
    </w:p>
    <w:p w14:paraId="34C1057A">
      <w:pPr>
        <w:adjustRightInd w:val="0"/>
        <w:snapToGrid w:val="0"/>
        <w:spacing w:line="560" w:lineRule="exact"/>
        <w:rPr>
          <w:rFonts w:hint="eastAsia"/>
          <w:color w:val="auto"/>
          <w:highlight w:val="none"/>
        </w:rPr>
      </w:pPr>
    </w:p>
    <w:p w14:paraId="55242FCC">
      <w:pPr>
        <w:adjustRightInd w:val="0"/>
        <w:snapToGrid w:val="0"/>
        <w:spacing w:line="560" w:lineRule="exact"/>
        <w:rPr>
          <w:rFonts w:hint="eastAsia"/>
          <w:color w:val="auto"/>
          <w:highlight w:val="none"/>
        </w:rPr>
      </w:pPr>
    </w:p>
    <w:p w14:paraId="02887CC0">
      <w:pPr>
        <w:adjustRightInd w:val="0"/>
        <w:snapToGrid w:val="0"/>
        <w:spacing w:line="560" w:lineRule="exact"/>
        <w:jc w:val="center"/>
        <w:rPr>
          <w:rFonts w:hint="eastAsia" w:eastAsia="黑体"/>
          <w:color w:val="auto"/>
          <w:sz w:val="20"/>
          <w:szCs w:val="20"/>
          <w:highlight w:val="none"/>
        </w:rPr>
      </w:pPr>
      <w:r>
        <w:rPr>
          <w:rFonts w:hint="eastAsia" w:eastAsia="黑体"/>
          <w:color w:val="auto"/>
          <w:sz w:val="28"/>
          <w:szCs w:val="28"/>
          <w:highlight w:val="none"/>
          <w:u w:val="single"/>
        </w:rPr>
        <w:t xml:space="preserve"> </w:t>
      </w:r>
      <w:bookmarkStart w:id="1415" w:name="_Toc15058933"/>
      <w:bookmarkStart w:id="1416" w:name="_Toc60061573"/>
      <w:bookmarkStart w:id="1417" w:name="_Toc484173788"/>
      <w:bookmarkStart w:id="1418" w:name="_Toc506107339"/>
      <w:r>
        <w:rPr>
          <w:rFonts w:hint="eastAsia" w:eastAsia="黑体"/>
          <w:color w:val="auto"/>
          <w:sz w:val="28"/>
          <w:szCs w:val="28"/>
          <w:highlight w:val="none"/>
          <w:u w:val="single"/>
        </w:rPr>
        <w:t xml:space="preserve">            </w:t>
      </w:r>
      <w:bookmarkEnd w:id="1415"/>
      <w:bookmarkEnd w:id="1416"/>
      <w:bookmarkEnd w:id="1417"/>
      <w:bookmarkEnd w:id="1418"/>
      <w:r>
        <w:rPr>
          <w:rFonts w:hint="eastAsia" w:eastAsia="黑体"/>
          <w:color w:val="auto"/>
          <w:sz w:val="28"/>
          <w:szCs w:val="28"/>
          <w:highlight w:val="none"/>
          <w:u w:val="single"/>
        </w:rPr>
        <w:t xml:space="preserve">   </w:t>
      </w:r>
      <w:r>
        <w:rPr>
          <w:rFonts w:eastAsia="黑体"/>
          <w:color w:val="auto"/>
          <w:sz w:val="28"/>
          <w:szCs w:val="28"/>
          <w:highlight w:val="none"/>
        </w:rPr>
        <w:t>（项目名称</w:t>
      </w:r>
      <w:bookmarkStart w:id="1419" w:name="_Toc247085872"/>
      <w:bookmarkStart w:id="1420" w:name="_Toc144974855"/>
      <w:bookmarkStart w:id="1421" w:name="_Toc152045786"/>
      <w:bookmarkStart w:id="1422" w:name="_Toc246997097"/>
      <w:bookmarkStart w:id="1423" w:name="_Toc179632806"/>
      <w:bookmarkStart w:id="1424" w:name="_Toc152042575"/>
      <w:bookmarkStart w:id="1425" w:name="_Toc246996354"/>
      <w:r>
        <w:rPr>
          <w:rFonts w:eastAsia="黑体"/>
          <w:color w:val="auto"/>
          <w:sz w:val="28"/>
          <w:szCs w:val="28"/>
          <w:highlight w:val="none"/>
        </w:rPr>
        <w:t>）</w:t>
      </w:r>
      <w:bookmarkStart w:id="1426" w:name="_Toc60061574"/>
      <w:bookmarkStart w:id="1427" w:name="_Toc506107340"/>
      <w:bookmarkStart w:id="1428" w:name="_Toc15058934"/>
      <w:bookmarkStart w:id="1429" w:name="_Toc324404888"/>
    </w:p>
    <w:p w14:paraId="153788DE">
      <w:pPr>
        <w:adjustRightInd w:val="0"/>
        <w:snapToGrid w:val="0"/>
        <w:spacing w:line="560" w:lineRule="exact"/>
        <w:jc w:val="center"/>
        <w:rPr>
          <w:rFonts w:hint="eastAsia" w:eastAsia="黑体"/>
          <w:color w:val="auto"/>
          <w:sz w:val="20"/>
          <w:szCs w:val="20"/>
          <w:highlight w:val="none"/>
        </w:rPr>
      </w:pPr>
    </w:p>
    <w:p w14:paraId="0E5F62D6">
      <w:pPr>
        <w:adjustRightInd w:val="0"/>
        <w:snapToGrid w:val="0"/>
        <w:spacing w:line="560" w:lineRule="exact"/>
        <w:jc w:val="center"/>
        <w:rPr>
          <w:rFonts w:hint="eastAsia" w:eastAsia="黑体"/>
          <w:color w:val="auto"/>
          <w:sz w:val="20"/>
          <w:szCs w:val="20"/>
          <w:highlight w:val="none"/>
        </w:rPr>
      </w:pPr>
    </w:p>
    <w:p w14:paraId="560E793E">
      <w:pPr>
        <w:adjustRightInd w:val="0"/>
        <w:snapToGrid w:val="0"/>
        <w:spacing w:line="560" w:lineRule="exact"/>
        <w:jc w:val="center"/>
        <w:rPr>
          <w:rFonts w:hint="eastAsia" w:eastAsia="黑体"/>
          <w:color w:val="auto"/>
          <w:sz w:val="20"/>
          <w:szCs w:val="20"/>
          <w:highlight w:val="none"/>
        </w:rPr>
      </w:pPr>
    </w:p>
    <w:p w14:paraId="1D0F0729">
      <w:pPr>
        <w:adjustRightInd w:val="0"/>
        <w:snapToGrid w:val="0"/>
        <w:spacing w:line="560" w:lineRule="exact"/>
        <w:rPr>
          <w:rFonts w:hint="eastAsia" w:eastAsia="黑体"/>
          <w:color w:val="auto"/>
          <w:sz w:val="20"/>
          <w:szCs w:val="20"/>
          <w:highlight w:val="none"/>
        </w:rPr>
      </w:pPr>
    </w:p>
    <w:p w14:paraId="2755FF21">
      <w:pPr>
        <w:adjustRightInd w:val="0"/>
        <w:snapToGrid w:val="0"/>
        <w:spacing w:line="560" w:lineRule="exact"/>
        <w:jc w:val="center"/>
        <w:rPr>
          <w:rFonts w:hint="eastAsia" w:eastAsia="黑体"/>
          <w:color w:val="auto"/>
          <w:sz w:val="44"/>
          <w:szCs w:val="44"/>
          <w:highlight w:val="none"/>
        </w:rPr>
      </w:pPr>
      <w:r>
        <w:rPr>
          <w:rFonts w:eastAsia="黑体"/>
          <w:color w:val="auto"/>
          <w:sz w:val="44"/>
          <w:szCs w:val="44"/>
          <w:highlight w:val="none"/>
        </w:rPr>
        <w:t>投  标  文</w:t>
      </w:r>
      <w:bookmarkEnd w:id="1419"/>
      <w:bookmarkEnd w:id="1420"/>
      <w:bookmarkEnd w:id="1421"/>
      <w:bookmarkEnd w:id="1422"/>
      <w:bookmarkEnd w:id="1423"/>
      <w:bookmarkEnd w:id="1424"/>
      <w:bookmarkEnd w:id="1425"/>
      <w:bookmarkEnd w:id="1426"/>
      <w:bookmarkEnd w:id="1427"/>
      <w:bookmarkEnd w:id="1428"/>
      <w:bookmarkEnd w:id="1429"/>
      <w:r>
        <w:rPr>
          <w:rFonts w:eastAsia="黑体"/>
          <w:color w:val="auto"/>
          <w:sz w:val="44"/>
          <w:szCs w:val="44"/>
          <w:highlight w:val="none"/>
        </w:rPr>
        <w:t xml:space="preserve">  件</w:t>
      </w:r>
      <w:r>
        <w:rPr>
          <w:rFonts w:hint="eastAsia" w:eastAsia="黑体"/>
          <w:color w:val="auto"/>
          <w:sz w:val="44"/>
          <w:szCs w:val="44"/>
          <w:highlight w:val="none"/>
        </w:rPr>
        <w:t xml:space="preserve"> 一</w:t>
      </w:r>
    </w:p>
    <w:p w14:paraId="10B57596">
      <w:pPr>
        <w:adjustRightInd w:val="0"/>
        <w:snapToGrid w:val="0"/>
        <w:spacing w:line="560" w:lineRule="exact"/>
        <w:jc w:val="center"/>
        <w:rPr>
          <w:rFonts w:hint="eastAsia" w:eastAsia="黑体"/>
          <w:color w:val="auto"/>
          <w:sz w:val="44"/>
          <w:szCs w:val="44"/>
          <w:highlight w:val="none"/>
        </w:rPr>
      </w:pPr>
      <w:r>
        <w:rPr>
          <w:rFonts w:hint="eastAsia" w:eastAsia="黑体"/>
          <w:color w:val="auto"/>
          <w:sz w:val="44"/>
          <w:szCs w:val="44"/>
          <w:highlight w:val="none"/>
        </w:rPr>
        <w:t>（资信证明文件）</w:t>
      </w:r>
    </w:p>
    <w:p w14:paraId="7A8FFA3A">
      <w:pPr>
        <w:adjustRightInd w:val="0"/>
        <w:snapToGrid w:val="0"/>
        <w:spacing w:line="560" w:lineRule="exact"/>
        <w:rPr>
          <w:rFonts w:hint="eastAsia" w:eastAsia="黑体"/>
          <w:color w:val="auto"/>
          <w:sz w:val="28"/>
          <w:szCs w:val="28"/>
          <w:highlight w:val="none"/>
        </w:rPr>
      </w:pPr>
    </w:p>
    <w:p w14:paraId="3FCABD25">
      <w:pPr>
        <w:adjustRightInd w:val="0"/>
        <w:snapToGrid w:val="0"/>
        <w:spacing w:line="560" w:lineRule="exact"/>
        <w:rPr>
          <w:rFonts w:eastAsia="黑体"/>
          <w:color w:val="auto"/>
          <w:sz w:val="28"/>
          <w:szCs w:val="28"/>
          <w:highlight w:val="none"/>
        </w:rPr>
      </w:pPr>
    </w:p>
    <w:p w14:paraId="700A5D6D">
      <w:pPr>
        <w:adjustRightInd w:val="0"/>
        <w:snapToGrid w:val="0"/>
        <w:spacing w:line="560" w:lineRule="exact"/>
        <w:rPr>
          <w:rFonts w:eastAsia="黑体"/>
          <w:color w:val="auto"/>
          <w:sz w:val="28"/>
          <w:szCs w:val="28"/>
          <w:highlight w:val="none"/>
        </w:rPr>
      </w:pPr>
    </w:p>
    <w:p w14:paraId="08FA94C3">
      <w:pPr>
        <w:adjustRightInd w:val="0"/>
        <w:snapToGrid w:val="0"/>
        <w:spacing w:line="560" w:lineRule="exact"/>
        <w:rPr>
          <w:rFonts w:eastAsia="黑体"/>
          <w:color w:val="auto"/>
          <w:sz w:val="28"/>
          <w:szCs w:val="28"/>
          <w:highlight w:val="none"/>
        </w:rPr>
      </w:pPr>
    </w:p>
    <w:p w14:paraId="0022E04B">
      <w:pPr>
        <w:adjustRightInd w:val="0"/>
        <w:snapToGrid w:val="0"/>
        <w:spacing w:line="560" w:lineRule="exact"/>
        <w:rPr>
          <w:rFonts w:hint="eastAsia" w:eastAsia="黑体"/>
          <w:color w:val="auto"/>
          <w:sz w:val="28"/>
          <w:szCs w:val="28"/>
          <w:highlight w:val="none"/>
        </w:rPr>
      </w:pPr>
    </w:p>
    <w:p w14:paraId="565690CD">
      <w:pPr>
        <w:adjustRightInd w:val="0"/>
        <w:snapToGrid w:val="0"/>
        <w:spacing w:line="560" w:lineRule="exact"/>
        <w:rPr>
          <w:rFonts w:hint="eastAsia" w:eastAsia="黑体"/>
          <w:color w:val="auto"/>
          <w:sz w:val="28"/>
          <w:szCs w:val="28"/>
          <w:highlight w:val="none"/>
        </w:rPr>
      </w:pPr>
    </w:p>
    <w:p w14:paraId="1DD058C3">
      <w:pPr>
        <w:adjustRightInd w:val="0"/>
        <w:snapToGrid w:val="0"/>
        <w:spacing w:line="560" w:lineRule="exact"/>
        <w:rPr>
          <w:rFonts w:eastAsia="黑体"/>
          <w:color w:val="auto"/>
          <w:sz w:val="28"/>
          <w:szCs w:val="28"/>
          <w:highlight w:val="none"/>
        </w:rPr>
      </w:pPr>
    </w:p>
    <w:p w14:paraId="03C62057">
      <w:pPr>
        <w:adjustRightInd w:val="0"/>
        <w:snapToGrid w:val="0"/>
        <w:spacing w:line="560" w:lineRule="exact"/>
        <w:rPr>
          <w:rFonts w:eastAsia="黑体"/>
          <w:color w:val="auto"/>
          <w:sz w:val="28"/>
          <w:szCs w:val="28"/>
          <w:highlight w:val="none"/>
        </w:rPr>
      </w:pPr>
    </w:p>
    <w:p w14:paraId="7F6CEBD5">
      <w:pPr>
        <w:adjustRightInd w:val="0"/>
        <w:snapToGrid w:val="0"/>
        <w:spacing w:line="560" w:lineRule="exact"/>
        <w:jc w:val="center"/>
        <w:rPr>
          <w:rFonts w:eastAsia="黑体"/>
          <w:color w:val="auto"/>
          <w:sz w:val="28"/>
          <w:szCs w:val="28"/>
          <w:highlight w:val="none"/>
          <w:u w:val="single"/>
        </w:rPr>
      </w:pPr>
      <w:r>
        <w:rPr>
          <w:rFonts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u w:val="single"/>
        </w:rPr>
        <w:t xml:space="preserve">  </w:t>
      </w:r>
      <w:r>
        <w:rPr>
          <w:rFonts w:eastAsia="黑体"/>
          <w:color w:val="auto"/>
          <w:sz w:val="28"/>
          <w:szCs w:val="28"/>
          <w:highlight w:val="none"/>
          <w:u w:val="single"/>
        </w:rPr>
        <w:t xml:space="preserve">       </w:t>
      </w:r>
      <w:r>
        <w:rPr>
          <w:rFonts w:eastAsia="黑体"/>
          <w:color w:val="auto"/>
          <w:sz w:val="28"/>
          <w:szCs w:val="28"/>
          <w:highlight w:val="none"/>
        </w:rPr>
        <w:t>（</w:t>
      </w:r>
      <w:r>
        <w:rPr>
          <w:rFonts w:hint="eastAsia" w:eastAsia="黑体"/>
          <w:color w:val="auto"/>
          <w:sz w:val="28"/>
          <w:szCs w:val="28"/>
          <w:highlight w:val="none"/>
        </w:rPr>
        <w:t>签</w:t>
      </w:r>
      <w:r>
        <w:rPr>
          <w:rFonts w:eastAsia="黑体"/>
          <w:color w:val="auto"/>
          <w:sz w:val="28"/>
          <w:szCs w:val="28"/>
          <w:highlight w:val="none"/>
        </w:rPr>
        <w:t>章）</w:t>
      </w:r>
    </w:p>
    <w:p w14:paraId="2EAD02C7">
      <w:pPr>
        <w:adjustRightInd w:val="0"/>
        <w:snapToGrid w:val="0"/>
        <w:spacing w:line="560" w:lineRule="exact"/>
        <w:jc w:val="center"/>
        <w:rPr>
          <w:rFonts w:eastAsia="黑体"/>
          <w:color w:val="auto"/>
          <w:sz w:val="28"/>
          <w:szCs w:val="28"/>
          <w:highlight w:val="none"/>
        </w:rPr>
      </w:pPr>
      <w:r>
        <w:rPr>
          <w:rFonts w:eastAsia="黑体"/>
          <w:color w:val="auto"/>
          <w:sz w:val="28"/>
          <w:szCs w:val="28"/>
          <w:highlight w:val="none"/>
        </w:rPr>
        <w:t>法定代表人：</w:t>
      </w:r>
      <w:r>
        <w:rPr>
          <w:rFonts w:eastAsia="黑体"/>
          <w:color w:val="auto"/>
          <w:sz w:val="28"/>
          <w:szCs w:val="28"/>
          <w:highlight w:val="none"/>
          <w:u w:val="singl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eastAsia="黑体"/>
          <w:color w:val="auto"/>
          <w:sz w:val="28"/>
          <w:szCs w:val="28"/>
          <w:highlight w:val="none"/>
        </w:rPr>
        <w:t>）</w:t>
      </w:r>
    </w:p>
    <w:p w14:paraId="28D9319D">
      <w:pPr>
        <w:adjustRightInd w:val="0"/>
        <w:snapToGrid w:val="0"/>
        <w:spacing w:line="560" w:lineRule="exact"/>
        <w:jc w:val="center"/>
        <w:rPr>
          <w:rFonts w:hint="eastAsia" w:eastAsia="黑体"/>
          <w:color w:val="auto"/>
          <w:sz w:val="28"/>
          <w:szCs w:val="28"/>
          <w:highlight w:val="none"/>
        </w:rPr>
      </w:pPr>
      <w:r>
        <w:rPr>
          <w:rFonts w:eastAsia="黑体"/>
          <w:color w:val="auto"/>
          <w:sz w:val="28"/>
          <w:szCs w:val="28"/>
          <w:highlight w:val="none"/>
          <w:u w:val="single"/>
        </w:rPr>
        <w:t xml:space="preserve">        </w:t>
      </w:r>
      <w:r>
        <w:rPr>
          <w:rFonts w:eastAsia="黑体"/>
          <w:color w:val="auto"/>
          <w:sz w:val="28"/>
          <w:szCs w:val="28"/>
          <w:highlight w:val="none"/>
        </w:rPr>
        <w:t>年</w:t>
      </w:r>
      <w:r>
        <w:rPr>
          <w:rFonts w:eastAsia="黑体"/>
          <w:color w:val="auto"/>
          <w:sz w:val="28"/>
          <w:szCs w:val="28"/>
          <w:highlight w:val="none"/>
          <w:u w:val="single"/>
        </w:rPr>
        <w:t xml:space="preserve">        </w:t>
      </w:r>
      <w:r>
        <w:rPr>
          <w:rFonts w:eastAsia="黑体"/>
          <w:color w:val="auto"/>
          <w:sz w:val="28"/>
          <w:szCs w:val="28"/>
          <w:highlight w:val="none"/>
        </w:rPr>
        <w:t>月</w:t>
      </w:r>
      <w:r>
        <w:rPr>
          <w:rFonts w:eastAsia="黑体"/>
          <w:color w:val="auto"/>
          <w:sz w:val="28"/>
          <w:szCs w:val="28"/>
          <w:highlight w:val="none"/>
          <w:u w:val="single"/>
        </w:rPr>
        <w:t xml:space="preserve">        </w:t>
      </w:r>
      <w:r>
        <w:rPr>
          <w:rFonts w:eastAsia="黑体"/>
          <w:color w:val="auto"/>
          <w:sz w:val="28"/>
          <w:szCs w:val="28"/>
          <w:highlight w:val="none"/>
        </w:rPr>
        <w:t>日</w:t>
      </w:r>
    </w:p>
    <w:p w14:paraId="49DD422A">
      <w:pPr>
        <w:rPr>
          <w:rFonts w:hint="eastAsia"/>
          <w:color w:val="auto"/>
          <w:highlight w:val="none"/>
        </w:rPr>
      </w:pPr>
      <w:bookmarkStart w:id="1430" w:name="_Toc95223532"/>
      <w:bookmarkStart w:id="1431" w:name="_Toc296602622"/>
      <w:bookmarkStart w:id="1432" w:name="_Toc246997117"/>
      <w:bookmarkStart w:id="1433" w:name="_Toc179632833"/>
      <w:bookmarkStart w:id="1434" w:name="_Toc152042602"/>
      <w:bookmarkStart w:id="1435" w:name="_Toc246996374"/>
      <w:bookmarkStart w:id="1436" w:name="_Toc144974881"/>
      <w:bookmarkStart w:id="1437" w:name="_Toc247085892"/>
      <w:bookmarkStart w:id="1438" w:name="_Toc152045813"/>
      <w:r>
        <w:rPr>
          <w:rFonts w:hint="eastAsia"/>
          <w:color w:val="auto"/>
          <w:highlight w:val="none"/>
        </w:rPr>
        <w:br w:type="page"/>
      </w:r>
    </w:p>
    <w:p w14:paraId="39AC752B">
      <w:pPr>
        <w:pStyle w:val="2"/>
        <w:keepNext/>
        <w:keepLines/>
        <w:pageBreakBefore w:val="0"/>
        <w:widowControl w:val="0"/>
        <w:kinsoku/>
        <w:wordWrap/>
        <w:overflowPunct/>
        <w:topLinePunct w:val="0"/>
        <w:autoSpaceDE/>
        <w:autoSpaceDN/>
        <w:bidi w:val="0"/>
        <w:adjustRightInd/>
        <w:snapToGrid/>
        <w:spacing w:before="0" w:beforeLines="0" w:after="0" w:afterLines="0" w:line="500" w:lineRule="exact"/>
        <w:textAlignment w:val="auto"/>
        <w:rPr>
          <w:rFonts w:hint="eastAsia"/>
          <w:color w:val="auto"/>
          <w:highlight w:val="none"/>
        </w:rPr>
      </w:pPr>
      <w:r>
        <w:rPr>
          <w:rFonts w:hint="eastAsia"/>
          <w:color w:val="auto"/>
          <w:highlight w:val="none"/>
        </w:rPr>
        <w:t>投标文件一：资信证明文件目录</w:t>
      </w:r>
      <w:bookmarkEnd w:id="1430"/>
    </w:p>
    <w:p w14:paraId="4D264CC7">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（1）投标人基本情况表</w:t>
      </w:r>
      <w:r>
        <w:rPr>
          <w:rFonts w:hint="eastAsia" w:ascii="宋体" w:hAnsi="宋体" w:cs="宋体"/>
          <w:color w:val="auto"/>
          <w:szCs w:val="21"/>
          <w:highlight w:val="none"/>
        </w:rPr>
        <w:t>（联合体投标的，联合体各方均须提供）</w:t>
      </w:r>
      <w:r>
        <w:rPr>
          <w:rFonts w:hint="eastAsia" w:ascii="宋体" w:hAnsi="宋体" w:cs="宋体"/>
          <w:color w:val="auto"/>
          <w:highlight w:val="none"/>
        </w:rPr>
        <w:t>；</w:t>
      </w:r>
    </w:p>
    <w:p w14:paraId="7892711D">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（2）近年财务状况表</w:t>
      </w:r>
      <w:r>
        <w:rPr>
          <w:rFonts w:hint="eastAsia" w:ascii="宋体" w:hAnsi="宋体" w:cs="宋体"/>
          <w:color w:val="auto"/>
          <w:szCs w:val="21"/>
          <w:highlight w:val="none"/>
        </w:rPr>
        <w:t>（</w:t>
      </w:r>
      <w:r>
        <w:rPr>
          <w:rFonts w:hint="eastAsia" w:ascii="宋体" w:hAnsi="宋体" w:cs="宋体"/>
          <w:color w:val="auto"/>
          <w:highlight w:val="none"/>
          <w:lang w:val="en-US" w:eastAsia="zh-CN"/>
        </w:rPr>
        <w:t>本项目不采用</w:t>
      </w:r>
      <w:r>
        <w:rPr>
          <w:rFonts w:hint="eastAsia" w:ascii="宋体" w:hAnsi="宋体" w:cs="宋体"/>
          <w:color w:val="auto"/>
          <w:szCs w:val="21"/>
          <w:highlight w:val="none"/>
        </w:rPr>
        <w:t>）</w:t>
      </w:r>
      <w:r>
        <w:rPr>
          <w:rFonts w:hint="eastAsia" w:ascii="宋体" w:hAnsi="宋体" w:cs="宋体"/>
          <w:color w:val="auto"/>
          <w:highlight w:val="none"/>
        </w:rPr>
        <w:t>；</w:t>
      </w:r>
    </w:p>
    <w:p w14:paraId="2CCABEA1">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（3）近年完成的类似项目情况表</w:t>
      </w:r>
      <w:r>
        <w:rPr>
          <w:rFonts w:hint="eastAsia" w:ascii="宋体" w:hAnsi="宋体" w:cs="宋体"/>
          <w:color w:val="auto"/>
          <w:szCs w:val="21"/>
          <w:highlight w:val="none"/>
        </w:rPr>
        <w:t>（</w:t>
      </w:r>
      <w:r>
        <w:rPr>
          <w:rFonts w:hint="eastAsia" w:ascii="宋体" w:hAnsi="宋体" w:cs="宋体"/>
          <w:color w:val="auto"/>
          <w:highlight w:val="none"/>
          <w:lang w:val="en-US" w:eastAsia="zh-CN"/>
        </w:rPr>
        <w:t>本项目不采用</w:t>
      </w:r>
      <w:r>
        <w:rPr>
          <w:rFonts w:hint="eastAsia" w:ascii="宋体" w:hAnsi="宋体" w:cs="宋体"/>
          <w:color w:val="auto"/>
          <w:szCs w:val="21"/>
          <w:highlight w:val="none"/>
        </w:rPr>
        <w:t>）</w:t>
      </w:r>
      <w:r>
        <w:rPr>
          <w:rFonts w:hint="eastAsia" w:ascii="宋体" w:hAnsi="宋体" w:cs="宋体"/>
          <w:color w:val="auto"/>
          <w:highlight w:val="none"/>
        </w:rPr>
        <w:t>；</w:t>
      </w:r>
    </w:p>
    <w:p w14:paraId="14290E36">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（4）正在实施的和新承接的项目情况表</w:t>
      </w:r>
      <w:r>
        <w:rPr>
          <w:rFonts w:hint="eastAsia" w:ascii="宋体" w:hAnsi="宋体" w:cs="宋体"/>
          <w:color w:val="auto"/>
          <w:szCs w:val="21"/>
          <w:highlight w:val="none"/>
        </w:rPr>
        <w:t>（</w:t>
      </w:r>
      <w:r>
        <w:rPr>
          <w:rFonts w:hint="eastAsia" w:ascii="宋体" w:hAnsi="宋体" w:cs="宋体"/>
          <w:color w:val="auto"/>
          <w:highlight w:val="none"/>
          <w:lang w:val="en-US" w:eastAsia="zh-CN"/>
        </w:rPr>
        <w:t>本项目不采用</w:t>
      </w:r>
      <w:r>
        <w:rPr>
          <w:rFonts w:hint="eastAsia" w:ascii="宋体" w:hAnsi="宋体" w:cs="宋体"/>
          <w:color w:val="auto"/>
          <w:szCs w:val="21"/>
          <w:highlight w:val="none"/>
        </w:rPr>
        <w:t>）</w:t>
      </w:r>
      <w:r>
        <w:rPr>
          <w:rFonts w:hint="eastAsia" w:ascii="宋体" w:hAnsi="宋体" w:cs="宋体"/>
          <w:color w:val="auto"/>
          <w:highlight w:val="none"/>
        </w:rPr>
        <w:t>；</w:t>
      </w:r>
    </w:p>
    <w:p w14:paraId="7123D262">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（5）联合体协议书 （如有）；</w:t>
      </w:r>
    </w:p>
    <w:p w14:paraId="71BFBC1D">
      <w:pPr>
        <w:adjustRightInd w:val="0"/>
        <w:snapToGrid w:val="0"/>
        <w:spacing w:line="560" w:lineRule="exact"/>
        <w:ind w:firstLine="420" w:firstLineChars="200"/>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ascii="宋体" w:hAnsi="宋体" w:cs="宋体"/>
          <w:bCs/>
          <w:snapToGrid w:val="0"/>
          <w:color w:val="auto"/>
          <w:kern w:val="0"/>
          <w:szCs w:val="21"/>
          <w:highlight w:val="none"/>
        </w:rPr>
        <w:t>拟分包项目情况表（或分包意向协议书）</w:t>
      </w:r>
      <w:r>
        <w:rPr>
          <w:rFonts w:hint="eastAsia" w:ascii="宋体" w:hAnsi="宋体" w:cs="宋体"/>
          <w:color w:val="auto"/>
          <w:highlight w:val="none"/>
        </w:rPr>
        <w:t xml:space="preserve"> （如有）；</w:t>
      </w:r>
    </w:p>
    <w:p w14:paraId="072A1D9F">
      <w:pPr>
        <w:adjustRightInd w:val="0"/>
        <w:snapToGrid w:val="0"/>
        <w:spacing w:line="560" w:lineRule="exact"/>
        <w:ind w:firstLine="420" w:firstLineChars="200"/>
        <w:rPr>
          <w:rFonts w:hint="eastAsia" w:ascii="宋体" w:hAnsi="宋体" w:eastAsia="宋体" w:cs="宋体"/>
          <w:bCs/>
          <w:snapToGrid w:val="0"/>
          <w:color w:val="000000"/>
          <w:kern w:val="0"/>
          <w:szCs w:val="21"/>
        </w:rPr>
      </w:pPr>
      <w:r>
        <w:rPr>
          <w:rFonts w:hint="eastAsia" w:ascii="宋体" w:hAnsi="宋体" w:eastAsia="宋体" w:cs="宋体"/>
          <w:bCs/>
          <w:snapToGrid w:val="0"/>
          <w:color w:val="000000"/>
          <w:kern w:val="0"/>
          <w:szCs w:val="21"/>
        </w:rPr>
        <w:t>（</w:t>
      </w:r>
      <w:r>
        <w:rPr>
          <w:rFonts w:hint="eastAsia" w:ascii="宋体" w:hAnsi="宋体" w:eastAsia="宋体" w:cs="宋体"/>
          <w:bCs/>
          <w:snapToGrid w:val="0"/>
          <w:color w:val="000000"/>
          <w:kern w:val="0"/>
          <w:szCs w:val="21"/>
          <w:lang w:val="en-US" w:eastAsia="zh-CN"/>
        </w:rPr>
        <w:t>7</w:t>
      </w:r>
      <w:r>
        <w:rPr>
          <w:rFonts w:hint="eastAsia" w:ascii="宋体" w:hAnsi="宋体" w:eastAsia="宋体" w:cs="宋体"/>
          <w:bCs/>
          <w:snapToGrid w:val="0"/>
          <w:color w:val="000000"/>
          <w:kern w:val="0"/>
          <w:szCs w:val="21"/>
        </w:rPr>
        <w:t>）</w:t>
      </w:r>
      <w:r>
        <w:rPr>
          <w:rFonts w:hint="eastAsia" w:ascii="宋体" w:hAnsi="宋体" w:eastAsia="宋体" w:cs="宋体"/>
          <w:b w:val="0"/>
          <w:bCs/>
          <w:smallCaps w:val="0"/>
          <w:snapToGrid w:val="0"/>
          <w:color w:val="000000"/>
          <w:kern w:val="0"/>
          <w:sz w:val="21"/>
          <w:szCs w:val="21"/>
          <w:lang w:eastAsia="zh-CN"/>
        </w:rPr>
        <w:t>中小企业声明函（（</w:t>
      </w:r>
      <w:r>
        <w:rPr>
          <w:rFonts w:hint="eastAsia" w:ascii="宋体" w:hAnsi="宋体" w:cs="宋体"/>
          <w:color w:val="auto"/>
          <w:szCs w:val="21"/>
          <w:highlight w:val="none"/>
          <w:lang w:val="en-US" w:eastAsia="zh-CN"/>
        </w:rPr>
        <w:t>本项目不采用</w:t>
      </w:r>
      <w:r>
        <w:rPr>
          <w:rFonts w:hint="eastAsia" w:ascii="宋体" w:hAnsi="宋体" w:eastAsia="宋体" w:cs="宋体"/>
          <w:b w:val="0"/>
          <w:bCs/>
          <w:smallCaps w:val="0"/>
          <w:snapToGrid w:val="0"/>
          <w:color w:val="000000"/>
          <w:kern w:val="0"/>
          <w:sz w:val="21"/>
          <w:szCs w:val="21"/>
          <w:lang w:eastAsia="zh-CN"/>
        </w:rPr>
        <w:t>））；</w:t>
      </w:r>
    </w:p>
    <w:p w14:paraId="4BDEEF68">
      <w:pPr>
        <w:adjustRightInd w:val="0"/>
        <w:snapToGrid w:val="0"/>
        <w:spacing w:line="560" w:lineRule="exact"/>
        <w:ind w:firstLine="420" w:firstLineChars="200"/>
        <w:rPr>
          <w:rFonts w:hint="eastAsia" w:ascii="宋体" w:hAnsi="宋体" w:cs="宋体"/>
          <w:color w:val="auto"/>
          <w:highlight w:val="none"/>
        </w:rPr>
      </w:pPr>
      <w:r>
        <w:rPr>
          <w:rFonts w:hint="eastAsia" w:ascii="宋体" w:hAnsi="宋体" w:eastAsia="宋体" w:cs="宋体"/>
          <w:bCs/>
          <w:snapToGrid w:val="0"/>
          <w:color w:val="000000"/>
          <w:kern w:val="0"/>
          <w:szCs w:val="21"/>
        </w:rPr>
        <w:t>（</w:t>
      </w:r>
      <w:r>
        <w:rPr>
          <w:rFonts w:hint="eastAsia" w:ascii="宋体" w:hAnsi="宋体" w:eastAsia="宋体" w:cs="Times New Roman"/>
          <w:bCs w:val="0"/>
          <w:snapToGrid/>
          <w:color w:val="auto"/>
          <w:kern w:val="2"/>
          <w:szCs w:val="21"/>
          <w:highlight w:val="none"/>
          <w:lang w:val="en-US" w:eastAsia="zh-CN"/>
        </w:rPr>
        <w:t>8</w:t>
      </w:r>
      <w:r>
        <w:rPr>
          <w:rFonts w:hint="eastAsia" w:ascii="宋体" w:hAnsi="宋体" w:eastAsia="宋体" w:cs="Times New Roman"/>
          <w:bCs w:val="0"/>
          <w:snapToGrid/>
          <w:color w:val="auto"/>
          <w:kern w:val="2"/>
          <w:szCs w:val="21"/>
          <w:highlight w:val="none"/>
        </w:rPr>
        <w:t>）</w:t>
      </w:r>
      <w:r>
        <w:rPr>
          <w:rFonts w:hint="eastAsia" w:ascii="宋体" w:hAnsi="宋体" w:eastAsia="宋体" w:cs="Times New Roman"/>
          <w:b w:val="0"/>
          <w:bCs w:val="0"/>
          <w:color w:val="auto"/>
          <w:kern w:val="2"/>
          <w:sz w:val="21"/>
          <w:szCs w:val="21"/>
          <w:highlight w:val="none"/>
          <w:lang w:val="en-US" w:eastAsia="zh-CN"/>
        </w:rPr>
        <w:t>残疾人福利性单位声明函</w:t>
      </w:r>
      <w:r>
        <w:rPr>
          <w:rFonts w:hint="eastAsia" w:ascii="宋体" w:hAnsi="宋体" w:eastAsia="宋体" w:cs="Times New Roman"/>
          <w:b w:val="0"/>
          <w:bCs w:val="0"/>
          <w:smallCaps w:val="0"/>
          <w:snapToGrid/>
          <w:color w:val="auto"/>
          <w:kern w:val="2"/>
          <w:sz w:val="21"/>
          <w:szCs w:val="21"/>
          <w:highlight w:val="none"/>
          <w:lang w:eastAsia="zh-CN"/>
        </w:rPr>
        <w:t>（</w:t>
      </w:r>
      <w:r>
        <w:rPr>
          <w:rFonts w:hint="eastAsia" w:ascii="宋体" w:hAnsi="宋体" w:eastAsia="宋体" w:cs="宋体"/>
          <w:b w:val="0"/>
          <w:bCs/>
          <w:smallCaps w:val="0"/>
          <w:snapToGrid w:val="0"/>
          <w:color w:val="000000"/>
          <w:kern w:val="0"/>
          <w:sz w:val="21"/>
          <w:szCs w:val="21"/>
          <w:lang w:eastAsia="zh-CN"/>
        </w:rPr>
        <w:t>（</w:t>
      </w:r>
      <w:r>
        <w:rPr>
          <w:rFonts w:hint="eastAsia" w:ascii="宋体" w:hAnsi="宋体" w:cs="宋体"/>
          <w:color w:val="auto"/>
          <w:szCs w:val="21"/>
          <w:highlight w:val="none"/>
          <w:lang w:val="en-US" w:eastAsia="zh-CN"/>
        </w:rPr>
        <w:t>本项目不采用</w:t>
      </w:r>
      <w:r>
        <w:rPr>
          <w:rFonts w:hint="eastAsia" w:ascii="宋体" w:hAnsi="宋体" w:eastAsia="宋体" w:cs="宋体"/>
          <w:b w:val="0"/>
          <w:bCs/>
          <w:smallCaps w:val="0"/>
          <w:snapToGrid w:val="0"/>
          <w:color w:val="000000"/>
          <w:kern w:val="0"/>
          <w:sz w:val="21"/>
          <w:szCs w:val="21"/>
          <w:lang w:eastAsia="zh-CN"/>
        </w:rPr>
        <w:t>））；</w:t>
      </w:r>
    </w:p>
    <w:p w14:paraId="52DE81CE">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9</w:t>
      </w:r>
      <w:r>
        <w:rPr>
          <w:rFonts w:hint="eastAsia" w:ascii="宋体" w:hAnsi="宋体" w:cs="宋体"/>
          <w:color w:val="auto"/>
          <w:highlight w:val="none"/>
        </w:rPr>
        <w:t>）</w:t>
      </w:r>
      <w:r>
        <w:rPr>
          <w:rFonts w:ascii="宋体" w:hAnsi="宋体" w:cs="宋体"/>
          <w:color w:val="auto"/>
          <w:highlight w:val="none"/>
        </w:rPr>
        <w:t>项目管理机构</w:t>
      </w:r>
      <w:r>
        <w:rPr>
          <w:rFonts w:hint="eastAsia" w:ascii="宋体" w:hAnsi="宋体" w:cs="宋体"/>
          <w:color w:val="auto"/>
          <w:highlight w:val="none"/>
        </w:rPr>
        <w:t>；</w:t>
      </w:r>
    </w:p>
    <w:p w14:paraId="20BA5655">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10</w:t>
      </w:r>
      <w:r>
        <w:rPr>
          <w:rFonts w:hint="eastAsia" w:ascii="宋体" w:hAnsi="宋体" w:cs="宋体"/>
          <w:color w:val="auto"/>
          <w:highlight w:val="none"/>
        </w:rPr>
        <w:t>）其他资格审查资料（由以下材料</w:t>
      </w:r>
      <w:r>
        <w:rPr>
          <w:rFonts w:hint="eastAsia" w:ascii="宋体" w:hAnsi="宋体" w:cs="宋体"/>
          <w:color w:val="auto"/>
          <w:szCs w:val="21"/>
          <w:highlight w:val="none"/>
        </w:rPr>
        <w:t>组成</w:t>
      </w:r>
      <w:r>
        <w:rPr>
          <w:rFonts w:hint="eastAsia" w:ascii="宋体" w:hAnsi="宋体" w:cs="宋体"/>
          <w:color w:val="auto"/>
          <w:highlight w:val="none"/>
        </w:rPr>
        <w:t>）：</w:t>
      </w:r>
    </w:p>
    <w:p w14:paraId="47CC6C13">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①法定代表人身份证明和本人身份证(或法定代表人授权委托书和委托代理人身份证)；</w:t>
      </w:r>
    </w:p>
    <w:p w14:paraId="1A5F80DD">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
          <w:bCs/>
          <w:color w:val="auto"/>
          <w:szCs w:val="21"/>
          <w:highlight w:val="none"/>
        </w:rPr>
      </w:pPr>
      <w:r>
        <w:rPr>
          <w:rFonts w:hint="eastAsia" w:ascii="宋体" w:hAnsi="宋体" w:cs="宋体"/>
          <w:color w:val="auto"/>
          <w:szCs w:val="21"/>
          <w:highlight w:val="none"/>
        </w:rPr>
        <w:t>②诚信投标承诺书(或《公共信用信息报告（无违法违规证明版或核查版）》)</w:t>
      </w:r>
      <w:r>
        <w:rPr>
          <w:rFonts w:hint="eastAsia" w:ascii="宋体" w:hAnsi="宋体" w:cs="宋体"/>
          <w:b/>
          <w:bCs/>
          <w:color w:val="auto"/>
          <w:szCs w:val="21"/>
          <w:highlight w:val="none"/>
        </w:rPr>
        <w:t>（联合体投标的，联合体各方均须提供）；</w:t>
      </w:r>
    </w:p>
    <w:p w14:paraId="306F3458">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③企业法人营业执照</w:t>
      </w:r>
      <w:r>
        <w:rPr>
          <w:rFonts w:hint="eastAsia" w:ascii="宋体" w:hAnsi="宋体" w:cs="宋体"/>
          <w:b/>
          <w:bCs/>
          <w:color w:val="auto"/>
          <w:szCs w:val="21"/>
          <w:highlight w:val="none"/>
        </w:rPr>
        <w:t>（联合体投标的，联合体各方均须提供）</w:t>
      </w:r>
      <w:r>
        <w:rPr>
          <w:rFonts w:hint="eastAsia" w:ascii="宋体" w:hAnsi="宋体" w:cs="宋体"/>
          <w:color w:val="auto"/>
          <w:szCs w:val="21"/>
          <w:highlight w:val="none"/>
        </w:rPr>
        <w:t>；</w:t>
      </w:r>
    </w:p>
    <w:p w14:paraId="1CFF684B">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④企业资质证书</w:t>
      </w:r>
      <w:r>
        <w:rPr>
          <w:rFonts w:hint="eastAsia" w:ascii="宋体" w:hAnsi="宋体" w:cs="宋体"/>
          <w:b/>
          <w:bCs/>
          <w:color w:val="auto"/>
          <w:szCs w:val="21"/>
          <w:highlight w:val="none"/>
        </w:rPr>
        <w:t>（联合体投标的，联合体各方均须提供）</w:t>
      </w:r>
      <w:r>
        <w:rPr>
          <w:rFonts w:hint="eastAsia" w:ascii="宋体" w:hAnsi="宋体" w:cs="宋体"/>
          <w:color w:val="auto"/>
          <w:szCs w:val="21"/>
          <w:highlight w:val="none"/>
        </w:rPr>
        <w:t>；</w:t>
      </w:r>
    </w:p>
    <w:p w14:paraId="2D135DD1">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⑤企业安全生产许可证</w:t>
      </w:r>
      <w:r>
        <w:rPr>
          <w:rFonts w:hint="eastAsia" w:ascii="宋体" w:hAnsi="宋体" w:cs="宋体"/>
          <w:b/>
          <w:bCs/>
          <w:color w:val="auto"/>
          <w:szCs w:val="21"/>
          <w:highlight w:val="none"/>
        </w:rPr>
        <w:t>（联合体投标的，联合体各方均须提供）</w:t>
      </w:r>
      <w:r>
        <w:rPr>
          <w:rFonts w:hint="eastAsia" w:ascii="宋体" w:hAnsi="宋体" w:cs="宋体"/>
          <w:color w:val="auto"/>
          <w:szCs w:val="21"/>
          <w:highlight w:val="none"/>
        </w:rPr>
        <w:t>；</w:t>
      </w:r>
    </w:p>
    <w:p w14:paraId="7E8B07CA">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⑥建造师（拟任项目经理（建造师））身份证、建造师注册证书以及安全生产考核合格证书（B证）；</w:t>
      </w:r>
    </w:p>
    <w:p w14:paraId="4CB91371">
      <w:pPr>
        <w:adjustRightInd w:val="0"/>
        <w:snapToGrid w:val="0"/>
        <w:spacing w:line="560" w:lineRule="exact"/>
        <w:ind w:firstLine="420" w:firstLineChars="200"/>
        <w:rPr>
          <w:rFonts w:hint="eastAsia" w:ascii="宋体" w:hAnsi="宋体" w:cs="宋体"/>
          <w:color w:val="000000"/>
          <w:szCs w:val="21"/>
          <w:lang w:eastAsia="zh-CN"/>
        </w:rPr>
      </w:pPr>
      <w:r>
        <w:rPr>
          <w:rFonts w:hint="eastAsia" w:ascii="宋体" w:hAnsi="宋体" w:cs="宋体"/>
          <w:color w:val="auto"/>
          <w:szCs w:val="21"/>
          <w:highlight w:val="none"/>
        </w:rPr>
        <w:t>⑦</w:t>
      </w:r>
      <w:r>
        <w:rPr>
          <w:rFonts w:hint="eastAsia" w:ascii="宋体" w:hAnsi="宋体" w:cs="宋体"/>
          <w:color w:val="000000"/>
          <w:szCs w:val="21"/>
        </w:rPr>
        <w:t>拟任项目经理（建造师）须持有社保部门出具的本单位为其缴</w:t>
      </w:r>
      <w:r>
        <w:rPr>
          <w:rFonts w:hint="eastAsia" w:ascii="宋体" w:hAnsi="宋体" w:cs="宋体"/>
          <w:color w:val="auto"/>
          <w:szCs w:val="21"/>
        </w:rPr>
        <w:t>纳</w:t>
      </w:r>
      <w:r>
        <w:rPr>
          <w:rFonts w:hint="eastAsia" w:ascii="宋体" w:hAnsi="宋体" w:cs="宋体"/>
          <w:color w:val="auto"/>
          <w:szCs w:val="21"/>
          <w:highlight w:val="none"/>
        </w:rPr>
        <w:t>的</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5</w:t>
      </w:r>
      <w:r>
        <w:rPr>
          <w:rFonts w:hint="eastAsia" w:ascii="宋体" w:hAnsi="宋体" w:cs="宋体"/>
          <w:color w:val="auto"/>
          <w:szCs w:val="21"/>
          <w:highlight w:val="none"/>
          <w:lang w:val="en-US" w:eastAsia="zh-CN"/>
        </w:rPr>
        <w:t>月至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lang w:val="en-US" w:eastAsia="zh-CN"/>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lang w:val="en-US" w:eastAsia="zh-CN"/>
        </w:rPr>
        <w:t>月范围</w:t>
      </w:r>
      <w:r>
        <w:rPr>
          <w:rFonts w:hint="eastAsia" w:ascii="宋体" w:hAnsi="宋体" w:cs="宋体"/>
          <w:color w:val="auto"/>
          <w:szCs w:val="21"/>
          <w:lang w:val="en-US" w:eastAsia="zh-CN"/>
        </w:rPr>
        <w:t>内</w:t>
      </w:r>
      <w:r>
        <w:rPr>
          <w:rFonts w:hint="eastAsia" w:ascii="宋体" w:hAnsi="宋体" w:cs="宋体"/>
          <w:color w:val="000000"/>
          <w:szCs w:val="21"/>
          <w:lang w:val="en-US" w:eastAsia="zh-CN"/>
        </w:rPr>
        <w:t>任意</w:t>
      </w:r>
      <w:r>
        <w:rPr>
          <w:rFonts w:hint="eastAsia" w:ascii="宋体" w:hAnsi="宋体" w:cs="宋体"/>
          <w:color w:val="000000"/>
          <w:szCs w:val="21"/>
        </w:rPr>
        <w:t>连续三个月的养老保险证明</w:t>
      </w:r>
      <w:r>
        <w:rPr>
          <w:rFonts w:hint="eastAsia" w:ascii="宋体" w:hAnsi="宋体" w:cs="宋体"/>
          <w:color w:val="000000"/>
          <w:szCs w:val="21"/>
          <w:lang w:eastAsia="zh-CN"/>
        </w:rPr>
        <w:t>。</w:t>
      </w:r>
    </w:p>
    <w:p w14:paraId="1494CBC2">
      <w:pPr>
        <w:keepNext w:val="0"/>
        <w:keepLines w:val="0"/>
        <w:pageBreakBefore w:val="0"/>
        <w:kinsoku/>
        <w:wordWrap/>
        <w:overflowPunct/>
        <w:topLinePunct w:val="0"/>
        <w:autoSpaceDE/>
        <w:autoSpaceDN/>
        <w:bidi w:val="0"/>
        <w:adjustRightInd w:val="0"/>
        <w:snapToGrid w:val="0"/>
        <w:spacing w:line="500" w:lineRule="exact"/>
        <w:ind w:firstLine="422" w:firstLineChars="200"/>
        <w:textAlignment w:val="auto"/>
        <w:rPr>
          <w:rFonts w:hint="eastAsia" w:ascii="宋体" w:hAnsi="宋体" w:cs="宋体"/>
          <w:color w:val="auto"/>
          <w:szCs w:val="21"/>
          <w:highlight w:val="none"/>
        </w:rPr>
      </w:pPr>
      <w:r>
        <w:rPr>
          <w:rFonts w:hint="eastAsia" w:ascii="宋体" w:hAnsi="宋体" w:cs="宋体"/>
          <w:b/>
          <w:bCs/>
          <w:color w:val="000000"/>
          <w:szCs w:val="21"/>
          <w:lang w:eastAsia="zh-CN"/>
        </w:rPr>
        <w:t>注：</w:t>
      </w:r>
      <w:r>
        <w:rPr>
          <w:rFonts w:hint="eastAsia" w:ascii="宋体" w:hAnsi="宋体" w:cs="宋体"/>
          <w:color w:val="000000"/>
          <w:szCs w:val="21"/>
          <w:lang w:val="en-US" w:eastAsia="zh-CN"/>
        </w:rPr>
        <w:t>1.</w:t>
      </w:r>
      <w:r>
        <w:rPr>
          <w:rFonts w:hint="eastAsia" w:ascii="宋体" w:hAnsi="宋体" w:cs="宋体"/>
          <w:color w:val="000000"/>
          <w:szCs w:val="21"/>
        </w:rPr>
        <w:t>投标人是事业单位的，暂未缴纳养老保险的，须由其主管部门出具证明</w:t>
      </w:r>
      <w:r>
        <w:rPr>
          <w:rFonts w:hint="eastAsia" w:ascii="宋体" w:hAnsi="宋体" w:cs="宋体"/>
          <w:color w:val="000000"/>
          <w:szCs w:val="21"/>
          <w:lang w:eastAsia="zh-CN"/>
        </w:rPr>
        <w:t>。</w:t>
      </w:r>
      <w:r>
        <w:rPr>
          <w:rFonts w:hint="eastAsia" w:ascii="Times New Roman" w:hAnsi="Times New Roman"/>
          <w:smallCaps w:val="0"/>
          <w:lang w:val="en-US" w:eastAsia="zh-CN"/>
        </w:rPr>
        <w:t>2、</w:t>
      </w:r>
      <w:r>
        <w:rPr>
          <w:rFonts w:hint="eastAsia" w:ascii="Times New Roman" w:hAnsi="Times New Roman"/>
          <w:smallCaps w:val="0"/>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r>
        <w:rPr>
          <w:rFonts w:hint="eastAsia"/>
          <w:smallCaps w:val="0"/>
          <w:lang w:eastAsia="zh-CN"/>
        </w:rPr>
        <w:t>。</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 xml:space="preserve">联合体投标，如提供项目经理（建造师）B岗的，还须提供项目经理（建造师）B岗的养老保险证明（要求同上）。） </w:t>
      </w:r>
      <w:r>
        <w:rPr>
          <w:rFonts w:hint="eastAsia" w:ascii="宋体" w:hAnsi="宋体" w:cs="宋体"/>
          <w:color w:val="auto"/>
          <w:szCs w:val="21"/>
          <w:highlight w:val="none"/>
          <w:lang w:val="en-US" w:eastAsia="zh-CN"/>
        </w:rPr>
        <w:t xml:space="preserve">  </w:t>
      </w:r>
    </w:p>
    <w:p w14:paraId="5807BEB8">
      <w:pPr>
        <w:keepNext w:val="0"/>
        <w:keepLines w:val="0"/>
        <w:pageBreakBefore w:val="0"/>
        <w:widowControl/>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⑧</w:t>
      </w:r>
      <w:r>
        <w:rPr>
          <w:rFonts w:hint="eastAsia" w:ascii="宋体" w:hAnsi="宋体" w:cs="宋体"/>
          <w:color w:val="auto"/>
          <w:highlight w:val="none"/>
        </w:rPr>
        <w:t>资信评审业绩、得分业绩等证明和投标人认为需要的其它证明材料</w:t>
      </w:r>
      <w:r>
        <w:rPr>
          <w:rFonts w:hint="eastAsia" w:ascii="宋体" w:hAnsi="宋体" w:cs="宋体"/>
          <w:color w:val="auto"/>
          <w:szCs w:val="21"/>
          <w:highlight w:val="none"/>
        </w:rPr>
        <w:t>；</w:t>
      </w:r>
    </w:p>
    <w:p w14:paraId="79E76915">
      <w:pPr>
        <w:keepNext w:val="0"/>
        <w:keepLines w:val="0"/>
        <w:pageBreakBefore w:val="0"/>
        <w:kinsoku/>
        <w:wordWrap/>
        <w:overflowPunct/>
        <w:topLinePunct w:val="0"/>
        <w:autoSpaceDE/>
        <w:autoSpaceDN/>
        <w:bidi w:val="0"/>
        <w:adjustRightInd w:val="0"/>
        <w:snapToGrid w:val="0"/>
        <w:spacing w:line="500" w:lineRule="exact"/>
        <w:ind w:firstLine="420" w:firstLineChars="200"/>
        <w:textAlignment w:val="auto"/>
        <w:rPr>
          <w:rFonts w:hint="eastAsia"/>
          <w:color w:val="auto"/>
          <w:highlight w:val="none"/>
        </w:rPr>
      </w:pPr>
      <w:r>
        <w:rPr>
          <w:rFonts w:hint="eastAsia" w:ascii="宋体" w:hAnsi="宋体" w:cs="宋体"/>
          <w:color w:val="auto"/>
          <w:highlight w:val="none"/>
        </w:rPr>
        <w:t>⑨资信评审业绩、得分业绩清单一览表（项目评审如有）</w:t>
      </w:r>
      <w:r>
        <w:rPr>
          <w:rFonts w:hint="eastAsia" w:eastAsia="黑体"/>
          <w:color w:val="auto"/>
          <w:sz w:val="20"/>
          <w:szCs w:val="20"/>
          <w:highlight w:val="none"/>
        </w:rPr>
        <w:t xml:space="preserve">。 </w:t>
      </w:r>
    </w:p>
    <w:p w14:paraId="6AF32DE7">
      <w:pPr>
        <w:rPr>
          <w:rFonts w:hint="eastAsia" w:ascii="宋体" w:hAnsi="宋体" w:cs="宋体"/>
          <w:color w:val="auto"/>
          <w:highlight w:val="none"/>
          <w:lang w:eastAsia="zh-CN"/>
        </w:rPr>
      </w:pPr>
      <w:bookmarkStart w:id="1439" w:name="_Toc95223533"/>
      <w:r>
        <w:rPr>
          <w:rFonts w:hint="eastAsia" w:ascii="宋体" w:hAnsi="宋体" w:cs="宋体"/>
          <w:color w:val="auto"/>
          <w:highlight w:val="none"/>
          <w:lang w:eastAsia="zh-CN"/>
        </w:rPr>
        <w:br w:type="page"/>
      </w:r>
    </w:p>
    <w:p w14:paraId="228798D9">
      <w:pPr>
        <w:keepNext w:val="0"/>
        <w:keepLines w:val="0"/>
        <w:pageBreakBefore w:val="0"/>
        <w:kinsoku/>
        <w:wordWrap/>
        <w:overflowPunct/>
        <w:topLinePunct w:val="0"/>
        <w:autoSpaceDE/>
        <w:autoSpaceDN/>
        <w:bidi w:val="0"/>
        <w:adjustRightInd w:val="0"/>
        <w:snapToGrid w:val="0"/>
        <w:spacing w:line="500" w:lineRule="exact"/>
        <w:ind w:firstLine="643" w:firstLineChars="200"/>
        <w:jc w:val="center"/>
        <w:textAlignment w:val="auto"/>
        <w:rPr>
          <w:rFonts w:hint="eastAsia" w:ascii="Times New Roman" w:hAnsi="Times New Roman" w:eastAsia="宋体" w:cs="Times New Roman"/>
          <w:b/>
          <w:bCs/>
          <w:color w:val="auto"/>
          <w:kern w:val="0"/>
          <w:sz w:val="32"/>
          <w:szCs w:val="32"/>
          <w:highlight w:val="none"/>
          <w:lang w:val="en-US" w:eastAsia="zh-CN" w:bidi="ar-SA"/>
        </w:rPr>
      </w:pPr>
      <w:r>
        <w:rPr>
          <w:rFonts w:ascii="Times New Roman" w:hAnsi="Times New Roman" w:eastAsia="宋体" w:cs="Times New Roman"/>
          <w:b/>
          <w:bCs/>
          <w:color w:val="auto"/>
          <w:kern w:val="0"/>
          <w:sz w:val="32"/>
          <w:szCs w:val="32"/>
          <w:highlight w:val="none"/>
          <w:lang w:val="en-US" w:eastAsia="zh-CN" w:bidi="ar-SA"/>
        </w:rPr>
        <w:t>（</w:t>
      </w:r>
      <w:r>
        <w:rPr>
          <w:rFonts w:hint="eastAsia" w:ascii="Times New Roman" w:hAnsi="Times New Roman" w:eastAsia="宋体" w:cs="Times New Roman"/>
          <w:b/>
          <w:bCs/>
          <w:color w:val="auto"/>
          <w:kern w:val="0"/>
          <w:sz w:val="32"/>
          <w:szCs w:val="32"/>
          <w:highlight w:val="none"/>
          <w:lang w:val="en-US" w:eastAsia="zh-CN" w:bidi="ar-SA"/>
        </w:rPr>
        <w:t>1</w:t>
      </w:r>
      <w:r>
        <w:rPr>
          <w:rFonts w:ascii="Times New Roman" w:hAnsi="Times New Roman" w:eastAsia="宋体" w:cs="Times New Roman"/>
          <w:b/>
          <w:bCs/>
          <w:color w:val="auto"/>
          <w:kern w:val="0"/>
          <w:sz w:val="32"/>
          <w:szCs w:val="32"/>
          <w:highlight w:val="none"/>
          <w:lang w:val="en-US" w:eastAsia="zh-CN" w:bidi="ar-SA"/>
        </w:rPr>
        <w:t>）投标人基本情况表</w:t>
      </w:r>
      <w:bookmarkEnd w:id="1439"/>
    </w:p>
    <w:tbl>
      <w:tblPr>
        <w:tblStyle w:val="2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93"/>
        <w:gridCol w:w="1036"/>
        <w:gridCol w:w="1096"/>
        <w:gridCol w:w="969"/>
        <w:gridCol w:w="484"/>
        <w:gridCol w:w="359"/>
        <w:gridCol w:w="1243"/>
        <w:gridCol w:w="565"/>
        <w:gridCol w:w="991"/>
        <w:gridCol w:w="1144"/>
      </w:tblGrid>
      <w:tr w14:paraId="7840C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D398582">
            <w:pPr>
              <w:topLinePunct/>
              <w:adjustRightInd w:val="0"/>
              <w:snapToGrid w:val="0"/>
              <w:spacing w:line="560" w:lineRule="exact"/>
              <w:jc w:val="center"/>
              <w:rPr>
                <w:color w:val="auto"/>
                <w:szCs w:val="21"/>
                <w:highlight w:val="none"/>
              </w:rPr>
            </w:pPr>
            <w:r>
              <w:rPr>
                <w:color w:val="auto"/>
                <w:szCs w:val="21"/>
                <w:highlight w:val="none"/>
              </w:rPr>
              <w:t>投标人名称</w:t>
            </w:r>
          </w:p>
        </w:tc>
        <w:tc>
          <w:tcPr>
            <w:tcW w:w="7887" w:type="dxa"/>
            <w:gridSpan w:val="9"/>
            <w:tcBorders>
              <w:top w:val="single" w:color="auto" w:sz="4" w:space="0"/>
              <w:left w:val="single" w:color="auto" w:sz="4" w:space="0"/>
              <w:bottom w:val="single" w:color="auto" w:sz="4" w:space="0"/>
              <w:right w:val="single" w:color="auto" w:sz="4" w:space="0"/>
            </w:tcBorders>
            <w:noWrap w:val="0"/>
            <w:vAlign w:val="center"/>
          </w:tcPr>
          <w:p w14:paraId="40D5ACAD">
            <w:pPr>
              <w:topLinePunct/>
              <w:adjustRightInd w:val="0"/>
              <w:snapToGrid w:val="0"/>
              <w:spacing w:line="560" w:lineRule="exact"/>
              <w:jc w:val="center"/>
              <w:rPr>
                <w:color w:val="auto"/>
                <w:szCs w:val="21"/>
                <w:highlight w:val="none"/>
              </w:rPr>
            </w:pPr>
          </w:p>
        </w:tc>
      </w:tr>
      <w:tr w14:paraId="29C535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DDB6D0A">
            <w:pPr>
              <w:topLinePunct/>
              <w:adjustRightInd w:val="0"/>
              <w:snapToGrid w:val="0"/>
              <w:spacing w:line="560" w:lineRule="exact"/>
              <w:jc w:val="center"/>
              <w:rPr>
                <w:color w:val="auto"/>
                <w:szCs w:val="21"/>
                <w:highlight w:val="none"/>
              </w:rPr>
            </w:pPr>
            <w:r>
              <w:rPr>
                <w:color w:val="auto"/>
                <w:szCs w:val="21"/>
                <w:highlight w:val="none"/>
              </w:rPr>
              <w:t>注册地址</w:t>
            </w:r>
          </w:p>
        </w:tc>
        <w:tc>
          <w:tcPr>
            <w:tcW w:w="3944" w:type="dxa"/>
            <w:gridSpan w:val="5"/>
            <w:tcBorders>
              <w:top w:val="single" w:color="auto" w:sz="4" w:space="0"/>
              <w:left w:val="single" w:color="auto" w:sz="4" w:space="0"/>
              <w:bottom w:val="single" w:color="auto" w:sz="4" w:space="0"/>
              <w:right w:val="single" w:color="auto" w:sz="4" w:space="0"/>
            </w:tcBorders>
            <w:noWrap w:val="0"/>
            <w:vAlign w:val="center"/>
          </w:tcPr>
          <w:p w14:paraId="6625DCE2">
            <w:pPr>
              <w:topLinePunct/>
              <w:adjustRightInd w:val="0"/>
              <w:snapToGrid w:val="0"/>
              <w:spacing w:line="560" w:lineRule="exact"/>
              <w:jc w:val="center"/>
              <w:rPr>
                <w:color w:val="auto"/>
                <w:szCs w:val="21"/>
                <w:highlight w:val="none"/>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6E913284">
            <w:pPr>
              <w:topLinePunct/>
              <w:adjustRightInd w:val="0"/>
              <w:snapToGrid w:val="0"/>
              <w:spacing w:line="560" w:lineRule="exact"/>
              <w:jc w:val="center"/>
              <w:rPr>
                <w:color w:val="auto"/>
                <w:szCs w:val="21"/>
                <w:highlight w:val="none"/>
              </w:rPr>
            </w:pPr>
            <w:r>
              <w:rPr>
                <w:color w:val="auto"/>
                <w:szCs w:val="21"/>
                <w:highlight w:val="none"/>
              </w:rPr>
              <w:t>邮政编码</w:t>
            </w:r>
          </w:p>
        </w:tc>
        <w:tc>
          <w:tcPr>
            <w:tcW w:w="2700" w:type="dxa"/>
            <w:gridSpan w:val="3"/>
            <w:tcBorders>
              <w:top w:val="single" w:color="auto" w:sz="4" w:space="0"/>
              <w:left w:val="single" w:color="auto" w:sz="4" w:space="0"/>
              <w:bottom w:val="single" w:color="auto" w:sz="4" w:space="0"/>
              <w:right w:val="single" w:color="auto" w:sz="4" w:space="0"/>
            </w:tcBorders>
            <w:noWrap w:val="0"/>
            <w:vAlign w:val="center"/>
          </w:tcPr>
          <w:p w14:paraId="05B11C19">
            <w:pPr>
              <w:topLinePunct/>
              <w:adjustRightInd w:val="0"/>
              <w:snapToGrid w:val="0"/>
              <w:spacing w:line="560" w:lineRule="exact"/>
              <w:jc w:val="center"/>
              <w:rPr>
                <w:color w:val="auto"/>
                <w:szCs w:val="21"/>
                <w:highlight w:val="none"/>
              </w:rPr>
            </w:pPr>
          </w:p>
        </w:tc>
        <w:bookmarkStart w:id="1440" w:name="_Toc152042597"/>
        <w:bookmarkStart w:id="1441" w:name="_Toc246997116"/>
        <w:bookmarkStart w:id="1442" w:name="_Toc152045808"/>
        <w:bookmarkStart w:id="1443" w:name="_Toc144974876"/>
        <w:bookmarkStart w:id="1444" w:name="_Toc296602618"/>
        <w:bookmarkStart w:id="1445" w:name="_Toc246996373"/>
        <w:bookmarkStart w:id="1446" w:name="_Toc179632828"/>
        <w:bookmarkStart w:id="1447" w:name="_Toc324404889"/>
        <w:bookmarkStart w:id="1448" w:name="_Toc247085891"/>
      </w:tr>
      <w:tr w14:paraId="04FE81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8" w:hRule="atLeast"/>
          <w:jc w:val="center"/>
        </w:trPr>
        <w:tc>
          <w:tcPr>
            <w:tcW w:w="1993" w:type="dxa"/>
            <w:vMerge w:val="restart"/>
            <w:tcBorders>
              <w:top w:val="single" w:color="auto" w:sz="4" w:space="0"/>
              <w:left w:val="single" w:color="auto" w:sz="4" w:space="0"/>
              <w:bottom w:val="single" w:color="auto" w:sz="4" w:space="0"/>
              <w:right w:val="single" w:color="auto" w:sz="4" w:space="0"/>
            </w:tcBorders>
            <w:noWrap w:val="0"/>
            <w:vAlign w:val="center"/>
          </w:tcPr>
          <w:p w14:paraId="433A2369">
            <w:pPr>
              <w:topLinePunct/>
              <w:adjustRightInd w:val="0"/>
              <w:snapToGrid w:val="0"/>
              <w:spacing w:line="560" w:lineRule="exact"/>
              <w:jc w:val="center"/>
              <w:rPr>
                <w:color w:val="auto"/>
                <w:szCs w:val="21"/>
                <w:highlight w:val="none"/>
              </w:rPr>
            </w:pPr>
            <w:r>
              <w:rPr>
                <w:color w:val="auto"/>
                <w:szCs w:val="21"/>
                <w:highlight w:val="none"/>
              </w:rPr>
              <w:t>联系方式</w:t>
            </w:r>
            <w:bookmarkStart w:id="1449" w:name="_Toc16718"/>
          </w:p>
        </w:tc>
        <w:tc>
          <w:tcPr>
            <w:tcW w:w="1036" w:type="dxa"/>
            <w:tcBorders>
              <w:top w:val="single" w:color="auto" w:sz="4" w:space="0"/>
              <w:left w:val="single" w:color="auto" w:sz="4" w:space="0"/>
              <w:bottom w:val="single" w:color="auto" w:sz="4" w:space="0"/>
              <w:right w:val="single" w:color="auto" w:sz="4" w:space="0"/>
            </w:tcBorders>
            <w:noWrap w:val="0"/>
            <w:vAlign w:val="center"/>
          </w:tcPr>
          <w:p w14:paraId="49D834DF">
            <w:pPr>
              <w:topLinePunct/>
              <w:adjustRightInd w:val="0"/>
              <w:snapToGrid w:val="0"/>
              <w:spacing w:line="560" w:lineRule="exact"/>
              <w:jc w:val="center"/>
              <w:rPr>
                <w:color w:val="auto"/>
                <w:szCs w:val="21"/>
                <w:highlight w:val="none"/>
              </w:rPr>
            </w:pPr>
            <w:bookmarkStart w:id="1450" w:name="_Toc506107341"/>
            <w:bookmarkStart w:id="1451" w:name="_Toc58229116"/>
            <w:bookmarkStart w:id="1452" w:name="_Toc15058935"/>
            <w:bookmarkStart w:id="1453" w:name="_Toc60061575"/>
            <w:r>
              <w:rPr>
                <w:color w:val="auto"/>
                <w:szCs w:val="21"/>
                <w:highlight w:val="none"/>
              </w:rPr>
              <w:t>联系人</w:t>
            </w:r>
          </w:p>
        </w:tc>
        <w:tc>
          <w:tcPr>
            <w:tcW w:w="2908" w:type="dxa"/>
            <w:gridSpan w:val="4"/>
            <w:tcBorders>
              <w:top w:val="single" w:color="auto" w:sz="4" w:space="0"/>
              <w:left w:val="single" w:color="auto" w:sz="4" w:space="0"/>
              <w:bottom w:val="single" w:color="auto" w:sz="4" w:space="0"/>
              <w:right w:val="single" w:color="auto" w:sz="4" w:space="0"/>
            </w:tcBorders>
            <w:noWrap w:val="0"/>
            <w:vAlign w:val="center"/>
          </w:tcPr>
          <w:p w14:paraId="35DE47BF">
            <w:pPr>
              <w:topLinePunct/>
              <w:adjustRightInd w:val="0"/>
              <w:snapToGrid w:val="0"/>
              <w:spacing w:line="560" w:lineRule="exact"/>
              <w:jc w:val="center"/>
              <w:rPr>
                <w:color w:val="auto"/>
                <w:szCs w:val="21"/>
                <w:highlight w:val="none"/>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2C594B37">
            <w:pPr>
              <w:topLinePunct/>
              <w:adjustRightInd w:val="0"/>
              <w:snapToGrid w:val="0"/>
              <w:spacing w:line="560" w:lineRule="exact"/>
              <w:jc w:val="center"/>
              <w:rPr>
                <w:color w:val="auto"/>
                <w:szCs w:val="21"/>
                <w:highlight w:val="none"/>
              </w:rPr>
            </w:pPr>
            <w:r>
              <w:rPr>
                <w:color w:val="auto"/>
                <w:szCs w:val="21"/>
                <w:highlight w:val="none"/>
              </w:rPr>
              <w:t>电 话</w:t>
            </w:r>
          </w:p>
        </w:tc>
        <w:tc>
          <w:tcPr>
            <w:tcW w:w="2700" w:type="dxa"/>
            <w:gridSpan w:val="3"/>
            <w:tcBorders>
              <w:top w:val="single" w:color="auto" w:sz="4" w:space="0"/>
              <w:left w:val="single" w:color="auto" w:sz="4" w:space="0"/>
              <w:bottom w:val="single" w:color="auto" w:sz="4" w:space="0"/>
              <w:right w:val="single" w:color="auto" w:sz="4" w:space="0"/>
            </w:tcBorders>
            <w:noWrap w:val="0"/>
            <w:vAlign w:val="center"/>
          </w:tcPr>
          <w:p w14:paraId="25279A1D">
            <w:pPr>
              <w:topLinePunct/>
              <w:adjustRightInd w:val="0"/>
              <w:snapToGrid w:val="0"/>
              <w:spacing w:line="560" w:lineRule="exact"/>
              <w:jc w:val="center"/>
              <w:rPr>
                <w:color w:val="auto"/>
                <w:szCs w:val="21"/>
                <w:highlight w:val="none"/>
              </w:rPr>
            </w:pPr>
          </w:p>
        </w:tc>
      </w:t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tr w14:paraId="15D2C9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47" w:hRule="atLeast"/>
          <w:jc w:val="center"/>
        </w:trPr>
        <w:tc>
          <w:tcPr>
            <w:tcW w:w="1993" w:type="dxa"/>
            <w:vMerge w:val="continue"/>
            <w:tcBorders>
              <w:top w:val="single" w:color="auto" w:sz="4" w:space="0"/>
              <w:left w:val="single" w:color="auto" w:sz="4" w:space="0"/>
              <w:bottom w:val="single" w:color="auto" w:sz="4" w:space="0"/>
              <w:right w:val="single" w:color="auto" w:sz="4" w:space="0"/>
            </w:tcBorders>
            <w:noWrap w:val="0"/>
            <w:vAlign w:val="center"/>
          </w:tcPr>
          <w:p w14:paraId="057889F2">
            <w:pPr>
              <w:topLinePunct/>
              <w:adjustRightInd w:val="0"/>
              <w:snapToGrid w:val="0"/>
              <w:spacing w:line="560" w:lineRule="exact"/>
              <w:jc w:val="center"/>
              <w:rPr>
                <w:color w:val="auto"/>
                <w:szCs w:val="21"/>
                <w:highlight w:val="none"/>
              </w:rPr>
            </w:pPr>
          </w:p>
        </w:tc>
        <w:tc>
          <w:tcPr>
            <w:tcW w:w="1036" w:type="dxa"/>
            <w:tcBorders>
              <w:top w:val="single" w:color="auto" w:sz="4" w:space="0"/>
              <w:left w:val="single" w:color="auto" w:sz="4" w:space="0"/>
              <w:bottom w:val="single" w:color="auto" w:sz="4" w:space="0"/>
              <w:right w:val="single" w:color="auto" w:sz="4" w:space="0"/>
            </w:tcBorders>
            <w:noWrap w:val="0"/>
            <w:vAlign w:val="center"/>
          </w:tcPr>
          <w:p w14:paraId="5CE1F5AB">
            <w:pPr>
              <w:topLinePunct/>
              <w:adjustRightInd w:val="0"/>
              <w:snapToGrid w:val="0"/>
              <w:spacing w:line="560" w:lineRule="exact"/>
              <w:jc w:val="center"/>
              <w:rPr>
                <w:color w:val="auto"/>
                <w:szCs w:val="21"/>
                <w:highlight w:val="none"/>
              </w:rPr>
            </w:pPr>
            <w:r>
              <w:rPr>
                <w:color w:val="auto"/>
                <w:szCs w:val="21"/>
                <w:highlight w:val="none"/>
              </w:rPr>
              <w:t>传  真</w:t>
            </w:r>
          </w:p>
        </w:tc>
        <w:tc>
          <w:tcPr>
            <w:tcW w:w="2908" w:type="dxa"/>
            <w:gridSpan w:val="4"/>
            <w:tcBorders>
              <w:top w:val="single" w:color="auto" w:sz="4" w:space="0"/>
              <w:left w:val="single" w:color="auto" w:sz="4" w:space="0"/>
              <w:bottom w:val="single" w:color="auto" w:sz="4" w:space="0"/>
              <w:right w:val="single" w:color="auto" w:sz="4" w:space="0"/>
            </w:tcBorders>
            <w:noWrap w:val="0"/>
            <w:vAlign w:val="center"/>
          </w:tcPr>
          <w:p w14:paraId="5DA1F47C">
            <w:pPr>
              <w:topLinePunct/>
              <w:adjustRightInd w:val="0"/>
              <w:snapToGrid w:val="0"/>
              <w:spacing w:line="560" w:lineRule="exact"/>
              <w:jc w:val="center"/>
              <w:rPr>
                <w:color w:val="auto"/>
                <w:szCs w:val="21"/>
                <w:highlight w:val="none"/>
              </w:rPr>
            </w:pPr>
          </w:p>
        </w:tc>
        <w:tc>
          <w:tcPr>
            <w:tcW w:w="1243" w:type="dxa"/>
            <w:tcBorders>
              <w:top w:val="single" w:color="auto" w:sz="4" w:space="0"/>
              <w:left w:val="single" w:color="auto" w:sz="4" w:space="0"/>
              <w:bottom w:val="single" w:color="auto" w:sz="4" w:space="0"/>
              <w:right w:val="single" w:color="auto" w:sz="4" w:space="0"/>
            </w:tcBorders>
            <w:noWrap w:val="0"/>
            <w:vAlign w:val="center"/>
          </w:tcPr>
          <w:p w14:paraId="42312234">
            <w:pPr>
              <w:topLinePunct/>
              <w:adjustRightInd w:val="0"/>
              <w:snapToGrid w:val="0"/>
              <w:spacing w:line="560" w:lineRule="exact"/>
              <w:jc w:val="center"/>
              <w:rPr>
                <w:color w:val="auto"/>
                <w:szCs w:val="21"/>
                <w:highlight w:val="none"/>
              </w:rPr>
            </w:pPr>
            <w:r>
              <w:rPr>
                <w:color w:val="auto"/>
                <w:szCs w:val="21"/>
                <w:highlight w:val="none"/>
              </w:rPr>
              <w:t>网 址</w:t>
            </w:r>
          </w:p>
        </w:tc>
        <w:tc>
          <w:tcPr>
            <w:tcW w:w="2700" w:type="dxa"/>
            <w:gridSpan w:val="3"/>
            <w:tcBorders>
              <w:top w:val="single" w:color="auto" w:sz="4" w:space="0"/>
              <w:left w:val="single" w:color="auto" w:sz="4" w:space="0"/>
              <w:bottom w:val="single" w:color="auto" w:sz="4" w:space="0"/>
              <w:right w:val="single" w:color="auto" w:sz="4" w:space="0"/>
            </w:tcBorders>
            <w:noWrap w:val="0"/>
            <w:vAlign w:val="center"/>
          </w:tcPr>
          <w:p w14:paraId="54B7B423">
            <w:pPr>
              <w:topLinePunct/>
              <w:adjustRightInd w:val="0"/>
              <w:snapToGrid w:val="0"/>
              <w:spacing w:line="560" w:lineRule="exact"/>
              <w:jc w:val="center"/>
              <w:rPr>
                <w:color w:val="auto"/>
                <w:szCs w:val="21"/>
                <w:highlight w:val="none"/>
              </w:rPr>
            </w:pPr>
          </w:p>
        </w:tc>
      </w:tr>
      <w:tr w14:paraId="7BC979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BD65D9E">
            <w:pPr>
              <w:topLinePunct/>
              <w:adjustRightInd w:val="0"/>
              <w:snapToGrid w:val="0"/>
              <w:spacing w:line="560" w:lineRule="exact"/>
              <w:jc w:val="center"/>
              <w:rPr>
                <w:color w:val="auto"/>
                <w:szCs w:val="21"/>
                <w:highlight w:val="none"/>
              </w:rPr>
            </w:pPr>
            <w:r>
              <w:rPr>
                <w:color w:val="auto"/>
                <w:szCs w:val="21"/>
                <w:highlight w:val="none"/>
              </w:rPr>
              <w:t>组织结构</w:t>
            </w:r>
          </w:p>
        </w:tc>
        <w:tc>
          <w:tcPr>
            <w:tcW w:w="7887" w:type="dxa"/>
            <w:gridSpan w:val="9"/>
            <w:tcBorders>
              <w:top w:val="single" w:color="auto" w:sz="4" w:space="0"/>
              <w:left w:val="single" w:color="auto" w:sz="4" w:space="0"/>
              <w:bottom w:val="single" w:color="auto" w:sz="4" w:space="0"/>
              <w:right w:val="single" w:color="auto" w:sz="4" w:space="0"/>
            </w:tcBorders>
            <w:noWrap w:val="0"/>
            <w:vAlign w:val="center"/>
          </w:tcPr>
          <w:p w14:paraId="36FCB711">
            <w:pPr>
              <w:topLinePunct/>
              <w:adjustRightInd w:val="0"/>
              <w:snapToGrid w:val="0"/>
              <w:spacing w:line="560" w:lineRule="exact"/>
              <w:jc w:val="center"/>
              <w:rPr>
                <w:color w:val="auto"/>
                <w:szCs w:val="21"/>
                <w:highlight w:val="none"/>
              </w:rPr>
            </w:pPr>
          </w:p>
        </w:tc>
      </w:tr>
      <w:tr w14:paraId="182ED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DE96107">
            <w:pPr>
              <w:topLinePunct/>
              <w:adjustRightInd w:val="0"/>
              <w:snapToGrid w:val="0"/>
              <w:spacing w:line="560" w:lineRule="exact"/>
              <w:jc w:val="center"/>
              <w:rPr>
                <w:color w:val="auto"/>
                <w:szCs w:val="21"/>
                <w:highlight w:val="none"/>
              </w:rPr>
            </w:pPr>
            <w:r>
              <w:rPr>
                <w:color w:val="auto"/>
                <w:szCs w:val="21"/>
                <w:highlight w:val="none"/>
              </w:rPr>
              <w:t>法定代表人</w:t>
            </w:r>
          </w:p>
        </w:tc>
        <w:tc>
          <w:tcPr>
            <w:tcW w:w="1036" w:type="dxa"/>
            <w:tcBorders>
              <w:top w:val="single" w:color="auto" w:sz="4" w:space="0"/>
              <w:left w:val="single" w:color="auto" w:sz="4" w:space="0"/>
              <w:bottom w:val="single" w:color="auto" w:sz="4" w:space="0"/>
              <w:right w:val="single" w:color="auto" w:sz="4" w:space="0"/>
            </w:tcBorders>
            <w:noWrap w:val="0"/>
            <w:vAlign w:val="center"/>
          </w:tcPr>
          <w:p w14:paraId="5FAC11BD">
            <w:pPr>
              <w:topLinePunct/>
              <w:adjustRightInd w:val="0"/>
              <w:snapToGrid w:val="0"/>
              <w:spacing w:line="560" w:lineRule="exact"/>
              <w:jc w:val="center"/>
              <w:rPr>
                <w:color w:val="auto"/>
                <w:szCs w:val="21"/>
                <w:highlight w:val="none"/>
              </w:rPr>
            </w:pPr>
            <w:r>
              <w:rPr>
                <w:color w:val="auto"/>
                <w:szCs w:val="21"/>
                <w:highlight w:val="none"/>
              </w:rPr>
              <w:t>姓名</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0C7BAA29">
            <w:pPr>
              <w:topLinePunct/>
              <w:adjustRightInd w:val="0"/>
              <w:snapToGrid w:val="0"/>
              <w:spacing w:line="560" w:lineRule="exact"/>
              <w:jc w:val="center"/>
              <w:rPr>
                <w:color w:val="auto"/>
                <w:szCs w:val="21"/>
                <w:highlight w:val="none"/>
              </w:rPr>
            </w:pP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4EA4759E">
            <w:pPr>
              <w:topLinePunct/>
              <w:adjustRightInd w:val="0"/>
              <w:snapToGrid w:val="0"/>
              <w:spacing w:line="560" w:lineRule="exact"/>
              <w:jc w:val="center"/>
              <w:rPr>
                <w:color w:val="auto"/>
                <w:szCs w:val="21"/>
                <w:highlight w:val="none"/>
              </w:rPr>
            </w:pPr>
            <w:r>
              <w:rPr>
                <w:color w:val="auto"/>
                <w:szCs w:val="21"/>
                <w:highlight w:val="none"/>
              </w:rPr>
              <w:t>技术职称</w:t>
            </w:r>
          </w:p>
        </w:tc>
        <w:tc>
          <w:tcPr>
            <w:tcW w:w="2167" w:type="dxa"/>
            <w:gridSpan w:val="3"/>
            <w:tcBorders>
              <w:top w:val="single" w:color="auto" w:sz="4" w:space="0"/>
              <w:left w:val="single" w:color="auto" w:sz="4" w:space="0"/>
              <w:bottom w:val="single" w:color="auto" w:sz="4" w:space="0"/>
              <w:right w:val="single" w:color="auto" w:sz="4" w:space="0"/>
            </w:tcBorders>
            <w:noWrap w:val="0"/>
            <w:vAlign w:val="center"/>
          </w:tcPr>
          <w:p w14:paraId="385A0FA3">
            <w:pPr>
              <w:topLinePunct/>
              <w:adjustRightInd w:val="0"/>
              <w:snapToGrid w:val="0"/>
              <w:spacing w:line="560" w:lineRule="exact"/>
              <w:jc w:val="center"/>
              <w:rPr>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noWrap w:val="0"/>
            <w:vAlign w:val="center"/>
          </w:tcPr>
          <w:p w14:paraId="2AB7BF11">
            <w:pPr>
              <w:topLinePunct/>
              <w:adjustRightInd w:val="0"/>
              <w:snapToGrid w:val="0"/>
              <w:spacing w:line="560" w:lineRule="exact"/>
              <w:jc w:val="center"/>
              <w:rPr>
                <w:color w:val="auto"/>
                <w:szCs w:val="21"/>
                <w:highlight w:val="none"/>
              </w:rPr>
            </w:pPr>
            <w:r>
              <w:rPr>
                <w:color w:val="auto"/>
                <w:szCs w:val="21"/>
                <w:highlight w:val="none"/>
              </w:rPr>
              <w:t>电话</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4EB81C6C">
            <w:pPr>
              <w:topLinePunct/>
              <w:adjustRightInd w:val="0"/>
              <w:snapToGrid w:val="0"/>
              <w:spacing w:line="560" w:lineRule="exact"/>
              <w:jc w:val="center"/>
              <w:rPr>
                <w:color w:val="auto"/>
                <w:szCs w:val="21"/>
                <w:highlight w:val="none"/>
              </w:rPr>
            </w:pPr>
          </w:p>
        </w:tc>
      </w:tr>
      <w:tr w14:paraId="6B5DB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4"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76B855B8">
            <w:pPr>
              <w:topLinePunct/>
              <w:adjustRightInd w:val="0"/>
              <w:snapToGrid w:val="0"/>
              <w:spacing w:line="560" w:lineRule="exact"/>
              <w:jc w:val="center"/>
              <w:rPr>
                <w:color w:val="auto"/>
                <w:szCs w:val="21"/>
                <w:highlight w:val="none"/>
              </w:rPr>
            </w:pPr>
            <w:r>
              <w:rPr>
                <w:color w:val="auto"/>
                <w:szCs w:val="21"/>
                <w:highlight w:val="none"/>
              </w:rPr>
              <w:t>技术负责人</w:t>
            </w:r>
          </w:p>
        </w:tc>
        <w:tc>
          <w:tcPr>
            <w:tcW w:w="1036" w:type="dxa"/>
            <w:tcBorders>
              <w:top w:val="single" w:color="auto" w:sz="4" w:space="0"/>
              <w:left w:val="single" w:color="auto" w:sz="4" w:space="0"/>
              <w:bottom w:val="single" w:color="auto" w:sz="4" w:space="0"/>
              <w:right w:val="single" w:color="auto" w:sz="4" w:space="0"/>
            </w:tcBorders>
            <w:noWrap w:val="0"/>
            <w:vAlign w:val="center"/>
          </w:tcPr>
          <w:p w14:paraId="5BA2D2C7">
            <w:pPr>
              <w:topLinePunct/>
              <w:adjustRightInd w:val="0"/>
              <w:snapToGrid w:val="0"/>
              <w:spacing w:line="560" w:lineRule="exact"/>
              <w:jc w:val="center"/>
              <w:rPr>
                <w:color w:val="auto"/>
                <w:szCs w:val="21"/>
                <w:highlight w:val="none"/>
              </w:rPr>
            </w:pPr>
            <w:r>
              <w:rPr>
                <w:color w:val="auto"/>
                <w:szCs w:val="21"/>
                <w:highlight w:val="none"/>
              </w:rPr>
              <w:t>姓名</w:t>
            </w:r>
          </w:p>
        </w:tc>
        <w:tc>
          <w:tcPr>
            <w:tcW w:w="1096" w:type="dxa"/>
            <w:tcBorders>
              <w:top w:val="single" w:color="auto" w:sz="4" w:space="0"/>
              <w:left w:val="single" w:color="auto" w:sz="4" w:space="0"/>
              <w:bottom w:val="single" w:color="auto" w:sz="4" w:space="0"/>
              <w:right w:val="single" w:color="auto" w:sz="4" w:space="0"/>
            </w:tcBorders>
            <w:noWrap w:val="0"/>
            <w:vAlign w:val="center"/>
          </w:tcPr>
          <w:p w14:paraId="60958EB4">
            <w:pPr>
              <w:topLinePunct/>
              <w:adjustRightInd w:val="0"/>
              <w:snapToGrid w:val="0"/>
              <w:spacing w:line="560" w:lineRule="exact"/>
              <w:jc w:val="center"/>
              <w:rPr>
                <w:color w:val="auto"/>
                <w:szCs w:val="21"/>
                <w:highlight w:val="none"/>
              </w:rPr>
            </w:pPr>
          </w:p>
        </w:tc>
        <w:tc>
          <w:tcPr>
            <w:tcW w:w="1453" w:type="dxa"/>
            <w:gridSpan w:val="2"/>
            <w:tcBorders>
              <w:top w:val="single" w:color="auto" w:sz="4" w:space="0"/>
              <w:left w:val="single" w:color="auto" w:sz="4" w:space="0"/>
              <w:bottom w:val="single" w:color="auto" w:sz="4" w:space="0"/>
              <w:right w:val="single" w:color="auto" w:sz="4" w:space="0"/>
            </w:tcBorders>
            <w:noWrap w:val="0"/>
            <w:vAlign w:val="center"/>
          </w:tcPr>
          <w:p w14:paraId="56DAC45A">
            <w:pPr>
              <w:topLinePunct/>
              <w:adjustRightInd w:val="0"/>
              <w:snapToGrid w:val="0"/>
              <w:spacing w:line="560" w:lineRule="exact"/>
              <w:jc w:val="center"/>
              <w:rPr>
                <w:color w:val="auto"/>
                <w:szCs w:val="21"/>
                <w:highlight w:val="none"/>
              </w:rPr>
            </w:pPr>
            <w:r>
              <w:rPr>
                <w:color w:val="auto"/>
                <w:szCs w:val="21"/>
                <w:highlight w:val="none"/>
              </w:rPr>
              <w:t>技术职称</w:t>
            </w:r>
          </w:p>
        </w:tc>
        <w:tc>
          <w:tcPr>
            <w:tcW w:w="2167" w:type="dxa"/>
            <w:gridSpan w:val="3"/>
            <w:tcBorders>
              <w:top w:val="single" w:color="auto" w:sz="4" w:space="0"/>
              <w:left w:val="single" w:color="auto" w:sz="4" w:space="0"/>
              <w:bottom w:val="single" w:color="auto" w:sz="4" w:space="0"/>
              <w:right w:val="single" w:color="auto" w:sz="4" w:space="0"/>
            </w:tcBorders>
            <w:noWrap w:val="0"/>
            <w:vAlign w:val="center"/>
          </w:tcPr>
          <w:p w14:paraId="3B06D704">
            <w:pPr>
              <w:topLinePunct/>
              <w:adjustRightInd w:val="0"/>
              <w:snapToGrid w:val="0"/>
              <w:spacing w:line="560" w:lineRule="exact"/>
              <w:jc w:val="center"/>
              <w:rPr>
                <w:color w:val="auto"/>
                <w:szCs w:val="21"/>
                <w:highlight w:val="none"/>
              </w:rPr>
            </w:pPr>
          </w:p>
        </w:tc>
        <w:tc>
          <w:tcPr>
            <w:tcW w:w="991" w:type="dxa"/>
            <w:tcBorders>
              <w:top w:val="single" w:color="auto" w:sz="4" w:space="0"/>
              <w:left w:val="single" w:color="auto" w:sz="4" w:space="0"/>
              <w:bottom w:val="single" w:color="auto" w:sz="4" w:space="0"/>
              <w:right w:val="single" w:color="auto" w:sz="4" w:space="0"/>
            </w:tcBorders>
            <w:noWrap w:val="0"/>
            <w:vAlign w:val="center"/>
          </w:tcPr>
          <w:p w14:paraId="0F85ED8F">
            <w:pPr>
              <w:topLinePunct/>
              <w:adjustRightInd w:val="0"/>
              <w:snapToGrid w:val="0"/>
              <w:spacing w:line="560" w:lineRule="exact"/>
              <w:jc w:val="center"/>
              <w:rPr>
                <w:color w:val="auto"/>
                <w:szCs w:val="21"/>
                <w:highlight w:val="none"/>
              </w:rPr>
            </w:pPr>
            <w:r>
              <w:rPr>
                <w:color w:val="auto"/>
                <w:szCs w:val="21"/>
                <w:highlight w:val="none"/>
              </w:rPr>
              <w:t>电话</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6028C1B2">
            <w:pPr>
              <w:topLinePunct/>
              <w:adjustRightInd w:val="0"/>
              <w:snapToGrid w:val="0"/>
              <w:spacing w:line="560" w:lineRule="exact"/>
              <w:jc w:val="center"/>
              <w:rPr>
                <w:color w:val="auto"/>
                <w:szCs w:val="21"/>
                <w:highlight w:val="none"/>
              </w:rPr>
            </w:pPr>
          </w:p>
        </w:tc>
      </w:tr>
      <w:tr w14:paraId="566167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02754BDD">
            <w:pPr>
              <w:topLinePunct/>
              <w:adjustRightInd w:val="0"/>
              <w:snapToGrid w:val="0"/>
              <w:spacing w:line="560" w:lineRule="exact"/>
              <w:jc w:val="center"/>
              <w:rPr>
                <w:color w:val="auto"/>
                <w:szCs w:val="21"/>
                <w:highlight w:val="none"/>
              </w:rPr>
            </w:pPr>
            <w:r>
              <w:rPr>
                <w:color w:val="auto"/>
                <w:szCs w:val="21"/>
                <w:highlight w:val="none"/>
              </w:rPr>
              <w:t>成立时间</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3496EB25">
            <w:pPr>
              <w:topLinePunct/>
              <w:adjustRightInd w:val="0"/>
              <w:snapToGrid w:val="0"/>
              <w:spacing w:line="560" w:lineRule="exact"/>
              <w:jc w:val="center"/>
              <w:rPr>
                <w:color w:val="auto"/>
                <w:szCs w:val="21"/>
                <w:highlight w:val="none"/>
              </w:rPr>
            </w:pPr>
          </w:p>
        </w:tc>
        <w:tc>
          <w:tcPr>
            <w:tcW w:w="5755" w:type="dxa"/>
            <w:gridSpan w:val="7"/>
            <w:tcBorders>
              <w:top w:val="single" w:color="auto" w:sz="4" w:space="0"/>
              <w:left w:val="single" w:color="auto" w:sz="4" w:space="0"/>
              <w:bottom w:val="single" w:color="auto" w:sz="4" w:space="0"/>
              <w:right w:val="single" w:color="auto" w:sz="4" w:space="0"/>
            </w:tcBorders>
            <w:noWrap w:val="0"/>
            <w:vAlign w:val="center"/>
          </w:tcPr>
          <w:p w14:paraId="497AE537">
            <w:pPr>
              <w:topLinePunct/>
              <w:adjustRightInd w:val="0"/>
              <w:snapToGrid w:val="0"/>
              <w:spacing w:line="560" w:lineRule="exact"/>
              <w:ind w:firstLine="105" w:firstLineChars="50"/>
              <w:jc w:val="center"/>
              <w:rPr>
                <w:color w:val="auto"/>
                <w:szCs w:val="21"/>
                <w:highlight w:val="none"/>
              </w:rPr>
            </w:pPr>
            <w:r>
              <w:rPr>
                <w:color w:val="auto"/>
                <w:szCs w:val="21"/>
                <w:highlight w:val="none"/>
              </w:rPr>
              <w:t>员工总人数：</w:t>
            </w:r>
          </w:p>
        </w:tc>
      </w:tr>
      <w:tr w14:paraId="7C7475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2"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7C7BE717">
            <w:pPr>
              <w:topLinePunct/>
              <w:adjustRightInd w:val="0"/>
              <w:snapToGrid w:val="0"/>
              <w:spacing w:line="560" w:lineRule="exact"/>
              <w:jc w:val="center"/>
              <w:rPr>
                <w:color w:val="auto"/>
                <w:szCs w:val="21"/>
                <w:highlight w:val="none"/>
              </w:rPr>
            </w:pPr>
            <w:r>
              <w:rPr>
                <w:color w:val="auto"/>
                <w:szCs w:val="21"/>
                <w:highlight w:val="none"/>
              </w:rPr>
              <w:t>企业资质等级</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59F7C602">
            <w:pPr>
              <w:topLinePunct/>
              <w:adjustRightInd w:val="0"/>
              <w:snapToGrid w:val="0"/>
              <w:spacing w:line="560" w:lineRule="exact"/>
              <w:jc w:val="center"/>
              <w:rPr>
                <w:color w:val="auto"/>
                <w:szCs w:val="21"/>
                <w:highlight w:val="none"/>
              </w:rPr>
            </w:pPr>
          </w:p>
        </w:tc>
        <w:tc>
          <w:tcPr>
            <w:tcW w:w="969" w:type="dxa"/>
            <w:vMerge w:val="restart"/>
            <w:tcBorders>
              <w:top w:val="single" w:color="auto" w:sz="4" w:space="0"/>
              <w:left w:val="single" w:color="auto" w:sz="4" w:space="0"/>
              <w:bottom w:val="single" w:color="auto" w:sz="4" w:space="0"/>
              <w:right w:val="single" w:color="auto" w:sz="4" w:space="0"/>
            </w:tcBorders>
            <w:noWrap w:val="0"/>
            <w:vAlign w:val="center"/>
          </w:tcPr>
          <w:p w14:paraId="414D6121">
            <w:pPr>
              <w:topLinePunct/>
              <w:adjustRightInd w:val="0"/>
              <w:snapToGrid w:val="0"/>
              <w:spacing w:line="560" w:lineRule="exact"/>
              <w:jc w:val="center"/>
              <w:rPr>
                <w:color w:val="auto"/>
                <w:szCs w:val="21"/>
                <w:highlight w:val="none"/>
              </w:rPr>
            </w:pPr>
            <w:r>
              <w:rPr>
                <w:color w:val="auto"/>
                <w:szCs w:val="21"/>
                <w:highlight w:val="none"/>
              </w:rPr>
              <w:t>其中</w:t>
            </w: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09F8A9CD">
            <w:pPr>
              <w:topLinePunct/>
              <w:adjustRightInd w:val="0"/>
              <w:snapToGrid w:val="0"/>
              <w:spacing w:line="560" w:lineRule="exact"/>
              <w:jc w:val="center"/>
              <w:rPr>
                <w:color w:val="auto"/>
                <w:szCs w:val="21"/>
                <w:highlight w:val="none"/>
              </w:rPr>
            </w:pPr>
            <w:r>
              <w:rPr>
                <w:color w:val="auto"/>
                <w:szCs w:val="21"/>
                <w:highlight w:val="none"/>
              </w:rPr>
              <w:t>项目经理（建造师）</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349E4F6D">
            <w:pPr>
              <w:topLinePunct/>
              <w:adjustRightInd w:val="0"/>
              <w:snapToGrid w:val="0"/>
              <w:spacing w:line="560" w:lineRule="exact"/>
              <w:jc w:val="center"/>
              <w:rPr>
                <w:color w:val="auto"/>
                <w:szCs w:val="21"/>
                <w:highlight w:val="none"/>
              </w:rPr>
            </w:pPr>
          </w:p>
        </w:tc>
      </w:tr>
      <w:tr w14:paraId="3A37F1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44"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5406943F">
            <w:pPr>
              <w:topLinePunct/>
              <w:adjustRightInd w:val="0"/>
              <w:snapToGrid w:val="0"/>
              <w:spacing w:line="560" w:lineRule="exact"/>
              <w:jc w:val="center"/>
              <w:rPr>
                <w:color w:val="auto"/>
                <w:szCs w:val="21"/>
                <w:highlight w:val="none"/>
              </w:rPr>
            </w:pPr>
            <w:r>
              <w:rPr>
                <w:color w:val="auto"/>
                <w:szCs w:val="21"/>
                <w:highlight w:val="none"/>
              </w:rPr>
              <w:t>营业执照号</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72A5EB89">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3AA0DE22">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4B84C191">
            <w:pPr>
              <w:topLinePunct/>
              <w:adjustRightInd w:val="0"/>
              <w:snapToGrid w:val="0"/>
              <w:spacing w:line="560" w:lineRule="exact"/>
              <w:jc w:val="center"/>
              <w:rPr>
                <w:color w:val="auto"/>
                <w:szCs w:val="21"/>
                <w:highlight w:val="none"/>
              </w:rPr>
            </w:pPr>
            <w:r>
              <w:rPr>
                <w:color w:val="auto"/>
                <w:szCs w:val="21"/>
                <w:highlight w:val="none"/>
              </w:rPr>
              <w:t>高级职称人员</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293A9177">
            <w:pPr>
              <w:topLinePunct/>
              <w:adjustRightInd w:val="0"/>
              <w:snapToGrid w:val="0"/>
              <w:spacing w:line="560" w:lineRule="exact"/>
              <w:jc w:val="center"/>
              <w:rPr>
                <w:color w:val="auto"/>
                <w:szCs w:val="21"/>
                <w:highlight w:val="none"/>
              </w:rPr>
            </w:pPr>
          </w:p>
        </w:tc>
      </w:tr>
      <w:tr w14:paraId="1DBD4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6A9F58AC">
            <w:pPr>
              <w:topLinePunct/>
              <w:adjustRightInd w:val="0"/>
              <w:snapToGrid w:val="0"/>
              <w:spacing w:line="560" w:lineRule="exact"/>
              <w:jc w:val="center"/>
              <w:rPr>
                <w:color w:val="auto"/>
                <w:szCs w:val="21"/>
                <w:highlight w:val="none"/>
              </w:rPr>
            </w:pPr>
            <w:r>
              <w:rPr>
                <w:color w:val="auto"/>
                <w:szCs w:val="21"/>
                <w:highlight w:val="none"/>
              </w:rPr>
              <w:t>注册资金</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12031ACD">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79AA9314">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30B07EF0">
            <w:pPr>
              <w:topLinePunct/>
              <w:adjustRightInd w:val="0"/>
              <w:snapToGrid w:val="0"/>
              <w:spacing w:line="560" w:lineRule="exact"/>
              <w:jc w:val="center"/>
              <w:rPr>
                <w:color w:val="auto"/>
                <w:szCs w:val="21"/>
                <w:highlight w:val="none"/>
              </w:rPr>
            </w:pPr>
            <w:r>
              <w:rPr>
                <w:color w:val="auto"/>
                <w:szCs w:val="21"/>
                <w:highlight w:val="none"/>
              </w:rPr>
              <w:t>中级职称人员</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154BB5C5">
            <w:pPr>
              <w:topLinePunct/>
              <w:adjustRightInd w:val="0"/>
              <w:snapToGrid w:val="0"/>
              <w:spacing w:line="560" w:lineRule="exact"/>
              <w:jc w:val="center"/>
              <w:rPr>
                <w:color w:val="auto"/>
                <w:szCs w:val="21"/>
                <w:highlight w:val="none"/>
              </w:rPr>
            </w:pPr>
          </w:p>
        </w:tc>
      </w:tr>
      <w:tr w14:paraId="1C8A57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3"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1D9075EF">
            <w:pPr>
              <w:topLinePunct/>
              <w:adjustRightInd w:val="0"/>
              <w:snapToGrid w:val="0"/>
              <w:spacing w:line="560" w:lineRule="exact"/>
              <w:jc w:val="center"/>
              <w:rPr>
                <w:color w:val="auto"/>
                <w:szCs w:val="21"/>
                <w:highlight w:val="none"/>
              </w:rPr>
            </w:pPr>
            <w:r>
              <w:rPr>
                <w:color w:val="auto"/>
                <w:szCs w:val="21"/>
                <w:highlight w:val="none"/>
              </w:rPr>
              <w:t>开户银行</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168DF787">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365DB624">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6F5C83D6">
            <w:pPr>
              <w:topLinePunct/>
              <w:adjustRightInd w:val="0"/>
              <w:snapToGrid w:val="0"/>
              <w:spacing w:line="560" w:lineRule="exact"/>
              <w:jc w:val="center"/>
              <w:rPr>
                <w:color w:val="auto"/>
                <w:szCs w:val="21"/>
                <w:highlight w:val="none"/>
              </w:rPr>
            </w:pPr>
            <w:r>
              <w:rPr>
                <w:color w:val="auto"/>
                <w:szCs w:val="21"/>
                <w:highlight w:val="none"/>
              </w:rPr>
              <w:t>初级职称人员</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640F07BA">
            <w:pPr>
              <w:topLinePunct/>
              <w:adjustRightInd w:val="0"/>
              <w:snapToGrid w:val="0"/>
              <w:spacing w:line="560" w:lineRule="exact"/>
              <w:jc w:val="center"/>
              <w:rPr>
                <w:color w:val="auto"/>
                <w:szCs w:val="21"/>
                <w:highlight w:val="none"/>
              </w:rPr>
            </w:pPr>
          </w:p>
        </w:tc>
      </w:tr>
      <w:tr w14:paraId="574AD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9"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480EF17E">
            <w:pPr>
              <w:topLinePunct/>
              <w:adjustRightInd w:val="0"/>
              <w:snapToGrid w:val="0"/>
              <w:spacing w:line="560" w:lineRule="exact"/>
              <w:jc w:val="center"/>
              <w:rPr>
                <w:color w:val="auto"/>
                <w:szCs w:val="21"/>
                <w:highlight w:val="none"/>
              </w:rPr>
            </w:pPr>
            <w:r>
              <w:rPr>
                <w:color w:val="auto"/>
                <w:szCs w:val="21"/>
                <w:highlight w:val="none"/>
              </w:rPr>
              <w:t>账号</w:t>
            </w:r>
          </w:p>
        </w:tc>
        <w:tc>
          <w:tcPr>
            <w:tcW w:w="2132" w:type="dxa"/>
            <w:gridSpan w:val="2"/>
            <w:tcBorders>
              <w:top w:val="single" w:color="auto" w:sz="4" w:space="0"/>
              <w:left w:val="single" w:color="auto" w:sz="4" w:space="0"/>
              <w:bottom w:val="single" w:color="auto" w:sz="4" w:space="0"/>
              <w:right w:val="single" w:color="auto" w:sz="4" w:space="0"/>
            </w:tcBorders>
            <w:noWrap w:val="0"/>
            <w:vAlign w:val="center"/>
          </w:tcPr>
          <w:p w14:paraId="114C92D2">
            <w:pPr>
              <w:topLinePunct/>
              <w:adjustRightInd w:val="0"/>
              <w:snapToGrid w:val="0"/>
              <w:spacing w:line="560" w:lineRule="exact"/>
              <w:jc w:val="center"/>
              <w:rPr>
                <w:color w:val="auto"/>
                <w:szCs w:val="21"/>
                <w:highlight w:val="none"/>
              </w:rPr>
            </w:pPr>
          </w:p>
        </w:tc>
        <w:tc>
          <w:tcPr>
            <w:tcW w:w="969" w:type="dxa"/>
            <w:vMerge w:val="continue"/>
            <w:tcBorders>
              <w:top w:val="single" w:color="auto" w:sz="4" w:space="0"/>
              <w:left w:val="single" w:color="auto" w:sz="4" w:space="0"/>
              <w:bottom w:val="single" w:color="auto" w:sz="4" w:space="0"/>
              <w:right w:val="single" w:color="auto" w:sz="4" w:space="0"/>
            </w:tcBorders>
            <w:noWrap w:val="0"/>
            <w:vAlign w:val="center"/>
          </w:tcPr>
          <w:p w14:paraId="4EBF12C5">
            <w:pPr>
              <w:topLinePunct/>
              <w:adjustRightInd w:val="0"/>
              <w:snapToGrid w:val="0"/>
              <w:spacing w:line="560" w:lineRule="exact"/>
              <w:jc w:val="center"/>
              <w:rPr>
                <w:color w:val="auto"/>
                <w:szCs w:val="21"/>
                <w:highlight w:val="none"/>
              </w:rPr>
            </w:pPr>
          </w:p>
        </w:tc>
        <w:tc>
          <w:tcPr>
            <w:tcW w:w="2651" w:type="dxa"/>
            <w:gridSpan w:val="4"/>
            <w:tcBorders>
              <w:top w:val="single" w:color="auto" w:sz="4" w:space="0"/>
              <w:left w:val="single" w:color="auto" w:sz="4" w:space="0"/>
              <w:bottom w:val="single" w:color="auto" w:sz="4" w:space="0"/>
              <w:right w:val="single" w:color="auto" w:sz="4" w:space="0"/>
            </w:tcBorders>
            <w:noWrap w:val="0"/>
            <w:vAlign w:val="center"/>
          </w:tcPr>
          <w:p w14:paraId="286D6C8D">
            <w:pPr>
              <w:topLinePunct/>
              <w:adjustRightInd w:val="0"/>
              <w:snapToGrid w:val="0"/>
              <w:spacing w:line="560" w:lineRule="exact"/>
              <w:jc w:val="center"/>
              <w:rPr>
                <w:color w:val="auto"/>
                <w:highlight w:val="none"/>
              </w:rPr>
            </w:pPr>
            <w:r>
              <w:rPr>
                <w:color w:val="auto"/>
                <w:szCs w:val="21"/>
                <w:highlight w:val="none"/>
              </w:rPr>
              <w:t>技</w:t>
            </w:r>
            <w:r>
              <w:rPr>
                <w:rFonts w:hint="eastAsia"/>
                <w:color w:val="auto"/>
                <w:szCs w:val="21"/>
                <w:highlight w:val="none"/>
              </w:rPr>
              <w:t xml:space="preserve">  </w:t>
            </w:r>
            <w:r>
              <w:rPr>
                <w:color w:val="auto"/>
                <w:szCs w:val="21"/>
                <w:highlight w:val="none"/>
              </w:rPr>
              <w:t>工</w:t>
            </w:r>
          </w:p>
        </w:tc>
        <w:tc>
          <w:tcPr>
            <w:tcW w:w="2135" w:type="dxa"/>
            <w:gridSpan w:val="2"/>
            <w:tcBorders>
              <w:top w:val="single" w:color="auto" w:sz="4" w:space="0"/>
              <w:left w:val="single" w:color="auto" w:sz="4" w:space="0"/>
              <w:bottom w:val="single" w:color="auto" w:sz="4" w:space="0"/>
              <w:right w:val="single" w:color="auto" w:sz="4" w:space="0"/>
            </w:tcBorders>
            <w:noWrap w:val="0"/>
            <w:vAlign w:val="center"/>
          </w:tcPr>
          <w:p w14:paraId="49F928EA">
            <w:pPr>
              <w:topLinePunct/>
              <w:adjustRightInd w:val="0"/>
              <w:snapToGrid w:val="0"/>
              <w:spacing w:line="560" w:lineRule="exact"/>
              <w:jc w:val="center"/>
              <w:rPr>
                <w:color w:val="auto"/>
                <w:szCs w:val="21"/>
                <w:highlight w:val="none"/>
              </w:rPr>
            </w:pPr>
          </w:p>
        </w:tc>
      </w:tr>
      <w:tr w14:paraId="1710C2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9" w:hRule="atLeast"/>
          <w:jc w:val="center"/>
        </w:trPr>
        <w:tc>
          <w:tcPr>
            <w:tcW w:w="1993" w:type="dxa"/>
            <w:tcBorders>
              <w:top w:val="single" w:color="auto" w:sz="4" w:space="0"/>
              <w:left w:val="single" w:color="auto" w:sz="4" w:space="0"/>
              <w:right w:val="single" w:color="auto" w:sz="4" w:space="0"/>
            </w:tcBorders>
            <w:noWrap w:val="0"/>
            <w:vAlign w:val="center"/>
          </w:tcPr>
          <w:p w14:paraId="3E757336">
            <w:pPr>
              <w:topLinePunct/>
              <w:adjustRightInd w:val="0"/>
              <w:snapToGrid w:val="0"/>
              <w:spacing w:line="560" w:lineRule="exact"/>
              <w:ind w:firstLine="210" w:firstLineChars="100"/>
              <w:jc w:val="center"/>
              <w:rPr>
                <w:color w:val="auto"/>
                <w:szCs w:val="21"/>
                <w:highlight w:val="none"/>
              </w:rPr>
            </w:pPr>
            <w:r>
              <w:rPr>
                <w:color w:val="auto"/>
                <w:szCs w:val="21"/>
                <w:highlight w:val="none"/>
              </w:rPr>
              <w:t>经营范围</w:t>
            </w:r>
          </w:p>
        </w:tc>
        <w:tc>
          <w:tcPr>
            <w:tcW w:w="7887" w:type="dxa"/>
            <w:gridSpan w:val="9"/>
            <w:tcBorders>
              <w:top w:val="single" w:color="auto" w:sz="4" w:space="0"/>
              <w:left w:val="single" w:color="auto" w:sz="4" w:space="0"/>
              <w:right w:val="single" w:color="auto" w:sz="4" w:space="0"/>
            </w:tcBorders>
            <w:noWrap w:val="0"/>
            <w:vAlign w:val="center"/>
          </w:tcPr>
          <w:p w14:paraId="3A97ACD8">
            <w:pPr>
              <w:topLinePunct/>
              <w:adjustRightInd w:val="0"/>
              <w:snapToGrid w:val="0"/>
              <w:spacing w:line="560" w:lineRule="exact"/>
              <w:rPr>
                <w:color w:val="auto"/>
                <w:szCs w:val="21"/>
                <w:highlight w:val="none"/>
              </w:rPr>
            </w:pPr>
          </w:p>
        </w:tc>
      </w:tr>
      <w:tr w14:paraId="1B3212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1993" w:type="dxa"/>
            <w:tcBorders>
              <w:top w:val="single" w:color="auto" w:sz="4" w:space="0"/>
              <w:left w:val="single" w:color="auto" w:sz="4" w:space="0"/>
              <w:bottom w:val="single" w:color="auto" w:sz="4" w:space="0"/>
              <w:right w:val="single" w:color="auto" w:sz="4" w:space="0"/>
            </w:tcBorders>
            <w:noWrap w:val="0"/>
            <w:vAlign w:val="center"/>
          </w:tcPr>
          <w:p w14:paraId="7AA8A125">
            <w:pPr>
              <w:topLinePunct/>
              <w:adjustRightInd w:val="0"/>
              <w:snapToGrid w:val="0"/>
              <w:spacing w:line="560" w:lineRule="exact"/>
              <w:jc w:val="center"/>
              <w:rPr>
                <w:color w:val="auto"/>
                <w:szCs w:val="21"/>
                <w:highlight w:val="none"/>
              </w:rPr>
            </w:pPr>
            <w:r>
              <w:rPr>
                <w:color w:val="auto"/>
                <w:szCs w:val="21"/>
                <w:highlight w:val="none"/>
              </w:rPr>
              <w:t>备注</w:t>
            </w:r>
          </w:p>
        </w:tc>
        <w:tc>
          <w:tcPr>
            <w:tcW w:w="7887" w:type="dxa"/>
            <w:gridSpan w:val="9"/>
            <w:tcBorders>
              <w:top w:val="single" w:color="auto" w:sz="4" w:space="0"/>
              <w:left w:val="single" w:color="auto" w:sz="4" w:space="0"/>
              <w:bottom w:val="single" w:color="auto" w:sz="4" w:space="0"/>
              <w:right w:val="single" w:color="auto" w:sz="4" w:space="0"/>
            </w:tcBorders>
            <w:noWrap w:val="0"/>
            <w:vAlign w:val="center"/>
          </w:tcPr>
          <w:p w14:paraId="618C57E1">
            <w:pPr>
              <w:topLinePunct/>
              <w:adjustRightInd w:val="0"/>
              <w:snapToGrid w:val="0"/>
              <w:spacing w:line="560" w:lineRule="exact"/>
              <w:jc w:val="center"/>
              <w:rPr>
                <w:color w:val="auto"/>
                <w:szCs w:val="21"/>
                <w:highlight w:val="none"/>
              </w:rPr>
            </w:pPr>
          </w:p>
        </w:tc>
      </w:tr>
    </w:tbl>
    <w:p w14:paraId="457616FB">
      <w:pPr>
        <w:pStyle w:val="4"/>
        <w:adjustRightInd w:val="0"/>
        <w:snapToGrid w:val="0"/>
        <w:spacing w:before="0" w:after="0" w:line="560" w:lineRule="exact"/>
        <w:jc w:val="center"/>
        <w:rPr>
          <w:rFonts w:hint="eastAsia"/>
          <w:color w:val="auto"/>
          <w:highlight w:val="none"/>
        </w:rPr>
      </w:pPr>
      <w:bookmarkStart w:id="1454" w:name="_Toc95223534"/>
      <w:r>
        <w:rPr>
          <w:color w:val="auto"/>
          <w:highlight w:val="none"/>
        </w:rPr>
        <w:t>（</w:t>
      </w:r>
      <w:r>
        <w:rPr>
          <w:rFonts w:hint="eastAsia"/>
          <w:color w:val="auto"/>
          <w:highlight w:val="none"/>
        </w:rPr>
        <w:t>2</w:t>
      </w:r>
      <w:r>
        <w:rPr>
          <w:color w:val="auto"/>
          <w:highlight w:val="none"/>
        </w:rPr>
        <w:t>）近年财务状况表</w:t>
      </w:r>
      <w:bookmarkEnd w:id="1454"/>
    </w:p>
    <w:p w14:paraId="773F1444">
      <w:pPr>
        <w:pStyle w:val="4"/>
        <w:adjustRightInd w:val="0"/>
        <w:snapToGrid w:val="0"/>
        <w:spacing w:before="0" w:after="0" w:line="560" w:lineRule="exact"/>
        <w:jc w:val="center"/>
        <w:rPr>
          <w:rFonts w:eastAsia="黑体"/>
          <w:color w:val="auto"/>
          <w:sz w:val="23"/>
          <w:szCs w:val="23"/>
          <w:highlight w:val="none"/>
        </w:rPr>
      </w:pPr>
      <w:bookmarkStart w:id="1455" w:name="_Toc95223535"/>
      <w:r>
        <w:rPr>
          <w:color w:val="auto"/>
          <w:highlight w:val="none"/>
        </w:rPr>
        <w:t>（</w:t>
      </w:r>
      <w:r>
        <w:rPr>
          <w:rFonts w:hint="eastAsia"/>
          <w:color w:val="auto"/>
          <w:highlight w:val="none"/>
        </w:rPr>
        <w:t>3</w:t>
      </w:r>
      <w:r>
        <w:rPr>
          <w:color w:val="auto"/>
          <w:highlight w:val="none"/>
        </w:rPr>
        <w:t>）近年完成的类似项目情况表</w:t>
      </w:r>
      <w:bookmarkEnd w:id="1455"/>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8"/>
        <w:gridCol w:w="6912"/>
      </w:tblGrid>
      <w:tr w14:paraId="5E6C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2508" w:type="dxa"/>
            <w:noWrap w:val="0"/>
            <w:vAlign w:val="center"/>
          </w:tcPr>
          <w:p w14:paraId="764A298A">
            <w:pPr>
              <w:topLinePunct/>
              <w:adjustRightInd w:val="0"/>
              <w:snapToGrid w:val="0"/>
              <w:spacing w:line="560" w:lineRule="exact"/>
              <w:jc w:val="center"/>
              <w:rPr>
                <w:color w:val="auto"/>
                <w:szCs w:val="21"/>
                <w:highlight w:val="none"/>
              </w:rPr>
            </w:pPr>
            <w:r>
              <w:rPr>
                <w:color w:val="auto"/>
                <w:szCs w:val="21"/>
                <w:highlight w:val="none"/>
              </w:rPr>
              <w:t>项目名</w:t>
            </w:r>
            <w:bookmarkStart w:id="1456" w:name="_Toc247527849"/>
            <w:bookmarkStart w:id="1457" w:name="_Toc26734"/>
            <w:bookmarkStart w:id="1458" w:name="_Toc506107342"/>
            <w:bookmarkStart w:id="1459" w:name="_Toc152042598"/>
            <w:bookmarkStart w:id="1460" w:name="_Toc324404890"/>
            <w:bookmarkStart w:id="1461" w:name="_Toc265953295"/>
            <w:bookmarkStart w:id="1462" w:name="_Toc296602619"/>
            <w:bookmarkStart w:id="1463" w:name="_Toc247514301"/>
            <w:bookmarkStart w:id="1464" w:name="_Toc144974877"/>
            <w:bookmarkStart w:id="1465" w:name="_Toc15058936"/>
            <w:bookmarkStart w:id="1466" w:name="_Toc152045809"/>
            <w:bookmarkStart w:id="1467" w:name="_Toc60061576"/>
            <w:bookmarkStart w:id="1468" w:name="_Toc58229117"/>
            <w:r>
              <w:rPr>
                <w:color w:val="auto"/>
                <w:szCs w:val="21"/>
                <w:highlight w:val="none"/>
              </w:rPr>
              <w:t>称</w:t>
            </w:r>
          </w:p>
        </w:tc>
        <w:tc>
          <w:tcPr>
            <w:tcW w:w="6912" w:type="dxa"/>
            <w:noWrap w:val="0"/>
            <w:vAlign w:val="top"/>
          </w:tcPr>
          <w:p w14:paraId="4B3F66C8">
            <w:pPr>
              <w:topLinePunct/>
              <w:adjustRightInd w:val="0"/>
              <w:snapToGrid w:val="0"/>
              <w:spacing w:line="560" w:lineRule="exact"/>
              <w:rPr>
                <w:color w:val="auto"/>
                <w:szCs w:val="21"/>
                <w:highlight w:val="none"/>
              </w:rPr>
            </w:pPr>
          </w:p>
        </w:tc>
      </w:tr>
      <w:tr w14:paraId="140C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508" w:type="dxa"/>
            <w:noWrap w:val="0"/>
            <w:vAlign w:val="center"/>
          </w:tcPr>
          <w:p w14:paraId="4B1AE21D">
            <w:pPr>
              <w:topLinePunct/>
              <w:adjustRightInd w:val="0"/>
              <w:snapToGrid w:val="0"/>
              <w:spacing w:line="560" w:lineRule="exact"/>
              <w:jc w:val="center"/>
              <w:rPr>
                <w:color w:val="auto"/>
                <w:szCs w:val="21"/>
                <w:highlight w:val="none"/>
              </w:rPr>
            </w:pPr>
            <w:r>
              <w:rPr>
                <w:color w:val="auto"/>
                <w:szCs w:val="21"/>
                <w:highlight w:val="none"/>
              </w:rPr>
              <w:t>项目所在地</w:t>
            </w:r>
          </w:p>
          <w:bookmarkEnd w:id="1456"/>
          <w:bookmarkEnd w:id="1457"/>
          <w:bookmarkEnd w:id="1458"/>
          <w:bookmarkEnd w:id="1459"/>
          <w:bookmarkEnd w:id="1460"/>
          <w:bookmarkEnd w:id="1461"/>
          <w:bookmarkEnd w:id="1462"/>
          <w:bookmarkEnd w:id="1463"/>
          <w:bookmarkEnd w:id="1464"/>
          <w:bookmarkEnd w:id="1465"/>
          <w:bookmarkEnd w:id="1466"/>
        </w:tc>
        <w:tc>
          <w:tcPr>
            <w:tcW w:w="6912" w:type="dxa"/>
            <w:noWrap w:val="0"/>
            <w:vAlign w:val="top"/>
          </w:tcPr>
          <w:p w14:paraId="794B0B07">
            <w:pPr>
              <w:topLinePunct/>
              <w:adjustRightInd w:val="0"/>
              <w:snapToGrid w:val="0"/>
              <w:spacing w:line="560" w:lineRule="exact"/>
              <w:rPr>
                <w:color w:val="auto"/>
                <w:szCs w:val="21"/>
                <w:highlight w:val="none"/>
              </w:rPr>
            </w:pPr>
          </w:p>
        </w:tc>
      </w:tr>
      <w:tr w14:paraId="51DB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508" w:type="dxa"/>
            <w:noWrap w:val="0"/>
            <w:vAlign w:val="center"/>
          </w:tcPr>
          <w:p w14:paraId="1C917F89">
            <w:pPr>
              <w:topLinePunct/>
              <w:adjustRightInd w:val="0"/>
              <w:snapToGrid w:val="0"/>
              <w:spacing w:line="560" w:lineRule="exact"/>
              <w:jc w:val="center"/>
              <w:rPr>
                <w:color w:val="auto"/>
                <w:szCs w:val="21"/>
                <w:highlight w:val="none"/>
              </w:rPr>
            </w:pPr>
            <w:r>
              <w:rPr>
                <w:color w:val="auto"/>
                <w:szCs w:val="21"/>
                <w:highlight w:val="none"/>
              </w:rPr>
              <w:t>发包人名称</w:t>
            </w:r>
          </w:p>
          <w:bookmarkEnd w:id="1467"/>
          <w:bookmarkEnd w:id="1468"/>
        </w:tc>
        <w:tc>
          <w:tcPr>
            <w:tcW w:w="6912" w:type="dxa"/>
            <w:noWrap w:val="0"/>
            <w:vAlign w:val="top"/>
          </w:tcPr>
          <w:p w14:paraId="2BA32AB0">
            <w:pPr>
              <w:topLinePunct/>
              <w:adjustRightInd w:val="0"/>
              <w:snapToGrid w:val="0"/>
              <w:spacing w:line="560" w:lineRule="exact"/>
              <w:rPr>
                <w:color w:val="auto"/>
                <w:szCs w:val="21"/>
                <w:highlight w:val="none"/>
              </w:rPr>
            </w:pPr>
          </w:p>
        </w:tc>
        <w:bookmarkStart w:id="1469" w:name="_Toc506107343"/>
        <w:bookmarkStart w:id="1470" w:name="_Toc144974878"/>
        <w:bookmarkStart w:id="1471" w:name="_Toc15058937"/>
        <w:bookmarkStart w:id="1472" w:name="_Toc296602620"/>
        <w:bookmarkStart w:id="1473" w:name="_Toc265953296"/>
        <w:bookmarkStart w:id="1474" w:name="_Toc152045810"/>
        <w:bookmarkStart w:id="1475" w:name="_Toc247514302"/>
        <w:bookmarkStart w:id="1476" w:name="_Toc152042599"/>
        <w:bookmarkStart w:id="1477" w:name="_Toc247527850"/>
        <w:bookmarkStart w:id="1478" w:name="_Toc58229118"/>
        <w:bookmarkStart w:id="1479" w:name="_Toc11124"/>
        <w:bookmarkStart w:id="1480" w:name="_Toc324404891"/>
        <w:bookmarkStart w:id="1481" w:name="_Toc60061577"/>
      </w:tr>
      <w:tr w14:paraId="71A2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508" w:type="dxa"/>
            <w:noWrap w:val="0"/>
            <w:vAlign w:val="center"/>
          </w:tcPr>
          <w:p w14:paraId="7B12612B">
            <w:pPr>
              <w:topLinePunct/>
              <w:adjustRightInd w:val="0"/>
              <w:snapToGrid w:val="0"/>
              <w:spacing w:line="560" w:lineRule="exact"/>
              <w:jc w:val="center"/>
              <w:rPr>
                <w:color w:val="auto"/>
                <w:szCs w:val="21"/>
                <w:highlight w:val="none"/>
              </w:rPr>
            </w:pPr>
            <w:r>
              <w:rPr>
                <w:color w:val="auto"/>
                <w:szCs w:val="21"/>
                <w:highlight w:val="none"/>
              </w:rPr>
              <w:t>发包人地址</w:t>
            </w:r>
          </w:p>
        </w:tc>
        <w:tc>
          <w:tcPr>
            <w:tcW w:w="6912" w:type="dxa"/>
            <w:noWrap w:val="0"/>
            <w:vAlign w:val="top"/>
          </w:tcPr>
          <w:p w14:paraId="52C31A85">
            <w:pPr>
              <w:topLinePunct/>
              <w:adjustRightInd w:val="0"/>
              <w:snapToGrid w:val="0"/>
              <w:spacing w:line="560" w:lineRule="exact"/>
              <w:rPr>
                <w:color w:val="auto"/>
                <w:szCs w:val="21"/>
                <w:highlight w:val="none"/>
              </w:rPr>
            </w:pPr>
          </w:p>
        </w:tc>
      </w:tr>
      <w:tr w14:paraId="7D55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2508" w:type="dxa"/>
            <w:noWrap w:val="0"/>
            <w:vAlign w:val="center"/>
          </w:tcPr>
          <w:p w14:paraId="28001A82">
            <w:pPr>
              <w:topLinePunct/>
              <w:adjustRightInd w:val="0"/>
              <w:snapToGrid w:val="0"/>
              <w:spacing w:line="560" w:lineRule="exact"/>
              <w:jc w:val="center"/>
              <w:rPr>
                <w:color w:val="auto"/>
                <w:szCs w:val="21"/>
                <w:highlight w:val="none"/>
              </w:rPr>
            </w:pPr>
            <w:r>
              <w:rPr>
                <w:color w:val="auto"/>
                <w:szCs w:val="21"/>
                <w:highlight w:val="none"/>
              </w:rPr>
              <w:t>发包人电话</w:t>
            </w:r>
          </w:p>
          <w:bookmarkEnd w:id="1469"/>
          <w:bookmarkEnd w:id="1470"/>
          <w:bookmarkEnd w:id="1471"/>
          <w:bookmarkEnd w:id="1472"/>
          <w:bookmarkEnd w:id="1473"/>
          <w:bookmarkEnd w:id="1474"/>
          <w:bookmarkEnd w:id="1475"/>
          <w:bookmarkEnd w:id="1476"/>
          <w:bookmarkEnd w:id="1477"/>
          <w:bookmarkEnd w:id="1478"/>
          <w:bookmarkEnd w:id="1479"/>
          <w:bookmarkEnd w:id="1480"/>
          <w:bookmarkEnd w:id="1481"/>
        </w:tc>
        <w:tc>
          <w:tcPr>
            <w:tcW w:w="6912" w:type="dxa"/>
            <w:noWrap w:val="0"/>
            <w:vAlign w:val="top"/>
          </w:tcPr>
          <w:p w14:paraId="4CEA30BB">
            <w:pPr>
              <w:topLinePunct/>
              <w:adjustRightInd w:val="0"/>
              <w:snapToGrid w:val="0"/>
              <w:spacing w:line="560" w:lineRule="exact"/>
              <w:rPr>
                <w:color w:val="auto"/>
                <w:szCs w:val="21"/>
                <w:highlight w:val="none"/>
              </w:rPr>
            </w:pPr>
          </w:p>
        </w:tc>
      </w:tr>
      <w:tr w14:paraId="01E5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508" w:type="dxa"/>
            <w:noWrap w:val="0"/>
            <w:vAlign w:val="center"/>
          </w:tcPr>
          <w:p w14:paraId="41446C4E">
            <w:pPr>
              <w:topLinePunct/>
              <w:adjustRightInd w:val="0"/>
              <w:snapToGrid w:val="0"/>
              <w:spacing w:line="560" w:lineRule="exact"/>
              <w:jc w:val="center"/>
              <w:rPr>
                <w:color w:val="auto"/>
                <w:szCs w:val="21"/>
                <w:highlight w:val="none"/>
              </w:rPr>
            </w:pPr>
            <w:r>
              <w:rPr>
                <w:color w:val="auto"/>
                <w:szCs w:val="21"/>
                <w:highlight w:val="none"/>
              </w:rPr>
              <w:t>合同价格</w:t>
            </w:r>
          </w:p>
        </w:tc>
        <w:tc>
          <w:tcPr>
            <w:tcW w:w="6912" w:type="dxa"/>
            <w:noWrap w:val="0"/>
            <w:vAlign w:val="top"/>
          </w:tcPr>
          <w:p w14:paraId="554FF648">
            <w:pPr>
              <w:topLinePunct/>
              <w:adjustRightInd w:val="0"/>
              <w:snapToGrid w:val="0"/>
              <w:spacing w:line="560" w:lineRule="exact"/>
              <w:rPr>
                <w:color w:val="auto"/>
                <w:szCs w:val="21"/>
                <w:highlight w:val="none"/>
              </w:rPr>
            </w:pPr>
          </w:p>
        </w:tc>
      </w:tr>
      <w:tr w14:paraId="5474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2508" w:type="dxa"/>
            <w:noWrap w:val="0"/>
            <w:vAlign w:val="center"/>
          </w:tcPr>
          <w:p w14:paraId="307B52AE">
            <w:pPr>
              <w:topLinePunct/>
              <w:adjustRightInd w:val="0"/>
              <w:snapToGrid w:val="0"/>
              <w:spacing w:line="560" w:lineRule="exact"/>
              <w:jc w:val="center"/>
              <w:rPr>
                <w:color w:val="auto"/>
                <w:szCs w:val="21"/>
                <w:highlight w:val="none"/>
              </w:rPr>
            </w:pPr>
            <w:r>
              <w:rPr>
                <w:color w:val="auto"/>
                <w:szCs w:val="21"/>
                <w:highlight w:val="none"/>
              </w:rPr>
              <w:t>开工日期</w:t>
            </w:r>
          </w:p>
        </w:tc>
        <w:tc>
          <w:tcPr>
            <w:tcW w:w="6912" w:type="dxa"/>
            <w:noWrap w:val="0"/>
            <w:vAlign w:val="top"/>
          </w:tcPr>
          <w:p w14:paraId="093062BE">
            <w:pPr>
              <w:topLinePunct/>
              <w:adjustRightInd w:val="0"/>
              <w:snapToGrid w:val="0"/>
              <w:spacing w:line="560" w:lineRule="exact"/>
              <w:rPr>
                <w:color w:val="auto"/>
                <w:szCs w:val="21"/>
                <w:highlight w:val="none"/>
              </w:rPr>
            </w:pPr>
          </w:p>
        </w:tc>
      </w:tr>
      <w:tr w14:paraId="088F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2508" w:type="dxa"/>
            <w:noWrap w:val="0"/>
            <w:vAlign w:val="center"/>
          </w:tcPr>
          <w:p w14:paraId="675E6AC8">
            <w:pPr>
              <w:topLinePunct/>
              <w:adjustRightInd w:val="0"/>
              <w:snapToGrid w:val="0"/>
              <w:spacing w:line="560" w:lineRule="exact"/>
              <w:jc w:val="center"/>
              <w:rPr>
                <w:color w:val="auto"/>
                <w:szCs w:val="21"/>
                <w:highlight w:val="none"/>
              </w:rPr>
            </w:pPr>
            <w:r>
              <w:rPr>
                <w:rFonts w:hint="eastAsia"/>
                <w:color w:val="auto"/>
                <w:highlight w:val="none"/>
              </w:rPr>
              <w:t>竣工</w:t>
            </w:r>
            <w:r>
              <w:rPr>
                <w:color w:val="auto"/>
                <w:szCs w:val="21"/>
                <w:highlight w:val="none"/>
              </w:rPr>
              <w:t>日期</w:t>
            </w:r>
          </w:p>
        </w:tc>
        <w:tc>
          <w:tcPr>
            <w:tcW w:w="6912" w:type="dxa"/>
            <w:noWrap w:val="0"/>
            <w:vAlign w:val="top"/>
          </w:tcPr>
          <w:p w14:paraId="1DBA43EA">
            <w:pPr>
              <w:topLinePunct/>
              <w:adjustRightInd w:val="0"/>
              <w:snapToGrid w:val="0"/>
              <w:spacing w:line="560" w:lineRule="exact"/>
              <w:rPr>
                <w:color w:val="auto"/>
                <w:szCs w:val="21"/>
                <w:highlight w:val="none"/>
              </w:rPr>
            </w:pPr>
          </w:p>
        </w:tc>
      </w:tr>
      <w:tr w14:paraId="35DA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2508" w:type="dxa"/>
            <w:noWrap w:val="0"/>
            <w:vAlign w:val="center"/>
          </w:tcPr>
          <w:p w14:paraId="5DA6BD00">
            <w:pPr>
              <w:topLinePunct/>
              <w:adjustRightInd w:val="0"/>
              <w:snapToGrid w:val="0"/>
              <w:spacing w:line="560" w:lineRule="exact"/>
              <w:jc w:val="center"/>
              <w:rPr>
                <w:color w:val="auto"/>
                <w:szCs w:val="21"/>
                <w:highlight w:val="none"/>
              </w:rPr>
            </w:pPr>
            <w:r>
              <w:rPr>
                <w:color w:val="auto"/>
                <w:szCs w:val="21"/>
                <w:highlight w:val="none"/>
              </w:rPr>
              <w:t>承担的工作</w:t>
            </w:r>
          </w:p>
        </w:tc>
        <w:tc>
          <w:tcPr>
            <w:tcW w:w="6912" w:type="dxa"/>
            <w:noWrap w:val="0"/>
            <w:vAlign w:val="top"/>
          </w:tcPr>
          <w:p w14:paraId="62DD73A5">
            <w:pPr>
              <w:topLinePunct/>
              <w:adjustRightInd w:val="0"/>
              <w:snapToGrid w:val="0"/>
              <w:spacing w:line="560" w:lineRule="exact"/>
              <w:rPr>
                <w:color w:val="auto"/>
                <w:szCs w:val="21"/>
                <w:highlight w:val="none"/>
              </w:rPr>
            </w:pPr>
          </w:p>
        </w:tc>
      </w:tr>
      <w:tr w14:paraId="2596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2508" w:type="dxa"/>
            <w:noWrap w:val="0"/>
            <w:vAlign w:val="center"/>
          </w:tcPr>
          <w:p w14:paraId="7F41326B">
            <w:pPr>
              <w:topLinePunct/>
              <w:adjustRightInd w:val="0"/>
              <w:snapToGrid w:val="0"/>
              <w:spacing w:line="560" w:lineRule="exact"/>
              <w:jc w:val="center"/>
              <w:rPr>
                <w:color w:val="auto"/>
                <w:szCs w:val="21"/>
                <w:highlight w:val="none"/>
              </w:rPr>
            </w:pPr>
            <w:r>
              <w:rPr>
                <w:color w:val="auto"/>
                <w:szCs w:val="21"/>
                <w:highlight w:val="none"/>
              </w:rPr>
              <w:t>工程质量</w:t>
            </w:r>
          </w:p>
        </w:tc>
        <w:tc>
          <w:tcPr>
            <w:tcW w:w="6912" w:type="dxa"/>
            <w:noWrap w:val="0"/>
            <w:vAlign w:val="top"/>
          </w:tcPr>
          <w:p w14:paraId="6F8F82B8">
            <w:pPr>
              <w:topLinePunct/>
              <w:adjustRightInd w:val="0"/>
              <w:snapToGrid w:val="0"/>
              <w:spacing w:line="560" w:lineRule="exact"/>
              <w:rPr>
                <w:color w:val="auto"/>
                <w:szCs w:val="21"/>
                <w:highlight w:val="none"/>
              </w:rPr>
            </w:pPr>
          </w:p>
        </w:tc>
      </w:tr>
      <w:tr w14:paraId="01FF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2508" w:type="dxa"/>
            <w:noWrap w:val="0"/>
            <w:vAlign w:val="center"/>
          </w:tcPr>
          <w:p w14:paraId="343C969C">
            <w:pPr>
              <w:topLinePunct/>
              <w:adjustRightInd w:val="0"/>
              <w:snapToGrid w:val="0"/>
              <w:spacing w:line="560" w:lineRule="exact"/>
              <w:jc w:val="center"/>
              <w:rPr>
                <w:color w:val="auto"/>
                <w:szCs w:val="21"/>
                <w:highlight w:val="none"/>
              </w:rPr>
            </w:pPr>
            <w:r>
              <w:rPr>
                <w:color w:val="auto"/>
                <w:szCs w:val="21"/>
                <w:highlight w:val="none"/>
              </w:rPr>
              <w:t>项目经理（建造师）</w:t>
            </w:r>
          </w:p>
        </w:tc>
        <w:tc>
          <w:tcPr>
            <w:tcW w:w="6912" w:type="dxa"/>
            <w:noWrap w:val="0"/>
            <w:vAlign w:val="top"/>
          </w:tcPr>
          <w:p w14:paraId="752FBB38">
            <w:pPr>
              <w:topLinePunct/>
              <w:adjustRightInd w:val="0"/>
              <w:snapToGrid w:val="0"/>
              <w:spacing w:line="560" w:lineRule="exact"/>
              <w:rPr>
                <w:color w:val="auto"/>
                <w:szCs w:val="21"/>
                <w:highlight w:val="none"/>
              </w:rPr>
            </w:pPr>
          </w:p>
        </w:tc>
      </w:tr>
      <w:tr w14:paraId="4A74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2508" w:type="dxa"/>
            <w:noWrap w:val="0"/>
            <w:vAlign w:val="center"/>
          </w:tcPr>
          <w:p w14:paraId="1B679034">
            <w:pPr>
              <w:topLinePunct/>
              <w:adjustRightInd w:val="0"/>
              <w:snapToGrid w:val="0"/>
              <w:spacing w:line="560" w:lineRule="exact"/>
              <w:jc w:val="center"/>
              <w:rPr>
                <w:color w:val="auto"/>
                <w:szCs w:val="21"/>
                <w:highlight w:val="none"/>
              </w:rPr>
            </w:pPr>
            <w:r>
              <w:rPr>
                <w:color w:val="auto"/>
                <w:szCs w:val="21"/>
                <w:highlight w:val="none"/>
              </w:rPr>
              <w:t>技术负责人</w:t>
            </w:r>
          </w:p>
        </w:tc>
        <w:tc>
          <w:tcPr>
            <w:tcW w:w="6912" w:type="dxa"/>
            <w:noWrap w:val="0"/>
            <w:vAlign w:val="top"/>
          </w:tcPr>
          <w:p w14:paraId="7A448694">
            <w:pPr>
              <w:topLinePunct/>
              <w:adjustRightInd w:val="0"/>
              <w:snapToGrid w:val="0"/>
              <w:spacing w:line="560" w:lineRule="exact"/>
              <w:rPr>
                <w:color w:val="auto"/>
                <w:szCs w:val="21"/>
                <w:highlight w:val="none"/>
              </w:rPr>
            </w:pPr>
          </w:p>
        </w:tc>
      </w:tr>
      <w:tr w14:paraId="3C99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2508" w:type="dxa"/>
            <w:noWrap w:val="0"/>
            <w:vAlign w:val="center"/>
          </w:tcPr>
          <w:p w14:paraId="66D31530">
            <w:pPr>
              <w:topLinePunct/>
              <w:adjustRightInd w:val="0"/>
              <w:snapToGrid w:val="0"/>
              <w:spacing w:line="560" w:lineRule="exact"/>
              <w:jc w:val="center"/>
              <w:rPr>
                <w:color w:val="auto"/>
                <w:szCs w:val="21"/>
                <w:highlight w:val="none"/>
              </w:rPr>
            </w:pPr>
            <w:r>
              <w:rPr>
                <w:color w:val="auto"/>
                <w:szCs w:val="21"/>
                <w:highlight w:val="none"/>
              </w:rPr>
              <w:t>项目描述</w:t>
            </w:r>
          </w:p>
        </w:tc>
        <w:tc>
          <w:tcPr>
            <w:tcW w:w="6912" w:type="dxa"/>
            <w:noWrap w:val="0"/>
            <w:vAlign w:val="top"/>
          </w:tcPr>
          <w:p w14:paraId="72C209B3">
            <w:pPr>
              <w:topLinePunct/>
              <w:adjustRightInd w:val="0"/>
              <w:snapToGrid w:val="0"/>
              <w:spacing w:line="560" w:lineRule="exact"/>
              <w:rPr>
                <w:color w:val="auto"/>
                <w:szCs w:val="21"/>
                <w:highlight w:val="none"/>
              </w:rPr>
            </w:pPr>
          </w:p>
          <w:p w14:paraId="4751FB51">
            <w:pPr>
              <w:topLinePunct/>
              <w:adjustRightInd w:val="0"/>
              <w:snapToGrid w:val="0"/>
              <w:spacing w:line="560" w:lineRule="exact"/>
              <w:rPr>
                <w:color w:val="auto"/>
                <w:szCs w:val="21"/>
                <w:highlight w:val="none"/>
              </w:rPr>
            </w:pPr>
          </w:p>
          <w:p w14:paraId="2E586CC8">
            <w:pPr>
              <w:topLinePunct/>
              <w:adjustRightInd w:val="0"/>
              <w:snapToGrid w:val="0"/>
              <w:spacing w:line="560" w:lineRule="exact"/>
              <w:rPr>
                <w:rFonts w:hint="eastAsia"/>
                <w:color w:val="auto"/>
                <w:szCs w:val="21"/>
                <w:highlight w:val="none"/>
              </w:rPr>
            </w:pPr>
          </w:p>
        </w:tc>
      </w:tr>
      <w:tr w14:paraId="755F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2508" w:type="dxa"/>
            <w:noWrap w:val="0"/>
            <w:vAlign w:val="center"/>
          </w:tcPr>
          <w:p w14:paraId="4AF5EB9F">
            <w:pPr>
              <w:topLinePunct/>
              <w:adjustRightInd w:val="0"/>
              <w:snapToGrid w:val="0"/>
              <w:spacing w:line="560" w:lineRule="exact"/>
              <w:jc w:val="center"/>
              <w:rPr>
                <w:color w:val="auto"/>
                <w:szCs w:val="21"/>
                <w:highlight w:val="none"/>
              </w:rPr>
            </w:pPr>
            <w:r>
              <w:rPr>
                <w:color w:val="auto"/>
                <w:szCs w:val="21"/>
                <w:highlight w:val="none"/>
              </w:rPr>
              <w:t>备注</w:t>
            </w:r>
          </w:p>
        </w:tc>
        <w:tc>
          <w:tcPr>
            <w:tcW w:w="6912" w:type="dxa"/>
            <w:noWrap w:val="0"/>
            <w:vAlign w:val="top"/>
          </w:tcPr>
          <w:p w14:paraId="3F6FC1EB">
            <w:pPr>
              <w:topLinePunct/>
              <w:adjustRightInd w:val="0"/>
              <w:snapToGrid w:val="0"/>
              <w:spacing w:line="560" w:lineRule="exact"/>
              <w:rPr>
                <w:color w:val="auto"/>
                <w:szCs w:val="21"/>
                <w:highlight w:val="none"/>
              </w:rPr>
            </w:pPr>
          </w:p>
        </w:tc>
      </w:tr>
    </w:tbl>
    <w:p w14:paraId="062939EB">
      <w:pPr>
        <w:pStyle w:val="4"/>
        <w:adjustRightInd w:val="0"/>
        <w:snapToGrid w:val="0"/>
        <w:spacing w:before="0" w:after="0" w:line="560" w:lineRule="exact"/>
        <w:jc w:val="center"/>
        <w:rPr>
          <w:color w:val="auto"/>
          <w:highlight w:val="none"/>
        </w:rPr>
      </w:pPr>
      <w:bookmarkStart w:id="1482" w:name="_Toc95223536"/>
      <w:r>
        <w:rPr>
          <w:color w:val="auto"/>
          <w:highlight w:val="none"/>
        </w:rPr>
        <w:t>（</w:t>
      </w:r>
      <w:r>
        <w:rPr>
          <w:rFonts w:hint="eastAsia"/>
          <w:color w:val="auto"/>
          <w:highlight w:val="none"/>
        </w:rPr>
        <w:t>4</w:t>
      </w:r>
      <w:r>
        <w:rPr>
          <w:color w:val="auto"/>
          <w:highlight w:val="none"/>
        </w:rPr>
        <w:t>）正在</w:t>
      </w:r>
      <w:r>
        <w:rPr>
          <w:rFonts w:hint="eastAsia"/>
          <w:color w:val="auto"/>
          <w:highlight w:val="none"/>
        </w:rPr>
        <w:t>实施</w:t>
      </w:r>
      <w:r>
        <w:rPr>
          <w:color w:val="auto"/>
          <w:highlight w:val="none"/>
        </w:rPr>
        <w:t>的和新承接的项目情况表</w:t>
      </w:r>
      <w:bookmarkEnd w:id="1482"/>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2"/>
        <w:gridCol w:w="7408"/>
      </w:tblGrid>
      <w:tr w14:paraId="02C1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452" w:type="dxa"/>
            <w:noWrap w:val="0"/>
            <w:vAlign w:val="center"/>
          </w:tcPr>
          <w:p w14:paraId="79503283">
            <w:pPr>
              <w:topLinePunct/>
              <w:adjustRightInd w:val="0"/>
              <w:snapToGrid w:val="0"/>
              <w:spacing w:line="560" w:lineRule="exact"/>
              <w:jc w:val="center"/>
              <w:rPr>
                <w:color w:val="auto"/>
                <w:szCs w:val="21"/>
                <w:highlight w:val="none"/>
              </w:rPr>
            </w:pPr>
            <w:r>
              <w:rPr>
                <w:color w:val="auto"/>
                <w:szCs w:val="21"/>
                <w:highlight w:val="none"/>
              </w:rPr>
              <w:t>项目名称</w:t>
            </w:r>
          </w:p>
        </w:tc>
        <w:tc>
          <w:tcPr>
            <w:tcW w:w="7408" w:type="dxa"/>
            <w:noWrap w:val="0"/>
            <w:vAlign w:val="top"/>
          </w:tcPr>
          <w:p w14:paraId="213FD558">
            <w:pPr>
              <w:topLinePunct/>
              <w:adjustRightInd w:val="0"/>
              <w:snapToGrid w:val="0"/>
              <w:spacing w:line="560" w:lineRule="exact"/>
              <w:rPr>
                <w:color w:val="auto"/>
                <w:szCs w:val="21"/>
                <w:highlight w:val="none"/>
              </w:rPr>
            </w:pPr>
          </w:p>
        </w:tc>
      </w:tr>
      <w:tr w14:paraId="2989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2452" w:type="dxa"/>
            <w:noWrap w:val="0"/>
            <w:vAlign w:val="center"/>
          </w:tcPr>
          <w:p w14:paraId="04985E18">
            <w:pPr>
              <w:topLinePunct/>
              <w:adjustRightInd w:val="0"/>
              <w:snapToGrid w:val="0"/>
              <w:spacing w:line="560" w:lineRule="exact"/>
              <w:jc w:val="center"/>
              <w:rPr>
                <w:color w:val="auto"/>
                <w:szCs w:val="21"/>
                <w:highlight w:val="none"/>
              </w:rPr>
            </w:pPr>
            <w:r>
              <w:rPr>
                <w:color w:val="auto"/>
                <w:szCs w:val="21"/>
                <w:highlight w:val="none"/>
              </w:rPr>
              <w:t>项目所在地</w:t>
            </w:r>
          </w:p>
        </w:tc>
        <w:tc>
          <w:tcPr>
            <w:tcW w:w="7408" w:type="dxa"/>
            <w:noWrap w:val="0"/>
            <w:vAlign w:val="top"/>
          </w:tcPr>
          <w:p w14:paraId="04A97A43">
            <w:pPr>
              <w:topLinePunct/>
              <w:adjustRightInd w:val="0"/>
              <w:snapToGrid w:val="0"/>
              <w:spacing w:line="560" w:lineRule="exact"/>
              <w:rPr>
                <w:color w:val="auto"/>
                <w:szCs w:val="21"/>
                <w:highlight w:val="none"/>
              </w:rPr>
            </w:pPr>
          </w:p>
        </w:tc>
      </w:tr>
      <w:tr w14:paraId="05C6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452" w:type="dxa"/>
            <w:noWrap w:val="0"/>
            <w:vAlign w:val="center"/>
          </w:tcPr>
          <w:p w14:paraId="25A348B3">
            <w:pPr>
              <w:topLinePunct/>
              <w:adjustRightInd w:val="0"/>
              <w:snapToGrid w:val="0"/>
              <w:spacing w:line="560" w:lineRule="exact"/>
              <w:jc w:val="center"/>
              <w:rPr>
                <w:color w:val="auto"/>
                <w:szCs w:val="21"/>
                <w:highlight w:val="none"/>
              </w:rPr>
            </w:pPr>
            <w:r>
              <w:rPr>
                <w:color w:val="auto"/>
                <w:szCs w:val="21"/>
                <w:highlight w:val="none"/>
              </w:rPr>
              <w:t>发包人名</w:t>
            </w:r>
            <w:bookmarkStart w:id="1483" w:name="_Toc58229119"/>
            <w:bookmarkStart w:id="1484" w:name="_Toc152042600"/>
            <w:bookmarkStart w:id="1485" w:name="_Toc247514303"/>
            <w:bookmarkStart w:id="1486" w:name="_Toc265953297"/>
            <w:bookmarkStart w:id="1487" w:name="_Toc60061578"/>
            <w:bookmarkStart w:id="1488" w:name="_Toc15058938"/>
            <w:bookmarkStart w:id="1489" w:name="_Toc247527851"/>
            <w:bookmarkStart w:id="1490" w:name="_Toc152045811"/>
            <w:bookmarkStart w:id="1491" w:name="_Toc506107344"/>
            <w:bookmarkStart w:id="1492" w:name="_Toc296602621"/>
            <w:bookmarkStart w:id="1493" w:name="_Toc144974879"/>
            <w:bookmarkStart w:id="1494" w:name="_Toc324404892"/>
            <w:bookmarkStart w:id="1495" w:name="_Toc30815"/>
            <w:r>
              <w:rPr>
                <w:color w:val="auto"/>
                <w:szCs w:val="21"/>
                <w:highlight w:val="none"/>
              </w:rPr>
              <w:t>称</w:t>
            </w:r>
          </w:p>
        </w:tc>
        <w:tc>
          <w:tcPr>
            <w:tcW w:w="7408" w:type="dxa"/>
            <w:noWrap w:val="0"/>
            <w:vAlign w:val="top"/>
          </w:tcPr>
          <w:p w14:paraId="67FCB86E">
            <w:pPr>
              <w:topLinePunct/>
              <w:adjustRightInd w:val="0"/>
              <w:snapToGrid w:val="0"/>
              <w:spacing w:line="560" w:lineRule="exact"/>
              <w:rPr>
                <w:color w:val="auto"/>
                <w:szCs w:val="21"/>
                <w:highlight w:val="none"/>
              </w:rPr>
            </w:pPr>
          </w:p>
        </w:tc>
      </w:tr>
      <w:tr w14:paraId="787E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2452" w:type="dxa"/>
            <w:noWrap w:val="0"/>
            <w:vAlign w:val="center"/>
          </w:tcPr>
          <w:p w14:paraId="66843495">
            <w:pPr>
              <w:topLinePunct/>
              <w:adjustRightInd w:val="0"/>
              <w:snapToGrid w:val="0"/>
              <w:spacing w:line="560" w:lineRule="exact"/>
              <w:jc w:val="center"/>
              <w:rPr>
                <w:color w:val="auto"/>
                <w:szCs w:val="21"/>
                <w:highlight w:val="none"/>
              </w:rPr>
            </w:pPr>
            <w:r>
              <w:rPr>
                <w:color w:val="auto"/>
                <w:szCs w:val="21"/>
                <w:highlight w:val="none"/>
              </w:rPr>
              <w:t>发包人地址</w:t>
            </w:r>
          </w:p>
        </w:tc>
        <w:tc>
          <w:tcPr>
            <w:tcW w:w="7408" w:type="dxa"/>
            <w:noWrap w:val="0"/>
            <w:vAlign w:val="top"/>
          </w:tcPr>
          <w:p w14:paraId="1F111D4A">
            <w:pPr>
              <w:topLinePunct/>
              <w:adjustRightInd w:val="0"/>
              <w:snapToGrid w:val="0"/>
              <w:spacing w:line="560" w:lineRule="exact"/>
              <w:rPr>
                <w:color w:val="auto"/>
                <w:szCs w:val="21"/>
                <w:highlight w:val="none"/>
              </w:rPr>
            </w:pPr>
          </w:p>
        </w:tc>
      </w:tr>
      <w:tr w14:paraId="3AE3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2452" w:type="dxa"/>
            <w:noWrap w:val="0"/>
            <w:vAlign w:val="center"/>
          </w:tcPr>
          <w:p w14:paraId="33EBFE07">
            <w:pPr>
              <w:topLinePunct/>
              <w:adjustRightInd w:val="0"/>
              <w:snapToGrid w:val="0"/>
              <w:spacing w:line="560" w:lineRule="exact"/>
              <w:jc w:val="center"/>
              <w:rPr>
                <w:color w:val="auto"/>
                <w:szCs w:val="21"/>
                <w:highlight w:val="none"/>
              </w:rPr>
            </w:pPr>
            <w:r>
              <w:rPr>
                <w:color w:val="auto"/>
                <w:szCs w:val="21"/>
                <w:highlight w:val="none"/>
              </w:rPr>
              <w:t>发包人电话</w:t>
            </w:r>
          </w:p>
          <w:bookmarkEnd w:id="1483"/>
          <w:bookmarkEnd w:id="1484"/>
          <w:bookmarkEnd w:id="1485"/>
          <w:bookmarkEnd w:id="1486"/>
          <w:bookmarkEnd w:id="1487"/>
          <w:bookmarkEnd w:id="1488"/>
          <w:bookmarkEnd w:id="1489"/>
          <w:bookmarkEnd w:id="1490"/>
          <w:bookmarkEnd w:id="1491"/>
          <w:bookmarkEnd w:id="1492"/>
          <w:bookmarkEnd w:id="1493"/>
          <w:bookmarkEnd w:id="1494"/>
          <w:bookmarkEnd w:id="1495"/>
        </w:tc>
        <w:tc>
          <w:tcPr>
            <w:tcW w:w="7408" w:type="dxa"/>
            <w:noWrap w:val="0"/>
            <w:vAlign w:val="top"/>
          </w:tcPr>
          <w:p w14:paraId="7674C9E5">
            <w:pPr>
              <w:topLinePunct/>
              <w:adjustRightInd w:val="0"/>
              <w:snapToGrid w:val="0"/>
              <w:spacing w:line="560" w:lineRule="exact"/>
              <w:rPr>
                <w:color w:val="auto"/>
                <w:szCs w:val="21"/>
                <w:highlight w:val="none"/>
              </w:rPr>
            </w:pPr>
          </w:p>
        </w:tc>
      </w:tr>
      <w:tr w14:paraId="4829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2452" w:type="dxa"/>
            <w:noWrap w:val="0"/>
            <w:vAlign w:val="center"/>
          </w:tcPr>
          <w:p w14:paraId="155CA129">
            <w:pPr>
              <w:topLinePunct/>
              <w:adjustRightInd w:val="0"/>
              <w:snapToGrid w:val="0"/>
              <w:spacing w:line="560" w:lineRule="exact"/>
              <w:jc w:val="center"/>
              <w:rPr>
                <w:color w:val="auto"/>
                <w:szCs w:val="21"/>
                <w:highlight w:val="none"/>
              </w:rPr>
            </w:pPr>
            <w:r>
              <w:rPr>
                <w:color w:val="auto"/>
                <w:szCs w:val="21"/>
                <w:highlight w:val="none"/>
              </w:rPr>
              <w:t>签约合同价</w:t>
            </w:r>
          </w:p>
        </w:tc>
        <w:tc>
          <w:tcPr>
            <w:tcW w:w="7408" w:type="dxa"/>
            <w:noWrap w:val="0"/>
            <w:vAlign w:val="top"/>
          </w:tcPr>
          <w:p w14:paraId="50F643EE">
            <w:pPr>
              <w:topLinePunct/>
              <w:adjustRightInd w:val="0"/>
              <w:snapToGrid w:val="0"/>
              <w:spacing w:line="560" w:lineRule="exact"/>
              <w:rPr>
                <w:color w:val="auto"/>
                <w:szCs w:val="21"/>
                <w:highlight w:val="none"/>
              </w:rPr>
            </w:pPr>
          </w:p>
        </w:tc>
      </w:tr>
      <w:tr w14:paraId="56B3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2452" w:type="dxa"/>
            <w:noWrap w:val="0"/>
            <w:vAlign w:val="center"/>
          </w:tcPr>
          <w:p w14:paraId="64B415B6">
            <w:pPr>
              <w:topLinePunct/>
              <w:adjustRightInd w:val="0"/>
              <w:snapToGrid w:val="0"/>
              <w:spacing w:line="560" w:lineRule="exact"/>
              <w:jc w:val="center"/>
              <w:rPr>
                <w:color w:val="auto"/>
                <w:szCs w:val="21"/>
                <w:highlight w:val="none"/>
              </w:rPr>
            </w:pPr>
            <w:r>
              <w:rPr>
                <w:color w:val="auto"/>
                <w:szCs w:val="21"/>
                <w:highlight w:val="none"/>
              </w:rPr>
              <w:t>开工日期</w:t>
            </w:r>
          </w:p>
        </w:tc>
        <w:tc>
          <w:tcPr>
            <w:tcW w:w="7408" w:type="dxa"/>
            <w:noWrap w:val="0"/>
            <w:vAlign w:val="top"/>
          </w:tcPr>
          <w:p w14:paraId="45BAB922">
            <w:pPr>
              <w:topLinePunct/>
              <w:adjustRightInd w:val="0"/>
              <w:snapToGrid w:val="0"/>
              <w:spacing w:line="560" w:lineRule="exact"/>
              <w:rPr>
                <w:color w:val="auto"/>
                <w:szCs w:val="21"/>
                <w:highlight w:val="none"/>
              </w:rPr>
            </w:pPr>
          </w:p>
        </w:tc>
      </w:tr>
      <w:tr w14:paraId="4BCE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2452" w:type="dxa"/>
            <w:noWrap w:val="0"/>
            <w:vAlign w:val="center"/>
          </w:tcPr>
          <w:p w14:paraId="5D0218ED">
            <w:pPr>
              <w:topLinePunct/>
              <w:adjustRightInd w:val="0"/>
              <w:snapToGrid w:val="0"/>
              <w:spacing w:line="560" w:lineRule="exact"/>
              <w:jc w:val="center"/>
              <w:rPr>
                <w:color w:val="auto"/>
                <w:szCs w:val="21"/>
                <w:highlight w:val="none"/>
              </w:rPr>
            </w:pPr>
            <w:r>
              <w:rPr>
                <w:color w:val="auto"/>
                <w:szCs w:val="21"/>
                <w:highlight w:val="none"/>
              </w:rPr>
              <w:t>计划</w:t>
            </w:r>
            <w:r>
              <w:rPr>
                <w:rFonts w:hint="eastAsia"/>
                <w:color w:val="auto"/>
                <w:highlight w:val="none"/>
              </w:rPr>
              <w:t>竣工</w:t>
            </w:r>
            <w:r>
              <w:rPr>
                <w:color w:val="auto"/>
                <w:szCs w:val="21"/>
                <w:highlight w:val="none"/>
              </w:rPr>
              <w:t>日期</w:t>
            </w:r>
          </w:p>
        </w:tc>
        <w:tc>
          <w:tcPr>
            <w:tcW w:w="7408" w:type="dxa"/>
            <w:noWrap w:val="0"/>
            <w:vAlign w:val="top"/>
          </w:tcPr>
          <w:p w14:paraId="5E34313C">
            <w:pPr>
              <w:topLinePunct/>
              <w:adjustRightInd w:val="0"/>
              <w:snapToGrid w:val="0"/>
              <w:spacing w:line="560" w:lineRule="exact"/>
              <w:rPr>
                <w:color w:val="auto"/>
                <w:szCs w:val="21"/>
                <w:highlight w:val="none"/>
              </w:rPr>
            </w:pPr>
          </w:p>
        </w:tc>
      </w:tr>
      <w:tr w14:paraId="5252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2452" w:type="dxa"/>
            <w:noWrap w:val="0"/>
            <w:vAlign w:val="center"/>
          </w:tcPr>
          <w:p w14:paraId="6A110CA1">
            <w:pPr>
              <w:topLinePunct/>
              <w:adjustRightInd w:val="0"/>
              <w:snapToGrid w:val="0"/>
              <w:spacing w:line="560" w:lineRule="exact"/>
              <w:jc w:val="center"/>
              <w:rPr>
                <w:color w:val="auto"/>
                <w:szCs w:val="21"/>
                <w:highlight w:val="none"/>
              </w:rPr>
            </w:pPr>
            <w:r>
              <w:rPr>
                <w:color w:val="auto"/>
                <w:szCs w:val="21"/>
                <w:highlight w:val="none"/>
              </w:rPr>
              <w:t>承担的工作</w:t>
            </w:r>
          </w:p>
        </w:tc>
        <w:tc>
          <w:tcPr>
            <w:tcW w:w="7408" w:type="dxa"/>
            <w:noWrap w:val="0"/>
            <w:vAlign w:val="top"/>
          </w:tcPr>
          <w:p w14:paraId="3465C5C2">
            <w:pPr>
              <w:topLinePunct/>
              <w:adjustRightInd w:val="0"/>
              <w:snapToGrid w:val="0"/>
              <w:spacing w:line="560" w:lineRule="exact"/>
              <w:rPr>
                <w:color w:val="auto"/>
                <w:szCs w:val="21"/>
                <w:highlight w:val="none"/>
              </w:rPr>
            </w:pPr>
          </w:p>
        </w:tc>
      </w:tr>
      <w:tr w14:paraId="4106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2452" w:type="dxa"/>
            <w:noWrap w:val="0"/>
            <w:vAlign w:val="center"/>
          </w:tcPr>
          <w:p w14:paraId="0B80F4FD">
            <w:pPr>
              <w:topLinePunct/>
              <w:adjustRightInd w:val="0"/>
              <w:snapToGrid w:val="0"/>
              <w:spacing w:line="560" w:lineRule="exact"/>
              <w:jc w:val="center"/>
              <w:rPr>
                <w:color w:val="auto"/>
                <w:szCs w:val="21"/>
                <w:highlight w:val="none"/>
              </w:rPr>
            </w:pPr>
            <w:r>
              <w:rPr>
                <w:color w:val="auto"/>
                <w:szCs w:val="21"/>
                <w:highlight w:val="none"/>
              </w:rPr>
              <w:t>工程质量</w:t>
            </w:r>
          </w:p>
        </w:tc>
        <w:tc>
          <w:tcPr>
            <w:tcW w:w="7408" w:type="dxa"/>
            <w:noWrap w:val="0"/>
            <w:vAlign w:val="top"/>
          </w:tcPr>
          <w:p w14:paraId="5D810153">
            <w:pPr>
              <w:topLinePunct/>
              <w:adjustRightInd w:val="0"/>
              <w:snapToGrid w:val="0"/>
              <w:spacing w:line="560" w:lineRule="exact"/>
              <w:rPr>
                <w:color w:val="auto"/>
                <w:szCs w:val="21"/>
                <w:highlight w:val="none"/>
              </w:rPr>
            </w:pPr>
          </w:p>
        </w:tc>
      </w:tr>
      <w:tr w14:paraId="1CC1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2452" w:type="dxa"/>
            <w:noWrap w:val="0"/>
            <w:vAlign w:val="center"/>
          </w:tcPr>
          <w:p w14:paraId="2E5753A8">
            <w:pPr>
              <w:topLinePunct/>
              <w:adjustRightInd w:val="0"/>
              <w:snapToGrid w:val="0"/>
              <w:spacing w:line="560" w:lineRule="exact"/>
              <w:jc w:val="center"/>
              <w:rPr>
                <w:color w:val="auto"/>
                <w:szCs w:val="21"/>
                <w:highlight w:val="none"/>
              </w:rPr>
            </w:pPr>
            <w:r>
              <w:rPr>
                <w:color w:val="auto"/>
                <w:szCs w:val="21"/>
                <w:highlight w:val="none"/>
              </w:rPr>
              <w:t>项目经理（建造师）</w:t>
            </w:r>
          </w:p>
        </w:tc>
        <w:tc>
          <w:tcPr>
            <w:tcW w:w="7408" w:type="dxa"/>
            <w:noWrap w:val="0"/>
            <w:vAlign w:val="top"/>
          </w:tcPr>
          <w:p w14:paraId="11EC216B">
            <w:pPr>
              <w:topLinePunct/>
              <w:adjustRightInd w:val="0"/>
              <w:snapToGrid w:val="0"/>
              <w:spacing w:line="560" w:lineRule="exact"/>
              <w:rPr>
                <w:color w:val="auto"/>
                <w:szCs w:val="21"/>
                <w:highlight w:val="none"/>
              </w:rPr>
            </w:pPr>
          </w:p>
        </w:tc>
      </w:tr>
      <w:tr w14:paraId="7717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2452" w:type="dxa"/>
            <w:noWrap w:val="0"/>
            <w:vAlign w:val="center"/>
          </w:tcPr>
          <w:p w14:paraId="2CC5204F">
            <w:pPr>
              <w:topLinePunct/>
              <w:adjustRightInd w:val="0"/>
              <w:snapToGrid w:val="0"/>
              <w:spacing w:line="560" w:lineRule="exact"/>
              <w:jc w:val="center"/>
              <w:rPr>
                <w:color w:val="auto"/>
                <w:szCs w:val="21"/>
                <w:highlight w:val="none"/>
              </w:rPr>
            </w:pPr>
            <w:r>
              <w:rPr>
                <w:color w:val="auto"/>
                <w:szCs w:val="21"/>
                <w:highlight w:val="none"/>
              </w:rPr>
              <w:t>技术负责人</w:t>
            </w:r>
          </w:p>
        </w:tc>
        <w:tc>
          <w:tcPr>
            <w:tcW w:w="7408" w:type="dxa"/>
            <w:noWrap w:val="0"/>
            <w:vAlign w:val="top"/>
          </w:tcPr>
          <w:p w14:paraId="63E0CF29">
            <w:pPr>
              <w:topLinePunct/>
              <w:adjustRightInd w:val="0"/>
              <w:snapToGrid w:val="0"/>
              <w:spacing w:line="560" w:lineRule="exact"/>
              <w:rPr>
                <w:color w:val="auto"/>
                <w:szCs w:val="21"/>
                <w:highlight w:val="none"/>
              </w:rPr>
            </w:pPr>
          </w:p>
        </w:tc>
      </w:tr>
      <w:tr w14:paraId="4B4D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jc w:val="center"/>
        </w:trPr>
        <w:tc>
          <w:tcPr>
            <w:tcW w:w="2452" w:type="dxa"/>
            <w:noWrap w:val="0"/>
            <w:vAlign w:val="center"/>
          </w:tcPr>
          <w:p w14:paraId="67340F71">
            <w:pPr>
              <w:topLinePunct/>
              <w:adjustRightInd w:val="0"/>
              <w:snapToGrid w:val="0"/>
              <w:spacing w:line="560" w:lineRule="exact"/>
              <w:jc w:val="center"/>
              <w:rPr>
                <w:color w:val="auto"/>
                <w:szCs w:val="21"/>
                <w:highlight w:val="none"/>
              </w:rPr>
            </w:pPr>
            <w:r>
              <w:rPr>
                <w:color w:val="auto"/>
                <w:szCs w:val="21"/>
                <w:highlight w:val="none"/>
              </w:rPr>
              <w:t>项目描述</w:t>
            </w:r>
          </w:p>
        </w:tc>
        <w:tc>
          <w:tcPr>
            <w:tcW w:w="7408" w:type="dxa"/>
            <w:noWrap w:val="0"/>
            <w:vAlign w:val="top"/>
          </w:tcPr>
          <w:p w14:paraId="4793CD1A">
            <w:pPr>
              <w:topLinePunct/>
              <w:adjustRightInd w:val="0"/>
              <w:snapToGrid w:val="0"/>
              <w:spacing w:line="560" w:lineRule="exact"/>
              <w:rPr>
                <w:color w:val="auto"/>
                <w:szCs w:val="21"/>
                <w:highlight w:val="none"/>
              </w:rPr>
            </w:pPr>
          </w:p>
          <w:p w14:paraId="35145D94">
            <w:pPr>
              <w:topLinePunct/>
              <w:adjustRightInd w:val="0"/>
              <w:snapToGrid w:val="0"/>
              <w:spacing w:line="560" w:lineRule="exact"/>
              <w:rPr>
                <w:color w:val="auto"/>
                <w:szCs w:val="21"/>
                <w:highlight w:val="none"/>
              </w:rPr>
            </w:pPr>
          </w:p>
          <w:p w14:paraId="66610F7E">
            <w:pPr>
              <w:topLinePunct/>
              <w:adjustRightInd w:val="0"/>
              <w:snapToGrid w:val="0"/>
              <w:spacing w:line="560" w:lineRule="exact"/>
              <w:rPr>
                <w:color w:val="auto"/>
                <w:szCs w:val="21"/>
                <w:highlight w:val="none"/>
              </w:rPr>
            </w:pPr>
          </w:p>
          <w:p w14:paraId="0F2CD2E2">
            <w:pPr>
              <w:topLinePunct/>
              <w:adjustRightInd w:val="0"/>
              <w:snapToGrid w:val="0"/>
              <w:spacing w:line="560" w:lineRule="exact"/>
              <w:rPr>
                <w:color w:val="auto"/>
                <w:szCs w:val="21"/>
                <w:highlight w:val="none"/>
              </w:rPr>
            </w:pPr>
          </w:p>
          <w:p w14:paraId="0271D42B">
            <w:pPr>
              <w:topLinePunct/>
              <w:adjustRightInd w:val="0"/>
              <w:snapToGrid w:val="0"/>
              <w:spacing w:line="560" w:lineRule="exact"/>
              <w:rPr>
                <w:color w:val="auto"/>
                <w:szCs w:val="21"/>
                <w:highlight w:val="none"/>
              </w:rPr>
            </w:pPr>
          </w:p>
          <w:p w14:paraId="02DB34C3">
            <w:pPr>
              <w:topLinePunct/>
              <w:adjustRightInd w:val="0"/>
              <w:snapToGrid w:val="0"/>
              <w:spacing w:line="560" w:lineRule="exact"/>
              <w:rPr>
                <w:color w:val="auto"/>
                <w:szCs w:val="21"/>
                <w:highlight w:val="none"/>
              </w:rPr>
            </w:pPr>
          </w:p>
          <w:p w14:paraId="7F861855">
            <w:pPr>
              <w:topLinePunct/>
              <w:adjustRightInd w:val="0"/>
              <w:snapToGrid w:val="0"/>
              <w:spacing w:line="560" w:lineRule="exact"/>
              <w:rPr>
                <w:color w:val="auto"/>
                <w:szCs w:val="21"/>
                <w:highlight w:val="none"/>
              </w:rPr>
            </w:pPr>
          </w:p>
        </w:tc>
      </w:tr>
      <w:tr w14:paraId="66A2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2452" w:type="dxa"/>
            <w:noWrap w:val="0"/>
            <w:vAlign w:val="center"/>
          </w:tcPr>
          <w:p w14:paraId="5F97D3F3">
            <w:pPr>
              <w:topLinePunct/>
              <w:adjustRightInd w:val="0"/>
              <w:snapToGrid w:val="0"/>
              <w:spacing w:line="560" w:lineRule="exact"/>
              <w:jc w:val="center"/>
              <w:rPr>
                <w:color w:val="auto"/>
                <w:szCs w:val="21"/>
                <w:highlight w:val="none"/>
              </w:rPr>
            </w:pPr>
            <w:r>
              <w:rPr>
                <w:color w:val="auto"/>
                <w:szCs w:val="21"/>
                <w:highlight w:val="none"/>
              </w:rPr>
              <w:t>备注</w:t>
            </w:r>
          </w:p>
        </w:tc>
        <w:tc>
          <w:tcPr>
            <w:tcW w:w="7408" w:type="dxa"/>
            <w:noWrap w:val="0"/>
            <w:vAlign w:val="top"/>
          </w:tcPr>
          <w:p w14:paraId="0A681DB7">
            <w:pPr>
              <w:topLinePunct/>
              <w:adjustRightInd w:val="0"/>
              <w:snapToGrid w:val="0"/>
              <w:spacing w:line="560" w:lineRule="exact"/>
              <w:rPr>
                <w:color w:val="auto"/>
                <w:szCs w:val="21"/>
                <w:highlight w:val="none"/>
              </w:rPr>
            </w:pPr>
          </w:p>
        </w:tc>
      </w:tr>
    </w:tbl>
    <w:p w14:paraId="1F0E78D7">
      <w:pPr>
        <w:pStyle w:val="4"/>
        <w:adjustRightInd w:val="0"/>
        <w:snapToGrid w:val="0"/>
        <w:spacing w:before="0" w:after="0" w:line="560" w:lineRule="exact"/>
        <w:jc w:val="center"/>
        <w:rPr>
          <w:rFonts w:hint="eastAsia"/>
          <w:color w:val="auto"/>
          <w:highlight w:val="none"/>
        </w:rPr>
      </w:pPr>
      <w:bookmarkStart w:id="1496" w:name="_Toc95223537"/>
      <w:r>
        <w:rPr>
          <w:rFonts w:hint="eastAsia"/>
          <w:color w:val="auto"/>
          <w:highlight w:val="none"/>
        </w:rPr>
        <w:t>（5）联合体协议书（如有）</w:t>
      </w:r>
      <w:bookmarkEnd w:id="1496"/>
    </w:p>
    <w:p w14:paraId="126B3F0D">
      <w:pPr>
        <w:adjustRightInd w:val="0"/>
        <w:snapToGrid w:val="0"/>
        <w:spacing w:line="520" w:lineRule="exact"/>
        <w:ind w:firstLine="422" w:firstLineChars="200"/>
        <w:jc w:val="left"/>
        <w:rPr>
          <w:rFonts w:hint="eastAsia" w:ascii="宋体" w:hAnsi="宋体"/>
          <w:color w:val="auto"/>
          <w:szCs w:val="21"/>
          <w:highlight w:val="none"/>
        </w:rPr>
      </w:pPr>
      <w:r>
        <w:rPr>
          <w:rFonts w:hint="eastAsia" w:ascii="宋体" w:hAnsi="宋体"/>
          <w:b/>
          <w:color w:val="auto"/>
          <w:szCs w:val="21"/>
          <w:highlight w:val="none"/>
          <w:u w:val="single"/>
        </w:rPr>
        <w:t xml:space="preserve">                </w:t>
      </w:r>
      <w:r>
        <w:rPr>
          <w:rFonts w:hint="eastAsia" w:ascii="宋体" w:hAnsi="宋体"/>
          <w:color w:val="auto"/>
          <w:szCs w:val="21"/>
          <w:highlight w:val="none"/>
        </w:rPr>
        <w:t>（所有成员单位名</w:t>
      </w:r>
      <w:bookmarkStart w:id="1497" w:name="_Toc506107345"/>
      <w:bookmarkStart w:id="1498" w:name="_Toc15058939"/>
      <w:bookmarkStart w:id="1499" w:name="_Toc58229120"/>
      <w:bookmarkStart w:id="1500" w:name="_Toc60061579"/>
      <w:bookmarkStart w:id="1501" w:name="_Toc179632823"/>
      <w:bookmarkStart w:id="1502" w:name="_Toc152042592"/>
      <w:bookmarkStart w:id="1503" w:name="_Toc144974871"/>
      <w:bookmarkStart w:id="1504" w:name="_Toc152045803"/>
      <w:r>
        <w:rPr>
          <w:rFonts w:hint="eastAsia" w:ascii="宋体" w:hAnsi="宋体"/>
          <w:color w:val="auto"/>
          <w:szCs w:val="21"/>
          <w:highlight w:val="none"/>
        </w:rPr>
        <w:t xml:space="preserve">称）自愿组成 </w:t>
      </w:r>
      <w:r>
        <w:rPr>
          <w:rFonts w:hint="eastAsia" w:ascii="宋体" w:hAnsi="宋体"/>
          <w:color w:val="auto"/>
          <w:szCs w:val="21"/>
          <w:highlight w:val="none"/>
          <w:u w:val="single"/>
        </w:rPr>
        <w:t xml:space="preserve">  </w:t>
      </w:r>
      <w:bookmarkEnd w:id="1497"/>
      <w:r>
        <w:rPr>
          <w:rFonts w:hint="eastAsia" w:ascii="宋体" w:hAnsi="宋体"/>
          <w:color w:val="auto"/>
          <w:szCs w:val="21"/>
          <w:highlight w:val="none"/>
          <w:u w:val="single"/>
        </w:rPr>
        <w:t xml:space="preserve">    </w:t>
      </w:r>
      <w:bookmarkEnd w:id="1498"/>
      <w:bookmarkEnd w:id="1499"/>
      <w:bookmarkEnd w:id="1500"/>
      <w:r>
        <w:rPr>
          <w:rFonts w:hint="eastAsia" w:ascii="宋体" w:hAnsi="宋体"/>
          <w:color w:val="auto"/>
          <w:szCs w:val="21"/>
          <w:highlight w:val="none"/>
          <w:u w:val="single"/>
        </w:rPr>
        <w:t xml:space="preserve">   </w:t>
      </w:r>
      <w:r>
        <w:rPr>
          <w:rFonts w:hint="eastAsia" w:ascii="宋体" w:hAnsi="宋体"/>
          <w:color w:val="auto"/>
          <w:szCs w:val="21"/>
          <w:highlight w:val="none"/>
        </w:rPr>
        <w:t>（联合体名称）联合体，共同参加</w:t>
      </w:r>
      <w:r>
        <w:rPr>
          <w:rFonts w:hint="eastAsia" w:ascii="宋体" w:hAnsi="宋体"/>
          <w:b/>
          <w:color w:val="auto"/>
          <w:szCs w:val="21"/>
          <w:highlight w:val="none"/>
          <w:u w:val="singl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标段施工投标。现就联合体投标事宜订立如下协议：</w:t>
      </w:r>
    </w:p>
    <w:p w14:paraId="2B7390FA">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60CB1C61">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议工作。</w:t>
      </w:r>
    </w:p>
    <w:p w14:paraId="2333D621">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3.联合体将严格按照招标文件的各项要求，递交投标文件，履行合同，并对外承担连带责任。</w:t>
      </w:r>
    </w:p>
    <w:p w14:paraId="37E63A77">
      <w:pPr>
        <w:adjustRightInd w:val="0"/>
        <w:snapToGrid w:val="0"/>
        <w:spacing w:line="520"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4.联合体各成员单位内部的职责分工如下：</w:t>
      </w:r>
    </w:p>
    <w:p w14:paraId="64207AA7">
      <w:pPr>
        <w:pStyle w:val="41"/>
        <w:snapToGrid w:val="0"/>
        <w:spacing w:line="520" w:lineRule="exact"/>
        <w:ind w:firstLine="525" w:firstLineChars="250"/>
        <w:rPr>
          <w:rFonts w:cs="Times New Roman"/>
          <w:color w:val="auto"/>
          <w:sz w:val="21"/>
          <w:szCs w:val="21"/>
          <w:highlight w:val="none"/>
        </w:rPr>
      </w:pPr>
      <w:r>
        <w:rPr>
          <w:rFonts w:cs="Times New Roman"/>
          <w:color w:val="auto"/>
          <w:sz w:val="21"/>
          <w:szCs w:val="21"/>
          <w:highlight w:val="none"/>
        </w:rPr>
        <w:t>牵头人</w:t>
      </w:r>
      <w:r>
        <w:rPr>
          <w:rFonts w:hint="eastAsia" w:cs="Times New Roman"/>
          <w:color w:val="auto"/>
          <w:sz w:val="21"/>
          <w:szCs w:val="21"/>
          <w:highlight w:val="none"/>
        </w:rPr>
        <w:t>（成员一）</w:t>
      </w:r>
      <w:r>
        <w:rPr>
          <w:rFonts w:cs="Times New Roman"/>
          <w:color w:val="auto"/>
          <w:sz w:val="21"/>
          <w:szCs w:val="21"/>
          <w:highlight w:val="none"/>
        </w:rPr>
        <w:t>名称</w:t>
      </w:r>
      <w:r>
        <w:rPr>
          <w:rFonts w:cs="Times New Roman"/>
          <w:color w:val="auto"/>
          <w:sz w:val="21"/>
          <w:szCs w:val="21"/>
          <w:highlight w:val="none"/>
          <w:u w:val="single"/>
        </w:rPr>
        <w:t>：</w:t>
      </w:r>
      <w:r>
        <w:rPr>
          <w:rFonts w:hint="eastAsia" w:cs="Times New Roman"/>
          <w:color w:val="auto"/>
          <w:sz w:val="21"/>
          <w:szCs w:val="21"/>
          <w:highlight w:val="none"/>
          <w:u w:val="single"/>
        </w:rPr>
        <w:t xml:space="preserve">           </w:t>
      </w:r>
      <w:r>
        <w:rPr>
          <w:rFonts w:cs="Times New Roman"/>
          <w:color w:val="auto"/>
          <w:sz w:val="21"/>
          <w:szCs w:val="21"/>
          <w:highlight w:val="none"/>
          <w:u w:val="single"/>
        </w:rPr>
        <w:t xml:space="preserve"> </w:t>
      </w:r>
      <w:r>
        <w:rPr>
          <w:rFonts w:cs="Times New Roman"/>
          <w:color w:val="auto"/>
          <w:sz w:val="21"/>
          <w:szCs w:val="21"/>
          <w:highlight w:val="none"/>
        </w:rPr>
        <w:t>，具有</w:t>
      </w:r>
      <w:r>
        <w:rPr>
          <w:rFonts w:cs="Times New Roman"/>
          <w:color w:val="auto"/>
          <w:sz w:val="21"/>
          <w:szCs w:val="21"/>
          <w:highlight w:val="none"/>
          <w:u w:val="single"/>
        </w:rPr>
        <w:t xml:space="preserve"> </w:t>
      </w:r>
      <w:r>
        <w:rPr>
          <w:rFonts w:hint="eastAsia" w:cs="Times New Roman"/>
          <w:color w:val="auto"/>
          <w:sz w:val="21"/>
          <w:szCs w:val="21"/>
          <w:highlight w:val="none"/>
          <w:u w:val="single"/>
        </w:rPr>
        <w:t xml:space="preserve">           </w:t>
      </w:r>
      <w:r>
        <w:rPr>
          <w:rFonts w:cs="Times New Roman"/>
          <w:color w:val="auto"/>
          <w:sz w:val="21"/>
          <w:szCs w:val="21"/>
          <w:highlight w:val="none"/>
          <w:u w:val="single"/>
        </w:rPr>
        <w:t>资</w:t>
      </w:r>
      <w:r>
        <w:rPr>
          <w:rFonts w:cs="Times New Roman"/>
          <w:color w:val="auto"/>
          <w:sz w:val="21"/>
          <w:szCs w:val="21"/>
          <w:highlight w:val="none"/>
        </w:rPr>
        <w:t>格，</w:t>
      </w:r>
      <w:r>
        <w:rPr>
          <w:rFonts w:hint="eastAsia" w:cs="Times New Roman"/>
          <w:color w:val="auto"/>
          <w:sz w:val="21"/>
          <w:szCs w:val="21"/>
          <w:highlight w:val="none"/>
        </w:rPr>
        <w:t>负责</w:t>
      </w:r>
      <w:r>
        <w:rPr>
          <w:rFonts w:cs="Times New Roman"/>
          <w:color w:val="auto"/>
          <w:sz w:val="21"/>
          <w:szCs w:val="21"/>
          <w:highlight w:val="none"/>
        </w:rPr>
        <w:t>承担</w:t>
      </w:r>
      <w:r>
        <w:rPr>
          <w:rFonts w:cs="Times New Roman"/>
          <w:color w:val="auto"/>
          <w:sz w:val="21"/>
          <w:szCs w:val="21"/>
          <w:highlight w:val="none"/>
          <w:u w:val="single"/>
        </w:rPr>
        <w:t xml:space="preserve"> </w:t>
      </w:r>
      <w:r>
        <w:rPr>
          <w:rFonts w:hint="eastAsia" w:cs="Times New Roman"/>
          <w:color w:val="auto"/>
          <w:sz w:val="21"/>
          <w:szCs w:val="21"/>
          <w:highlight w:val="none"/>
          <w:u w:val="single"/>
        </w:rPr>
        <w:t xml:space="preserve">       部分</w:t>
      </w:r>
      <w:r>
        <w:rPr>
          <w:rFonts w:cs="Times New Roman"/>
          <w:color w:val="auto"/>
          <w:sz w:val="21"/>
          <w:szCs w:val="21"/>
          <w:highlight w:val="none"/>
        </w:rPr>
        <w:t>专业工程</w:t>
      </w:r>
      <w:r>
        <w:rPr>
          <w:rFonts w:hint="eastAsia" w:cs="Times New Roman"/>
          <w:color w:val="auto"/>
          <w:sz w:val="21"/>
          <w:szCs w:val="21"/>
          <w:highlight w:val="none"/>
        </w:rPr>
        <w:t>施工</w:t>
      </w:r>
      <w:r>
        <w:rPr>
          <w:rFonts w:hint="eastAsia" w:cs="Times New Roman"/>
          <w:color w:val="auto"/>
          <w:sz w:val="21"/>
          <w:szCs w:val="21"/>
          <w:highlight w:val="none"/>
          <w:u w:val="single"/>
        </w:rPr>
        <w:t>，</w:t>
      </w:r>
      <w:r>
        <w:rPr>
          <w:rFonts w:hint="eastAsia" w:cs="Times New Roman"/>
          <w:color w:val="auto"/>
          <w:sz w:val="21"/>
          <w:szCs w:val="21"/>
          <w:highlight w:val="none"/>
        </w:rPr>
        <w:t>负责内容的合同金额占总合同金额的百分比</w:t>
      </w:r>
      <w:r>
        <w:rPr>
          <w:rFonts w:hint="eastAsia" w:cs="Times New Roman"/>
          <w:color w:val="auto"/>
          <w:sz w:val="21"/>
          <w:szCs w:val="21"/>
          <w:highlight w:val="none"/>
          <w:u w:val="single"/>
        </w:rPr>
        <w:t xml:space="preserve">      </w:t>
      </w:r>
      <w:r>
        <w:rPr>
          <w:rFonts w:hint="eastAsia"/>
          <w:color w:val="auto"/>
          <w:szCs w:val="21"/>
          <w:highlight w:val="none"/>
        </w:rPr>
        <w:t>%</w:t>
      </w:r>
      <w:r>
        <w:rPr>
          <w:color w:val="auto"/>
          <w:szCs w:val="21"/>
          <w:highlight w:val="none"/>
        </w:rPr>
        <w:t>；</w:t>
      </w:r>
      <w:r>
        <w:rPr>
          <w:rFonts w:cs="Times New Roman"/>
          <w:color w:val="auto"/>
          <w:sz w:val="21"/>
          <w:szCs w:val="21"/>
          <w:highlight w:val="none"/>
        </w:rPr>
        <w:t xml:space="preserve"> </w:t>
      </w:r>
    </w:p>
    <w:p w14:paraId="47CC4239">
      <w:pPr>
        <w:adjustRightInd w:val="0"/>
        <w:snapToGrid w:val="0"/>
        <w:spacing w:line="520" w:lineRule="exact"/>
        <w:ind w:firstLine="630" w:firstLineChars="300"/>
        <w:rPr>
          <w:rFonts w:hint="eastAsia" w:ascii="宋体" w:hAnsi="宋体"/>
          <w:color w:val="auto"/>
          <w:szCs w:val="21"/>
          <w:highlight w:val="none"/>
        </w:rPr>
      </w:pPr>
      <w:r>
        <w:rPr>
          <w:color w:val="auto"/>
          <w:szCs w:val="21"/>
          <w:highlight w:val="none"/>
        </w:rPr>
        <w:t>成员</w:t>
      </w:r>
      <w:r>
        <w:rPr>
          <w:rFonts w:hint="eastAsia"/>
          <w:color w:val="auto"/>
          <w:szCs w:val="21"/>
          <w:highlight w:val="none"/>
        </w:rPr>
        <w:t>二</w:t>
      </w:r>
      <w:r>
        <w:rPr>
          <w:color w:val="auto"/>
          <w:szCs w:val="21"/>
          <w:highlight w:val="none"/>
        </w:rPr>
        <w:t>名称</w:t>
      </w:r>
      <w:r>
        <w:rPr>
          <w:color w:val="auto"/>
          <w:szCs w:val="21"/>
          <w:highlight w:val="none"/>
          <w:u w:val="single"/>
        </w:rPr>
        <w:t>：</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，具有</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资</w:t>
      </w:r>
      <w:r>
        <w:rPr>
          <w:color w:val="auto"/>
          <w:szCs w:val="21"/>
          <w:highlight w:val="none"/>
        </w:rPr>
        <w:t>格，</w:t>
      </w:r>
      <w:r>
        <w:rPr>
          <w:rFonts w:hint="eastAsia"/>
          <w:color w:val="auto"/>
          <w:szCs w:val="21"/>
          <w:highlight w:val="none"/>
        </w:rPr>
        <w:t>负责</w:t>
      </w:r>
      <w:r>
        <w:rPr>
          <w:color w:val="auto"/>
          <w:szCs w:val="21"/>
          <w:highlight w:val="none"/>
        </w:rPr>
        <w:t>承</w:t>
      </w:r>
      <w:r>
        <w:rPr>
          <w:color w:val="auto"/>
          <w:szCs w:val="21"/>
          <w:highlight w:val="none"/>
          <w:u w:val="single"/>
        </w:rPr>
        <w:t xml:space="preserve">担 </w:t>
      </w:r>
      <w:r>
        <w:rPr>
          <w:rFonts w:hint="eastAsia"/>
          <w:color w:val="auto"/>
          <w:szCs w:val="21"/>
          <w:highlight w:val="none"/>
          <w:u w:val="single"/>
        </w:rPr>
        <w:t xml:space="preserve">          部分</w:t>
      </w:r>
      <w:r>
        <w:rPr>
          <w:color w:val="auto"/>
          <w:szCs w:val="21"/>
          <w:highlight w:val="none"/>
          <w:u w:val="single"/>
        </w:rPr>
        <w:t>专业</w:t>
      </w:r>
      <w:r>
        <w:rPr>
          <w:color w:val="auto"/>
          <w:szCs w:val="21"/>
          <w:highlight w:val="none"/>
        </w:rPr>
        <w:t>工程</w:t>
      </w:r>
      <w:r>
        <w:rPr>
          <w:rFonts w:hint="eastAsia"/>
          <w:color w:val="auto"/>
          <w:szCs w:val="21"/>
          <w:highlight w:val="none"/>
        </w:rPr>
        <w:t>施工，负责内容的合同金额占总合同金额的百分比</w:t>
      </w:r>
      <w:r>
        <w:rPr>
          <w:rFonts w:hint="eastAsia"/>
          <w:color w:val="auto"/>
          <w:szCs w:val="21"/>
          <w:highlight w:val="none"/>
          <w:u w:val="single"/>
        </w:rPr>
        <w:t xml:space="preserve">    </w:t>
      </w:r>
      <w:r>
        <w:rPr>
          <w:rFonts w:hint="eastAsia"/>
          <w:color w:val="auto"/>
          <w:szCs w:val="21"/>
          <w:highlight w:val="none"/>
        </w:rPr>
        <w:t>%</w:t>
      </w:r>
      <w:r>
        <w:rPr>
          <w:color w:val="auto"/>
          <w:szCs w:val="21"/>
          <w:highlight w:val="none"/>
        </w:rPr>
        <w:t>；</w:t>
      </w:r>
      <w:r>
        <w:rPr>
          <w:rFonts w:hint="eastAsia" w:ascii="宋体" w:hAnsi="宋体"/>
          <w:color w:val="auto"/>
          <w:szCs w:val="21"/>
          <w:highlight w:val="none"/>
        </w:rPr>
        <w:t xml:space="preserve">                 </w:t>
      </w:r>
    </w:p>
    <w:p w14:paraId="36F604CF">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5.本协议书自签署之日起生效，合同履行完毕后自动失效。</w:t>
      </w:r>
    </w:p>
    <w:p w14:paraId="17D6C7E7">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6.联合体中标后，本联合体协议是合同的附件，对联合体各成员单位有合同约束力。</w:t>
      </w:r>
    </w:p>
    <w:p w14:paraId="094101B5">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份，联合体成员和招标人各执一份。</w:t>
      </w:r>
    </w:p>
    <w:p w14:paraId="1E11C31A">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注：本协议由委托代理人签字的，应附法定代表人签字的授权委托书。</w:t>
      </w:r>
    </w:p>
    <w:p w14:paraId="339509CE">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牵头人（成员一）名称：</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64265CC7">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66D80AFE">
      <w:pPr>
        <w:adjustRightInd w:val="0"/>
        <w:snapToGrid w:val="0"/>
        <w:spacing w:line="520" w:lineRule="exact"/>
        <w:ind w:firstLine="420" w:firstLineChars="200"/>
        <w:rPr>
          <w:rFonts w:hint="eastAsia" w:ascii="宋体" w:hAnsi="宋体"/>
          <w:color w:val="auto"/>
          <w:szCs w:val="21"/>
          <w:highlight w:val="none"/>
        </w:rPr>
      </w:pPr>
    </w:p>
    <w:p w14:paraId="121ABA90">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成员二名称：</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51911B5F">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335691CE">
      <w:pPr>
        <w:adjustRightInd w:val="0"/>
        <w:snapToGrid w:val="0"/>
        <w:spacing w:line="520" w:lineRule="exact"/>
        <w:ind w:firstLine="420" w:firstLineChars="200"/>
        <w:rPr>
          <w:rFonts w:hint="eastAsia" w:ascii="宋体" w:hAnsi="宋体"/>
          <w:color w:val="auto"/>
          <w:szCs w:val="21"/>
          <w:highlight w:val="none"/>
        </w:rPr>
      </w:pPr>
    </w:p>
    <w:p w14:paraId="12A13FFC">
      <w:pPr>
        <w:adjustRightInd w:val="0"/>
        <w:snapToGrid w:val="0"/>
        <w:spacing w:line="5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p>
    <w:p w14:paraId="4F726322">
      <w:pPr>
        <w:adjustRightInd w:val="0"/>
        <w:snapToGrid w:val="0"/>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p>
    <w:p w14:paraId="538828F9">
      <w:pPr>
        <w:adjustRightInd w:val="0"/>
        <w:snapToGrid w:val="0"/>
        <w:spacing w:line="560" w:lineRule="exact"/>
        <w:ind w:firstLine="5775" w:firstLineChars="275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B44CDB9">
      <w:pPr>
        <w:rPr>
          <w:rFonts w:hint="eastAsia"/>
          <w:color w:val="auto"/>
          <w:highlight w:val="none"/>
        </w:rPr>
      </w:pPr>
    </w:p>
    <w:p w14:paraId="305B0507">
      <w:pPr>
        <w:rPr>
          <w:rFonts w:hint="eastAsia" w:ascii="Times New Roman" w:hAnsi="Times New Roman" w:cs="Times New Roman"/>
          <w:b/>
          <w:bCs/>
          <w:color w:val="auto"/>
          <w:highlight w:val="none"/>
        </w:rPr>
      </w:pPr>
      <w:bookmarkStart w:id="1505" w:name="_Toc6158"/>
      <w:r>
        <w:rPr>
          <w:rFonts w:hint="eastAsia" w:ascii="Times New Roman" w:hAnsi="Times New Roman" w:cs="Times New Roman"/>
          <w:b/>
          <w:bCs/>
          <w:color w:val="auto"/>
          <w:highlight w:val="none"/>
        </w:rPr>
        <w:br w:type="page"/>
      </w:r>
    </w:p>
    <w:p w14:paraId="7D6E2262">
      <w:pPr>
        <w:pStyle w:val="4"/>
        <w:adjustRightInd w:val="0"/>
        <w:snapToGrid w:val="0"/>
        <w:spacing w:before="0" w:after="0" w:line="560" w:lineRule="exact"/>
        <w:jc w:val="center"/>
        <w:rPr>
          <w:rFonts w:hint="eastAsia" w:ascii="Times New Roman" w:hAnsi="Times New Roman" w:cs="Times New Roman"/>
          <w:b/>
          <w:bCs/>
          <w:color w:val="auto"/>
          <w:highlight w:val="none"/>
        </w:rPr>
      </w:pPr>
      <w:r>
        <w:rPr>
          <w:rFonts w:hint="eastAsia" w:ascii="Times New Roman" w:hAnsi="Times New Roman" w:cs="Times New Roman"/>
          <w:b/>
          <w:bCs/>
          <w:color w:val="auto"/>
          <w:highlight w:val="none"/>
        </w:rPr>
        <w:t>（</w:t>
      </w:r>
      <w:r>
        <w:rPr>
          <w:rFonts w:hint="eastAsia" w:ascii="Times New Roman" w:hAnsi="Times New Roman" w:cs="Times New Roman"/>
          <w:b/>
          <w:bCs/>
          <w:color w:val="auto"/>
          <w:highlight w:val="none"/>
          <w:lang w:val="en-US" w:eastAsia="zh-CN"/>
        </w:rPr>
        <w:t>6</w:t>
      </w:r>
      <w:r>
        <w:rPr>
          <w:rFonts w:hint="eastAsia" w:ascii="Times New Roman" w:hAnsi="Times New Roman" w:cs="Times New Roman"/>
          <w:b/>
          <w:bCs/>
          <w:color w:val="auto"/>
          <w:highlight w:val="none"/>
        </w:rPr>
        <w:t>）拟分包项目情况表（如有）</w:t>
      </w:r>
      <w:bookmarkEnd w:id="1505"/>
    </w:p>
    <w:tbl>
      <w:tblPr>
        <w:tblStyle w:val="21"/>
        <w:tblW w:w="4959" w:type="pct"/>
        <w:jc w:val="center"/>
        <w:tblLayout w:type="autofit"/>
        <w:tblCellMar>
          <w:top w:w="28" w:type="dxa"/>
          <w:left w:w="108" w:type="dxa"/>
          <w:bottom w:w="28" w:type="dxa"/>
          <w:right w:w="108" w:type="dxa"/>
        </w:tblCellMar>
      </w:tblPr>
      <w:tblGrid>
        <w:gridCol w:w="1886"/>
        <w:gridCol w:w="2661"/>
        <w:gridCol w:w="2150"/>
        <w:gridCol w:w="1874"/>
        <w:gridCol w:w="1492"/>
      </w:tblGrid>
      <w:tr w14:paraId="196CAF76">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F3D31C9">
            <w:pPr>
              <w:ind w:left="105" w:leftChars="50" w:right="105" w:rightChars="50"/>
              <w:jc w:val="center"/>
              <w:rPr>
                <w:rFonts w:ascii="Times New Roman" w:hAnsi="Times New Roman"/>
                <w:snapToGrid w:val="0"/>
                <w:color w:val="000000"/>
                <w:kern w:val="0"/>
                <w:sz w:val="24"/>
                <w:szCs w:val="20"/>
              </w:rPr>
            </w:pPr>
            <w:r>
              <w:rPr>
                <w:rFonts w:ascii="Times New Roman" w:hAnsi="Times New Roman"/>
                <w:snapToGrid w:val="0"/>
                <w:color w:val="000000"/>
                <w:kern w:val="0"/>
                <w:sz w:val="24"/>
                <w:szCs w:val="20"/>
              </w:rPr>
              <w:t>拟分包的工程项目</w:t>
            </w: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D30AB26">
            <w:pPr>
              <w:ind w:left="105" w:leftChars="50" w:right="105" w:rightChars="50"/>
              <w:jc w:val="center"/>
              <w:rPr>
                <w:rFonts w:ascii="Times New Roman" w:hAnsi="Times New Roman"/>
                <w:snapToGrid w:val="0"/>
                <w:color w:val="000000"/>
                <w:kern w:val="0"/>
                <w:sz w:val="24"/>
                <w:szCs w:val="20"/>
              </w:rPr>
            </w:pPr>
            <w:r>
              <w:rPr>
                <w:rFonts w:hint="eastAsia" w:ascii="宋体" w:hAnsi="宋体" w:eastAsia="宋体"/>
                <w:color w:val="auto"/>
                <w:sz w:val="24"/>
                <w:highlight w:val="none"/>
                <w:lang w:eastAsia="zh-CN"/>
              </w:rPr>
              <w:t>接受分包企业名称</w:t>
            </w: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37AC830">
            <w:pPr>
              <w:ind w:left="105" w:leftChars="50" w:right="105" w:rightChars="50"/>
              <w:jc w:val="center"/>
              <w:rPr>
                <w:rFonts w:ascii="Times New Roman" w:hAnsi="Times New Roman"/>
                <w:snapToGrid w:val="0"/>
                <w:color w:val="000000"/>
                <w:kern w:val="0"/>
                <w:sz w:val="24"/>
                <w:szCs w:val="20"/>
              </w:rPr>
            </w:pPr>
            <w:r>
              <w:rPr>
                <w:rFonts w:ascii="Times New Roman" w:hAnsi="Times New Roman"/>
                <w:snapToGrid w:val="0"/>
                <w:color w:val="000000"/>
                <w:kern w:val="0"/>
                <w:sz w:val="24"/>
                <w:szCs w:val="20"/>
              </w:rPr>
              <w:t>主要工程内容</w:t>
            </w:r>
          </w:p>
        </w:tc>
        <w:tc>
          <w:tcPr>
            <w:tcW w:w="930"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DCCB03A">
            <w:pPr>
              <w:ind w:left="105" w:leftChars="50" w:right="105" w:rightChars="50"/>
              <w:jc w:val="center"/>
              <w:rPr>
                <w:rFonts w:hint="eastAsia" w:ascii="Times New Roman" w:hAnsi="Times New Roman" w:eastAsia="宋体"/>
                <w:snapToGrid w:val="0"/>
                <w:color w:val="000000"/>
                <w:kern w:val="0"/>
                <w:sz w:val="24"/>
                <w:szCs w:val="20"/>
                <w:lang w:eastAsia="zh-CN"/>
              </w:rPr>
            </w:pPr>
            <w:r>
              <w:rPr>
                <w:rFonts w:hint="eastAsia" w:ascii="宋体" w:hAnsi="宋体" w:eastAsia="宋体"/>
                <w:color w:val="auto"/>
                <w:sz w:val="24"/>
                <w:highlight w:val="none"/>
                <w:lang w:eastAsia="zh-CN"/>
              </w:rPr>
              <w:t>接受分包企业</w:t>
            </w:r>
            <w:r>
              <w:rPr>
                <w:rFonts w:hint="eastAsia" w:ascii="Times New Roman" w:hAnsi="Times New Roman"/>
                <w:snapToGrid w:val="0"/>
                <w:color w:val="000000"/>
                <w:kern w:val="0"/>
                <w:sz w:val="24"/>
                <w:szCs w:val="20"/>
                <w:lang w:eastAsia="zh-CN"/>
              </w:rPr>
              <w:t>资质等级</w:t>
            </w: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2B3843E">
            <w:pPr>
              <w:ind w:left="105" w:leftChars="50" w:right="105" w:rightChars="50"/>
              <w:jc w:val="center"/>
              <w:rPr>
                <w:rFonts w:ascii="Times New Roman" w:hAnsi="Times New Roman"/>
                <w:snapToGrid w:val="0"/>
                <w:color w:val="000000"/>
                <w:kern w:val="0"/>
                <w:sz w:val="24"/>
                <w:szCs w:val="20"/>
              </w:rPr>
            </w:pPr>
            <w:r>
              <w:rPr>
                <w:rFonts w:ascii="Times New Roman" w:hAnsi="Times New Roman"/>
                <w:snapToGrid w:val="0"/>
                <w:color w:val="000000"/>
                <w:kern w:val="0"/>
                <w:sz w:val="24"/>
                <w:szCs w:val="20"/>
              </w:rPr>
              <w:t>预计造价（万元）</w:t>
            </w:r>
          </w:p>
        </w:tc>
      </w:tr>
      <w:tr w14:paraId="23003F5C">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4C6B371">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5B0B198">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8631A1A">
            <w:pPr>
              <w:ind w:left="105" w:leftChars="50" w:right="105" w:rightChars="50"/>
              <w:jc w:val="center"/>
              <w:rPr>
                <w:rFonts w:ascii="Times New Roman" w:hAnsi="Times New Roman"/>
                <w:snapToGrid w:val="0"/>
                <w:color w:val="000000"/>
                <w:kern w:val="0"/>
                <w:sz w:val="24"/>
                <w:szCs w:val="21"/>
              </w:rPr>
            </w:pPr>
          </w:p>
        </w:tc>
        <w:tc>
          <w:tcPr>
            <w:tcW w:w="930" w:type="pct"/>
            <w:tcBorders>
              <w:top w:val="single" w:color="000000" w:sz="6" w:space="0"/>
              <w:left w:val="single" w:color="000000" w:sz="6" w:space="0"/>
              <w:bottom w:val="single" w:color="auto" w:sz="4" w:space="0"/>
              <w:right w:val="single" w:color="000000" w:sz="6" w:space="0"/>
            </w:tcBorders>
            <w:noWrap w:val="0"/>
            <w:tcMar>
              <w:left w:w="0" w:type="dxa"/>
              <w:right w:w="0" w:type="dxa"/>
            </w:tcMar>
            <w:vAlign w:val="center"/>
          </w:tcPr>
          <w:p w14:paraId="531B419E">
            <w:pPr>
              <w:ind w:left="101" w:leftChars="45" w:right="105" w:rightChars="50" w:hanging="7" w:hangingChars="3"/>
              <w:jc w:val="both"/>
              <w:rPr>
                <w:rFonts w:ascii="Times New Roman" w:hAnsi="Times New Roman" w:eastAsia="宋体" w:cs="Times New Roman"/>
                <w:snapToGrid w:val="0"/>
                <w:color w:val="000000"/>
                <w:kern w:val="0"/>
                <w:sz w:val="24"/>
                <w:szCs w:val="21"/>
              </w:rPr>
            </w:pPr>
          </w:p>
          <w:p w14:paraId="130E5AB8">
            <w:pPr>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67866D1">
            <w:pPr>
              <w:ind w:left="105" w:leftChars="50" w:right="105" w:rightChars="50"/>
              <w:jc w:val="center"/>
              <w:rPr>
                <w:rFonts w:ascii="Times New Roman" w:hAnsi="Times New Roman"/>
                <w:snapToGrid w:val="0"/>
                <w:color w:val="000000"/>
                <w:kern w:val="0"/>
                <w:sz w:val="24"/>
                <w:szCs w:val="21"/>
              </w:rPr>
            </w:pPr>
          </w:p>
        </w:tc>
      </w:tr>
      <w:tr w14:paraId="27B2407A">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DE01AB3">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20687ED">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auto" w:sz="4" w:space="0"/>
              <w:right w:val="single" w:color="000000" w:sz="6" w:space="0"/>
            </w:tcBorders>
            <w:noWrap w:val="0"/>
            <w:tcMar>
              <w:left w:w="0" w:type="dxa"/>
              <w:right w:w="0" w:type="dxa"/>
            </w:tcMar>
            <w:vAlign w:val="center"/>
          </w:tcPr>
          <w:p w14:paraId="65D2D8DF">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66ADC31E">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63BCD4C">
            <w:pPr>
              <w:spacing w:line="440" w:lineRule="exact"/>
              <w:ind w:left="105" w:leftChars="50" w:right="105" w:rightChars="50"/>
              <w:jc w:val="center"/>
              <w:rPr>
                <w:rFonts w:ascii="Times New Roman" w:hAnsi="Times New Roman"/>
                <w:snapToGrid w:val="0"/>
                <w:color w:val="000000"/>
                <w:kern w:val="0"/>
                <w:sz w:val="24"/>
                <w:szCs w:val="21"/>
              </w:rPr>
            </w:pPr>
          </w:p>
        </w:tc>
      </w:tr>
      <w:tr w14:paraId="6B7F4D6A">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110B667">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B36EEE8">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auto" w:sz="4" w:space="0"/>
              <w:left w:val="single" w:color="000000" w:sz="6" w:space="0"/>
              <w:bottom w:val="single" w:color="000000" w:sz="6" w:space="0"/>
              <w:right w:val="single" w:color="000000" w:sz="6" w:space="0"/>
            </w:tcBorders>
            <w:noWrap w:val="0"/>
            <w:tcMar>
              <w:left w:w="0" w:type="dxa"/>
              <w:right w:w="0" w:type="dxa"/>
            </w:tcMar>
            <w:vAlign w:val="center"/>
          </w:tcPr>
          <w:p w14:paraId="20497F70">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314FBDB2">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5E5447B">
            <w:pPr>
              <w:spacing w:line="440" w:lineRule="exact"/>
              <w:ind w:left="105" w:leftChars="50" w:right="105" w:rightChars="50"/>
              <w:jc w:val="center"/>
              <w:rPr>
                <w:rFonts w:ascii="Times New Roman" w:hAnsi="Times New Roman"/>
                <w:snapToGrid w:val="0"/>
                <w:color w:val="000000"/>
                <w:kern w:val="0"/>
                <w:sz w:val="24"/>
                <w:szCs w:val="21"/>
              </w:rPr>
            </w:pPr>
          </w:p>
        </w:tc>
      </w:tr>
      <w:tr w14:paraId="0A54D7F7">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9158005">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7AB4DBF">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EF4E637">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31F56563">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940F2DF">
            <w:pPr>
              <w:spacing w:line="440" w:lineRule="exact"/>
              <w:ind w:left="105" w:leftChars="50" w:right="105" w:rightChars="50"/>
              <w:jc w:val="center"/>
              <w:rPr>
                <w:rFonts w:ascii="Times New Roman" w:hAnsi="Times New Roman"/>
                <w:snapToGrid w:val="0"/>
                <w:color w:val="000000"/>
                <w:kern w:val="0"/>
                <w:sz w:val="24"/>
                <w:szCs w:val="21"/>
              </w:rPr>
            </w:pPr>
          </w:p>
        </w:tc>
      </w:tr>
      <w:tr w14:paraId="26AC449C">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39A5061">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91B39A7">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555E6EA">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4412F71B">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A4B5445">
            <w:pPr>
              <w:spacing w:line="440" w:lineRule="exact"/>
              <w:ind w:left="105" w:leftChars="50" w:right="105" w:rightChars="50"/>
              <w:jc w:val="center"/>
              <w:rPr>
                <w:rFonts w:ascii="Times New Roman" w:hAnsi="Times New Roman"/>
                <w:snapToGrid w:val="0"/>
                <w:color w:val="000000"/>
                <w:kern w:val="0"/>
                <w:sz w:val="24"/>
                <w:szCs w:val="21"/>
              </w:rPr>
            </w:pPr>
          </w:p>
        </w:tc>
      </w:tr>
      <w:tr w14:paraId="67D3FB5E">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0767E01">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A50AC31">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BBBF771">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0BA2FF1B">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AEEBA6F">
            <w:pPr>
              <w:spacing w:line="440" w:lineRule="exact"/>
              <w:ind w:left="105" w:leftChars="50" w:right="105" w:rightChars="50"/>
              <w:jc w:val="center"/>
              <w:rPr>
                <w:rFonts w:ascii="Times New Roman" w:hAnsi="Times New Roman"/>
                <w:snapToGrid w:val="0"/>
                <w:color w:val="000000"/>
                <w:kern w:val="0"/>
                <w:sz w:val="24"/>
                <w:szCs w:val="21"/>
              </w:rPr>
            </w:pPr>
          </w:p>
        </w:tc>
      </w:tr>
      <w:tr w14:paraId="4D2ACBA1">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9B23EC0">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B983895">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FD9BC47">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right w:val="single" w:color="000000" w:sz="6" w:space="0"/>
            </w:tcBorders>
            <w:noWrap w:val="0"/>
            <w:tcMar>
              <w:left w:w="0" w:type="dxa"/>
              <w:right w:w="0" w:type="dxa"/>
            </w:tcMar>
            <w:vAlign w:val="center"/>
          </w:tcPr>
          <w:p w14:paraId="51B67B41">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DDA0665">
            <w:pPr>
              <w:spacing w:line="440" w:lineRule="exact"/>
              <w:ind w:left="105" w:leftChars="50" w:right="105" w:rightChars="50"/>
              <w:jc w:val="center"/>
              <w:rPr>
                <w:rFonts w:ascii="Times New Roman" w:hAnsi="Times New Roman"/>
                <w:snapToGrid w:val="0"/>
                <w:color w:val="000000"/>
                <w:kern w:val="0"/>
                <w:sz w:val="24"/>
                <w:szCs w:val="21"/>
              </w:rPr>
            </w:pPr>
          </w:p>
        </w:tc>
      </w:tr>
      <w:tr w14:paraId="4D3BB97A">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9848E6E">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9F46954">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E14131D">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719F58EF">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A58371B">
            <w:pPr>
              <w:spacing w:line="440" w:lineRule="exact"/>
              <w:ind w:left="105" w:leftChars="50" w:right="105" w:rightChars="50"/>
              <w:jc w:val="center"/>
              <w:rPr>
                <w:rFonts w:ascii="Times New Roman" w:hAnsi="Times New Roman"/>
                <w:snapToGrid w:val="0"/>
                <w:color w:val="000000"/>
                <w:kern w:val="0"/>
                <w:sz w:val="24"/>
                <w:szCs w:val="21"/>
              </w:rPr>
            </w:pPr>
          </w:p>
        </w:tc>
      </w:tr>
      <w:tr w14:paraId="437CDCC6">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CE460D1">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DDAFC26">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F3EEA86">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0DE0CFFF">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4A1EA73">
            <w:pPr>
              <w:spacing w:line="440" w:lineRule="exact"/>
              <w:ind w:left="105" w:leftChars="50" w:right="105" w:rightChars="50"/>
              <w:jc w:val="center"/>
              <w:rPr>
                <w:rFonts w:ascii="Times New Roman" w:hAnsi="Times New Roman"/>
                <w:snapToGrid w:val="0"/>
                <w:color w:val="000000"/>
                <w:kern w:val="0"/>
                <w:sz w:val="24"/>
                <w:szCs w:val="21"/>
              </w:rPr>
            </w:pPr>
          </w:p>
        </w:tc>
      </w:tr>
      <w:tr w14:paraId="6BAB50C1">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0355CEE">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60ECE5B">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8D81348">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69A63342">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879D187">
            <w:pPr>
              <w:spacing w:line="440" w:lineRule="exact"/>
              <w:ind w:left="105" w:leftChars="50" w:right="105" w:rightChars="50"/>
              <w:jc w:val="center"/>
              <w:rPr>
                <w:rFonts w:ascii="Times New Roman" w:hAnsi="Times New Roman"/>
                <w:snapToGrid w:val="0"/>
                <w:color w:val="000000"/>
                <w:kern w:val="0"/>
                <w:sz w:val="24"/>
                <w:szCs w:val="21"/>
              </w:rPr>
            </w:pPr>
          </w:p>
        </w:tc>
      </w:tr>
      <w:tr w14:paraId="3DC5D29A">
        <w:tblPrEx>
          <w:tblCellMar>
            <w:top w:w="28" w:type="dxa"/>
            <w:left w:w="108" w:type="dxa"/>
            <w:bottom w:w="28" w:type="dxa"/>
            <w:right w:w="108" w:type="dxa"/>
          </w:tblCellMar>
        </w:tblPrEx>
        <w:trPr>
          <w:trHeight w:val="567" w:hRule="atLeast"/>
          <w:jc w:val="center"/>
        </w:trPr>
        <w:tc>
          <w:tcPr>
            <w:tcW w:w="937"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DD5644F">
            <w:pPr>
              <w:spacing w:line="440" w:lineRule="exact"/>
              <w:ind w:left="105" w:leftChars="50" w:right="105" w:rightChars="50"/>
              <w:jc w:val="center"/>
              <w:rPr>
                <w:rFonts w:ascii="Times New Roman" w:hAnsi="Times New Roman"/>
                <w:snapToGrid w:val="0"/>
                <w:color w:val="000000"/>
                <w:kern w:val="0"/>
                <w:sz w:val="24"/>
                <w:szCs w:val="21"/>
              </w:rPr>
            </w:pPr>
          </w:p>
        </w:tc>
        <w:tc>
          <w:tcPr>
            <w:tcW w:w="1322"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1BBDE2D">
            <w:pPr>
              <w:spacing w:line="440" w:lineRule="exact"/>
              <w:ind w:left="105" w:leftChars="50" w:right="105" w:rightChars="50"/>
              <w:jc w:val="center"/>
              <w:rPr>
                <w:rFonts w:ascii="Times New Roman" w:hAnsi="Times New Roman"/>
                <w:snapToGrid w:val="0"/>
                <w:color w:val="000000"/>
                <w:kern w:val="0"/>
                <w:sz w:val="24"/>
                <w:szCs w:val="21"/>
              </w:rPr>
            </w:pPr>
          </w:p>
        </w:tc>
        <w:tc>
          <w:tcPr>
            <w:tcW w:w="1068"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EB44DA3">
            <w:pPr>
              <w:spacing w:line="440" w:lineRule="exact"/>
              <w:ind w:left="105" w:leftChars="50" w:right="105" w:rightChars="50"/>
              <w:jc w:val="center"/>
              <w:rPr>
                <w:rFonts w:ascii="Times New Roman" w:hAnsi="Times New Roman"/>
                <w:snapToGrid w:val="0"/>
                <w:color w:val="000000"/>
                <w:kern w:val="0"/>
                <w:sz w:val="24"/>
                <w:szCs w:val="21"/>
              </w:rPr>
            </w:pPr>
          </w:p>
        </w:tc>
        <w:tc>
          <w:tcPr>
            <w:tcW w:w="930" w:type="pct"/>
            <w:tcBorders>
              <w:top w:val="single" w:color="auto" w:sz="4" w:space="0"/>
              <w:left w:val="single" w:color="000000" w:sz="6" w:space="0"/>
              <w:bottom w:val="single" w:color="auto" w:sz="4" w:space="0"/>
              <w:right w:val="single" w:color="000000" w:sz="6" w:space="0"/>
            </w:tcBorders>
            <w:noWrap w:val="0"/>
            <w:tcMar>
              <w:left w:w="0" w:type="dxa"/>
              <w:right w:w="0" w:type="dxa"/>
            </w:tcMar>
            <w:vAlign w:val="center"/>
          </w:tcPr>
          <w:p w14:paraId="49058506">
            <w:pPr>
              <w:spacing w:line="440" w:lineRule="exact"/>
              <w:ind w:left="105" w:leftChars="50" w:right="105" w:rightChars="50"/>
              <w:jc w:val="center"/>
              <w:rPr>
                <w:rFonts w:ascii="Times New Roman" w:hAnsi="Times New Roman"/>
                <w:snapToGrid w:val="0"/>
                <w:color w:val="000000"/>
                <w:kern w:val="0"/>
                <w:sz w:val="24"/>
                <w:szCs w:val="21"/>
              </w:rPr>
            </w:pP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D9C115A">
            <w:pPr>
              <w:spacing w:line="440" w:lineRule="exact"/>
              <w:ind w:left="105" w:leftChars="50" w:right="105" w:rightChars="50"/>
              <w:jc w:val="center"/>
              <w:rPr>
                <w:rFonts w:ascii="Times New Roman" w:hAnsi="Times New Roman"/>
                <w:snapToGrid w:val="0"/>
                <w:color w:val="000000"/>
                <w:kern w:val="0"/>
                <w:sz w:val="24"/>
                <w:szCs w:val="21"/>
              </w:rPr>
            </w:pPr>
          </w:p>
        </w:tc>
      </w:tr>
      <w:tr w14:paraId="254081CD">
        <w:tblPrEx>
          <w:tblCellMar>
            <w:top w:w="28" w:type="dxa"/>
            <w:left w:w="108" w:type="dxa"/>
            <w:bottom w:w="28" w:type="dxa"/>
            <w:right w:w="108" w:type="dxa"/>
          </w:tblCellMar>
        </w:tblPrEx>
        <w:trPr>
          <w:trHeight w:val="567" w:hRule="atLeast"/>
          <w:jc w:val="center"/>
        </w:trPr>
        <w:tc>
          <w:tcPr>
            <w:tcW w:w="4258" w:type="pct"/>
            <w:gridSpan w:val="4"/>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CFD9FB8">
            <w:pPr>
              <w:spacing w:line="440" w:lineRule="exact"/>
              <w:ind w:left="105" w:leftChars="50" w:right="105" w:rightChars="50"/>
              <w:jc w:val="center"/>
              <w:rPr>
                <w:rFonts w:ascii="Times New Roman" w:hAnsi="Times New Roman"/>
                <w:snapToGrid w:val="0"/>
                <w:color w:val="000000"/>
                <w:kern w:val="0"/>
                <w:sz w:val="24"/>
                <w:szCs w:val="21"/>
              </w:rPr>
            </w:pPr>
            <w:r>
              <w:rPr>
                <w:rFonts w:ascii="Times New Roman" w:hAnsi="Times New Roman"/>
                <w:snapToGrid w:val="0"/>
                <w:color w:val="000000"/>
                <w:kern w:val="0"/>
                <w:sz w:val="24"/>
                <w:szCs w:val="21"/>
              </w:rPr>
              <w:t>拟分包工程造价合计（万元）</w:t>
            </w:r>
          </w:p>
        </w:tc>
        <w:tc>
          <w:tcPr>
            <w:tcW w:w="741" w:type="pct"/>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34FEB76">
            <w:pPr>
              <w:spacing w:line="440" w:lineRule="exact"/>
              <w:ind w:left="105" w:leftChars="50" w:right="105" w:rightChars="50"/>
              <w:jc w:val="center"/>
              <w:rPr>
                <w:rFonts w:ascii="Times New Roman" w:hAnsi="Times New Roman"/>
                <w:snapToGrid w:val="0"/>
                <w:color w:val="000000"/>
                <w:kern w:val="0"/>
                <w:sz w:val="24"/>
                <w:szCs w:val="21"/>
              </w:rPr>
            </w:pPr>
          </w:p>
        </w:tc>
      </w:tr>
    </w:tbl>
    <w:p w14:paraId="5DF7A7D0">
      <w:pPr>
        <w:rPr>
          <w:rFonts w:hint="eastAsia"/>
          <w:color w:val="000000"/>
        </w:rPr>
      </w:pPr>
    </w:p>
    <w:p w14:paraId="562141AC">
      <w:pPr>
        <w:pStyle w:val="4"/>
        <w:adjustRightInd w:val="0"/>
        <w:snapToGrid w:val="0"/>
        <w:spacing w:before="0" w:after="0" w:line="560" w:lineRule="exact"/>
        <w:ind w:firstLine="480" w:firstLineChars="200"/>
        <w:jc w:val="both"/>
        <w:rPr>
          <w:rFonts w:hint="eastAsia" w:ascii="Times New Roman" w:hAnsi="Times New Roman" w:eastAsia="宋体" w:cs="Times New Roman"/>
          <w:b w:val="0"/>
          <w:bCs w:val="0"/>
          <w:snapToGrid w:val="0"/>
          <w:color w:val="000000"/>
          <w:sz w:val="24"/>
          <w:szCs w:val="21"/>
        </w:rPr>
      </w:pPr>
      <w:r>
        <w:rPr>
          <w:rFonts w:hint="eastAsia" w:ascii="Times New Roman" w:hAnsi="Times New Roman" w:eastAsia="宋体" w:cs="Times New Roman"/>
          <w:b w:val="0"/>
          <w:bCs w:val="0"/>
          <w:snapToGrid w:val="0"/>
          <w:color w:val="000000"/>
          <w:sz w:val="24"/>
          <w:szCs w:val="21"/>
          <w:highlight w:val="none"/>
          <w:lang w:eastAsia="zh-CN"/>
        </w:rPr>
        <w:t>注：</w:t>
      </w:r>
      <w:r>
        <w:rPr>
          <w:rFonts w:hint="eastAsia" w:ascii="Times New Roman" w:hAnsi="Times New Roman" w:eastAsia="宋体" w:cs="Times New Roman"/>
          <w:b w:val="0"/>
          <w:bCs w:val="0"/>
          <w:snapToGrid w:val="0"/>
          <w:color w:val="000000"/>
          <w:sz w:val="24"/>
          <w:szCs w:val="21"/>
          <w:highlight w:val="none"/>
          <w:lang w:val="en-US" w:eastAsia="zh-CN"/>
        </w:rPr>
        <w:t>1、</w:t>
      </w:r>
      <w:r>
        <w:rPr>
          <w:rFonts w:hint="eastAsia" w:ascii="宋体" w:hAnsi="宋体" w:eastAsia="宋体" w:cs="Times New Roman"/>
          <w:b w:val="0"/>
          <w:bCs/>
          <w:kern w:val="2"/>
          <w:sz w:val="24"/>
          <w:szCs w:val="24"/>
          <w:highlight w:val="none"/>
        </w:rPr>
        <w:t>适用于</w:t>
      </w:r>
      <w:r>
        <w:rPr>
          <w:rFonts w:hint="eastAsia" w:ascii="宋体" w:hAnsi="宋体" w:eastAsia="宋体" w:cs="Times New Roman"/>
          <w:b w:val="0"/>
          <w:bCs/>
          <w:kern w:val="2"/>
          <w:sz w:val="24"/>
          <w:szCs w:val="24"/>
          <w:highlight w:val="none"/>
          <w:lang w:eastAsia="zh-CN"/>
        </w:rPr>
        <w:t>不享受</w:t>
      </w:r>
      <w:r>
        <w:rPr>
          <w:rFonts w:hint="eastAsia" w:ascii="宋体" w:hAnsi="宋体" w:eastAsia="宋体" w:cs="Times New Roman"/>
          <w:b w:val="0"/>
          <w:bCs/>
          <w:kern w:val="2"/>
          <w:sz w:val="24"/>
          <w:szCs w:val="24"/>
          <w:highlight w:val="none"/>
        </w:rPr>
        <w:t>政府采购</w:t>
      </w:r>
      <w:r>
        <w:rPr>
          <w:rFonts w:hint="eastAsia" w:ascii="宋体" w:hAnsi="宋体" w:eastAsia="宋体" w:cs="Times New Roman"/>
          <w:b w:val="0"/>
          <w:bCs/>
          <w:kern w:val="2"/>
          <w:sz w:val="24"/>
          <w:szCs w:val="24"/>
          <w:highlight w:val="none"/>
          <w:lang w:eastAsia="zh-CN"/>
        </w:rPr>
        <w:t>中小企业扶持政策的投标人填写。</w:t>
      </w:r>
      <w:r>
        <w:rPr>
          <w:rFonts w:hint="eastAsia" w:ascii="Times New Roman" w:hAnsi="Times New Roman" w:eastAsia="宋体" w:cs="Times New Roman"/>
          <w:b w:val="0"/>
          <w:bCs w:val="0"/>
          <w:snapToGrid w:val="0"/>
          <w:color w:val="000000"/>
          <w:kern w:val="0"/>
          <w:sz w:val="24"/>
          <w:szCs w:val="21"/>
          <w:highlight w:val="none"/>
          <w:lang w:eastAsia="zh-CN"/>
        </w:rPr>
        <w:t>投标人</w:t>
      </w:r>
      <w:r>
        <w:rPr>
          <w:rFonts w:hint="eastAsia" w:ascii="Times New Roman" w:hAnsi="Times New Roman" w:eastAsia="宋体" w:cs="Times New Roman"/>
          <w:b w:val="0"/>
          <w:bCs w:val="0"/>
          <w:smallCaps w:val="0"/>
          <w:snapToGrid w:val="0"/>
          <w:color w:val="000000"/>
          <w:sz w:val="24"/>
          <w:szCs w:val="21"/>
        </w:rPr>
        <w:t>若无分包计划，投标</w:t>
      </w:r>
      <w:r>
        <w:rPr>
          <w:rFonts w:hint="eastAsia" w:ascii="Times New Roman" w:hAnsi="Times New Roman" w:eastAsia="宋体" w:cs="Times New Roman"/>
          <w:b w:val="0"/>
          <w:bCs w:val="0"/>
          <w:smallCaps w:val="0"/>
          <w:snapToGrid w:val="0"/>
          <w:color w:val="000000"/>
          <w:sz w:val="24"/>
          <w:szCs w:val="21"/>
          <w:lang w:eastAsia="zh-CN"/>
        </w:rPr>
        <w:t>文件中不需</w:t>
      </w:r>
      <w:r>
        <w:rPr>
          <w:rFonts w:hint="eastAsia" w:ascii="Times New Roman" w:hAnsi="Times New Roman" w:eastAsia="宋体" w:cs="Times New Roman"/>
          <w:b w:val="0"/>
          <w:bCs w:val="0"/>
          <w:smallCaps w:val="0"/>
          <w:snapToGrid w:val="0"/>
          <w:color w:val="000000"/>
          <w:sz w:val="24"/>
          <w:szCs w:val="21"/>
        </w:rPr>
        <w:t>本表</w:t>
      </w:r>
      <w:r>
        <w:rPr>
          <w:rFonts w:hint="eastAsia" w:ascii="Times New Roman" w:hAnsi="Times New Roman" w:eastAsia="宋体" w:cs="Times New Roman"/>
          <w:b w:val="0"/>
          <w:bCs w:val="0"/>
          <w:snapToGrid w:val="0"/>
          <w:color w:val="000000"/>
          <w:kern w:val="0"/>
          <w:sz w:val="24"/>
          <w:szCs w:val="21"/>
          <w:highlight w:val="none"/>
          <w:lang w:eastAsia="zh-CN"/>
        </w:rPr>
        <w:t>。</w:t>
      </w:r>
    </w:p>
    <w:p w14:paraId="45352A92">
      <w:pPr>
        <w:ind w:firstLine="960" w:firstLineChars="400"/>
        <w:rPr>
          <w:rFonts w:hint="eastAsia" w:ascii="Times New Roman" w:hAnsi="Times New Roman" w:eastAsia="宋体" w:cs="Times New Roman"/>
          <w:snapToGrid w:val="0"/>
          <w:color w:val="000000"/>
          <w:kern w:val="0"/>
          <w:sz w:val="24"/>
          <w:szCs w:val="21"/>
          <w:highlight w:val="none"/>
          <w:lang w:eastAsia="zh-CN"/>
        </w:rPr>
      </w:pPr>
      <w:r>
        <w:rPr>
          <w:rFonts w:hint="eastAsia" w:ascii="Times New Roman" w:hAnsi="Times New Roman" w:cs="Times New Roman"/>
          <w:snapToGrid w:val="0"/>
          <w:color w:val="000000"/>
          <w:kern w:val="0"/>
          <w:sz w:val="24"/>
          <w:szCs w:val="21"/>
          <w:lang w:val="en-US" w:eastAsia="zh-CN"/>
        </w:rPr>
        <w:t>2.</w:t>
      </w:r>
      <w:r>
        <w:rPr>
          <w:rFonts w:hint="eastAsia" w:ascii="Times New Roman" w:hAnsi="Times New Roman" w:eastAsia="宋体" w:cs="Times New Roman"/>
          <w:snapToGrid w:val="0"/>
          <w:color w:val="000000"/>
          <w:kern w:val="0"/>
          <w:sz w:val="24"/>
          <w:szCs w:val="21"/>
        </w:rPr>
        <w:t>投标人如有分包计划，应明确拟分包的工程及规模，且投标人中标后的分包应满足合同条款的相关要求。</w:t>
      </w:r>
    </w:p>
    <w:p w14:paraId="0DF758EB">
      <w:pPr>
        <w:ind w:firstLine="960" w:firstLineChars="400"/>
        <w:rPr>
          <w:rFonts w:hint="eastAsia"/>
          <w:color w:val="000000"/>
        </w:rPr>
      </w:pPr>
      <w:r>
        <w:rPr>
          <w:rFonts w:hint="eastAsia" w:ascii="宋体" w:hAnsi="宋体"/>
          <w:color w:val="auto"/>
          <w:sz w:val="24"/>
          <w:highlight w:val="none"/>
          <w:lang w:val="en-US" w:eastAsia="zh-CN"/>
        </w:rPr>
        <w:t>3.</w:t>
      </w:r>
      <w:r>
        <w:rPr>
          <w:rFonts w:hint="eastAsia" w:ascii="宋体" w:hAnsi="宋体" w:eastAsia="宋体"/>
          <w:color w:val="auto"/>
          <w:sz w:val="24"/>
          <w:highlight w:val="none"/>
        </w:rPr>
        <w:t>如</w:t>
      </w:r>
      <w:r>
        <w:rPr>
          <w:rFonts w:hint="eastAsia" w:ascii="宋体" w:hAnsi="宋体" w:eastAsia="宋体"/>
          <w:color w:val="auto"/>
          <w:sz w:val="24"/>
          <w:highlight w:val="none"/>
          <w:lang w:val="en-US" w:eastAsia="zh-CN"/>
        </w:rPr>
        <w:t>招标</w:t>
      </w:r>
      <w:r>
        <w:rPr>
          <w:rFonts w:hint="eastAsia" w:ascii="宋体" w:hAnsi="宋体" w:eastAsia="宋体"/>
          <w:color w:val="auto"/>
          <w:sz w:val="24"/>
          <w:highlight w:val="none"/>
        </w:rPr>
        <w:t>文件载明本项目</w:t>
      </w:r>
      <w:r>
        <w:rPr>
          <w:rFonts w:hint="eastAsia" w:ascii="宋体" w:hAnsi="宋体" w:eastAsia="宋体"/>
          <w:color w:val="auto"/>
          <w:sz w:val="24"/>
          <w:highlight w:val="none"/>
          <w:lang w:eastAsia="zh-CN"/>
        </w:rPr>
        <w:t>接受分包企业</w:t>
      </w:r>
      <w:r>
        <w:rPr>
          <w:rFonts w:hint="eastAsia" w:ascii="宋体" w:hAnsi="宋体" w:eastAsia="宋体"/>
          <w:color w:val="auto"/>
          <w:sz w:val="24"/>
          <w:highlight w:val="none"/>
        </w:rPr>
        <w:t>应具备的相应资质条件，则</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须列明</w:t>
      </w:r>
      <w:r>
        <w:rPr>
          <w:rFonts w:hint="eastAsia" w:ascii="宋体" w:hAnsi="宋体" w:eastAsia="宋体"/>
          <w:color w:val="auto"/>
          <w:sz w:val="24"/>
          <w:highlight w:val="none"/>
          <w:lang w:eastAsia="zh-CN"/>
        </w:rPr>
        <w:t>接受分包企业</w:t>
      </w:r>
      <w:r>
        <w:rPr>
          <w:rFonts w:hint="eastAsia" w:ascii="宋体" w:hAnsi="宋体" w:eastAsia="宋体"/>
          <w:color w:val="auto"/>
          <w:sz w:val="24"/>
          <w:highlight w:val="none"/>
        </w:rPr>
        <w:t>的资质等级，并后附</w:t>
      </w:r>
      <w:r>
        <w:rPr>
          <w:rFonts w:hint="eastAsia" w:ascii="宋体" w:hAnsi="宋体" w:eastAsia="宋体"/>
          <w:color w:val="auto"/>
          <w:sz w:val="24"/>
          <w:highlight w:val="none"/>
          <w:lang w:val="en-US" w:eastAsia="zh-CN"/>
        </w:rPr>
        <w:t>材料扫描件或电子证照</w:t>
      </w:r>
      <w:r>
        <w:rPr>
          <w:rFonts w:hint="eastAsia" w:ascii="宋体" w:hAnsi="宋体" w:eastAsia="宋体"/>
          <w:color w:val="auto"/>
          <w:sz w:val="24"/>
          <w:highlight w:val="none"/>
        </w:rPr>
        <w:t>，否则</w:t>
      </w:r>
      <w:r>
        <w:rPr>
          <w:rFonts w:hint="eastAsia" w:ascii="宋体" w:hAnsi="宋体" w:eastAsia="宋体"/>
          <w:b/>
          <w:bCs/>
          <w:color w:val="auto"/>
          <w:sz w:val="24"/>
          <w:highlight w:val="none"/>
          <w:lang w:val="en-US" w:eastAsia="zh-CN"/>
        </w:rPr>
        <w:t>投标</w:t>
      </w:r>
      <w:r>
        <w:rPr>
          <w:rFonts w:hint="eastAsia" w:ascii="宋体" w:hAnsi="宋体" w:eastAsia="宋体"/>
          <w:b/>
          <w:bCs/>
          <w:color w:val="auto"/>
          <w:sz w:val="24"/>
          <w:highlight w:val="none"/>
        </w:rPr>
        <w:t>无效</w:t>
      </w:r>
      <w:r>
        <w:rPr>
          <w:rFonts w:hint="eastAsia" w:ascii="宋体" w:hAnsi="宋体" w:eastAsia="宋体"/>
          <w:color w:val="auto"/>
          <w:sz w:val="24"/>
          <w:highlight w:val="none"/>
        </w:rPr>
        <w:t>。</w:t>
      </w:r>
    </w:p>
    <w:p w14:paraId="29701C41">
      <w:pPr>
        <w:pStyle w:val="4"/>
        <w:adjustRightInd w:val="0"/>
        <w:snapToGrid w:val="0"/>
        <w:spacing w:before="0" w:after="0" w:line="560" w:lineRule="exact"/>
        <w:jc w:val="center"/>
        <w:rPr>
          <w:rFonts w:hint="eastAsia"/>
          <w:color w:val="auto"/>
          <w:highlight w:val="none"/>
        </w:rPr>
      </w:pPr>
    </w:p>
    <w:p w14:paraId="411AA38D">
      <w:pPr>
        <w:rPr>
          <w:rFonts w:hint="eastAsia"/>
          <w:color w:val="auto"/>
          <w:highlight w:val="none"/>
        </w:rPr>
      </w:pPr>
    </w:p>
    <w:p w14:paraId="3ECB04A8">
      <w:pPr>
        <w:rPr>
          <w:rFonts w:hint="eastAsia"/>
          <w:color w:val="auto"/>
          <w:highlight w:val="none"/>
        </w:rPr>
      </w:pPr>
    </w:p>
    <w:bookmarkEnd w:id="1501"/>
    <w:bookmarkEnd w:id="1502"/>
    <w:bookmarkEnd w:id="1503"/>
    <w:bookmarkEnd w:id="1504"/>
    <w:p w14:paraId="5076C76C">
      <w:pPr>
        <w:rPr>
          <w:rFonts w:hint="eastAsia"/>
          <w:color w:val="auto"/>
          <w:highlight w:val="none"/>
        </w:rPr>
      </w:pPr>
      <w:bookmarkStart w:id="1506" w:name="_Toc95223538"/>
      <w:r>
        <w:rPr>
          <w:rFonts w:hint="eastAsia"/>
          <w:color w:val="auto"/>
          <w:highlight w:val="none"/>
        </w:rPr>
        <w:br w:type="page"/>
      </w:r>
    </w:p>
    <w:p w14:paraId="3B30DEA4">
      <w:pPr>
        <w:jc w:val="center"/>
        <w:rPr>
          <w:rFonts w:hint="eastAsia" w:ascii="Times New Roman" w:hAnsi="Times New Roman" w:eastAsia="宋体" w:cs="Times New Roman"/>
          <w:b/>
          <w:bCs/>
          <w:color w:val="000000"/>
          <w:kern w:val="0"/>
          <w:sz w:val="32"/>
          <w:szCs w:val="32"/>
          <w:highlight w:val="none"/>
        </w:rPr>
      </w:pPr>
      <w:r>
        <w:rPr>
          <w:rFonts w:hint="eastAsia" w:ascii="Times New Roman" w:hAnsi="Times New Roman" w:eastAsia="宋体" w:cs="Times New Roman"/>
          <w:b/>
          <w:bCs/>
          <w:color w:val="000000"/>
          <w:kern w:val="0"/>
          <w:sz w:val="32"/>
          <w:szCs w:val="32"/>
        </w:rPr>
        <w:t>（</w:t>
      </w:r>
      <w:r>
        <w:rPr>
          <w:rFonts w:hint="eastAsia" w:ascii="Times New Roman" w:hAnsi="Times New Roman" w:eastAsia="宋体" w:cs="Times New Roman"/>
          <w:b/>
          <w:bCs/>
          <w:color w:val="000000"/>
          <w:kern w:val="0"/>
          <w:sz w:val="32"/>
          <w:szCs w:val="32"/>
          <w:lang w:val="en-US" w:eastAsia="zh-CN"/>
        </w:rPr>
        <w:t>6</w:t>
      </w:r>
      <w:r>
        <w:rPr>
          <w:rFonts w:hint="eastAsia" w:ascii="Times New Roman" w:hAnsi="Times New Roman" w:eastAsia="宋体" w:cs="Times New Roman"/>
          <w:b/>
          <w:bCs/>
          <w:color w:val="000000"/>
          <w:kern w:val="0"/>
          <w:sz w:val="32"/>
          <w:szCs w:val="32"/>
        </w:rPr>
        <w:t>）</w:t>
      </w:r>
      <w:r>
        <w:rPr>
          <w:rFonts w:hint="eastAsia" w:ascii="Times New Roman" w:hAnsi="Times New Roman" w:eastAsia="宋体" w:cs="Times New Roman"/>
          <w:b/>
          <w:bCs/>
          <w:color w:val="000000"/>
          <w:kern w:val="0"/>
          <w:sz w:val="32"/>
          <w:szCs w:val="32"/>
          <w:highlight w:val="none"/>
        </w:rPr>
        <w:t>分包意向协议书</w:t>
      </w:r>
      <w:r>
        <w:rPr>
          <w:rFonts w:hint="eastAsia" w:ascii="Times New Roman" w:hAnsi="Times New Roman" w:eastAsia="宋体" w:cs="Times New Roman"/>
          <w:b/>
          <w:bCs/>
          <w:color w:val="000000"/>
          <w:kern w:val="0"/>
          <w:sz w:val="32"/>
          <w:szCs w:val="32"/>
        </w:rPr>
        <w:t>（如有）</w:t>
      </w:r>
    </w:p>
    <w:p w14:paraId="27D149C4">
      <w:pPr>
        <w:rPr>
          <w:rFonts w:hint="eastAsia"/>
          <w:color w:val="000000"/>
        </w:rPr>
      </w:pPr>
    </w:p>
    <w:p w14:paraId="62D4B125">
      <w:pPr>
        <w:spacing w:line="360" w:lineRule="auto"/>
        <w:ind w:firstLine="435"/>
        <w:rPr>
          <w:rFonts w:hint="eastAsia" w:ascii="宋体" w:hAnsi="宋体" w:eastAsia="宋体"/>
          <w:sz w:val="24"/>
        </w:rPr>
      </w:pPr>
    </w:p>
    <w:p w14:paraId="2437C3AC">
      <w:pPr>
        <w:spacing w:line="360" w:lineRule="auto"/>
        <w:ind w:firstLine="435"/>
        <w:rPr>
          <w:rFonts w:ascii="宋体" w:hAnsi="宋体" w:eastAsia="宋体"/>
          <w:sz w:val="24"/>
          <w:u w:val="single"/>
        </w:rPr>
      </w:pPr>
      <w:r>
        <w:rPr>
          <w:rFonts w:hint="eastAsia" w:ascii="宋体" w:hAnsi="宋体" w:eastAsia="宋体"/>
          <w:sz w:val="24"/>
        </w:rPr>
        <w:t>投标人名称：</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u w:val="single"/>
          <w:lang w:val="en-US" w:eastAsia="zh-CN"/>
        </w:rPr>
        <w:t xml:space="preserve">        </w:t>
      </w:r>
      <w:r>
        <w:rPr>
          <w:rFonts w:ascii="宋体" w:hAnsi="宋体" w:eastAsia="宋体"/>
          <w:sz w:val="24"/>
          <w:u w:val="single"/>
        </w:rPr>
        <w:t xml:space="preserve">           </w:t>
      </w:r>
      <w:r>
        <w:rPr>
          <w:rFonts w:hint="eastAsia" w:ascii="宋体" w:hAnsi="宋体" w:eastAsia="宋体"/>
          <w:sz w:val="24"/>
        </w:rPr>
        <w:t>；</w:t>
      </w:r>
    </w:p>
    <w:p w14:paraId="55349DE1">
      <w:pPr>
        <w:spacing w:line="360" w:lineRule="auto"/>
        <w:ind w:firstLine="435"/>
        <w:rPr>
          <w:rFonts w:hint="eastAsia" w:ascii="宋体" w:hAnsi="宋体" w:eastAsia="宋体"/>
          <w:sz w:val="24"/>
        </w:rPr>
      </w:pPr>
      <w:r>
        <w:rPr>
          <w:rFonts w:hint="eastAsia" w:ascii="宋体" w:hAnsi="宋体" w:eastAsia="宋体"/>
          <w:sz w:val="24"/>
        </w:rPr>
        <w:t>接受分包企业</w:t>
      </w:r>
      <w:r>
        <w:rPr>
          <w:rFonts w:hint="eastAsia" w:ascii="宋体" w:hAnsi="宋体" w:eastAsia="宋体"/>
          <w:sz w:val="24"/>
          <w:lang w:val="en-US" w:eastAsia="zh-CN"/>
        </w:rPr>
        <w:t>一</w:t>
      </w:r>
      <w:r>
        <w:rPr>
          <w:rFonts w:hint="eastAsia" w:ascii="宋体" w:hAnsi="宋体" w:eastAsia="宋体"/>
          <w:sz w:val="24"/>
        </w:rPr>
        <w:t>名称：</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rPr>
        <w:t>；</w:t>
      </w:r>
    </w:p>
    <w:p w14:paraId="2C4A619E">
      <w:pPr>
        <w:spacing w:line="360" w:lineRule="auto"/>
        <w:ind w:firstLine="435"/>
        <w:rPr>
          <w:rFonts w:hint="eastAsia" w:ascii="宋体" w:hAnsi="宋体" w:eastAsia="宋体"/>
          <w:sz w:val="24"/>
        </w:rPr>
      </w:pPr>
      <w:r>
        <w:rPr>
          <w:rFonts w:hint="eastAsia" w:ascii="宋体" w:hAnsi="宋体" w:eastAsia="宋体"/>
          <w:sz w:val="24"/>
        </w:rPr>
        <w:t>接受分包企业</w:t>
      </w:r>
      <w:r>
        <w:rPr>
          <w:rFonts w:hint="eastAsia" w:ascii="宋体" w:hAnsi="宋体" w:eastAsia="宋体"/>
          <w:sz w:val="24"/>
          <w:lang w:val="en-US" w:eastAsia="zh-CN"/>
        </w:rPr>
        <w:t>二</w:t>
      </w:r>
      <w:r>
        <w:rPr>
          <w:rFonts w:hint="eastAsia" w:ascii="宋体" w:hAnsi="宋体" w:eastAsia="宋体"/>
          <w:sz w:val="24"/>
        </w:rPr>
        <w:t>名称：</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rPr>
        <w:t>；</w:t>
      </w:r>
    </w:p>
    <w:p w14:paraId="399190C2">
      <w:pPr>
        <w:spacing w:line="360" w:lineRule="auto"/>
        <w:ind w:firstLine="435"/>
        <w:rPr>
          <w:rFonts w:hint="default" w:ascii="宋体" w:hAnsi="宋体" w:eastAsia="宋体"/>
          <w:sz w:val="24"/>
          <w:lang w:val="en-US" w:eastAsia="zh-CN"/>
        </w:rPr>
      </w:pPr>
      <w:r>
        <w:rPr>
          <w:rFonts w:hint="eastAsia" w:ascii="宋体" w:hAnsi="宋体"/>
          <w:sz w:val="24"/>
          <w:lang w:eastAsia="zh-CN"/>
        </w:rPr>
        <w:t>……</w:t>
      </w:r>
    </w:p>
    <w:p w14:paraId="6B353ECE">
      <w:pPr>
        <w:spacing w:line="360" w:lineRule="auto"/>
        <w:ind w:firstLine="435"/>
        <w:rPr>
          <w:rFonts w:ascii="宋体" w:hAnsi="宋体" w:eastAsia="宋体"/>
          <w:sz w:val="24"/>
        </w:rPr>
      </w:pPr>
      <w:r>
        <w:rPr>
          <w:rFonts w:hint="eastAsia" w:ascii="宋体" w:hAnsi="宋体" w:eastAsia="宋体"/>
          <w:sz w:val="24"/>
          <w:lang w:val="en-US" w:eastAsia="zh-CN"/>
        </w:rPr>
        <w:t>依据《</w:t>
      </w:r>
      <w:r>
        <w:rPr>
          <w:rFonts w:hint="eastAsia" w:ascii="宋体" w:hAnsi="宋体" w:eastAsia="宋体"/>
          <w:sz w:val="24"/>
        </w:rPr>
        <w:t>政府采购促进中小企业发展管理办法</w:t>
      </w:r>
      <w:r>
        <w:rPr>
          <w:rFonts w:hint="eastAsia" w:ascii="宋体" w:hAnsi="宋体" w:eastAsia="宋体"/>
          <w:sz w:val="24"/>
          <w:lang w:eastAsia="zh-CN"/>
        </w:rPr>
        <w:t>》</w:t>
      </w:r>
      <w:r>
        <w:rPr>
          <w:rFonts w:hint="eastAsia" w:ascii="宋体" w:hAnsi="宋体" w:eastAsia="宋体"/>
          <w:sz w:val="24"/>
        </w:rPr>
        <w:t>（财库〔2020〕46号）</w:t>
      </w:r>
      <w:r>
        <w:rPr>
          <w:rFonts w:hint="eastAsia" w:ascii="宋体" w:hAnsi="宋体" w:eastAsia="宋体"/>
          <w:sz w:val="24"/>
          <w:lang w:val="en-US" w:eastAsia="zh-CN"/>
        </w:rPr>
        <w:t>第八条规定，</w:t>
      </w:r>
      <w:r>
        <w:rPr>
          <w:rFonts w:ascii="宋体" w:hAnsi="宋体" w:eastAsia="宋体"/>
          <w:sz w:val="24"/>
        </w:rPr>
        <w:t>现就</w:t>
      </w:r>
      <w:r>
        <w:rPr>
          <w:rFonts w:hint="eastAsia" w:ascii="宋体" w:hAnsi="宋体" w:eastAsia="宋体"/>
          <w:sz w:val="24"/>
          <w:lang w:val="en-US" w:eastAsia="zh-CN"/>
        </w:rPr>
        <w:t>分包意向</w:t>
      </w:r>
      <w:r>
        <w:rPr>
          <w:rFonts w:ascii="宋体" w:hAnsi="宋体" w:eastAsia="宋体"/>
          <w:sz w:val="24"/>
        </w:rPr>
        <w:t>事宜订立如下协议：</w:t>
      </w:r>
    </w:p>
    <w:p w14:paraId="182A82A1">
      <w:pPr>
        <w:spacing w:line="360" w:lineRule="auto"/>
        <w:ind w:firstLine="435"/>
        <w:rPr>
          <w:rFonts w:ascii="宋体" w:hAnsi="宋体" w:eastAsia="宋体"/>
          <w:sz w:val="24"/>
        </w:rPr>
      </w:pPr>
      <w:r>
        <w:rPr>
          <w:rFonts w:hint="eastAsia" w:ascii="宋体" w:hAnsi="宋体" w:eastAsia="宋体"/>
          <w:sz w:val="24"/>
          <w:lang w:val="en-US" w:eastAsia="zh-CN"/>
        </w:rPr>
        <w:t>1.本项目投标人</w:t>
      </w:r>
      <w:r>
        <w:rPr>
          <w:rFonts w:hint="eastAsia" w:ascii="宋体" w:hAnsi="宋体" w:eastAsia="宋体"/>
          <w:sz w:val="24"/>
        </w:rPr>
        <w:t>为</w:t>
      </w:r>
      <w:r>
        <w:rPr>
          <w:rFonts w:hint="eastAsia" w:ascii="宋体" w:hAnsi="宋体" w:eastAsia="宋体"/>
          <w:sz w:val="24"/>
          <w:lang w:val="en-US" w:eastAsia="zh-CN"/>
        </w:rPr>
        <w:t>本项目总承包单位</w:t>
      </w:r>
      <w:r>
        <w:rPr>
          <w:rFonts w:hint="eastAsia" w:ascii="宋体" w:hAnsi="宋体" w:eastAsia="宋体"/>
          <w:sz w:val="24"/>
        </w:rPr>
        <w:t>。</w:t>
      </w:r>
    </w:p>
    <w:p w14:paraId="3187C18C">
      <w:pPr>
        <w:spacing w:line="360" w:lineRule="auto"/>
        <w:ind w:firstLine="435"/>
        <w:rPr>
          <w:rFonts w:ascii="宋体" w:hAnsi="宋体" w:eastAsia="宋体"/>
          <w:sz w:val="24"/>
        </w:rPr>
      </w:pPr>
      <w:r>
        <w:rPr>
          <w:rFonts w:hint="eastAsia" w:ascii="宋体" w:hAnsi="宋体" w:eastAsia="宋体"/>
          <w:sz w:val="24"/>
        </w:rPr>
        <w:t>2</w:t>
      </w:r>
      <w:r>
        <w:rPr>
          <w:rFonts w:ascii="宋体" w:hAnsi="宋体" w:eastAsia="宋体"/>
          <w:sz w:val="24"/>
        </w:rPr>
        <w:t>.</w:t>
      </w:r>
      <w:r>
        <w:rPr>
          <w:rFonts w:hint="eastAsia" w:ascii="宋体" w:hAnsi="宋体" w:eastAsia="宋体"/>
          <w:sz w:val="24"/>
        </w:rPr>
        <w:t>在本项目投标阶段，</w:t>
      </w:r>
      <w:r>
        <w:rPr>
          <w:rFonts w:hint="eastAsia" w:ascii="宋体" w:hAnsi="宋体" w:eastAsia="宋体"/>
          <w:sz w:val="24"/>
          <w:lang w:val="en-US" w:eastAsia="zh-CN"/>
        </w:rPr>
        <w:t>总承包单位</w:t>
      </w:r>
      <w:r>
        <w:rPr>
          <w:rFonts w:hint="eastAsia" w:ascii="宋体" w:hAnsi="宋体" w:eastAsia="宋体"/>
          <w:sz w:val="24"/>
        </w:rPr>
        <w:t>负责投标项目的一切组织、协调工作，并授权代理人参加项目的投标，代理人在投标、开标、评标、合同签订过程中所签署的一切文件和处理与本次招标有关的一切事务，</w:t>
      </w:r>
      <w:r>
        <w:rPr>
          <w:rFonts w:hint="eastAsia" w:ascii="宋体" w:hAnsi="宋体" w:eastAsia="宋体"/>
          <w:sz w:val="24"/>
          <w:lang w:val="en-US" w:eastAsia="zh-CN"/>
        </w:rPr>
        <w:t>总承包单位与招标人签订本项目采购合同</w:t>
      </w:r>
      <w:r>
        <w:rPr>
          <w:rFonts w:hint="eastAsia" w:ascii="宋体" w:hAnsi="宋体" w:eastAsia="宋体"/>
          <w:sz w:val="24"/>
        </w:rPr>
        <w:t>，</w:t>
      </w:r>
      <w:r>
        <w:rPr>
          <w:rFonts w:hint="eastAsia" w:ascii="宋体" w:hAnsi="宋体" w:eastAsia="宋体"/>
          <w:sz w:val="24"/>
          <w:lang w:val="en-US" w:eastAsia="zh-CN"/>
        </w:rPr>
        <w:t>分别</w:t>
      </w:r>
      <w:r>
        <w:rPr>
          <w:rFonts w:hint="eastAsia" w:ascii="宋体" w:hAnsi="宋体" w:eastAsia="宋体"/>
          <w:sz w:val="24"/>
        </w:rPr>
        <w:t>与</w:t>
      </w:r>
      <w:r>
        <w:rPr>
          <w:rFonts w:hint="eastAsia" w:ascii="宋体" w:hAnsi="宋体" w:eastAsia="宋体"/>
          <w:sz w:val="24"/>
          <w:lang w:val="en-US" w:eastAsia="zh-CN"/>
        </w:rPr>
        <w:t>各分包企业</w:t>
      </w:r>
      <w:r>
        <w:rPr>
          <w:rFonts w:hint="eastAsia" w:ascii="宋体" w:hAnsi="宋体" w:eastAsia="宋体"/>
          <w:sz w:val="24"/>
        </w:rPr>
        <w:t>签订</w:t>
      </w:r>
      <w:r>
        <w:rPr>
          <w:rFonts w:hint="eastAsia" w:ascii="宋体" w:hAnsi="宋体" w:eastAsia="宋体"/>
          <w:sz w:val="24"/>
          <w:lang w:val="en-US" w:eastAsia="zh-CN"/>
        </w:rPr>
        <w:t>分包</w:t>
      </w:r>
      <w:r>
        <w:rPr>
          <w:rFonts w:hint="eastAsia" w:ascii="宋体" w:hAnsi="宋体" w:eastAsia="宋体"/>
          <w:sz w:val="24"/>
        </w:rPr>
        <w:t>合同，就本项目对</w:t>
      </w:r>
      <w:r>
        <w:rPr>
          <w:rFonts w:hint="eastAsia" w:ascii="宋体" w:hAnsi="宋体" w:eastAsia="宋体"/>
          <w:sz w:val="24"/>
          <w:lang w:eastAsia="zh-CN"/>
        </w:rPr>
        <w:t>招标</w:t>
      </w:r>
      <w:r>
        <w:rPr>
          <w:rFonts w:hint="eastAsia" w:ascii="宋体" w:hAnsi="宋体" w:eastAsia="宋体"/>
          <w:sz w:val="24"/>
        </w:rPr>
        <w:t>人承担连带责任。</w:t>
      </w:r>
    </w:p>
    <w:p w14:paraId="6BE94B3E">
      <w:pPr>
        <w:spacing w:line="360" w:lineRule="auto"/>
        <w:ind w:firstLine="435"/>
        <w:rPr>
          <w:rFonts w:ascii="宋体" w:hAnsi="宋体" w:eastAsia="宋体"/>
          <w:sz w:val="24"/>
        </w:rPr>
      </w:pPr>
      <w:r>
        <w:rPr>
          <w:rFonts w:hint="eastAsia" w:ascii="宋体" w:hAnsi="宋体" w:eastAsia="宋体"/>
          <w:sz w:val="24"/>
        </w:rPr>
        <w:t>3</w:t>
      </w:r>
      <w:r>
        <w:rPr>
          <w:rFonts w:ascii="宋体" w:hAnsi="宋体" w:eastAsia="宋体"/>
          <w:sz w:val="24"/>
        </w:rPr>
        <w:t>.</w:t>
      </w:r>
      <w:r>
        <w:rPr>
          <w:rFonts w:hint="eastAsia" w:ascii="宋体" w:hAnsi="宋体" w:eastAsia="宋体"/>
          <w:sz w:val="24"/>
          <w:lang w:val="en-US" w:eastAsia="zh-CN"/>
        </w:rPr>
        <w:t>各</w:t>
      </w:r>
      <w:r>
        <w:rPr>
          <w:rFonts w:ascii="宋体" w:hAnsi="宋体" w:eastAsia="宋体"/>
          <w:sz w:val="24"/>
        </w:rPr>
        <w:t>单位内部的职责分工</w:t>
      </w:r>
      <w:r>
        <w:rPr>
          <w:rFonts w:hint="eastAsia" w:ascii="宋体" w:hAnsi="宋体" w:eastAsia="宋体"/>
          <w:sz w:val="24"/>
        </w:rPr>
        <w:t>及各方负责内容的合同金额占总合同金额的百分比</w:t>
      </w:r>
      <w:r>
        <w:rPr>
          <w:rFonts w:ascii="宋体" w:hAnsi="宋体" w:eastAsia="宋体"/>
          <w:sz w:val="24"/>
        </w:rPr>
        <w:t>如下：</w:t>
      </w:r>
    </w:p>
    <w:p w14:paraId="72A3E808">
      <w:pPr>
        <w:spacing w:line="360" w:lineRule="auto"/>
        <w:ind w:firstLine="435"/>
        <w:rPr>
          <w:rFonts w:ascii="宋体" w:hAnsi="宋体" w:eastAsia="宋体"/>
          <w:sz w:val="24"/>
        </w:rPr>
      </w:pPr>
      <w:r>
        <w:rPr>
          <w:rFonts w:hint="eastAsia" w:ascii="宋体" w:hAnsi="宋体" w:eastAsia="宋体"/>
          <w:sz w:val="24"/>
        </w:rPr>
        <w:t>投标人名称：</w:t>
      </w:r>
      <w:r>
        <w:rPr>
          <w:rFonts w:hint="eastAsia" w:ascii="宋体" w:hAnsi="宋体" w:eastAsia="宋体"/>
          <w:sz w:val="24"/>
          <w:u w:val="single"/>
        </w:rPr>
        <w:t xml:space="preserve">          </w:t>
      </w:r>
      <w:r>
        <w:rPr>
          <w:rFonts w:hint="eastAsia" w:ascii="宋体" w:hAnsi="宋体" w:eastAsia="宋体"/>
          <w:sz w:val="24"/>
        </w:rPr>
        <w:t>，承担</w:t>
      </w:r>
      <w:r>
        <w:rPr>
          <w:rFonts w:hint="eastAsia" w:ascii="宋体" w:hAnsi="宋体" w:eastAsia="宋体"/>
          <w:sz w:val="24"/>
          <w:u w:val="single"/>
        </w:rPr>
        <w:t xml:space="preserve">          </w:t>
      </w:r>
      <w:r>
        <w:rPr>
          <w:rFonts w:hint="eastAsia" w:ascii="宋体" w:hAnsi="宋体" w:eastAsia="宋体"/>
          <w:sz w:val="24"/>
        </w:rPr>
        <w:t>工作，负责内容的合同金额</w:t>
      </w:r>
      <w:r>
        <w:rPr>
          <w:rFonts w:hint="eastAsia" w:ascii="宋体" w:hAnsi="宋体" w:eastAsia="宋体"/>
          <w:sz w:val="24"/>
          <w:lang w:eastAsia="zh-CN"/>
        </w:rPr>
        <w:t>为</w:t>
      </w:r>
      <w:r>
        <w:rPr>
          <w:rFonts w:hint="eastAsia" w:ascii="宋体" w:hAnsi="宋体" w:eastAsia="宋体"/>
          <w:sz w:val="24"/>
          <w:u w:val="single"/>
          <w:lang w:val="en-US" w:eastAsia="zh-CN"/>
        </w:rPr>
        <w:t xml:space="preserve">     </w:t>
      </w:r>
      <w:r>
        <w:rPr>
          <w:rFonts w:hint="eastAsia" w:ascii="宋体" w:hAnsi="宋体" w:eastAsia="宋体"/>
          <w:sz w:val="24"/>
          <w:u w:val="none"/>
          <w:lang w:val="en-US" w:eastAsia="zh-CN"/>
        </w:rPr>
        <w:t>，</w:t>
      </w:r>
      <w:r>
        <w:rPr>
          <w:rFonts w:hint="eastAsia" w:ascii="宋体" w:hAnsi="宋体" w:eastAsia="宋体"/>
          <w:sz w:val="24"/>
        </w:rPr>
        <w:t>占总合同金额的百分比：</w:t>
      </w:r>
      <w:r>
        <w:rPr>
          <w:rFonts w:ascii="宋体" w:hAnsi="宋体" w:eastAsia="宋体"/>
          <w:sz w:val="24"/>
          <w:u w:val="single"/>
        </w:rPr>
        <w:t xml:space="preserve">    </w:t>
      </w:r>
      <w:r>
        <w:rPr>
          <w:rFonts w:hint="eastAsia" w:ascii="宋体" w:hAnsi="宋体" w:eastAsia="宋体"/>
          <w:sz w:val="24"/>
        </w:rPr>
        <w:t>%；</w:t>
      </w:r>
    </w:p>
    <w:p w14:paraId="115BB349">
      <w:pPr>
        <w:spacing w:line="360" w:lineRule="auto"/>
        <w:ind w:firstLine="435"/>
        <w:rPr>
          <w:rFonts w:ascii="宋体" w:hAnsi="宋体" w:eastAsia="宋体"/>
          <w:sz w:val="24"/>
          <w:u w:val="single"/>
        </w:rPr>
      </w:pPr>
      <w:r>
        <w:rPr>
          <w:rFonts w:hint="eastAsia" w:ascii="宋体" w:hAnsi="宋体" w:eastAsia="宋体"/>
          <w:sz w:val="24"/>
        </w:rPr>
        <w:t>接受</w:t>
      </w:r>
      <w:r>
        <w:rPr>
          <w:rFonts w:hint="eastAsia" w:ascii="宋体" w:hAnsi="宋体" w:eastAsia="宋体"/>
          <w:sz w:val="24"/>
          <w:lang w:val="en-US" w:eastAsia="zh-CN"/>
        </w:rPr>
        <w:t>分包企业</w:t>
      </w:r>
      <w:r>
        <w:rPr>
          <w:rFonts w:hint="eastAsia" w:ascii="宋体" w:hAnsi="宋体" w:eastAsia="宋体"/>
          <w:sz w:val="24"/>
        </w:rPr>
        <w:t>一名称：</w:t>
      </w:r>
      <w:r>
        <w:rPr>
          <w:rFonts w:hint="eastAsia" w:ascii="宋体" w:hAnsi="宋体" w:eastAsia="宋体"/>
          <w:sz w:val="24"/>
          <w:u w:val="single"/>
        </w:rPr>
        <w:t xml:space="preserve">          </w:t>
      </w:r>
      <w:r>
        <w:rPr>
          <w:rFonts w:hint="eastAsia" w:ascii="宋体" w:hAnsi="宋体" w:eastAsia="宋体"/>
          <w:sz w:val="24"/>
        </w:rPr>
        <w:t>，承担</w:t>
      </w:r>
      <w:r>
        <w:rPr>
          <w:rFonts w:hint="eastAsia" w:ascii="宋体" w:hAnsi="宋体" w:eastAsia="宋体"/>
          <w:sz w:val="24"/>
          <w:u w:val="single"/>
        </w:rPr>
        <w:t xml:space="preserve">          </w:t>
      </w:r>
      <w:r>
        <w:rPr>
          <w:rFonts w:hint="eastAsia" w:ascii="宋体" w:hAnsi="宋体" w:eastAsia="宋体"/>
          <w:sz w:val="24"/>
        </w:rPr>
        <w:t>工作</w:t>
      </w:r>
      <w:r>
        <w:rPr>
          <w:rFonts w:hint="eastAsia" w:ascii="宋体" w:hAnsi="宋体" w:eastAsia="宋体"/>
          <w:sz w:val="24"/>
          <w:lang w:eastAsia="zh-CN"/>
        </w:rPr>
        <w:t>，具有</w:t>
      </w:r>
      <w:r>
        <w:rPr>
          <w:rFonts w:hint="eastAsia" w:ascii="宋体" w:hAnsi="宋体" w:eastAsia="宋体"/>
          <w:sz w:val="24"/>
          <w:u w:val="single"/>
          <w:lang w:val="en-US" w:eastAsia="zh-CN"/>
        </w:rPr>
        <w:t xml:space="preserve">       </w:t>
      </w:r>
      <w:r>
        <w:rPr>
          <w:rFonts w:hint="eastAsia" w:ascii="宋体" w:hAnsi="宋体" w:eastAsia="宋体"/>
          <w:sz w:val="24"/>
          <w:u w:val="none"/>
          <w:lang w:val="en-US" w:eastAsia="zh-CN"/>
        </w:rPr>
        <w:t>资质</w:t>
      </w:r>
      <w:r>
        <w:rPr>
          <w:rFonts w:hint="eastAsia" w:ascii="宋体" w:hAnsi="宋体" w:eastAsia="宋体"/>
          <w:sz w:val="24"/>
          <w:lang w:eastAsia="zh-CN"/>
        </w:rPr>
        <w:t>，</w:t>
      </w:r>
      <w:r>
        <w:rPr>
          <w:rFonts w:hint="eastAsia" w:ascii="宋体" w:hAnsi="宋体" w:eastAsia="宋体"/>
          <w:sz w:val="24"/>
        </w:rPr>
        <w:t>负责内容的合同金额</w:t>
      </w:r>
      <w:r>
        <w:rPr>
          <w:rFonts w:hint="eastAsia" w:ascii="宋体" w:hAnsi="宋体" w:eastAsia="宋体"/>
          <w:sz w:val="24"/>
          <w:lang w:eastAsia="zh-CN"/>
        </w:rPr>
        <w:t>为</w:t>
      </w:r>
      <w:r>
        <w:rPr>
          <w:rFonts w:hint="eastAsia" w:ascii="宋体" w:hAnsi="宋体" w:eastAsia="宋体"/>
          <w:sz w:val="24"/>
          <w:u w:val="single"/>
          <w:lang w:val="en-US" w:eastAsia="zh-CN"/>
        </w:rPr>
        <w:t xml:space="preserve">     </w:t>
      </w:r>
      <w:r>
        <w:rPr>
          <w:rFonts w:hint="eastAsia" w:ascii="宋体" w:hAnsi="宋体" w:eastAsia="宋体"/>
          <w:sz w:val="24"/>
          <w:u w:val="none"/>
          <w:lang w:val="en-US" w:eastAsia="zh-CN"/>
        </w:rPr>
        <w:t>，</w:t>
      </w:r>
      <w:r>
        <w:rPr>
          <w:rFonts w:hint="eastAsia" w:ascii="宋体" w:hAnsi="宋体" w:eastAsia="宋体"/>
          <w:sz w:val="24"/>
        </w:rPr>
        <w:t>占总合同金额的百分比：</w:t>
      </w:r>
      <w:r>
        <w:rPr>
          <w:rFonts w:ascii="宋体" w:hAnsi="宋体" w:eastAsia="宋体"/>
          <w:sz w:val="24"/>
          <w:u w:val="single"/>
        </w:rPr>
        <w:t xml:space="preserve">    </w:t>
      </w:r>
      <w:r>
        <w:rPr>
          <w:rFonts w:hint="eastAsia" w:ascii="宋体" w:hAnsi="宋体" w:eastAsia="宋体"/>
          <w:sz w:val="24"/>
        </w:rPr>
        <w:t>%；</w:t>
      </w:r>
    </w:p>
    <w:p w14:paraId="05FA5FCF">
      <w:pPr>
        <w:spacing w:line="360" w:lineRule="auto"/>
        <w:ind w:firstLine="435"/>
        <w:rPr>
          <w:rFonts w:ascii="宋体" w:hAnsi="宋体" w:eastAsia="宋体"/>
          <w:sz w:val="24"/>
          <w:u w:val="single"/>
        </w:rPr>
      </w:pPr>
      <w:r>
        <w:rPr>
          <w:rFonts w:hint="eastAsia" w:ascii="宋体" w:hAnsi="宋体" w:eastAsia="宋体"/>
          <w:sz w:val="24"/>
        </w:rPr>
        <w:t>接受</w:t>
      </w:r>
      <w:r>
        <w:rPr>
          <w:rFonts w:hint="eastAsia" w:ascii="宋体" w:hAnsi="宋体" w:eastAsia="宋体"/>
          <w:sz w:val="24"/>
          <w:lang w:val="en-US" w:eastAsia="zh-CN"/>
        </w:rPr>
        <w:t>分包企业</w:t>
      </w:r>
      <w:r>
        <w:rPr>
          <w:rFonts w:hint="eastAsia" w:ascii="宋体" w:hAnsi="宋体" w:eastAsia="宋体"/>
          <w:sz w:val="24"/>
        </w:rPr>
        <w:t>二名称：</w:t>
      </w:r>
      <w:r>
        <w:rPr>
          <w:rFonts w:hint="eastAsia" w:ascii="宋体" w:hAnsi="宋体" w:eastAsia="宋体"/>
          <w:sz w:val="24"/>
          <w:u w:val="single"/>
        </w:rPr>
        <w:t xml:space="preserve">          </w:t>
      </w:r>
      <w:r>
        <w:rPr>
          <w:rFonts w:hint="eastAsia" w:ascii="宋体" w:hAnsi="宋体" w:eastAsia="宋体"/>
          <w:sz w:val="24"/>
        </w:rPr>
        <w:t>，承担</w:t>
      </w:r>
      <w:r>
        <w:rPr>
          <w:rFonts w:hint="eastAsia" w:ascii="宋体" w:hAnsi="宋体" w:eastAsia="宋体"/>
          <w:sz w:val="24"/>
          <w:u w:val="single"/>
        </w:rPr>
        <w:t xml:space="preserve">          </w:t>
      </w:r>
      <w:r>
        <w:rPr>
          <w:rFonts w:hint="eastAsia" w:ascii="宋体" w:hAnsi="宋体" w:eastAsia="宋体"/>
          <w:sz w:val="24"/>
        </w:rPr>
        <w:t>工作</w:t>
      </w:r>
      <w:r>
        <w:rPr>
          <w:rFonts w:hint="eastAsia" w:ascii="宋体" w:hAnsi="宋体" w:eastAsia="宋体"/>
          <w:sz w:val="24"/>
          <w:lang w:eastAsia="zh-CN"/>
        </w:rPr>
        <w:t>，具有</w:t>
      </w:r>
      <w:r>
        <w:rPr>
          <w:rFonts w:hint="eastAsia" w:ascii="宋体" w:hAnsi="宋体" w:eastAsia="宋体"/>
          <w:sz w:val="24"/>
          <w:u w:val="single"/>
          <w:lang w:val="en-US" w:eastAsia="zh-CN"/>
        </w:rPr>
        <w:t xml:space="preserve">       </w:t>
      </w:r>
      <w:r>
        <w:rPr>
          <w:rFonts w:hint="eastAsia" w:ascii="宋体" w:hAnsi="宋体" w:eastAsia="宋体"/>
          <w:sz w:val="24"/>
          <w:u w:val="none"/>
          <w:lang w:val="en-US" w:eastAsia="zh-CN"/>
        </w:rPr>
        <w:t>资质</w:t>
      </w:r>
      <w:r>
        <w:rPr>
          <w:rFonts w:hint="eastAsia" w:ascii="宋体" w:hAnsi="宋体" w:eastAsia="宋体"/>
          <w:sz w:val="24"/>
        </w:rPr>
        <w:t>，负责内容的合同金额</w:t>
      </w:r>
      <w:r>
        <w:rPr>
          <w:rFonts w:hint="eastAsia" w:ascii="宋体" w:hAnsi="宋体" w:eastAsia="宋体"/>
          <w:sz w:val="24"/>
          <w:lang w:eastAsia="zh-CN"/>
        </w:rPr>
        <w:t>为</w:t>
      </w:r>
      <w:r>
        <w:rPr>
          <w:rFonts w:hint="eastAsia" w:ascii="宋体" w:hAnsi="宋体" w:eastAsia="宋体"/>
          <w:sz w:val="24"/>
          <w:u w:val="single"/>
          <w:lang w:val="en-US" w:eastAsia="zh-CN"/>
        </w:rPr>
        <w:t xml:space="preserve">     </w:t>
      </w:r>
      <w:r>
        <w:rPr>
          <w:rFonts w:hint="eastAsia" w:ascii="宋体" w:hAnsi="宋体" w:eastAsia="宋体"/>
          <w:sz w:val="24"/>
          <w:u w:val="none"/>
          <w:lang w:val="en-US" w:eastAsia="zh-CN"/>
        </w:rPr>
        <w:t>，</w:t>
      </w:r>
      <w:r>
        <w:rPr>
          <w:rFonts w:hint="eastAsia" w:ascii="宋体" w:hAnsi="宋体" w:eastAsia="宋体"/>
          <w:sz w:val="24"/>
        </w:rPr>
        <w:t>占总合同金额的百分比：</w:t>
      </w:r>
      <w:r>
        <w:rPr>
          <w:rFonts w:ascii="宋体" w:hAnsi="宋体" w:eastAsia="宋体"/>
          <w:sz w:val="24"/>
          <w:u w:val="single"/>
        </w:rPr>
        <w:t xml:space="preserve">    </w:t>
      </w:r>
      <w:r>
        <w:rPr>
          <w:rFonts w:hint="eastAsia" w:ascii="宋体" w:hAnsi="宋体" w:eastAsia="宋体"/>
          <w:sz w:val="24"/>
        </w:rPr>
        <w:t>%；</w:t>
      </w:r>
    </w:p>
    <w:p w14:paraId="63B00231">
      <w:pPr>
        <w:spacing w:line="360" w:lineRule="auto"/>
        <w:ind w:firstLine="435"/>
        <w:rPr>
          <w:rFonts w:ascii="宋体" w:hAnsi="宋体" w:eastAsia="宋体"/>
          <w:sz w:val="24"/>
          <w:u w:val="single"/>
        </w:rPr>
      </w:pPr>
      <w:r>
        <w:rPr>
          <w:rFonts w:hint="eastAsia" w:ascii="宋体" w:hAnsi="宋体"/>
          <w:sz w:val="24"/>
          <w:lang w:eastAsia="zh-CN"/>
        </w:rPr>
        <w:t>……</w:t>
      </w:r>
    </w:p>
    <w:p w14:paraId="34CB7E73">
      <w:pPr>
        <w:spacing w:line="360" w:lineRule="auto"/>
        <w:ind w:firstLine="435"/>
        <w:rPr>
          <w:rFonts w:ascii="宋体" w:hAnsi="宋体" w:eastAsia="宋体"/>
          <w:sz w:val="24"/>
        </w:rPr>
      </w:pPr>
      <w:r>
        <w:rPr>
          <w:rFonts w:ascii="宋体" w:hAnsi="宋体" w:eastAsia="宋体"/>
          <w:sz w:val="24"/>
        </w:rPr>
        <w:t>4</w:t>
      </w:r>
      <w:r>
        <w:rPr>
          <w:rFonts w:hint="eastAsia" w:ascii="宋体" w:hAnsi="宋体" w:eastAsia="宋体"/>
          <w:sz w:val="24"/>
          <w:lang w:val="en-US" w:eastAsia="zh-CN"/>
        </w:rPr>
        <w:t>.</w:t>
      </w:r>
      <w:r>
        <w:rPr>
          <w:rFonts w:ascii="宋体" w:hAnsi="宋体" w:eastAsia="宋体"/>
          <w:sz w:val="24"/>
        </w:rPr>
        <w:t>中标后，本</w:t>
      </w:r>
      <w:r>
        <w:rPr>
          <w:rFonts w:hint="eastAsia" w:ascii="宋体" w:hAnsi="宋体" w:eastAsia="宋体"/>
          <w:sz w:val="24"/>
          <w:lang w:val="en-US" w:eastAsia="zh-CN"/>
        </w:rPr>
        <w:t>分包意向</w:t>
      </w:r>
      <w:r>
        <w:rPr>
          <w:rFonts w:ascii="宋体" w:hAnsi="宋体" w:eastAsia="宋体"/>
          <w:sz w:val="24"/>
        </w:rPr>
        <w:t>协议是合同的附件，对</w:t>
      </w:r>
      <w:r>
        <w:rPr>
          <w:rFonts w:hint="eastAsia" w:ascii="宋体" w:hAnsi="宋体" w:eastAsia="宋体"/>
          <w:sz w:val="24"/>
          <w:lang w:val="en-US" w:eastAsia="zh-CN"/>
        </w:rPr>
        <w:t>分包</w:t>
      </w:r>
      <w:r>
        <w:rPr>
          <w:rFonts w:ascii="宋体" w:hAnsi="宋体" w:eastAsia="宋体"/>
          <w:sz w:val="24"/>
        </w:rPr>
        <w:t>各成员单位有合同约束力。</w:t>
      </w:r>
    </w:p>
    <w:p w14:paraId="44E14931">
      <w:pPr>
        <w:spacing w:line="360" w:lineRule="auto"/>
        <w:ind w:firstLine="435"/>
        <w:rPr>
          <w:rFonts w:ascii="宋体" w:hAnsi="宋体" w:eastAsia="宋体"/>
          <w:sz w:val="24"/>
          <w:u w:val="single"/>
        </w:rPr>
      </w:pPr>
      <w:r>
        <w:rPr>
          <w:rFonts w:hint="eastAsia" w:ascii="宋体" w:hAnsi="宋体" w:eastAsia="宋体"/>
          <w:sz w:val="24"/>
          <w:lang w:val="en-US" w:eastAsia="zh-CN"/>
        </w:rPr>
        <w:t>5.</w:t>
      </w:r>
      <w:r>
        <w:rPr>
          <w:rFonts w:ascii="宋体" w:hAnsi="宋体" w:eastAsia="宋体"/>
          <w:sz w:val="24"/>
        </w:rPr>
        <w:t>本协议书自签署之日起生效，未中标或者合同履行完毕后自动失效。</w:t>
      </w:r>
    </w:p>
    <w:p w14:paraId="6F10AB9D">
      <w:pPr>
        <w:spacing w:line="360" w:lineRule="auto"/>
        <w:ind w:firstLine="435"/>
        <w:rPr>
          <w:rFonts w:hint="eastAsia" w:ascii="宋体" w:hAnsi="宋体" w:eastAsia="宋体"/>
          <w:sz w:val="24"/>
          <w:lang w:val="en-US" w:eastAsia="zh-CN"/>
        </w:rPr>
      </w:pPr>
      <w:r>
        <w:rPr>
          <w:rFonts w:hint="eastAsia" w:ascii="宋体" w:hAnsi="宋体" w:eastAsia="宋体"/>
          <w:sz w:val="24"/>
          <w:lang w:val="en-US" w:eastAsia="zh-CN"/>
        </w:rPr>
        <w:t>6.接受分包的中小（或小微）企业与总承包单位不存在直接控股、管理关系。</w:t>
      </w:r>
    </w:p>
    <w:p w14:paraId="51CA6A7E">
      <w:pPr>
        <w:pStyle w:val="11"/>
        <w:rPr>
          <w:rFonts w:hint="default"/>
          <w:lang w:val="en-US" w:eastAsia="zh-CN"/>
        </w:rPr>
      </w:pPr>
    </w:p>
    <w:p w14:paraId="23F5E792">
      <w:pPr>
        <w:spacing w:line="360" w:lineRule="auto"/>
        <w:ind w:firstLine="435"/>
        <w:rPr>
          <w:rFonts w:ascii="宋体" w:hAnsi="宋体" w:eastAsia="宋体"/>
          <w:sz w:val="24"/>
        </w:rPr>
      </w:pPr>
      <w:r>
        <w:rPr>
          <w:rFonts w:hint="eastAsia" w:ascii="宋体" w:hAnsi="宋体" w:eastAsia="宋体"/>
          <w:sz w:val="24"/>
        </w:rPr>
        <w:t>投标人：</w:t>
      </w:r>
      <w:r>
        <w:rPr>
          <w:rFonts w:hint="eastAsia" w:ascii="宋体" w:hAnsi="宋体" w:eastAsia="宋体"/>
          <w:sz w:val="24"/>
          <w:u w:val="single"/>
        </w:rPr>
        <w:t xml:space="preserve">                       </w:t>
      </w:r>
      <w:r>
        <w:rPr>
          <w:rFonts w:hint="eastAsia" w:ascii="宋体" w:hAnsi="宋体" w:eastAsia="宋体"/>
          <w:sz w:val="24"/>
        </w:rPr>
        <w:t>（</w:t>
      </w:r>
      <w:r>
        <w:rPr>
          <w:rFonts w:hint="eastAsia" w:ascii="宋体" w:hAnsi="宋体" w:eastAsia="宋体"/>
          <w:sz w:val="24"/>
          <w:lang w:eastAsia="zh-CN"/>
        </w:rPr>
        <w:t>盖单位</w:t>
      </w:r>
      <w:r>
        <w:rPr>
          <w:rFonts w:hint="eastAsia" w:ascii="宋体" w:hAnsi="宋体" w:eastAsia="宋体"/>
          <w:sz w:val="24"/>
        </w:rPr>
        <w:t>章）</w:t>
      </w:r>
    </w:p>
    <w:p w14:paraId="5C5868BB">
      <w:pPr>
        <w:spacing w:line="360" w:lineRule="auto"/>
        <w:ind w:firstLine="435"/>
        <w:rPr>
          <w:rFonts w:hint="eastAsia" w:ascii="宋体" w:hAnsi="宋体" w:eastAsia="宋体"/>
          <w:sz w:val="24"/>
        </w:rPr>
      </w:pPr>
      <w:r>
        <w:rPr>
          <w:rFonts w:hint="eastAsia" w:ascii="宋体" w:hAnsi="宋体" w:eastAsia="宋体"/>
          <w:sz w:val="24"/>
        </w:rPr>
        <w:t>法定代表人：</w:t>
      </w:r>
      <w:r>
        <w:rPr>
          <w:rFonts w:hint="eastAsia" w:ascii="宋体" w:hAnsi="宋体" w:eastAsia="宋体"/>
          <w:sz w:val="24"/>
          <w:u w:val="single"/>
        </w:rPr>
        <w:t xml:space="preserve">                         </w:t>
      </w:r>
      <w:r>
        <w:rPr>
          <w:rFonts w:hint="eastAsia" w:ascii="宋体" w:hAnsi="宋体" w:eastAsia="宋体"/>
          <w:sz w:val="24"/>
        </w:rPr>
        <w:t>（签章）</w:t>
      </w:r>
    </w:p>
    <w:p w14:paraId="1ABB673C">
      <w:pPr>
        <w:spacing w:line="360" w:lineRule="auto"/>
        <w:ind w:firstLine="435"/>
        <w:rPr>
          <w:rFonts w:hint="eastAsia" w:ascii="宋体" w:hAnsi="宋体" w:eastAsia="宋体"/>
          <w:sz w:val="24"/>
        </w:rPr>
      </w:pPr>
    </w:p>
    <w:p w14:paraId="4AAB3696">
      <w:pPr>
        <w:spacing w:line="360" w:lineRule="auto"/>
        <w:ind w:firstLine="435"/>
        <w:rPr>
          <w:rFonts w:ascii="宋体" w:hAnsi="宋体" w:eastAsia="宋体"/>
          <w:sz w:val="24"/>
        </w:rPr>
      </w:pPr>
      <w:r>
        <w:rPr>
          <w:rFonts w:hint="eastAsia" w:ascii="宋体" w:hAnsi="宋体" w:eastAsia="宋体"/>
          <w:sz w:val="24"/>
        </w:rPr>
        <w:t>接受分包企业</w:t>
      </w:r>
      <w:r>
        <w:rPr>
          <w:rFonts w:hint="eastAsia" w:ascii="宋体" w:hAnsi="宋体" w:eastAsia="宋体"/>
          <w:sz w:val="24"/>
          <w:lang w:val="en-US" w:eastAsia="zh-CN"/>
        </w:rPr>
        <w:t>一</w:t>
      </w:r>
      <w:r>
        <w:rPr>
          <w:rFonts w:hint="eastAsia" w:ascii="宋体" w:hAnsi="宋体" w:eastAsia="宋体"/>
          <w:sz w:val="24"/>
        </w:rPr>
        <w:t>：</w:t>
      </w:r>
      <w:r>
        <w:rPr>
          <w:rFonts w:hint="eastAsia" w:ascii="宋体" w:hAnsi="宋体" w:eastAsia="宋体"/>
          <w:sz w:val="24"/>
          <w:u w:val="single"/>
        </w:rPr>
        <w:t xml:space="preserve">                       </w:t>
      </w:r>
      <w:r>
        <w:rPr>
          <w:rFonts w:hint="eastAsia" w:ascii="宋体" w:hAnsi="宋体" w:eastAsia="宋体"/>
          <w:sz w:val="24"/>
        </w:rPr>
        <w:t>（</w:t>
      </w:r>
      <w:r>
        <w:rPr>
          <w:rFonts w:hint="eastAsia" w:ascii="宋体" w:hAnsi="宋体" w:eastAsia="宋体"/>
          <w:sz w:val="24"/>
          <w:lang w:eastAsia="zh-CN"/>
        </w:rPr>
        <w:t>盖单位</w:t>
      </w:r>
      <w:r>
        <w:rPr>
          <w:rFonts w:hint="eastAsia" w:ascii="宋体" w:hAnsi="宋体" w:eastAsia="宋体"/>
          <w:sz w:val="24"/>
        </w:rPr>
        <w:t>章）</w:t>
      </w:r>
    </w:p>
    <w:p w14:paraId="66E7E0AC">
      <w:pPr>
        <w:spacing w:line="360" w:lineRule="auto"/>
        <w:ind w:firstLine="435"/>
        <w:rPr>
          <w:rFonts w:hint="eastAsia" w:ascii="宋体" w:hAnsi="宋体" w:eastAsia="宋体"/>
          <w:sz w:val="24"/>
        </w:rPr>
      </w:pPr>
      <w:r>
        <w:rPr>
          <w:rFonts w:hint="eastAsia" w:ascii="宋体" w:hAnsi="宋体" w:eastAsia="宋体"/>
          <w:sz w:val="24"/>
        </w:rPr>
        <w:t>法定代表人：</w:t>
      </w:r>
      <w:r>
        <w:rPr>
          <w:rFonts w:hint="eastAsia" w:ascii="宋体" w:hAnsi="宋体" w:eastAsia="宋体"/>
          <w:sz w:val="24"/>
          <w:u w:val="single"/>
        </w:rPr>
        <w:t xml:space="preserve">                         </w:t>
      </w:r>
      <w:r>
        <w:rPr>
          <w:rFonts w:hint="eastAsia" w:ascii="宋体" w:hAnsi="宋体" w:eastAsia="宋体"/>
          <w:sz w:val="24"/>
        </w:rPr>
        <w:t>（签章）</w:t>
      </w:r>
    </w:p>
    <w:p w14:paraId="4575DA54">
      <w:pPr>
        <w:spacing w:line="360" w:lineRule="auto"/>
        <w:ind w:firstLine="435"/>
        <w:rPr>
          <w:rFonts w:hint="eastAsia" w:ascii="宋体" w:hAnsi="宋体" w:eastAsia="宋体"/>
          <w:sz w:val="24"/>
        </w:rPr>
      </w:pPr>
    </w:p>
    <w:p w14:paraId="070B5609">
      <w:pPr>
        <w:spacing w:line="360" w:lineRule="auto"/>
        <w:ind w:firstLine="435"/>
        <w:rPr>
          <w:rFonts w:ascii="宋体" w:hAnsi="宋体" w:eastAsia="宋体"/>
          <w:sz w:val="24"/>
        </w:rPr>
      </w:pPr>
      <w:r>
        <w:rPr>
          <w:rFonts w:hint="eastAsia" w:ascii="宋体" w:hAnsi="宋体" w:eastAsia="宋体"/>
          <w:sz w:val="24"/>
        </w:rPr>
        <w:t>接受分包企业</w:t>
      </w:r>
      <w:r>
        <w:rPr>
          <w:rFonts w:hint="eastAsia" w:ascii="宋体" w:hAnsi="宋体" w:eastAsia="宋体"/>
          <w:sz w:val="24"/>
          <w:lang w:val="en-US" w:eastAsia="zh-CN"/>
        </w:rPr>
        <w:t>二</w:t>
      </w:r>
      <w:r>
        <w:rPr>
          <w:rFonts w:hint="eastAsia" w:ascii="宋体" w:hAnsi="宋体" w:eastAsia="宋体"/>
          <w:sz w:val="24"/>
        </w:rPr>
        <w:t>：</w:t>
      </w:r>
      <w:r>
        <w:rPr>
          <w:rFonts w:hint="eastAsia" w:ascii="宋体" w:hAnsi="宋体" w:eastAsia="宋体"/>
          <w:sz w:val="24"/>
          <w:u w:val="single"/>
        </w:rPr>
        <w:t xml:space="preserve">                       </w:t>
      </w:r>
      <w:r>
        <w:rPr>
          <w:rFonts w:hint="eastAsia" w:ascii="宋体" w:hAnsi="宋体" w:eastAsia="宋体"/>
          <w:sz w:val="24"/>
        </w:rPr>
        <w:t>（</w:t>
      </w:r>
      <w:r>
        <w:rPr>
          <w:rFonts w:hint="eastAsia" w:ascii="宋体" w:hAnsi="宋体" w:eastAsia="宋体"/>
          <w:sz w:val="24"/>
          <w:lang w:eastAsia="zh-CN"/>
        </w:rPr>
        <w:t>盖单位</w:t>
      </w:r>
      <w:r>
        <w:rPr>
          <w:rFonts w:hint="eastAsia" w:ascii="宋体" w:hAnsi="宋体" w:eastAsia="宋体"/>
          <w:sz w:val="24"/>
        </w:rPr>
        <w:t>章）</w:t>
      </w:r>
    </w:p>
    <w:p w14:paraId="20D3CB7D">
      <w:pPr>
        <w:spacing w:line="360" w:lineRule="auto"/>
        <w:ind w:firstLine="435"/>
        <w:rPr>
          <w:rFonts w:hint="eastAsia" w:ascii="宋体" w:hAnsi="宋体" w:eastAsia="宋体"/>
          <w:sz w:val="24"/>
        </w:rPr>
      </w:pPr>
      <w:r>
        <w:rPr>
          <w:rFonts w:hint="eastAsia" w:ascii="宋体" w:hAnsi="宋体" w:eastAsia="宋体"/>
          <w:sz w:val="24"/>
        </w:rPr>
        <w:t>法定代表人：</w:t>
      </w:r>
      <w:r>
        <w:rPr>
          <w:rFonts w:hint="eastAsia" w:ascii="宋体" w:hAnsi="宋体" w:eastAsia="宋体"/>
          <w:sz w:val="24"/>
          <w:u w:val="single"/>
        </w:rPr>
        <w:t xml:space="preserve">                         </w:t>
      </w:r>
      <w:r>
        <w:rPr>
          <w:rFonts w:hint="eastAsia" w:ascii="宋体" w:hAnsi="宋体" w:eastAsia="宋体"/>
          <w:sz w:val="24"/>
        </w:rPr>
        <w:t>（签章）</w:t>
      </w:r>
    </w:p>
    <w:p w14:paraId="0A6CB10C">
      <w:pPr>
        <w:spacing w:line="360" w:lineRule="auto"/>
        <w:ind w:firstLine="435"/>
        <w:rPr>
          <w:rFonts w:ascii="宋体" w:hAnsi="宋体" w:eastAsia="宋体"/>
          <w:sz w:val="24"/>
        </w:rPr>
      </w:pPr>
      <w:r>
        <w:rPr>
          <w:rFonts w:hint="eastAsia" w:ascii="宋体" w:hAnsi="宋体"/>
          <w:sz w:val="24"/>
          <w:lang w:eastAsia="zh-CN"/>
        </w:rPr>
        <w:t>……</w:t>
      </w:r>
    </w:p>
    <w:p w14:paraId="425CB8B9">
      <w:pPr>
        <w:pStyle w:val="19"/>
        <w:spacing w:line="360" w:lineRule="auto"/>
        <w:rPr>
          <w:rFonts w:ascii="宋体" w:hAnsi="宋体" w:eastAsia="宋体"/>
          <w:sz w:val="24"/>
        </w:rPr>
      </w:pPr>
    </w:p>
    <w:p w14:paraId="356AAECA">
      <w:pPr>
        <w:spacing w:line="360" w:lineRule="auto"/>
        <w:ind w:right="480" w:firstLine="4680" w:firstLineChars="1950"/>
        <w:rPr>
          <w:rFonts w:ascii="宋体" w:hAnsi="宋体" w:eastAsia="宋体"/>
          <w:sz w:val="24"/>
        </w:rPr>
      </w:pPr>
      <w:r>
        <w:rPr>
          <w:rFonts w:hint="eastAsia" w:ascii="宋体" w:hAnsi="宋体" w:eastAsia="宋体"/>
          <w:sz w:val="24"/>
        </w:rPr>
        <w:t>签订日期</w:t>
      </w:r>
      <w:r>
        <w:rPr>
          <w:rFonts w:hint="eastAsia" w:ascii="宋体" w:hAnsi="宋体"/>
          <w:sz w:val="24"/>
          <w:lang w:eastAsia="zh-CN"/>
        </w:rPr>
        <w:t>：</w:t>
      </w:r>
      <w:r>
        <w:rPr>
          <w:rFonts w:hint="eastAsia" w:ascii="宋体" w:hAnsi="宋体" w:eastAsia="宋体"/>
          <w:sz w:val="24"/>
          <w:u w:val="single"/>
        </w:rPr>
        <w:t xml:space="preserve">    </w:t>
      </w:r>
      <w:r>
        <w:rPr>
          <w:rFonts w:hint="eastAsia" w:ascii="宋体" w:hAnsi="宋体" w:eastAsia="宋体"/>
          <w:sz w:val="24"/>
        </w:rPr>
        <w:t>年</w:t>
      </w:r>
      <w:r>
        <w:rPr>
          <w:rFonts w:hint="eastAsia" w:ascii="宋体" w:hAnsi="宋体" w:eastAsia="宋体"/>
          <w:sz w:val="24"/>
          <w:u w:val="single"/>
        </w:rPr>
        <w:t xml:space="preserve">  </w:t>
      </w:r>
      <w:r>
        <w:rPr>
          <w:rFonts w:hint="eastAsia" w:ascii="宋体" w:hAnsi="宋体" w:eastAsia="宋体"/>
          <w:sz w:val="24"/>
        </w:rPr>
        <w:t>月</w:t>
      </w:r>
      <w:r>
        <w:rPr>
          <w:rFonts w:hint="eastAsia" w:ascii="宋体" w:hAnsi="宋体" w:eastAsia="宋体"/>
          <w:sz w:val="24"/>
          <w:u w:val="single"/>
        </w:rPr>
        <w:t xml:space="preserve">  </w:t>
      </w:r>
      <w:r>
        <w:rPr>
          <w:rFonts w:hint="eastAsia" w:ascii="宋体" w:hAnsi="宋体" w:eastAsia="宋体"/>
          <w:sz w:val="24"/>
        </w:rPr>
        <w:t>日</w:t>
      </w:r>
    </w:p>
    <w:p w14:paraId="2C0A73A9">
      <w:pPr>
        <w:spacing w:line="360" w:lineRule="auto"/>
        <w:ind w:right="480" w:firstLine="4680" w:firstLineChars="1950"/>
        <w:rPr>
          <w:rFonts w:ascii="宋体" w:hAnsi="宋体" w:eastAsia="宋体"/>
          <w:sz w:val="24"/>
        </w:rPr>
      </w:pPr>
    </w:p>
    <w:p w14:paraId="1309A256">
      <w:pPr>
        <w:adjustRightInd w:val="0"/>
        <w:snapToGrid w:val="0"/>
        <w:spacing w:line="360" w:lineRule="auto"/>
        <w:ind w:right="0" w:firstLine="0" w:firstLineChars="0"/>
        <w:jc w:val="left"/>
        <w:rPr>
          <w:rFonts w:hint="eastAsia" w:ascii="宋体" w:hAnsi="宋体" w:eastAsia="宋体" w:cs="Times New Roman"/>
          <w:b w:val="0"/>
          <w:bCs/>
          <w:sz w:val="24"/>
        </w:rPr>
      </w:pPr>
    </w:p>
    <w:p w14:paraId="077D7C10">
      <w:pPr>
        <w:autoSpaceDE/>
        <w:autoSpaceDN/>
        <w:adjustRightInd w:val="0"/>
        <w:snapToGrid w:val="0"/>
        <w:spacing w:line="360" w:lineRule="auto"/>
        <w:ind w:firstLine="480" w:firstLineChars="200"/>
        <w:jc w:val="left"/>
        <w:rPr>
          <w:rFonts w:hint="eastAsia" w:ascii="宋体" w:hAnsi="宋体" w:eastAsia="宋体" w:cs="Times New Roman"/>
          <w:b w:val="0"/>
          <w:bCs/>
          <w:sz w:val="24"/>
          <w:szCs w:val="24"/>
          <w:lang w:val="en-US" w:eastAsia="zh-CN"/>
        </w:rPr>
      </w:pPr>
      <w:r>
        <w:rPr>
          <w:rFonts w:hint="eastAsia" w:ascii="宋体" w:hAnsi="宋体" w:eastAsia="宋体" w:cs="Times New Roman"/>
          <w:b w:val="0"/>
          <w:bCs/>
          <w:sz w:val="24"/>
          <w:szCs w:val="24"/>
        </w:rPr>
        <w:t>注：</w:t>
      </w:r>
      <w:r>
        <w:rPr>
          <w:rFonts w:hint="eastAsia" w:ascii="宋体" w:hAnsi="宋体" w:eastAsia="宋体" w:cs="Times New Roman"/>
          <w:b w:val="0"/>
          <w:bCs/>
          <w:sz w:val="24"/>
          <w:szCs w:val="24"/>
          <w:lang w:val="en-US" w:eastAsia="zh-CN"/>
        </w:rPr>
        <w:t>1、</w:t>
      </w:r>
      <w:r>
        <w:rPr>
          <w:rFonts w:hint="eastAsia" w:ascii="宋体" w:hAnsi="宋体" w:eastAsia="宋体" w:cs="Times New Roman"/>
          <w:b w:val="0"/>
          <w:bCs/>
          <w:kern w:val="2"/>
          <w:sz w:val="24"/>
          <w:szCs w:val="24"/>
          <w:highlight w:val="none"/>
        </w:rPr>
        <w:t>适用于</w:t>
      </w:r>
      <w:r>
        <w:rPr>
          <w:rFonts w:hint="eastAsia" w:ascii="宋体" w:hAnsi="宋体" w:eastAsia="宋体" w:cs="Times New Roman"/>
          <w:b w:val="0"/>
          <w:bCs/>
          <w:kern w:val="2"/>
          <w:sz w:val="24"/>
          <w:szCs w:val="24"/>
          <w:highlight w:val="none"/>
          <w:lang w:eastAsia="zh-CN"/>
        </w:rPr>
        <w:t>享受</w:t>
      </w:r>
      <w:r>
        <w:rPr>
          <w:rFonts w:hint="eastAsia" w:ascii="宋体" w:hAnsi="宋体" w:eastAsia="宋体" w:cs="Times New Roman"/>
          <w:b w:val="0"/>
          <w:bCs/>
          <w:kern w:val="2"/>
          <w:sz w:val="24"/>
          <w:szCs w:val="24"/>
          <w:highlight w:val="none"/>
        </w:rPr>
        <w:t>政府采购</w:t>
      </w:r>
      <w:r>
        <w:rPr>
          <w:rFonts w:hint="eastAsia" w:ascii="宋体" w:hAnsi="宋体" w:eastAsia="宋体" w:cs="Times New Roman"/>
          <w:b w:val="0"/>
          <w:bCs/>
          <w:kern w:val="2"/>
          <w:sz w:val="24"/>
          <w:szCs w:val="24"/>
          <w:highlight w:val="none"/>
          <w:lang w:eastAsia="zh-CN"/>
        </w:rPr>
        <w:t>中小企业扶持政策的投标人填写。</w:t>
      </w:r>
    </w:p>
    <w:p w14:paraId="0553565F">
      <w:pPr>
        <w:autoSpaceDE/>
        <w:autoSpaceDN/>
        <w:adjustRightInd w:val="0"/>
        <w:snapToGrid w:val="0"/>
        <w:spacing w:line="360" w:lineRule="auto"/>
        <w:ind w:firstLine="960" w:firstLineChars="400"/>
        <w:jc w:val="left"/>
        <w:rPr>
          <w:rFonts w:hint="eastAsia" w:ascii="宋体" w:hAnsi="宋体" w:eastAsia="宋体" w:cs="Times New Roman"/>
          <w:b w:val="0"/>
          <w:bCs/>
          <w:sz w:val="24"/>
          <w:lang w:eastAsia="zh-CN"/>
        </w:rPr>
      </w:pPr>
      <w:r>
        <w:rPr>
          <w:rFonts w:hint="eastAsia" w:ascii="宋体" w:hAnsi="宋体" w:cs="Times New Roman"/>
          <w:b w:val="0"/>
          <w:bCs/>
          <w:sz w:val="24"/>
          <w:lang w:val="en-US" w:eastAsia="zh-CN"/>
        </w:rPr>
        <w:t>2.</w:t>
      </w:r>
      <w:r>
        <w:rPr>
          <w:rFonts w:hint="eastAsia" w:ascii="宋体" w:hAnsi="宋体" w:eastAsia="宋体" w:cs="Times New Roman"/>
          <w:b w:val="0"/>
          <w:bCs/>
          <w:sz w:val="24"/>
        </w:rPr>
        <w:t>分包意向协议中须约定向中小</w:t>
      </w:r>
      <w:r>
        <w:rPr>
          <w:rFonts w:hint="eastAsia" w:ascii="宋体" w:hAnsi="宋体" w:eastAsia="宋体"/>
          <w:sz w:val="24"/>
          <w:lang w:val="en-US" w:eastAsia="zh-CN"/>
        </w:rPr>
        <w:t>（或小微）</w:t>
      </w:r>
      <w:r>
        <w:rPr>
          <w:rFonts w:hint="eastAsia" w:ascii="宋体" w:hAnsi="宋体" w:eastAsia="宋体" w:cs="Times New Roman"/>
          <w:b w:val="0"/>
          <w:bCs/>
          <w:sz w:val="24"/>
        </w:rPr>
        <w:t>企业分包的项目内容及分包内容占合同金额比例</w:t>
      </w:r>
      <w:r>
        <w:rPr>
          <w:rFonts w:hint="eastAsia" w:ascii="宋体" w:hAnsi="宋体" w:eastAsia="宋体" w:cs="Times New Roman"/>
          <w:b w:val="0"/>
          <w:bCs/>
          <w:sz w:val="24"/>
          <w:lang w:eastAsia="zh-CN"/>
        </w:rPr>
        <w:t>。</w:t>
      </w:r>
    </w:p>
    <w:p w14:paraId="2EB80290">
      <w:pPr>
        <w:pStyle w:val="2"/>
        <w:rPr>
          <w:rFonts w:hint="eastAsia"/>
        </w:rPr>
      </w:pPr>
      <w:r>
        <w:rPr>
          <w:rFonts w:hint="eastAsia" w:ascii="宋体" w:hAnsi="宋体" w:eastAsia="宋体" w:cs="Times New Roman"/>
          <w:b w:val="0"/>
          <w:bCs/>
          <w:sz w:val="24"/>
          <w:szCs w:val="24"/>
          <w:highlight w:val="none"/>
          <w:lang w:val="en-US" w:eastAsia="zh-CN"/>
        </w:rPr>
        <w:t>3.</w:t>
      </w:r>
      <w:r>
        <w:rPr>
          <w:rFonts w:hint="eastAsia" w:ascii="宋体" w:hAnsi="宋体" w:eastAsia="宋体"/>
          <w:color w:val="auto"/>
          <w:sz w:val="24"/>
          <w:highlight w:val="none"/>
        </w:rPr>
        <w:t>如</w:t>
      </w:r>
      <w:r>
        <w:rPr>
          <w:rFonts w:hint="eastAsia" w:ascii="宋体" w:hAnsi="宋体" w:eastAsia="宋体"/>
          <w:color w:val="auto"/>
          <w:sz w:val="24"/>
          <w:highlight w:val="none"/>
          <w:lang w:val="en-US" w:eastAsia="zh-CN"/>
        </w:rPr>
        <w:t>招标</w:t>
      </w:r>
      <w:r>
        <w:rPr>
          <w:rFonts w:hint="eastAsia" w:ascii="宋体" w:hAnsi="宋体" w:eastAsia="宋体"/>
          <w:color w:val="auto"/>
          <w:sz w:val="24"/>
          <w:highlight w:val="none"/>
        </w:rPr>
        <w:t>文件载明本项目</w:t>
      </w:r>
      <w:r>
        <w:rPr>
          <w:rFonts w:hint="eastAsia" w:ascii="宋体" w:hAnsi="宋体" w:eastAsia="宋体"/>
          <w:color w:val="auto"/>
          <w:sz w:val="24"/>
          <w:highlight w:val="none"/>
          <w:lang w:eastAsia="zh-CN"/>
        </w:rPr>
        <w:t>接受分包企业</w:t>
      </w:r>
      <w:r>
        <w:rPr>
          <w:rFonts w:hint="eastAsia" w:ascii="宋体" w:hAnsi="宋体" w:eastAsia="宋体"/>
          <w:color w:val="auto"/>
          <w:sz w:val="24"/>
          <w:highlight w:val="none"/>
        </w:rPr>
        <w:t>应具备的相应资质条件，则</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须列明</w:t>
      </w:r>
      <w:r>
        <w:rPr>
          <w:rFonts w:hint="eastAsia" w:ascii="宋体" w:hAnsi="宋体" w:eastAsia="宋体"/>
          <w:color w:val="auto"/>
          <w:sz w:val="24"/>
          <w:highlight w:val="none"/>
          <w:lang w:eastAsia="zh-CN"/>
        </w:rPr>
        <w:t>接受分包企业</w:t>
      </w:r>
      <w:r>
        <w:rPr>
          <w:rFonts w:hint="eastAsia" w:ascii="宋体" w:hAnsi="宋体" w:eastAsia="宋体"/>
          <w:color w:val="auto"/>
          <w:sz w:val="24"/>
          <w:highlight w:val="none"/>
        </w:rPr>
        <w:t>的资质等级，并后附</w:t>
      </w:r>
      <w:r>
        <w:rPr>
          <w:rFonts w:hint="eastAsia" w:ascii="宋体" w:hAnsi="宋体" w:eastAsia="宋体"/>
          <w:color w:val="auto"/>
          <w:sz w:val="24"/>
          <w:highlight w:val="none"/>
          <w:lang w:val="en-US" w:eastAsia="zh-CN"/>
        </w:rPr>
        <w:t>材料扫描件或电子证照</w:t>
      </w:r>
      <w:r>
        <w:rPr>
          <w:rFonts w:hint="eastAsia" w:ascii="宋体" w:hAnsi="宋体" w:eastAsia="宋体"/>
          <w:color w:val="auto"/>
          <w:sz w:val="24"/>
          <w:highlight w:val="none"/>
        </w:rPr>
        <w:t>，否则</w:t>
      </w:r>
      <w:r>
        <w:rPr>
          <w:rFonts w:hint="eastAsia" w:ascii="宋体" w:hAnsi="宋体" w:eastAsia="宋体"/>
          <w:b/>
          <w:bCs/>
          <w:color w:val="auto"/>
          <w:sz w:val="24"/>
          <w:highlight w:val="none"/>
          <w:lang w:val="en-US" w:eastAsia="zh-CN"/>
        </w:rPr>
        <w:t>投标</w:t>
      </w:r>
      <w:r>
        <w:rPr>
          <w:rFonts w:hint="eastAsia" w:ascii="宋体" w:hAnsi="宋体" w:eastAsia="宋体"/>
          <w:b/>
          <w:bCs/>
          <w:color w:val="auto"/>
          <w:sz w:val="24"/>
          <w:highlight w:val="none"/>
        </w:rPr>
        <w:t>无效</w:t>
      </w:r>
      <w:r>
        <w:rPr>
          <w:rFonts w:hint="eastAsia" w:ascii="宋体" w:hAnsi="宋体" w:eastAsia="宋体"/>
          <w:color w:val="auto"/>
          <w:sz w:val="24"/>
          <w:highlight w:val="none"/>
        </w:rPr>
        <w:t>。</w:t>
      </w:r>
    </w:p>
    <w:p w14:paraId="2387D86A">
      <w:pPr>
        <w:rPr>
          <w:rFonts w:hint="eastAsia"/>
          <w:color w:val="auto"/>
          <w:highlight w:val="none"/>
        </w:rPr>
      </w:pPr>
    </w:p>
    <w:p w14:paraId="4B49045D">
      <w:pPr>
        <w:rPr>
          <w:rFonts w:hint="eastAsia" w:ascii="Times New Roman" w:hAnsi="Times New Roman" w:eastAsia="宋体" w:cs="Times New Roman"/>
          <w:b/>
          <w:bCs/>
          <w:smallCaps w:val="0"/>
          <w:kern w:val="0"/>
          <w:sz w:val="32"/>
          <w:szCs w:val="32"/>
          <w:lang w:eastAsia="zh-CN"/>
        </w:rPr>
      </w:pPr>
      <w:r>
        <w:rPr>
          <w:rFonts w:hint="eastAsia" w:ascii="Times New Roman" w:hAnsi="Times New Roman" w:eastAsia="宋体" w:cs="Times New Roman"/>
          <w:b/>
          <w:bCs/>
          <w:smallCaps w:val="0"/>
          <w:kern w:val="0"/>
          <w:sz w:val="32"/>
          <w:szCs w:val="32"/>
          <w:lang w:eastAsia="zh-CN"/>
        </w:rPr>
        <w:br w:type="page"/>
      </w:r>
    </w:p>
    <w:p w14:paraId="56EDEB76">
      <w:pPr>
        <w:autoSpaceDE/>
        <w:autoSpaceDN/>
        <w:adjustRightInd/>
        <w:snapToGrid/>
        <w:spacing w:line="240" w:lineRule="auto"/>
        <w:ind w:firstLine="0" w:firstLineChars="0"/>
        <w:jc w:val="center"/>
        <w:rPr>
          <w:rFonts w:hint="eastAsia" w:ascii="Times New Roman" w:hAnsi="Times New Roman" w:eastAsia="宋体" w:cs="Times New Roman"/>
          <w:b/>
          <w:bCs/>
          <w:smallCaps w:val="0"/>
          <w:kern w:val="0"/>
          <w:sz w:val="32"/>
          <w:szCs w:val="32"/>
          <w:lang w:eastAsia="zh-CN"/>
        </w:rPr>
      </w:pPr>
      <w:r>
        <w:rPr>
          <w:rFonts w:hint="eastAsia" w:ascii="Times New Roman" w:hAnsi="Times New Roman" w:eastAsia="宋体" w:cs="Times New Roman"/>
          <w:b/>
          <w:bCs/>
          <w:smallCaps w:val="0"/>
          <w:kern w:val="0"/>
          <w:sz w:val="32"/>
          <w:szCs w:val="32"/>
          <w:lang w:eastAsia="zh-CN"/>
        </w:rPr>
        <w:t>（</w:t>
      </w:r>
      <w:r>
        <w:rPr>
          <w:rFonts w:hint="eastAsia" w:ascii="Times New Roman" w:hAnsi="Times New Roman" w:eastAsia="宋体" w:cs="Times New Roman"/>
          <w:b/>
          <w:bCs/>
          <w:smallCaps w:val="0"/>
          <w:kern w:val="0"/>
          <w:sz w:val="32"/>
          <w:szCs w:val="32"/>
          <w:lang w:val="en-US" w:eastAsia="zh-CN"/>
        </w:rPr>
        <w:t>7</w:t>
      </w:r>
      <w:r>
        <w:rPr>
          <w:rFonts w:hint="eastAsia" w:ascii="Times New Roman" w:hAnsi="Times New Roman" w:eastAsia="宋体" w:cs="Times New Roman"/>
          <w:b/>
          <w:bCs/>
          <w:smallCaps w:val="0"/>
          <w:kern w:val="0"/>
          <w:sz w:val="32"/>
          <w:szCs w:val="32"/>
          <w:lang w:eastAsia="zh-CN"/>
        </w:rPr>
        <w:t>）中小企业声明函</w:t>
      </w:r>
    </w:p>
    <w:p w14:paraId="181B5FE9">
      <w:pPr>
        <w:spacing w:line="560" w:lineRule="exact"/>
        <w:ind w:firstLine="435"/>
        <w:rPr>
          <w:rFonts w:hint="eastAsia" w:ascii="Times New Roman" w:hAnsi="Times New Roman" w:cs="@仿宋_GB2312"/>
          <w:smallCaps w:val="0"/>
          <w:color w:val="auto"/>
          <w:kern w:val="2"/>
          <w:sz w:val="21"/>
          <w:szCs w:val="21"/>
          <w:highlight w:val="none"/>
          <w:lang w:val="zh-CN"/>
        </w:rPr>
      </w:pPr>
    </w:p>
    <w:p w14:paraId="33C2C5B2">
      <w:pPr>
        <w:pStyle w:val="60"/>
        <w:bidi w:val="0"/>
        <w:spacing w:line="560" w:lineRule="exact"/>
        <w:rPr>
          <w:rFonts w:ascii="Times New Roman" w:hAnsi="Times New Roman"/>
          <w:smallCaps w:val="0"/>
          <w:lang w:val="zh-CN"/>
        </w:rPr>
      </w:pPr>
      <w:r>
        <w:rPr>
          <w:rFonts w:hint="eastAsia" w:ascii="Times New Roman" w:hAnsi="Times New Roman"/>
          <w:smallCaps w:val="0"/>
          <w:lang w:val="zh-CN"/>
        </w:rPr>
        <w:t>本公司（联合体）郑重声明，根据《政府采购促进中小企业发展管理办法》（财库﹝2020﹞46号）的规定，本公司（联合体）参加（单位</w:t>
      </w:r>
      <w:r>
        <w:rPr>
          <w:rFonts w:hint="eastAsia" w:ascii="Times New Roman" w:hAnsi="Times New Roman"/>
          <w:smallCaps w:val="0"/>
          <w:lang w:val="en-US" w:eastAsia="zh-CN"/>
        </w:rPr>
        <w:t>名称</w:t>
      </w:r>
      <w:r>
        <w:rPr>
          <w:rFonts w:hint="eastAsia" w:ascii="Times New Roman" w:hAnsi="Times New Roman"/>
          <w:smallCaps w:val="0"/>
          <w:lang w:val="zh-CN"/>
        </w:rPr>
        <w:t>）的（项目</w:t>
      </w:r>
      <w:r>
        <w:rPr>
          <w:rFonts w:hint="eastAsia" w:ascii="Times New Roman" w:hAnsi="Times New Roman"/>
          <w:smallCaps w:val="0"/>
          <w:lang w:val="en-US" w:eastAsia="zh-CN"/>
        </w:rPr>
        <w:t>名称</w:t>
      </w:r>
      <w:r>
        <w:rPr>
          <w:rFonts w:hint="eastAsia" w:ascii="Times New Roman" w:hAnsi="Times New Roman"/>
          <w:smallCaps w:val="0"/>
          <w:lang w:val="zh-CN"/>
        </w:rPr>
        <w:t>）招标投标活动，所属行业</w:t>
      </w:r>
      <w:r>
        <w:rPr>
          <w:rFonts w:hint="eastAsia" w:ascii="Times New Roman" w:hAnsi="Times New Roman"/>
          <w:smallCaps w:val="0"/>
          <w:lang w:val="en-US" w:eastAsia="zh-CN"/>
        </w:rPr>
        <w:t>（招标文件中明确的所属行业），（中小企业名称）</w:t>
      </w:r>
      <w:r>
        <w:rPr>
          <w:rFonts w:hint="eastAsia" w:ascii="Times New Roman" w:hAnsi="Times New Roman"/>
          <w:smallCaps w:val="0"/>
          <w:lang w:val="zh-CN"/>
        </w:rPr>
        <w:t xml:space="preserve">为符合政策要求的中小企业。相关企业（含联合体中的中小企业、签订分包意向协议的中小企业）的具体情况如下： </w:t>
      </w:r>
    </w:p>
    <w:p w14:paraId="7CDDE487">
      <w:pPr>
        <w:pStyle w:val="60"/>
        <w:bidi w:val="0"/>
        <w:spacing w:line="560" w:lineRule="exact"/>
        <w:rPr>
          <w:rFonts w:ascii="Times New Roman" w:hAnsi="Times New Roman"/>
          <w:smallCaps w:val="0"/>
          <w:lang w:val="zh-CN"/>
        </w:rPr>
      </w:pPr>
      <w:r>
        <w:rPr>
          <w:rFonts w:hint="eastAsia" w:ascii="Times New Roman" w:hAnsi="Times New Roman"/>
          <w:smallCaps w:val="0"/>
          <w:lang w:val="zh-CN"/>
        </w:rPr>
        <w:t>1. （企业名称），从业人员</w:t>
      </w:r>
      <w:r>
        <w:rPr>
          <w:rFonts w:hint="eastAsia" w:ascii="Times New Roman" w:hAnsi="Times New Roman"/>
          <w:smallCaps w:val="0"/>
          <w:u w:val="single"/>
          <w:lang w:val="zh-CN"/>
        </w:rPr>
        <w:t xml:space="preserve">     </w:t>
      </w:r>
      <w:r>
        <w:rPr>
          <w:rFonts w:hint="eastAsia" w:ascii="Times New Roman" w:hAnsi="Times New Roman"/>
          <w:smallCaps w:val="0"/>
          <w:lang w:val="zh-CN"/>
        </w:rPr>
        <w:t>人，营业收入为</w:t>
      </w:r>
      <w:r>
        <w:rPr>
          <w:rFonts w:hint="eastAsia" w:ascii="Times New Roman" w:hAnsi="Times New Roman"/>
          <w:smallCaps w:val="0"/>
          <w:u w:val="single"/>
          <w:lang w:val="zh-CN"/>
        </w:rPr>
        <w:t xml:space="preserve">     </w:t>
      </w:r>
      <w:r>
        <w:rPr>
          <w:rFonts w:hint="eastAsia" w:ascii="Times New Roman" w:hAnsi="Times New Roman"/>
          <w:smallCaps w:val="0"/>
          <w:lang w:val="zh-CN"/>
        </w:rPr>
        <w:t>万元，资产总额为</w:t>
      </w:r>
      <w:r>
        <w:rPr>
          <w:rFonts w:hint="eastAsia" w:ascii="Times New Roman" w:hAnsi="Times New Roman"/>
          <w:smallCaps w:val="0"/>
          <w:u w:val="single"/>
          <w:lang w:val="zh-CN"/>
        </w:rPr>
        <w:t xml:space="preserve">     </w:t>
      </w:r>
      <w:r>
        <w:rPr>
          <w:rFonts w:hint="eastAsia" w:ascii="Times New Roman" w:hAnsi="Times New Roman"/>
          <w:smallCaps w:val="0"/>
          <w:lang w:val="zh-CN"/>
        </w:rPr>
        <w:t xml:space="preserve">万元，属于（中型企业、小型企业、微型企业）； </w:t>
      </w:r>
    </w:p>
    <w:p w14:paraId="5AA9FE33">
      <w:pPr>
        <w:pStyle w:val="60"/>
        <w:bidi w:val="0"/>
        <w:spacing w:line="560" w:lineRule="exact"/>
        <w:rPr>
          <w:rFonts w:ascii="Times New Roman" w:hAnsi="Times New Roman"/>
          <w:smallCaps w:val="0"/>
          <w:lang w:val="zh-CN"/>
        </w:rPr>
      </w:pPr>
      <w:r>
        <w:rPr>
          <w:rFonts w:hint="eastAsia" w:ascii="Times New Roman" w:hAnsi="Times New Roman"/>
          <w:smallCaps w:val="0"/>
          <w:lang w:val="zh-CN"/>
        </w:rPr>
        <w:t>2. （企业名称），从业人员</w:t>
      </w:r>
      <w:r>
        <w:rPr>
          <w:rFonts w:hint="eastAsia" w:ascii="Times New Roman" w:hAnsi="Times New Roman"/>
          <w:smallCaps w:val="0"/>
          <w:u w:val="single"/>
          <w:lang w:val="zh-CN"/>
        </w:rPr>
        <w:t xml:space="preserve">     </w:t>
      </w:r>
      <w:r>
        <w:rPr>
          <w:rFonts w:hint="eastAsia" w:ascii="Times New Roman" w:hAnsi="Times New Roman"/>
          <w:smallCaps w:val="0"/>
          <w:lang w:val="zh-CN"/>
        </w:rPr>
        <w:t>人，营业收入为</w:t>
      </w:r>
      <w:r>
        <w:rPr>
          <w:rFonts w:hint="eastAsia" w:ascii="Times New Roman" w:hAnsi="Times New Roman"/>
          <w:smallCaps w:val="0"/>
          <w:u w:val="single"/>
          <w:lang w:val="zh-CN"/>
        </w:rPr>
        <w:t xml:space="preserve">     </w:t>
      </w:r>
      <w:r>
        <w:rPr>
          <w:rFonts w:hint="eastAsia" w:ascii="Times New Roman" w:hAnsi="Times New Roman"/>
          <w:smallCaps w:val="0"/>
          <w:lang w:val="zh-CN"/>
        </w:rPr>
        <w:t>万元，资产总额为</w:t>
      </w:r>
      <w:r>
        <w:rPr>
          <w:rFonts w:hint="eastAsia" w:ascii="Times New Roman" w:hAnsi="Times New Roman"/>
          <w:smallCaps w:val="0"/>
          <w:u w:val="single"/>
          <w:lang w:val="zh-CN"/>
        </w:rPr>
        <w:t xml:space="preserve">     </w:t>
      </w:r>
      <w:r>
        <w:rPr>
          <w:rFonts w:hint="eastAsia" w:ascii="Times New Roman" w:hAnsi="Times New Roman"/>
          <w:smallCaps w:val="0"/>
          <w:lang w:val="zh-CN"/>
        </w:rPr>
        <w:t xml:space="preserve">万元，属于（中型企业、小型企业、微型企业）； </w:t>
      </w:r>
    </w:p>
    <w:p w14:paraId="25985899">
      <w:pPr>
        <w:pStyle w:val="60"/>
        <w:bidi w:val="0"/>
        <w:spacing w:line="560" w:lineRule="exact"/>
        <w:rPr>
          <w:rFonts w:ascii="Times New Roman" w:hAnsi="Times New Roman"/>
          <w:smallCaps w:val="0"/>
          <w:lang w:val="zh-CN"/>
        </w:rPr>
      </w:pPr>
      <w:r>
        <w:rPr>
          <w:rFonts w:hint="eastAsia" w:ascii="Times New Roman" w:hAnsi="Times New Roman"/>
          <w:smallCaps w:val="0"/>
          <w:lang w:val="zh-CN"/>
        </w:rPr>
        <w:t>……</w:t>
      </w:r>
    </w:p>
    <w:p w14:paraId="7786DBDD">
      <w:pPr>
        <w:pStyle w:val="60"/>
        <w:bidi w:val="0"/>
        <w:spacing w:line="560" w:lineRule="exact"/>
        <w:rPr>
          <w:rFonts w:ascii="Times New Roman" w:hAnsi="Times New Roman"/>
          <w:smallCaps w:val="0"/>
          <w:lang w:val="zh-CN"/>
        </w:rPr>
      </w:pPr>
      <w:r>
        <w:rPr>
          <w:rFonts w:hint="eastAsia" w:ascii="Times New Roman" w:hAnsi="Times New Roman"/>
          <w:smallCaps w:val="0"/>
          <w:lang w:val="zh-CN"/>
        </w:rPr>
        <w:t>以上企业，不属于大企业的分支机构，不存在控股股东为大企业的情形，也不存在与大企业的负责人为同一人的情形。</w:t>
      </w:r>
    </w:p>
    <w:p w14:paraId="1E2D16D2">
      <w:pPr>
        <w:pStyle w:val="60"/>
        <w:bidi w:val="0"/>
        <w:spacing w:line="560" w:lineRule="exact"/>
        <w:rPr>
          <w:rFonts w:ascii="Times New Roman" w:hAnsi="Times New Roman"/>
          <w:smallCaps w:val="0"/>
          <w:lang w:val="zh-CN"/>
        </w:rPr>
      </w:pPr>
      <w:r>
        <w:rPr>
          <w:rFonts w:hint="eastAsia" w:ascii="Times New Roman" w:hAnsi="Times New Roman"/>
          <w:smallCaps w:val="0"/>
          <w:lang w:val="zh-CN"/>
        </w:rPr>
        <w:t>本企业对上述声明内容的真实性负责。如有虚假，将依法承担相应责任。</w:t>
      </w:r>
    </w:p>
    <w:p w14:paraId="3F21AB32">
      <w:pPr>
        <w:bidi w:val="0"/>
        <w:spacing w:line="560" w:lineRule="exact"/>
        <w:rPr>
          <w:rFonts w:ascii="Times New Roman" w:hAnsi="Times New Roman"/>
          <w:smallCaps w:val="0"/>
        </w:rPr>
      </w:pPr>
    </w:p>
    <w:p w14:paraId="106D2E8A">
      <w:pPr>
        <w:bidi w:val="0"/>
        <w:spacing w:line="560" w:lineRule="exact"/>
        <w:rPr>
          <w:rFonts w:hint="eastAsia" w:ascii="Times New Roman" w:hAnsi="Times New Roman"/>
          <w:smallCaps w:val="0"/>
        </w:rPr>
      </w:pPr>
    </w:p>
    <w:p w14:paraId="69185039">
      <w:pPr>
        <w:pStyle w:val="60"/>
        <w:bidi w:val="0"/>
        <w:spacing w:line="560" w:lineRule="exact"/>
        <w:ind w:left="0" w:leftChars="0" w:firstLine="5279" w:firstLineChars="2514"/>
        <w:rPr>
          <w:rFonts w:ascii="Times New Roman" w:hAnsi="Times New Roman"/>
          <w:smallCaps w:val="0"/>
        </w:rPr>
      </w:pPr>
      <w:r>
        <w:rPr>
          <w:rFonts w:hint="eastAsia" w:ascii="Times New Roman" w:hAnsi="Times New Roman"/>
          <w:smallCaps w:val="0"/>
        </w:rPr>
        <w:t>投标人</w:t>
      </w:r>
      <w:r>
        <w:rPr>
          <w:rFonts w:hint="eastAsia" w:ascii="Times New Roman" w:hAnsi="Times New Roman"/>
          <w:smallCaps w:val="0"/>
          <w:lang w:eastAsia="zh-CN"/>
        </w:rPr>
        <w:t>：</w:t>
      </w:r>
      <w:r>
        <w:rPr>
          <w:rFonts w:hint="eastAsia" w:ascii="Times New Roman" w:hAnsi="Times New Roman"/>
          <w:smallCaps w:val="0"/>
          <w:u w:val="single"/>
        </w:rPr>
        <w:t xml:space="preserve">            </w:t>
      </w:r>
      <w:r>
        <w:rPr>
          <w:rFonts w:hint="eastAsia" w:ascii="Times New Roman" w:hAnsi="Times New Roman"/>
          <w:smallCaps w:val="0"/>
          <w:u w:val="single"/>
          <w:lang w:val="en-US" w:eastAsia="zh-CN"/>
        </w:rPr>
        <w:t xml:space="preserve">     </w:t>
      </w:r>
      <w:r>
        <w:rPr>
          <w:rFonts w:hint="eastAsia" w:ascii="Times New Roman" w:hAnsi="Times New Roman"/>
          <w:smallCaps w:val="0"/>
        </w:rPr>
        <w:t>（盖单位章）</w:t>
      </w:r>
    </w:p>
    <w:p w14:paraId="1D55B59A">
      <w:pPr>
        <w:pStyle w:val="60"/>
        <w:bidi w:val="0"/>
        <w:spacing w:line="560" w:lineRule="exact"/>
        <w:ind w:left="0" w:leftChars="0" w:firstLine="5279" w:firstLineChars="2514"/>
        <w:rPr>
          <w:rFonts w:hint="eastAsia" w:ascii="Times New Roman" w:hAnsi="Times New Roman"/>
          <w:smallCaps w:val="0"/>
        </w:rPr>
      </w:pPr>
      <w:r>
        <w:rPr>
          <w:rFonts w:hint="eastAsia" w:ascii="Times New Roman" w:hAnsi="Times New Roman"/>
          <w:smallCaps w:val="0"/>
        </w:rPr>
        <w:t>日期</w:t>
      </w:r>
      <w:r>
        <w:rPr>
          <w:rFonts w:hint="eastAsia" w:ascii="Times New Roman" w:hAnsi="Times New Roman"/>
          <w:smallCaps w:val="0"/>
          <w:lang w:eastAsia="zh-CN"/>
        </w:rPr>
        <w:t>：</w:t>
      </w:r>
      <w:r>
        <w:rPr>
          <w:rFonts w:hint="eastAsia" w:ascii="Times New Roman" w:hAnsi="Times New Roman"/>
          <w:smallCaps w:val="0"/>
          <w:u w:val="single"/>
        </w:rPr>
        <w:t xml:space="preserve">       </w:t>
      </w:r>
      <w:r>
        <w:rPr>
          <w:rFonts w:hint="eastAsia" w:ascii="Times New Roman" w:hAnsi="Times New Roman"/>
          <w:smallCaps w:val="0"/>
        </w:rPr>
        <w:t>年</w:t>
      </w:r>
      <w:r>
        <w:rPr>
          <w:rFonts w:hint="eastAsia" w:ascii="Times New Roman" w:hAnsi="Times New Roman"/>
          <w:smallCaps w:val="0"/>
          <w:u w:val="single"/>
        </w:rPr>
        <w:t xml:space="preserve">     </w:t>
      </w:r>
      <w:r>
        <w:rPr>
          <w:rFonts w:hint="eastAsia" w:ascii="Times New Roman" w:hAnsi="Times New Roman"/>
          <w:smallCaps w:val="0"/>
        </w:rPr>
        <w:t>月</w:t>
      </w:r>
      <w:r>
        <w:rPr>
          <w:rFonts w:hint="eastAsia" w:ascii="Times New Roman" w:hAnsi="Times New Roman"/>
          <w:smallCaps w:val="0"/>
          <w:u w:val="single"/>
        </w:rPr>
        <w:t xml:space="preserve">      </w:t>
      </w:r>
      <w:r>
        <w:rPr>
          <w:rFonts w:hint="eastAsia" w:ascii="Times New Roman" w:hAnsi="Times New Roman"/>
          <w:smallCaps w:val="0"/>
        </w:rPr>
        <w:t>日</w:t>
      </w:r>
    </w:p>
    <w:p w14:paraId="547D5338">
      <w:pPr>
        <w:bidi w:val="0"/>
        <w:spacing w:line="560" w:lineRule="exact"/>
        <w:rPr>
          <w:rFonts w:ascii="Times New Roman" w:hAnsi="Times New Roman"/>
          <w:smallCaps w:val="0"/>
        </w:rPr>
      </w:pPr>
    </w:p>
    <w:p w14:paraId="4902D38E">
      <w:pPr>
        <w:pStyle w:val="60"/>
        <w:bidi w:val="0"/>
        <w:spacing w:line="560" w:lineRule="exact"/>
        <w:ind w:firstLine="0" w:firstLineChars="0"/>
        <w:rPr>
          <w:rFonts w:hint="eastAsia" w:ascii="Times New Roman" w:hAnsi="Times New Roman"/>
          <w:smallCaps w:val="0"/>
        </w:rPr>
      </w:pPr>
      <w:r>
        <w:rPr>
          <w:rFonts w:hint="eastAsia" w:ascii="Times New Roman" w:hAnsi="Times New Roman"/>
          <w:smallCaps w:val="0"/>
          <w:lang w:eastAsia="zh-CN"/>
        </w:rPr>
        <w:t>注：</w:t>
      </w:r>
      <w:r>
        <w:rPr>
          <w:rFonts w:hint="eastAsia" w:ascii="Times New Roman" w:hAnsi="Times New Roman"/>
          <w:smallCaps w:val="0"/>
        </w:rPr>
        <w:t>1.从业人员、营业收入、资产总额填报上一年数据，无上一年数据的新成立企业可不填报。</w:t>
      </w:r>
    </w:p>
    <w:p w14:paraId="7959A08D">
      <w:pPr>
        <w:pStyle w:val="60"/>
        <w:bidi w:val="0"/>
        <w:spacing w:line="560" w:lineRule="exact"/>
        <w:jc w:val="both"/>
        <w:rPr>
          <w:rFonts w:hint="eastAsia" w:ascii="Times New Roman" w:hAnsi="Times New Roman"/>
          <w:smallCaps w:val="0"/>
        </w:rPr>
      </w:pPr>
      <w:r>
        <w:rPr>
          <w:rFonts w:hint="eastAsia" w:ascii="Times New Roman" w:hAnsi="Times New Roman"/>
          <w:smallCaps w:val="0"/>
        </w:rPr>
        <w:t>2.供应商应根据《政府采购促进中小企业发展管理办法》（财库﹝2020﹞46号）和《关于印发中小企业划型标准规定的通知》</w:t>
      </w:r>
      <w:r>
        <w:rPr>
          <w:rFonts w:hint="eastAsia" w:ascii="Times New Roman" w:hAnsi="Times New Roman"/>
          <w:smallCaps w:val="0"/>
          <w:lang w:eastAsia="zh-CN"/>
        </w:rPr>
        <w:t>（</w:t>
      </w:r>
      <w:r>
        <w:rPr>
          <w:rFonts w:hint="eastAsia" w:ascii="Times New Roman" w:hAnsi="Times New Roman"/>
          <w:smallCaps w:val="0"/>
        </w:rPr>
        <w:t>工信部联企业〔2011〕300号</w:t>
      </w:r>
      <w:r>
        <w:rPr>
          <w:rFonts w:hint="eastAsia" w:ascii="Times New Roman" w:hAnsi="Times New Roman"/>
          <w:smallCaps w:val="0"/>
          <w:lang w:eastAsia="zh-CN"/>
        </w:rPr>
        <w:t>）</w:t>
      </w:r>
      <w:r>
        <w:rPr>
          <w:rFonts w:hint="eastAsia" w:ascii="Times New Roman" w:hAnsi="Times New Roman"/>
          <w:smallCaps w:val="0"/>
        </w:rPr>
        <w:t>相关规定，如实填写中小企业声明函。</w:t>
      </w:r>
      <w:r>
        <w:rPr>
          <w:rFonts w:hint="eastAsia" w:ascii="Times New Roman" w:hAnsi="Times New Roman"/>
          <w:smallCaps w:val="0"/>
          <w:lang w:val="zh-CN"/>
        </w:rPr>
        <w:t>如有虚假，将依法承担相应责任。</w:t>
      </w:r>
      <w:r>
        <w:rPr>
          <w:rFonts w:hint="eastAsia" w:ascii="Times New Roman" w:hAnsi="Times New Roman"/>
          <w:smallCaps w:val="0"/>
          <w:lang w:eastAsia="zh-CN"/>
        </w:rPr>
        <w:t>投标人</w:t>
      </w:r>
      <w:r>
        <w:rPr>
          <w:rFonts w:hint="eastAsia" w:ascii="Times New Roman" w:hAnsi="Times New Roman"/>
          <w:smallCaps w:val="0"/>
        </w:rPr>
        <w:t>自行登录工业和信息化部官网进行中小企业规模类型自测（查询网址https</w:t>
      </w:r>
      <w:r>
        <w:rPr>
          <w:rFonts w:hint="eastAsia" w:ascii="Times New Roman" w:hAnsi="Times New Roman"/>
          <w:smallCaps w:val="0"/>
          <w:lang w:eastAsia="zh-CN"/>
        </w:rPr>
        <w:t>：</w:t>
      </w:r>
      <w:r>
        <w:rPr>
          <w:rFonts w:hint="eastAsia" w:ascii="Times New Roman" w:hAnsi="Times New Roman"/>
          <w:smallCaps w:val="0"/>
        </w:rPr>
        <w:t>//www.miit.gov.cn/）。</w:t>
      </w:r>
    </w:p>
    <w:p w14:paraId="454400F0">
      <w:pPr>
        <w:ind w:firstLine="420" w:firstLineChars="200"/>
        <w:rPr>
          <w:rFonts w:hint="eastAsia"/>
          <w:b/>
          <w:color w:val="000000"/>
          <w:sz w:val="28"/>
          <w:szCs w:val="28"/>
        </w:rPr>
      </w:pPr>
      <w:r>
        <w:rPr>
          <w:rFonts w:hint="eastAsia" w:ascii="Times New Roman" w:hAnsi="Times New Roman"/>
          <w:smallCaps w:val="0"/>
          <w:lang w:eastAsia="zh-CN"/>
        </w:rPr>
        <w:t>3</w:t>
      </w:r>
      <w:r>
        <w:rPr>
          <w:rFonts w:hint="eastAsia" w:ascii="Times New Roman" w:hAnsi="Times New Roman"/>
          <w:smallCaps w:val="0"/>
        </w:rPr>
        <w:t>.上述“</w:t>
      </w:r>
      <w:r>
        <w:rPr>
          <w:rFonts w:hint="eastAsia" w:ascii="Times New Roman" w:hAnsi="Times New Roman"/>
          <w:smallCaps w:val="0"/>
          <w:lang w:eastAsia="zh-CN"/>
        </w:rPr>
        <w:t>招标</w:t>
      </w:r>
      <w:r>
        <w:rPr>
          <w:rFonts w:hint="eastAsia" w:ascii="Times New Roman" w:hAnsi="Times New Roman"/>
          <w:smallCaps w:val="0"/>
        </w:rPr>
        <w:t>文件中明确的所属行业”，</w:t>
      </w:r>
      <w:r>
        <w:rPr>
          <w:rFonts w:hint="eastAsia" w:ascii="Times New Roman" w:hAnsi="Times New Roman"/>
          <w:smallCaps w:val="0"/>
          <w:lang w:eastAsia="zh-CN"/>
        </w:rPr>
        <w:t>指建筑业</w:t>
      </w:r>
      <w:r>
        <w:rPr>
          <w:rFonts w:hint="eastAsia" w:ascii="Times New Roman" w:hAnsi="Times New Roman"/>
          <w:smallCaps w:val="0"/>
        </w:rPr>
        <w:t>。</w:t>
      </w:r>
    </w:p>
    <w:p w14:paraId="68490385">
      <w:pPr>
        <w:rPr>
          <w:rFonts w:hint="eastAsia"/>
          <w:color w:val="000000"/>
        </w:rPr>
      </w:pPr>
    </w:p>
    <w:p w14:paraId="222EAE7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b/>
          <w:color w:val="auto"/>
          <w:sz w:val="24"/>
          <w:highlight w:val="none"/>
          <w:lang w:val="en-US" w:eastAsia="zh-CN"/>
        </w:rPr>
      </w:pPr>
    </w:p>
    <w:p w14:paraId="4734BA11">
      <w:pPr>
        <w:rPr>
          <w:rFonts w:hint="eastAsia" w:ascii="Times New Roman" w:hAnsi="Times New Roman" w:eastAsia="宋体" w:cs="Times New Roman"/>
          <w:b/>
          <w:bCs/>
          <w:kern w:val="0"/>
          <w:sz w:val="32"/>
          <w:szCs w:val="32"/>
          <w:highlight w:val="none"/>
          <w:lang w:val="en-US" w:eastAsia="zh-CN"/>
        </w:rPr>
      </w:pPr>
      <w:r>
        <w:rPr>
          <w:rFonts w:hint="eastAsia" w:ascii="Times New Roman" w:hAnsi="Times New Roman" w:eastAsia="宋体" w:cs="Times New Roman"/>
          <w:b/>
          <w:bCs/>
          <w:kern w:val="0"/>
          <w:sz w:val="32"/>
          <w:szCs w:val="32"/>
          <w:highlight w:val="none"/>
          <w:lang w:val="en-US" w:eastAsia="zh-CN"/>
        </w:rPr>
        <w:br w:type="page"/>
      </w:r>
    </w:p>
    <w:p w14:paraId="6E25C158">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eastAsia="宋体" w:cs="Times New Roman"/>
          <w:b/>
          <w:bCs/>
          <w:kern w:val="0"/>
          <w:sz w:val="32"/>
          <w:szCs w:val="32"/>
          <w:highlight w:val="none"/>
          <w:lang w:val="en-US" w:eastAsia="zh-CN"/>
        </w:rPr>
      </w:pPr>
      <w:r>
        <w:rPr>
          <w:rFonts w:hint="eastAsia" w:ascii="Times New Roman" w:hAnsi="Times New Roman" w:eastAsia="宋体" w:cs="Times New Roman"/>
          <w:b/>
          <w:bCs/>
          <w:kern w:val="0"/>
          <w:sz w:val="32"/>
          <w:szCs w:val="32"/>
          <w:highlight w:val="none"/>
          <w:lang w:val="en-US" w:eastAsia="zh-CN"/>
        </w:rPr>
        <w:t>（8）残疾人福利性单位声明函</w:t>
      </w:r>
    </w:p>
    <w:p w14:paraId="329FE939">
      <w:pPr>
        <w:pStyle w:val="11"/>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val="0"/>
          <w:i/>
          <w:color w:val="auto"/>
          <w:sz w:val="24"/>
          <w:highlight w:val="none"/>
          <w:lang w:val="en-US" w:eastAsia="zh-CN"/>
        </w:rPr>
      </w:pPr>
    </w:p>
    <w:p w14:paraId="334D852E">
      <w:pPr>
        <w:spacing w:line="360" w:lineRule="auto"/>
        <w:ind w:firstLine="435"/>
        <w:rPr>
          <w:rFonts w:ascii="宋体" w:hAnsi="宋体" w:eastAsia="宋体"/>
          <w:color w:val="auto"/>
          <w:spacing w:val="6"/>
          <w:sz w:val="24"/>
          <w:szCs w:val="24"/>
          <w:highlight w:val="none"/>
        </w:rPr>
      </w:pPr>
      <w:r>
        <w:rPr>
          <w:rFonts w:hint="eastAsia" w:ascii="宋体" w:hAnsi="宋体" w:eastAsia="宋体"/>
          <w:color w:val="auto"/>
          <w:spacing w:val="6"/>
          <w:sz w:val="24"/>
          <w:szCs w:val="24"/>
          <w:highlight w:val="none"/>
        </w:rPr>
        <w:t>本单位</w:t>
      </w:r>
      <w:r>
        <w:rPr>
          <w:rFonts w:hint="eastAsia" w:ascii="宋体" w:hAnsi="宋体" w:eastAsia="宋体"/>
          <w:color w:val="auto"/>
          <w:sz w:val="24"/>
          <w:highlight w:val="none"/>
        </w:rPr>
        <w:t>郑重</w:t>
      </w:r>
      <w:r>
        <w:rPr>
          <w:rFonts w:hint="eastAsia" w:ascii="宋体" w:hAnsi="宋体" w:eastAsia="宋体"/>
          <w:color w:val="auto"/>
          <w:spacing w:val="6"/>
          <w:sz w:val="24"/>
          <w:szCs w:val="24"/>
          <w:highlight w:val="none"/>
        </w:rPr>
        <w:t>声明，根据《财政部 民政部 中国残疾人联合会关于促进残疾人就业政府采购政策的通知》（财库</w:t>
      </w:r>
      <w:r>
        <w:rPr>
          <w:rFonts w:hint="eastAsia" w:ascii="宋体" w:hAnsi="宋体" w:eastAsia="宋体"/>
          <w:color w:val="auto"/>
          <w:sz w:val="24"/>
          <w:szCs w:val="24"/>
          <w:highlight w:val="none"/>
        </w:rPr>
        <w:t>〔2017〕141</w:t>
      </w:r>
      <w:r>
        <w:rPr>
          <w:rFonts w:hint="eastAsia" w:ascii="宋体" w:hAnsi="宋体" w:eastAsia="宋体"/>
          <w:color w:val="auto"/>
          <w:spacing w:val="6"/>
          <w:sz w:val="24"/>
          <w:szCs w:val="24"/>
          <w:highlight w:val="none"/>
        </w:rPr>
        <w:t>号）的规定，本单位为</w:t>
      </w:r>
      <w:r>
        <w:rPr>
          <w:rFonts w:hint="eastAsia" w:ascii="宋体" w:hAnsi="宋体" w:eastAsia="宋体"/>
          <w:bCs/>
          <w:color w:val="auto"/>
          <w:sz w:val="24"/>
          <w:szCs w:val="24"/>
          <w:highlight w:val="none"/>
        </w:rPr>
        <w:t>符合</w:t>
      </w:r>
      <w:r>
        <w:rPr>
          <w:rFonts w:hint="eastAsia" w:ascii="宋体" w:hAnsi="宋体" w:eastAsia="宋体"/>
          <w:color w:val="auto"/>
          <w:spacing w:val="6"/>
          <w:sz w:val="24"/>
          <w:szCs w:val="24"/>
          <w:highlight w:val="none"/>
        </w:rPr>
        <w:t>条件的残疾人福利性单位，且本单位参加</w:t>
      </w:r>
      <w:r>
        <w:rPr>
          <w:rFonts w:hint="eastAsia" w:ascii="宋体" w:hAnsi="宋体" w:eastAsia="宋体"/>
          <w:color w:val="auto"/>
          <w:spacing w:val="6"/>
          <w:sz w:val="24"/>
          <w:szCs w:val="24"/>
          <w:highlight w:val="none"/>
          <w:u w:val="single"/>
        </w:rPr>
        <w:t xml:space="preserve">      </w:t>
      </w:r>
      <w:r>
        <w:rPr>
          <w:rFonts w:hint="eastAsia" w:ascii="宋体" w:hAnsi="宋体" w:eastAsia="宋体"/>
          <w:color w:val="auto"/>
          <w:spacing w:val="6"/>
          <w:sz w:val="24"/>
          <w:szCs w:val="24"/>
          <w:highlight w:val="none"/>
        </w:rPr>
        <w:t>单位的</w:t>
      </w:r>
      <w:r>
        <w:rPr>
          <w:rFonts w:hint="eastAsia" w:ascii="宋体" w:hAnsi="宋体" w:eastAsia="宋体"/>
          <w:color w:val="auto"/>
          <w:spacing w:val="6"/>
          <w:sz w:val="24"/>
          <w:szCs w:val="24"/>
          <w:highlight w:val="none"/>
          <w:u w:val="single"/>
        </w:rPr>
        <w:t xml:space="preserve">      </w:t>
      </w:r>
      <w:r>
        <w:rPr>
          <w:rFonts w:hint="eastAsia" w:ascii="宋体" w:hAnsi="宋体" w:eastAsia="宋体"/>
          <w:color w:val="auto"/>
          <w:spacing w:val="6"/>
          <w:sz w:val="24"/>
          <w:szCs w:val="24"/>
          <w:highlight w:val="none"/>
        </w:rPr>
        <w:t>项目采购活动提供本单位制造的货物</w:t>
      </w:r>
      <w:r>
        <w:rPr>
          <w:rFonts w:hint="eastAsia" w:ascii="宋体" w:hAnsi="宋体" w:eastAsia="宋体"/>
          <w:color w:val="auto"/>
          <w:spacing w:val="6"/>
          <w:sz w:val="24"/>
          <w:szCs w:val="24"/>
          <w:highlight w:val="none"/>
          <w:lang w:eastAsia="zh-CN"/>
        </w:rPr>
        <w:t>（</w:t>
      </w:r>
      <w:r>
        <w:rPr>
          <w:rFonts w:hint="eastAsia" w:ascii="宋体" w:hAnsi="宋体" w:eastAsia="宋体"/>
          <w:color w:val="auto"/>
          <w:spacing w:val="6"/>
          <w:sz w:val="24"/>
          <w:szCs w:val="24"/>
          <w:highlight w:val="none"/>
          <w:lang w:val="en-US" w:eastAsia="zh-CN"/>
        </w:rPr>
        <w:t>由本单位承担工程/提供服务</w:t>
      </w:r>
      <w:r>
        <w:rPr>
          <w:rFonts w:hint="eastAsia" w:ascii="宋体" w:hAnsi="宋体" w:eastAsia="宋体"/>
          <w:color w:val="auto"/>
          <w:spacing w:val="6"/>
          <w:sz w:val="24"/>
          <w:szCs w:val="24"/>
          <w:highlight w:val="none"/>
          <w:lang w:eastAsia="zh-CN"/>
        </w:rPr>
        <w:t>）</w:t>
      </w:r>
      <w:r>
        <w:rPr>
          <w:rFonts w:hint="eastAsia" w:ascii="宋体" w:hAnsi="宋体" w:eastAsia="宋体"/>
          <w:color w:val="auto"/>
          <w:spacing w:val="6"/>
          <w:sz w:val="24"/>
          <w:szCs w:val="24"/>
          <w:highlight w:val="none"/>
        </w:rPr>
        <w:t>，或者提供其他残疾人福利性单位制造的货物（不包括使用非残疾人福利性单位注册商标的货物）。</w:t>
      </w:r>
    </w:p>
    <w:p w14:paraId="6AFDD1FB">
      <w:pPr>
        <w:spacing w:line="360" w:lineRule="auto"/>
        <w:ind w:firstLine="435"/>
        <w:rPr>
          <w:rFonts w:ascii="宋体" w:hAnsi="宋体" w:eastAsia="宋体"/>
          <w:color w:val="auto"/>
          <w:spacing w:val="6"/>
          <w:sz w:val="24"/>
          <w:szCs w:val="24"/>
          <w:highlight w:val="none"/>
        </w:rPr>
      </w:pPr>
      <w:r>
        <w:rPr>
          <w:rFonts w:hint="eastAsia" w:ascii="宋体" w:hAnsi="宋体" w:eastAsia="宋体"/>
          <w:color w:val="auto"/>
          <w:spacing w:val="6"/>
          <w:sz w:val="24"/>
          <w:szCs w:val="24"/>
          <w:highlight w:val="none"/>
        </w:rPr>
        <w:t>本单位对上述声明的真实性负责。如有虚假，将依法承担相应责任。</w:t>
      </w:r>
    </w:p>
    <w:p w14:paraId="330B00EB">
      <w:pPr>
        <w:spacing w:line="360" w:lineRule="auto"/>
        <w:ind w:firstLine="4228" w:firstLineChars="1762"/>
        <w:rPr>
          <w:rFonts w:ascii="宋体" w:hAnsi="宋体" w:eastAsia="宋体"/>
          <w:color w:val="auto"/>
          <w:sz w:val="24"/>
          <w:szCs w:val="24"/>
          <w:highlight w:val="none"/>
        </w:rPr>
      </w:pPr>
    </w:p>
    <w:p w14:paraId="34497845">
      <w:pPr>
        <w:spacing w:line="360" w:lineRule="auto"/>
        <w:ind w:firstLine="4228" w:firstLineChars="1762"/>
        <w:rPr>
          <w:rFonts w:ascii="宋体" w:hAnsi="宋体" w:eastAsia="宋体"/>
          <w:color w:val="auto"/>
          <w:sz w:val="24"/>
          <w:szCs w:val="24"/>
          <w:highlight w:val="none"/>
        </w:rPr>
      </w:pPr>
    </w:p>
    <w:p w14:paraId="6AB4D602">
      <w:pPr>
        <w:spacing w:line="360" w:lineRule="auto"/>
        <w:ind w:firstLine="4560" w:firstLineChars="1900"/>
        <w:rPr>
          <w:rFonts w:ascii="宋体" w:hAnsi="宋体" w:eastAsia="宋体"/>
          <w:sz w:val="24"/>
        </w:rPr>
      </w:pPr>
      <w:r>
        <w:rPr>
          <w:rFonts w:hint="eastAsia" w:ascii="宋体" w:hAnsi="宋体" w:eastAsia="宋体"/>
          <w:sz w:val="24"/>
        </w:rPr>
        <w:t>投标人：</w:t>
      </w:r>
      <w:r>
        <w:rPr>
          <w:rFonts w:hint="eastAsia" w:ascii="宋体" w:hAnsi="宋体" w:eastAsia="宋体"/>
          <w:sz w:val="24"/>
          <w:u w:val="single"/>
        </w:rPr>
        <w:t xml:space="preserve">                   </w:t>
      </w:r>
      <w:r>
        <w:rPr>
          <w:rFonts w:hint="eastAsia" w:ascii="宋体" w:hAnsi="宋体" w:eastAsia="宋体"/>
          <w:sz w:val="24"/>
        </w:rPr>
        <w:t>（</w:t>
      </w:r>
      <w:r>
        <w:rPr>
          <w:rFonts w:hint="eastAsia" w:ascii="宋体" w:hAnsi="宋体" w:eastAsia="宋体"/>
          <w:sz w:val="24"/>
          <w:lang w:eastAsia="zh-CN"/>
        </w:rPr>
        <w:t>盖单位</w:t>
      </w:r>
      <w:r>
        <w:rPr>
          <w:rFonts w:hint="eastAsia" w:ascii="宋体" w:hAnsi="宋体" w:eastAsia="宋体"/>
          <w:sz w:val="24"/>
        </w:rPr>
        <w:t>章）</w:t>
      </w:r>
    </w:p>
    <w:p w14:paraId="1C875010">
      <w:pPr>
        <w:pStyle w:val="4"/>
        <w:adjustRightInd w:val="0"/>
        <w:snapToGrid w:val="0"/>
        <w:spacing w:before="0" w:after="0" w:line="560" w:lineRule="exact"/>
        <w:jc w:val="center"/>
        <w:rPr>
          <w:rFonts w:hint="eastAsia"/>
          <w:color w:val="000000"/>
        </w:rPr>
      </w:pPr>
      <w:r>
        <w:rPr>
          <w:rFonts w:hint="eastAsia" w:ascii="宋体" w:hAnsi="宋体" w:eastAsia="宋体"/>
          <w:b w:val="0"/>
          <w:bCs w:val="0"/>
          <w:color w:val="auto"/>
          <w:sz w:val="24"/>
          <w:szCs w:val="24"/>
          <w:highlight w:val="none"/>
        </w:rPr>
        <w:t>日期：</w:t>
      </w:r>
      <w:r>
        <w:rPr>
          <w:rFonts w:ascii="宋体" w:hAnsi="宋体" w:eastAsia="宋体"/>
          <w:b w:val="0"/>
          <w:bCs w:val="0"/>
          <w:color w:val="auto"/>
          <w:sz w:val="24"/>
          <w:szCs w:val="24"/>
          <w:highlight w:val="none"/>
          <w:u w:val="single"/>
        </w:rPr>
        <w:t xml:space="preserve">          </w:t>
      </w:r>
      <w:r>
        <w:rPr>
          <w:rFonts w:hint="eastAsia" w:ascii="宋体" w:hAnsi="宋体" w:eastAsia="宋体"/>
          <w:b w:val="0"/>
          <w:bCs w:val="0"/>
          <w:color w:val="auto"/>
          <w:sz w:val="24"/>
          <w:szCs w:val="24"/>
          <w:highlight w:val="none"/>
          <w:u w:val="single"/>
          <w:lang w:val="en-US" w:eastAsia="zh-CN"/>
        </w:rPr>
        <w:t xml:space="preserve">      </w:t>
      </w:r>
      <w:r>
        <w:rPr>
          <w:rFonts w:ascii="宋体" w:hAnsi="宋体" w:eastAsia="宋体"/>
          <w:b w:val="0"/>
          <w:bCs w:val="0"/>
          <w:color w:val="auto"/>
          <w:sz w:val="24"/>
          <w:szCs w:val="24"/>
          <w:highlight w:val="none"/>
          <w:u w:val="single"/>
        </w:rPr>
        <w:t xml:space="preserve">   </w:t>
      </w:r>
    </w:p>
    <w:p w14:paraId="751D1EB0">
      <w:pPr>
        <w:pStyle w:val="2"/>
        <w:rPr>
          <w:rFonts w:hint="eastAsia"/>
        </w:rPr>
      </w:pPr>
    </w:p>
    <w:p w14:paraId="2A848EB4">
      <w:pPr>
        <w:rPr>
          <w:rFonts w:hint="eastAsia"/>
          <w:color w:val="auto"/>
          <w:highlight w:val="none"/>
        </w:rPr>
      </w:pPr>
      <w:r>
        <w:rPr>
          <w:rFonts w:hint="eastAsia"/>
          <w:color w:val="auto"/>
          <w:highlight w:val="none"/>
        </w:rPr>
        <w:br w:type="page"/>
      </w:r>
    </w:p>
    <w:p w14:paraId="3C8828A7">
      <w:pPr>
        <w:pStyle w:val="4"/>
        <w:adjustRightInd w:val="0"/>
        <w:snapToGrid w:val="0"/>
        <w:spacing w:before="0" w:after="0" w:line="560" w:lineRule="exact"/>
        <w:jc w:val="center"/>
        <w:rPr>
          <w:color w:val="auto"/>
          <w:highlight w:val="none"/>
        </w:rPr>
      </w:pPr>
      <w:r>
        <w:rPr>
          <w:rFonts w:hint="eastAsia"/>
          <w:color w:val="auto"/>
          <w:highlight w:val="none"/>
        </w:rPr>
        <w:t>（</w:t>
      </w:r>
      <w:r>
        <w:rPr>
          <w:rFonts w:hint="eastAsia"/>
          <w:color w:val="auto"/>
          <w:highlight w:val="none"/>
          <w:lang w:val="en-US" w:eastAsia="zh-CN"/>
        </w:rPr>
        <w:t>9</w:t>
      </w:r>
      <w:r>
        <w:rPr>
          <w:rFonts w:hint="eastAsia"/>
          <w:color w:val="auto"/>
          <w:highlight w:val="none"/>
        </w:rPr>
        <w:t>）</w:t>
      </w:r>
      <w:r>
        <w:rPr>
          <w:color w:val="auto"/>
          <w:highlight w:val="none"/>
        </w:rPr>
        <w:t>项目管理机构</w:t>
      </w:r>
    </w:p>
    <w:p w14:paraId="41859E32">
      <w:pPr>
        <w:pStyle w:val="5"/>
        <w:jc w:val="center"/>
        <w:rPr>
          <w:color w:val="auto"/>
          <w:highlight w:val="none"/>
        </w:rPr>
      </w:pPr>
      <w:r>
        <w:rPr>
          <w:rFonts w:hint="eastAsia"/>
          <w:color w:val="auto"/>
          <w:highlight w:val="none"/>
        </w:rPr>
        <w:t>附表1：</w:t>
      </w:r>
      <w:r>
        <w:rPr>
          <w:color w:val="auto"/>
          <w:highlight w:val="none"/>
        </w:rPr>
        <w:t>项目管理机构</w:t>
      </w:r>
      <w:r>
        <w:rPr>
          <w:rFonts w:hint="eastAsia"/>
          <w:color w:val="auto"/>
          <w:highlight w:val="none"/>
        </w:rPr>
        <w:t>主要人员</w:t>
      </w:r>
      <w:r>
        <w:rPr>
          <w:color w:val="auto"/>
          <w:highlight w:val="none"/>
        </w:rPr>
        <w:t>组成表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944"/>
        <w:gridCol w:w="812"/>
        <w:gridCol w:w="1220"/>
        <w:gridCol w:w="812"/>
        <w:gridCol w:w="814"/>
        <w:gridCol w:w="811"/>
        <w:gridCol w:w="2848"/>
        <w:gridCol w:w="759"/>
      </w:tblGrid>
      <w:tr w14:paraId="53C3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1616" w:type="dxa"/>
            <w:vMerge w:val="restart"/>
            <w:noWrap w:val="0"/>
            <w:vAlign w:val="center"/>
          </w:tcPr>
          <w:p w14:paraId="65505629">
            <w:pPr>
              <w:adjustRightInd w:val="0"/>
              <w:snapToGrid w:val="0"/>
              <w:spacing w:line="560" w:lineRule="exact"/>
              <w:jc w:val="center"/>
              <w:rPr>
                <w:color w:val="auto"/>
                <w:szCs w:val="21"/>
                <w:highlight w:val="none"/>
              </w:rPr>
            </w:pPr>
            <w:r>
              <w:rPr>
                <w:color w:val="auto"/>
                <w:szCs w:val="21"/>
                <w:highlight w:val="none"/>
              </w:rPr>
              <w:t>职务</w:t>
            </w:r>
          </w:p>
        </w:tc>
        <w:tc>
          <w:tcPr>
            <w:tcW w:w="944" w:type="dxa"/>
            <w:vMerge w:val="restart"/>
            <w:noWrap w:val="0"/>
            <w:vAlign w:val="center"/>
          </w:tcPr>
          <w:p w14:paraId="2F08BB6A">
            <w:pPr>
              <w:adjustRightInd w:val="0"/>
              <w:snapToGrid w:val="0"/>
              <w:spacing w:line="560" w:lineRule="exact"/>
              <w:jc w:val="center"/>
              <w:rPr>
                <w:color w:val="auto"/>
                <w:szCs w:val="21"/>
                <w:highlight w:val="none"/>
              </w:rPr>
            </w:pPr>
            <w:r>
              <w:rPr>
                <w:color w:val="auto"/>
                <w:szCs w:val="21"/>
                <w:highlight w:val="none"/>
              </w:rPr>
              <w:t>姓名</w:t>
            </w:r>
          </w:p>
        </w:tc>
        <w:tc>
          <w:tcPr>
            <w:tcW w:w="812" w:type="dxa"/>
            <w:vMerge w:val="restart"/>
            <w:noWrap w:val="0"/>
            <w:vAlign w:val="center"/>
          </w:tcPr>
          <w:p w14:paraId="0B0B0023">
            <w:pPr>
              <w:adjustRightInd w:val="0"/>
              <w:snapToGrid w:val="0"/>
              <w:spacing w:line="560" w:lineRule="exact"/>
              <w:jc w:val="center"/>
              <w:rPr>
                <w:color w:val="auto"/>
                <w:szCs w:val="21"/>
                <w:highlight w:val="none"/>
              </w:rPr>
            </w:pPr>
            <w:r>
              <w:rPr>
                <w:color w:val="auto"/>
                <w:szCs w:val="21"/>
                <w:highlight w:val="none"/>
              </w:rPr>
              <w:t>职称</w:t>
            </w:r>
          </w:p>
        </w:tc>
        <w:tc>
          <w:tcPr>
            <w:tcW w:w="6505" w:type="dxa"/>
            <w:gridSpan w:val="5"/>
            <w:noWrap w:val="0"/>
            <w:vAlign w:val="center"/>
          </w:tcPr>
          <w:p w14:paraId="2168A893">
            <w:pPr>
              <w:adjustRightInd w:val="0"/>
              <w:snapToGrid w:val="0"/>
              <w:spacing w:line="560" w:lineRule="exact"/>
              <w:jc w:val="center"/>
              <w:rPr>
                <w:color w:val="auto"/>
                <w:szCs w:val="21"/>
                <w:highlight w:val="none"/>
              </w:rPr>
            </w:pPr>
            <w:r>
              <w:rPr>
                <w:color w:val="auto"/>
                <w:szCs w:val="21"/>
                <w:highlight w:val="none"/>
              </w:rPr>
              <w:t>执业或职业资格证明</w:t>
            </w:r>
          </w:p>
        </w:tc>
        <w:tc>
          <w:tcPr>
            <w:tcW w:w="759" w:type="dxa"/>
            <w:noWrap w:val="0"/>
            <w:vAlign w:val="center"/>
          </w:tcPr>
          <w:p w14:paraId="0781392B">
            <w:pPr>
              <w:adjustRightInd w:val="0"/>
              <w:snapToGrid w:val="0"/>
              <w:spacing w:line="560" w:lineRule="exact"/>
              <w:jc w:val="center"/>
              <w:rPr>
                <w:color w:val="auto"/>
                <w:szCs w:val="21"/>
                <w:highlight w:val="none"/>
              </w:rPr>
            </w:pPr>
            <w:r>
              <w:rPr>
                <w:color w:val="auto"/>
                <w:szCs w:val="21"/>
                <w:highlight w:val="none"/>
              </w:rPr>
              <w:t>备注</w:t>
            </w:r>
          </w:p>
        </w:tc>
      </w:tr>
      <w:tr w14:paraId="34DA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1616" w:type="dxa"/>
            <w:vMerge w:val="continue"/>
            <w:noWrap w:val="0"/>
            <w:vAlign w:val="center"/>
          </w:tcPr>
          <w:p w14:paraId="714BC64D">
            <w:pPr>
              <w:adjustRightInd w:val="0"/>
              <w:snapToGrid w:val="0"/>
              <w:spacing w:line="560" w:lineRule="exact"/>
              <w:jc w:val="center"/>
              <w:rPr>
                <w:color w:val="auto"/>
                <w:szCs w:val="21"/>
                <w:highlight w:val="none"/>
              </w:rPr>
            </w:pPr>
          </w:p>
        </w:tc>
        <w:tc>
          <w:tcPr>
            <w:tcW w:w="944" w:type="dxa"/>
            <w:vMerge w:val="continue"/>
            <w:noWrap w:val="0"/>
            <w:vAlign w:val="center"/>
          </w:tcPr>
          <w:p w14:paraId="66AABCEE">
            <w:pPr>
              <w:adjustRightInd w:val="0"/>
              <w:snapToGrid w:val="0"/>
              <w:spacing w:line="560" w:lineRule="exact"/>
              <w:jc w:val="center"/>
              <w:rPr>
                <w:color w:val="auto"/>
                <w:szCs w:val="21"/>
                <w:highlight w:val="none"/>
              </w:rPr>
            </w:pPr>
          </w:p>
        </w:tc>
        <w:tc>
          <w:tcPr>
            <w:tcW w:w="812" w:type="dxa"/>
            <w:vMerge w:val="continue"/>
            <w:noWrap w:val="0"/>
            <w:vAlign w:val="center"/>
          </w:tcPr>
          <w:p w14:paraId="7AD59558">
            <w:pPr>
              <w:adjustRightInd w:val="0"/>
              <w:snapToGrid w:val="0"/>
              <w:spacing w:line="560" w:lineRule="exact"/>
              <w:jc w:val="center"/>
              <w:rPr>
                <w:color w:val="auto"/>
                <w:szCs w:val="21"/>
                <w:highlight w:val="none"/>
              </w:rPr>
            </w:pPr>
          </w:p>
        </w:tc>
        <w:tc>
          <w:tcPr>
            <w:tcW w:w="1220" w:type="dxa"/>
            <w:noWrap w:val="0"/>
            <w:vAlign w:val="center"/>
          </w:tcPr>
          <w:p w14:paraId="42E7D077">
            <w:pPr>
              <w:adjustRightInd w:val="0"/>
              <w:snapToGrid w:val="0"/>
              <w:spacing w:line="560" w:lineRule="exact"/>
              <w:jc w:val="center"/>
              <w:rPr>
                <w:color w:val="auto"/>
                <w:szCs w:val="21"/>
                <w:highlight w:val="none"/>
              </w:rPr>
            </w:pPr>
            <w:r>
              <w:rPr>
                <w:color w:val="auto"/>
                <w:szCs w:val="21"/>
                <w:highlight w:val="none"/>
              </w:rPr>
              <w:t>证书名称</w:t>
            </w:r>
          </w:p>
        </w:tc>
        <w:tc>
          <w:tcPr>
            <w:tcW w:w="812" w:type="dxa"/>
            <w:noWrap w:val="0"/>
            <w:vAlign w:val="center"/>
          </w:tcPr>
          <w:p w14:paraId="2EC6478C">
            <w:pPr>
              <w:adjustRightInd w:val="0"/>
              <w:snapToGrid w:val="0"/>
              <w:spacing w:line="560" w:lineRule="exact"/>
              <w:jc w:val="center"/>
              <w:rPr>
                <w:color w:val="auto"/>
                <w:szCs w:val="21"/>
                <w:highlight w:val="none"/>
              </w:rPr>
            </w:pPr>
            <w:r>
              <w:rPr>
                <w:color w:val="auto"/>
                <w:szCs w:val="21"/>
                <w:highlight w:val="none"/>
              </w:rPr>
              <w:t>级别</w:t>
            </w:r>
          </w:p>
        </w:tc>
        <w:tc>
          <w:tcPr>
            <w:tcW w:w="814" w:type="dxa"/>
            <w:noWrap w:val="0"/>
            <w:vAlign w:val="center"/>
          </w:tcPr>
          <w:p w14:paraId="24DC17E1">
            <w:pPr>
              <w:adjustRightInd w:val="0"/>
              <w:snapToGrid w:val="0"/>
              <w:spacing w:line="560" w:lineRule="exact"/>
              <w:jc w:val="center"/>
              <w:rPr>
                <w:color w:val="auto"/>
                <w:szCs w:val="21"/>
                <w:highlight w:val="none"/>
              </w:rPr>
            </w:pPr>
            <w:r>
              <w:rPr>
                <w:color w:val="auto"/>
                <w:szCs w:val="21"/>
                <w:highlight w:val="none"/>
              </w:rPr>
              <w:t>证号</w:t>
            </w:r>
          </w:p>
        </w:tc>
        <w:tc>
          <w:tcPr>
            <w:tcW w:w="811" w:type="dxa"/>
            <w:noWrap w:val="0"/>
            <w:vAlign w:val="center"/>
          </w:tcPr>
          <w:p w14:paraId="09613244">
            <w:pPr>
              <w:adjustRightInd w:val="0"/>
              <w:snapToGrid w:val="0"/>
              <w:spacing w:line="560" w:lineRule="exact"/>
              <w:jc w:val="center"/>
              <w:rPr>
                <w:color w:val="auto"/>
                <w:szCs w:val="21"/>
                <w:highlight w:val="none"/>
              </w:rPr>
            </w:pPr>
            <w:r>
              <w:rPr>
                <w:color w:val="auto"/>
                <w:szCs w:val="21"/>
                <w:highlight w:val="none"/>
              </w:rPr>
              <w:t>专业</w:t>
            </w:r>
          </w:p>
        </w:tc>
        <w:tc>
          <w:tcPr>
            <w:tcW w:w="2848" w:type="dxa"/>
            <w:noWrap w:val="0"/>
            <w:vAlign w:val="center"/>
          </w:tcPr>
          <w:p w14:paraId="1A6D697F">
            <w:pPr>
              <w:adjustRightInd w:val="0"/>
              <w:snapToGrid w:val="0"/>
              <w:spacing w:line="560" w:lineRule="exact"/>
              <w:jc w:val="center"/>
              <w:rPr>
                <w:color w:val="auto"/>
                <w:szCs w:val="21"/>
                <w:highlight w:val="none"/>
              </w:rPr>
            </w:pPr>
            <w:r>
              <w:rPr>
                <w:color w:val="auto"/>
                <w:szCs w:val="21"/>
                <w:highlight w:val="none"/>
              </w:rPr>
              <w:t>养老保险</w:t>
            </w:r>
          </w:p>
        </w:tc>
        <w:tc>
          <w:tcPr>
            <w:tcW w:w="759" w:type="dxa"/>
            <w:noWrap w:val="0"/>
            <w:vAlign w:val="center"/>
          </w:tcPr>
          <w:p w14:paraId="573F1EE3">
            <w:pPr>
              <w:adjustRightInd w:val="0"/>
              <w:snapToGrid w:val="0"/>
              <w:spacing w:line="560" w:lineRule="exact"/>
              <w:jc w:val="center"/>
              <w:rPr>
                <w:color w:val="auto"/>
                <w:szCs w:val="21"/>
                <w:highlight w:val="none"/>
              </w:rPr>
            </w:pPr>
          </w:p>
        </w:tc>
      </w:tr>
      <w:tr w14:paraId="1D73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noWrap w:val="0"/>
            <w:vAlign w:val="center"/>
          </w:tcPr>
          <w:p w14:paraId="06BF8823">
            <w:pPr>
              <w:adjustRightInd w:val="0"/>
              <w:snapToGrid w:val="0"/>
              <w:spacing w:line="560" w:lineRule="exact"/>
              <w:jc w:val="center"/>
              <w:rPr>
                <w:color w:val="auto"/>
                <w:szCs w:val="21"/>
                <w:highlight w:val="none"/>
              </w:rPr>
            </w:pPr>
            <w:r>
              <w:rPr>
                <w:rFonts w:hint="eastAsia"/>
                <w:color w:val="auto"/>
                <w:szCs w:val="21"/>
                <w:highlight w:val="none"/>
              </w:rPr>
              <w:t>项目经理</w:t>
            </w:r>
            <w:r>
              <w:rPr>
                <w:rFonts w:hint="eastAsia"/>
                <w:color w:val="auto"/>
                <w:szCs w:val="21"/>
                <w:highlight w:val="none"/>
                <w:lang w:val="en-US" w:eastAsia="zh-CN"/>
              </w:rPr>
              <w:t>A岗</w:t>
            </w:r>
            <w:r>
              <w:rPr>
                <w:rFonts w:hint="eastAsia"/>
                <w:color w:val="auto"/>
                <w:szCs w:val="21"/>
                <w:highlight w:val="none"/>
              </w:rPr>
              <w:t>（建造师）</w:t>
            </w:r>
          </w:p>
        </w:tc>
        <w:tc>
          <w:tcPr>
            <w:tcW w:w="944" w:type="dxa"/>
            <w:noWrap w:val="0"/>
            <w:vAlign w:val="center"/>
          </w:tcPr>
          <w:p w14:paraId="4922449C">
            <w:pPr>
              <w:adjustRightInd w:val="0"/>
              <w:snapToGrid w:val="0"/>
              <w:spacing w:line="560" w:lineRule="exact"/>
              <w:jc w:val="center"/>
              <w:rPr>
                <w:color w:val="auto"/>
                <w:szCs w:val="21"/>
                <w:highlight w:val="none"/>
              </w:rPr>
            </w:pPr>
          </w:p>
        </w:tc>
        <w:tc>
          <w:tcPr>
            <w:tcW w:w="812" w:type="dxa"/>
            <w:noWrap w:val="0"/>
            <w:vAlign w:val="center"/>
          </w:tcPr>
          <w:p w14:paraId="20FD3425">
            <w:pPr>
              <w:adjustRightInd w:val="0"/>
              <w:snapToGrid w:val="0"/>
              <w:spacing w:line="560" w:lineRule="exact"/>
              <w:jc w:val="center"/>
              <w:rPr>
                <w:color w:val="auto"/>
                <w:szCs w:val="21"/>
                <w:highlight w:val="none"/>
              </w:rPr>
            </w:pPr>
          </w:p>
        </w:tc>
        <w:tc>
          <w:tcPr>
            <w:tcW w:w="1220" w:type="dxa"/>
            <w:noWrap w:val="0"/>
            <w:vAlign w:val="center"/>
          </w:tcPr>
          <w:p w14:paraId="5423A33B">
            <w:pPr>
              <w:adjustRightInd w:val="0"/>
              <w:snapToGrid w:val="0"/>
              <w:spacing w:line="560" w:lineRule="exact"/>
              <w:jc w:val="center"/>
              <w:rPr>
                <w:color w:val="auto"/>
                <w:szCs w:val="21"/>
                <w:highlight w:val="none"/>
              </w:rPr>
            </w:pPr>
          </w:p>
        </w:tc>
        <w:tc>
          <w:tcPr>
            <w:tcW w:w="812" w:type="dxa"/>
            <w:noWrap w:val="0"/>
            <w:vAlign w:val="center"/>
          </w:tcPr>
          <w:p w14:paraId="4580CBA9">
            <w:pPr>
              <w:adjustRightInd w:val="0"/>
              <w:snapToGrid w:val="0"/>
              <w:spacing w:line="560" w:lineRule="exact"/>
              <w:jc w:val="center"/>
              <w:rPr>
                <w:color w:val="auto"/>
                <w:szCs w:val="21"/>
                <w:highlight w:val="none"/>
              </w:rPr>
            </w:pPr>
          </w:p>
        </w:tc>
        <w:tc>
          <w:tcPr>
            <w:tcW w:w="814" w:type="dxa"/>
            <w:noWrap w:val="0"/>
            <w:vAlign w:val="center"/>
          </w:tcPr>
          <w:p w14:paraId="2F107D0A">
            <w:pPr>
              <w:adjustRightInd w:val="0"/>
              <w:snapToGrid w:val="0"/>
              <w:spacing w:line="560" w:lineRule="exact"/>
              <w:jc w:val="center"/>
              <w:rPr>
                <w:color w:val="auto"/>
                <w:szCs w:val="21"/>
                <w:highlight w:val="none"/>
              </w:rPr>
            </w:pPr>
          </w:p>
        </w:tc>
        <w:tc>
          <w:tcPr>
            <w:tcW w:w="811" w:type="dxa"/>
            <w:noWrap w:val="0"/>
            <w:vAlign w:val="center"/>
          </w:tcPr>
          <w:p w14:paraId="2774F4F7">
            <w:pPr>
              <w:adjustRightInd w:val="0"/>
              <w:snapToGrid w:val="0"/>
              <w:spacing w:line="560" w:lineRule="exact"/>
              <w:jc w:val="center"/>
              <w:rPr>
                <w:color w:val="auto"/>
                <w:szCs w:val="21"/>
                <w:highlight w:val="none"/>
              </w:rPr>
            </w:pPr>
          </w:p>
        </w:tc>
        <w:tc>
          <w:tcPr>
            <w:tcW w:w="2848" w:type="dxa"/>
            <w:noWrap w:val="0"/>
            <w:vAlign w:val="center"/>
          </w:tcPr>
          <w:p w14:paraId="63F921F7">
            <w:pPr>
              <w:adjustRightInd w:val="0"/>
              <w:snapToGrid w:val="0"/>
              <w:spacing w:line="560" w:lineRule="exact"/>
              <w:jc w:val="center"/>
              <w:rPr>
                <w:color w:val="auto"/>
                <w:szCs w:val="21"/>
                <w:highlight w:val="none"/>
              </w:rPr>
            </w:pPr>
          </w:p>
        </w:tc>
        <w:tc>
          <w:tcPr>
            <w:tcW w:w="759" w:type="dxa"/>
            <w:noWrap w:val="0"/>
            <w:vAlign w:val="center"/>
          </w:tcPr>
          <w:p w14:paraId="142BDA69">
            <w:pPr>
              <w:adjustRightInd w:val="0"/>
              <w:snapToGrid w:val="0"/>
              <w:spacing w:line="560" w:lineRule="exact"/>
              <w:jc w:val="center"/>
              <w:rPr>
                <w:color w:val="auto"/>
                <w:szCs w:val="21"/>
                <w:highlight w:val="none"/>
              </w:rPr>
            </w:pPr>
          </w:p>
        </w:tc>
      </w:tr>
      <w:tr w14:paraId="5C92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noWrap w:val="0"/>
            <w:vAlign w:val="center"/>
          </w:tcPr>
          <w:p w14:paraId="3BF8A3CE">
            <w:pPr>
              <w:adjustRightInd w:val="0"/>
              <w:snapToGrid w:val="0"/>
              <w:spacing w:line="560" w:lineRule="exact"/>
              <w:jc w:val="center"/>
              <w:rPr>
                <w:rFonts w:hint="eastAsia"/>
                <w:color w:val="auto"/>
                <w:szCs w:val="21"/>
                <w:highlight w:val="none"/>
              </w:rPr>
            </w:pPr>
            <w:r>
              <w:rPr>
                <w:rFonts w:hint="eastAsia"/>
                <w:color w:val="auto"/>
                <w:szCs w:val="21"/>
                <w:highlight w:val="none"/>
              </w:rPr>
              <w:t>项目经理</w:t>
            </w:r>
            <w:r>
              <w:rPr>
                <w:rFonts w:hint="eastAsia"/>
                <w:color w:val="auto"/>
                <w:szCs w:val="21"/>
                <w:highlight w:val="none"/>
                <w:lang w:val="en-US" w:eastAsia="zh-CN"/>
              </w:rPr>
              <w:t>B岗</w:t>
            </w:r>
            <w:r>
              <w:rPr>
                <w:rFonts w:hint="eastAsia"/>
                <w:color w:val="auto"/>
                <w:szCs w:val="21"/>
                <w:highlight w:val="none"/>
              </w:rPr>
              <w:t>（建造师）</w:t>
            </w:r>
          </w:p>
          <w:p w14:paraId="45F302E3">
            <w:pPr>
              <w:adjustRightInd w:val="0"/>
              <w:snapToGrid w:val="0"/>
              <w:spacing w:line="560" w:lineRule="exact"/>
              <w:jc w:val="center"/>
              <w:rPr>
                <w:rFonts w:hint="eastAsia"/>
                <w:color w:val="auto"/>
                <w:szCs w:val="21"/>
                <w:highlight w:val="none"/>
              </w:rPr>
            </w:pPr>
            <w:r>
              <w:rPr>
                <w:rFonts w:hint="eastAsia"/>
                <w:color w:val="auto"/>
                <w:szCs w:val="21"/>
                <w:highlight w:val="none"/>
                <w:lang w:eastAsia="zh-CN"/>
              </w:rPr>
              <w:t>（</w:t>
            </w:r>
            <w:r>
              <w:rPr>
                <w:rFonts w:hint="eastAsia"/>
                <w:color w:val="auto"/>
                <w:szCs w:val="21"/>
                <w:highlight w:val="none"/>
                <w:lang w:val="en-US" w:eastAsia="zh-CN"/>
              </w:rPr>
              <w:t>如有）</w:t>
            </w:r>
          </w:p>
        </w:tc>
        <w:tc>
          <w:tcPr>
            <w:tcW w:w="944" w:type="dxa"/>
            <w:noWrap w:val="0"/>
            <w:vAlign w:val="center"/>
          </w:tcPr>
          <w:p w14:paraId="5CCF7AA2">
            <w:pPr>
              <w:adjustRightInd w:val="0"/>
              <w:snapToGrid w:val="0"/>
              <w:spacing w:line="560" w:lineRule="exact"/>
              <w:jc w:val="center"/>
              <w:rPr>
                <w:color w:val="auto"/>
                <w:szCs w:val="21"/>
                <w:highlight w:val="none"/>
              </w:rPr>
            </w:pPr>
          </w:p>
        </w:tc>
        <w:tc>
          <w:tcPr>
            <w:tcW w:w="812" w:type="dxa"/>
            <w:noWrap w:val="0"/>
            <w:vAlign w:val="center"/>
          </w:tcPr>
          <w:p w14:paraId="691302F8">
            <w:pPr>
              <w:adjustRightInd w:val="0"/>
              <w:snapToGrid w:val="0"/>
              <w:spacing w:line="560" w:lineRule="exact"/>
              <w:jc w:val="center"/>
              <w:rPr>
                <w:color w:val="auto"/>
                <w:szCs w:val="21"/>
                <w:highlight w:val="none"/>
              </w:rPr>
            </w:pPr>
          </w:p>
        </w:tc>
        <w:tc>
          <w:tcPr>
            <w:tcW w:w="1220" w:type="dxa"/>
            <w:noWrap w:val="0"/>
            <w:vAlign w:val="center"/>
          </w:tcPr>
          <w:p w14:paraId="7343A7F3">
            <w:pPr>
              <w:adjustRightInd w:val="0"/>
              <w:snapToGrid w:val="0"/>
              <w:spacing w:line="560" w:lineRule="exact"/>
              <w:jc w:val="center"/>
              <w:rPr>
                <w:color w:val="auto"/>
                <w:szCs w:val="21"/>
                <w:highlight w:val="none"/>
              </w:rPr>
            </w:pPr>
          </w:p>
        </w:tc>
        <w:tc>
          <w:tcPr>
            <w:tcW w:w="812" w:type="dxa"/>
            <w:noWrap w:val="0"/>
            <w:vAlign w:val="center"/>
          </w:tcPr>
          <w:p w14:paraId="7B5D3EEC">
            <w:pPr>
              <w:adjustRightInd w:val="0"/>
              <w:snapToGrid w:val="0"/>
              <w:spacing w:line="560" w:lineRule="exact"/>
              <w:jc w:val="center"/>
              <w:rPr>
                <w:color w:val="auto"/>
                <w:szCs w:val="21"/>
                <w:highlight w:val="none"/>
              </w:rPr>
            </w:pPr>
          </w:p>
        </w:tc>
        <w:tc>
          <w:tcPr>
            <w:tcW w:w="814" w:type="dxa"/>
            <w:noWrap w:val="0"/>
            <w:vAlign w:val="center"/>
          </w:tcPr>
          <w:p w14:paraId="226925F9">
            <w:pPr>
              <w:adjustRightInd w:val="0"/>
              <w:snapToGrid w:val="0"/>
              <w:spacing w:line="560" w:lineRule="exact"/>
              <w:jc w:val="center"/>
              <w:rPr>
                <w:color w:val="auto"/>
                <w:szCs w:val="21"/>
                <w:highlight w:val="none"/>
              </w:rPr>
            </w:pPr>
          </w:p>
        </w:tc>
        <w:tc>
          <w:tcPr>
            <w:tcW w:w="811" w:type="dxa"/>
            <w:noWrap w:val="0"/>
            <w:vAlign w:val="center"/>
          </w:tcPr>
          <w:p w14:paraId="5E203C2A">
            <w:pPr>
              <w:adjustRightInd w:val="0"/>
              <w:snapToGrid w:val="0"/>
              <w:spacing w:line="560" w:lineRule="exact"/>
              <w:jc w:val="center"/>
              <w:rPr>
                <w:color w:val="auto"/>
                <w:szCs w:val="21"/>
                <w:highlight w:val="none"/>
              </w:rPr>
            </w:pPr>
          </w:p>
        </w:tc>
        <w:tc>
          <w:tcPr>
            <w:tcW w:w="2848" w:type="dxa"/>
            <w:noWrap w:val="0"/>
            <w:vAlign w:val="center"/>
          </w:tcPr>
          <w:p w14:paraId="735C6D9E">
            <w:pPr>
              <w:adjustRightInd w:val="0"/>
              <w:snapToGrid w:val="0"/>
              <w:spacing w:line="560" w:lineRule="exact"/>
              <w:jc w:val="center"/>
              <w:rPr>
                <w:color w:val="auto"/>
                <w:szCs w:val="21"/>
                <w:highlight w:val="none"/>
              </w:rPr>
            </w:pPr>
          </w:p>
        </w:tc>
        <w:tc>
          <w:tcPr>
            <w:tcW w:w="759" w:type="dxa"/>
            <w:noWrap w:val="0"/>
            <w:vAlign w:val="center"/>
          </w:tcPr>
          <w:p w14:paraId="1E3B7C17">
            <w:pPr>
              <w:adjustRightInd w:val="0"/>
              <w:snapToGrid w:val="0"/>
              <w:spacing w:line="560" w:lineRule="exact"/>
              <w:jc w:val="center"/>
              <w:rPr>
                <w:color w:val="auto"/>
                <w:szCs w:val="21"/>
                <w:highlight w:val="none"/>
              </w:rPr>
            </w:pPr>
          </w:p>
        </w:tc>
      </w:tr>
      <w:tr w14:paraId="05C7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noWrap w:val="0"/>
            <w:vAlign w:val="top"/>
          </w:tcPr>
          <w:p w14:paraId="19999C12">
            <w:pPr>
              <w:adjustRightInd w:val="0"/>
              <w:snapToGrid w:val="0"/>
              <w:spacing w:line="560" w:lineRule="exact"/>
              <w:jc w:val="center"/>
              <w:rPr>
                <w:color w:val="auto"/>
                <w:szCs w:val="21"/>
                <w:highlight w:val="none"/>
              </w:rPr>
            </w:pPr>
            <w:r>
              <w:rPr>
                <w:rFonts w:hint="eastAsia"/>
                <w:color w:val="auto"/>
                <w:szCs w:val="21"/>
                <w:highlight w:val="none"/>
              </w:rPr>
              <w:t>技术负责人</w:t>
            </w:r>
          </w:p>
        </w:tc>
        <w:tc>
          <w:tcPr>
            <w:tcW w:w="944" w:type="dxa"/>
            <w:noWrap w:val="0"/>
            <w:vAlign w:val="top"/>
          </w:tcPr>
          <w:p w14:paraId="2DE6D0AF">
            <w:pPr>
              <w:adjustRightInd w:val="0"/>
              <w:snapToGrid w:val="0"/>
              <w:spacing w:line="560" w:lineRule="exact"/>
              <w:jc w:val="center"/>
              <w:rPr>
                <w:color w:val="auto"/>
                <w:szCs w:val="21"/>
                <w:highlight w:val="none"/>
              </w:rPr>
            </w:pPr>
          </w:p>
        </w:tc>
        <w:tc>
          <w:tcPr>
            <w:tcW w:w="812" w:type="dxa"/>
            <w:noWrap w:val="0"/>
            <w:vAlign w:val="top"/>
          </w:tcPr>
          <w:p w14:paraId="6C681BBF">
            <w:pPr>
              <w:adjustRightInd w:val="0"/>
              <w:snapToGrid w:val="0"/>
              <w:spacing w:line="560" w:lineRule="exact"/>
              <w:jc w:val="center"/>
              <w:rPr>
                <w:color w:val="auto"/>
                <w:szCs w:val="21"/>
                <w:highlight w:val="none"/>
              </w:rPr>
            </w:pPr>
          </w:p>
        </w:tc>
        <w:tc>
          <w:tcPr>
            <w:tcW w:w="1220" w:type="dxa"/>
            <w:noWrap w:val="0"/>
            <w:vAlign w:val="top"/>
          </w:tcPr>
          <w:p w14:paraId="735210A5">
            <w:pPr>
              <w:adjustRightInd w:val="0"/>
              <w:snapToGrid w:val="0"/>
              <w:spacing w:line="560" w:lineRule="exact"/>
              <w:jc w:val="center"/>
              <w:rPr>
                <w:color w:val="auto"/>
                <w:szCs w:val="21"/>
                <w:highlight w:val="none"/>
              </w:rPr>
            </w:pPr>
          </w:p>
        </w:tc>
        <w:tc>
          <w:tcPr>
            <w:tcW w:w="812" w:type="dxa"/>
            <w:noWrap w:val="0"/>
            <w:vAlign w:val="top"/>
          </w:tcPr>
          <w:p w14:paraId="141449BB">
            <w:pPr>
              <w:adjustRightInd w:val="0"/>
              <w:snapToGrid w:val="0"/>
              <w:spacing w:line="560" w:lineRule="exact"/>
              <w:jc w:val="center"/>
              <w:rPr>
                <w:color w:val="auto"/>
                <w:szCs w:val="21"/>
                <w:highlight w:val="none"/>
              </w:rPr>
            </w:pPr>
          </w:p>
        </w:tc>
        <w:tc>
          <w:tcPr>
            <w:tcW w:w="814" w:type="dxa"/>
            <w:noWrap w:val="0"/>
            <w:vAlign w:val="top"/>
          </w:tcPr>
          <w:p w14:paraId="7E896EC1">
            <w:pPr>
              <w:adjustRightInd w:val="0"/>
              <w:snapToGrid w:val="0"/>
              <w:spacing w:line="560" w:lineRule="exact"/>
              <w:jc w:val="center"/>
              <w:rPr>
                <w:color w:val="auto"/>
                <w:szCs w:val="21"/>
                <w:highlight w:val="none"/>
              </w:rPr>
            </w:pPr>
          </w:p>
        </w:tc>
        <w:tc>
          <w:tcPr>
            <w:tcW w:w="811" w:type="dxa"/>
            <w:noWrap w:val="0"/>
            <w:vAlign w:val="top"/>
          </w:tcPr>
          <w:p w14:paraId="10F3AEAE">
            <w:pPr>
              <w:adjustRightInd w:val="0"/>
              <w:snapToGrid w:val="0"/>
              <w:spacing w:line="560" w:lineRule="exact"/>
              <w:jc w:val="center"/>
              <w:rPr>
                <w:color w:val="auto"/>
                <w:szCs w:val="21"/>
                <w:highlight w:val="none"/>
              </w:rPr>
            </w:pPr>
          </w:p>
        </w:tc>
        <w:tc>
          <w:tcPr>
            <w:tcW w:w="2848" w:type="dxa"/>
            <w:noWrap w:val="0"/>
            <w:vAlign w:val="top"/>
          </w:tcPr>
          <w:p w14:paraId="1A162504">
            <w:pPr>
              <w:adjustRightInd w:val="0"/>
              <w:snapToGrid w:val="0"/>
              <w:spacing w:line="560" w:lineRule="exact"/>
              <w:jc w:val="center"/>
              <w:rPr>
                <w:color w:val="auto"/>
                <w:szCs w:val="21"/>
                <w:highlight w:val="none"/>
              </w:rPr>
            </w:pPr>
          </w:p>
        </w:tc>
        <w:tc>
          <w:tcPr>
            <w:tcW w:w="759" w:type="dxa"/>
            <w:noWrap w:val="0"/>
            <w:vAlign w:val="top"/>
          </w:tcPr>
          <w:p w14:paraId="7EFDB385">
            <w:pPr>
              <w:adjustRightInd w:val="0"/>
              <w:snapToGrid w:val="0"/>
              <w:spacing w:line="560" w:lineRule="exact"/>
              <w:jc w:val="center"/>
              <w:rPr>
                <w:color w:val="auto"/>
                <w:szCs w:val="21"/>
                <w:highlight w:val="none"/>
              </w:rPr>
            </w:pPr>
          </w:p>
        </w:tc>
      </w:tr>
      <w:tr w14:paraId="59B9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noWrap w:val="0"/>
            <w:vAlign w:val="top"/>
          </w:tcPr>
          <w:p w14:paraId="3EBB7724">
            <w:pPr>
              <w:adjustRightInd w:val="0"/>
              <w:snapToGrid w:val="0"/>
              <w:spacing w:line="560" w:lineRule="exact"/>
              <w:jc w:val="center"/>
              <w:rPr>
                <w:color w:val="auto"/>
                <w:szCs w:val="21"/>
                <w:highlight w:val="none"/>
              </w:rPr>
            </w:pPr>
          </w:p>
        </w:tc>
        <w:tc>
          <w:tcPr>
            <w:tcW w:w="944" w:type="dxa"/>
            <w:noWrap w:val="0"/>
            <w:vAlign w:val="top"/>
          </w:tcPr>
          <w:p w14:paraId="65C80877">
            <w:pPr>
              <w:adjustRightInd w:val="0"/>
              <w:snapToGrid w:val="0"/>
              <w:spacing w:line="560" w:lineRule="exact"/>
              <w:jc w:val="center"/>
              <w:rPr>
                <w:color w:val="auto"/>
                <w:szCs w:val="21"/>
                <w:highlight w:val="none"/>
              </w:rPr>
            </w:pPr>
          </w:p>
        </w:tc>
        <w:tc>
          <w:tcPr>
            <w:tcW w:w="812" w:type="dxa"/>
            <w:noWrap w:val="0"/>
            <w:vAlign w:val="top"/>
          </w:tcPr>
          <w:p w14:paraId="067A6948">
            <w:pPr>
              <w:adjustRightInd w:val="0"/>
              <w:snapToGrid w:val="0"/>
              <w:spacing w:line="560" w:lineRule="exact"/>
              <w:jc w:val="center"/>
              <w:rPr>
                <w:color w:val="auto"/>
                <w:szCs w:val="21"/>
                <w:highlight w:val="none"/>
              </w:rPr>
            </w:pPr>
          </w:p>
        </w:tc>
        <w:tc>
          <w:tcPr>
            <w:tcW w:w="1220" w:type="dxa"/>
            <w:noWrap w:val="0"/>
            <w:vAlign w:val="top"/>
          </w:tcPr>
          <w:p w14:paraId="604E4242">
            <w:pPr>
              <w:adjustRightInd w:val="0"/>
              <w:snapToGrid w:val="0"/>
              <w:spacing w:line="560" w:lineRule="exact"/>
              <w:jc w:val="center"/>
              <w:rPr>
                <w:color w:val="auto"/>
                <w:szCs w:val="21"/>
                <w:highlight w:val="none"/>
              </w:rPr>
            </w:pPr>
          </w:p>
        </w:tc>
        <w:tc>
          <w:tcPr>
            <w:tcW w:w="812" w:type="dxa"/>
            <w:noWrap w:val="0"/>
            <w:vAlign w:val="top"/>
          </w:tcPr>
          <w:p w14:paraId="48F29598">
            <w:pPr>
              <w:adjustRightInd w:val="0"/>
              <w:snapToGrid w:val="0"/>
              <w:spacing w:line="560" w:lineRule="exact"/>
              <w:jc w:val="center"/>
              <w:rPr>
                <w:color w:val="auto"/>
                <w:szCs w:val="21"/>
                <w:highlight w:val="none"/>
              </w:rPr>
            </w:pPr>
          </w:p>
        </w:tc>
        <w:tc>
          <w:tcPr>
            <w:tcW w:w="814" w:type="dxa"/>
            <w:noWrap w:val="0"/>
            <w:vAlign w:val="top"/>
          </w:tcPr>
          <w:p w14:paraId="6D0649A9">
            <w:pPr>
              <w:adjustRightInd w:val="0"/>
              <w:snapToGrid w:val="0"/>
              <w:spacing w:line="560" w:lineRule="exact"/>
              <w:jc w:val="center"/>
              <w:rPr>
                <w:color w:val="auto"/>
                <w:szCs w:val="21"/>
                <w:highlight w:val="none"/>
              </w:rPr>
            </w:pPr>
          </w:p>
        </w:tc>
        <w:tc>
          <w:tcPr>
            <w:tcW w:w="811" w:type="dxa"/>
            <w:noWrap w:val="0"/>
            <w:vAlign w:val="top"/>
          </w:tcPr>
          <w:p w14:paraId="73CDE657">
            <w:pPr>
              <w:adjustRightInd w:val="0"/>
              <w:snapToGrid w:val="0"/>
              <w:spacing w:line="560" w:lineRule="exact"/>
              <w:jc w:val="center"/>
              <w:rPr>
                <w:color w:val="auto"/>
                <w:szCs w:val="21"/>
                <w:highlight w:val="none"/>
              </w:rPr>
            </w:pPr>
          </w:p>
        </w:tc>
        <w:tc>
          <w:tcPr>
            <w:tcW w:w="2848" w:type="dxa"/>
            <w:noWrap w:val="0"/>
            <w:vAlign w:val="top"/>
          </w:tcPr>
          <w:p w14:paraId="3AB4A650">
            <w:pPr>
              <w:adjustRightInd w:val="0"/>
              <w:snapToGrid w:val="0"/>
              <w:spacing w:line="560" w:lineRule="exact"/>
              <w:jc w:val="center"/>
              <w:rPr>
                <w:color w:val="auto"/>
                <w:szCs w:val="21"/>
                <w:highlight w:val="none"/>
              </w:rPr>
            </w:pPr>
          </w:p>
        </w:tc>
        <w:tc>
          <w:tcPr>
            <w:tcW w:w="759" w:type="dxa"/>
            <w:noWrap w:val="0"/>
            <w:vAlign w:val="top"/>
          </w:tcPr>
          <w:p w14:paraId="0D665925">
            <w:pPr>
              <w:adjustRightInd w:val="0"/>
              <w:snapToGrid w:val="0"/>
              <w:spacing w:line="560" w:lineRule="exact"/>
              <w:jc w:val="center"/>
              <w:rPr>
                <w:color w:val="auto"/>
                <w:szCs w:val="21"/>
                <w:highlight w:val="none"/>
              </w:rPr>
            </w:pPr>
          </w:p>
        </w:tc>
      </w:tr>
      <w:tr w14:paraId="5DFB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noWrap w:val="0"/>
            <w:vAlign w:val="top"/>
          </w:tcPr>
          <w:p w14:paraId="7894CB33">
            <w:pPr>
              <w:adjustRightInd w:val="0"/>
              <w:snapToGrid w:val="0"/>
              <w:spacing w:line="560" w:lineRule="exact"/>
              <w:jc w:val="center"/>
              <w:rPr>
                <w:color w:val="auto"/>
                <w:szCs w:val="21"/>
                <w:highlight w:val="none"/>
              </w:rPr>
            </w:pPr>
          </w:p>
        </w:tc>
        <w:tc>
          <w:tcPr>
            <w:tcW w:w="944" w:type="dxa"/>
            <w:noWrap w:val="0"/>
            <w:vAlign w:val="top"/>
          </w:tcPr>
          <w:p w14:paraId="34C83B54">
            <w:pPr>
              <w:adjustRightInd w:val="0"/>
              <w:snapToGrid w:val="0"/>
              <w:spacing w:line="560" w:lineRule="exact"/>
              <w:jc w:val="center"/>
              <w:rPr>
                <w:color w:val="auto"/>
                <w:szCs w:val="21"/>
                <w:highlight w:val="none"/>
              </w:rPr>
            </w:pPr>
          </w:p>
        </w:tc>
        <w:tc>
          <w:tcPr>
            <w:tcW w:w="812" w:type="dxa"/>
            <w:noWrap w:val="0"/>
            <w:vAlign w:val="top"/>
          </w:tcPr>
          <w:p w14:paraId="04A1C3F0">
            <w:pPr>
              <w:adjustRightInd w:val="0"/>
              <w:snapToGrid w:val="0"/>
              <w:spacing w:line="560" w:lineRule="exact"/>
              <w:jc w:val="center"/>
              <w:rPr>
                <w:color w:val="auto"/>
                <w:szCs w:val="21"/>
                <w:highlight w:val="none"/>
              </w:rPr>
            </w:pPr>
          </w:p>
        </w:tc>
        <w:tc>
          <w:tcPr>
            <w:tcW w:w="1220" w:type="dxa"/>
            <w:noWrap w:val="0"/>
            <w:vAlign w:val="top"/>
          </w:tcPr>
          <w:p w14:paraId="5AB61040">
            <w:pPr>
              <w:adjustRightInd w:val="0"/>
              <w:snapToGrid w:val="0"/>
              <w:spacing w:line="560" w:lineRule="exact"/>
              <w:jc w:val="center"/>
              <w:rPr>
                <w:color w:val="auto"/>
                <w:szCs w:val="21"/>
                <w:highlight w:val="none"/>
              </w:rPr>
            </w:pPr>
          </w:p>
        </w:tc>
        <w:tc>
          <w:tcPr>
            <w:tcW w:w="812" w:type="dxa"/>
            <w:noWrap w:val="0"/>
            <w:vAlign w:val="top"/>
          </w:tcPr>
          <w:p w14:paraId="46473CDD">
            <w:pPr>
              <w:adjustRightInd w:val="0"/>
              <w:snapToGrid w:val="0"/>
              <w:spacing w:line="560" w:lineRule="exact"/>
              <w:jc w:val="center"/>
              <w:rPr>
                <w:color w:val="auto"/>
                <w:szCs w:val="21"/>
                <w:highlight w:val="none"/>
              </w:rPr>
            </w:pPr>
          </w:p>
        </w:tc>
        <w:tc>
          <w:tcPr>
            <w:tcW w:w="814" w:type="dxa"/>
            <w:noWrap w:val="0"/>
            <w:vAlign w:val="top"/>
          </w:tcPr>
          <w:p w14:paraId="52CB2033">
            <w:pPr>
              <w:adjustRightInd w:val="0"/>
              <w:snapToGrid w:val="0"/>
              <w:spacing w:line="560" w:lineRule="exact"/>
              <w:jc w:val="center"/>
              <w:rPr>
                <w:color w:val="auto"/>
                <w:szCs w:val="21"/>
                <w:highlight w:val="none"/>
              </w:rPr>
            </w:pPr>
          </w:p>
        </w:tc>
        <w:tc>
          <w:tcPr>
            <w:tcW w:w="811" w:type="dxa"/>
            <w:noWrap w:val="0"/>
            <w:vAlign w:val="top"/>
          </w:tcPr>
          <w:p w14:paraId="1159EFB2">
            <w:pPr>
              <w:adjustRightInd w:val="0"/>
              <w:snapToGrid w:val="0"/>
              <w:spacing w:line="560" w:lineRule="exact"/>
              <w:jc w:val="center"/>
              <w:rPr>
                <w:color w:val="auto"/>
                <w:szCs w:val="21"/>
                <w:highlight w:val="none"/>
              </w:rPr>
            </w:pPr>
          </w:p>
        </w:tc>
        <w:tc>
          <w:tcPr>
            <w:tcW w:w="2848" w:type="dxa"/>
            <w:noWrap w:val="0"/>
            <w:vAlign w:val="top"/>
          </w:tcPr>
          <w:p w14:paraId="693FA8B7">
            <w:pPr>
              <w:adjustRightInd w:val="0"/>
              <w:snapToGrid w:val="0"/>
              <w:spacing w:line="560" w:lineRule="exact"/>
              <w:jc w:val="center"/>
              <w:rPr>
                <w:color w:val="auto"/>
                <w:szCs w:val="21"/>
                <w:highlight w:val="none"/>
              </w:rPr>
            </w:pPr>
          </w:p>
        </w:tc>
        <w:tc>
          <w:tcPr>
            <w:tcW w:w="759" w:type="dxa"/>
            <w:noWrap w:val="0"/>
            <w:vAlign w:val="top"/>
          </w:tcPr>
          <w:p w14:paraId="05196B92">
            <w:pPr>
              <w:adjustRightInd w:val="0"/>
              <w:snapToGrid w:val="0"/>
              <w:spacing w:line="560" w:lineRule="exact"/>
              <w:jc w:val="center"/>
              <w:rPr>
                <w:color w:val="auto"/>
                <w:szCs w:val="21"/>
                <w:highlight w:val="none"/>
              </w:rPr>
            </w:pPr>
          </w:p>
        </w:tc>
      </w:tr>
      <w:tr w14:paraId="4CA7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noWrap w:val="0"/>
            <w:vAlign w:val="top"/>
          </w:tcPr>
          <w:p w14:paraId="2B43AB7E">
            <w:pPr>
              <w:adjustRightInd w:val="0"/>
              <w:snapToGrid w:val="0"/>
              <w:spacing w:line="560" w:lineRule="exact"/>
              <w:jc w:val="center"/>
              <w:rPr>
                <w:color w:val="auto"/>
                <w:szCs w:val="21"/>
                <w:highlight w:val="none"/>
              </w:rPr>
            </w:pPr>
          </w:p>
        </w:tc>
        <w:tc>
          <w:tcPr>
            <w:tcW w:w="944" w:type="dxa"/>
            <w:noWrap w:val="0"/>
            <w:vAlign w:val="top"/>
          </w:tcPr>
          <w:p w14:paraId="7352D849">
            <w:pPr>
              <w:adjustRightInd w:val="0"/>
              <w:snapToGrid w:val="0"/>
              <w:spacing w:line="560" w:lineRule="exact"/>
              <w:jc w:val="center"/>
              <w:rPr>
                <w:color w:val="auto"/>
                <w:szCs w:val="21"/>
                <w:highlight w:val="none"/>
              </w:rPr>
            </w:pPr>
          </w:p>
        </w:tc>
        <w:tc>
          <w:tcPr>
            <w:tcW w:w="812" w:type="dxa"/>
            <w:noWrap w:val="0"/>
            <w:vAlign w:val="top"/>
          </w:tcPr>
          <w:p w14:paraId="3F1627CB">
            <w:pPr>
              <w:adjustRightInd w:val="0"/>
              <w:snapToGrid w:val="0"/>
              <w:spacing w:line="560" w:lineRule="exact"/>
              <w:jc w:val="center"/>
              <w:rPr>
                <w:color w:val="auto"/>
                <w:szCs w:val="21"/>
                <w:highlight w:val="none"/>
              </w:rPr>
            </w:pPr>
          </w:p>
        </w:tc>
        <w:tc>
          <w:tcPr>
            <w:tcW w:w="1220" w:type="dxa"/>
            <w:noWrap w:val="0"/>
            <w:vAlign w:val="top"/>
          </w:tcPr>
          <w:p w14:paraId="09815894">
            <w:pPr>
              <w:adjustRightInd w:val="0"/>
              <w:snapToGrid w:val="0"/>
              <w:spacing w:line="560" w:lineRule="exact"/>
              <w:jc w:val="center"/>
              <w:rPr>
                <w:color w:val="auto"/>
                <w:szCs w:val="21"/>
                <w:highlight w:val="none"/>
              </w:rPr>
            </w:pPr>
          </w:p>
        </w:tc>
        <w:tc>
          <w:tcPr>
            <w:tcW w:w="812" w:type="dxa"/>
            <w:noWrap w:val="0"/>
            <w:vAlign w:val="top"/>
          </w:tcPr>
          <w:p w14:paraId="19C57287">
            <w:pPr>
              <w:adjustRightInd w:val="0"/>
              <w:snapToGrid w:val="0"/>
              <w:spacing w:line="560" w:lineRule="exact"/>
              <w:jc w:val="center"/>
              <w:rPr>
                <w:color w:val="auto"/>
                <w:szCs w:val="21"/>
                <w:highlight w:val="none"/>
              </w:rPr>
            </w:pPr>
          </w:p>
        </w:tc>
        <w:tc>
          <w:tcPr>
            <w:tcW w:w="814" w:type="dxa"/>
            <w:noWrap w:val="0"/>
            <w:vAlign w:val="top"/>
          </w:tcPr>
          <w:p w14:paraId="79632633">
            <w:pPr>
              <w:adjustRightInd w:val="0"/>
              <w:snapToGrid w:val="0"/>
              <w:spacing w:line="560" w:lineRule="exact"/>
              <w:jc w:val="center"/>
              <w:rPr>
                <w:color w:val="auto"/>
                <w:szCs w:val="21"/>
                <w:highlight w:val="none"/>
              </w:rPr>
            </w:pPr>
          </w:p>
        </w:tc>
        <w:tc>
          <w:tcPr>
            <w:tcW w:w="811" w:type="dxa"/>
            <w:noWrap w:val="0"/>
            <w:vAlign w:val="top"/>
          </w:tcPr>
          <w:p w14:paraId="03626EBA">
            <w:pPr>
              <w:adjustRightInd w:val="0"/>
              <w:snapToGrid w:val="0"/>
              <w:spacing w:line="560" w:lineRule="exact"/>
              <w:jc w:val="center"/>
              <w:rPr>
                <w:color w:val="auto"/>
                <w:szCs w:val="21"/>
                <w:highlight w:val="none"/>
              </w:rPr>
            </w:pPr>
          </w:p>
        </w:tc>
        <w:tc>
          <w:tcPr>
            <w:tcW w:w="2848" w:type="dxa"/>
            <w:noWrap w:val="0"/>
            <w:vAlign w:val="top"/>
          </w:tcPr>
          <w:p w14:paraId="7244BBD6">
            <w:pPr>
              <w:adjustRightInd w:val="0"/>
              <w:snapToGrid w:val="0"/>
              <w:spacing w:line="560" w:lineRule="exact"/>
              <w:jc w:val="center"/>
              <w:rPr>
                <w:color w:val="auto"/>
                <w:szCs w:val="21"/>
                <w:highlight w:val="none"/>
              </w:rPr>
            </w:pPr>
          </w:p>
        </w:tc>
        <w:tc>
          <w:tcPr>
            <w:tcW w:w="759" w:type="dxa"/>
            <w:noWrap w:val="0"/>
            <w:vAlign w:val="top"/>
          </w:tcPr>
          <w:p w14:paraId="049048FD">
            <w:pPr>
              <w:adjustRightInd w:val="0"/>
              <w:snapToGrid w:val="0"/>
              <w:spacing w:line="560" w:lineRule="exact"/>
              <w:jc w:val="center"/>
              <w:rPr>
                <w:color w:val="auto"/>
                <w:szCs w:val="21"/>
                <w:highlight w:val="none"/>
              </w:rPr>
            </w:pPr>
          </w:p>
        </w:tc>
      </w:tr>
      <w:tr w14:paraId="22F1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tcBorders>
              <w:top w:val="single" w:color="auto" w:sz="4" w:space="0"/>
              <w:left w:val="single" w:color="auto" w:sz="4" w:space="0"/>
              <w:bottom w:val="single" w:color="auto" w:sz="4" w:space="0"/>
              <w:right w:val="single" w:color="auto" w:sz="4" w:space="0"/>
            </w:tcBorders>
            <w:noWrap w:val="0"/>
            <w:vAlign w:val="top"/>
          </w:tcPr>
          <w:p w14:paraId="79405217">
            <w:pPr>
              <w:adjustRightInd w:val="0"/>
              <w:snapToGrid w:val="0"/>
              <w:spacing w:line="560" w:lineRule="exact"/>
              <w:jc w:val="center"/>
              <w:rPr>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top"/>
          </w:tcPr>
          <w:p w14:paraId="275A9C36">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2C212CA5">
            <w:pPr>
              <w:adjustRightInd w:val="0"/>
              <w:snapToGrid w:val="0"/>
              <w:spacing w:line="560" w:lineRule="exact"/>
              <w:jc w:val="center"/>
              <w:rPr>
                <w:color w:val="auto"/>
                <w:szCs w:val="21"/>
                <w:highlight w:val="no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0FCB0969">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5566E9DC">
            <w:pPr>
              <w:adjustRightInd w:val="0"/>
              <w:snapToGrid w:val="0"/>
              <w:spacing w:line="560" w:lineRule="exact"/>
              <w:jc w:val="center"/>
              <w:rPr>
                <w:color w:val="auto"/>
                <w:szCs w:val="21"/>
                <w:highlight w:val="none"/>
              </w:rPr>
            </w:pPr>
          </w:p>
        </w:tc>
        <w:tc>
          <w:tcPr>
            <w:tcW w:w="814" w:type="dxa"/>
            <w:tcBorders>
              <w:top w:val="single" w:color="auto" w:sz="4" w:space="0"/>
              <w:left w:val="single" w:color="auto" w:sz="4" w:space="0"/>
              <w:bottom w:val="single" w:color="auto" w:sz="4" w:space="0"/>
              <w:right w:val="single" w:color="auto" w:sz="4" w:space="0"/>
            </w:tcBorders>
            <w:noWrap w:val="0"/>
            <w:vAlign w:val="top"/>
          </w:tcPr>
          <w:p w14:paraId="03C3B1BC">
            <w:pPr>
              <w:adjustRightInd w:val="0"/>
              <w:snapToGrid w:val="0"/>
              <w:spacing w:line="560" w:lineRule="exact"/>
              <w:jc w:val="center"/>
              <w:rPr>
                <w:color w:val="auto"/>
                <w:szCs w:val="21"/>
                <w:highlight w:val="none"/>
              </w:rPr>
            </w:pPr>
          </w:p>
        </w:tc>
        <w:tc>
          <w:tcPr>
            <w:tcW w:w="811" w:type="dxa"/>
            <w:tcBorders>
              <w:top w:val="single" w:color="auto" w:sz="4" w:space="0"/>
              <w:left w:val="single" w:color="auto" w:sz="4" w:space="0"/>
              <w:bottom w:val="single" w:color="auto" w:sz="4" w:space="0"/>
              <w:right w:val="single" w:color="auto" w:sz="4" w:space="0"/>
            </w:tcBorders>
            <w:noWrap w:val="0"/>
            <w:vAlign w:val="top"/>
          </w:tcPr>
          <w:p w14:paraId="34081EA9">
            <w:pPr>
              <w:adjustRightInd w:val="0"/>
              <w:snapToGrid w:val="0"/>
              <w:spacing w:line="560" w:lineRule="exact"/>
              <w:jc w:val="center"/>
              <w:rPr>
                <w:color w:val="auto"/>
                <w:szCs w:val="21"/>
                <w:highlight w:val="none"/>
              </w:rPr>
            </w:pPr>
          </w:p>
        </w:tc>
        <w:tc>
          <w:tcPr>
            <w:tcW w:w="2848" w:type="dxa"/>
            <w:tcBorders>
              <w:top w:val="single" w:color="auto" w:sz="4" w:space="0"/>
              <w:left w:val="single" w:color="auto" w:sz="4" w:space="0"/>
              <w:bottom w:val="single" w:color="auto" w:sz="4" w:space="0"/>
              <w:right w:val="single" w:color="auto" w:sz="4" w:space="0"/>
            </w:tcBorders>
            <w:noWrap w:val="0"/>
            <w:vAlign w:val="top"/>
          </w:tcPr>
          <w:p w14:paraId="5EF74ADF">
            <w:pPr>
              <w:adjustRightInd w:val="0"/>
              <w:snapToGrid w:val="0"/>
              <w:spacing w:line="560" w:lineRule="exact"/>
              <w:jc w:val="center"/>
              <w:rPr>
                <w:color w:val="auto"/>
                <w:szCs w:val="21"/>
                <w:highlight w:val="none"/>
              </w:rPr>
            </w:pPr>
          </w:p>
        </w:tc>
        <w:tc>
          <w:tcPr>
            <w:tcW w:w="759" w:type="dxa"/>
            <w:tcBorders>
              <w:top w:val="single" w:color="auto" w:sz="4" w:space="0"/>
              <w:left w:val="single" w:color="auto" w:sz="4" w:space="0"/>
              <w:bottom w:val="single" w:color="auto" w:sz="4" w:space="0"/>
              <w:right w:val="single" w:color="auto" w:sz="4" w:space="0"/>
            </w:tcBorders>
            <w:noWrap w:val="0"/>
            <w:vAlign w:val="top"/>
          </w:tcPr>
          <w:p w14:paraId="2C6DE16B">
            <w:pPr>
              <w:adjustRightInd w:val="0"/>
              <w:snapToGrid w:val="0"/>
              <w:spacing w:line="560" w:lineRule="exact"/>
              <w:jc w:val="center"/>
              <w:rPr>
                <w:color w:val="auto"/>
                <w:szCs w:val="21"/>
                <w:highlight w:val="none"/>
              </w:rPr>
            </w:pPr>
          </w:p>
        </w:tc>
      </w:tr>
      <w:tr w14:paraId="7E9D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16" w:type="dxa"/>
            <w:tcBorders>
              <w:top w:val="single" w:color="auto" w:sz="4" w:space="0"/>
              <w:left w:val="single" w:color="auto" w:sz="4" w:space="0"/>
              <w:bottom w:val="single" w:color="auto" w:sz="4" w:space="0"/>
              <w:right w:val="single" w:color="auto" w:sz="4" w:space="0"/>
            </w:tcBorders>
            <w:noWrap w:val="0"/>
            <w:vAlign w:val="top"/>
          </w:tcPr>
          <w:p w14:paraId="6298C246">
            <w:pPr>
              <w:adjustRightInd w:val="0"/>
              <w:snapToGrid w:val="0"/>
              <w:spacing w:line="560" w:lineRule="exact"/>
              <w:jc w:val="center"/>
              <w:rPr>
                <w:color w:val="auto"/>
                <w:szCs w:val="21"/>
                <w:highlight w:val="none"/>
              </w:rPr>
            </w:pPr>
          </w:p>
        </w:tc>
        <w:tc>
          <w:tcPr>
            <w:tcW w:w="944" w:type="dxa"/>
            <w:tcBorders>
              <w:top w:val="single" w:color="auto" w:sz="4" w:space="0"/>
              <w:left w:val="single" w:color="auto" w:sz="4" w:space="0"/>
              <w:bottom w:val="single" w:color="auto" w:sz="4" w:space="0"/>
              <w:right w:val="single" w:color="auto" w:sz="4" w:space="0"/>
            </w:tcBorders>
            <w:noWrap w:val="0"/>
            <w:vAlign w:val="top"/>
          </w:tcPr>
          <w:p w14:paraId="595E9E1C">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0AF27FF7">
            <w:pPr>
              <w:adjustRightInd w:val="0"/>
              <w:snapToGrid w:val="0"/>
              <w:spacing w:line="560" w:lineRule="exact"/>
              <w:jc w:val="center"/>
              <w:rPr>
                <w:color w:val="auto"/>
                <w:szCs w:val="21"/>
                <w:highlight w:val="no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5988602B">
            <w:pPr>
              <w:adjustRightInd w:val="0"/>
              <w:snapToGrid w:val="0"/>
              <w:spacing w:line="560" w:lineRule="exact"/>
              <w:jc w:val="center"/>
              <w:rPr>
                <w:color w:val="auto"/>
                <w:szCs w:val="21"/>
                <w:highlight w:val="none"/>
              </w:rPr>
            </w:pPr>
          </w:p>
        </w:tc>
        <w:tc>
          <w:tcPr>
            <w:tcW w:w="812" w:type="dxa"/>
            <w:tcBorders>
              <w:top w:val="single" w:color="auto" w:sz="4" w:space="0"/>
              <w:left w:val="single" w:color="auto" w:sz="4" w:space="0"/>
              <w:bottom w:val="single" w:color="auto" w:sz="4" w:space="0"/>
              <w:right w:val="single" w:color="auto" w:sz="4" w:space="0"/>
            </w:tcBorders>
            <w:noWrap w:val="0"/>
            <w:vAlign w:val="top"/>
          </w:tcPr>
          <w:p w14:paraId="71AD6640">
            <w:pPr>
              <w:adjustRightInd w:val="0"/>
              <w:snapToGrid w:val="0"/>
              <w:spacing w:line="560" w:lineRule="exact"/>
              <w:jc w:val="center"/>
              <w:rPr>
                <w:color w:val="auto"/>
                <w:szCs w:val="21"/>
                <w:highlight w:val="none"/>
              </w:rPr>
            </w:pPr>
          </w:p>
        </w:tc>
        <w:tc>
          <w:tcPr>
            <w:tcW w:w="814" w:type="dxa"/>
            <w:tcBorders>
              <w:top w:val="single" w:color="auto" w:sz="4" w:space="0"/>
              <w:left w:val="single" w:color="auto" w:sz="4" w:space="0"/>
              <w:bottom w:val="single" w:color="auto" w:sz="4" w:space="0"/>
              <w:right w:val="single" w:color="auto" w:sz="4" w:space="0"/>
            </w:tcBorders>
            <w:noWrap w:val="0"/>
            <w:vAlign w:val="top"/>
          </w:tcPr>
          <w:p w14:paraId="5350274B">
            <w:pPr>
              <w:adjustRightInd w:val="0"/>
              <w:snapToGrid w:val="0"/>
              <w:spacing w:line="560" w:lineRule="exact"/>
              <w:jc w:val="center"/>
              <w:rPr>
                <w:color w:val="auto"/>
                <w:szCs w:val="21"/>
                <w:highlight w:val="none"/>
              </w:rPr>
            </w:pPr>
          </w:p>
        </w:tc>
        <w:tc>
          <w:tcPr>
            <w:tcW w:w="811" w:type="dxa"/>
            <w:tcBorders>
              <w:top w:val="single" w:color="auto" w:sz="4" w:space="0"/>
              <w:left w:val="single" w:color="auto" w:sz="4" w:space="0"/>
              <w:bottom w:val="single" w:color="auto" w:sz="4" w:space="0"/>
              <w:right w:val="single" w:color="auto" w:sz="4" w:space="0"/>
            </w:tcBorders>
            <w:noWrap w:val="0"/>
            <w:vAlign w:val="top"/>
          </w:tcPr>
          <w:p w14:paraId="164E5E54">
            <w:pPr>
              <w:adjustRightInd w:val="0"/>
              <w:snapToGrid w:val="0"/>
              <w:spacing w:line="560" w:lineRule="exact"/>
              <w:jc w:val="center"/>
              <w:rPr>
                <w:color w:val="auto"/>
                <w:szCs w:val="21"/>
                <w:highlight w:val="none"/>
              </w:rPr>
            </w:pPr>
          </w:p>
        </w:tc>
        <w:tc>
          <w:tcPr>
            <w:tcW w:w="2848" w:type="dxa"/>
            <w:tcBorders>
              <w:top w:val="single" w:color="auto" w:sz="4" w:space="0"/>
              <w:left w:val="single" w:color="auto" w:sz="4" w:space="0"/>
              <w:bottom w:val="single" w:color="auto" w:sz="4" w:space="0"/>
              <w:right w:val="single" w:color="auto" w:sz="4" w:space="0"/>
            </w:tcBorders>
            <w:noWrap w:val="0"/>
            <w:vAlign w:val="top"/>
          </w:tcPr>
          <w:p w14:paraId="5713AB2A">
            <w:pPr>
              <w:adjustRightInd w:val="0"/>
              <w:snapToGrid w:val="0"/>
              <w:spacing w:line="560" w:lineRule="exact"/>
              <w:jc w:val="center"/>
              <w:rPr>
                <w:color w:val="auto"/>
                <w:szCs w:val="21"/>
                <w:highlight w:val="none"/>
              </w:rPr>
            </w:pPr>
          </w:p>
        </w:tc>
        <w:tc>
          <w:tcPr>
            <w:tcW w:w="759" w:type="dxa"/>
            <w:tcBorders>
              <w:top w:val="single" w:color="auto" w:sz="4" w:space="0"/>
              <w:left w:val="single" w:color="auto" w:sz="4" w:space="0"/>
              <w:bottom w:val="single" w:color="auto" w:sz="4" w:space="0"/>
              <w:right w:val="single" w:color="auto" w:sz="4" w:space="0"/>
            </w:tcBorders>
            <w:noWrap w:val="0"/>
            <w:vAlign w:val="top"/>
          </w:tcPr>
          <w:p w14:paraId="72BFB1D4">
            <w:pPr>
              <w:adjustRightInd w:val="0"/>
              <w:snapToGrid w:val="0"/>
              <w:spacing w:line="560" w:lineRule="exact"/>
              <w:jc w:val="center"/>
              <w:rPr>
                <w:color w:val="auto"/>
                <w:szCs w:val="21"/>
                <w:highlight w:val="none"/>
              </w:rPr>
            </w:pPr>
          </w:p>
        </w:tc>
      </w:tr>
    </w:tbl>
    <w:p w14:paraId="7D127CC7">
      <w:pPr>
        <w:adjustRightInd w:val="0"/>
        <w:snapToGrid w:val="0"/>
        <w:spacing w:line="560" w:lineRule="exact"/>
        <w:rPr>
          <w:rFonts w:hint="eastAsia"/>
          <w:color w:val="auto"/>
          <w:highlight w:val="none"/>
        </w:rPr>
      </w:pPr>
      <w:r>
        <w:rPr>
          <w:rFonts w:hint="eastAsia"/>
          <w:b/>
          <w:color w:val="auto"/>
          <w:szCs w:val="21"/>
          <w:highlight w:val="none"/>
        </w:rPr>
        <w:t>备注：</w:t>
      </w:r>
      <w:r>
        <w:rPr>
          <w:rFonts w:hint="eastAsia"/>
          <w:color w:val="auto"/>
          <w:highlight w:val="none"/>
        </w:rPr>
        <w:t>根据安徽省住房和城乡建设厅《关于调整招标投标活动中有关住房城乡建设领域现场专业人员证书要求的通知》（建市函〔2019〕1112 号）要求，不再将住房城乡建设领域现场专业技术人员（包括施工员、质量员、安全员、资料员、材料员、劳务员、机械员、标准员）及取样员持证情况列入招标投标文件，招标人或招标代理机构需按照住房和城乡建设部及安徽省相关标准规定 明确投标人需要配备其他主要管理人员和技术人员数量的最低要求。中标人和招标人在签订合同时应按照不低于上述人员配置的要求填写承包人主要施工管理人员表，并作为合同的附件之一。</w:t>
      </w:r>
    </w:p>
    <w:p w14:paraId="66B57550">
      <w:pPr>
        <w:spacing w:line="560" w:lineRule="exact"/>
        <w:rPr>
          <w:rFonts w:hint="eastAsia"/>
          <w:color w:val="auto"/>
          <w:highlight w:val="none"/>
        </w:rPr>
      </w:pPr>
    </w:p>
    <w:p w14:paraId="38EF3524">
      <w:pPr>
        <w:pStyle w:val="5"/>
        <w:jc w:val="center"/>
        <w:rPr>
          <w:color w:val="auto"/>
          <w:sz w:val="23"/>
          <w:szCs w:val="23"/>
          <w:highlight w:val="none"/>
        </w:rPr>
      </w:pPr>
      <w:r>
        <w:rPr>
          <w:rFonts w:hint="eastAsia"/>
          <w:color w:val="auto"/>
          <w:highlight w:val="none"/>
        </w:rPr>
        <w:t>附表2：拟任项目经理（建造师）</w:t>
      </w:r>
      <w:r>
        <w:rPr>
          <w:color w:val="auto"/>
          <w:highlight w:val="none"/>
        </w:rPr>
        <w:t>简历表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394"/>
        <w:gridCol w:w="791"/>
        <w:gridCol w:w="1018"/>
        <w:gridCol w:w="1170"/>
        <w:gridCol w:w="777"/>
        <w:gridCol w:w="1385"/>
        <w:gridCol w:w="177"/>
        <w:gridCol w:w="2345"/>
      </w:tblGrid>
      <w:tr w14:paraId="5187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303" w:type="dxa"/>
            <w:noWrap w:val="0"/>
            <w:vAlign w:val="center"/>
          </w:tcPr>
          <w:p w14:paraId="3FEAF82E">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姓  名</w:t>
            </w:r>
          </w:p>
        </w:tc>
        <w:tc>
          <w:tcPr>
            <w:tcW w:w="1185" w:type="dxa"/>
            <w:gridSpan w:val="2"/>
            <w:noWrap w:val="0"/>
            <w:vAlign w:val="center"/>
          </w:tcPr>
          <w:p w14:paraId="531C7F9A">
            <w:pPr>
              <w:adjustRightInd w:val="0"/>
              <w:snapToGrid w:val="0"/>
              <w:spacing w:line="560" w:lineRule="exact"/>
              <w:jc w:val="center"/>
              <w:rPr>
                <w:rFonts w:ascii="宋体" w:hAnsi="宋体"/>
                <w:color w:val="auto"/>
                <w:szCs w:val="21"/>
                <w:highlight w:val="none"/>
              </w:rPr>
            </w:pPr>
          </w:p>
        </w:tc>
        <w:tc>
          <w:tcPr>
            <w:tcW w:w="1018" w:type="dxa"/>
            <w:noWrap w:val="0"/>
            <w:vAlign w:val="center"/>
          </w:tcPr>
          <w:p w14:paraId="0755C872">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年 龄</w:t>
            </w:r>
          </w:p>
        </w:tc>
        <w:tc>
          <w:tcPr>
            <w:tcW w:w="1170" w:type="dxa"/>
            <w:noWrap w:val="0"/>
            <w:vAlign w:val="center"/>
          </w:tcPr>
          <w:p w14:paraId="51D7890A">
            <w:pPr>
              <w:adjustRightInd w:val="0"/>
              <w:snapToGrid w:val="0"/>
              <w:spacing w:line="560" w:lineRule="exact"/>
              <w:jc w:val="center"/>
              <w:rPr>
                <w:rFonts w:ascii="宋体" w:hAnsi="宋体"/>
                <w:color w:val="auto"/>
                <w:szCs w:val="21"/>
                <w:highlight w:val="none"/>
              </w:rPr>
            </w:pPr>
          </w:p>
        </w:tc>
        <w:tc>
          <w:tcPr>
            <w:tcW w:w="2339" w:type="dxa"/>
            <w:gridSpan w:val="3"/>
            <w:noWrap w:val="0"/>
            <w:vAlign w:val="center"/>
          </w:tcPr>
          <w:p w14:paraId="568B47EB">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学历</w:t>
            </w:r>
          </w:p>
        </w:tc>
        <w:tc>
          <w:tcPr>
            <w:tcW w:w="2345" w:type="dxa"/>
            <w:noWrap w:val="0"/>
            <w:vAlign w:val="center"/>
          </w:tcPr>
          <w:p w14:paraId="5F8F8765">
            <w:pPr>
              <w:adjustRightInd w:val="0"/>
              <w:snapToGrid w:val="0"/>
              <w:spacing w:line="560" w:lineRule="exact"/>
              <w:rPr>
                <w:rFonts w:ascii="宋体" w:hAnsi="宋体"/>
                <w:color w:val="auto"/>
                <w:szCs w:val="21"/>
                <w:highlight w:val="none"/>
              </w:rPr>
            </w:pPr>
          </w:p>
        </w:tc>
      </w:tr>
      <w:tr w14:paraId="17A1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303" w:type="dxa"/>
            <w:noWrap w:val="0"/>
            <w:vAlign w:val="center"/>
          </w:tcPr>
          <w:p w14:paraId="3149940D">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称</w:t>
            </w:r>
          </w:p>
        </w:tc>
        <w:tc>
          <w:tcPr>
            <w:tcW w:w="1185" w:type="dxa"/>
            <w:gridSpan w:val="2"/>
            <w:noWrap w:val="0"/>
            <w:vAlign w:val="center"/>
          </w:tcPr>
          <w:p w14:paraId="46A177B9">
            <w:pPr>
              <w:adjustRightInd w:val="0"/>
              <w:snapToGrid w:val="0"/>
              <w:spacing w:line="560" w:lineRule="exact"/>
              <w:jc w:val="center"/>
              <w:rPr>
                <w:rFonts w:ascii="宋体" w:hAnsi="宋体"/>
                <w:color w:val="auto"/>
                <w:szCs w:val="21"/>
                <w:highlight w:val="none"/>
              </w:rPr>
            </w:pPr>
          </w:p>
        </w:tc>
        <w:tc>
          <w:tcPr>
            <w:tcW w:w="1018" w:type="dxa"/>
            <w:noWrap w:val="0"/>
            <w:vAlign w:val="center"/>
          </w:tcPr>
          <w:p w14:paraId="53ACB8DA">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务</w:t>
            </w:r>
          </w:p>
        </w:tc>
        <w:tc>
          <w:tcPr>
            <w:tcW w:w="1170" w:type="dxa"/>
            <w:noWrap w:val="0"/>
            <w:vAlign w:val="center"/>
          </w:tcPr>
          <w:p w14:paraId="08D48F31">
            <w:pPr>
              <w:adjustRightInd w:val="0"/>
              <w:snapToGrid w:val="0"/>
              <w:spacing w:line="560" w:lineRule="exact"/>
              <w:jc w:val="center"/>
              <w:rPr>
                <w:rFonts w:ascii="宋体" w:hAnsi="宋体"/>
                <w:color w:val="auto"/>
                <w:szCs w:val="21"/>
                <w:highlight w:val="none"/>
              </w:rPr>
            </w:pPr>
          </w:p>
        </w:tc>
        <w:tc>
          <w:tcPr>
            <w:tcW w:w="2339" w:type="dxa"/>
            <w:gridSpan w:val="3"/>
            <w:noWrap w:val="0"/>
            <w:vAlign w:val="center"/>
          </w:tcPr>
          <w:p w14:paraId="07D6806A">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拟在本合同任职</w:t>
            </w:r>
          </w:p>
        </w:tc>
        <w:tc>
          <w:tcPr>
            <w:tcW w:w="2345" w:type="dxa"/>
            <w:noWrap w:val="0"/>
            <w:vAlign w:val="center"/>
          </w:tcPr>
          <w:p w14:paraId="7FBE543D">
            <w:pPr>
              <w:adjustRightInd w:val="0"/>
              <w:snapToGrid w:val="0"/>
              <w:spacing w:line="560" w:lineRule="exact"/>
              <w:rPr>
                <w:rFonts w:ascii="宋体" w:hAnsi="宋体"/>
                <w:color w:val="auto"/>
                <w:szCs w:val="21"/>
                <w:highlight w:val="none"/>
              </w:rPr>
            </w:pPr>
          </w:p>
        </w:tc>
      </w:tr>
      <w:tr w14:paraId="677F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303" w:type="dxa"/>
            <w:noWrap w:val="0"/>
            <w:vAlign w:val="center"/>
          </w:tcPr>
          <w:p w14:paraId="5B6C4267">
            <w:pPr>
              <w:adjustRightInd w:val="0"/>
              <w:snapToGrid w:val="0"/>
              <w:spacing w:line="560" w:lineRule="exact"/>
              <w:rPr>
                <w:rFonts w:ascii="宋体" w:hAnsi="宋体"/>
                <w:color w:val="auto"/>
                <w:szCs w:val="21"/>
                <w:highlight w:val="none"/>
              </w:rPr>
            </w:pPr>
            <w:r>
              <w:rPr>
                <w:rFonts w:ascii="宋体" w:hAnsi="宋体"/>
                <w:color w:val="auto"/>
                <w:szCs w:val="21"/>
                <w:highlight w:val="none"/>
              </w:rPr>
              <w:t>毕业学校</w:t>
            </w:r>
          </w:p>
        </w:tc>
        <w:tc>
          <w:tcPr>
            <w:tcW w:w="8057" w:type="dxa"/>
            <w:gridSpan w:val="8"/>
            <w:noWrap w:val="0"/>
            <w:vAlign w:val="top"/>
          </w:tcPr>
          <w:p w14:paraId="32C4C513">
            <w:pPr>
              <w:adjustRightInd w:val="0"/>
              <w:snapToGrid w:val="0"/>
              <w:spacing w:line="560" w:lineRule="exact"/>
              <w:rPr>
                <w:rFonts w:ascii="宋体" w:hAnsi="宋体"/>
                <w:color w:val="auto"/>
                <w:szCs w:val="21"/>
                <w:highlight w:val="none"/>
              </w:rPr>
            </w:pPr>
            <w:r>
              <w:rPr>
                <w:rFonts w:ascii="宋体" w:hAnsi="宋体"/>
                <w:color w:val="auto"/>
                <w:szCs w:val="21"/>
                <w:highlight w:val="none"/>
              </w:rPr>
              <w:t xml:space="preserve">      年毕业于            学校        专业</w:t>
            </w:r>
          </w:p>
        </w:tc>
      </w:tr>
      <w:tr w14:paraId="1554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9360" w:type="dxa"/>
            <w:gridSpan w:val="9"/>
            <w:noWrap w:val="0"/>
            <w:vAlign w:val="center"/>
          </w:tcPr>
          <w:p w14:paraId="4CFAAC99">
            <w:pPr>
              <w:adjustRightInd w:val="0"/>
              <w:snapToGrid w:val="0"/>
              <w:spacing w:line="560" w:lineRule="exact"/>
              <w:rPr>
                <w:rFonts w:ascii="宋体" w:hAnsi="宋体"/>
                <w:color w:val="auto"/>
                <w:szCs w:val="21"/>
                <w:highlight w:val="none"/>
              </w:rPr>
            </w:pPr>
            <w:r>
              <w:rPr>
                <w:rFonts w:ascii="宋体" w:hAnsi="宋体"/>
                <w:color w:val="auto"/>
                <w:szCs w:val="21"/>
                <w:highlight w:val="none"/>
              </w:rPr>
              <w:t>主要工作经历</w:t>
            </w:r>
          </w:p>
        </w:tc>
      </w:tr>
      <w:tr w14:paraId="1C41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697" w:type="dxa"/>
            <w:gridSpan w:val="2"/>
            <w:noWrap w:val="0"/>
            <w:vAlign w:val="center"/>
          </w:tcPr>
          <w:p w14:paraId="268566D4">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时  间</w:t>
            </w:r>
          </w:p>
        </w:tc>
        <w:tc>
          <w:tcPr>
            <w:tcW w:w="3756" w:type="dxa"/>
            <w:gridSpan w:val="4"/>
            <w:noWrap w:val="0"/>
            <w:vAlign w:val="center"/>
          </w:tcPr>
          <w:p w14:paraId="1FEB4970">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参加过的类似项目</w:t>
            </w:r>
          </w:p>
        </w:tc>
        <w:tc>
          <w:tcPr>
            <w:tcW w:w="1385" w:type="dxa"/>
            <w:noWrap w:val="0"/>
            <w:vAlign w:val="center"/>
          </w:tcPr>
          <w:p w14:paraId="0B5EBB9E">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担任职务</w:t>
            </w:r>
          </w:p>
        </w:tc>
        <w:tc>
          <w:tcPr>
            <w:tcW w:w="2522" w:type="dxa"/>
            <w:gridSpan w:val="2"/>
            <w:noWrap w:val="0"/>
            <w:vAlign w:val="center"/>
          </w:tcPr>
          <w:p w14:paraId="4CA15942">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发包人及联系电话</w:t>
            </w:r>
          </w:p>
        </w:tc>
      </w:tr>
      <w:tr w14:paraId="4040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7C929608">
            <w:pPr>
              <w:adjustRightInd w:val="0"/>
              <w:snapToGrid w:val="0"/>
              <w:spacing w:line="560" w:lineRule="exact"/>
              <w:rPr>
                <w:rFonts w:eastAsia="黑体"/>
                <w:color w:val="auto"/>
                <w:szCs w:val="21"/>
                <w:highlight w:val="none"/>
              </w:rPr>
            </w:pPr>
          </w:p>
        </w:tc>
        <w:tc>
          <w:tcPr>
            <w:tcW w:w="3756" w:type="dxa"/>
            <w:gridSpan w:val="4"/>
            <w:noWrap w:val="0"/>
            <w:vAlign w:val="top"/>
          </w:tcPr>
          <w:p w14:paraId="33FA128D">
            <w:pPr>
              <w:adjustRightInd w:val="0"/>
              <w:snapToGrid w:val="0"/>
              <w:spacing w:line="560" w:lineRule="exact"/>
              <w:rPr>
                <w:rFonts w:eastAsia="黑体"/>
                <w:color w:val="auto"/>
                <w:szCs w:val="21"/>
                <w:highlight w:val="none"/>
              </w:rPr>
            </w:pPr>
          </w:p>
        </w:tc>
        <w:tc>
          <w:tcPr>
            <w:tcW w:w="1385" w:type="dxa"/>
            <w:noWrap w:val="0"/>
            <w:vAlign w:val="top"/>
          </w:tcPr>
          <w:p w14:paraId="7DEEC61A">
            <w:pPr>
              <w:adjustRightInd w:val="0"/>
              <w:snapToGrid w:val="0"/>
              <w:spacing w:line="560" w:lineRule="exact"/>
              <w:rPr>
                <w:rFonts w:eastAsia="黑体"/>
                <w:color w:val="auto"/>
                <w:szCs w:val="21"/>
                <w:highlight w:val="none"/>
              </w:rPr>
            </w:pPr>
          </w:p>
        </w:tc>
        <w:tc>
          <w:tcPr>
            <w:tcW w:w="2522" w:type="dxa"/>
            <w:gridSpan w:val="2"/>
            <w:noWrap w:val="0"/>
            <w:vAlign w:val="top"/>
          </w:tcPr>
          <w:p w14:paraId="71E543AC">
            <w:pPr>
              <w:adjustRightInd w:val="0"/>
              <w:snapToGrid w:val="0"/>
              <w:spacing w:line="560" w:lineRule="exact"/>
              <w:rPr>
                <w:rFonts w:eastAsia="黑体"/>
                <w:color w:val="auto"/>
                <w:szCs w:val="21"/>
                <w:highlight w:val="none"/>
              </w:rPr>
            </w:pPr>
          </w:p>
        </w:tc>
      </w:tr>
      <w:tr w14:paraId="2E7B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6B471213">
            <w:pPr>
              <w:adjustRightInd w:val="0"/>
              <w:snapToGrid w:val="0"/>
              <w:spacing w:line="560" w:lineRule="exact"/>
              <w:rPr>
                <w:rFonts w:eastAsia="黑体"/>
                <w:color w:val="auto"/>
                <w:szCs w:val="21"/>
                <w:highlight w:val="none"/>
              </w:rPr>
            </w:pPr>
          </w:p>
        </w:tc>
        <w:tc>
          <w:tcPr>
            <w:tcW w:w="3756" w:type="dxa"/>
            <w:gridSpan w:val="4"/>
            <w:noWrap w:val="0"/>
            <w:vAlign w:val="top"/>
          </w:tcPr>
          <w:p w14:paraId="5C1C42BA">
            <w:pPr>
              <w:adjustRightInd w:val="0"/>
              <w:snapToGrid w:val="0"/>
              <w:spacing w:line="560" w:lineRule="exact"/>
              <w:rPr>
                <w:rFonts w:eastAsia="黑体"/>
                <w:color w:val="auto"/>
                <w:szCs w:val="21"/>
                <w:highlight w:val="none"/>
              </w:rPr>
            </w:pPr>
          </w:p>
        </w:tc>
        <w:tc>
          <w:tcPr>
            <w:tcW w:w="1385" w:type="dxa"/>
            <w:noWrap w:val="0"/>
            <w:vAlign w:val="top"/>
          </w:tcPr>
          <w:p w14:paraId="2A586BE3">
            <w:pPr>
              <w:adjustRightInd w:val="0"/>
              <w:snapToGrid w:val="0"/>
              <w:spacing w:line="560" w:lineRule="exact"/>
              <w:rPr>
                <w:rFonts w:eastAsia="黑体"/>
                <w:color w:val="auto"/>
                <w:szCs w:val="21"/>
                <w:highlight w:val="none"/>
              </w:rPr>
            </w:pPr>
          </w:p>
        </w:tc>
        <w:tc>
          <w:tcPr>
            <w:tcW w:w="2522" w:type="dxa"/>
            <w:gridSpan w:val="2"/>
            <w:noWrap w:val="0"/>
            <w:vAlign w:val="top"/>
          </w:tcPr>
          <w:p w14:paraId="2F6A3435">
            <w:pPr>
              <w:adjustRightInd w:val="0"/>
              <w:snapToGrid w:val="0"/>
              <w:spacing w:line="560" w:lineRule="exact"/>
              <w:rPr>
                <w:rFonts w:eastAsia="黑体"/>
                <w:color w:val="auto"/>
                <w:szCs w:val="21"/>
                <w:highlight w:val="none"/>
              </w:rPr>
            </w:pPr>
          </w:p>
        </w:tc>
      </w:tr>
      <w:tr w14:paraId="4B8A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59821708">
            <w:pPr>
              <w:adjustRightInd w:val="0"/>
              <w:snapToGrid w:val="0"/>
              <w:spacing w:line="560" w:lineRule="exact"/>
              <w:rPr>
                <w:rFonts w:eastAsia="黑体"/>
                <w:color w:val="auto"/>
                <w:szCs w:val="21"/>
                <w:highlight w:val="none"/>
              </w:rPr>
            </w:pPr>
          </w:p>
        </w:tc>
        <w:tc>
          <w:tcPr>
            <w:tcW w:w="3756" w:type="dxa"/>
            <w:gridSpan w:val="4"/>
            <w:noWrap w:val="0"/>
            <w:vAlign w:val="top"/>
          </w:tcPr>
          <w:p w14:paraId="3834DF10">
            <w:pPr>
              <w:adjustRightInd w:val="0"/>
              <w:snapToGrid w:val="0"/>
              <w:spacing w:line="560" w:lineRule="exact"/>
              <w:rPr>
                <w:rFonts w:eastAsia="黑体"/>
                <w:color w:val="auto"/>
                <w:szCs w:val="21"/>
                <w:highlight w:val="none"/>
              </w:rPr>
            </w:pPr>
          </w:p>
        </w:tc>
        <w:tc>
          <w:tcPr>
            <w:tcW w:w="1385" w:type="dxa"/>
            <w:noWrap w:val="0"/>
            <w:vAlign w:val="top"/>
          </w:tcPr>
          <w:p w14:paraId="0273657E">
            <w:pPr>
              <w:adjustRightInd w:val="0"/>
              <w:snapToGrid w:val="0"/>
              <w:spacing w:line="560" w:lineRule="exact"/>
              <w:rPr>
                <w:rFonts w:eastAsia="黑体"/>
                <w:color w:val="auto"/>
                <w:szCs w:val="21"/>
                <w:highlight w:val="none"/>
              </w:rPr>
            </w:pPr>
          </w:p>
        </w:tc>
        <w:tc>
          <w:tcPr>
            <w:tcW w:w="2522" w:type="dxa"/>
            <w:gridSpan w:val="2"/>
            <w:noWrap w:val="0"/>
            <w:vAlign w:val="top"/>
          </w:tcPr>
          <w:p w14:paraId="20C5069E">
            <w:pPr>
              <w:adjustRightInd w:val="0"/>
              <w:snapToGrid w:val="0"/>
              <w:spacing w:line="560" w:lineRule="exact"/>
              <w:rPr>
                <w:rFonts w:eastAsia="黑体"/>
                <w:color w:val="auto"/>
                <w:szCs w:val="21"/>
                <w:highlight w:val="none"/>
              </w:rPr>
            </w:pPr>
          </w:p>
        </w:tc>
      </w:tr>
      <w:tr w14:paraId="185A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3A9DC2DF">
            <w:pPr>
              <w:adjustRightInd w:val="0"/>
              <w:snapToGrid w:val="0"/>
              <w:spacing w:line="560" w:lineRule="exact"/>
              <w:rPr>
                <w:rFonts w:eastAsia="黑体"/>
                <w:color w:val="auto"/>
                <w:szCs w:val="21"/>
                <w:highlight w:val="none"/>
              </w:rPr>
            </w:pPr>
          </w:p>
        </w:tc>
        <w:tc>
          <w:tcPr>
            <w:tcW w:w="3756" w:type="dxa"/>
            <w:gridSpan w:val="4"/>
            <w:noWrap w:val="0"/>
            <w:vAlign w:val="top"/>
          </w:tcPr>
          <w:p w14:paraId="72846570">
            <w:pPr>
              <w:adjustRightInd w:val="0"/>
              <w:snapToGrid w:val="0"/>
              <w:spacing w:line="560" w:lineRule="exact"/>
              <w:rPr>
                <w:rFonts w:eastAsia="黑体"/>
                <w:color w:val="auto"/>
                <w:szCs w:val="21"/>
                <w:highlight w:val="none"/>
              </w:rPr>
            </w:pPr>
          </w:p>
        </w:tc>
        <w:tc>
          <w:tcPr>
            <w:tcW w:w="1385" w:type="dxa"/>
            <w:noWrap w:val="0"/>
            <w:vAlign w:val="top"/>
          </w:tcPr>
          <w:p w14:paraId="7AAEC607">
            <w:pPr>
              <w:adjustRightInd w:val="0"/>
              <w:snapToGrid w:val="0"/>
              <w:spacing w:line="560" w:lineRule="exact"/>
              <w:rPr>
                <w:rFonts w:eastAsia="黑体"/>
                <w:color w:val="auto"/>
                <w:szCs w:val="21"/>
                <w:highlight w:val="none"/>
              </w:rPr>
            </w:pPr>
          </w:p>
        </w:tc>
        <w:tc>
          <w:tcPr>
            <w:tcW w:w="2522" w:type="dxa"/>
            <w:gridSpan w:val="2"/>
            <w:noWrap w:val="0"/>
            <w:vAlign w:val="top"/>
          </w:tcPr>
          <w:p w14:paraId="225B990C">
            <w:pPr>
              <w:adjustRightInd w:val="0"/>
              <w:snapToGrid w:val="0"/>
              <w:spacing w:line="560" w:lineRule="exact"/>
              <w:rPr>
                <w:rFonts w:eastAsia="黑体"/>
                <w:color w:val="auto"/>
                <w:szCs w:val="21"/>
                <w:highlight w:val="none"/>
              </w:rPr>
            </w:pPr>
          </w:p>
        </w:tc>
      </w:tr>
      <w:tr w14:paraId="2CC9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27667B33">
            <w:pPr>
              <w:adjustRightInd w:val="0"/>
              <w:snapToGrid w:val="0"/>
              <w:spacing w:line="560" w:lineRule="exact"/>
              <w:rPr>
                <w:rFonts w:eastAsia="黑体"/>
                <w:color w:val="auto"/>
                <w:szCs w:val="21"/>
                <w:highlight w:val="none"/>
              </w:rPr>
            </w:pPr>
          </w:p>
        </w:tc>
        <w:tc>
          <w:tcPr>
            <w:tcW w:w="3756" w:type="dxa"/>
            <w:gridSpan w:val="4"/>
            <w:noWrap w:val="0"/>
            <w:vAlign w:val="top"/>
          </w:tcPr>
          <w:p w14:paraId="50D85466">
            <w:pPr>
              <w:adjustRightInd w:val="0"/>
              <w:snapToGrid w:val="0"/>
              <w:spacing w:line="560" w:lineRule="exact"/>
              <w:rPr>
                <w:rFonts w:eastAsia="黑体"/>
                <w:color w:val="auto"/>
                <w:szCs w:val="21"/>
                <w:highlight w:val="none"/>
              </w:rPr>
            </w:pPr>
          </w:p>
        </w:tc>
        <w:tc>
          <w:tcPr>
            <w:tcW w:w="1385" w:type="dxa"/>
            <w:noWrap w:val="0"/>
            <w:vAlign w:val="top"/>
          </w:tcPr>
          <w:p w14:paraId="110F4F5E">
            <w:pPr>
              <w:adjustRightInd w:val="0"/>
              <w:snapToGrid w:val="0"/>
              <w:spacing w:line="560" w:lineRule="exact"/>
              <w:rPr>
                <w:rFonts w:eastAsia="黑体"/>
                <w:color w:val="auto"/>
                <w:szCs w:val="21"/>
                <w:highlight w:val="none"/>
              </w:rPr>
            </w:pPr>
          </w:p>
        </w:tc>
        <w:tc>
          <w:tcPr>
            <w:tcW w:w="2522" w:type="dxa"/>
            <w:gridSpan w:val="2"/>
            <w:noWrap w:val="0"/>
            <w:vAlign w:val="top"/>
          </w:tcPr>
          <w:p w14:paraId="5DE62454">
            <w:pPr>
              <w:adjustRightInd w:val="0"/>
              <w:snapToGrid w:val="0"/>
              <w:spacing w:line="560" w:lineRule="exact"/>
              <w:rPr>
                <w:rFonts w:eastAsia="黑体"/>
                <w:color w:val="auto"/>
                <w:szCs w:val="21"/>
                <w:highlight w:val="none"/>
              </w:rPr>
            </w:pPr>
          </w:p>
        </w:tc>
      </w:tr>
      <w:tr w14:paraId="4994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790AFACE">
            <w:pPr>
              <w:adjustRightInd w:val="0"/>
              <w:snapToGrid w:val="0"/>
              <w:spacing w:line="560" w:lineRule="exact"/>
              <w:rPr>
                <w:rFonts w:eastAsia="黑体"/>
                <w:color w:val="auto"/>
                <w:szCs w:val="21"/>
                <w:highlight w:val="none"/>
              </w:rPr>
            </w:pPr>
          </w:p>
        </w:tc>
        <w:tc>
          <w:tcPr>
            <w:tcW w:w="3756" w:type="dxa"/>
            <w:gridSpan w:val="4"/>
            <w:noWrap w:val="0"/>
            <w:vAlign w:val="top"/>
          </w:tcPr>
          <w:p w14:paraId="325F35A5">
            <w:pPr>
              <w:adjustRightInd w:val="0"/>
              <w:snapToGrid w:val="0"/>
              <w:spacing w:line="560" w:lineRule="exact"/>
              <w:rPr>
                <w:rFonts w:eastAsia="黑体"/>
                <w:color w:val="auto"/>
                <w:szCs w:val="21"/>
                <w:highlight w:val="none"/>
              </w:rPr>
            </w:pPr>
          </w:p>
        </w:tc>
        <w:tc>
          <w:tcPr>
            <w:tcW w:w="1385" w:type="dxa"/>
            <w:noWrap w:val="0"/>
            <w:vAlign w:val="top"/>
          </w:tcPr>
          <w:p w14:paraId="13FFEA37">
            <w:pPr>
              <w:adjustRightInd w:val="0"/>
              <w:snapToGrid w:val="0"/>
              <w:spacing w:line="560" w:lineRule="exact"/>
              <w:rPr>
                <w:rFonts w:eastAsia="黑体"/>
                <w:color w:val="auto"/>
                <w:szCs w:val="21"/>
                <w:highlight w:val="none"/>
              </w:rPr>
            </w:pPr>
          </w:p>
        </w:tc>
        <w:tc>
          <w:tcPr>
            <w:tcW w:w="2522" w:type="dxa"/>
            <w:gridSpan w:val="2"/>
            <w:noWrap w:val="0"/>
            <w:vAlign w:val="top"/>
          </w:tcPr>
          <w:p w14:paraId="13C5BD2B">
            <w:pPr>
              <w:adjustRightInd w:val="0"/>
              <w:snapToGrid w:val="0"/>
              <w:spacing w:line="560" w:lineRule="exact"/>
              <w:rPr>
                <w:rFonts w:eastAsia="黑体"/>
                <w:color w:val="auto"/>
                <w:szCs w:val="21"/>
                <w:highlight w:val="none"/>
              </w:rPr>
            </w:pPr>
          </w:p>
        </w:tc>
      </w:tr>
      <w:tr w14:paraId="721C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70D3A049">
            <w:pPr>
              <w:adjustRightInd w:val="0"/>
              <w:snapToGrid w:val="0"/>
              <w:spacing w:line="560" w:lineRule="exact"/>
              <w:rPr>
                <w:rFonts w:eastAsia="黑体"/>
                <w:color w:val="auto"/>
                <w:szCs w:val="21"/>
                <w:highlight w:val="none"/>
              </w:rPr>
            </w:pPr>
          </w:p>
        </w:tc>
        <w:tc>
          <w:tcPr>
            <w:tcW w:w="3756" w:type="dxa"/>
            <w:gridSpan w:val="4"/>
            <w:noWrap w:val="0"/>
            <w:vAlign w:val="top"/>
          </w:tcPr>
          <w:p w14:paraId="585F0821">
            <w:pPr>
              <w:adjustRightInd w:val="0"/>
              <w:snapToGrid w:val="0"/>
              <w:spacing w:line="560" w:lineRule="exact"/>
              <w:rPr>
                <w:rFonts w:eastAsia="黑体"/>
                <w:color w:val="auto"/>
                <w:szCs w:val="21"/>
                <w:highlight w:val="none"/>
              </w:rPr>
            </w:pPr>
          </w:p>
        </w:tc>
        <w:tc>
          <w:tcPr>
            <w:tcW w:w="1385" w:type="dxa"/>
            <w:noWrap w:val="0"/>
            <w:vAlign w:val="top"/>
          </w:tcPr>
          <w:p w14:paraId="3F9DB762">
            <w:pPr>
              <w:adjustRightInd w:val="0"/>
              <w:snapToGrid w:val="0"/>
              <w:spacing w:line="560" w:lineRule="exact"/>
              <w:rPr>
                <w:rFonts w:eastAsia="黑体"/>
                <w:color w:val="auto"/>
                <w:szCs w:val="21"/>
                <w:highlight w:val="none"/>
              </w:rPr>
            </w:pPr>
          </w:p>
        </w:tc>
        <w:tc>
          <w:tcPr>
            <w:tcW w:w="2522" w:type="dxa"/>
            <w:gridSpan w:val="2"/>
            <w:noWrap w:val="0"/>
            <w:vAlign w:val="top"/>
          </w:tcPr>
          <w:p w14:paraId="72103041">
            <w:pPr>
              <w:adjustRightInd w:val="0"/>
              <w:snapToGrid w:val="0"/>
              <w:spacing w:line="560" w:lineRule="exact"/>
              <w:rPr>
                <w:rFonts w:eastAsia="黑体"/>
                <w:color w:val="auto"/>
                <w:szCs w:val="21"/>
                <w:highlight w:val="none"/>
              </w:rPr>
            </w:pPr>
          </w:p>
        </w:tc>
      </w:tr>
      <w:tr w14:paraId="3474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1DAAF987">
            <w:pPr>
              <w:adjustRightInd w:val="0"/>
              <w:snapToGrid w:val="0"/>
              <w:spacing w:line="560" w:lineRule="exact"/>
              <w:rPr>
                <w:rFonts w:eastAsia="黑体"/>
                <w:color w:val="auto"/>
                <w:szCs w:val="21"/>
                <w:highlight w:val="none"/>
              </w:rPr>
            </w:pPr>
          </w:p>
        </w:tc>
        <w:tc>
          <w:tcPr>
            <w:tcW w:w="3756" w:type="dxa"/>
            <w:gridSpan w:val="4"/>
            <w:noWrap w:val="0"/>
            <w:vAlign w:val="top"/>
          </w:tcPr>
          <w:p w14:paraId="39533CAD">
            <w:pPr>
              <w:adjustRightInd w:val="0"/>
              <w:snapToGrid w:val="0"/>
              <w:spacing w:line="560" w:lineRule="exact"/>
              <w:rPr>
                <w:rFonts w:eastAsia="黑体"/>
                <w:color w:val="auto"/>
                <w:szCs w:val="21"/>
                <w:highlight w:val="none"/>
              </w:rPr>
            </w:pPr>
          </w:p>
        </w:tc>
        <w:tc>
          <w:tcPr>
            <w:tcW w:w="1385" w:type="dxa"/>
            <w:noWrap w:val="0"/>
            <w:vAlign w:val="top"/>
          </w:tcPr>
          <w:p w14:paraId="3761B193">
            <w:pPr>
              <w:adjustRightInd w:val="0"/>
              <w:snapToGrid w:val="0"/>
              <w:spacing w:line="560" w:lineRule="exact"/>
              <w:rPr>
                <w:rFonts w:eastAsia="黑体"/>
                <w:color w:val="auto"/>
                <w:szCs w:val="21"/>
                <w:highlight w:val="none"/>
              </w:rPr>
            </w:pPr>
          </w:p>
        </w:tc>
        <w:tc>
          <w:tcPr>
            <w:tcW w:w="2522" w:type="dxa"/>
            <w:gridSpan w:val="2"/>
            <w:noWrap w:val="0"/>
            <w:vAlign w:val="top"/>
          </w:tcPr>
          <w:p w14:paraId="219765F2">
            <w:pPr>
              <w:adjustRightInd w:val="0"/>
              <w:snapToGrid w:val="0"/>
              <w:spacing w:line="560" w:lineRule="exact"/>
              <w:rPr>
                <w:rFonts w:eastAsia="黑体"/>
                <w:color w:val="auto"/>
                <w:szCs w:val="21"/>
                <w:highlight w:val="none"/>
              </w:rPr>
            </w:pPr>
          </w:p>
        </w:tc>
      </w:tr>
      <w:tr w14:paraId="4FC8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697" w:type="dxa"/>
            <w:gridSpan w:val="2"/>
            <w:noWrap w:val="0"/>
            <w:vAlign w:val="top"/>
          </w:tcPr>
          <w:p w14:paraId="0E0343B6">
            <w:pPr>
              <w:adjustRightInd w:val="0"/>
              <w:snapToGrid w:val="0"/>
              <w:spacing w:line="560" w:lineRule="exact"/>
              <w:rPr>
                <w:rFonts w:eastAsia="黑体"/>
                <w:color w:val="auto"/>
                <w:szCs w:val="21"/>
                <w:highlight w:val="none"/>
              </w:rPr>
            </w:pPr>
          </w:p>
        </w:tc>
        <w:tc>
          <w:tcPr>
            <w:tcW w:w="3756" w:type="dxa"/>
            <w:gridSpan w:val="4"/>
            <w:noWrap w:val="0"/>
            <w:vAlign w:val="top"/>
          </w:tcPr>
          <w:p w14:paraId="7E86ED2F">
            <w:pPr>
              <w:adjustRightInd w:val="0"/>
              <w:snapToGrid w:val="0"/>
              <w:spacing w:line="560" w:lineRule="exact"/>
              <w:rPr>
                <w:rFonts w:eastAsia="黑体"/>
                <w:color w:val="auto"/>
                <w:szCs w:val="21"/>
                <w:highlight w:val="none"/>
              </w:rPr>
            </w:pPr>
          </w:p>
        </w:tc>
        <w:tc>
          <w:tcPr>
            <w:tcW w:w="1385" w:type="dxa"/>
            <w:noWrap w:val="0"/>
            <w:vAlign w:val="top"/>
          </w:tcPr>
          <w:p w14:paraId="58747918">
            <w:pPr>
              <w:adjustRightInd w:val="0"/>
              <w:snapToGrid w:val="0"/>
              <w:spacing w:line="560" w:lineRule="exact"/>
              <w:rPr>
                <w:rFonts w:eastAsia="黑体"/>
                <w:color w:val="auto"/>
                <w:szCs w:val="21"/>
                <w:highlight w:val="none"/>
              </w:rPr>
            </w:pPr>
          </w:p>
        </w:tc>
        <w:tc>
          <w:tcPr>
            <w:tcW w:w="2522" w:type="dxa"/>
            <w:gridSpan w:val="2"/>
            <w:noWrap w:val="0"/>
            <w:vAlign w:val="top"/>
          </w:tcPr>
          <w:p w14:paraId="702315A9">
            <w:pPr>
              <w:adjustRightInd w:val="0"/>
              <w:snapToGrid w:val="0"/>
              <w:spacing w:line="560" w:lineRule="exact"/>
              <w:rPr>
                <w:rFonts w:eastAsia="黑体"/>
                <w:color w:val="auto"/>
                <w:szCs w:val="21"/>
                <w:highlight w:val="none"/>
              </w:rPr>
            </w:pPr>
          </w:p>
        </w:tc>
      </w:tr>
      <w:tr w14:paraId="01B7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697" w:type="dxa"/>
            <w:gridSpan w:val="2"/>
            <w:noWrap w:val="0"/>
            <w:vAlign w:val="top"/>
          </w:tcPr>
          <w:p w14:paraId="75E03E7B">
            <w:pPr>
              <w:adjustRightInd w:val="0"/>
              <w:snapToGrid w:val="0"/>
              <w:spacing w:line="560" w:lineRule="exact"/>
              <w:rPr>
                <w:rFonts w:eastAsia="黑体"/>
                <w:color w:val="auto"/>
                <w:szCs w:val="21"/>
                <w:highlight w:val="none"/>
              </w:rPr>
            </w:pPr>
          </w:p>
        </w:tc>
        <w:tc>
          <w:tcPr>
            <w:tcW w:w="3756" w:type="dxa"/>
            <w:gridSpan w:val="4"/>
            <w:noWrap w:val="0"/>
            <w:vAlign w:val="top"/>
          </w:tcPr>
          <w:p w14:paraId="3AD0C413">
            <w:pPr>
              <w:adjustRightInd w:val="0"/>
              <w:snapToGrid w:val="0"/>
              <w:spacing w:line="560" w:lineRule="exact"/>
              <w:rPr>
                <w:rFonts w:eastAsia="黑体"/>
                <w:color w:val="auto"/>
                <w:szCs w:val="21"/>
                <w:highlight w:val="none"/>
              </w:rPr>
            </w:pPr>
          </w:p>
        </w:tc>
        <w:tc>
          <w:tcPr>
            <w:tcW w:w="1385" w:type="dxa"/>
            <w:noWrap w:val="0"/>
            <w:vAlign w:val="top"/>
          </w:tcPr>
          <w:p w14:paraId="00AA370E">
            <w:pPr>
              <w:adjustRightInd w:val="0"/>
              <w:snapToGrid w:val="0"/>
              <w:spacing w:line="560" w:lineRule="exact"/>
              <w:rPr>
                <w:rFonts w:eastAsia="黑体"/>
                <w:color w:val="auto"/>
                <w:szCs w:val="21"/>
                <w:highlight w:val="none"/>
              </w:rPr>
            </w:pPr>
          </w:p>
        </w:tc>
        <w:tc>
          <w:tcPr>
            <w:tcW w:w="2522" w:type="dxa"/>
            <w:gridSpan w:val="2"/>
            <w:noWrap w:val="0"/>
            <w:vAlign w:val="top"/>
          </w:tcPr>
          <w:p w14:paraId="01148536">
            <w:pPr>
              <w:adjustRightInd w:val="0"/>
              <w:snapToGrid w:val="0"/>
              <w:spacing w:line="560" w:lineRule="exact"/>
              <w:rPr>
                <w:rFonts w:eastAsia="黑体"/>
                <w:color w:val="auto"/>
                <w:szCs w:val="21"/>
                <w:highlight w:val="none"/>
              </w:rPr>
            </w:pPr>
          </w:p>
        </w:tc>
      </w:tr>
      <w:tr w14:paraId="4361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697" w:type="dxa"/>
            <w:gridSpan w:val="2"/>
            <w:noWrap w:val="0"/>
            <w:vAlign w:val="top"/>
          </w:tcPr>
          <w:p w14:paraId="0ADC3766">
            <w:pPr>
              <w:adjustRightInd w:val="0"/>
              <w:snapToGrid w:val="0"/>
              <w:spacing w:line="560" w:lineRule="exact"/>
              <w:rPr>
                <w:rFonts w:eastAsia="黑体"/>
                <w:color w:val="auto"/>
                <w:szCs w:val="21"/>
                <w:highlight w:val="none"/>
              </w:rPr>
            </w:pPr>
          </w:p>
        </w:tc>
        <w:tc>
          <w:tcPr>
            <w:tcW w:w="3756" w:type="dxa"/>
            <w:gridSpan w:val="4"/>
            <w:noWrap w:val="0"/>
            <w:vAlign w:val="top"/>
          </w:tcPr>
          <w:p w14:paraId="03E29A23">
            <w:pPr>
              <w:adjustRightInd w:val="0"/>
              <w:snapToGrid w:val="0"/>
              <w:spacing w:line="560" w:lineRule="exact"/>
              <w:rPr>
                <w:rFonts w:eastAsia="黑体"/>
                <w:color w:val="auto"/>
                <w:szCs w:val="21"/>
                <w:highlight w:val="none"/>
              </w:rPr>
            </w:pPr>
          </w:p>
        </w:tc>
        <w:tc>
          <w:tcPr>
            <w:tcW w:w="1385" w:type="dxa"/>
            <w:noWrap w:val="0"/>
            <w:vAlign w:val="top"/>
          </w:tcPr>
          <w:p w14:paraId="49D551FA">
            <w:pPr>
              <w:adjustRightInd w:val="0"/>
              <w:snapToGrid w:val="0"/>
              <w:spacing w:line="560" w:lineRule="exact"/>
              <w:rPr>
                <w:rFonts w:eastAsia="黑体"/>
                <w:color w:val="auto"/>
                <w:szCs w:val="21"/>
                <w:highlight w:val="none"/>
              </w:rPr>
            </w:pPr>
          </w:p>
        </w:tc>
        <w:tc>
          <w:tcPr>
            <w:tcW w:w="2522" w:type="dxa"/>
            <w:gridSpan w:val="2"/>
            <w:noWrap w:val="0"/>
            <w:vAlign w:val="top"/>
          </w:tcPr>
          <w:p w14:paraId="12D2EA55">
            <w:pPr>
              <w:adjustRightInd w:val="0"/>
              <w:snapToGrid w:val="0"/>
              <w:spacing w:line="560" w:lineRule="exact"/>
              <w:rPr>
                <w:rFonts w:eastAsia="黑体"/>
                <w:color w:val="auto"/>
                <w:szCs w:val="21"/>
                <w:highlight w:val="none"/>
              </w:rPr>
            </w:pPr>
          </w:p>
        </w:tc>
      </w:tr>
    </w:tbl>
    <w:p w14:paraId="62A0702F">
      <w:pPr>
        <w:pStyle w:val="5"/>
        <w:jc w:val="center"/>
        <w:rPr>
          <w:color w:val="auto"/>
          <w:sz w:val="23"/>
          <w:szCs w:val="23"/>
          <w:highlight w:val="none"/>
        </w:rPr>
      </w:pPr>
      <w:r>
        <w:rPr>
          <w:rFonts w:hint="eastAsia"/>
          <w:color w:val="auto"/>
          <w:highlight w:val="none"/>
        </w:rPr>
        <w:t>附表3：拟任项目技术负责人简历表</w:t>
      </w:r>
    </w:p>
    <w:tbl>
      <w:tblPr>
        <w:tblStyle w:val="21"/>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396"/>
        <w:gridCol w:w="794"/>
        <w:gridCol w:w="1023"/>
        <w:gridCol w:w="1175"/>
        <w:gridCol w:w="781"/>
        <w:gridCol w:w="1390"/>
        <w:gridCol w:w="178"/>
        <w:gridCol w:w="2355"/>
      </w:tblGrid>
      <w:tr w14:paraId="6018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08" w:type="dxa"/>
            <w:noWrap w:val="0"/>
            <w:vAlign w:val="center"/>
          </w:tcPr>
          <w:p w14:paraId="5646866E">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姓  名</w:t>
            </w:r>
          </w:p>
        </w:tc>
        <w:tc>
          <w:tcPr>
            <w:tcW w:w="1190" w:type="dxa"/>
            <w:gridSpan w:val="2"/>
            <w:noWrap w:val="0"/>
            <w:vAlign w:val="center"/>
          </w:tcPr>
          <w:p w14:paraId="7B7143D6">
            <w:pPr>
              <w:adjustRightInd w:val="0"/>
              <w:snapToGrid w:val="0"/>
              <w:spacing w:line="560" w:lineRule="exact"/>
              <w:jc w:val="center"/>
              <w:rPr>
                <w:rFonts w:ascii="宋体" w:hAnsi="宋体"/>
                <w:color w:val="auto"/>
                <w:szCs w:val="21"/>
                <w:highlight w:val="none"/>
              </w:rPr>
            </w:pPr>
          </w:p>
        </w:tc>
        <w:tc>
          <w:tcPr>
            <w:tcW w:w="1023" w:type="dxa"/>
            <w:noWrap w:val="0"/>
            <w:vAlign w:val="center"/>
          </w:tcPr>
          <w:p w14:paraId="1A17CEC6">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年 龄</w:t>
            </w:r>
          </w:p>
        </w:tc>
        <w:tc>
          <w:tcPr>
            <w:tcW w:w="1175" w:type="dxa"/>
            <w:noWrap w:val="0"/>
            <w:vAlign w:val="center"/>
          </w:tcPr>
          <w:p w14:paraId="4FF73114">
            <w:pPr>
              <w:adjustRightInd w:val="0"/>
              <w:snapToGrid w:val="0"/>
              <w:spacing w:line="560" w:lineRule="exact"/>
              <w:jc w:val="center"/>
              <w:rPr>
                <w:rFonts w:ascii="宋体" w:hAnsi="宋体"/>
                <w:color w:val="auto"/>
                <w:szCs w:val="21"/>
                <w:highlight w:val="none"/>
              </w:rPr>
            </w:pPr>
          </w:p>
        </w:tc>
        <w:tc>
          <w:tcPr>
            <w:tcW w:w="2349" w:type="dxa"/>
            <w:gridSpan w:val="3"/>
            <w:noWrap w:val="0"/>
            <w:vAlign w:val="center"/>
          </w:tcPr>
          <w:p w14:paraId="5198CC49">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学历</w:t>
            </w:r>
          </w:p>
        </w:tc>
        <w:tc>
          <w:tcPr>
            <w:tcW w:w="2355" w:type="dxa"/>
            <w:noWrap w:val="0"/>
            <w:vAlign w:val="center"/>
          </w:tcPr>
          <w:p w14:paraId="0534B975">
            <w:pPr>
              <w:adjustRightInd w:val="0"/>
              <w:snapToGrid w:val="0"/>
              <w:spacing w:line="560" w:lineRule="exact"/>
              <w:rPr>
                <w:rFonts w:ascii="宋体" w:hAnsi="宋体"/>
                <w:color w:val="auto"/>
                <w:szCs w:val="21"/>
                <w:highlight w:val="none"/>
              </w:rPr>
            </w:pPr>
          </w:p>
        </w:tc>
      </w:tr>
      <w:tr w14:paraId="4E94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08" w:type="dxa"/>
            <w:noWrap w:val="0"/>
            <w:vAlign w:val="center"/>
          </w:tcPr>
          <w:p w14:paraId="4A9C9526">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称</w:t>
            </w:r>
          </w:p>
        </w:tc>
        <w:tc>
          <w:tcPr>
            <w:tcW w:w="1190" w:type="dxa"/>
            <w:gridSpan w:val="2"/>
            <w:noWrap w:val="0"/>
            <w:vAlign w:val="center"/>
          </w:tcPr>
          <w:p w14:paraId="2AB5CC88">
            <w:pPr>
              <w:adjustRightInd w:val="0"/>
              <w:snapToGrid w:val="0"/>
              <w:spacing w:line="560" w:lineRule="exact"/>
              <w:jc w:val="center"/>
              <w:rPr>
                <w:rFonts w:ascii="宋体" w:hAnsi="宋体"/>
                <w:color w:val="auto"/>
                <w:szCs w:val="21"/>
                <w:highlight w:val="none"/>
              </w:rPr>
            </w:pPr>
          </w:p>
        </w:tc>
        <w:tc>
          <w:tcPr>
            <w:tcW w:w="1023" w:type="dxa"/>
            <w:noWrap w:val="0"/>
            <w:vAlign w:val="center"/>
          </w:tcPr>
          <w:p w14:paraId="6DD05C61">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职 务</w:t>
            </w:r>
          </w:p>
        </w:tc>
        <w:tc>
          <w:tcPr>
            <w:tcW w:w="1175" w:type="dxa"/>
            <w:noWrap w:val="0"/>
            <w:vAlign w:val="center"/>
          </w:tcPr>
          <w:p w14:paraId="32F0EFE5">
            <w:pPr>
              <w:adjustRightInd w:val="0"/>
              <w:snapToGrid w:val="0"/>
              <w:spacing w:line="560" w:lineRule="exact"/>
              <w:jc w:val="center"/>
              <w:rPr>
                <w:rFonts w:ascii="宋体" w:hAnsi="宋体"/>
                <w:color w:val="auto"/>
                <w:szCs w:val="21"/>
                <w:highlight w:val="none"/>
              </w:rPr>
            </w:pPr>
          </w:p>
        </w:tc>
        <w:tc>
          <w:tcPr>
            <w:tcW w:w="2349" w:type="dxa"/>
            <w:gridSpan w:val="3"/>
            <w:noWrap w:val="0"/>
            <w:vAlign w:val="center"/>
          </w:tcPr>
          <w:p w14:paraId="2D5FBB3C">
            <w:pPr>
              <w:adjustRightInd w:val="0"/>
              <w:snapToGrid w:val="0"/>
              <w:spacing w:line="560" w:lineRule="exact"/>
              <w:jc w:val="center"/>
              <w:rPr>
                <w:rFonts w:ascii="宋体" w:hAnsi="宋体"/>
                <w:color w:val="auto"/>
                <w:szCs w:val="21"/>
                <w:highlight w:val="none"/>
              </w:rPr>
            </w:pPr>
            <w:r>
              <w:rPr>
                <w:rFonts w:ascii="宋体" w:hAnsi="宋体"/>
                <w:color w:val="auto"/>
                <w:szCs w:val="21"/>
                <w:highlight w:val="none"/>
              </w:rPr>
              <w:t>拟在本合同任职</w:t>
            </w:r>
          </w:p>
        </w:tc>
        <w:tc>
          <w:tcPr>
            <w:tcW w:w="2355" w:type="dxa"/>
            <w:noWrap w:val="0"/>
            <w:vAlign w:val="center"/>
          </w:tcPr>
          <w:p w14:paraId="1F9EEDCD">
            <w:pPr>
              <w:adjustRightInd w:val="0"/>
              <w:snapToGrid w:val="0"/>
              <w:spacing w:line="560" w:lineRule="exact"/>
              <w:rPr>
                <w:rFonts w:ascii="宋体" w:hAnsi="宋体"/>
                <w:color w:val="auto"/>
                <w:szCs w:val="21"/>
                <w:highlight w:val="none"/>
              </w:rPr>
            </w:pPr>
          </w:p>
        </w:tc>
      </w:tr>
      <w:tr w14:paraId="106D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08" w:type="dxa"/>
            <w:noWrap w:val="0"/>
            <w:vAlign w:val="center"/>
          </w:tcPr>
          <w:p w14:paraId="1662460F">
            <w:pPr>
              <w:adjustRightInd w:val="0"/>
              <w:snapToGrid w:val="0"/>
              <w:spacing w:line="560" w:lineRule="exact"/>
              <w:rPr>
                <w:rFonts w:ascii="宋体" w:hAnsi="宋体"/>
                <w:color w:val="auto"/>
                <w:szCs w:val="21"/>
                <w:highlight w:val="none"/>
              </w:rPr>
            </w:pPr>
            <w:r>
              <w:rPr>
                <w:rFonts w:ascii="宋体" w:hAnsi="宋体"/>
                <w:color w:val="auto"/>
                <w:szCs w:val="21"/>
                <w:highlight w:val="none"/>
              </w:rPr>
              <w:t>毕业学校</w:t>
            </w:r>
          </w:p>
        </w:tc>
        <w:tc>
          <w:tcPr>
            <w:tcW w:w="8092" w:type="dxa"/>
            <w:gridSpan w:val="8"/>
            <w:noWrap w:val="0"/>
            <w:vAlign w:val="top"/>
          </w:tcPr>
          <w:p w14:paraId="09FC218B">
            <w:pPr>
              <w:adjustRightInd w:val="0"/>
              <w:snapToGrid w:val="0"/>
              <w:spacing w:line="560" w:lineRule="exact"/>
              <w:rPr>
                <w:rFonts w:ascii="宋体" w:hAnsi="宋体"/>
                <w:color w:val="auto"/>
                <w:szCs w:val="21"/>
                <w:highlight w:val="none"/>
              </w:rPr>
            </w:pPr>
            <w:r>
              <w:rPr>
                <w:rFonts w:ascii="宋体" w:hAnsi="宋体"/>
                <w:color w:val="auto"/>
                <w:szCs w:val="21"/>
                <w:highlight w:val="none"/>
              </w:rPr>
              <w:t xml:space="preserve">      年毕业于            学校        专业</w:t>
            </w:r>
          </w:p>
        </w:tc>
      </w:tr>
      <w:tr w14:paraId="7785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400" w:type="dxa"/>
            <w:gridSpan w:val="9"/>
            <w:noWrap w:val="0"/>
            <w:vAlign w:val="center"/>
          </w:tcPr>
          <w:p w14:paraId="2EE006F0">
            <w:pPr>
              <w:adjustRightInd w:val="0"/>
              <w:snapToGrid w:val="0"/>
              <w:spacing w:line="560" w:lineRule="exact"/>
              <w:rPr>
                <w:rFonts w:ascii="宋体" w:hAnsi="宋体"/>
                <w:color w:val="auto"/>
                <w:szCs w:val="21"/>
                <w:highlight w:val="none"/>
              </w:rPr>
            </w:pPr>
            <w:r>
              <w:rPr>
                <w:rFonts w:ascii="宋体" w:hAnsi="宋体"/>
                <w:color w:val="auto"/>
                <w:szCs w:val="21"/>
                <w:highlight w:val="none"/>
              </w:rPr>
              <w:t>主要工作经历</w:t>
            </w:r>
          </w:p>
        </w:tc>
      </w:tr>
      <w:tr w14:paraId="57FA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704" w:type="dxa"/>
            <w:gridSpan w:val="2"/>
            <w:noWrap w:val="0"/>
            <w:vAlign w:val="center"/>
          </w:tcPr>
          <w:p w14:paraId="2580E74D">
            <w:pPr>
              <w:adjustRightInd w:val="0"/>
              <w:snapToGrid w:val="0"/>
              <w:spacing w:line="560" w:lineRule="exact"/>
              <w:rPr>
                <w:rFonts w:ascii="宋体" w:hAnsi="宋体"/>
                <w:color w:val="auto"/>
                <w:szCs w:val="21"/>
                <w:highlight w:val="none"/>
              </w:rPr>
            </w:pPr>
            <w:r>
              <w:rPr>
                <w:rFonts w:ascii="宋体" w:hAnsi="宋体"/>
                <w:color w:val="auto"/>
                <w:szCs w:val="21"/>
                <w:highlight w:val="none"/>
              </w:rPr>
              <w:t>时  间</w:t>
            </w:r>
          </w:p>
        </w:tc>
        <w:tc>
          <w:tcPr>
            <w:tcW w:w="3773" w:type="dxa"/>
            <w:gridSpan w:val="4"/>
            <w:noWrap w:val="0"/>
            <w:vAlign w:val="center"/>
          </w:tcPr>
          <w:p w14:paraId="3478DDFD">
            <w:pPr>
              <w:adjustRightInd w:val="0"/>
              <w:snapToGrid w:val="0"/>
              <w:spacing w:line="560" w:lineRule="exact"/>
              <w:rPr>
                <w:rFonts w:ascii="宋体" w:hAnsi="宋体"/>
                <w:color w:val="auto"/>
                <w:szCs w:val="21"/>
                <w:highlight w:val="none"/>
              </w:rPr>
            </w:pPr>
            <w:r>
              <w:rPr>
                <w:rFonts w:ascii="宋体" w:hAnsi="宋体"/>
                <w:color w:val="auto"/>
                <w:szCs w:val="21"/>
                <w:highlight w:val="none"/>
              </w:rPr>
              <w:t>参加过的类似项目</w:t>
            </w:r>
          </w:p>
        </w:tc>
        <w:tc>
          <w:tcPr>
            <w:tcW w:w="1390" w:type="dxa"/>
            <w:noWrap w:val="0"/>
            <w:vAlign w:val="center"/>
          </w:tcPr>
          <w:p w14:paraId="46B9694C">
            <w:pPr>
              <w:adjustRightInd w:val="0"/>
              <w:snapToGrid w:val="0"/>
              <w:spacing w:line="560" w:lineRule="exact"/>
              <w:rPr>
                <w:rFonts w:ascii="宋体" w:hAnsi="宋体"/>
                <w:color w:val="auto"/>
                <w:szCs w:val="21"/>
                <w:highlight w:val="none"/>
              </w:rPr>
            </w:pPr>
            <w:r>
              <w:rPr>
                <w:rFonts w:ascii="宋体" w:hAnsi="宋体"/>
                <w:color w:val="auto"/>
                <w:szCs w:val="21"/>
                <w:highlight w:val="none"/>
              </w:rPr>
              <w:t>担任职务</w:t>
            </w:r>
          </w:p>
        </w:tc>
        <w:tc>
          <w:tcPr>
            <w:tcW w:w="2533" w:type="dxa"/>
            <w:gridSpan w:val="2"/>
            <w:noWrap w:val="0"/>
            <w:vAlign w:val="center"/>
          </w:tcPr>
          <w:p w14:paraId="1A0DBDF5">
            <w:pPr>
              <w:adjustRightInd w:val="0"/>
              <w:snapToGrid w:val="0"/>
              <w:spacing w:line="560" w:lineRule="exact"/>
              <w:rPr>
                <w:rFonts w:ascii="宋体" w:hAnsi="宋体"/>
                <w:color w:val="auto"/>
                <w:szCs w:val="21"/>
                <w:highlight w:val="none"/>
              </w:rPr>
            </w:pPr>
            <w:r>
              <w:rPr>
                <w:rFonts w:ascii="宋体" w:hAnsi="宋体"/>
                <w:color w:val="auto"/>
                <w:szCs w:val="21"/>
                <w:highlight w:val="none"/>
              </w:rPr>
              <w:t>发包人及联系电话</w:t>
            </w:r>
          </w:p>
        </w:tc>
      </w:tr>
      <w:tr w14:paraId="5547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03FEB7D3">
            <w:pPr>
              <w:adjustRightInd w:val="0"/>
              <w:snapToGrid w:val="0"/>
              <w:spacing w:line="560" w:lineRule="exact"/>
              <w:rPr>
                <w:rFonts w:eastAsia="黑体"/>
                <w:color w:val="auto"/>
                <w:szCs w:val="21"/>
                <w:highlight w:val="none"/>
              </w:rPr>
            </w:pPr>
          </w:p>
        </w:tc>
        <w:tc>
          <w:tcPr>
            <w:tcW w:w="3773" w:type="dxa"/>
            <w:gridSpan w:val="4"/>
            <w:noWrap w:val="0"/>
            <w:vAlign w:val="top"/>
          </w:tcPr>
          <w:p w14:paraId="6F296A43">
            <w:pPr>
              <w:adjustRightInd w:val="0"/>
              <w:snapToGrid w:val="0"/>
              <w:spacing w:line="560" w:lineRule="exact"/>
              <w:rPr>
                <w:rFonts w:eastAsia="黑体"/>
                <w:color w:val="auto"/>
                <w:szCs w:val="21"/>
                <w:highlight w:val="none"/>
              </w:rPr>
            </w:pPr>
          </w:p>
        </w:tc>
        <w:tc>
          <w:tcPr>
            <w:tcW w:w="1390" w:type="dxa"/>
            <w:noWrap w:val="0"/>
            <w:vAlign w:val="top"/>
          </w:tcPr>
          <w:p w14:paraId="30A5151F">
            <w:pPr>
              <w:adjustRightInd w:val="0"/>
              <w:snapToGrid w:val="0"/>
              <w:spacing w:line="560" w:lineRule="exact"/>
              <w:rPr>
                <w:rFonts w:eastAsia="黑体"/>
                <w:color w:val="auto"/>
                <w:szCs w:val="21"/>
                <w:highlight w:val="none"/>
              </w:rPr>
            </w:pPr>
          </w:p>
        </w:tc>
        <w:tc>
          <w:tcPr>
            <w:tcW w:w="2533" w:type="dxa"/>
            <w:gridSpan w:val="2"/>
            <w:noWrap w:val="0"/>
            <w:vAlign w:val="top"/>
          </w:tcPr>
          <w:p w14:paraId="503A51B5">
            <w:pPr>
              <w:adjustRightInd w:val="0"/>
              <w:snapToGrid w:val="0"/>
              <w:spacing w:line="560" w:lineRule="exact"/>
              <w:rPr>
                <w:rFonts w:eastAsia="黑体"/>
                <w:color w:val="auto"/>
                <w:szCs w:val="21"/>
                <w:highlight w:val="none"/>
              </w:rPr>
            </w:pPr>
          </w:p>
        </w:tc>
      </w:tr>
      <w:tr w14:paraId="5474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529DACB0">
            <w:pPr>
              <w:adjustRightInd w:val="0"/>
              <w:snapToGrid w:val="0"/>
              <w:spacing w:line="560" w:lineRule="exact"/>
              <w:rPr>
                <w:rFonts w:eastAsia="黑体"/>
                <w:color w:val="auto"/>
                <w:szCs w:val="21"/>
                <w:highlight w:val="none"/>
              </w:rPr>
            </w:pPr>
          </w:p>
        </w:tc>
        <w:tc>
          <w:tcPr>
            <w:tcW w:w="3773" w:type="dxa"/>
            <w:gridSpan w:val="4"/>
            <w:noWrap w:val="0"/>
            <w:vAlign w:val="top"/>
          </w:tcPr>
          <w:p w14:paraId="634A4D7A">
            <w:pPr>
              <w:adjustRightInd w:val="0"/>
              <w:snapToGrid w:val="0"/>
              <w:spacing w:line="560" w:lineRule="exact"/>
              <w:rPr>
                <w:rFonts w:eastAsia="黑体"/>
                <w:color w:val="auto"/>
                <w:szCs w:val="21"/>
                <w:highlight w:val="none"/>
              </w:rPr>
            </w:pPr>
          </w:p>
        </w:tc>
        <w:tc>
          <w:tcPr>
            <w:tcW w:w="1390" w:type="dxa"/>
            <w:noWrap w:val="0"/>
            <w:vAlign w:val="top"/>
          </w:tcPr>
          <w:p w14:paraId="3832C071">
            <w:pPr>
              <w:adjustRightInd w:val="0"/>
              <w:snapToGrid w:val="0"/>
              <w:spacing w:line="560" w:lineRule="exact"/>
              <w:rPr>
                <w:rFonts w:eastAsia="黑体"/>
                <w:color w:val="auto"/>
                <w:szCs w:val="21"/>
                <w:highlight w:val="none"/>
              </w:rPr>
            </w:pPr>
          </w:p>
        </w:tc>
        <w:tc>
          <w:tcPr>
            <w:tcW w:w="2533" w:type="dxa"/>
            <w:gridSpan w:val="2"/>
            <w:noWrap w:val="0"/>
            <w:vAlign w:val="top"/>
          </w:tcPr>
          <w:p w14:paraId="5FC6CA8C">
            <w:pPr>
              <w:adjustRightInd w:val="0"/>
              <w:snapToGrid w:val="0"/>
              <w:spacing w:line="560" w:lineRule="exact"/>
              <w:rPr>
                <w:rFonts w:eastAsia="黑体"/>
                <w:color w:val="auto"/>
                <w:szCs w:val="21"/>
                <w:highlight w:val="none"/>
              </w:rPr>
            </w:pPr>
          </w:p>
        </w:tc>
      </w:tr>
      <w:tr w14:paraId="1F91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1EF2D05E">
            <w:pPr>
              <w:adjustRightInd w:val="0"/>
              <w:snapToGrid w:val="0"/>
              <w:spacing w:line="560" w:lineRule="exact"/>
              <w:rPr>
                <w:rFonts w:eastAsia="黑体"/>
                <w:color w:val="auto"/>
                <w:szCs w:val="21"/>
                <w:highlight w:val="none"/>
              </w:rPr>
            </w:pPr>
          </w:p>
        </w:tc>
        <w:tc>
          <w:tcPr>
            <w:tcW w:w="3773" w:type="dxa"/>
            <w:gridSpan w:val="4"/>
            <w:noWrap w:val="0"/>
            <w:vAlign w:val="top"/>
          </w:tcPr>
          <w:p w14:paraId="5A14487F">
            <w:pPr>
              <w:adjustRightInd w:val="0"/>
              <w:snapToGrid w:val="0"/>
              <w:spacing w:line="560" w:lineRule="exact"/>
              <w:rPr>
                <w:rFonts w:eastAsia="黑体"/>
                <w:color w:val="auto"/>
                <w:szCs w:val="21"/>
                <w:highlight w:val="none"/>
              </w:rPr>
            </w:pPr>
          </w:p>
        </w:tc>
        <w:tc>
          <w:tcPr>
            <w:tcW w:w="1390" w:type="dxa"/>
            <w:noWrap w:val="0"/>
            <w:vAlign w:val="top"/>
          </w:tcPr>
          <w:p w14:paraId="275B8D28">
            <w:pPr>
              <w:adjustRightInd w:val="0"/>
              <w:snapToGrid w:val="0"/>
              <w:spacing w:line="560" w:lineRule="exact"/>
              <w:rPr>
                <w:rFonts w:eastAsia="黑体"/>
                <w:color w:val="auto"/>
                <w:szCs w:val="21"/>
                <w:highlight w:val="none"/>
              </w:rPr>
            </w:pPr>
          </w:p>
        </w:tc>
        <w:tc>
          <w:tcPr>
            <w:tcW w:w="2533" w:type="dxa"/>
            <w:gridSpan w:val="2"/>
            <w:noWrap w:val="0"/>
            <w:vAlign w:val="top"/>
          </w:tcPr>
          <w:p w14:paraId="7B5B63FE">
            <w:pPr>
              <w:adjustRightInd w:val="0"/>
              <w:snapToGrid w:val="0"/>
              <w:spacing w:line="560" w:lineRule="exact"/>
              <w:rPr>
                <w:rFonts w:eastAsia="黑体"/>
                <w:color w:val="auto"/>
                <w:szCs w:val="21"/>
                <w:highlight w:val="none"/>
              </w:rPr>
            </w:pPr>
          </w:p>
        </w:tc>
      </w:tr>
      <w:tr w14:paraId="7412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6D8A50B8">
            <w:pPr>
              <w:adjustRightInd w:val="0"/>
              <w:snapToGrid w:val="0"/>
              <w:spacing w:line="560" w:lineRule="exact"/>
              <w:rPr>
                <w:rFonts w:eastAsia="黑体"/>
                <w:color w:val="auto"/>
                <w:szCs w:val="21"/>
                <w:highlight w:val="none"/>
              </w:rPr>
            </w:pPr>
          </w:p>
        </w:tc>
        <w:tc>
          <w:tcPr>
            <w:tcW w:w="3773" w:type="dxa"/>
            <w:gridSpan w:val="4"/>
            <w:noWrap w:val="0"/>
            <w:vAlign w:val="top"/>
          </w:tcPr>
          <w:p w14:paraId="7D8DFFD1">
            <w:pPr>
              <w:adjustRightInd w:val="0"/>
              <w:snapToGrid w:val="0"/>
              <w:spacing w:line="560" w:lineRule="exact"/>
              <w:rPr>
                <w:rFonts w:eastAsia="黑体"/>
                <w:color w:val="auto"/>
                <w:szCs w:val="21"/>
                <w:highlight w:val="none"/>
              </w:rPr>
            </w:pPr>
          </w:p>
        </w:tc>
        <w:tc>
          <w:tcPr>
            <w:tcW w:w="1390" w:type="dxa"/>
            <w:noWrap w:val="0"/>
            <w:vAlign w:val="top"/>
          </w:tcPr>
          <w:p w14:paraId="03245E65">
            <w:pPr>
              <w:adjustRightInd w:val="0"/>
              <w:snapToGrid w:val="0"/>
              <w:spacing w:line="560" w:lineRule="exact"/>
              <w:rPr>
                <w:rFonts w:eastAsia="黑体"/>
                <w:color w:val="auto"/>
                <w:szCs w:val="21"/>
                <w:highlight w:val="none"/>
              </w:rPr>
            </w:pPr>
          </w:p>
        </w:tc>
        <w:tc>
          <w:tcPr>
            <w:tcW w:w="2533" w:type="dxa"/>
            <w:gridSpan w:val="2"/>
            <w:noWrap w:val="0"/>
            <w:vAlign w:val="top"/>
          </w:tcPr>
          <w:p w14:paraId="78335057">
            <w:pPr>
              <w:adjustRightInd w:val="0"/>
              <w:snapToGrid w:val="0"/>
              <w:spacing w:line="560" w:lineRule="exact"/>
              <w:rPr>
                <w:rFonts w:eastAsia="黑体"/>
                <w:color w:val="auto"/>
                <w:szCs w:val="21"/>
                <w:highlight w:val="none"/>
              </w:rPr>
            </w:pPr>
          </w:p>
        </w:tc>
      </w:tr>
      <w:tr w14:paraId="6165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55941E7B">
            <w:pPr>
              <w:adjustRightInd w:val="0"/>
              <w:snapToGrid w:val="0"/>
              <w:spacing w:line="560" w:lineRule="exact"/>
              <w:rPr>
                <w:rFonts w:eastAsia="黑体"/>
                <w:color w:val="auto"/>
                <w:szCs w:val="21"/>
                <w:highlight w:val="none"/>
              </w:rPr>
            </w:pPr>
          </w:p>
        </w:tc>
        <w:tc>
          <w:tcPr>
            <w:tcW w:w="3773" w:type="dxa"/>
            <w:gridSpan w:val="4"/>
            <w:noWrap w:val="0"/>
            <w:vAlign w:val="top"/>
          </w:tcPr>
          <w:p w14:paraId="3FE1F40B">
            <w:pPr>
              <w:adjustRightInd w:val="0"/>
              <w:snapToGrid w:val="0"/>
              <w:spacing w:line="560" w:lineRule="exact"/>
              <w:rPr>
                <w:rFonts w:eastAsia="黑体"/>
                <w:color w:val="auto"/>
                <w:szCs w:val="21"/>
                <w:highlight w:val="none"/>
              </w:rPr>
            </w:pPr>
          </w:p>
        </w:tc>
        <w:tc>
          <w:tcPr>
            <w:tcW w:w="1390" w:type="dxa"/>
            <w:noWrap w:val="0"/>
            <w:vAlign w:val="top"/>
          </w:tcPr>
          <w:p w14:paraId="08202A89">
            <w:pPr>
              <w:adjustRightInd w:val="0"/>
              <w:snapToGrid w:val="0"/>
              <w:spacing w:line="560" w:lineRule="exact"/>
              <w:rPr>
                <w:rFonts w:eastAsia="黑体"/>
                <w:color w:val="auto"/>
                <w:szCs w:val="21"/>
                <w:highlight w:val="none"/>
              </w:rPr>
            </w:pPr>
          </w:p>
        </w:tc>
        <w:tc>
          <w:tcPr>
            <w:tcW w:w="2533" w:type="dxa"/>
            <w:gridSpan w:val="2"/>
            <w:noWrap w:val="0"/>
            <w:vAlign w:val="top"/>
          </w:tcPr>
          <w:p w14:paraId="76E74532">
            <w:pPr>
              <w:adjustRightInd w:val="0"/>
              <w:snapToGrid w:val="0"/>
              <w:spacing w:line="560" w:lineRule="exact"/>
              <w:rPr>
                <w:rFonts w:eastAsia="黑体"/>
                <w:color w:val="auto"/>
                <w:szCs w:val="21"/>
                <w:highlight w:val="none"/>
              </w:rPr>
            </w:pPr>
          </w:p>
        </w:tc>
      </w:tr>
      <w:tr w14:paraId="5391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51BFE9B3">
            <w:pPr>
              <w:adjustRightInd w:val="0"/>
              <w:snapToGrid w:val="0"/>
              <w:spacing w:line="560" w:lineRule="exact"/>
              <w:rPr>
                <w:rFonts w:eastAsia="黑体"/>
                <w:color w:val="auto"/>
                <w:szCs w:val="21"/>
                <w:highlight w:val="none"/>
              </w:rPr>
            </w:pPr>
          </w:p>
        </w:tc>
        <w:tc>
          <w:tcPr>
            <w:tcW w:w="3773" w:type="dxa"/>
            <w:gridSpan w:val="4"/>
            <w:noWrap w:val="0"/>
            <w:vAlign w:val="top"/>
          </w:tcPr>
          <w:p w14:paraId="062A6309">
            <w:pPr>
              <w:adjustRightInd w:val="0"/>
              <w:snapToGrid w:val="0"/>
              <w:spacing w:line="560" w:lineRule="exact"/>
              <w:rPr>
                <w:rFonts w:eastAsia="黑体"/>
                <w:color w:val="auto"/>
                <w:szCs w:val="21"/>
                <w:highlight w:val="none"/>
              </w:rPr>
            </w:pPr>
          </w:p>
        </w:tc>
        <w:tc>
          <w:tcPr>
            <w:tcW w:w="1390" w:type="dxa"/>
            <w:noWrap w:val="0"/>
            <w:vAlign w:val="top"/>
          </w:tcPr>
          <w:p w14:paraId="11C4B49A">
            <w:pPr>
              <w:adjustRightInd w:val="0"/>
              <w:snapToGrid w:val="0"/>
              <w:spacing w:line="560" w:lineRule="exact"/>
              <w:rPr>
                <w:rFonts w:eastAsia="黑体"/>
                <w:color w:val="auto"/>
                <w:szCs w:val="21"/>
                <w:highlight w:val="none"/>
              </w:rPr>
            </w:pPr>
          </w:p>
        </w:tc>
        <w:tc>
          <w:tcPr>
            <w:tcW w:w="2533" w:type="dxa"/>
            <w:gridSpan w:val="2"/>
            <w:noWrap w:val="0"/>
            <w:vAlign w:val="top"/>
          </w:tcPr>
          <w:p w14:paraId="1FDE7C82">
            <w:pPr>
              <w:adjustRightInd w:val="0"/>
              <w:snapToGrid w:val="0"/>
              <w:spacing w:line="560" w:lineRule="exact"/>
              <w:rPr>
                <w:rFonts w:eastAsia="黑体"/>
                <w:color w:val="auto"/>
                <w:szCs w:val="21"/>
                <w:highlight w:val="none"/>
              </w:rPr>
            </w:pPr>
          </w:p>
        </w:tc>
      </w:tr>
      <w:tr w14:paraId="151C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382E65A5">
            <w:pPr>
              <w:adjustRightInd w:val="0"/>
              <w:snapToGrid w:val="0"/>
              <w:spacing w:line="560" w:lineRule="exact"/>
              <w:rPr>
                <w:rFonts w:eastAsia="黑体"/>
                <w:color w:val="auto"/>
                <w:szCs w:val="21"/>
                <w:highlight w:val="none"/>
              </w:rPr>
            </w:pPr>
          </w:p>
        </w:tc>
        <w:tc>
          <w:tcPr>
            <w:tcW w:w="3773" w:type="dxa"/>
            <w:gridSpan w:val="4"/>
            <w:noWrap w:val="0"/>
            <w:vAlign w:val="top"/>
          </w:tcPr>
          <w:p w14:paraId="0C973CA0">
            <w:pPr>
              <w:adjustRightInd w:val="0"/>
              <w:snapToGrid w:val="0"/>
              <w:spacing w:line="560" w:lineRule="exact"/>
              <w:rPr>
                <w:rFonts w:eastAsia="黑体"/>
                <w:color w:val="auto"/>
                <w:szCs w:val="21"/>
                <w:highlight w:val="none"/>
              </w:rPr>
            </w:pPr>
          </w:p>
        </w:tc>
        <w:tc>
          <w:tcPr>
            <w:tcW w:w="1390" w:type="dxa"/>
            <w:noWrap w:val="0"/>
            <w:vAlign w:val="top"/>
          </w:tcPr>
          <w:p w14:paraId="010CF3B3">
            <w:pPr>
              <w:adjustRightInd w:val="0"/>
              <w:snapToGrid w:val="0"/>
              <w:spacing w:line="560" w:lineRule="exact"/>
              <w:rPr>
                <w:rFonts w:eastAsia="黑体"/>
                <w:color w:val="auto"/>
                <w:szCs w:val="21"/>
                <w:highlight w:val="none"/>
              </w:rPr>
            </w:pPr>
          </w:p>
        </w:tc>
        <w:tc>
          <w:tcPr>
            <w:tcW w:w="2533" w:type="dxa"/>
            <w:gridSpan w:val="2"/>
            <w:noWrap w:val="0"/>
            <w:vAlign w:val="top"/>
          </w:tcPr>
          <w:p w14:paraId="63108EE3">
            <w:pPr>
              <w:adjustRightInd w:val="0"/>
              <w:snapToGrid w:val="0"/>
              <w:spacing w:line="560" w:lineRule="exact"/>
              <w:rPr>
                <w:rFonts w:eastAsia="黑体"/>
                <w:color w:val="auto"/>
                <w:szCs w:val="21"/>
                <w:highlight w:val="none"/>
              </w:rPr>
            </w:pPr>
          </w:p>
        </w:tc>
      </w:tr>
      <w:tr w14:paraId="6100F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704" w:type="dxa"/>
            <w:gridSpan w:val="2"/>
            <w:noWrap w:val="0"/>
            <w:vAlign w:val="top"/>
          </w:tcPr>
          <w:p w14:paraId="3868A4E6">
            <w:pPr>
              <w:adjustRightInd w:val="0"/>
              <w:snapToGrid w:val="0"/>
              <w:spacing w:line="560" w:lineRule="exact"/>
              <w:rPr>
                <w:rFonts w:eastAsia="黑体"/>
                <w:color w:val="auto"/>
                <w:szCs w:val="21"/>
                <w:highlight w:val="none"/>
              </w:rPr>
            </w:pPr>
          </w:p>
        </w:tc>
        <w:tc>
          <w:tcPr>
            <w:tcW w:w="3773" w:type="dxa"/>
            <w:gridSpan w:val="4"/>
            <w:noWrap w:val="0"/>
            <w:vAlign w:val="top"/>
          </w:tcPr>
          <w:p w14:paraId="18F8DA15">
            <w:pPr>
              <w:adjustRightInd w:val="0"/>
              <w:snapToGrid w:val="0"/>
              <w:spacing w:line="560" w:lineRule="exact"/>
              <w:rPr>
                <w:rFonts w:eastAsia="黑体"/>
                <w:color w:val="auto"/>
                <w:szCs w:val="21"/>
                <w:highlight w:val="none"/>
              </w:rPr>
            </w:pPr>
          </w:p>
        </w:tc>
        <w:tc>
          <w:tcPr>
            <w:tcW w:w="1390" w:type="dxa"/>
            <w:noWrap w:val="0"/>
            <w:vAlign w:val="top"/>
          </w:tcPr>
          <w:p w14:paraId="6C53B25A">
            <w:pPr>
              <w:adjustRightInd w:val="0"/>
              <w:snapToGrid w:val="0"/>
              <w:spacing w:line="560" w:lineRule="exact"/>
              <w:rPr>
                <w:rFonts w:eastAsia="黑体"/>
                <w:color w:val="auto"/>
                <w:szCs w:val="21"/>
                <w:highlight w:val="none"/>
              </w:rPr>
            </w:pPr>
          </w:p>
        </w:tc>
        <w:tc>
          <w:tcPr>
            <w:tcW w:w="2533" w:type="dxa"/>
            <w:gridSpan w:val="2"/>
            <w:noWrap w:val="0"/>
            <w:vAlign w:val="top"/>
          </w:tcPr>
          <w:p w14:paraId="27124BF0">
            <w:pPr>
              <w:adjustRightInd w:val="0"/>
              <w:snapToGrid w:val="0"/>
              <w:spacing w:line="560" w:lineRule="exact"/>
              <w:rPr>
                <w:rFonts w:eastAsia="黑体"/>
                <w:color w:val="auto"/>
                <w:szCs w:val="21"/>
                <w:highlight w:val="none"/>
              </w:rPr>
            </w:pPr>
          </w:p>
        </w:tc>
      </w:tr>
    </w:tbl>
    <w:p w14:paraId="7DCE282B">
      <w:pPr>
        <w:rPr>
          <w:rFonts w:hint="eastAsia"/>
          <w:color w:val="auto"/>
          <w:highlight w:val="none"/>
        </w:rPr>
      </w:pPr>
      <w:r>
        <w:rPr>
          <w:rFonts w:hint="eastAsia"/>
          <w:color w:val="auto"/>
          <w:highlight w:val="none"/>
        </w:rPr>
        <w:br w:type="page"/>
      </w:r>
    </w:p>
    <w:p w14:paraId="48E94953">
      <w:pPr>
        <w:pStyle w:val="4"/>
        <w:adjustRightInd w:val="0"/>
        <w:snapToGrid w:val="0"/>
        <w:spacing w:before="0" w:after="0" w:line="560" w:lineRule="exact"/>
        <w:jc w:val="center"/>
        <w:rPr>
          <w:rFonts w:hint="eastAsia"/>
          <w:color w:val="auto"/>
          <w:highlight w:val="none"/>
        </w:rPr>
      </w:pPr>
      <w:r>
        <w:rPr>
          <w:rFonts w:hint="eastAsia"/>
          <w:color w:val="auto"/>
          <w:highlight w:val="none"/>
        </w:rPr>
        <w:t>（</w:t>
      </w:r>
      <w:r>
        <w:rPr>
          <w:rFonts w:hint="eastAsia"/>
          <w:color w:val="auto"/>
          <w:highlight w:val="none"/>
          <w:lang w:val="en-US" w:eastAsia="zh-CN"/>
        </w:rPr>
        <w:t>10</w:t>
      </w:r>
      <w:r>
        <w:rPr>
          <w:rFonts w:hint="eastAsia"/>
          <w:color w:val="auto"/>
          <w:highlight w:val="none"/>
        </w:rPr>
        <w:t>）其他资格审查资料</w:t>
      </w:r>
      <w:bookmarkEnd w:id="1506"/>
    </w:p>
    <w:p w14:paraId="0E874677">
      <w:pPr>
        <w:adjustRightInd w:val="0"/>
        <w:snapToGrid w:val="0"/>
        <w:spacing w:line="560" w:lineRule="exact"/>
        <w:jc w:val="center"/>
        <w:rPr>
          <w:rFonts w:hint="eastAsia" w:ascii="宋体"/>
          <w:b/>
          <w:color w:val="auto"/>
          <w:sz w:val="28"/>
          <w:szCs w:val="28"/>
          <w:highlight w:val="none"/>
        </w:rPr>
      </w:pPr>
      <w:bookmarkStart w:id="1507" w:name="_Toc499804616"/>
      <w:bookmarkStart w:id="1508" w:name="_Toc484173797"/>
      <w:bookmarkStart w:id="1509" w:name="_Toc506107353"/>
      <w:bookmarkStart w:id="1510" w:name="_Toc60061581"/>
      <w:bookmarkStart w:id="1511" w:name="_Toc58229121"/>
      <w:bookmarkStart w:id="1512" w:name="_Toc15058940"/>
      <w:bookmarkStart w:id="1513" w:name="_Toc324404893"/>
      <w:bookmarkStart w:id="1514" w:name="_Toc11719"/>
      <w:r>
        <w:rPr>
          <w:rFonts w:hint="eastAsia"/>
          <w:b/>
          <w:color w:val="auto"/>
          <w:sz w:val="28"/>
          <w:szCs w:val="28"/>
          <w:highlight w:val="none"/>
        </w:rPr>
        <w:t>①法定代表人身份证</w:t>
      </w:r>
      <w:bookmarkEnd w:id="1507"/>
      <w:bookmarkEnd w:id="1508"/>
      <w:bookmarkEnd w:id="1509"/>
      <w:bookmarkEnd w:id="1510"/>
      <w:bookmarkEnd w:id="1511"/>
      <w:bookmarkEnd w:id="1512"/>
      <w:r>
        <w:rPr>
          <w:rFonts w:hint="eastAsia"/>
          <w:b/>
          <w:color w:val="auto"/>
          <w:sz w:val="28"/>
          <w:szCs w:val="28"/>
          <w:highlight w:val="none"/>
        </w:rPr>
        <w:t>明或授权委托书</w:t>
      </w:r>
      <w:bookmarkEnd w:id="1431"/>
      <w:bookmarkEnd w:id="1432"/>
      <w:bookmarkEnd w:id="1433"/>
      <w:bookmarkEnd w:id="1434"/>
      <w:bookmarkEnd w:id="1435"/>
      <w:bookmarkEnd w:id="1436"/>
      <w:bookmarkEnd w:id="1437"/>
      <w:bookmarkEnd w:id="1438"/>
      <w:bookmarkEnd w:id="1513"/>
      <w:bookmarkEnd w:id="1514"/>
    </w:p>
    <w:p w14:paraId="494117E3">
      <w:pPr>
        <w:pStyle w:val="45"/>
        <w:adjustRightInd w:val="0"/>
        <w:snapToGrid w:val="0"/>
        <w:spacing w:line="560" w:lineRule="exact"/>
        <w:rPr>
          <w:rFonts w:hint="eastAsia" w:ascii="宋体"/>
          <w:b/>
          <w:color w:val="auto"/>
          <w:sz w:val="30"/>
          <w:szCs w:val="30"/>
          <w:highlight w:val="none"/>
        </w:rPr>
      </w:pPr>
      <w:r>
        <w:rPr>
          <w:rFonts w:hint="eastAsia" w:ascii="宋体"/>
          <w:color w:val="auto"/>
          <w:sz w:val="30"/>
          <w:szCs w:val="30"/>
          <w:highlight w:val="none"/>
        </w:rPr>
        <w:t>1.法定代表人身份证明</w:t>
      </w:r>
    </w:p>
    <w:p w14:paraId="11156389">
      <w:pPr>
        <w:adjustRightInd w:val="0"/>
        <w:snapToGrid w:val="0"/>
        <w:spacing w:line="560" w:lineRule="exact"/>
        <w:rPr>
          <w:rFonts w:hint="eastAsia" w:ascii="宋体"/>
          <w:color w:val="auto"/>
          <w:sz w:val="28"/>
          <w:szCs w:val="28"/>
          <w:highlight w:val="none"/>
        </w:rPr>
      </w:pPr>
      <w:r>
        <w:rPr>
          <w:rFonts w:hint="eastAsia" w:ascii="宋体"/>
          <w:color w:val="auto"/>
          <w:sz w:val="28"/>
          <w:szCs w:val="28"/>
          <w:highlight w:val="none"/>
        </w:rPr>
        <w:t>投标人名称：</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7F1C38DD">
      <w:pPr>
        <w:adjustRightInd w:val="0"/>
        <w:snapToGrid w:val="0"/>
        <w:spacing w:line="560" w:lineRule="exact"/>
        <w:rPr>
          <w:rFonts w:hint="eastAsia" w:ascii="宋体"/>
          <w:color w:val="auto"/>
          <w:sz w:val="28"/>
          <w:szCs w:val="28"/>
          <w:highlight w:val="none"/>
        </w:rPr>
      </w:pPr>
      <w:r>
        <w:rPr>
          <w:rFonts w:hint="eastAsia" w:ascii="宋体"/>
          <w:color w:val="auto"/>
          <w:sz w:val="28"/>
          <w:szCs w:val="28"/>
          <w:highlight w:val="none"/>
        </w:rPr>
        <w:t xml:space="preserve">单位性质： </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12FAFD1C">
      <w:pPr>
        <w:adjustRightInd w:val="0"/>
        <w:snapToGrid w:val="0"/>
        <w:spacing w:line="560" w:lineRule="exact"/>
        <w:rPr>
          <w:rFonts w:hint="eastAsia" w:ascii="宋体"/>
          <w:color w:val="auto"/>
          <w:sz w:val="28"/>
          <w:szCs w:val="28"/>
          <w:highlight w:val="none"/>
        </w:rPr>
      </w:pPr>
      <w:r>
        <w:rPr>
          <w:rFonts w:hint="eastAsia" w:ascii="宋体"/>
          <w:color w:val="auto"/>
          <w:sz w:val="28"/>
          <w:szCs w:val="28"/>
          <w:highlight w:val="none"/>
        </w:rPr>
        <w:t>地    址：</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4A0EB8D6">
      <w:pPr>
        <w:adjustRightInd w:val="0"/>
        <w:snapToGrid w:val="0"/>
        <w:spacing w:line="560" w:lineRule="exact"/>
        <w:rPr>
          <w:rFonts w:hint="eastAsia" w:ascii="宋体"/>
          <w:color w:val="auto"/>
          <w:sz w:val="28"/>
          <w:szCs w:val="28"/>
          <w:highlight w:val="none"/>
        </w:rPr>
      </w:pPr>
      <w:r>
        <w:rPr>
          <w:rFonts w:hint="eastAsia" w:ascii="宋体"/>
          <w:color w:val="auto"/>
          <w:sz w:val="28"/>
          <w:szCs w:val="28"/>
          <w:highlight w:val="none"/>
        </w:rPr>
        <w:t>成立时间：</w:t>
      </w: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342A4AA">
      <w:pPr>
        <w:adjustRightInd w:val="0"/>
        <w:snapToGrid w:val="0"/>
        <w:spacing w:line="560" w:lineRule="exact"/>
        <w:rPr>
          <w:rFonts w:hint="eastAsia" w:ascii="宋体"/>
          <w:color w:val="auto"/>
          <w:sz w:val="28"/>
          <w:szCs w:val="28"/>
          <w:highlight w:val="none"/>
        </w:rPr>
      </w:pPr>
      <w:r>
        <w:rPr>
          <w:rFonts w:hint="eastAsia" w:ascii="宋体"/>
          <w:color w:val="auto"/>
          <w:sz w:val="28"/>
          <w:szCs w:val="28"/>
          <w:highlight w:val="none"/>
        </w:rPr>
        <w:t>经营期限：</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p>
    <w:p w14:paraId="394D1EB8">
      <w:pPr>
        <w:adjustRightInd w:val="0"/>
        <w:snapToGrid w:val="0"/>
        <w:spacing w:line="560" w:lineRule="exact"/>
        <w:jc w:val="left"/>
        <w:rPr>
          <w:rFonts w:hint="eastAsia" w:ascii="宋体"/>
          <w:color w:val="auto"/>
          <w:sz w:val="28"/>
          <w:szCs w:val="28"/>
          <w:highlight w:val="none"/>
          <w:u w:val="single"/>
        </w:rPr>
      </w:pPr>
      <w:r>
        <w:rPr>
          <w:rFonts w:hint="eastAsia" w:ascii="宋体"/>
          <w:color w:val="auto"/>
          <w:spacing w:val="240"/>
          <w:sz w:val="28"/>
          <w:szCs w:val="28"/>
          <w:highlight w:val="none"/>
        </w:rPr>
        <w:t>姓</w:t>
      </w:r>
      <w:r>
        <w:rPr>
          <w:rFonts w:hint="eastAsia" w:ascii="宋体"/>
          <w:color w:val="auto"/>
          <w:sz w:val="28"/>
          <w:szCs w:val="28"/>
          <w:highlight w:val="none"/>
        </w:rPr>
        <w:t>名：</w:t>
      </w:r>
      <w:r>
        <w:rPr>
          <w:rFonts w:hint="eastAsia" w:ascii="宋体"/>
          <w:color w:val="auto"/>
          <w:sz w:val="28"/>
          <w:szCs w:val="28"/>
          <w:highlight w:val="none"/>
          <w:u w:val="single"/>
        </w:rPr>
        <w:t xml:space="preserve">           </w:t>
      </w:r>
      <w:r>
        <w:rPr>
          <w:rFonts w:hint="eastAsia" w:ascii="宋体"/>
          <w:color w:val="auto"/>
          <w:sz w:val="28"/>
          <w:szCs w:val="28"/>
          <w:highlight w:val="none"/>
        </w:rPr>
        <w:t>身份证号码：</w:t>
      </w:r>
      <w:r>
        <w:rPr>
          <w:rFonts w:hint="eastAsia" w:ascii="宋体"/>
          <w:color w:val="auto"/>
          <w:sz w:val="28"/>
          <w:szCs w:val="28"/>
          <w:highlight w:val="none"/>
          <w:u w:val="single"/>
        </w:rPr>
        <w:t xml:space="preserve">             </w:t>
      </w:r>
      <w:r>
        <w:rPr>
          <w:rFonts w:hint="eastAsia" w:ascii="宋体"/>
          <w:color w:val="auto"/>
          <w:sz w:val="28"/>
          <w:szCs w:val="28"/>
          <w:highlight w:val="none"/>
        </w:rPr>
        <w:t>性别</w:t>
      </w:r>
      <w:r>
        <w:rPr>
          <w:rFonts w:hint="eastAsia" w:ascii="宋体"/>
          <w:color w:val="auto"/>
          <w:sz w:val="28"/>
          <w:szCs w:val="28"/>
          <w:highlight w:val="none"/>
          <w:u w:val="single"/>
        </w:rPr>
        <w:t xml:space="preserve">：            </w:t>
      </w:r>
      <w:r>
        <w:rPr>
          <w:rFonts w:hint="eastAsia" w:ascii="宋体"/>
          <w:color w:val="auto"/>
          <w:sz w:val="28"/>
          <w:szCs w:val="28"/>
          <w:highlight w:val="none"/>
        </w:rPr>
        <w:t>年龄：</w:t>
      </w:r>
      <w:r>
        <w:rPr>
          <w:rFonts w:hint="eastAsia" w:ascii="宋体"/>
          <w:color w:val="auto"/>
          <w:sz w:val="28"/>
          <w:szCs w:val="28"/>
          <w:highlight w:val="none"/>
          <w:u w:val="single"/>
        </w:rPr>
        <w:t xml:space="preserve">＿  </w:t>
      </w:r>
      <w:r>
        <w:rPr>
          <w:rFonts w:hint="eastAsia" w:ascii="宋体"/>
          <w:color w:val="auto"/>
          <w:sz w:val="28"/>
          <w:szCs w:val="28"/>
          <w:highlight w:val="none"/>
        </w:rPr>
        <w:t>职务：</w:t>
      </w:r>
      <w:r>
        <w:rPr>
          <w:rFonts w:hint="eastAsia" w:ascii="宋体"/>
          <w:color w:val="auto"/>
          <w:sz w:val="28"/>
          <w:szCs w:val="28"/>
          <w:highlight w:val="none"/>
          <w:u w:val="single"/>
        </w:rPr>
        <w:t xml:space="preserve">       </w:t>
      </w:r>
      <w:r>
        <w:rPr>
          <w:rFonts w:hint="eastAsia" w:ascii="宋体"/>
          <w:color w:val="auto"/>
          <w:sz w:val="28"/>
          <w:szCs w:val="28"/>
          <w:highlight w:val="none"/>
        </w:rPr>
        <w:t>_，系</w:t>
      </w:r>
      <w:r>
        <w:rPr>
          <w:rFonts w:hint="eastAsia" w:ascii="宋体"/>
          <w:color w:val="auto"/>
          <w:sz w:val="28"/>
          <w:szCs w:val="28"/>
          <w:highlight w:val="none"/>
          <w:u w:val="single"/>
        </w:rPr>
        <w:t xml:space="preserve">                       </w:t>
      </w:r>
      <w:r>
        <w:rPr>
          <w:rFonts w:hint="eastAsia" w:ascii="宋体"/>
          <w:color w:val="auto"/>
          <w:sz w:val="28"/>
          <w:szCs w:val="28"/>
          <w:highlight w:val="none"/>
        </w:rPr>
        <w:t>（投标人名称）的法定代表人。</w:t>
      </w:r>
    </w:p>
    <w:p w14:paraId="5A4ED788">
      <w:pPr>
        <w:adjustRightInd w:val="0"/>
        <w:snapToGrid w:val="0"/>
        <w:spacing w:line="560" w:lineRule="exact"/>
        <w:rPr>
          <w:rFonts w:hint="eastAsia" w:ascii="宋体"/>
          <w:color w:val="auto"/>
          <w:sz w:val="28"/>
          <w:szCs w:val="28"/>
          <w:highlight w:val="none"/>
        </w:rPr>
      </w:pPr>
      <w:r>
        <w:rPr>
          <w:rFonts w:hint="eastAsia" w:ascii="宋体"/>
          <w:color w:val="auto"/>
          <w:sz w:val="28"/>
          <w:szCs w:val="28"/>
          <w:highlight w:val="none"/>
        </w:rPr>
        <w:t>特此证明。</w:t>
      </w:r>
    </w:p>
    <w:p w14:paraId="2CD5257D">
      <w:pPr>
        <w:adjustRightInd w:val="0"/>
        <w:snapToGrid w:val="0"/>
        <w:spacing w:line="560" w:lineRule="exact"/>
        <w:rPr>
          <w:rFonts w:hint="eastAsia" w:ascii="宋体"/>
          <w:color w:val="auto"/>
          <w:sz w:val="28"/>
          <w:szCs w:val="28"/>
          <w:highlight w:val="none"/>
        </w:rPr>
      </w:pPr>
    </w:p>
    <w:p w14:paraId="16205FB4">
      <w:pPr>
        <w:adjustRightInd w:val="0"/>
        <w:snapToGrid w:val="0"/>
        <w:spacing w:line="560" w:lineRule="exact"/>
        <w:rPr>
          <w:rFonts w:hint="eastAsia" w:ascii="宋体"/>
          <w:color w:val="auto"/>
          <w:sz w:val="28"/>
          <w:szCs w:val="28"/>
          <w:highlight w:val="none"/>
        </w:rPr>
      </w:pPr>
    </w:p>
    <w:p w14:paraId="3E511A4E">
      <w:pPr>
        <w:adjustRightInd w:val="0"/>
        <w:snapToGrid w:val="0"/>
        <w:spacing w:line="560" w:lineRule="exact"/>
        <w:rPr>
          <w:rFonts w:hint="eastAsia" w:ascii="宋体"/>
          <w:color w:val="auto"/>
          <w:sz w:val="28"/>
          <w:szCs w:val="28"/>
          <w:highlight w:val="none"/>
        </w:rPr>
      </w:pPr>
    </w:p>
    <w:p w14:paraId="4A8FAD50">
      <w:pPr>
        <w:adjustRightInd w:val="0"/>
        <w:snapToGrid w:val="0"/>
        <w:spacing w:line="560" w:lineRule="exact"/>
        <w:ind w:firstLine="4340" w:firstLineChars="1550"/>
        <w:rPr>
          <w:rFonts w:hint="eastAsia" w:ascii="宋体"/>
          <w:color w:val="auto"/>
          <w:sz w:val="28"/>
          <w:szCs w:val="28"/>
          <w:highlight w:val="none"/>
        </w:rPr>
      </w:pP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rPr>
        <w:t>（签章）</w:t>
      </w:r>
    </w:p>
    <w:p w14:paraId="4F545260">
      <w:pPr>
        <w:adjustRightInd w:val="0"/>
        <w:snapToGrid w:val="0"/>
        <w:spacing w:line="560" w:lineRule="exact"/>
        <w:rPr>
          <w:rFonts w:hint="eastAsia" w:ascii="宋体"/>
          <w:color w:val="auto"/>
          <w:sz w:val="28"/>
          <w:szCs w:val="28"/>
          <w:highlight w:val="none"/>
        </w:rPr>
      </w:pPr>
      <w:r>
        <w:rPr>
          <w:rFonts w:hint="eastAsia" w:ascii="宋体"/>
          <w:color w:val="auto"/>
          <w:sz w:val="28"/>
          <w:szCs w:val="28"/>
          <w:highlight w:val="none"/>
        </w:rPr>
        <w:t xml:space="preserve">                                        年    月     日</w:t>
      </w:r>
    </w:p>
    <w:p w14:paraId="41129CC0">
      <w:pPr>
        <w:adjustRightInd w:val="0"/>
        <w:snapToGrid w:val="0"/>
        <w:spacing w:line="560" w:lineRule="exact"/>
        <w:rPr>
          <w:rFonts w:hint="eastAsia" w:ascii="宋体"/>
          <w:color w:val="auto"/>
          <w:sz w:val="28"/>
          <w:szCs w:val="28"/>
          <w:highlight w:val="none"/>
        </w:rPr>
      </w:pPr>
    </w:p>
    <w:p w14:paraId="032960C3">
      <w:pPr>
        <w:adjustRightInd w:val="0"/>
        <w:snapToGrid w:val="0"/>
        <w:spacing w:line="560" w:lineRule="exact"/>
        <w:rPr>
          <w:rFonts w:hint="eastAsia" w:ascii="宋体"/>
          <w:color w:val="auto"/>
          <w:sz w:val="28"/>
          <w:szCs w:val="28"/>
          <w:highlight w:val="none"/>
        </w:rPr>
      </w:pPr>
    </w:p>
    <w:p w14:paraId="47441B15">
      <w:pPr>
        <w:pStyle w:val="45"/>
        <w:adjustRightInd w:val="0"/>
        <w:snapToGrid w:val="0"/>
        <w:spacing w:line="560" w:lineRule="exact"/>
        <w:rPr>
          <w:rFonts w:hint="eastAsia" w:ascii="宋体"/>
          <w:color w:val="auto"/>
          <w:sz w:val="30"/>
          <w:szCs w:val="30"/>
          <w:highlight w:val="none"/>
        </w:rPr>
      </w:pPr>
    </w:p>
    <w:p w14:paraId="6AEE2472">
      <w:pPr>
        <w:rPr>
          <w:rFonts w:hint="eastAsia"/>
          <w:color w:val="auto"/>
          <w:highlight w:val="none"/>
        </w:rPr>
      </w:pPr>
    </w:p>
    <w:p w14:paraId="32394A1B">
      <w:pPr>
        <w:pStyle w:val="20"/>
        <w:rPr>
          <w:rFonts w:hint="eastAsia"/>
          <w:color w:val="auto"/>
          <w:highlight w:val="none"/>
        </w:rPr>
      </w:pPr>
    </w:p>
    <w:p w14:paraId="3F973BDB">
      <w:pPr>
        <w:rPr>
          <w:rFonts w:hint="eastAsia"/>
          <w:color w:val="auto"/>
          <w:highlight w:val="none"/>
        </w:rPr>
      </w:pPr>
    </w:p>
    <w:p w14:paraId="1C2B64AB">
      <w:pPr>
        <w:pStyle w:val="20"/>
        <w:rPr>
          <w:rFonts w:hint="eastAsia"/>
          <w:color w:val="auto"/>
          <w:highlight w:val="none"/>
        </w:rPr>
      </w:pPr>
    </w:p>
    <w:p w14:paraId="09989BD5">
      <w:pPr>
        <w:rPr>
          <w:rFonts w:hint="eastAsia"/>
          <w:color w:val="auto"/>
          <w:highlight w:val="none"/>
        </w:rPr>
      </w:pPr>
    </w:p>
    <w:p w14:paraId="733A6E2A">
      <w:pPr>
        <w:pStyle w:val="20"/>
        <w:rPr>
          <w:rFonts w:hint="eastAsia"/>
          <w:color w:val="auto"/>
          <w:highlight w:val="none"/>
        </w:rPr>
      </w:pPr>
    </w:p>
    <w:p w14:paraId="1568661B">
      <w:pPr>
        <w:pStyle w:val="45"/>
        <w:adjustRightInd w:val="0"/>
        <w:snapToGrid w:val="0"/>
        <w:spacing w:line="560" w:lineRule="exact"/>
        <w:rPr>
          <w:rFonts w:hint="eastAsia" w:ascii="宋体"/>
          <w:color w:val="auto"/>
          <w:sz w:val="30"/>
          <w:szCs w:val="30"/>
          <w:highlight w:val="none"/>
        </w:rPr>
      </w:pPr>
    </w:p>
    <w:p w14:paraId="7EF50E08">
      <w:pPr>
        <w:rPr>
          <w:rFonts w:hint="eastAsia"/>
          <w:color w:val="auto"/>
          <w:highlight w:val="none"/>
        </w:rPr>
      </w:pPr>
    </w:p>
    <w:p w14:paraId="4B3E30A7">
      <w:pPr>
        <w:rPr>
          <w:rFonts w:hint="eastAsia"/>
          <w:color w:val="auto"/>
          <w:highlight w:val="none"/>
        </w:rPr>
      </w:pPr>
    </w:p>
    <w:p w14:paraId="623CD6B4">
      <w:pPr>
        <w:pStyle w:val="45"/>
        <w:adjustRightInd w:val="0"/>
        <w:snapToGrid w:val="0"/>
        <w:spacing w:line="560" w:lineRule="exact"/>
        <w:rPr>
          <w:rFonts w:hint="eastAsia" w:ascii="宋体"/>
          <w:color w:val="auto"/>
          <w:sz w:val="30"/>
          <w:szCs w:val="30"/>
          <w:highlight w:val="none"/>
        </w:rPr>
      </w:pPr>
    </w:p>
    <w:p w14:paraId="6CA2FF9F">
      <w:pPr>
        <w:pStyle w:val="45"/>
        <w:adjustRightInd w:val="0"/>
        <w:snapToGrid w:val="0"/>
        <w:spacing w:line="560" w:lineRule="exact"/>
        <w:rPr>
          <w:rFonts w:hint="eastAsia" w:ascii="宋体"/>
          <w:color w:val="auto"/>
          <w:sz w:val="30"/>
          <w:szCs w:val="30"/>
          <w:highlight w:val="none"/>
        </w:rPr>
      </w:pPr>
    </w:p>
    <w:p w14:paraId="2A9F0813">
      <w:pPr>
        <w:pStyle w:val="45"/>
        <w:adjustRightInd w:val="0"/>
        <w:snapToGrid w:val="0"/>
        <w:spacing w:line="560" w:lineRule="exact"/>
        <w:rPr>
          <w:rFonts w:hint="eastAsia" w:ascii="宋体"/>
          <w:color w:val="auto"/>
          <w:sz w:val="30"/>
          <w:szCs w:val="30"/>
          <w:highlight w:val="none"/>
        </w:rPr>
      </w:pPr>
      <w:r>
        <w:rPr>
          <w:rFonts w:hint="eastAsia" w:ascii="宋体"/>
          <w:color w:val="auto"/>
          <w:sz w:val="30"/>
          <w:szCs w:val="30"/>
          <w:highlight w:val="none"/>
        </w:rPr>
        <w:t>2. 授权委托书</w:t>
      </w:r>
    </w:p>
    <w:p w14:paraId="76E36E1C">
      <w:pPr>
        <w:adjustRightInd w:val="0"/>
        <w:snapToGrid w:val="0"/>
        <w:spacing w:line="560" w:lineRule="exact"/>
        <w:ind w:firstLine="560" w:firstLineChars="200"/>
        <w:rPr>
          <w:rFonts w:hint="eastAsia" w:ascii="宋体"/>
          <w:color w:val="auto"/>
          <w:sz w:val="28"/>
          <w:szCs w:val="28"/>
          <w:highlight w:val="none"/>
        </w:rPr>
      </w:pPr>
      <w:r>
        <w:rPr>
          <w:rFonts w:hint="eastAsia" w:ascii="宋体"/>
          <w:color w:val="auto"/>
          <w:sz w:val="28"/>
          <w:szCs w:val="28"/>
          <w:highlight w:val="none"/>
        </w:rPr>
        <w:t xml:space="preserve">本人 </w:t>
      </w:r>
      <w:r>
        <w:rPr>
          <w:rFonts w:hint="eastAsia" w:ascii="宋体"/>
          <w:color w:val="auto"/>
          <w:sz w:val="28"/>
          <w:szCs w:val="28"/>
          <w:highlight w:val="none"/>
          <w:u w:val="single"/>
        </w:rPr>
        <w:t xml:space="preserve">    </w:t>
      </w:r>
      <w:r>
        <w:rPr>
          <w:rFonts w:hint="eastAsia" w:ascii="宋体"/>
          <w:color w:val="auto"/>
          <w:sz w:val="28"/>
          <w:szCs w:val="28"/>
          <w:highlight w:val="none"/>
        </w:rPr>
        <w:t>（姓名）系</w:t>
      </w:r>
      <w:r>
        <w:rPr>
          <w:rFonts w:hint="eastAsia" w:ascii="宋体"/>
          <w:color w:val="auto"/>
          <w:sz w:val="28"/>
          <w:szCs w:val="28"/>
          <w:highlight w:val="none"/>
          <w:u w:val="single"/>
        </w:rPr>
        <w:t xml:space="preserve">       </w:t>
      </w:r>
      <w:r>
        <w:rPr>
          <w:rFonts w:hint="eastAsia" w:ascii="宋体"/>
          <w:color w:val="auto"/>
          <w:sz w:val="28"/>
          <w:szCs w:val="28"/>
          <w:highlight w:val="none"/>
        </w:rPr>
        <w:t>（投标人）的法定代表人，现委托</w:t>
      </w:r>
      <w:r>
        <w:rPr>
          <w:rFonts w:hint="eastAsia" w:ascii="宋体"/>
          <w:color w:val="auto"/>
          <w:sz w:val="28"/>
          <w:szCs w:val="28"/>
          <w:highlight w:val="none"/>
          <w:u w:val="single"/>
        </w:rPr>
        <w:t xml:space="preserve">   </w:t>
      </w:r>
      <w:r>
        <w:rPr>
          <w:rFonts w:hint="eastAsia" w:ascii="宋体"/>
          <w:color w:val="auto"/>
          <w:sz w:val="28"/>
          <w:szCs w:val="28"/>
          <w:highlight w:val="none"/>
        </w:rPr>
        <w:t>（姓名）为我方代理人。代理人根据授权，以我方名义签署、澄清、说明、补正、递交、撤回、修改 “</w:t>
      </w:r>
      <w:r>
        <w:rPr>
          <w:rFonts w:hint="eastAsia" w:ascii="宋体"/>
          <w:color w:val="auto"/>
          <w:sz w:val="28"/>
          <w:szCs w:val="28"/>
          <w:highlight w:val="none"/>
          <w:u w:val="single"/>
        </w:rPr>
        <w:t xml:space="preserve">      </w:t>
      </w:r>
      <w:r>
        <w:rPr>
          <w:rFonts w:hint="eastAsia" w:ascii="宋体"/>
          <w:color w:val="auto"/>
          <w:sz w:val="28"/>
          <w:szCs w:val="28"/>
          <w:highlight w:val="none"/>
        </w:rPr>
        <w:t xml:space="preserve"> ”</w:t>
      </w:r>
      <w:r>
        <w:rPr>
          <w:rFonts w:hint="eastAsia" w:ascii="宋体"/>
          <w:color w:val="auto"/>
          <w:sz w:val="28"/>
          <w:szCs w:val="28"/>
          <w:highlight w:val="none"/>
          <w:lang w:eastAsia="zh-CN"/>
        </w:rPr>
        <w:t>（</w:t>
      </w:r>
      <w:r>
        <w:rPr>
          <w:rFonts w:hint="eastAsia" w:ascii="宋体"/>
          <w:color w:val="auto"/>
          <w:sz w:val="28"/>
          <w:szCs w:val="28"/>
          <w:highlight w:val="none"/>
        </w:rPr>
        <w:t>项目名称、编号）投标文件，全权处理与该项目投标、评审答疑、签订合同以及与合同执行有关的一切事务，其法律后果由我方承担。</w:t>
      </w:r>
    </w:p>
    <w:p w14:paraId="6F54098A">
      <w:pPr>
        <w:adjustRightInd w:val="0"/>
        <w:snapToGrid w:val="0"/>
        <w:spacing w:line="560" w:lineRule="exact"/>
        <w:ind w:firstLine="560" w:firstLineChars="200"/>
        <w:rPr>
          <w:rFonts w:hint="eastAsia" w:ascii="宋体"/>
          <w:color w:val="auto"/>
          <w:sz w:val="28"/>
          <w:szCs w:val="28"/>
          <w:highlight w:val="none"/>
        </w:rPr>
      </w:pPr>
      <w:r>
        <w:rPr>
          <w:rFonts w:hint="eastAsia" w:ascii="宋体"/>
          <w:color w:val="auto"/>
          <w:sz w:val="28"/>
          <w:szCs w:val="28"/>
          <w:highlight w:val="none"/>
        </w:rPr>
        <w:t xml:space="preserve">委托期限： </w:t>
      </w:r>
      <w:r>
        <w:rPr>
          <w:rFonts w:hint="eastAsia" w:ascii="宋体" w:cs="宋体"/>
          <w:b/>
          <w:bCs/>
          <w:color w:val="auto"/>
          <w:sz w:val="28"/>
          <w:szCs w:val="28"/>
          <w:highlight w:val="none"/>
          <w:u w:val="single"/>
        </w:rPr>
        <w:t xml:space="preserve"> </w:t>
      </w:r>
      <w:r>
        <w:rPr>
          <w:rFonts w:hint="eastAsia" w:ascii="宋体" w:cs="宋体"/>
          <w:b/>
          <w:bCs/>
          <w:color w:val="auto"/>
          <w:sz w:val="28"/>
          <w:szCs w:val="28"/>
          <w:highlight w:val="none"/>
          <w:u w:val="single"/>
          <w:lang w:val="en-US" w:eastAsia="zh-CN"/>
        </w:rPr>
        <w:t xml:space="preserve">同投标有效期 </w:t>
      </w:r>
      <w:r>
        <w:rPr>
          <w:rFonts w:hint="eastAsia" w:ascii="宋体" w:cs="宋体"/>
          <w:b/>
          <w:bCs/>
          <w:color w:val="auto"/>
          <w:sz w:val="28"/>
          <w:szCs w:val="28"/>
          <w:highlight w:val="none"/>
        </w:rPr>
        <w:t>。</w:t>
      </w:r>
      <w:r>
        <w:rPr>
          <w:rFonts w:hint="eastAsia" w:ascii="宋体"/>
          <w:b/>
          <w:bCs/>
          <w:color w:val="auto"/>
          <w:sz w:val="28"/>
          <w:szCs w:val="28"/>
          <w:highlight w:val="none"/>
        </w:rPr>
        <w:t xml:space="preserve"> </w:t>
      </w:r>
      <w:r>
        <w:rPr>
          <w:rFonts w:hint="eastAsia" w:ascii="宋体"/>
          <w:color w:val="auto"/>
          <w:sz w:val="28"/>
          <w:szCs w:val="28"/>
          <w:highlight w:val="none"/>
        </w:rPr>
        <w:t xml:space="preserve">                    </w:t>
      </w:r>
    </w:p>
    <w:p w14:paraId="3EE8F9CC">
      <w:pPr>
        <w:adjustRightInd w:val="0"/>
        <w:snapToGrid w:val="0"/>
        <w:spacing w:line="560" w:lineRule="exact"/>
        <w:ind w:firstLine="560" w:firstLineChars="200"/>
        <w:rPr>
          <w:rFonts w:hint="eastAsia" w:ascii="宋体"/>
          <w:color w:val="auto"/>
          <w:sz w:val="28"/>
          <w:szCs w:val="28"/>
          <w:highlight w:val="none"/>
        </w:rPr>
      </w:pPr>
      <w:r>
        <w:rPr>
          <w:rFonts w:hint="eastAsia" w:ascii="宋体"/>
          <w:color w:val="auto"/>
          <w:sz w:val="28"/>
          <w:szCs w:val="28"/>
          <w:highlight w:val="none"/>
        </w:rPr>
        <w:t>代理人无转委托权。</w:t>
      </w:r>
    </w:p>
    <w:p w14:paraId="7862E561">
      <w:pPr>
        <w:adjustRightInd w:val="0"/>
        <w:snapToGrid w:val="0"/>
        <w:spacing w:line="560" w:lineRule="exact"/>
        <w:ind w:firstLine="560" w:firstLineChars="200"/>
        <w:rPr>
          <w:rFonts w:hint="eastAsia" w:ascii="宋体"/>
          <w:b/>
          <w:color w:val="auto"/>
          <w:sz w:val="28"/>
          <w:szCs w:val="28"/>
          <w:highlight w:val="none"/>
        </w:rPr>
      </w:pPr>
      <w:r>
        <w:rPr>
          <w:rFonts w:hint="eastAsia" w:ascii="宋体"/>
          <w:color w:val="auto"/>
          <w:sz w:val="28"/>
          <w:szCs w:val="28"/>
          <w:highlight w:val="none"/>
        </w:rPr>
        <w:t>附：</w:t>
      </w:r>
      <w:r>
        <w:rPr>
          <w:rFonts w:hint="eastAsia" w:ascii="宋体"/>
          <w:b/>
          <w:color w:val="auto"/>
          <w:sz w:val="28"/>
          <w:szCs w:val="28"/>
          <w:highlight w:val="none"/>
        </w:rPr>
        <w:t>委托代理人有效身份证扫描件</w:t>
      </w:r>
    </w:p>
    <w:p w14:paraId="1AA6AD0B">
      <w:pPr>
        <w:adjustRightInd w:val="0"/>
        <w:snapToGrid w:val="0"/>
        <w:spacing w:line="560" w:lineRule="exact"/>
        <w:ind w:firstLine="1116" w:firstLineChars="397"/>
        <w:rPr>
          <w:rFonts w:hint="eastAsia" w:ascii="宋体"/>
          <w:b/>
          <w:color w:val="auto"/>
          <w:sz w:val="28"/>
          <w:szCs w:val="28"/>
          <w:highlight w:val="none"/>
        </w:rPr>
      </w:pPr>
      <w:r>
        <w:rPr>
          <w:rFonts w:hint="eastAsia" w:ascii="宋体"/>
          <w:b/>
          <w:color w:val="auto"/>
          <w:sz w:val="28"/>
          <w:szCs w:val="28"/>
          <w:highlight w:val="none"/>
        </w:rPr>
        <w:t>法定代表人有效身份证扫描件</w:t>
      </w:r>
    </w:p>
    <w:p w14:paraId="5E22F448">
      <w:pPr>
        <w:adjustRightInd w:val="0"/>
        <w:snapToGrid w:val="0"/>
        <w:spacing w:line="560" w:lineRule="exact"/>
        <w:ind w:firstLine="560" w:firstLineChars="200"/>
        <w:rPr>
          <w:rFonts w:hint="eastAsia" w:ascii="宋体"/>
          <w:color w:val="auto"/>
          <w:sz w:val="28"/>
          <w:szCs w:val="28"/>
          <w:highlight w:val="none"/>
        </w:rPr>
      </w:pPr>
    </w:p>
    <w:p w14:paraId="125486B1">
      <w:pPr>
        <w:adjustRightInd w:val="0"/>
        <w:snapToGrid w:val="0"/>
        <w:spacing w:line="560" w:lineRule="exact"/>
        <w:ind w:firstLine="200"/>
        <w:rPr>
          <w:rFonts w:hint="eastAsia" w:ascii="宋体"/>
          <w:color w:val="auto"/>
          <w:sz w:val="28"/>
          <w:szCs w:val="28"/>
          <w:highlight w:val="none"/>
        </w:rPr>
      </w:pPr>
      <w:r>
        <w:rPr>
          <w:rFonts w:hint="eastAsia" w:ascii="宋体"/>
          <w:color w:val="auto"/>
          <w:sz w:val="28"/>
          <w:szCs w:val="28"/>
          <w:highlight w:val="none"/>
        </w:rPr>
        <w:t xml:space="preserve">                           投标人（签章）：</w:t>
      </w:r>
    </w:p>
    <w:p w14:paraId="03956DB8">
      <w:pPr>
        <w:adjustRightInd w:val="0"/>
        <w:snapToGrid w:val="0"/>
        <w:spacing w:line="560" w:lineRule="exact"/>
        <w:ind w:firstLine="2660" w:firstLineChars="950"/>
        <w:rPr>
          <w:rFonts w:hint="eastAsia" w:ascii="宋体"/>
          <w:color w:val="auto"/>
          <w:sz w:val="28"/>
          <w:szCs w:val="28"/>
          <w:highlight w:val="none"/>
        </w:rPr>
      </w:pPr>
      <w:r>
        <w:rPr>
          <w:rFonts w:hint="eastAsia" w:ascii="宋体"/>
          <w:color w:val="auto"/>
          <w:sz w:val="28"/>
          <w:szCs w:val="28"/>
          <w:highlight w:val="none"/>
        </w:rPr>
        <w:t>法定代表人（身份证号码）：             （签章）</w:t>
      </w:r>
    </w:p>
    <w:p w14:paraId="37209903">
      <w:pPr>
        <w:pStyle w:val="20"/>
        <w:rPr>
          <w:rFonts w:hint="eastAsia" w:ascii="宋体"/>
          <w:color w:val="auto"/>
          <w:sz w:val="28"/>
          <w:szCs w:val="28"/>
          <w:highlight w:val="none"/>
        </w:rPr>
      </w:pPr>
      <w:r>
        <w:rPr>
          <w:rFonts w:hint="eastAsia"/>
          <w:color w:val="auto"/>
          <w:highlight w:val="none"/>
        </w:rPr>
        <w:t xml:space="preserve">                                 </w:t>
      </w:r>
      <w:r>
        <w:rPr>
          <w:rFonts w:hint="eastAsia" w:ascii="宋体"/>
          <w:color w:val="auto"/>
          <w:sz w:val="28"/>
          <w:szCs w:val="28"/>
          <w:highlight w:val="none"/>
        </w:rPr>
        <w:t xml:space="preserve">    联系方式：</w:t>
      </w:r>
    </w:p>
    <w:p w14:paraId="34F27B01">
      <w:pPr>
        <w:adjustRightInd w:val="0"/>
        <w:snapToGrid w:val="0"/>
        <w:spacing w:line="560" w:lineRule="exact"/>
        <w:ind w:firstLine="2660" w:firstLineChars="950"/>
        <w:rPr>
          <w:rFonts w:hint="eastAsia" w:ascii="宋体"/>
          <w:color w:val="auto"/>
          <w:sz w:val="28"/>
          <w:szCs w:val="28"/>
          <w:highlight w:val="none"/>
        </w:rPr>
      </w:pPr>
      <w:r>
        <w:rPr>
          <w:rFonts w:hint="eastAsia" w:ascii="宋体"/>
          <w:color w:val="auto"/>
          <w:sz w:val="28"/>
          <w:szCs w:val="28"/>
          <w:highlight w:val="none"/>
        </w:rPr>
        <w:t xml:space="preserve">委托代理人（身份证号码）：      </w:t>
      </w:r>
    </w:p>
    <w:p w14:paraId="45BE2839">
      <w:pPr>
        <w:adjustRightInd w:val="0"/>
        <w:snapToGrid w:val="0"/>
        <w:spacing w:line="560" w:lineRule="exact"/>
        <w:ind w:firstLine="2660" w:firstLineChars="950"/>
        <w:rPr>
          <w:rFonts w:hint="eastAsia" w:ascii="宋体"/>
          <w:color w:val="auto"/>
          <w:sz w:val="28"/>
          <w:szCs w:val="28"/>
          <w:highlight w:val="none"/>
        </w:rPr>
      </w:pPr>
      <w:r>
        <w:rPr>
          <w:rFonts w:hint="eastAsia" w:ascii="宋体"/>
          <w:color w:val="auto"/>
          <w:sz w:val="28"/>
          <w:szCs w:val="28"/>
          <w:highlight w:val="none"/>
        </w:rPr>
        <w:t xml:space="preserve">                联系方式：</w:t>
      </w:r>
    </w:p>
    <w:p w14:paraId="7A733C73">
      <w:pPr>
        <w:adjustRightInd w:val="0"/>
        <w:snapToGrid w:val="0"/>
        <w:spacing w:line="560" w:lineRule="exact"/>
        <w:ind w:firstLine="3290" w:firstLineChars="1175"/>
        <w:rPr>
          <w:rFonts w:hint="eastAsia" w:ascii="宋体"/>
          <w:color w:val="auto"/>
          <w:sz w:val="28"/>
          <w:szCs w:val="28"/>
          <w:highlight w:val="none"/>
        </w:rPr>
      </w:pPr>
      <w:r>
        <w:rPr>
          <w:rFonts w:hint="eastAsia" w:ascii="宋体"/>
          <w:color w:val="auto"/>
          <w:sz w:val="28"/>
          <w:szCs w:val="28"/>
          <w:highlight w:val="none"/>
        </w:rPr>
        <w:t xml:space="preserve">              年    月    日</w:t>
      </w:r>
    </w:p>
    <w:p w14:paraId="097F30EB">
      <w:pPr>
        <w:pStyle w:val="20"/>
        <w:rPr>
          <w:rFonts w:hint="eastAsia"/>
          <w:color w:val="auto"/>
          <w:highlight w:val="none"/>
        </w:rPr>
      </w:pPr>
    </w:p>
    <w:p w14:paraId="461867D6">
      <w:pPr>
        <w:adjustRightInd w:val="0"/>
        <w:snapToGrid w:val="0"/>
        <w:spacing w:line="560" w:lineRule="exact"/>
        <w:rPr>
          <w:rFonts w:hint="eastAsia"/>
          <w:b/>
          <w:color w:val="auto"/>
          <w:sz w:val="28"/>
          <w:szCs w:val="28"/>
          <w:highlight w:val="none"/>
        </w:rPr>
      </w:pPr>
      <w:r>
        <w:rPr>
          <w:rFonts w:hint="eastAsia"/>
          <w:b/>
          <w:color w:val="auto"/>
          <w:sz w:val="28"/>
          <w:szCs w:val="28"/>
          <w:highlight w:val="none"/>
          <w:u w:val="single"/>
        </w:rPr>
        <w:t>（上传电子投标文件时采用本授权委托书）</w:t>
      </w:r>
    </w:p>
    <w:p w14:paraId="59208676">
      <w:pPr>
        <w:adjustRightInd w:val="0"/>
        <w:snapToGrid w:val="0"/>
        <w:spacing w:line="560" w:lineRule="exact"/>
        <w:jc w:val="center"/>
        <w:rPr>
          <w:rFonts w:hint="eastAsia"/>
          <w:b/>
          <w:color w:val="auto"/>
          <w:sz w:val="28"/>
          <w:szCs w:val="28"/>
          <w:highlight w:val="none"/>
        </w:rPr>
      </w:pPr>
    </w:p>
    <w:p w14:paraId="7BC14B5B">
      <w:pPr>
        <w:adjustRightInd w:val="0"/>
        <w:snapToGrid w:val="0"/>
        <w:spacing w:line="560" w:lineRule="exact"/>
        <w:jc w:val="center"/>
        <w:rPr>
          <w:rFonts w:hint="eastAsia"/>
          <w:b/>
          <w:color w:val="auto"/>
          <w:sz w:val="28"/>
          <w:szCs w:val="28"/>
          <w:highlight w:val="none"/>
        </w:rPr>
      </w:pPr>
    </w:p>
    <w:p w14:paraId="3697B652">
      <w:pPr>
        <w:adjustRightInd w:val="0"/>
        <w:snapToGrid w:val="0"/>
        <w:spacing w:line="560" w:lineRule="exact"/>
        <w:jc w:val="center"/>
        <w:rPr>
          <w:rFonts w:hint="eastAsia"/>
          <w:b/>
          <w:color w:val="auto"/>
          <w:sz w:val="28"/>
          <w:szCs w:val="28"/>
          <w:highlight w:val="none"/>
        </w:rPr>
      </w:pPr>
    </w:p>
    <w:p w14:paraId="624ACBEC">
      <w:pPr>
        <w:adjustRightInd w:val="0"/>
        <w:snapToGrid w:val="0"/>
        <w:spacing w:line="560" w:lineRule="exact"/>
        <w:jc w:val="center"/>
        <w:rPr>
          <w:rFonts w:hint="eastAsia"/>
          <w:b/>
          <w:color w:val="auto"/>
          <w:sz w:val="28"/>
          <w:szCs w:val="28"/>
          <w:highlight w:val="none"/>
        </w:rPr>
      </w:pPr>
    </w:p>
    <w:p w14:paraId="1534DBE2">
      <w:pPr>
        <w:adjustRightInd w:val="0"/>
        <w:snapToGrid w:val="0"/>
        <w:spacing w:line="560" w:lineRule="exact"/>
        <w:jc w:val="center"/>
        <w:rPr>
          <w:rFonts w:hint="eastAsia"/>
          <w:b/>
          <w:color w:val="auto"/>
          <w:sz w:val="28"/>
          <w:szCs w:val="28"/>
          <w:highlight w:val="none"/>
        </w:rPr>
      </w:pPr>
    </w:p>
    <w:p w14:paraId="2900AC31">
      <w:pPr>
        <w:adjustRightInd w:val="0"/>
        <w:snapToGrid w:val="0"/>
        <w:spacing w:line="560" w:lineRule="exact"/>
        <w:jc w:val="center"/>
        <w:rPr>
          <w:rFonts w:hint="eastAsia"/>
          <w:b/>
          <w:color w:val="auto"/>
          <w:sz w:val="28"/>
          <w:szCs w:val="28"/>
          <w:highlight w:val="none"/>
        </w:rPr>
      </w:pPr>
    </w:p>
    <w:p w14:paraId="0D1E792F">
      <w:pPr>
        <w:adjustRightInd w:val="0"/>
        <w:snapToGrid w:val="0"/>
        <w:spacing w:line="560" w:lineRule="exact"/>
        <w:jc w:val="center"/>
        <w:rPr>
          <w:rFonts w:hint="eastAsia"/>
          <w:b/>
          <w:color w:val="auto"/>
          <w:sz w:val="28"/>
          <w:szCs w:val="28"/>
          <w:highlight w:val="none"/>
        </w:rPr>
      </w:pPr>
    </w:p>
    <w:p w14:paraId="32C550B6">
      <w:pPr>
        <w:rPr>
          <w:rFonts w:hint="eastAsia"/>
          <w:b/>
          <w:color w:val="auto"/>
          <w:sz w:val="28"/>
          <w:szCs w:val="28"/>
          <w:highlight w:val="none"/>
        </w:rPr>
      </w:pPr>
      <w:r>
        <w:rPr>
          <w:rFonts w:hint="eastAsia"/>
          <w:b/>
          <w:color w:val="auto"/>
          <w:sz w:val="28"/>
          <w:szCs w:val="28"/>
          <w:highlight w:val="none"/>
        </w:rPr>
        <w:br w:type="page"/>
      </w:r>
    </w:p>
    <w:p w14:paraId="16A6F2EF">
      <w:pPr>
        <w:adjustRightInd w:val="0"/>
        <w:snapToGrid w:val="0"/>
        <w:spacing w:line="560" w:lineRule="exact"/>
        <w:jc w:val="center"/>
        <w:rPr>
          <w:rFonts w:hint="eastAsia"/>
          <w:b/>
          <w:color w:val="auto"/>
          <w:sz w:val="28"/>
          <w:szCs w:val="28"/>
          <w:highlight w:val="none"/>
        </w:rPr>
      </w:pPr>
      <w:r>
        <w:rPr>
          <w:rFonts w:hint="eastAsia"/>
          <w:b/>
          <w:color w:val="auto"/>
          <w:sz w:val="28"/>
          <w:szCs w:val="28"/>
          <w:highlight w:val="none"/>
        </w:rPr>
        <w:t>②诚信投标承诺书  </w:t>
      </w:r>
    </w:p>
    <w:p w14:paraId="47FB6B45">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本人以企业法定代表人的身份郑重承诺：</w:t>
      </w:r>
    </w:p>
    <w:p w14:paraId="35AB17F2">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一、将遵循公</w:t>
      </w:r>
      <w:bookmarkStart w:id="1515" w:name="_Toc503196197"/>
      <w:bookmarkStart w:id="1516" w:name="_Toc506107356"/>
      <w:bookmarkStart w:id="1517" w:name="_Toc26598"/>
      <w:r>
        <w:rPr>
          <w:rFonts w:hint="eastAsia" w:ascii="宋体" w:hAnsi="宋体"/>
          <w:color w:val="000000"/>
          <w:szCs w:val="21"/>
        </w:rPr>
        <w:t>开、公正和诚实信用</w:t>
      </w:r>
      <w:bookmarkEnd w:id="1515"/>
      <w:bookmarkEnd w:id="1516"/>
      <w:r>
        <w:rPr>
          <w:rFonts w:hint="eastAsia" w:ascii="宋体" w:hAnsi="宋体"/>
          <w:color w:val="000000"/>
          <w:szCs w:val="21"/>
        </w:rPr>
        <w:t>的</w:t>
      </w:r>
      <w:bookmarkEnd w:id="1517"/>
      <w:r>
        <w:rPr>
          <w:rFonts w:hint="eastAsia" w:ascii="宋体" w:hAnsi="宋体"/>
          <w:color w:val="000000"/>
          <w:szCs w:val="21"/>
        </w:rPr>
        <w:t>原则自愿参加</w:t>
      </w:r>
      <w:r>
        <w:rPr>
          <w:rFonts w:hint="eastAsia" w:ascii="宋体" w:hAnsi="宋体"/>
          <w:color w:val="000000"/>
          <w:szCs w:val="21"/>
          <w:u w:val="single"/>
        </w:rPr>
        <w:t xml:space="preserve">                     （项目名称）</w:t>
      </w:r>
      <w:r>
        <w:rPr>
          <w:rFonts w:hint="eastAsia" w:ascii="宋体" w:hAnsi="宋体"/>
          <w:color w:val="000000"/>
          <w:szCs w:val="21"/>
        </w:rPr>
        <w:t>项目的投标；</w:t>
      </w:r>
    </w:p>
    <w:p w14:paraId="2AB0D04E">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二、所提供的一切材料都是真实、合法的；</w:t>
      </w:r>
    </w:p>
    <w:p w14:paraId="012D4D8E">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三、不出借、转让资质证书，不让他人挂靠投标，不以他人名义投标或者以其他方式弄虚作假，骗取中标；</w:t>
      </w:r>
    </w:p>
    <w:p w14:paraId="609B022C">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四、不与其他投标人相互串通投标报价，不排挤其他投标人的公平竞争、损害招标人的合法权益；</w:t>
      </w:r>
    </w:p>
    <w:p w14:paraId="150D3B4C">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五、不与招标人、招标代理机构或其他投标人串通投标，损害国家利益、社会公共利益或者他人的合法权益；</w:t>
      </w:r>
    </w:p>
    <w:p w14:paraId="3B86610F">
      <w:pPr>
        <w:adjustRightInd w:val="0"/>
        <w:snapToGrid w:val="0"/>
        <w:spacing w:line="560" w:lineRule="exact"/>
        <w:ind w:firstLine="420" w:firstLineChars="200"/>
        <w:rPr>
          <w:rFonts w:hint="eastAsia"/>
          <w:color w:val="000000"/>
          <w:szCs w:val="21"/>
        </w:rPr>
      </w:pPr>
      <w:r>
        <w:rPr>
          <w:rFonts w:hint="eastAsia" w:ascii="宋体" w:hAnsi="宋体"/>
          <w:color w:val="000000"/>
          <w:szCs w:val="21"/>
        </w:rPr>
        <w:t>六、</w:t>
      </w:r>
      <w:r>
        <w:rPr>
          <w:rFonts w:hint="eastAsia" w:ascii="宋体" w:hAnsi="宋体"/>
          <w:color w:val="000000"/>
          <w:szCs w:val="21"/>
          <w:u w:val="none"/>
          <w:lang w:eastAsia="zh-CN"/>
        </w:rPr>
        <w:t>我公司</w:t>
      </w:r>
      <w:r>
        <w:rPr>
          <w:rFonts w:hint="eastAsia" w:ascii="Times New Roman" w:hAnsi="Times New Roman"/>
          <w:smallCaps w:val="0"/>
        </w:rPr>
        <w:t>（包括联合体各成员）</w:t>
      </w:r>
      <w:r>
        <w:rPr>
          <w:rFonts w:hint="eastAsia" w:ascii="宋体" w:hAnsi="宋体"/>
          <w:color w:val="000000"/>
          <w:szCs w:val="21"/>
        </w:rPr>
        <w:t>没有下列情形：</w:t>
      </w:r>
      <w:bookmarkStart w:id="1518" w:name="OLE_LINK134"/>
      <w:bookmarkStart w:id="1519" w:name="OLE_LINK133"/>
      <w:r>
        <w:rPr>
          <w:rFonts w:hint="eastAsia" w:ascii="宋体" w:hAnsi="宋体"/>
          <w:color w:val="000000"/>
          <w:szCs w:val="21"/>
        </w:rPr>
        <w:t>①被列入“信用中国”网站“失信被执行人”的</w:t>
      </w:r>
      <w:r>
        <w:rPr>
          <w:rFonts w:hint="eastAsia" w:ascii="宋体" w:hAnsi="宋体"/>
          <w:color w:val="000000"/>
          <w:szCs w:val="21"/>
          <w:lang w:eastAsia="zh-CN"/>
        </w:rPr>
        <w:t>；</w:t>
      </w:r>
      <w:r>
        <w:rPr>
          <w:rFonts w:hint="eastAsia" w:ascii="宋体" w:hAnsi="宋体"/>
          <w:color w:val="000000"/>
          <w:szCs w:val="21"/>
        </w:rPr>
        <w:t>②被列入“信用中国”网站“重大税收违法失信主体”的；③被列入“信用中国”网站“拖欠农民工工资失信联合惩戒对象名单”的；④被列入“信用中国”网站“</w:t>
      </w:r>
      <w:r>
        <w:rPr>
          <w:rFonts w:hint="eastAsia" w:ascii="Times New Roman" w:hAnsi="Times New Roman"/>
          <w:smallCaps w:val="0"/>
          <w:lang w:eastAsia="zh-CN"/>
        </w:rPr>
        <w:t>安全生产严重失信主体名单</w:t>
      </w:r>
      <w:r>
        <w:rPr>
          <w:rFonts w:hint="eastAsia" w:ascii="宋体" w:hAnsi="宋体"/>
          <w:color w:val="000000"/>
          <w:szCs w:val="21"/>
        </w:rPr>
        <w:t>”的；⑤被列入国家企业信用信息公示系统网站“严重违法失信名单”的</w:t>
      </w:r>
      <w:r>
        <w:rPr>
          <w:rFonts w:hint="eastAsia" w:ascii="宋体" w:hAnsi="宋体"/>
          <w:color w:val="000000"/>
          <w:szCs w:val="21"/>
          <w:lang w:eastAsia="zh-CN"/>
        </w:rPr>
        <w:t>；</w:t>
      </w:r>
      <w:r>
        <w:rPr>
          <w:rFonts w:hint="eastAsia"/>
          <w:color w:val="000000"/>
          <w:szCs w:val="21"/>
        </w:rPr>
        <w:t>（</w:t>
      </w:r>
      <w:bookmarkEnd w:id="1518"/>
      <w:bookmarkEnd w:id="1519"/>
      <w:r>
        <w:rPr>
          <w:rFonts w:hint="eastAsia"/>
          <w:color w:val="000000"/>
          <w:szCs w:val="21"/>
        </w:rPr>
        <w:t>若招标文件对投标人</w:t>
      </w:r>
      <w:r>
        <w:rPr>
          <w:rFonts w:hint="eastAsia" w:ascii="Times New Roman" w:hAnsi="Times New Roman"/>
          <w:smallCaps w:val="0"/>
        </w:rPr>
        <w:t>（包括联合体各成员）</w:t>
      </w:r>
      <w:r>
        <w:rPr>
          <w:rFonts w:hint="eastAsia"/>
          <w:color w:val="000000"/>
          <w:szCs w:val="21"/>
        </w:rPr>
        <w:t>所属分公司、办事处等分支机构有上述</w:t>
      </w:r>
      <w:r>
        <w:rPr>
          <w:color w:val="000000"/>
          <w:szCs w:val="21"/>
        </w:rPr>
        <w:t>1-</w:t>
      </w:r>
      <w:r>
        <w:rPr>
          <w:rFonts w:hint="eastAsia"/>
          <w:color w:val="000000"/>
          <w:szCs w:val="21"/>
          <w:lang w:val="en-US" w:eastAsia="zh-CN"/>
        </w:rPr>
        <w:t>5</w:t>
      </w:r>
      <w:r>
        <w:rPr>
          <w:rFonts w:hint="eastAsia"/>
          <w:color w:val="000000"/>
          <w:szCs w:val="21"/>
        </w:rPr>
        <w:t>项信誉要求，在此一并承诺我公司</w:t>
      </w:r>
      <w:r>
        <w:rPr>
          <w:rFonts w:hint="eastAsia" w:ascii="Times New Roman" w:hAnsi="Times New Roman"/>
          <w:smallCaps w:val="0"/>
        </w:rPr>
        <w:t>（包括联合体各成员）</w:t>
      </w:r>
      <w:r>
        <w:rPr>
          <w:rFonts w:hint="eastAsia"/>
          <w:color w:val="000000"/>
          <w:szCs w:val="21"/>
        </w:rPr>
        <w:t>所属分公司、办事处等分支机构没有上述</w:t>
      </w:r>
      <w:r>
        <w:rPr>
          <w:color w:val="000000"/>
          <w:szCs w:val="21"/>
        </w:rPr>
        <w:t>1-</w:t>
      </w:r>
      <w:r>
        <w:rPr>
          <w:rFonts w:hint="eastAsia"/>
          <w:color w:val="000000"/>
          <w:szCs w:val="21"/>
          <w:lang w:val="en-US" w:eastAsia="zh-CN"/>
        </w:rPr>
        <w:t>5</w:t>
      </w:r>
      <w:r>
        <w:rPr>
          <w:rFonts w:hint="eastAsia"/>
          <w:color w:val="000000"/>
          <w:szCs w:val="21"/>
        </w:rPr>
        <w:t>项情形）</w:t>
      </w:r>
    </w:p>
    <w:p w14:paraId="5D670157">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七、</w:t>
      </w:r>
      <w:r>
        <w:rPr>
          <w:rFonts w:hint="eastAsia" w:ascii="Times New Roman" w:cs="宋体"/>
          <w:color w:val="000000"/>
          <w:szCs w:val="24"/>
        </w:rPr>
        <w:t>本次投标不存在第二章“投标人须知”第1.4.3项规定的任何一种情形</w:t>
      </w:r>
      <w:r>
        <w:rPr>
          <w:rFonts w:hint="eastAsia" w:ascii="Times New Roman" w:cs="宋体"/>
          <w:color w:val="000000"/>
          <w:szCs w:val="24"/>
          <w:lang w:eastAsia="zh-CN"/>
        </w:rPr>
        <w:t>；</w:t>
      </w:r>
    </w:p>
    <w:p w14:paraId="138D59A8">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八、严格遵守开标现场纪律，服从监管人员管理；</w:t>
      </w:r>
    </w:p>
    <w:p w14:paraId="087F108E">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九、保证中标后不转包及使用挂靠施工队伍，若有分包征得建设单位同意；</w:t>
      </w:r>
    </w:p>
    <w:p w14:paraId="2D018A7F">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十、保证中标之后，按照投标文件承诺派驻管理人员及投入机械设备，如有违反，同意接受建设单位违约处罚；</w:t>
      </w:r>
    </w:p>
    <w:p w14:paraId="0875AE86">
      <w:pPr>
        <w:adjustRightInd w:val="0"/>
        <w:snapToGrid w:val="0"/>
        <w:spacing w:line="560" w:lineRule="exact"/>
        <w:ind w:firstLine="420" w:firstLineChars="200"/>
        <w:rPr>
          <w:rFonts w:ascii="宋体" w:hAnsi="宋体"/>
          <w:color w:val="000000"/>
          <w:szCs w:val="21"/>
        </w:rPr>
      </w:pPr>
      <w:r>
        <w:rPr>
          <w:rFonts w:hint="eastAsia" w:ascii="宋体" w:hAnsi="宋体"/>
          <w:color w:val="000000"/>
          <w:szCs w:val="21"/>
        </w:rPr>
        <w:t>十一、保证企业及所属相关人员在本次投标中无行贿等犯罪行为；</w:t>
      </w:r>
    </w:p>
    <w:p w14:paraId="0AEABF11">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十二、如我公司中标，保证中标的项目经理（建造师）无其他尚未完工（以竣工、交工、完工验收报告等手续为准）项目或在已中标项目（以发放中标通知书为准）中担任项目经理（建造师）情形。如有，项目在滁州市区域内的，接受中标无效、记入不良行为记录等处理；项目在滁州市区域外的，保证在中标候选人公示期第一日起开始计算7日内，提供经行政主管部门备案的变更证明材料，否则接受中标无效、记入不良行为记录等处理；</w:t>
      </w:r>
    </w:p>
    <w:p w14:paraId="26DBB380">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十三、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65EEF1AD">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十四、如我公司中标，按照国务院《关于全面治理拖欠农民工工资问题的意见》（国办发</w:t>
      </w:r>
      <w:r>
        <w:rPr>
          <w:rFonts w:hint="eastAsia" w:ascii="宋体" w:hAnsi="宋体"/>
          <w:color w:val="000000"/>
          <w:szCs w:val="21"/>
          <w:lang w:eastAsia="zh-CN"/>
        </w:rPr>
        <w:t>〔2016〕1号</w:t>
      </w:r>
      <w:r>
        <w:rPr>
          <w:rFonts w:hint="eastAsia" w:ascii="宋体" w:hAnsi="宋体"/>
          <w:color w:val="000000"/>
          <w:szCs w:val="21"/>
        </w:rPr>
        <w:t>）及国家住建部和人社部关于《建筑工人实名制管理办法》（建市</w:t>
      </w:r>
      <w:r>
        <w:rPr>
          <w:rFonts w:hint="eastAsia" w:ascii="宋体" w:hAnsi="宋体"/>
          <w:color w:val="000000"/>
          <w:szCs w:val="21"/>
          <w:lang w:eastAsia="zh-CN"/>
        </w:rPr>
        <w:t>〔2019〕18号</w:t>
      </w:r>
      <w:r>
        <w:rPr>
          <w:rFonts w:hint="eastAsia" w:ascii="宋体" w:hAnsi="宋体"/>
          <w:color w:val="000000"/>
          <w:szCs w:val="21"/>
        </w:rPr>
        <w:t>）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5A0B88BF">
      <w:pPr>
        <w:adjustRightInd w:val="0"/>
        <w:snapToGrid w:val="0"/>
        <w:spacing w:line="560" w:lineRule="exact"/>
        <w:ind w:firstLine="420" w:firstLineChars="200"/>
        <w:rPr>
          <w:rFonts w:hint="eastAsia" w:ascii="宋体" w:hAnsi="宋体"/>
          <w:color w:val="000000"/>
          <w:szCs w:val="21"/>
        </w:rPr>
      </w:pPr>
      <w:r>
        <w:rPr>
          <w:rFonts w:hint="eastAsia" w:ascii="宋体" w:hAnsi="宋体"/>
          <w:color w:val="000000"/>
          <w:szCs w:val="21"/>
        </w:rPr>
        <w:t xml:space="preserve"> 以上内容我已仔细阅读，本公司若有违反承诺内容的行为，自愿接受取消投标或者中标资格、中标无效、记入不良行为记录等有关处理，愿意承担法律责任，给招标人造成损失的，承担赔偿责任。</w:t>
      </w:r>
    </w:p>
    <w:p w14:paraId="434DB350">
      <w:pPr>
        <w:adjustRightInd w:val="0"/>
        <w:snapToGrid w:val="0"/>
        <w:spacing w:line="560" w:lineRule="exact"/>
        <w:rPr>
          <w:rFonts w:hint="eastAsia" w:ascii="宋体" w:hAnsi="宋体"/>
          <w:color w:val="000000"/>
          <w:szCs w:val="21"/>
        </w:rPr>
      </w:pPr>
    </w:p>
    <w:p w14:paraId="78B16039">
      <w:pPr>
        <w:adjustRightInd w:val="0"/>
        <w:snapToGrid w:val="0"/>
        <w:spacing w:line="560" w:lineRule="exact"/>
        <w:ind w:firstLine="420" w:firstLineChars="200"/>
        <w:rPr>
          <w:rFonts w:hint="eastAsia" w:ascii="宋体" w:hAnsi="宋体"/>
          <w:color w:val="000000"/>
          <w:szCs w:val="21"/>
          <w:u w:val="single"/>
        </w:rPr>
      </w:pPr>
      <w:r>
        <w:rPr>
          <w:rFonts w:hint="eastAsia" w:ascii="宋体" w:hAnsi="宋体"/>
          <w:color w:val="000000"/>
          <w:szCs w:val="21"/>
        </w:rPr>
        <w:t>开户银行：</w:t>
      </w:r>
      <w:r>
        <w:rPr>
          <w:rFonts w:hint="eastAsia" w:ascii="宋体" w:hAnsi="宋体"/>
          <w:color w:val="000000"/>
          <w:szCs w:val="21"/>
          <w:u w:val="single"/>
        </w:rPr>
        <w:t xml:space="preserve">                </w:t>
      </w:r>
      <w:r>
        <w:rPr>
          <w:rFonts w:hint="eastAsia" w:ascii="宋体" w:hAnsi="宋体"/>
          <w:color w:val="000000"/>
          <w:szCs w:val="21"/>
        </w:rPr>
        <w:t xml:space="preserve">   基本账户：                             </w:t>
      </w:r>
    </w:p>
    <w:p w14:paraId="7B2D9B5B">
      <w:pPr>
        <w:adjustRightInd w:val="0"/>
        <w:snapToGrid w:val="0"/>
        <w:spacing w:line="560" w:lineRule="exact"/>
        <w:rPr>
          <w:rFonts w:ascii="宋体" w:hAnsi="宋体"/>
          <w:color w:val="000000"/>
          <w:szCs w:val="21"/>
        </w:rPr>
      </w:pPr>
    </w:p>
    <w:p w14:paraId="4A8AD106">
      <w:pPr>
        <w:adjustRightInd w:val="0"/>
        <w:snapToGrid w:val="0"/>
        <w:spacing w:line="560" w:lineRule="exact"/>
        <w:ind w:firstLine="420" w:firstLineChars="200"/>
        <w:rPr>
          <w:rFonts w:hint="eastAsia" w:ascii="宋体" w:hAnsi="宋体"/>
          <w:color w:val="000000"/>
          <w:szCs w:val="21"/>
          <w:u w:val="single"/>
        </w:rPr>
      </w:pPr>
      <w:r>
        <w:rPr>
          <w:rFonts w:hint="eastAsia" w:ascii="宋体" w:hAnsi="宋体"/>
          <w:color w:val="000000"/>
          <w:szCs w:val="21"/>
        </w:rPr>
        <w:t xml:space="preserve">投标人（签章）：  </w:t>
      </w:r>
      <w:r>
        <w:rPr>
          <w:rFonts w:hint="eastAsia" w:ascii="宋体" w:hAnsi="宋体"/>
          <w:color w:val="000000"/>
          <w:szCs w:val="21"/>
          <w:u w:val="single"/>
        </w:rPr>
        <w:t xml:space="preserve">        </w:t>
      </w:r>
      <w:r>
        <w:rPr>
          <w:rFonts w:hint="eastAsia" w:ascii="宋体" w:hAnsi="宋体"/>
          <w:color w:val="000000"/>
          <w:szCs w:val="21"/>
        </w:rPr>
        <w:t>法定代表人（签章）：</w:t>
      </w:r>
      <w:r>
        <w:rPr>
          <w:rFonts w:hint="eastAsia" w:ascii="宋体" w:hAnsi="宋体"/>
          <w:color w:val="000000"/>
          <w:szCs w:val="21"/>
          <w:u w:val="single"/>
        </w:rPr>
        <w:t xml:space="preserve">                           </w:t>
      </w:r>
    </w:p>
    <w:p w14:paraId="5342C885">
      <w:pPr>
        <w:adjustRightInd w:val="0"/>
        <w:snapToGrid w:val="0"/>
        <w:spacing w:line="560" w:lineRule="exact"/>
        <w:rPr>
          <w:rFonts w:hint="eastAsia" w:ascii="宋体" w:hAnsi="宋体"/>
          <w:color w:val="000000"/>
          <w:szCs w:val="21"/>
        </w:rPr>
      </w:pPr>
    </w:p>
    <w:p w14:paraId="5300DEEA">
      <w:pPr>
        <w:pStyle w:val="20"/>
        <w:ind w:left="0" w:leftChars="0" w:firstLine="420" w:firstLineChars="200"/>
        <w:rPr>
          <w:rFonts w:hint="eastAsia"/>
          <w:color w:val="auto"/>
          <w:highlight w:val="none"/>
        </w:rPr>
      </w:pPr>
      <w:r>
        <w:rPr>
          <w:rFonts w:hint="eastAsia" w:ascii="宋体" w:hAnsi="宋体"/>
          <w:color w:val="000000"/>
          <w:szCs w:val="21"/>
        </w:rPr>
        <w:t>日期：</w:t>
      </w:r>
      <w:r>
        <w:rPr>
          <w:rFonts w:ascii="宋体" w:hAnsi="宋体"/>
          <w:color w:val="000000"/>
          <w:szCs w:val="21"/>
          <w:u w:val="single"/>
        </w:rPr>
        <w:t xml:space="preserve">           </w:t>
      </w:r>
      <w:r>
        <w:rPr>
          <w:rFonts w:hint="eastAsia" w:ascii="宋体" w:hAnsi="宋体"/>
          <w:color w:val="000000"/>
          <w:szCs w:val="21"/>
        </w:rPr>
        <w:t>年</w:t>
      </w: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rPr>
        <w:t>月</w:t>
      </w:r>
      <w:r>
        <w:rPr>
          <w:rFonts w:ascii="宋体" w:hAnsi="宋体"/>
          <w:color w:val="000000"/>
          <w:szCs w:val="21"/>
        </w:rPr>
        <w:t xml:space="preserve"> </w:t>
      </w:r>
      <w:r>
        <w:rPr>
          <w:rFonts w:ascii="宋体" w:hAnsi="宋体"/>
          <w:color w:val="000000"/>
          <w:szCs w:val="21"/>
          <w:u w:val="single"/>
        </w:rPr>
        <w:t xml:space="preserve">            </w:t>
      </w:r>
      <w:r>
        <w:rPr>
          <w:rFonts w:hint="eastAsia" w:ascii="宋体" w:hAnsi="宋体"/>
          <w:color w:val="000000"/>
          <w:szCs w:val="21"/>
        </w:rPr>
        <w:t>日</w:t>
      </w:r>
    </w:p>
    <w:p w14:paraId="4C016C07">
      <w:pPr>
        <w:adjustRightInd w:val="0"/>
        <w:snapToGrid w:val="0"/>
        <w:spacing w:line="560" w:lineRule="exact"/>
        <w:jc w:val="both"/>
        <w:rPr>
          <w:rFonts w:hint="eastAsia"/>
          <w:b/>
          <w:color w:val="auto"/>
          <w:sz w:val="28"/>
          <w:szCs w:val="28"/>
          <w:highlight w:val="none"/>
        </w:rPr>
      </w:pPr>
    </w:p>
    <w:p w14:paraId="57235DDA">
      <w:pPr>
        <w:rPr>
          <w:rFonts w:hint="eastAsia"/>
          <w:color w:val="auto"/>
          <w:highlight w:val="none"/>
        </w:rPr>
      </w:pPr>
    </w:p>
    <w:p w14:paraId="686F5732">
      <w:pPr>
        <w:adjustRightInd w:val="0"/>
        <w:snapToGrid w:val="0"/>
        <w:spacing w:line="560" w:lineRule="exact"/>
        <w:jc w:val="center"/>
        <w:rPr>
          <w:rFonts w:hint="eastAsia"/>
          <w:b/>
          <w:color w:val="auto"/>
          <w:sz w:val="28"/>
          <w:szCs w:val="28"/>
          <w:highlight w:val="none"/>
        </w:rPr>
      </w:pPr>
      <w:r>
        <w:rPr>
          <w:rFonts w:hint="eastAsia"/>
          <w:b/>
          <w:color w:val="auto"/>
          <w:sz w:val="28"/>
          <w:szCs w:val="28"/>
          <w:highlight w:val="none"/>
        </w:rPr>
        <w:t>②公共信用信息报告（无违法违规证明版或核查版））</w:t>
      </w:r>
    </w:p>
    <w:p w14:paraId="5BA1E511">
      <w:pPr>
        <w:pStyle w:val="20"/>
        <w:spacing w:after="0" w:line="560" w:lineRule="exact"/>
        <w:ind w:left="0" w:leftChars="0"/>
        <w:rPr>
          <w:rFonts w:hint="eastAsia" w:ascii="宋体" w:hAnsi="宋体"/>
          <w:color w:val="auto"/>
          <w:szCs w:val="21"/>
          <w:highlight w:val="none"/>
        </w:rPr>
      </w:pPr>
      <w:r>
        <w:rPr>
          <w:rFonts w:hint="eastAsia" w:ascii="宋体" w:hAnsi="宋体"/>
          <w:color w:val="auto"/>
          <w:szCs w:val="21"/>
          <w:highlight w:val="none"/>
        </w:rPr>
        <w:t>符合条件的投标人可在信用中国（安徽）网站（网址</w:t>
      </w:r>
      <w:r>
        <w:rPr>
          <w:rFonts w:ascii="宋体" w:hAnsi="宋体"/>
          <w:color w:val="auto"/>
          <w:szCs w:val="21"/>
          <w:highlight w:val="none"/>
        </w:rPr>
        <w:fldChar w:fldCharType="begin"/>
      </w:r>
      <w:r>
        <w:rPr>
          <w:rFonts w:ascii="宋体" w:hAnsi="宋体"/>
          <w:color w:val="auto"/>
          <w:szCs w:val="21"/>
          <w:highlight w:val="none"/>
        </w:rPr>
        <w:instrText xml:space="preserve"> HYPERLINK "https://credit.ah.gov.cn/xinyongfuwu/index.html" </w:instrText>
      </w:r>
      <w:r>
        <w:rPr>
          <w:rFonts w:ascii="宋体" w:hAnsi="宋体"/>
          <w:color w:val="auto"/>
          <w:szCs w:val="21"/>
          <w:highlight w:val="none"/>
        </w:rPr>
        <w:fldChar w:fldCharType="separate"/>
      </w:r>
      <w:r>
        <w:rPr>
          <w:rStyle w:val="31"/>
          <w:rFonts w:ascii="宋体" w:hAnsi="宋体"/>
          <w:color w:val="auto"/>
          <w:szCs w:val="21"/>
          <w:highlight w:val="none"/>
        </w:rPr>
        <w:t>https://credit.ah.gov.cn/xinyongfuwu/index.html</w:t>
      </w:r>
      <w:r>
        <w:rPr>
          <w:rFonts w:ascii="宋体" w:hAnsi="宋体"/>
          <w:color w:val="auto"/>
          <w:szCs w:val="21"/>
          <w:highlight w:val="none"/>
        </w:rPr>
        <w:fldChar w:fldCharType="end"/>
      </w:r>
      <w:r>
        <w:rPr>
          <w:rFonts w:hint="eastAsia" w:ascii="宋体" w:hAnsi="宋体"/>
          <w:color w:val="auto"/>
          <w:szCs w:val="21"/>
          <w:highlight w:val="none"/>
        </w:rPr>
        <w:t>），获取信用报告（无违法违规证明版或核查版）并上传至投标文件中。</w:t>
      </w:r>
    </w:p>
    <w:p w14:paraId="1F6CB6E3">
      <w:pPr>
        <w:adjustRightInd w:val="0"/>
        <w:snapToGrid w:val="0"/>
        <w:spacing w:line="560" w:lineRule="exact"/>
        <w:jc w:val="both"/>
        <w:rPr>
          <w:rFonts w:ascii="Cambria Math" w:hAnsi="Cambria Math" w:cs="Cambria Math"/>
          <w:b/>
          <w:bCs/>
          <w:color w:val="auto"/>
          <w:sz w:val="32"/>
          <w:szCs w:val="32"/>
          <w:highlight w:val="none"/>
        </w:rPr>
        <w:sectPr>
          <w:headerReference r:id="rId5" w:type="default"/>
          <w:pgSz w:w="11910" w:h="16840"/>
          <w:pgMar w:top="1060" w:right="660" w:bottom="1020" w:left="1120" w:header="0" w:footer="833" w:gutter="0"/>
          <w:pgNumType w:fmt="numberInDash"/>
          <w:cols w:space="720" w:num="1"/>
        </w:sectPr>
      </w:pPr>
    </w:p>
    <w:p w14:paraId="67271104">
      <w:pPr>
        <w:adjustRightInd w:val="0"/>
        <w:snapToGrid w:val="0"/>
        <w:spacing w:line="560" w:lineRule="exact"/>
        <w:jc w:val="center"/>
        <w:rPr>
          <w:rFonts w:hint="eastAsia" w:ascii="Cambria Math" w:hAnsi="Cambria Math" w:cs="Cambria Math"/>
          <w:b/>
          <w:bCs/>
          <w:color w:val="auto"/>
          <w:sz w:val="32"/>
          <w:szCs w:val="32"/>
          <w:highlight w:val="none"/>
        </w:rPr>
      </w:pPr>
    </w:p>
    <w:p w14:paraId="18E1EE1C">
      <w:pPr>
        <w:adjustRightInd w:val="0"/>
        <w:snapToGrid w:val="0"/>
        <w:spacing w:line="560" w:lineRule="exact"/>
        <w:jc w:val="center"/>
        <w:rPr>
          <w:rFonts w:hint="eastAsia" w:ascii="Cambria Math" w:hAnsi="Cambria Math" w:cs="Cambria Math"/>
          <w:b/>
          <w:bCs/>
          <w:color w:val="auto"/>
          <w:sz w:val="32"/>
          <w:szCs w:val="32"/>
          <w:highlight w:val="none"/>
        </w:rPr>
      </w:pPr>
    </w:p>
    <w:p w14:paraId="7C9470F7">
      <w:pPr>
        <w:adjustRightInd w:val="0"/>
        <w:snapToGrid w:val="0"/>
        <w:spacing w:line="560" w:lineRule="exact"/>
        <w:jc w:val="center"/>
        <w:rPr>
          <w:rFonts w:hint="eastAsia" w:ascii="Cambria Math" w:hAnsi="Cambria Math" w:cs="Cambria Math"/>
          <w:b/>
          <w:bCs/>
          <w:color w:val="auto"/>
          <w:sz w:val="32"/>
          <w:szCs w:val="32"/>
          <w:highlight w:val="none"/>
        </w:rPr>
      </w:pPr>
    </w:p>
    <w:p w14:paraId="55FDE813">
      <w:pPr>
        <w:adjustRightInd w:val="0"/>
        <w:snapToGrid w:val="0"/>
        <w:spacing w:line="560" w:lineRule="exact"/>
        <w:jc w:val="center"/>
        <w:rPr>
          <w:rFonts w:hint="eastAsia" w:eastAsia="黑体"/>
          <w:color w:val="auto"/>
          <w:sz w:val="20"/>
          <w:szCs w:val="20"/>
          <w:highlight w:val="none"/>
        </w:rPr>
      </w:pPr>
      <w:r>
        <w:rPr>
          <w:rFonts w:hint="eastAsia" w:eastAsia="黑体"/>
          <w:color w:val="auto"/>
          <w:sz w:val="28"/>
          <w:szCs w:val="28"/>
          <w:highlight w:val="none"/>
          <w:u w:val="single"/>
        </w:rPr>
        <w:t xml:space="preserve">                </w:t>
      </w:r>
      <w:r>
        <w:rPr>
          <w:rFonts w:eastAsia="黑体"/>
          <w:color w:val="auto"/>
          <w:sz w:val="28"/>
          <w:szCs w:val="28"/>
          <w:highlight w:val="none"/>
        </w:rPr>
        <w:t>（项目名称）</w:t>
      </w:r>
    </w:p>
    <w:p w14:paraId="6DBAC5BA">
      <w:pPr>
        <w:adjustRightInd w:val="0"/>
        <w:snapToGrid w:val="0"/>
        <w:spacing w:line="560" w:lineRule="exact"/>
        <w:jc w:val="center"/>
        <w:rPr>
          <w:rFonts w:hint="eastAsia" w:eastAsia="黑体"/>
          <w:color w:val="auto"/>
          <w:sz w:val="20"/>
          <w:szCs w:val="20"/>
          <w:highlight w:val="none"/>
        </w:rPr>
      </w:pPr>
    </w:p>
    <w:p w14:paraId="79526844">
      <w:pPr>
        <w:adjustRightInd w:val="0"/>
        <w:snapToGrid w:val="0"/>
        <w:spacing w:line="560" w:lineRule="exact"/>
        <w:rPr>
          <w:rFonts w:hint="eastAsia" w:eastAsia="黑体"/>
          <w:color w:val="auto"/>
          <w:sz w:val="20"/>
          <w:szCs w:val="20"/>
          <w:highlight w:val="none"/>
        </w:rPr>
      </w:pPr>
    </w:p>
    <w:p w14:paraId="363A8929">
      <w:pPr>
        <w:adjustRightInd w:val="0"/>
        <w:snapToGrid w:val="0"/>
        <w:spacing w:line="560" w:lineRule="exact"/>
        <w:jc w:val="center"/>
        <w:rPr>
          <w:rFonts w:hint="eastAsia" w:eastAsia="黑体"/>
          <w:color w:val="auto"/>
          <w:sz w:val="44"/>
          <w:szCs w:val="44"/>
          <w:highlight w:val="none"/>
        </w:rPr>
      </w:pPr>
      <w:r>
        <w:rPr>
          <w:rFonts w:eastAsia="黑体"/>
          <w:color w:val="auto"/>
          <w:sz w:val="44"/>
          <w:szCs w:val="44"/>
          <w:highlight w:val="none"/>
        </w:rPr>
        <w:t>投  标  文  件</w:t>
      </w:r>
      <w:r>
        <w:rPr>
          <w:rFonts w:hint="eastAsia" w:eastAsia="黑体"/>
          <w:color w:val="auto"/>
          <w:sz w:val="44"/>
          <w:szCs w:val="44"/>
          <w:highlight w:val="none"/>
        </w:rPr>
        <w:t xml:space="preserve">  二</w:t>
      </w:r>
    </w:p>
    <w:p w14:paraId="62BB701E">
      <w:pPr>
        <w:adjustRightInd w:val="0"/>
        <w:snapToGrid w:val="0"/>
        <w:spacing w:line="560" w:lineRule="exact"/>
        <w:jc w:val="center"/>
        <w:rPr>
          <w:rFonts w:hint="eastAsia" w:eastAsia="黑体"/>
          <w:color w:val="auto"/>
          <w:sz w:val="44"/>
          <w:szCs w:val="44"/>
          <w:highlight w:val="none"/>
        </w:rPr>
      </w:pPr>
      <w:r>
        <w:rPr>
          <w:rFonts w:hint="eastAsia" w:eastAsia="黑体"/>
          <w:color w:val="auto"/>
          <w:sz w:val="44"/>
          <w:szCs w:val="44"/>
          <w:highlight w:val="none"/>
        </w:rPr>
        <w:t>（技术标文件）</w:t>
      </w:r>
    </w:p>
    <w:p w14:paraId="5D8620DE">
      <w:pPr>
        <w:adjustRightInd w:val="0"/>
        <w:snapToGrid w:val="0"/>
        <w:spacing w:line="560" w:lineRule="exact"/>
        <w:rPr>
          <w:rFonts w:eastAsia="黑体"/>
          <w:color w:val="auto"/>
          <w:sz w:val="28"/>
          <w:szCs w:val="28"/>
          <w:highlight w:val="none"/>
        </w:rPr>
      </w:pPr>
    </w:p>
    <w:p w14:paraId="5432149E">
      <w:pPr>
        <w:adjustRightInd w:val="0"/>
        <w:snapToGrid w:val="0"/>
        <w:spacing w:line="560" w:lineRule="exact"/>
        <w:rPr>
          <w:rFonts w:eastAsia="黑体"/>
          <w:color w:val="auto"/>
          <w:sz w:val="28"/>
          <w:szCs w:val="28"/>
          <w:highlight w:val="none"/>
        </w:rPr>
      </w:pPr>
    </w:p>
    <w:p w14:paraId="36BBC2E3">
      <w:pPr>
        <w:adjustRightInd w:val="0"/>
        <w:snapToGrid w:val="0"/>
        <w:spacing w:line="560" w:lineRule="exact"/>
        <w:rPr>
          <w:rFonts w:eastAsia="黑体"/>
          <w:color w:val="auto"/>
          <w:sz w:val="28"/>
          <w:szCs w:val="28"/>
          <w:highlight w:val="none"/>
        </w:rPr>
      </w:pPr>
    </w:p>
    <w:p w14:paraId="4A38F230">
      <w:pPr>
        <w:adjustRightInd w:val="0"/>
        <w:snapToGrid w:val="0"/>
        <w:spacing w:line="560" w:lineRule="exact"/>
        <w:rPr>
          <w:rFonts w:eastAsia="黑体"/>
          <w:color w:val="auto"/>
          <w:sz w:val="28"/>
          <w:szCs w:val="28"/>
          <w:highlight w:val="none"/>
        </w:rPr>
      </w:pPr>
    </w:p>
    <w:p w14:paraId="318CBDE2">
      <w:pPr>
        <w:adjustRightInd w:val="0"/>
        <w:snapToGrid w:val="0"/>
        <w:spacing w:line="560" w:lineRule="exact"/>
        <w:rPr>
          <w:rFonts w:hint="eastAsia" w:eastAsia="黑体"/>
          <w:color w:val="auto"/>
          <w:sz w:val="28"/>
          <w:szCs w:val="28"/>
          <w:highlight w:val="none"/>
        </w:rPr>
      </w:pPr>
    </w:p>
    <w:p w14:paraId="62ABFD72">
      <w:pPr>
        <w:pStyle w:val="20"/>
        <w:rPr>
          <w:rFonts w:hint="eastAsia"/>
          <w:color w:val="auto"/>
          <w:highlight w:val="none"/>
        </w:rPr>
      </w:pPr>
    </w:p>
    <w:p w14:paraId="38140284">
      <w:pPr>
        <w:rPr>
          <w:color w:val="auto"/>
          <w:highlight w:val="none"/>
        </w:rPr>
      </w:pPr>
    </w:p>
    <w:p w14:paraId="4EF0A7E9">
      <w:pPr>
        <w:adjustRightInd w:val="0"/>
        <w:snapToGrid w:val="0"/>
        <w:spacing w:line="560" w:lineRule="exact"/>
        <w:rPr>
          <w:rFonts w:eastAsia="黑体"/>
          <w:color w:val="auto"/>
          <w:sz w:val="28"/>
          <w:szCs w:val="28"/>
          <w:highlight w:val="none"/>
        </w:rPr>
      </w:pPr>
    </w:p>
    <w:p w14:paraId="2F25B922">
      <w:pPr>
        <w:pStyle w:val="20"/>
        <w:adjustRightInd w:val="0"/>
        <w:snapToGrid w:val="0"/>
        <w:spacing w:after="0" w:line="560" w:lineRule="exact"/>
        <w:ind w:left="0" w:leftChars="0" w:firstLine="0" w:firstLineChars="0"/>
        <w:rPr>
          <w:color w:val="auto"/>
          <w:highlight w:val="none"/>
        </w:rPr>
      </w:pPr>
    </w:p>
    <w:p w14:paraId="44E32B0B">
      <w:pPr>
        <w:adjustRightInd w:val="0"/>
        <w:snapToGrid w:val="0"/>
        <w:spacing w:line="560" w:lineRule="exact"/>
        <w:rPr>
          <w:rFonts w:hint="eastAsia" w:eastAsia="黑体"/>
          <w:color w:val="auto"/>
          <w:sz w:val="28"/>
          <w:szCs w:val="28"/>
          <w:highlight w:val="none"/>
        </w:rPr>
      </w:pPr>
    </w:p>
    <w:p w14:paraId="51DDB7F6">
      <w:pPr>
        <w:pStyle w:val="20"/>
        <w:rPr>
          <w:rFonts w:hint="eastAsia"/>
          <w:color w:val="auto"/>
          <w:highlight w:val="none"/>
        </w:rPr>
      </w:pPr>
    </w:p>
    <w:p w14:paraId="0ED085D7">
      <w:pPr>
        <w:rPr>
          <w:rFonts w:hint="eastAsia"/>
          <w:color w:val="auto"/>
          <w:highlight w:val="none"/>
        </w:rPr>
      </w:pPr>
    </w:p>
    <w:p w14:paraId="04D9CA83">
      <w:pPr>
        <w:pStyle w:val="20"/>
        <w:rPr>
          <w:rFonts w:hint="eastAsia"/>
          <w:color w:val="auto"/>
          <w:highlight w:val="none"/>
        </w:rPr>
      </w:pPr>
    </w:p>
    <w:p w14:paraId="766C3FDE">
      <w:pPr>
        <w:rPr>
          <w:rFonts w:hint="eastAsia"/>
          <w:color w:val="auto"/>
          <w:highlight w:val="none"/>
        </w:rPr>
      </w:pPr>
    </w:p>
    <w:p w14:paraId="399A46C9">
      <w:pPr>
        <w:pStyle w:val="20"/>
        <w:rPr>
          <w:rFonts w:hint="eastAsia"/>
          <w:color w:val="auto"/>
          <w:highlight w:val="none"/>
        </w:rPr>
      </w:pPr>
    </w:p>
    <w:p w14:paraId="6BA2696D">
      <w:pPr>
        <w:rPr>
          <w:rFonts w:hint="eastAsia"/>
          <w:color w:val="auto"/>
          <w:highlight w:val="none"/>
        </w:rPr>
      </w:pPr>
    </w:p>
    <w:p w14:paraId="1030A180">
      <w:pPr>
        <w:pStyle w:val="20"/>
        <w:rPr>
          <w:rFonts w:hint="eastAsia"/>
          <w:color w:val="auto"/>
          <w:highlight w:val="none"/>
        </w:rPr>
      </w:pPr>
    </w:p>
    <w:p w14:paraId="24A8AAA6">
      <w:pPr>
        <w:rPr>
          <w:color w:val="auto"/>
          <w:highlight w:val="none"/>
        </w:rPr>
      </w:pPr>
    </w:p>
    <w:p w14:paraId="464D97AC">
      <w:pPr>
        <w:adjustRightInd w:val="0"/>
        <w:snapToGrid w:val="0"/>
        <w:spacing w:line="560" w:lineRule="exact"/>
        <w:rPr>
          <w:rFonts w:eastAsia="黑体"/>
          <w:color w:val="auto"/>
          <w:sz w:val="28"/>
          <w:szCs w:val="28"/>
          <w:highlight w:val="none"/>
        </w:rPr>
      </w:pPr>
    </w:p>
    <w:p w14:paraId="0417B873">
      <w:pPr>
        <w:adjustRightInd w:val="0"/>
        <w:snapToGrid w:val="0"/>
        <w:spacing w:line="560" w:lineRule="exact"/>
        <w:jc w:val="center"/>
        <w:rPr>
          <w:rFonts w:hint="eastAsia"/>
          <w:color w:val="auto"/>
          <w:highlight w:val="none"/>
        </w:rPr>
      </w:pPr>
      <w:r>
        <w:rPr>
          <w:rFonts w:eastAsia="黑体"/>
          <w:color w:val="auto"/>
          <w:sz w:val="28"/>
          <w:szCs w:val="28"/>
          <w:highlight w:val="none"/>
          <w:u w:val="single"/>
        </w:rPr>
        <w:t xml:space="preserve">        </w:t>
      </w:r>
      <w:r>
        <w:rPr>
          <w:rFonts w:eastAsia="黑体"/>
          <w:color w:val="auto"/>
          <w:sz w:val="28"/>
          <w:szCs w:val="28"/>
          <w:highlight w:val="none"/>
        </w:rPr>
        <w:t>年</w:t>
      </w:r>
      <w:r>
        <w:rPr>
          <w:rFonts w:eastAsia="黑体"/>
          <w:color w:val="auto"/>
          <w:sz w:val="28"/>
          <w:szCs w:val="28"/>
          <w:highlight w:val="none"/>
          <w:u w:val="single"/>
        </w:rPr>
        <w:t xml:space="preserve">        </w:t>
      </w:r>
      <w:r>
        <w:rPr>
          <w:rFonts w:eastAsia="黑体"/>
          <w:color w:val="auto"/>
          <w:sz w:val="28"/>
          <w:szCs w:val="28"/>
          <w:highlight w:val="none"/>
        </w:rPr>
        <w:t>月</w:t>
      </w:r>
      <w:r>
        <w:rPr>
          <w:rFonts w:eastAsia="黑体"/>
          <w:color w:val="auto"/>
          <w:sz w:val="28"/>
          <w:szCs w:val="28"/>
          <w:highlight w:val="none"/>
          <w:u w:val="single"/>
        </w:rPr>
        <w:t xml:space="preserve">        </w:t>
      </w:r>
      <w:r>
        <w:rPr>
          <w:rFonts w:eastAsia="黑体"/>
          <w:color w:val="auto"/>
          <w:sz w:val="28"/>
          <w:szCs w:val="28"/>
          <w:highlight w:val="none"/>
        </w:rPr>
        <w:t>日</w:t>
      </w:r>
    </w:p>
    <w:p w14:paraId="13D3BD0E">
      <w:pPr>
        <w:pStyle w:val="20"/>
        <w:spacing w:after="0"/>
        <w:ind w:left="0" w:leftChars="0" w:firstLine="0" w:firstLineChars="0"/>
        <w:jc w:val="left"/>
        <w:rPr>
          <w:rFonts w:hint="eastAsia"/>
          <w:color w:val="auto"/>
          <w:sz w:val="24"/>
          <w:highlight w:val="none"/>
        </w:rPr>
      </w:pPr>
      <w:r>
        <w:rPr>
          <w:rFonts w:hint="eastAsia" w:ascii="仿宋_GB2312" w:eastAsia="仿宋_GB2312"/>
          <w:color w:val="auto"/>
          <w:sz w:val="24"/>
          <w:highlight w:val="none"/>
        </w:rPr>
        <w:t>注：暗标评审的技术标封面不设置投标人、法定代表人签章内容。</w:t>
      </w:r>
    </w:p>
    <w:p w14:paraId="3431A139">
      <w:pPr>
        <w:pStyle w:val="2"/>
        <w:rPr>
          <w:rFonts w:hint="eastAsia"/>
          <w:color w:val="auto"/>
          <w:highlight w:val="none"/>
        </w:rPr>
      </w:pPr>
      <w:bookmarkStart w:id="1520" w:name="_Toc95223539"/>
      <w:r>
        <w:rPr>
          <w:rFonts w:hint="eastAsia"/>
          <w:color w:val="auto"/>
          <w:highlight w:val="none"/>
        </w:rPr>
        <w:t>投标文件二：技术标目录</w:t>
      </w:r>
      <w:bookmarkEnd w:id="1520"/>
    </w:p>
    <w:p w14:paraId="446A75E4">
      <w:pPr>
        <w:numPr>
          <w:ilvl w:val="0"/>
          <w:numId w:val="2"/>
        </w:numPr>
        <w:adjustRightInd w:val="0"/>
        <w:snapToGrid w:val="0"/>
        <w:spacing w:line="560" w:lineRule="exact"/>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rPr>
        <w:t>施工组织设计</w:t>
      </w:r>
      <w:r>
        <w:rPr>
          <w:rFonts w:hint="eastAsia" w:ascii="宋体" w:hAnsi="宋体" w:cs="宋体"/>
          <w:b/>
          <w:color w:val="auto"/>
          <w:szCs w:val="21"/>
          <w:highlight w:val="none"/>
        </w:rPr>
        <w:t>（根据评分细则评审内容共有10项内容，系统中分别设置为施工组织设计1、2、3.....10）</w:t>
      </w:r>
      <w:r>
        <w:rPr>
          <w:rFonts w:hint="eastAsia" w:ascii="宋体" w:hAnsi="宋体"/>
          <w:color w:val="auto"/>
          <w:szCs w:val="21"/>
          <w:highlight w:val="none"/>
          <w:lang w:val="en-US" w:eastAsia="zh-CN"/>
        </w:rPr>
        <w:t xml:space="preserve">     </w:t>
      </w:r>
    </w:p>
    <w:p w14:paraId="6D985142">
      <w:pPr>
        <w:numPr>
          <w:ilvl w:val="0"/>
          <w:numId w:val="0"/>
        </w:numPr>
        <w:adjustRightInd w:val="0"/>
        <w:snapToGrid w:val="0"/>
        <w:spacing w:line="560" w:lineRule="exact"/>
        <w:rPr>
          <w:rFonts w:hint="default" w:ascii="宋体" w:hAnsi="宋体"/>
          <w:color w:val="auto"/>
          <w:szCs w:val="21"/>
          <w:highlight w:val="none"/>
          <w:lang w:val="en-US" w:eastAsia="zh-CN"/>
        </w:rPr>
      </w:pPr>
      <w:r>
        <w:rPr>
          <w:rFonts w:hint="eastAsia" w:ascii="宋体" w:hAnsi="宋体" w:cs="宋体"/>
          <w:b/>
          <w:bCs/>
          <w:color w:val="auto"/>
          <w:szCs w:val="21"/>
          <w:highlight w:val="none"/>
        </w:rPr>
        <w:t>注：本项目采用横向暗标评审，请投标人结合技术标评审细则和系统内容在对应模块上传技术标评审内容。</w:t>
      </w:r>
    </w:p>
    <w:p w14:paraId="780A9FF8">
      <w:pPr>
        <w:adjustRightInd w:val="0"/>
        <w:snapToGrid w:val="0"/>
        <w:spacing w:line="560" w:lineRule="exact"/>
        <w:rPr>
          <w:rFonts w:hint="eastAsia" w:ascii="宋体" w:hAnsi="宋体"/>
          <w:color w:val="auto"/>
          <w:szCs w:val="21"/>
          <w:highlight w:val="none"/>
        </w:rPr>
      </w:pPr>
    </w:p>
    <w:p w14:paraId="107030F1">
      <w:pPr>
        <w:adjustRightInd w:val="0"/>
        <w:snapToGrid w:val="0"/>
        <w:spacing w:line="560" w:lineRule="exact"/>
        <w:rPr>
          <w:rFonts w:hint="eastAsia" w:ascii="仿宋_GB2312" w:eastAsia="仿宋_GB2312"/>
          <w:color w:val="auto"/>
          <w:szCs w:val="21"/>
          <w:highlight w:val="none"/>
        </w:rPr>
      </w:pPr>
    </w:p>
    <w:p w14:paraId="2CCFB422">
      <w:pPr>
        <w:adjustRightInd w:val="0"/>
        <w:snapToGrid w:val="0"/>
        <w:spacing w:line="560" w:lineRule="exact"/>
        <w:rPr>
          <w:rFonts w:hint="eastAsia" w:eastAsia="黑体"/>
          <w:color w:val="auto"/>
          <w:sz w:val="20"/>
          <w:szCs w:val="20"/>
          <w:highlight w:val="none"/>
        </w:rPr>
      </w:pPr>
    </w:p>
    <w:p w14:paraId="56ED5565">
      <w:pPr>
        <w:adjustRightInd w:val="0"/>
        <w:snapToGrid w:val="0"/>
        <w:spacing w:line="560" w:lineRule="exact"/>
        <w:rPr>
          <w:rFonts w:hint="eastAsia"/>
          <w:color w:val="auto"/>
          <w:highlight w:val="none"/>
        </w:rPr>
      </w:pPr>
    </w:p>
    <w:p w14:paraId="44F8D14E">
      <w:pPr>
        <w:adjustRightInd w:val="0"/>
        <w:snapToGrid w:val="0"/>
        <w:spacing w:line="560" w:lineRule="exact"/>
        <w:rPr>
          <w:rFonts w:hint="eastAsia"/>
          <w:color w:val="auto"/>
          <w:highlight w:val="none"/>
        </w:rPr>
      </w:pPr>
    </w:p>
    <w:p w14:paraId="491C1B4B">
      <w:pPr>
        <w:adjustRightInd w:val="0"/>
        <w:snapToGrid w:val="0"/>
        <w:spacing w:line="560" w:lineRule="exact"/>
        <w:rPr>
          <w:rFonts w:hint="eastAsia"/>
          <w:color w:val="auto"/>
          <w:highlight w:val="none"/>
        </w:rPr>
      </w:pPr>
    </w:p>
    <w:p w14:paraId="0E0D60EB">
      <w:pPr>
        <w:adjustRightInd w:val="0"/>
        <w:snapToGrid w:val="0"/>
        <w:spacing w:line="560" w:lineRule="exact"/>
        <w:rPr>
          <w:rFonts w:hint="eastAsia"/>
          <w:color w:val="auto"/>
          <w:highlight w:val="none"/>
        </w:rPr>
      </w:pPr>
    </w:p>
    <w:p w14:paraId="71C63E2B">
      <w:pPr>
        <w:adjustRightInd w:val="0"/>
        <w:snapToGrid w:val="0"/>
        <w:spacing w:line="560" w:lineRule="exact"/>
        <w:rPr>
          <w:rFonts w:hint="eastAsia"/>
          <w:color w:val="auto"/>
          <w:highlight w:val="none"/>
        </w:rPr>
      </w:pPr>
    </w:p>
    <w:p w14:paraId="69776F91">
      <w:pPr>
        <w:adjustRightInd w:val="0"/>
        <w:snapToGrid w:val="0"/>
        <w:spacing w:line="560" w:lineRule="exact"/>
        <w:rPr>
          <w:rFonts w:hint="eastAsia"/>
          <w:color w:val="auto"/>
          <w:highlight w:val="none"/>
        </w:rPr>
      </w:pPr>
    </w:p>
    <w:p w14:paraId="1A2DD162">
      <w:pPr>
        <w:pStyle w:val="20"/>
        <w:rPr>
          <w:rFonts w:hint="eastAsia"/>
          <w:color w:val="auto"/>
          <w:highlight w:val="none"/>
        </w:rPr>
      </w:pPr>
    </w:p>
    <w:p w14:paraId="23C4FFE3">
      <w:pPr>
        <w:rPr>
          <w:rFonts w:hint="eastAsia"/>
          <w:color w:val="auto"/>
          <w:highlight w:val="none"/>
        </w:rPr>
      </w:pPr>
    </w:p>
    <w:p w14:paraId="222165A8">
      <w:pPr>
        <w:pStyle w:val="20"/>
        <w:rPr>
          <w:rFonts w:hint="eastAsia"/>
          <w:color w:val="auto"/>
          <w:highlight w:val="none"/>
        </w:rPr>
      </w:pPr>
    </w:p>
    <w:p w14:paraId="3DA76616">
      <w:pPr>
        <w:adjustRightInd w:val="0"/>
        <w:snapToGrid w:val="0"/>
        <w:spacing w:line="560" w:lineRule="exact"/>
        <w:rPr>
          <w:rFonts w:hint="eastAsia"/>
          <w:color w:val="auto"/>
          <w:highlight w:val="none"/>
        </w:rPr>
      </w:pPr>
    </w:p>
    <w:p w14:paraId="10B815AE">
      <w:pPr>
        <w:adjustRightInd w:val="0"/>
        <w:snapToGrid w:val="0"/>
        <w:spacing w:line="560" w:lineRule="exact"/>
        <w:rPr>
          <w:rFonts w:hint="eastAsia"/>
          <w:color w:val="auto"/>
          <w:highlight w:val="none"/>
        </w:rPr>
      </w:pPr>
    </w:p>
    <w:p w14:paraId="253BEE8C">
      <w:pPr>
        <w:adjustRightInd w:val="0"/>
        <w:snapToGrid w:val="0"/>
        <w:spacing w:line="560" w:lineRule="exact"/>
        <w:rPr>
          <w:rFonts w:hint="eastAsia"/>
          <w:color w:val="auto"/>
          <w:highlight w:val="none"/>
        </w:rPr>
      </w:pPr>
    </w:p>
    <w:p w14:paraId="59CF4955">
      <w:pPr>
        <w:adjustRightInd w:val="0"/>
        <w:snapToGrid w:val="0"/>
        <w:spacing w:line="560" w:lineRule="exact"/>
        <w:rPr>
          <w:rFonts w:hint="eastAsia"/>
          <w:color w:val="auto"/>
          <w:highlight w:val="none"/>
        </w:rPr>
      </w:pPr>
    </w:p>
    <w:p w14:paraId="6DEFD355">
      <w:pPr>
        <w:adjustRightInd w:val="0"/>
        <w:snapToGrid w:val="0"/>
        <w:spacing w:line="560" w:lineRule="exact"/>
        <w:rPr>
          <w:rFonts w:hint="eastAsia"/>
          <w:color w:val="auto"/>
          <w:highlight w:val="none"/>
        </w:rPr>
      </w:pPr>
    </w:p>
    <w:p w14:paraId="3ADBBA8F">
      <w:pPr>
        <w:adjustRightInd w:val="0"/>
        <w:snapToGrid w:val="0"/>
        <w:spacing w:line="560" w:lineRule="exact"/>
        <w:rPr>
          <w:rFonts w:hint="eastAsia"/>
          <w:color w:val="auto"/>
          <w:highlight w:val="none"/>
        </w:rPr>
      </w:pPr>
    </w:p>
    <w:p w14:paraId="3FE07F7B">
      <w:pPr>
        <w:adjustRightInd w:val="0"/>
        <w:snapToGrid w:val="0"/>
        <w:spacing w:line="560" w:lineRule="exact"/>
        <w:rPr>
          <w:rFonts w:hint="eastAsia"/>
          <w:color w:val="auto"/>
          <w:highlight w:val="none"/>
        </w:rPr>
      </w:pPr>
    </w:p>
    <w:p w14:paraId="7527EAE6">
      <w:pPr>
        <w:adjustRightInd w:val="0"/>
        <w:snapToGrid w:val="0"/>
        <w:spacing w:line="560" w:lineRule="exact"/>
        <w:rPr>
          <w:rFonts w:hint="eastAsia"/>
          <w:color w:val="auto"/>
          <w:highlight w:val="none"/>
        </w:rPr>
      </w:pPr>
    </w:p>
    <w:p w14:paraId="04240AB3">
      <w:pPr>
        <w:adjustRightInd w:val="0"/>
        <w:snapToGrid w:val="0"/>
        <w:spacing w:line="560" w:lineRule="exact"/>
        <w:rPr>
          <w:rFonts w:hint="eastAsia"/>
          <w:color w:val="auto"/>
          <w:highlight w:val="none"/>
        </w:rPr>
      </w:pPr>
    </w:p>
    <w:p w14:paraId="08063A1E">
      <w:pPr>
        <w:adjustRightInd w:val="0"/>
        <w:snapToGrid w:val="0"/>
        <w:spacing w:line="560" w:lineRule="exact"/>
        <w:rPr>
          <w:rFonts w:hint="eastAsia"/>
          <w:color w:val="auto"/>
          <w:highlight w:val="none"/>
        </w:rPr>
      </w:pPr>
    </w:p>
    <w:p w14:paraId="58351F95">
      <w:pPr>
        <w:rPr>
          <w:rFonts w:hint="eastAsia"/>
          <w:color w:val="auto"/>
          <w:highlight w:val="none"/>
        </w:rPr>
      </w:pPr>
    </w:p>
    <w:p w14:paraId="4323FD94">
      <w:pPr>
        <w:rPr>
          <w:rFonts w:hint="eastAsia"/>
          <w:color w:val="auto"/>
          <w:highlight w:val="none"/>
        </w:rPr>
      </w:pPr>
    </w:p>
    <w:p w14:paraId="16FB2C9D">
      <w:pPr>
        <w:pStyle w:val="20"/>
        <w:rPr>
          <w:rFonts w:hint="eastAsia"/>
          <w:color w:val="auto"/>
          <w:highlight w:val="none"/>
        </w:rPr>
      </w:pPr>
    </w:p>
    <w:p w14:paraId="39895A80">
      <w:pPr>
        <w:rPr>
          <w:color w:val="auto"/>
          <w:highlight w:val="none"/>
        </w:rPr>
        <w:sectPr>
          <w:pgSz w:w="11910" w:h="16840"/>
          <w:pgMar w:top="1060" w:right="660" w:bottom="1020" w:left="1120" w:header="0" w:footer="833" w:gutter="0"/>
          <w:pgNumType w:fmt="numberInDash"/>
          <w:cols w:space="720" w:num="1"/>
        </w:sectPr>
      </w:pPr>
    </w:p>
    <w:p w14:paraId="54ED2AFE">
      <w:pPr>
        <w:rPr>
          <w:rFonts w:hint="eastAsia"/>
          <w:color w:val="auto"/>
          <w:highlight w:val="none"/>
        </w:rPr>
      </w:pPr>
    </w:p>
    <w:p w14:paraId="7E87512B">
      <w:pPr>
        <w:pStyle w:val="20"/>
        <w:rPr>
          <w:rFonts w:hint="eastAsia"/>
          <w:color w:val="auto"/>
          <w:highlight w:val="none"/>
        </w:rPr>
      </w:pPr>
    </w:p>
    <w:p w14:paraId="48557349">
      <w:pPr>
        <w:rPr>
          <w:rFonts w:hint="eastAsia"/>
          <w:color w:val="auto"/>
          <w:highlight w:val="none"/>
        </w:rPr>
      </w:pPr>
    </w:p>
    <w:p w14:paraId="1F6A3FEB">
      <w:pPr>
        <w:pStyle w:val="20"/>
        <w:rPr>
          <w:rFonts w:hint="eastAsia"/>
          <w:color w:val="auto"/>
          <w:highlight w:val="none"/>
        </w:rPr>
      </w:pPr>
    </w:p>
    <w:p w14:paraId="6DD97073">
      <w:pPr>
        <w:adjustRightInd w:val="0"/>
        <w:snapToGrid w:val="0"/>
        <w:spacing w:line="560" w:lineRule="exact"/>
        <w:jc w:val="center"/>
        <w:rPr>
          <w:rFonts w:hint="eastAsia" w:eastAsia="黑体"/>
          <w:color w:val="auto"/>
          <w:sz w:val="20"/>
          <w:szCs w:val="20"/>
          <w:highlight w:val="none"/>
        </w:rPr>
      </w:pPr>
      <w:r>
        <w:rPr>
          <w:rFonts w:hint="eastAsia" w:eastAsia="黑体"/>
          <w:color w:val="auto"/>
          <w:sz w:val="28"/>
          <w:szCs w:val="28"/>
          <w:highlight w:val="none"/>
          <w:u w:val="single"/>
        </w:rPr>
        <w:t xml:space="preserve">                </w:t>
      </w:r>
      <w:r>
        <w:rPr>
          <w:rFonts w:eastAsia="黑体"/>
          <w:color w:val="auto"/>
          <w:sz w:val="28"/>
          <w:szCs w:val="28"/>
          <w:highlight w:val="none"/>
        </w:rPr>
        <w:t>（项目名称）</w:t>
      </w:r>
    </w:p>
    <w:p w14:paraId="113AA1BC">
      <w:pPr>
        <w:adjustRightInd w:val="0"/>
        <w:snapToGrid w:val="0"/>
        <w:spacing w:line="560" w:lineRule="exact"/>
        <w:jc w:val="center"/>
        <w:rPr>
          <w:rFonts w:hint="eastAsia" w:eastAsia="黑体"/>
          <w:color w:val="auto"/>
          <w:sz w:val="20"/>
          <w:szCs w:val="20"/>
          <w:highlight w:val="none"/>
        </w:rPr>
      </w:pPr>
    </w:p>
    <w:p w14:paraId="67C722E2">
      <w:pPr>
        <w:adjustRightInd w:val="0"/>
        <w:snapToGrid w:val="0"/>
        <w:spacing w:line="560" w:lineRule="exact"/>
        <w:rPr>
          <w:rFonts w:hint="eastAsia" w:eastAsia="黑体"/>
          <w:color w:val="auto"/>
          <w:sz w:val="20"/>
          <w:szCs w:val="20"/>
          <w:highlight w:val="none"/>
        </w:rPr>
      </w:pPr>
    </w:p>
    <w:p w14:paraId="0663B8EB">
      <w:pPr>
        <w:adjustRightInd w:val="0"/>
        <w:snapToGrid w:val="0"/>
        <w:spacing w:line="560" w:lineRule="exact"/>
        <w:jc w:val="center"/>
        <w:rPr>
          <w:rFonts w:hint="eastAsia" w:eastAsia="黑体"/>
          <w:color w:val="auto"/>
          <w:sz w:val="44"/>
          <w:szCs w:val="44"/>
          <w:highlight w:val="none"/>
        </w:rPr>
      </w:pPr>
      <w:r>
        <w:rPr>
          <w:rFonts w:eastAsia="黑体"/>
          <w:color w:val="auto"/>
          <w:sz w:val="44"/>
          <w:szCs w:val="44"/>
          <w:highlight w:val="none"/>
        </w:rPr>
        <w:t>投  标  文  件</w:t>
      </w:r>
      <w:r>
        <w:rPr>
          <w:rFonts w:hint="eastAsia" w:eastAsia="黑体"/>
          <w:color w:val="auto"/>
          <w:sz w:val="44"/>
          <w:szCs w:val="44"/>
          <w:highlight w:val="none"/>
        </w:rPr>
        <w:t xml:space="preserve">  三</w:t>
      </w:r>
    </w:p>
    <w:p w14:paraId="28AF23AB">
      <w:pPr>
        <w:adjustRightInd w:val="0"/>
        <w:snapToGrid w:val="0"/>
        <w:spacing w:line="560" w:lineRule="exact"/>
        <w:jc w:val="center"/>
        <w:rPr>
          <w:rFonts w:hint="eastAsia" w:eastAsia="黑体"/>
          <w:color w:val="auto"/>
          <w:sz w:val="44"/>
          <w:szCs w:val="44"/>
          <w:highlight w:val="none"/>
        </w:rPr>
      </w:pPr>
      <w:r>
        <w:rPr>
          <w:rFonts w:hint="eastAsia" w:eastAsia="黑体"/>
          <w:color w:val="auto"/>
          <w:sz w:val="44"/>
          <w:szCs w:val="44"/>
          <w:highlight w:val="none"/>
        </w:rPr>
        <w:t>（商务标文件）</w:t>
      </w:r>
    </w:p>
    <w:p w14:paraId="33E0A7C5">
      <w:pPr>
        <w:adjustRightInd w:val="0"/>
        <w:snapToGrid w:val="0"/>
        <w:spacing w:line="560" w:lineRule="exact"/>
        <w:rPr>
          <w:rFonts w:hint="eastAsia" w:eastAsia="黑体"/>
          <w:color w:val="auto"/>
          <w:sz w:val="28"/>
          <w:szCs w:val="28"/>
          <w:highlight w:val="none"/>
        </w:rPr>
      </w:pPr>
    </w:p>
    <w:p w14:paraId="319421E2">
      <w:pPr>
        <w:pStyle w:val="20"/>
        <w:adjustRightInd w:val="0"/>
        <w:snapToGrid w:val="0"/>
        <w:spacing w:after="0" w:line="560" w:lineRule="exact"/>
        <w:ind w:left="0" w:leftChars="0" w:firstLine="560"/>
        <w:rPr>
          <w:rFonts w:hint="eastAsia" w:eastAsia="黑体"/>
          <w:color w:val="auto"/>
          <w:sz w:val="28"/>
          <w:szCs w:val="28"/>
          <w:highlight w:val="none"/>
        </w:rPr>
      </w:pPr>
    </w:p>
    <w:p w14:paraId="08788D63">
      <w:pPr>
        <w:adjustRightInd w:val="0"/>
        <w:snapToGrid w:val="0"/>
        <w:spacing w:line="560" w:lineRule="exact"/>
        <w:rPr>
          <w:rFonts w:hint="eastAsia" w:eastAsia="黑体"/>
          <w:color w:val="auto"/>
          <w:sz w:val="28"/>
          <w:szCs w:val="28"/>
          <w:highlight w:val="none"/>
        </w:rPr>
      </w:pPr>
    </w:p>
    <w:p w14:paraId="68B96AD6">
      <w:pPr>
        <w:pStyle w:val="20"/>
        <w:adjustRightInd w:val="0"/>
        <w:snapToGrid w:val="0"/>
        <w:spacing w:after="0" w:line="560" w:lineRule="exact"/>
        <w:ind w:left="0" w:leftChars="0"/>
        <w:rPr>
          <w:rFonts w:hint="eastAsia"/>
          <w:color w:val="auto"/>
          <w:highlight w:val="none"/>
        </w:rPr>
      </w:pPr>
    </w:p>
    <w:p w14:paraId="13F88996">
      <w:pPr>
        <w:adjustRightInd w:val="0"/>
        <w:snapToGrid w:val="0"/>
        <w:spacing w:line="560" w:lineRule="exact"/>
        <w:rPr>
          <w:rFonts w:hint="eastAsia" w:eastAsia="黑体"/>
          <w:color w:val="auto"/>
          <w:sz w:val="28"/>
          <w:szCs w:val="28"/>
          <w:highlight w:val="none"/>
        </w:rPr>
      </w:pPr>
    </w:p>
    <w:p w14:paraId="07F39301">
      <w:pPr>
        <w:adjustRightInd w:val="0"/>
        <w:snapToGrid w:val="0"/>
        <w:spacing w:line="560" w:lineRule="exact"/>
        <w:rPr>
          <w:rFonts w:eastAsia="黑体"/>
          <w:color w:val="auto"/>
          <w:sz w:val="28"/>
          <w:szCs w:val="28"/>
          <w:highlight w:val="none"/>
        </w:rPr>
      </w:pPr>
    </w:p>
    <w:p w14:paraId="1FD8233E">
      <w:pPr>
        <w:adjustRightInd w:val="0"/>
        <w:snapToGrid w:val="0"/>
        <w:spacing w:line="560" w:lineRule="exact"/>
        <w:rPr>
          <w:rFonts w:hint="eastAsia" w:eastAsia="黑体"/>
          <w:color w:val="auto"/>
          <w:sz w:val="28"/>
          <w:szCs w:val="28"/>
          <w:highlight w:val="none"/>
        </w:rPr>
      </w:pPr>
    </w:p>
    <w:p w14:paraId="0FD45CF8">
      <w:pPr>
        <w:adjustRightInd w:val="0"/>
        <w:snapToGrid w:val="0"/>
        <w:spacing w:line="560" w:lineRule="exact"/>
        <w:rPr>
          <w:rFonts w:hint="eastAsia" w:eastAsia="黑体"/>
          <w:color w:val="auto"/>
          <w:sz w:val="28"/>
          <w:szCs w:val="28"/>
          <w:highlight w:val="none"/>
        </w:rPr>
      </w:pPr>
    </w:p>
    <w:p w14:paraId="53C1B219">
      <w:pPr>
        <w:adjustRightInd w:val="0"/>
        <w:snapToGrid w:val="0"/>
        <w:spacing w:line="560" w:lineRule="exact"/>
        <w:rPr>
          <w:rFonts w:hint="eastAsia" w:eastAsia="黑体"/>
          <w:color w:val="auto"/>
          <w:sz w:val="28"/>
          <w:szCs w:val="28"/>
          <w:highlight w:val="none"/>
        </w:rPr>
      </w:pPr>
    </w:p>
    <w:p w14:paraId="08B45C0D">
      <w:pPr>
        <w:adjustRightInd w:val="0"/>
        <w:snapToGrid w:val="0"/>
        <w:spacing w:line="560" w:lineRule="exact"/>
        <w:rPr>
          <w:rFonts w:eastAsia="黑体"/>
          <w:color w:val="auto"/>
          <w:sz w:val="28"/>
          <w:szCs w:val="28"/>
          <w:highlight w:val="none"/>
        </w:rPr>
      </w:pPr>
    </w:p>
    <w:p w14:paraId="5245C8B5">
      <w:pPr>
        <w:adjustRightInd w:val="0"/>
        <w:snapToGrid w:val="0"/>
        <w:spacing w:line="560" w:lineRule="exact"/>
        <w:rPr>
          <w:rFonts w:eastAsia="黑体"/>
          <w:color w:val="auto"/>
          <w:sz w:val="28"/>
          <w:szCs w:val="28"/>
          <w:highlight w:val="none"/>
        </w:rPr>
      </w:pPr>
    </w:p>
    <w:p w14:paraId="2DD83B0B">
      <w:pPr>
        <w:adjustRightInd w:val="0"/>
        <w:snapToGrid w:val="0"/>
        <w:spacing w:line="560" w:lineRule="exact"/>
        <w:jc w:val="center"/>
        <w:rPr>
          <w:rFonts w:eastAsia="黑体"/>
          <w:color w:val="auto"/>
          <w:sz w:val="28"/>
          <w:szCs w:val="28"/>
          <w:highlight w:val="none"/>
          <w:u w:val="single"/>
        </w:rPr>
      </w:pPr>
      <w:r>
        <w:rPr>
          <w:rFonts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u w:val="single"/>
        </w:rPr>
        <w:t xml:space="preserve">  </w:t>
      </w:r>
      <w:r>
        <w:rPr>
          <w:rFonts w:eastAsia="黑体"/>
          <w:color w:val="auto"/>
          <w:sz w:val="28"/>
          <w:szCs w:val="28"/>
          <w:highlight w:val="none"/>
          <w:u w:val="singl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eastAsia="黑体"/>
          <w:color w:val="auto"/>
          <w:sz w:val="28"/>
          <w:szCs w:val="28"/>
          <w:highlight w:val="none"/>
        </w:rPr>
        <w:t>）</w:t>
      </w:r>
    </w:p>
    <w:p w14:paraId="39D29BB1">
      <w:pPr>
        <w:adjustRightInd w:val="0"/>
        <w:snapToGrid w:val="0"/>
        <w:spacing w:line="560" w:lineRule="exact"/>
        <w:jc w:val="center"/>
        <w:rPr>
          <w:rFonts w:eastAsia="黑体"/>
          <w:color w:val="auto"/>
          <w:sz w:val="28"/>
          <w:szCs w:val="28"/>
          <w:highlight w:val="none"/>
        </w:rPr>
      </w:pPr>
      <w:r>
        <w:rPr>
          <w:rFonts w:eastAsia="黑体"/>
          <w:color w:val="auto"/>
          <w:sz w:val="28"/>
          <w:szCs w:val="28"/>
          <w:highlight w:val="none"/>
        </w:rPr>
        <w:t>法定代表人：</w:t>
      </w:r>
      <w:r>
        <w:rPr>
          <w:rFonts w:eastAsia="黑体"/>
          <w:color w:val="auto"/>
          <w:sz w:val="28"/>
          <w:szCs w:val="28"/>
          <w:highlight w:val="none"/>
          <w:u w:val="single"/>
        </w:rPr>
        <w:t xml:space="preserve">    </w:t>
      </w:r>
      <w:r>
        <w:rPr>
          <w:rFonts w:hint="eastAsia" w:eastAsia="黑体"/>
          <w:color w:val="auto"/>
          <w:sz w:val="28"/>
          <w:szCs w:val="28"/>
          <w:highlight w:val="none"/>
          <w:u w:val="single"/>
          <w:lang w:val="en-US" w:eastAsia="zh-CN"/>
        </w:rPr>
        <w:t xml:space="preserve">      </w:t>
      </w:r>
      <w:r>
        <w:rPr>
          <w:rFonts w:eastAsia="黑体"/>
          <w:color w:val="auto"/>
          <w:sz w:val="28"/>
          <w:szCs w:val="28"/>
          <w:highlight w:val="none"/>
          <w:u w:val="singl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eastAsia="黑体"/>
          <w:color w:val="auto"/>
          <w:sz w:val="28"/>
          <w:szCs w:val="28"/>
          <w:highlight w:val="none"/>
        </w:rPr>
        <w:t>）</w:t>
      </w:r>
    </w:p>
    <w:p w14:paraId="1BD7C97B">
      <w:pPr>
        <w:adjustRightInd w:val="0"/>
        <w:snapToGrid w:val="0"/>
        <w:spacing w:line="560" w:lineRule="exact"/>
        <w:jc w:val="center"/>
        <w:rPr>
          <w:rFonts w:eastAsia="黑体"/>
          <w:color w:val="auto"/>
          <w:sz w:val="28"/>
          <w:szCs w:val="28"/>
          <w:highlight w:val="none"/>
        </w:rPr>
      </w:pPr>
      <w:r>
        <w:rPr>
          <w:rFonts w:eastAsia="黑体"/>
          <w:color w:val="auto"/>
          <w:sz w:val="28"/>
          <w:szCs w:val="28"/>
          <w:highlight w:val="none"/>
          <w:u w:val="single"/>
        </w:rPr>
        <w:t xml:space="preserve">        </w:t>
      </w:r>
      <w:r>
        <w:rPr>
          <w:rFonts w:eastAsia="黑体"/>
          <w:color w:val="auto"/>
          <w:sz w:val="28"/>
          <w:szCs w:val="28"/>
          <w:highlight w:val="none"/>
        </w:rPr>
        <w:t>年</w:t>
      </w:r>
      <w:r>
        <w:rPr>
          <w:rFonts w:eastAsia="黑体"/>
          <w:color w:val="auto"/>
          <w:sz w:val="28"/>
          <w:szCs w:val="28"/>
          <w:highlight w:val="none"/>
          <w:u w:val="single"/>
        </w:rPr>
        <w:t xml:space="preserve">        </w:t>
      </w:r>
      <w:r>
        <w:rPr>
          <w:rFonts w:eastAsia="黑体"/>
          <w:color w:val="auto"/>
          <w:sz w:val="28"/>
          <w:szCs w:val="28"/>
          <w:highlight w:val="none"/>
        </w:rPr>
        <w:t>月</w:t>
      </w:r>
      <w:r>
        <w:rPr>
          <w:rFonts w:eastAsia="黑体"/>
          <w:color w:val="auto"/>
          <w:sz w:val="28"/>
          <w:szCs w:val="28"/>
          <w:highlight w:val="none"/>
          <w:u w:val="single"/>
        </w:rPr>
        <w:t xml:space="preserve">        </w:t>
      </w:r>
      <w:r>
        <w:rPr>
          <w:rFonts w:eastAsia="黑体"/>
          <w:color w:val="auto"/>
          <w:sz w:val="28"/>
          <w:szCs w:val="28"/>
          <w:highlight w:val="none"/>
        </w:rPr>
        <w:t>日</w:t>
      </w:r>
    </w:p>
    <w:p w14:paraId="4B6EC140">
      <w:pPr>
        <w:adjustRightInd w:val="0"/>
        <w:snapToGrid w:val="0"/>
        <w:spacing w:line="560" w:lineRule="exact"/>
        <w:rPr>
          <w:rFonts w:hint="eastAsia"/>
          <w:color w:val="auto"/>
          <w:highlight w:val="none"/>
        </w:rPr>
      </w:pPr>
    </w:p>
    <w:p w14:paraId="12791789">
      <w:pPr>
        <w:adjustRightInd w:val="0"/>
        <w:snapToGrid w:val="0"/>
        <w:spacing w:line="560" w:lineRule="exact"/>
        <w:rPr>
          <w:rFonts w:hint="eastAsia"/>
          <w:color w:val="auto"/>
          <w:highlight w:val="none"/>
        </w:rPr>
      </w:pPr>
    </w:p>
    <w:p w14:paraId="69547437">
      <w:pPr>
        <w:pStyle w:val="2"/>
        <w:rPr>
          <w:rFonts w:hint="eastAsia"/>
          <w:color w:val="auto"/>
          <w:highlight w:val="none"/>
        </w:rPr>
      </w:pPr>
      <w:bookmarkStart w:id="1521" w:name="_Toc95223542"/>
      <w:r>
        <w:rPr>
          <w:rFonts w:hint="eastAsia"/>
          <w:color w:val="auto"/>
          <w:highlight w:val="none"/>
        </w:rPr>
        <w:t>投标文件三：商务标目录</w:t>
      </w:r>
      <w:bookmarkEnd w:id="1521"/>
    </w:p>
    <w:p w14:paraId="24F99A62">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（1）投标函；</w:t>
      </w:r>
    </w:p>
    <w:p w14:paraId="3189FF6A">
      <w:pPr>
        <w:adjustRightInd w:val="0"/>
        <w:snapToGrid w:val="0"/>
        <w:spacing w:line="560" w:lineRule="exact"/>
        <w:ind w:firstLine="420" w:firstLineChars="200"/>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eastAsia="zh-CN"/>
        </w:rPr>
        <w:t>（</w:t>
      </w:r>
      <w:r>
        <w:rPr>
          <w:rFonts w:hint="eastAsia" w:ascii="宋体" w:hAnsi="宋体" w:cs="Times New Roman"/>
          <w:color w:val="auto"/>
          <w:szCs w:val="21"/>
          <w:highlight w:val="none"/>
          <w:lang w:val="en-US" w:eastAsia="zh-CN"/>
        </w:rPr>
        <w:t>2）工程量清单报价书；</w:t>
      </w:r>
    </w:p>
    <w:p w14:paraId="46F0B98B">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）招标人推荐的材料品牌响应表（如有）；</w:t>
      </w:r>
    </w:p>
    <w:p w14:paraId="49862560">
      <w:pPr>
        <w:adjustRightInd w:val="0"/>
        <w:snapToGrid w:val="0"/>
        <w:spacing w:line="560" w:lineRule="exact"/>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）全国建筑市场监管公共服务平台</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四库一平台</w:t>
      </w:r>
      <w:r>
        <w:rPr>
          <w:rFonts w:hint="eastAsia" w:ascii="宋体" w:hAnsi="宋体" w:cs="Times New Roman"/>
          <w:color w:val="auto"/>
          <w:szCs w:val="21"/>
          <w:highlight w:val="none"/>
          <w:lang w:eastAsia="zh-CN"/>
        </w:rPr>
        <w:t>）</w:t>
      </w:r>
      <w:r>
        <w:rPr>
          <w:rFonts w:hint="eastAsia" w:ascii="宋体" w:hAnsi="宋体" w:eastAsia="宋体" w:cs="Times New Roman"/>
          <w:color w:val="auto"/>
          <w:szCs w:val="21"/>
          <w:highlight w:val="none"/>
        </w:rPr>
        <w:t>企业注册人员网页截图；</w:t>
      </w:r>
    </w:p>
    <w:p w14:paraId="039633D0">
      <w:pPr>
        <w:adjustRightInd w:val="0"/>
        <w:snapToGrid w:val="0"/>
        <w:spacing w:line="560" w:lineRule="exact"/>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（5）商务标评审所需其他材料；</w:t>
      </w:r>
    </w:p>
    <w:p w14:paraId="2B6EEDD0">
      <w:pPr>
        <w:adjustRightInd w:val="0"/>
        <w:snapToGrid w:val="0"/>
        <w:spacing w:line="560" w:lineRule="exact"/>
        <w:ind w:firstLine="422" w:firstLineChars="200"/>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（6）</w:t>
      </w:r>
      <w:bookmarkStart w:id="1532" w:name="_GoBack"/>
      <w:r>
        <w:rPr>
          <w:rFonts w:hint="eastAsia" w:ascii="宋体" w:hAnsi="宋体" w:eastAsia="宋体" w:cs="Times New Roman"/>
          <w:b/>
          <w:bCs/>
          <w:color w:val="auto"/>
          <w:szCs w:val="21"/>
          <w:highlight w:val="none"/>
          <w:lang w:val="en-US" w:eastAsia="zh-CN"/>
        </w:rPr>
        <w:t>定标材料（如有）</w:t>
      </w:r>
      <w:bookmarkEnd w:id="1532"/>
      <w:r>
        <w:rPr>
          <w:rFonts w:hint="eastAsia" w:ascii="宋体" w:hAnsi="宋体" w:eastAsia="宋体" w:cs="Times New Roman"/>
          <w:b/>
          <w:bCs/>
          <w:color w:val="auto"/>
          <w:szCs w:val="21"/>
          <w:highlight w:val="none"/>
          <w:lang w:val="en-US" w:eastAsia="zh-CN"/>
        </w:rPr>
        <w:t>。</w:t>
      </w:r>
    </w:p>
    <w:p w14:paraId="5BDB18E7">
      <w:pPr>
        <w:adjustRightInd w:val="0"/>
        <w:snapToGrid w:val="0"/>
        <w:spacing w:line="560" w:lineRule="exact"/>
        <w:rPr>
          <w:rFonts w:hint="eastAsia" w:eastAsia="黑体"/>
          <w:color w:val="auto"/>
          <w:sz w:val="20"/>
          <w:szCs w:val="20"/>
          <w:highlight w:val="none"/>
        </w:rPr>
      </w:pPr>
    </w:p>
    <w:p w14:paraId="121440D1">
      <w:pPr>
        <w:adjustRightInd w:val="0"/>
        <w:snapToGrid w:val="0"/>
        <w:spacing w:line="560" w:lineRule="exact"/>
        <w:rPr>
          <w:rFonts w:hint="eastAsia" w:eastAsia="黑体"/>
          <w:color w:val="auto"/>
          <w:sz w:val="20"/>
          <w:szCs w:val="20"/>
          <w:highlight w:val="none"/>
        </w:rPr>
      </w:pPr>
    </w:p>
    <w:p w14:paraId="5F6A757E">
      <w:pPr>
        <w:adjustRightInd w:val="0"/>
        <w:snapToGrid w:val="0"/>
        <w:spacing w:line="560" w:lineRule="exact"/>
        <w:rPr>
          <w:rFonts w:hint="eastAsia" w:eastAsia="黑体"/>
          <w:color w:val="auto"/>
          <w:sz w:val="20"/>
          <w:szCs w:val="20"/>
          <w:highlight w:val="none"/>
        </w:rPr>
      </w:pPr>
    </w:p>
    <w:p w14:paraId="4DA9110C">
      <w:pPr>
        <w:adjustRightInd w:val="0"/>
        <w:snapToGrid w:val="0"/>
        <w:spacing w:line="560" w:lineRule="exact"/>
        <w:ind w:right="420"/>
        <w:rPr>
          <w:rFonts w:hint="eastAsia"/>
          <w:color w:val="auto"/>
          <w:szCs w:val="21"/>
          <w:highlight w:val="none"/>
          <w:u w:val="single"/>
        </w:rPr>
      </w:pPr>
    </w:p>
    <w:p w14:paraId="30E2BC3B">
      <w:pPr>
        <w:pStyle w:val="20"/>
        <w:rPr>
          <w:rFonts w:hint="eastAsia"/>
          <w:color w:val="auto"/>
          <w:highlight w:val="none"/>
        </w:rPr>
      </w:pPr>
    </w:p>
    <w:p w14:paraId="58FF1833">
      <w:pPr>
        <w:rPr>
          <w:rFonts w:hint="eastAsia"/>
          <w:color w:val="auto"/>
          <w:highlight w:val="none"/>
        </w:rPr>
      </w:pPr>
    </w:p>
    <w:p w14:paraId="5CDE5CD6">
      <w:pPr>
        <w:pStyle w:val="20"/>
        <w:rPr>
          <w:rFonts w:hint="eastAsia"/>
          <w:color w:val="auto"/>
          <w:highlight w:val="none"/>
        </w:rPr>
      </w:pPr>
    </w:p>
    <w:p w14:paraId="1B7ECEE5">
      <w:pPr>
        <w:rPr>
          <w:rFonts w:hint="eastAsia"/>
          <w:color w:val="auto"/>
          <w:highlight w:val="none"/>
        </w:rPr>
      </w:pPr>
    </w:p>
    <w:p w14:paraId="11CFAC3A">
      <w:pPr>
        <w:pStyle w:val="20"/>
        <w:rPr>
          <w:rFonts w:hint="eastAsia"/>
          <w:color w:val="auto"/>
          <w:highlight w:val="none"/>
        </w:rPr>
      </w:pPr>
    </w:p>
    <w:p w14:paraId="23807CFE">
      <w:pPr>
        <w:rPr>
          <w:rFonts w:hint="eastAsia"/>
          <w:color w:val="auto"/>
          <w:highlight w:val="none"/>
        </w:rPr>
      </w:pPr>
    </w:p>
    <w:p w14:paraId="61B2D1DE">
      <w:pPr>
        <w:pStyle w:val="20"/>
        <w:rPr>
          <w:rFonts w:hint="eastAsia"/>
          <w:color w:val="auto"/>
          <w:highlight w:val="none"/>
        </w:rPr>
      </w:pPr>
    </w:p>
    <w:p w14:paraId="6460B1C6">
      <w:pPr>
        <w:rPr>
          <w:rFonts w:hint="eastAsia"/>
          <w:color w:val="auto"/>
          <w:highlight w:val="none"/>
        </w:rPr>
      </w:pPr>
    </w:p>
    <w:p w14:paraId="6BC758CA">
      <w:pPr>
        <w:pStyle w:val="20"/>
        <w:rPr>
          <w:rFonts w:hint="eastAsia"/>
          <w:color w:val="auto"/>
          <w:highlight w:val="none"/>
        </w:rPr>
      </w:pPr>
    </w:p>
    <w:p w14:paraId="39C55F29">
      <w:pPr>
        <w:rPr>
          <w:rFonts w:hint="eastAsia"/>
          <w:color w:val="auto"/>
          <w:highlight w:val="none"/>
        </w:rPr>
      </w:pPr>
    </w:p>
    <w:p w14:paraId="25B0C991">
      <w:pPr>
        <w:pStyle w:val="20"/>
        <w:rPr>
          <w:rFonts w:hint="eastAsia"/>
          <w:color w:val="auto"/>
          <w:highlight w:val="none"/>
        </w:rPr>
      </w:pPr>
    </w:p>
    <w:p w14:paraId="58B13C7B">
      <w:pPr>
        <w:rPr>
          <w:rFonts w:hint="eastAsia"/>
          <w:color w:val="auto"/>
          <w:highlight w:val="none"/>
        </w:rPr>
      </w:pPr>
    </w:p>
    <w:p w14:paraId="4AFE4E1B">
      <w:pPr>
        <w:pStyle w:val="20"/>
        <w:rPr>
          <w:rFonts w:hint="eastAsia"/>
          <w:color w:val="auto"/>
          <w:highlight w:val="none"/>
        </w:rPr>
      </w:pPr>
    </w:p>
    <w:p w14:paraId="448DA11C">
      <w:pPr>
        <w:rPr>
          <w:rFonts w:hint="eastAsia"/>
          <w:color w:val="auto"/>
          <w:highlight w:val="none"/>
        </w:rPr>
      </w:pPr>
    </w:p>
    <w:p w14:paraId="75743E77">
      <w:pPr>
        <w:pStyle w:val="20"/>
        <w:rPr>
          <w:rFonts w:hint="eastAsia"/>
          <w:color w:val="auto"/>
          <w:highlight w:val="none"/>
        </w:rPr>
      </w:pPr>
    </w:p>
    <w:p w14:paraId="3146B903">
      <w:pPr>
        <w:rPr>
          <w:rFonts w:hint="eastAsia"/>
          <w:color w:val="auto"/>
          <w:highlight w:val="none"/>
        </w:rPr>
      </w:pPr>
    </w:p>
    <w:p w14:paraId="170CAF8C">
      <w:pPr>
        <w:pStyle w:val="20"/>
        <w:rPr>
          <w:rFonts w:hint="eastAsia"/>
          <w:color w:val="auto"/>
          <w:highlight w:val="none"/>
        </w:rPr>
      </w:pPr>
    </w:p>
    <w:p w14:paraId="1C17F766">
      <w:pPr>
        <w:rPr>
          <w:rFonts w:hint="eastAsia"/>
          <w:color w:val="auto"/>
          <w:highlight w:val="none"/>
        </w:rPr>
      </w:pPr>
    </w:p>
    <w:p w14:paraId="1655C9E3">
      <w:pPr>
        <w:pStyle w:val="20"/>
        <w:rPr>
          <w:rFonts w:hint="eastAsia"/>
          <w:color w:val="auto"/>
          <w:highlight w:val="none"/>
        </w:rPr>
      </w:pPr>
    </w:p>
    <w:p w14:paraId="01B04950">
      <w:pPr>
        <w:rPr>
          <w:rFonts w:hint="eastAsia"/>
          <w:color w:val="auto"/>
          <w:highlight w:val="none"/>
        </w:rPr>
      </w:pPr>
    </w:p>
    <w:p w14:paraId="777E9DFB">
      <w:pPr>
        <w:pStyle w:val="20"/>
        <w:rPr>
          <w:rFonts w:hint="eastAsia"/>
          <w:color w:val="auto"/>
          <w:highlight w:val="none"/>
        </w:rPr>
      </w:pPr>
    </w:p>
    <w:p w14:paraId="218FA63A">
      <w:pPr>
        <w:rPr>
          <w:rFonts w:hint="eastAsia"/>
          <w:color w:val="auto"/>
          <w:highlight w:val="none"/>
        </w:rPr>
      </w:pPr>
    </w:p>
    <w:p w14:paraId="17B48232">
      <w:pPr>
        <w:pStyle w:val="20"/>
        <w:rPr>
          <w:rFonts w:hint="eastAsia"/>
          <w:color w:val="auto"/>
          <w:highlight w:val="none"/>
        </w:rPr>
      </w:pPr>
    </w:p>
    <w:p w14:paraId="24B3EE1D">
      <w:pPr>
        <w:pStyle w:val="20"/>
        <w:rPr>
          <w:rFonts w:hint="eastAsia"/>
          <w:color w:val="auto"/>
          <w:highlight w:val="none"/>
        </w:rPr>
      </w:pPr>
    </w:p>
    <w:p w14:paraId="724CE792">
      <w:pPr>
        <w:pStyle w:val="20"/>
        <w:ind w:left="0" w:leftChars="0" w:firstLine="0" w:firstLineChars="0"/>
        <w:rPr>
          <w:color w:val="auto"/>
          <w:highlight w:val="none"/>
        </w:rPr>
        <w:sectPr>
          <w:pgSz w:w="11910" w:h="16840"/>
          <w:pgMar w:top="1060" w:right="660" w:bottom="1020" w:left="1120" w:header="0" w:footer="833" w:gutter="0"/>
          <w:pgNumType w:fmt="numberInDash"/>
          <w:cols w:space="720" w:num="1"/>
        </w:sectPr>
      </w:pPr>
    </w:p>
    <w:p w14:paraId="75D997CC">
      <w:pPr>
        <w:pStyle w:val="20"/>
        <w:ind w:left="0" w:leftChars="0" w:firstLine="0" w:firstLineChars="0"/>
        <w:rPr>
          <w:rFonts w:hint="eastAsia"/>
          <w:color w:val="auto"/>
          <w:highlight w:val="none"/>
        </w:rPr>
      </w:pPr>
    </w:p>
    <w:p w14:paraId="2B1A88C4">
      <w:pPr>
        <w:pStyle w:val="4"/>
        <w:adjustRightInd w:val="0"/>
        <w:snapToGrid w:val="0"/>
        <w:spacing w:before="0" w:after="0" w:line="560" w:lineRule="exact"/>
        <w:jc w:val="center"/>
        <w:rPr>
          <w:rFonts w:hint="eastAsia"/>
          <w:color w:val="auto"/>
          <w:highlight w:val="none"/>
        </w:rPr>
      </w:pPr>
      <w:bookmarkStart w:id="1522" w:name="_Toc95223543"/>
      <w:r>
        <w:rPr>
          <w:rFonts w:hint="eastAsia"/>
          <w:color w:val="auto"/>
          <w:highlight w:val="none"/>
        </w:rPr>
        <w:t>（1）投</w:t>
      </w:r>
      <w:r>
        <w:rPr>
          <w:color w:val="auto"/>
          <w:highlight w:val="none"/>
        </w:rPr>
        <w:t xml:space="preserve"> </w:t>
      </w:r>
      <w:r>
        <w:rPr>
          <w:rFonts w:hint="eastAsia"/>
          <w:color w:val="auto"/>
          <w:highlight w:val="none"/>
        </w:rPr>
        <w:t>标 函</w:t>
      </w:r>
      <w:bookmarkEnd w:id="1522"/>
    </w:p>
    <w:p w14:paraId="76109D4D">
      <w:pPr>
        <w:adjustRightInd w:val="0"/>
        <w:snapToGrid w:val="0"/>
        <w:spacing w:line="560" w:lineRule="exact"/>
        <w:rPr>
          <w:rFonts w:ascii="宋体" w:hAnsi="宋体"/>
          <w:color w:val="auto"/>
          <w:sz w:val="24"/>
          <w:highlight w:val="none"/>
          <w:u w:val="single"/>
        </w:rPr>
      </w:pPr>
      <w:r>
        <w:rPr>
          <w:rFonts w:hint="eastAsia" w:ascii="宋体" w:hAnsi="宋体"/>
          <w:color w:val="auto"/>
          <w:sz w:val="24"/>
          <w:highlight w:val="none"/>
        </w:rPr>
        <w:t>致：</w:t>
      </w:r>
      <w:r>
        <w:rPr>
          <w:rFonts w:ascii="宋体" w:hAnsi="宋体"/>
          <w:color w:val="auto"/>
          <w:sz w:val="24"/>
          <w:highlight w:val="none"/>
          <w:u w:val="single"/>
        </w:rPr>
        <w:t xml:space="preserve">        </w:t>
      </w:r>
      <w:r>
        <w:rPr>
          <w:rFonts w:hint="eastAsia" w:ascii="宋体" w:hAnsi="宋体"/>
          <w:color w:val="auto"/>
          <w:sz w:val="24"/>
          <w:highlight w:val="none"/>
          <w:u w:val="single"/>
        </w:rPr>
        <w:t>（招标人）</w:t>
      </w:r>
      <w:r>
        <w:rPr>
          <w:rFonts w:ascii="宋体" w:hAnsi="宋体"/>
          <w:color w:val="auto"/>
          <w:sz w:val="24"/>
          <w:highlight w:val="none"/>
          <w:u w:val="single"/>
        </w:rPr>
        <w:t xml:space="preserve">      </w:t>
      </w:r>
    </w:p>
    <w:p w14:paraId="6D74C2CE">
      <w:pPr>
        <w:adjustRightInd w:val="0"/>
        <w:snapToGrid w:val="0"/>
        <w:spacing w:line="560" w:lineRule="exact"/>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w:t>
      </w:r>
      <w:r>
        <w:rPr>
          <w:rFonts w:hint="eastAsia" w:ascii="宋体" w:hAnsi="宋体"/>
          <w:color w:val="auto"/>
          <w:sz w:val="24"/>
          <w:highlight w:val="none"/>
        </w:rPr>
        <w:t>根据你方招</w:t>
      </w:r>
      <w:bookmarkStart w:id="1523" w:name="_Toc60061591"/>
      <w:r>
        <w:rPr>
          <w:rFonts w:hint="eastAsia" w:ascii="宋体" w:hAnsi="宋体"/>
          <w:color w:val="auto"/>
          <w:sz w:val="24"/>
          <w:highlight w:val="none"/>
        </w:rPr>
        <w:t>标项目编号为</w:t>
      </w:r>
      <w:r>
        <w:rPr>
          <w:rFonts w:ascii="宋体" w:hAnsi="宋体"/>
          <w:color w:val="auto"/>
          <w:sz w:val="24"/>
          <w:highlight w:val="none"/>
          <w:u w:val="single"/>
        </w:rPr>
        <w:t xml:space="preserve">  </w:t>
      </w:r>
      <w:bookmarkEnd w:id="1523"/>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的</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rPr>
        <w:t>招标文件，遵照《中华人民共和国招标投标法》等有关规定，经踏勘项目现场和研究上述招标文件的投标须知、合同条件、技术规范、图纸、工程量清单和其他有关文件后，我方愿以</w:t>
      </w:r>
      <w:r>
        <w:rPr>
          <w:rFonts w:ascii="宋体" w:hAnsi="宋体"/>
          <w:color w:val="auto"/>
          <w:sz w:val="24"/>
          <w:highlight w:val="none"/>
        </w:rPr>
        <w:t xml:space="preserve"> </w:t>
      </w:r>
      <w:r>
        <w:rPr>
          <w:rFonts w:hint="eastAsia" w:ascii="宋体" w:hAnsi="宋体"/>
          <w:color w:val="auto"/>
          <w:sz w:val="24"/>
          <w:highlight w:val="none"/>
        </w:rPr>
        <w:t>（币种，金额、单位）</w:t>
      </w:r>
      <w:r>
        <w:rPr>
          <w:rFonts w:hint="eastAsia" w:ascii="宋体" w:hAnsi="宋体"/>
          <w:color w:val="auto"/>
          <w:sz w:val="24"/>
          <w:highlight w:val="none"/>
          <w:u w:val="single"/>
        </w:rPr>
        <w:t xml:space="preserve">人民币           元                  </w:t>
      </w:r>
      <w:r>
        <w:rPr>
          <w:rFonts w:hint="eastAsia" w:ascii="宋体" w:hAnsi="宋体"/>
          <w:color w:val="auto"/>
          <w:sz w:val="24"/>
          <w:highlight w:val="none"/>
        </w:rPr>
        <w:t>的投标总报价承包上述工程的施工、竣工，并承担任何质量缺陷保修责任。</w:t>
      </w:r>
    </w:p>
    <w:p w14:paraId="31FC03D2">
      <w:pPr>
        <w:tabs>
          <w:tab w:val="left" w:pos="840"/>
        </w:tabs>
        <w:adjustRightInd w:val="0"/>
        <w:snapToGrid w:val="0"/>
        <w:spacing w:line="560" w:lineRule="exact"/>
        <w:ind w:firstLine="480" w:firstLineChars="200"/>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lang w:val="en-US" w:eastAsia="zh-CN"/>
        </w:rPr>
        <w:t>.</w:t>
      </w:r>
      <w:r>
        <w:rPr>
          <w:rFonts w:hint="eastAsia" w:ascii="宋体" w:hAnsi="宋体"/>
          <w:color w:val="auto"/>
          <w:sz w:val="24"/>
          <w:highlight w:val="none"/>
        </w:rPr>
        <w:t>我方已详细审核全部招标文件及有关附件，承诺招标文件及有关附件中所有条款。</w:t>
      </w:r>
    </w:p>
    <w:p w14:paraId="7645C58F">
      <w:pPr>
        <w:adjustRightInd w:val="0"/>
        <w:snapToGrid w:val="0"/>
        <w:spacing w:line="560" w:lineRule="exact"/>
        <w:ind w:firstLine="480" w:firstLineChars="200"/>
        <w:rPr>
          <w:rFonts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w:t>
      </w:r>
      <w:r>
        <w:rPr>
          <w:rFonts w:hint="eastAsia" w:ascii="宋体" w:hAnsi="宋体"/>
          <w:color w:val="auto"/>
          <w:sz w:val="24"/>
          <w:highlight w:val="none"/>
        </w:rPr>
        <w:t>一旦我方中标，我方将派出</w:t>
      </w:r>
      <w:r>
        <w:rPr>
          <w:rFonts w:hint="eastAsia" w:ascii="宋体" w:hAnsi="宋体"/>
          <w:color w:val="auto"/>
          <w:sz w:val="24"/>
          <w:highlight w:val="none"/>
          <w:u w:val="single"/>
        </w:rPr>
        <w:t xml:space="preserve">           </w:t>
      </w:r>
      <w:r>
        <w:rPr>
          <w:rFonts w:hint="eastAsia" w:ascii="宋体" w:hAnsi="宋体"/>
          <w:color w:val="auto"/>
          <w:sz w:val="24"/>
          <w:highlight w:val="none"/>
        </w:rPr>
        <w:t>建造师为本工程项目经理，保证按照招标人要求开始本工程的施工，并在</w:t>
      </w:r>
      <w:r>
        <w:rPr>
          <w:rFonts w:ascii="宋体" w:hAnsi="宋体"/>
          <w:color w:val="auto"/>
          <w:sz w:val="24"/>
          <w:highlight w:val="none"/>
          <w:u w:val="single"/>
        </w:rPr>
        <w:t xml:space="preserve">       </w:t>
      </w:r>
      <w:r>
        <w:rPr>
          <w:rFonts w:hint="eastAsia" w:ascii="宋体" w:hAnsi="宋体"/>
          <w:color w:val="auto"/>
          <w:sz w:val="24"/>
          <w:highlight w:val="none"/>
        </w:rPr>
        <w:t>个日历天（工期）内完成本合同的施工，并移交整个工程，工程质量达到</w:t>
      </w:r>
      <w:r>
        <w:rPr>
          <w:rFonts w:ascii="宋体" w:hAnsi="宋体"/>
          <w:color w:val="auto"/>
          <w:sz w:val="24"/>
          <w:highlight w:val="none"/>
          <w:u w:val="single"/>
        </w:rPr>
        <w:t xml:space="preserve">          </w:t>
      </w:r>
      <w:r>
        <w:rPr>
          <w:rFonts w:hint="eastAsia" w:ascii="宋体" w:hAnsi="宋体"/>
          <w:color w:val="auto"/>
          <w:sz w:val="24"/>
          <w:highlight w:val="none"/>
        </w:rPr>
        <w:t xml:space="preserve"> 标准。</w:t>
      </w:r>
    </w:p>
    <w:p w14:paraId="31B73C47">
      <w:pPr>
        <w:adjustRightInd w:val="0"/>
        <w:snapToGrid w:val="0"/>
        <w:spacing w:line="560" w:lineRule="exact"/>
        <w:ind w:firstLine="480" w:firstLineChars="200"/>
        <w:rPr>
          <w:rFonts w:ascii="宋体" w:hAnsi="宋体"/>
          <w:color w:val="auto"/>
          <w:sz w:val="24"/>
          <w:highlight w:val="none"/>
        </w:rPr>
      </w:pPr>
      <w:r>
        <w:rPr>
          <w:rFonts w:hint="eastAsia" w:ascii="宋体" w:hAnsi="宋体"/>
          <w:color w:val="auto"/>
          <w:sz w:val="24"/>
          <w:highlight w:val="none"/>
        </w:rPr>
        <w:t>4</w:t>
      </w:r>
      <w:r>
        <w:rPr>
          <w:rFonts w:hint="eastAsia" w:ascii="宋体" w:hAnsi="宋体"/>
          <w:color w:val="auto"/>
          <w:sz w:val="24"/>
          <w:highlight w:val="none"/>
          <w:lang w:val="en-US" w:eastAsia="zh-CN"/>
        </w:rPr>
        <w:t>.随本投标书，我方同时按照招标文件的要求提交投标保证金。如果我方在投标截止后撤销投标文件，或在中标后无正当理由不与招标人订立合同，在签订合同时向招标人提出附加条件，或者不按照招标文件要求提交履约保证金，或存在法律法规规定视为串通投标的情形，或存在投标文件异常一致，或存在投标活动异常关联，或通过受让、租借、挂靠资质投标，伪造、变造资质、资格证书或者其他许可证件，提供虚假业绩、奖项、项目负责人等材料，贵单位有权不予退还投标保证金。</w:t>
      </w:r>
    </w:p>
    <w:p w14:paraId="4886ED47">
      <w:pPr>
        <w:adjustRightInd w:val="0"/>
        <w:snapToGrid w:val="0"/>
        <w:spacing w:line="560" w:lineRule="exact"/>
        <w:ind w:firstLine="480" w:firstLineChars="200"/>
        <w:rPr>
          <w:rFonts w:hint="eastAsia" w:ascii="宋体" w:hAnsi="宋体"/>
          <w:color w:val="auto"/>
          <w:sz w:val="24"/>
          <w:highlight w:val="none"/>
        </w:rPr>
      </w:pPr>
      <w:r>
        <w:rPr>
          <w:rFonts w:hint="eastAsia" w:ascii="宋体" w:hAnsi="宋体"/>
          <w:color w:val="auto"/>
          <w:sz w:val="24"/>
          <w:highlight w:val="none"/>
        </w:rPr>
        <w:t>5</w:t>
      </w:r>
      <w:r>
        <w:rPr>
          <w:rFonts w:hint="eastAsia" w:ascii="宋体" w:hAnsi="宋体"/>
          <w:color w:val="auto"/>
          <w:sz w:val="24"/>
          <w:highlight w:val="none"/>
          <w:lang w:val="en-US" w:eastAsia="zh-CN"/>
        </w:rPr>
        <w:t>.</w:t>
      </w:r>
      <w:r>
        <w:rPr>
          <w:rFonts w:hint="eastAsia" w:ascii="宋体" w:hAnsi="宋体"/>
          <w:color w:val="auto"/>
          <w:sz w:val="24"/>
          <w:highlight w:val="none"/>
        </w:rPr>
        <w:t>如果我方中标我方将按照招标文件的规定提交履约担保。工程验收合格后，方可退还。</w:t>
      </w:r>
    </w:p>
    <w:p w14:paraId="03A4F013">
      <w:pPr>
        <w:adjustRightInd w:val="0"/>
        <w:snapToGrid w:val="0"/>
        <w:spacing w:line="560" w:lineRule="exact"/>
        <w:ind w:firstLine="480" w:firstLineChars="200"/>
        <w:jc w:val="left"/>
        <w:rPr>
          <w:rFonts w:hint="eastAsia" w:ascii="宋体" w:hAnsi="宋体"/>
          <w:color w:val="auto"/>
          <w:sz w:val="24"/>
          <w:highlight w:val="none"/>
        </w:rPr>
      </w:pPr>
      <w:r>
        <w:rPr>
          <w:rFonts w:hint="eastAsia" w:ascii="宋体" w:hAnsi="宋体"/>
          <w:color w:val="auto"/>
          <w:sz w:val="24"/>
          <w:highlight w:val="none"/>
        </w:rPr>
        <w:t>6</w:t>
      </w:r>
      <w:r>
        <w:rPr>
          <w:rFonts w:hint="eastAsia" w:ascii="宋体" w:hAnsi="宋体"/>
          <w:color w:val="auto"/>
          <w:sz w:val="24"/>
          <w:highlight w:val="none"/>
          <w:lang w:val="en-US" w:eastAsia="zh-CN"/>
        </w:rPr>
        <w:t>.</w:t>
      </w:r>
      <w:r>
        <w:rPr>
          <w:rFonts w:hint="eastAsia" w:ascii="宋体" w:hAnsi="宋体"/>
          <w:color w:val="auto"/>
          <w:sz w:val="24"/>
          <w:highlight w:val="none"/>
        </w:rPr>
        <w:t>我方承诺在招标文件规定的投标有效期内不撤销投标文件。</w:t>
      </w:r>
    </w:p>
    <w:p w14:paraId="2454DB81">
      <w:pPr>
        <w:adjustRightInd w:val="0"/>
        <w:snapToGrid w:val="0"/>
        <w:spacing w:line="560" w:lineRule="exact"/>
        <w:ind w:firstLine="480" w:firstLineChars="200"/>
        <w:jc w:val="left"/>
        <w:rPr>
          <w:rFonts w:hint="eastAsia" w:ascii="宋体" w:hAnsi="宋体"/>
          <w:color w:val="000000"/>
          <w:sz w:val="24"/>
        </w:rPr>
      </w:pPr>
      <w:r>
        <w:rPr>
          <w:rFonts w:hint="eastAsia" w:ascii="宋体" w:hAnsi="宋体"/>
          <w:color w:val="000000"/>
          <w:sz w:val="24"/>
        </w:rPr>
        <w:t>7</w:t>
      </w:r>
      <w:r>
        <w:rPr>
          <w:rFonts w:hint="eastAsia" w:ascii="宋体" w:hAnsi="宋体"/>
          <w:color w:val="000000"/>
          <w:sz w:val="24"/>
          <w:lang w:val="en-US" w:eastAsia="zh-CN"/>
        </w:rPr>
        <w:t>.</w:t>
      </w:r>
      <w:r>
        <w:rPr>
          <w:rFonts w:hint="eastAsia" w:ascii="宋体" w:hAnsi="宋体" w:eastAsia="宋体" w:cs="Times New Roman"/>
          <w:b/>
          <w:bCs/>
          <w:color w:val="000000"/>
          <w:sz w:val="24"/>
          <w:szCs w:val="22"/>
          <w:lang w:val="en-US" w:eastAsia="zh-CN"/>
        </w:rPr>
        <w:t>我方承诺，注册在我公司（如投标人为联合体，联合体各方）的现有注册建造师专业、数量，满足我公司（如投标人为联合体，联合体各方）响应本项目投标的资质等级对应的《建筑业企业资质标准》及有关文件中规定的注册建造师专业、 数量要求。如有不实，我方接受管理部门相关处罚。</w:t>
      </w:r>
    </w:p>
    <w:p w14:paraId="5967BED4">
      <w:pPr>
        <w:adjustRightInd w:val="0"/>
        <w:snapToGrid w:val="0"/>
        <w:spacing w:line="560" w:lineRule="exact"/>
        <w:ind w:firstLine="480" w:firstLineChars="200"/>
        <w:jc w:val="left"/>
        <w:rPr>
          <w:rFonts w:hint="eastAsia" w:ascii="宋体" w:hAnsi="宋体"/>
          <w:color w:val="000000"/>
          <w:sz w:val="24"/>
        </w:rPr>
      </w:pPr>
      <w:r>
        <w:rPr>
          <w:rFonts w:hint="eastAsia" w:ascii="宋体" w:hAnsi="宋体"/>
          <w:color w:val="000000"/>
          <w:sz w:val="24"/>
          <w:lang w:val="en-US" w:eastAsia="zh-CN"/>
        </w:rPr>
        <w:t>8.</w:t>
      </w:r>
      <w:r>
        <w:rPr>
          <w:rFonts w:hint="eastAsia" w:ascii="宋体" w:hAnsi="宋体"/>
          <w:color w:val="000000"/>
          <w:sz w:val="24"/>
        </w:rPr>
        <w:t>我单位提供如下通讯地址：</w:t>
      </w:r>
      <w:r>
        <w:rPr>
          <w:rFonts w:hint="eastAsia" w:ascii="宋体" w:hAnsi="宋体"/>
          <w:color w:val="000000"/>
          <w:sz w:val="24"/>
          <w:u w:val="single"/>
        </w:rPr>
        <w:t xml:space="preserve">                </w:t>
      </w:r>
      <w:r>
        <w:rPr>
          <w:rFonts w:hint="eastAsia" w:ascii="宋体" w:hAnsi="宋体"/>
          <w:color w:val="000000"/>
          <w:sz w:val="24"/>
        </w:rPr>
        <w:t>电子邮箱（地址），确认本项目相关法律文书均通过提供的以上地址送达，相关文书只要发送至以上电子邮箱（地址）即视为送达，投标人愿意承担一切法律后果。</w:t>
      </w:r>
    </w:p>
    <w:p w14:paraId="1516FDB2">
      <w:pPr>
        <w:adjustRightInd w:val="0"/>
        <w:snapToGrid w:val="0"/>
        <w:spacing w:line="560" w:lineRule="exact"/>
        <w:ind w:firstLine="480" w:firstLineChars="200"/>
        <w:jc w:val="left"/>
        <w:rPr>
          <w:rFonts w:hint="eastAsia" w:ascii="宋体" w:hAnsi="宋体"/>
          <w:color w:val="auto"/>
          <w:sz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u w:val="single"/>
        </w:rPr>
        <w:t xml:space="preserve">                           </w:t>
      </w:r>
      <w:r>
        <w:rPr>
          <w:rFonts w:hint="eastAsia" w:ascii="宋体" w:hAnsi="宋体"/>
          <w:color w:val="auto"/>
          <w:sz w:val="24"/>
          <w:highlight w:val="none"/>
        </w:rPr>
        <w:t>（其他补充说明</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如有</w:t>
      </w:r>
      <w:r>
        <w:rPr>
          <w:rFonts w:hint="eastAsia" w:ascii="宋体" w:hAnsi="宋体"/>
          <w:color w:val="auto"/>
          <w:sz w:val="24"/>
          <w:highlight w:val="none"/>
        </w:rPr>
        <w:t>）。</w:t>
      </w:r>
    </w:p>
    <w:p w14:paraId="2B0D4081">
      <w:pPr>
        <w:adjustRightInd w:val="0"/>
        <w:snapToGrid w:val="0"/>
        <w:spacing w:line="560" w:lineRule="exact"/>
        <w:ind w:firstLine="480" w:firstLineChars="200"/>
        <w:rPr>
          <w:rFonts w:hint="eastAsia" w:ascii="宋体" w:hAnsi="宋体"/>
          <w:color w:val="auto"/>
          <w:sz w:val="24"/>
          <w:highlight w:val="none"/>
        </w:rPr>
      </w:pPr>
    </w:p>
    <w:p w14:paraId="0D24D077">
      <w:pPr>
        <w:adjustRightInd w:val="0"/>
        <w:snapToGrid w:val="0"/>
        <w:spacing w:line="560" w:lineRule="exact"/>
        <w:ind w:firstLine="480" w:firstLineChars="200"/>
        <w:rPr>
          <w:rFonts w:ascii="宋体" w:hAnsi="宋体"/>
          <w:color w:val="auto"/>
          <w:sz w:val="24"/>
          <w:highlight w:val="none"/>
          <w:u w:val="single"/>
        </w:rPr>
      </w:pPr>
      <w:r>
        <w:rPr>
          <w:rFonts w:hint="eastAsia" w:ascii="宋体" w:hAnsi="宋体"/>
          <w:color w:val="auto"/>
          <w:sz w:val="24"/>
          <w:highlight w:val="none"/>
        </w:rPr>
        <w:t>投标人：</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（签章）</w:t>
      </w:r>
      <w:r>
        <w:rPr>
          <w:rFonts w:ascii="宋体" w:hAnsi="宋体"/>
          <w:color w:val="auto"/>
          <w:sz w:val="24"/>
          <w:highlight w:val="none"/>
          <w:u w:val="single"/>
        </w:rPr>
        <w:t xml:space="preserve">   </w:t>
      </w:r>
    </w:p>
    <w:p w14:paraId="48B17C9C">
      <w:pPr>
        <w:adjustRightInd w:val="0"/>
        <w:snapToGrid w:val="0"/>
        <w:spacing w:line="560" w:lineRule="exact"/>
        <w:ind w:firstLine="480" w:firstLineChars="200"/>
        <w:rPr>
          <w:rFonts w:ascii="宋体" w:hAnsi="宋体"/>
          <w:color w:val="auto"/>
          <w:sz w:val="24"/>
          <w:highlight w:val="none"/>
        </w:rPr>
      </w:pPr>
      <w:r>
        <w:rPr>
          <w:rFonts w:hint="eastAsia" w:ascii="宋体" w:hAnsi="宋体"/>
          <w:color w:val="auto"/>
          <w:sz w:val="24"/>
          <w:highlight w:val="none"/>
        </w:rPr>
        <w:t>法定代表人：</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（签章）联系人：                 </w:t>
      </w:r>
    </w:p>
    <w:p w14:paraId="301FCC43">
      <w:pPr>
        <w:adjustRightInd w:val="0"/>
        <w:snapToGrid w:val="0"/>
        <w:spacing w:line="560" w:lineRule="exact"/>
        <w:ind w:firstLine="480" w:firstLineChars="200"/>
        <w:rPr>
          <w:rFonts w:hint="eastAsia" w:ascii="宋体" w:hAnsi="宋体"/>
          <w:color w:val="auto"/>
          <w:sz w:val="24"/>
          <w:highlight w:val="none"/>
        </w:rPr>
      </w:pPr>
      <w:r>
        <w:rPr>
          <w:rFonts w:hint="eastAsia" w:ascii="宋体" w:hAnsi="宋体"/>
          <w:color w:val="auto"/>
          <w:sz w:val="24"/>
          <w:highlight w:val="none"/>
        </w:rPr>
        <w:t>单位地址：</w:t>
      </w:r>
      <w:r>
        <w:rPr>
          <w:rFonts w:hint="eastAsia" w:ascii="宋体" w:hAnsi="宋体"/>
          <w:color w:val="auto"/>
          <w:sz w:val="24"/>
          <w:highlight w:val="none"/>
          <w:u w:val="single"/>
        </w:rPr>
        <w:t xml:space="preserve">                                       </w:t>
      </w:r>
    </w:p>
    <w:p w14:paraId="376E3EE6">
      <w:pPr>
        <w:adjustRightInd w:val="0"/>
        <w:snapToGrid w:val="0"/>
        <w:spacing w:line="560" w:lineRule="exact"/>
        <w:ind w:firstLine="480" w:firstLineChars="200"/>
        <w:rPr>
          <w:rFonts w:ascii="宋体" w:hAnsi="宋体"/>
          <w:color w:val="auto"/>
          <w:sz w:val="24"/>
          <w:highlight w:val="none"/>
          <w:u w:val="single"/>
        </w:rPr>
      </w:pPr>
      <w:r>
        <w:rPr>
          <w:rFonts w:hint="eastAsia" w:ascii="宋体" w:hAnsi="宋体"/>
          <w:color w:val="auto"/>
          <w:sz w:val="24"/>
          <w:highlight w:val="none"/>
        </w:rPr>
        <w:t>邮政编码：</w:t>
      </w:r>
      <w:r>
        <w:rPr>
          <w:rFonts w:ascii="宋体" w:hAnsi="宋体"/>
          <w:color w:val="auto"/>
          <w:sz w:val="24"/>
          <w:highlight w:val="none"/>
          <w:u w:val="single"/>
        </w:rPr>
        <w:t xml:space="preserve">            </w:t>
      </w:r>
      <w:r>
        <w:rPr>
          <w:rFonts w:hint="eastAsia" w:ascii="宋体" w:hAnsi="宋体"/>
          <w:color w:val="auto"/>
          <w:sz w:val="24"/>
          <w:highlight w:val="none"/>
        </w:rPr>
        <w:t>联系人手机号码：</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传真：</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6D0D3E69">
      <w:pPr>
        <w:adjustRightInd w:val="0"/>
        <w:snapToGrid w:val="0"/>
        <w:spacing w:line="560" w:lineRule="exact"/>
        <w:ind w:firstLine="480" w:firstLineChars="200"/>
        <w:rPr>
          <w:color w:val="auto"/>
          <w:szCs w:val="21"/>
          <w:highlight w:val="none"/>
          <w:u w:val="single"/>
        </w:rPr>
      </w:pPr>
      <w:r>
        <w:rPr>
          <w:rFonts w:hint="eastAsia" w:ascii="宋体" w:hAnsi="宋体"/>
          <w:color w:val="auto"/>
          <w:sz w:val="24"/>
          <w:highlight w:val="none"/>
        </w:rPr>
        <w:t>日期：</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日</w:t>
      </w:r>
    </w:p>
    <w:p w14:paraId="75F28610">
      <w:pPr>
        <w:pStyle w:val="4"/>
        <w:adjustRightInd w:val="0"/>
        <w:snapToGrid w:val="0"/>
        <w:spacing w:before="0" w:after="0" w:line="560" w:lineRule="exact"/>
        <w:jc w:val="center"/>
        <w:rPr>
          <w:color w:val="auto"/>
          <w:highlight w:val="none"/>
        </w:rPr>
        <w:sectPr>
          <w:pgSz w:w="11910" w:h="16840"/>
          <w:pgMar w:top="1060" w:right="660" w:bottom="1020" w:left="1120" w:header="0" w:footer="833" w:gutter="0"/>
          <w:pgNumType w:fmt="numberInDash"/>
          <w:cols w:space="720" w:num="1"/>
        </w:sectPr>
      </w:pPr>
      <w:bookmarkStart w:id="1524" w:name="_Toc95223544"/>
    </w:p>
    <w:p w14:paraId="4BB7AEB4">
      <w:pPr>
        <w:pStyle w:val="4"/>
        <w:adjustRightInd w:val="0"/>
        <w:snapToGrid w:val="0"/>
        <w:spacing w:before="0" w:after="0" w:line="560" w:lineRule="exact"/>
        <w:jc w:val="center"/>
        <w:rPr>
          <w:rFonts w:hint="eastAsia"/>
          <w:color w:val="auto"/>
          <w:highlight w:val="none"/>
        </w:rPr>
      </w:pPr>
      <w:r>
        <w:rPr>
          <w:rFonts w:hint="eastAsia"/>
          <w:color w:val="auto"/>
          <w:highlight w:val="none"/>
        </w:rPr>
        <w:t>（2）工程量清单报价书</w:t>
      </w:r>
      <w:bookmarkEnd w:id="1524"/>
    </w:p>
    <w:p w14:paraId="523756E1">
      <w:pPr>
        <w:jc w:val="center"/>
        <w:rPr>
          <w:rFonts w:ascii="Calibri" w:hAnsi="Calibri"/>
          <w:color w:val="auto"/>
          <w:sz w:val="32"/>
          <w:szCs w:val="32"/>
          <w:highlight w:val="none"/>
        </w:rPr>
      </w:pPr>
    </w:p>
    <w:p w14:paraId="0991ADDC">
      <w:pPr>
        <w:keepNext w:val="0"/>
        <w:keepLines w:val="0"/>
        <w:widowControl w:val="0"/>
        <w:suppressLineNumbers w:val="0"/>
        <w:spacing w:before="0" w:beforeAutospacing="0" w:after="0" w:afterAutospacing="0"/>
        <w:ind w:left="0" w:right="0"/>
        <w:jc w:val="center"/>
        <w:rPr>
          <w:rFonts w:hint="default" w:ascii="Calibri" w:hAnsi="Calibri" w:eastAsia="宋体" w:cs="Calibri"/>
          <w:kern w:val="2"/>
          <w:sz w:val="32"/>
          <w:szCs w:val="32"/>
        </w:rPr>
      </w:pPr>
      <w:r>
        <w:rPr>
          <w:rFonts w:hint="eastAsia" w:ascii="仿宋_GB2312" w:hAnsi="Calibri" w:eastAsia="仿宋_GB2312"/>
          <w:b/>
          <w:color w:val="auto"/>
          <w:sz w:val="36"/>
          <w:szCs w:val="36"/>
          <w:highlight w:val="none"/>
        </w:rPr>
        <w:t>①</w:t>
      </w:r>
      <w:r>
        <w:rPr>
          <w:rFonts w:hint="eastAsia" w:ascii="宋体" w:hAnsi="宋体" w:eastAsia="宋体" w:cs="宋体"/>
          <w:b/>
          <w:bCs w:val="0"/>
          <w:kern w:val="2"/>
          <w:sz w:val="36"/>
          <w:szCs w:val="36"/>
          <w:highlight w:val="none"/>
          <w:lang w:val="en-US" w:eastAsia="zh-CN" w:bidi="ar"/>
        </w:rPr>
        <w:t>投标总价封面</w:t>
      </w:r>
    </w:p>
    <w:p w14:paraId="27958C11">
      <w:pPr>
        <w:jc w:val="center"/>
        <w:rPr>
          <w:rFonts w:ascii="Calibri" w:hAnsi="Calibri"/>
          <w:color w:val="auto"/>
          <w:sz w:val="32"/>
          <w:szCs w:val="32"/>
          <w:highlight w:val="none"/>
        </w:rPr>
      </w:pPr>
    </w:p>
    <w:p w14:paraId="4D9EF63E">
      <w:pPr>
        <w:keepNext w:val="0"/>
        <w:keepLines w:val="0"/>
        <w:widowControl w:val="0"/>
        <w:suppressLineNumbers w:val="0"/>
        <w:spacing w:before="0" w:beforeAutospacing="0" w:after="0" w:afterAutospacing="0"/>
        <w:ind w:left="0" w:right="0"/>
        <w:jc w:val="center"/>
        <w:rPr>
          <w:rFonts w:hint="eastAsia" w:ascii="Calibri" w:hAnsi="Calibri" w:eastAsia="宋体" w:cs="Times New Roman"/>
          <w:b/>
          <w:bCs w:val="0"/>
          <w:color w:val="000000"/>
          <w:kern w:val="2"/>
          <w:sz w:val="36"/>
          <w:szCs w:val="36"/>
        </w:rPr>
      </w:pPr>
      <w:r>
        <w:rPr>
          <w:rFonts w:hint="eastAsia" w:ascii="Calibri" w:hAnsi="Calibri" w:eastAsia="宋体" w:cs="Times New Roman"/>
          <w:b/>
          <w:bCs w:val="0"/>
          <w:color w:val="000000"/>
          <w:kern w:val="2"/>
          <w:sz w:val="36"/>
          <w:szCs w:val="36"/>
          <w:lang w:val="en-US" w:eastAsia="zh-CN" w:bidi="ar"/>
        </w:rPr>
        <w:t xml:space="preserve"> </w:t>
      </w:r>
    </w:p>
    <w:p w14:paraId="5D3103C1">
      <w:pPr>
        <w:keepNext w:val="0"/>
        <w:keepLines w:val="0"/>
        <w:widowControl w:val="0"/>
        <w:suppressLineNumbers w:val="0"/>
        <w:spacing w:before="0" w:beforeAutospacing="0" w:after="0" w:afterAutospacing="0"/>
        <w:ind w:left="0" w:right="0"/>
        <w:jc w:val="both"/>
        <w:rPr>
          <w:rFonts w:hint="default" w:ascii="Calibri" w:hAnsi="Calibri" w:eastAsia="宋体" w:cs="Times New Roman"/>
          <w:b/>
          <w:bCs w:val="0"/>
          <w:color w:val="000000"/>
          <w:kern w:val="2"/>
          <w:sz w:val="36"/>
          <w:szCs w:val="36"/>
        </w:rPr>
      </w:pPr>
      <w:r>
        <w:rPr>
          <w:rFonts w:hint="eastAsia" w:ascii="Calibri" w:hAnsi="Calibri" w:eastAsia="宋体" w:cs="Times New Roman"/>
          <w:b/>
          <w:bCs w:val="0"/>
          <w:color w:val="000000"/>
          <w:kern w:val="2"/>
          <w:sz w:val="36"/>
          <w:szCs w:val="36"/>
          <w:lang w:val="en-US" w:eastAsia="zh-CN" w:bidi="ar"/>
        </w:rPr>
        <w:t xml:space="preserve">           </w:t>
      </w:r>
      <w:r>
        <w:rPr>
          <w:rFonts w:hint="eastAsia" w:ascii="Calibri" w:hAnsi="Calibri" w:eastAsia="宋体" w:cs="Times New Roman"/>
          <w:b/>
          <w:bCs w:val="0"/>
          <w:color w:val="000000"/>
          <w:kern w:val="2"/>
          <w:sz w:val="36"/>
          <w:szCs w:val="36"/>
          <w:u w:val="single"/>
          <w:lang w:val="en-US" w:eastAsia="zh-CN" w:bidi="ar"/>
        </w:rPr>
        <w:t xml:space="preserve">                               </w:t>
      </w:r>
      <w:r>
        <w:rPr>
          <w:rFonts w:hint="eastAsia" w:ascii="宋体" w:hAnsi="宋体" w:eastAsia="宋体" w:cs="宋体"/>
          <w:b/>
          <w:bCs w:val="0"/>
          <w:color w:val="000000"/>
          <w:kern w:val="2"/>
          <w:sz w:val="36"/>
          <w:szCs w:val="36"/>
          <w:lang w:val="en-US" w:eastAsia="zh-CN" w:bidi="ar"/>
        </w:rPr>
        <w:t>工程</w:t>
      </w:r>
    </w:p>
    <w:p w14:paraId="0150D130">
      <w:pPr>
        <w:keepNext w:val="0"/>
        <w:keepLines w:val="0"/>
        <w:widowControl w:val="0"/>
        <w:suppressLineNumbers w:val="0"/>
        <w:spacing w:before="0" w:beforeAutospacing="0" w:after="0" w:afterAutospacing="0"/>
        <w:ind w:left="0" w:right="0"/>
        <w:jc w:val="center"/>
        <w:rPr>
          <w:rFonts w:hint="eastAsia" w:ascii="仿宋_GB2312" w:hAnsi="Calibri" w:eastAsia="仿宋_GB2312" w:cs="Times New Roman"/>
          <w:b/>
          <w:bCs w:val="0"/>
          <w:color w:val="000000"/>
          <w:kern w:val="2"/>
          <w:sz w:val="36"/>
          <w:szCs w:val="36"/>
        </w:rPr>
      </w:pPr>
      <w:r>
        <w:rPr>
          <w:rFonts w:hint="eastAsia" w:ascii="Calibri" w:hAnsi="Calibri" w:eastAsia="宋体" w:cs="Times New Roman"/>
          <w:b/>
          <w:bCs w:val="0"/>
          <w:color w:val="000000"/>
          <w:kern w:val="2"/>
          <w:sz w:val="36"/>
          <w:szCs w:val="36"/>
          <w:lang w:val="en-US" w:eastAsia="zh-CN" w:bidi="ar"/>
        </w:rPr>
        <w:t xml:space="preserve"> </w:t>
      </w:r>
      <w:r>
        <w:rPr>
          <w:rFonts w:hint="eastAsia" w:ascii="仿宋_GB2312" w:hAnsi="Calibri" w:eastAsia="仿宋_GB2312" w:cs="Times New Roman"/>
          <w:b/>
          <w:bCs w:val="0"/>
          <w:color w:val="000000"/>
          <w:kern w:val="2"/>
          <w:sz w:val="36"/>
          <w:szCs w:val="36"/>
          <w:lang w:val="en-US" w:eastAsia="zh-CN" w:bidi="ar"/>
        </w:rPr>
        <w:t xml:space="preserve"> </w:t>
      </w:r>
    </w:p>
    <w:p w14:paraId="38F17459">
      <w:pPr>
        <w:keepNext w:val="0"/>
        <w:keepLines w:val="0"/>
        <w:widowControl w:val="0"/>
        <w:suppressLineNumbers w:val="0"/>
        <w:spacing w:before="0" w:beforeAutospacing="0" w:after="0" w:afterAutospacing="0"/>
        <w:ind w:left="0" w:right="0"/>
        <w:jc w:val="center"/>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139B64B2">
      <w:pPr>
        <w:keepNext w:val="0"/>
        <w:keepLines w:val="0"/>
        <w:widowControl w:val="0"/>
        <w:suppressLineNumbers w:val="0"/>
        <w:spacing w:before="0" w:beforeAutospacing="0" w:after="0" w:afterAutospacing="0"/>
        <w:ind w:left="0" w:right="0"/>
        <w:jc w:val="center"/>
        <w:rPr>
          <w:rFonts w:hint="eastAsia" w:ascii="仿宋_GB2312" w:hAnsi="Calibri" w:eastAsia="仿宋_GB2312" w:cs="Times New Roman"/>
          <w:b/>
          <w:bCs w:val="0"/>
          <w:color w:val="000000"/>
          <w:kern w:val="2"/>
          <w:sz w:val="36"/>
          <w:szCs w:val="36"/>
        </w:rPr>
      </w:pPr>
      <w:r>
        <w:rPr>
          <w:rFonts w:hint="eastAsia" w:ascii="仿宋_GB2312" w:hAnsi="Calibri" w:eastAsia="仿宋_GB2312" w:cs="仿宋_GB2312"/>
          <w:b/>
          <w:bCs w:val="0"/>
          <w:color w:val="000000"/>
          <w:kern w:val="2"/>
          <w:sz w:val="36"/>
          <w:szCs w:val="36"/>
          <w:lang w:val="en-US" w:eastAsia="zh-CN" w:bidi="ar"/>
        </w:rPr>
        <w:t>投标总价</w:t>
      </w:r>
    </w:p>
    <w:p w14:paraId="2B0AC879">
      <w:pPr>
        <w:keepNext w:val="0"/>
        <w:keepLines w:val="0"/>
        <w:widowControl w:val="0"/>
        <w:suppressLineNumbers w:val="0"/>
        <w:spacing w:before="0" w:beforeAutospacing="0" w:after="0" w:afterAutospacing="0"/>
        <w:ind w:left="0" w:right="0"/>
        <w:jc w:val="center"/>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41D5C074">
      <w:pPr>
        <w:keepNext w:val="0"/>
        <w:keepLines w:val="0"/>
        <w:widowControl w:val="0"/>
        <w:suppressLineNumbers w:val="0"/>
        <w:spacing w:before="0" w:beforeAutospacing="0" w:after="0" w:afterAutospacing="0"/>
        <w:ind w:left="0" w:right="0"/>
        <w:jc w:val="both"/>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7235401F">
      <w:pPr>
        <w:keepNext w:val="0"/>
        <w:keepLines w:val="0"/>
        <w:widowControl w:val="0"/>
        <w:suppressLineNumbers w:val="0"/>
        <w:spacing w:before="0" w:beforeAutospacing="0" w:after="0" w:afterAutospacing="0"/>
        <w:ind w:left="0" w:right="0"/>
        <w:jc w:val="both"/>
        <w:rPr>
          <w:rFonts w:hint="eastAsia" w:ascii="仿宋_GB2312" w:hAnsi="Calibri" w:eastAsia="仿宋_GB2312" w:cs="Times New Roman"/>
          <w:b/>
          <w:bCs w:val="0"/>
          <w:color w:val="000000"/>
          <w:kern w:val="2"/>
          <w:sz w:val="36"/>
          <w:szCs w:val="36"/>
          <w:lang w:val="en-US" w:eastAsia="zh-CN" w:bidi="ar"/>
        </w:rPr>
      </w:pPr>
      <w:r>
        <w:rPr>
          <w:rFonts w:hint="eastAsia" w:ascii="仿宋_GB2312" w:hAnsi="Calibri" w:eastAsia="仿宋_GB2312" w:cs="Times New Roman"/>
          <w:b/>
          <w:bCs w:val="0"/>
          <w:color w:val="000000"/>
          <w:kern w:val="2"/>
          <w:sz w:val="36"/>
          <w:szCs w:val="36"/>
          <w:lang w:val="en-US" w:eastAsia="zh-CN" w:bidi="ar"/>
        </w:rPr>
        <w:t xml:space="preserve"> </w:t>
      </w:r>
    </w:p>
    <w:p w14:paraId="20F92281">
      <w:pPr>
        <w:pStyle w:val="2"/>
        <w:rPr>
          <w:rFonts w:hint="eastAsia" w:ascii="仿宋_GB2312" w:hAnsi="Calibri" w:eastAsia="仿宋_GB2312" w:cs="Times New Roman"/>
          <w:b/>
          <w:bCs w:val="0"/>
          <w:color w:val="000000"/>
          <w:kern w:val="2"/>
          <w:sz w:val="36"/>
          <w:szCs w:val="36"/>
          <w:lang w:val="en-US" w:eastAsia="zh-CN" w:bidi="ar"/>
        </w:rPr>
      </w:pPr>
    </w:p>
    <w:p w14:paraId="1B7B3C86">
      <w:pPr>
        <w:rPr>
          <w:rFonts w:hint="eastAsia" w:ascii="仿宋_GB2312" w:hAnsi="Calibri" w:eastAsia="仿宋_GB2312" w:cs="Times New Roman"/>
          <w:b/>
          <w:bCs w:val="0"/>
          <w:color w:val="000000"/>
          <w:kern w:val="2"/>
          <w:sz w:val="36"/>
          <w:szCs w:val="36"/>
          <w:lang w:val="en-US" w:eastAsia="zh-CN" w:bidi="ar"/>
        </w:rPr>
      </w:pPr>
    </w:p>
    <w:p w14:paraId="0AFA33AF">
      <w:pPr>
        <w:pStyle w:val="2"/>
        <w:rPr>
          <w:rFonts w:hint="eastAsia" w:ascii="仿宋_GB2312" w:hAnsi="Calibri" w:eastAsia="仿宋_GB2312" w:cs="Times New Roman"/>
          <w:b/>
          <w:bCs w:val="0"/>
          <w:color w:val="000000"/>
          <w:kern w:val="2"/>
          <w:sz w:val="36"/>
          <w:szCs w:val="36"/>
          <w:lang w:val="en-US" w:eastAsia="zh-CN" w:bidi="ar"/>
        </w:rPr>
      </w:pPr>
    </w:p>
    <w:p w14:paraId="16E15D72">
      <w:pPr>
        <w:rPr>
          <w:rFonts w:hint="eastAsia"/>
        </w:rPr>
      </w:pPr>
    </w:p>
    <w:p w14:paraId="4EF00C80">
      <w:pPr>
        <w:keepNext w:val="0"/>
        <w:keepLines w:val="0"/>
        <w:widowControl w:val="0"/>
        <w:suppressLineNumbers w:val="0"/>
        <w:spacing w:before="0" w:beforeAutospacing="0" w:after="0" w:afterAutospacing="0"/>
        <w:ind w:left="0" w:right="0"/>
        <w:jc w:val="both"/>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4B1AE333">
      <w:pPr>
        <w:keepNext w:val="0"/>
        <w:keepLines w:val="0"/>
        <w:widowControl w:val="0"/>
        <w:suppressLineNumbers w:val="0"/>
        <w:spacing w:before="0" w:beforeAutospacing="0" w:after="0" w:afterAutospacing="0"/>
        <w:ind w:left="0" w:right="0"/>
        <w:jc w:val="both"/>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71EAF5D4">
      <w:pPr>
        <w:keepNext w:val="0"/>
        <w:keepLines w:val="0"/>
        <w:widowControl w:val="0"/>
        <w:suppressLineNumbers w:val="0"/>
        <w:spacing w:before="0" w:beforeAutospacing="0" w:after="0" w:afterAutospacing="0"/>
        <w:ind w:left="0" w:right="0"/>
        <w:jc w:val="both"/>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r>
        <w:rPr>
          <w:rFonts w:hint="eastAsia" w:ascii="仿宋_GB2312" w:hAnsi="Calibri" w:eastAsia="仿宋_GB2312" w:cs="仿宋_GB2312"/>
          <w:b/>
          <w:bCs w:val="0"/>
          <w:color w:val="000000"/>
          <w:kern w:val="2"/>
          <w:sz w:val="36"/>
          <w:szCs w:val="36"/>
          <w:lang w:val="en-US" w:eastAsia="zh-CN" w:bidi="ar"/>
        </w:rPr>
        <w:t>投标人：</w:t>
      </w:r>
      <w:r>
        <w:rPr>
          <w:rFonts w:hint="eastAsia" w:ascii="仿宋_GB2312" w:hAnsi="Calibri" w:eastAsia="仿宋_GB2312" w:cs="Times New Roman"/>
          <w:b/>
          <w:bCs w:val="0"/>
          <w:color w:val="000000"/>
          <w:kern w:val="2"/>
          <w:sz w:val="36"/>
          <w:szCs w:val="36"/>
          <w:u w:val="single"/>
          <w:lang w:val="en-US" w:eastAsia="zh-CN" w:bidi="ar"/>
        </w:rPr>
        <w:t xml:space="preserve">                 </w:t>
      </w:r>
      <w:r>
        <w:rPr>
          <w:rFonts w:hint="eastAsia" w:ascii="仿宋_GB2312" w:hAnsi="Calibri" w:eastAsia="仿宋_GB2312" w:cs="仿宋_GB2312"/>
          <w:b/>
          <w:bCs w:val="0"/>
          <w:color w:val="000000"/>
          <w:kern w:val="2"/>
          <w:sz w:val="36"/>
          <w:szCs w:val="36"/>
          <w:lang w:val="en-US" w:eastAsia="zh-CN" w:bidi="ar"/>
        </w:rPr>
        <w:t>（盖章）</w:t>
      </w:r>
    </w:p>
    <w:p w14:paraId="0DB879BB">
      <w:pPr>
        <w:keepNext w:val="0"/>
        <w:keepLines w:val="0"/>
        <w:widowControl w:val="0"/>
        <w:suppressLineNumbers w:val="0"/>
        <w:spacing w:before="0" w:beforeAutospacing="0" w:after="0" w:afterAutospacing="0"/>
        <w:ind w:left="0" w:right="0"/>
        <w:jc w:val="center"/>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29130D16">
      <w:pPr>
        <w:keepNext w:val="0"/>
        <w:keepLines w:val="0"/>
        <w:widowControl w:val="0"/>
        <w:suppressLineNumbers w:val="0"/>
        <w:spacing w:before="0" w:beforeAutospacing="0" w:after="0" w:afterAutospacing="0"/>
        <w:ind w:left="0" w:right="0"/>
        <w:jc w:val="both"/>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335CF901">
      <w:pPr>
        <w:keepNext w:val="0"/>
        <w:keepLines w:val="0"/>
        <w:widowControl w:val="0"/>
        <w:suppressLineNumbers w:val="0"/>
        <w:spacing w:before="0" w:beforeAutospacing="0" w:after="0" w:afterAutospacing="0"/>
        <w:ind w:left="0" w:right="0" w:firstLine="3975" w:firstLineChars="1100"/>
        <w:jc w:val="both"/>
        <w:rPr>
          <w:rFonts w:hint="eastAsia" w:ascii="仿宋_GB2312" w:hAnsi="Calibri" w:eastAsia="仿宋_GB2312" w:cs="Times New Roman"/>
          <w:b/>
          <w:bCs w:val="0"/>
          <w:color w:val="000000"/>
          <w:kern w:val="2"/>
          <w:sz w:val="36"/>
          <w:szCs w:val="36"/>
          <w:lang w:val="en-US" w:eastAsia="zh-CN" w:bidi="ar"/>
        </w:rPr>
      </w:pPr>
      <w:r>
        <w:rPr>
          <w:rFonts w:hint="eastAsia" w:ascii="仿宋_GB2312" w:hAnsi="Calibri" w:eastAsia="仿宋_GB2312" w:cs="Times New Roman"/>
          <w:b/>
          <w:bCs w:val="0"/>
          <w:color w:val="000000"/>
          <w:kern w:val="2"/>
          <w:sz w:val="36"/>
          <w:szCs w:val="36"/>
          <w:lang w:val="en-US" w:eastAsia="zh-CN" w:bidi="ar"/>
        </w:rPr>
        <w:t xml:space="preserve"> </w:t>
      </w:r>
    </w:p>
    <w:p w14:paraId="1CD65FB6">
      <w:pPr>
        <w:keepNext w:val="0"/>
        <w:keepLines w:val="0"/>
        <w:widowControl w:val="0"/>
        <w:suppressLineNumbers w:val="0"/>
        <w:spacing w:before="0" w:beforeAutospacing="0" w:after="0" w:afterAutospacing="0"/>
        <w:ind w:left="0" w:right="0" w:firstLine="3975" w:firstLineChars="1100"/>
        <w:jc w:val="both"/>
        <w:rPr>
          <w:rFonts w:hint="eastAsia" w:ascii="仿宋_GB2312" w:hAnsi="Calibri" w:eastAsia="仿宋_GB2312" w:cs="Times New Roman"/>
          <w:b/>
          <w:bCs w:val="0"/>
          <w:color w:val="000000"/>
          <w:kern w:val="2"/>
          <w:sz w:val="36"/>
          <w:szCs w:val="36"/>
          <w:lang w:val="en-US" w:eastAsia="zh-CN" w:bidi="ar"/>
        </w:rPr>
      </w:pPr>
    </w:p>
    <w:p w14:paraId="425A40FA">
      <w:pPr>
        <w:keepNext w:val="0"/>
        <w:keepLines w:val="0"/>
        <w:widowControl w:val="0"/>
        <w:suppressLineNumbers w:val="0"/>
        <w:spacing w:before="0" w:beforeAutospacing="0" w:after="0" w:afterAutospacing="0"/>
        <w:ind w:left="0" w:right="0" w:firstLine="3975" w:firstLineChars="1100"/>
        <w:jc w:val="both"/>
        <w:rPr>
          <w:rFonts w:hint="eastAsia" w:ascii="仿宋_GB2312" w:hAnsi="Calibri" w:eastAsia="仿宋_GB2312" w:cs="Times New Roman"/>
          <w:b/>
          <w:bCs w:val="0"/>
          <w:color w:val="000000"/>
          <w:kern w:val="2"/>
          <w:sz w:val="36"/>
          <w:szCs w:val="36"/>
          <w:lang w:val="en-US" w:eastAsia="zh-CN" w:bidi="ar"/>
        </w:rPr>
      </w:pPr>
    </w:p>
    <w:p w14:paraId="7B6B8887">
      <w:pPr>
        <w:keepNext w:val="0"/>
        <w:keepLines w:val="0"/>
        <w:widowControl w:val="0"/>
        <w:suppressLineNumbers w:val="0"/>
        <w:spacing w:before="0" w:beforeAutospacing="0" w:after="0" w:afterAutospacing="0"/>
        <w:ind w:left="0" w:right="0" w:firstLine="3975" w:firstLineChars="1100"/>
        <w:jc w:val="both"/>
        <w:rPr>
          <w:rFonts w:hint="eastAsia" w:ascii="仿宋_GB2312" w:hAnsi="Calibri" w:eastAsia="仿宋_GB2312" w:cs="Times New Roman"/>
          <w:b/>
          <w:bCs w:val="0"/>
          <w:color w:val="000000"/>
          <w:kern w:val="2"/>
          <w:sz w:val="36"/>
          <w:szCs w:val="36"/>
          <w:lang w:val="en-US" w:eastAsia="zh-CN" w:bidi="ar"/>
        </w:rPr>
      </w:pPr>
    </w:p>
    <w:p w14:paraId="2CDA20FF">
      <w:pPr>
        <w:keepNext w:val="0"/>
        <w:keepLines w:val="0"/>
        <w:widowControl w:val="0"/>
        <w:suppressLineNumbers w:val="0"/>
        <w:spacing w:before="0" w:beforeAutospacing="0" w:after="0" w:afterAutospacing="0"/>
        <w:ind w:left="0" w:right="0" w:firstLine="3975" w:firstLineChars="1100"/>
        <w:jc w:val="both"/>
        <w:rPr>
          <w:rFonts w:hint="eastAsia" w:ascii="仿宋_GB2312" w:hAnsi="Calibri" w:eastAsia="仿宋_GB2312" w:cs="Times New Roman"/>
          <w:b/>
          <w:bCs w:val="0"/>
          <w:color w:val="000000"/>
          <w:kern w:val="2"/>
          <w:sz w:val="36"/>
          <w:szCs w:val="36"/>
          <w:lang w:val="en-US" w:eastAsia="zh-CN" w:bidi="ar"/>
        </w:rPr>
      </w:pPr>
    </w:p>
    <w:p w14:paraId="507C104B">
      <w:pPr>
        <w:keepNext w:val="0"/>
        <w:keepLines w:val="0"/>
        <w:widowControl w:val="0"/>
        <w:suppressLineNumbers w:val="0"/>
        <w:spacing w:before="0" w:beforeAutospacing="0" w:after="0" w:afterAutospacing="0"/>
        <w:ind w:left="0" w:right="0" w:firstLine="3975" w:firstLineChars="1100"/>
        <w:jc w:val="both"/>
        <w:rPr>
          <w:rFonts w:hint="eastAsia" w:ascii="仿宋_GB2312" w:hAnsi="Calibri" w:eastAsia="仿宋_GB2312"/>
          <w:b/>
          <w:sz w:val="36"/>
          <w:szCs w:val="36"/>
        </w:rPr>
      </w:pPr>
      <w:r>
        <w:rPr>
          <w:rFonts w:hint="eastAsia" w:ascii="仿宋_GB2312" w:hAnsi="Calibri" w:eastAsia="仿宋_GB2312" w:cs="仿宋_GB2312"/>
          <w:b/>
          <w:bCs w:val="0"/>
          <w:color w:val="000000"/>
          <w:kern w:val="2"/>
          <w:sz w:val="36"/>
          <w:szCs w:val="36"/>
          <w:lang w:val="en-US" w:eastAsia="zh-CN" w:bidi="ar"/>
        </w:rPr>
        <w:t>年</w:t>
      </w:r>
      <w:r>
        <w:rPr>
          <w:rFonts w:hint="eastAsia" w:ascii="仿宋_GB2312" w:hAnsi="Calibri" w:eastAsia="仿宋_GB2312" w:cs="Times New Roman"/>
          <w:b/>
          <w:bCs w:val="0"/>
          <w:color w:val="000000"/>
          <w:kern w:val="2"/>
          <w:sz w:val="36"/>
          <w:szCs w:val="36"/>
          <w:lang w:val="en-US" w:eastAsia="zh-CN" w:bidi="ar"/>
        </w:rPr>
        <w:t xml:space="preserve">   </w:t>
      </w:r>
      <w:r>
        <w:rPr>
          <w:rFonts w:hint="eastAsia" w:ascii="仿宋_GB2312" w:hAnsi="Calibri" w:eastAsia="仿宋_GB2312" w:cs="仿宋_GB2312"/>
          <w:b/>
          <w:bCs w:val="0"/>
          <w:color w:val="000000"/>
          <w:kern w:val="2"/>
          <w:sz w:val="36"/>
          <w:szCs w:val="36"/>
          <w:lang w:val="en-US" w:eastAsia="zh-CN" w:bidi="ar"/>
        </w:rPr>
        <w:t>月</w:t>
      </w:r>
      <w:r>
        <w:rPr>
          <w:rFonts w:hint="eastAsia" w:ascii="仿宋_GB2312" w:hAnsi="Calibri" w:eastAsia="仿宋_GB2312" w:cs="Times New Roman"/>
          <w:b/>
          <w:bCs w:val="0"/>
          <w:color w:val="000000"/>
          <w:kern w:val="2"/>
          <w:sz w:val="36"/>
          <w:szCs w:val="36"/>
          <w:lang w:val="en-US" w:eastAsia="zh-CN" w:bidi="ar"/>
        </w:rPr>
        <w:t xml:space="preserve">   </w:t>
      </w:r>
      <w:r>
        <w:rPr>
          <w:rFonts w:hint="eastAsia" w:ascii="仿宋_GB2312" w:hAnsi="Calibri" w:eastAsia="仿宋_GB2312" w:cs="仿宋_GB2312"/>
          <w:b/>
          <w:bCs w:val="0"/>
          <w:color w:val="000000"/>
          <w:kern w:val="2"/>
          <w:sz w:val="36"/>
          <w:szCs w:val="36"/>
          <w:lang w:val="en-US" w:eastAsia="zh-CN" w:bidi="ar"/>
        </w:rPr>
        <w:t>日</w:t>
      </w:r>
    </w:p>
    <w:p w14:paraId="7E674EAA">
      <w:pPr>
        <w:rPr>
          <w:rFonts w:hint="eastAsia" w:ascii="宋体" w:hAnsi="宋体"/>
          <w:color w:val="auto"/>
          <w:sz w:val="32"/>
          <w:szCs w:val="32"/>
          <w:highlight w:val="none"/>
        </w:rPr>
      </w:pPr>
      <w:r>
        <w:rPr>
          <w:rFonts w:hint="eastAsia" w:ascii="宋体" w:hAnsi="宋体"/>
          <w:color w:val="auto"/>
          <w:sz w:val="32"/>
          <w:szCs w:val="32"/>
          <w:highlight w:val="none"/>
        </w:rPr>
        <w:br w:type="page"/>
      </w:r>
    </w:p>
    <w:p w14:paraId="3D3BDC34">
      <w:pPr>
        <w:keepNext w:val="0"/>
        <w:keepLines w:val="0"/>
        <w:widowControl w:val="0"/>
        <w:suppressLineNumbers w:val="0"/>
        <w:spacing w:before="0" w:beforeAutospacing="0" w:after="0" w:afterAutospacing="0" w:line="560" w:lineRule="exact"/>
        <w:ind w:left="0" w:right="0"/>
        <w:jc w:val="center"/>
        <w:rPr>
          <w:rFonts w:hint="default" w:ascii="Calibri" w:hAnsi="Calibri" w:eastAsia="宋体" w:cs="Calibri"/>
          <w:kern w:val="2"/>
          <w:sz w:val="32"/>
          <w:szCs w:val="32"/>
        </w:rPr>
      </w:pPr>
      <w:r>
        <w:rPr>
          <w:rFonts w:hint="eastAsia" w:ascii="宋体" w:hAnsi="宋体" w:eastAsia="宋体" w:cs="宋体"/>
          <w:b/>
          <w:bCs w:val="0"/>
          <w:kern w:val="2"/>
          <w:sz w:val="36"/>
          <w:szCs w:val="36"/>
          <w:highlight w:val="none"/>
          <w:lang w:val="en-US" w:eastAsia="zh-CN" w:bidi="ar"/>
        </w:rPr>
        <w:t>投标总价（扉页）</w:t>
      </w:r>
    </w:p>
    <w:p w14:paraId="06B2B338">
      <w:pPr>
        <w:keepNext w:val="0"/>
        <w:keepLines w:val="0"/>
        <w:widowControl w:val="0"/>
        <w:suppressLineNumbers w:val="0"/>
        <w:spacing w:before="0" w:beforeAutospacing="0" w:after="0" w:afterAutospacing="0" w:line="560" w:lineRule="exact"/>
        <w:ind w:left="0" w:right="0"/>
        <w:jc w:val="center"/>
        <w:rPr>
          <w:rFonts w:hint="eastAsia" w:ascii="Calibri" w:hAnsi="Calibri" w:eastAsia="宋体" w:cs="Times New Roman"/>
          <w:b/>
          <w:bCs w:val="0"/>
          <w:color w:val="000000"/>
          <w:kern w:val="2"/>
          <w:sz w:val="36"/>
          <w:szCs w:val="36"/>
        </w:rPr>
      </w:pPr>
      <w:r>
        <w:rPr>
          <w:rFonts w:hint="default" w:ascii="Calibri" w:hAnsi="Calibri" w:eastAsia="宋体" w:cs="Calibri"/>
          <w:b/>
          <w:bCs w:val="0"/>
          <w:kern w:val="2"/>
          <w:sz w:val="32"/>
          <w:szCs w:val="32"/>
          <w:lang w:val="en-US" w:eastAsia="zh-CN" w:bidi="ar"/>
        </w:rPr>
        <w:t xml:space="preserve"> </w:t>
      </w:r>
    </w:p>
    <w:p w14:paraId="6F86BFBA">
      <w:pPr>
        <w:keepNext w:val="0"/>
        <w:keepLines w:val="0"/>
        <w:widowControl w:val="0"/>
        <w:suppressLineNumbers w:val="0"/>
        <w:spacing w:before="0" w:beforeAutospacing="0" w:after="0" w:afterAutospacing="0" w:line="560" w:lineRule="exact"/>
        <w:ind w:left="0" w:right="0"/>
        <w:jc w:val="center"/>
        <w:rPr>
          <w:rFonts w:hint="eastAsia" w:ascii="Calibri" w:hAnsi="Calibri" w:eastAsia="宋体" w:cs="Times New Roman"/>
          <w:b/>
          <w:bCs w:val="0"/>
          <w:color w:val="000000"/>
          <w:kern w:val="2"/>
          <w:sz w:val="36"/>
          <w:szCs w:val="36"/>
        </w:rPr>
      </w:pPr>
      <w:r>
        <w:rPr>
          <w:rFonts w:hint="eastAsia" w:ascii="Calibri" w:hAnsi="Calibri" w:eastAsia="宋体" w:cs="Times New Roman"/>
          <w:b/>
          <w:bCs w:val="0"/>
          <w:color w:val="000000"/>
          <w:kern w:val="2"/>
          <w:sz w:val="36"/>
          <w:szCs w:val="36"/>
          <w:lang w:val="en-US" w:eastAsia="zh-CN" w:bidi="ar"/>
        </w:rPr>
        <w:t xml:space="preserve"> </w:t>
      </w:r>
    </w:p>
    <w:p w14:paraId="4BA98F28">
      <w:pPr>
        <w:keepNext w:val="0"/>
        <w:keepLines w:val="0"/>
        <w:widowControl w:val="0"/>
        <w:suppressLineNumbers w:val="0"/>
        <w:spacing w:before="0" w:beforeAutospacing="0" w:after="0" w:afterAutospacing="0" w:line="560" w:lineRule="exact"/>
        <w:ind w:left="0" w:right="0" w:firstLine="1920" w:firstLineChars="600"/>
        <w:jc w:val="both"/>
        <w:rPr>
          <w:rFonts w:hint="default" w:ascii="Calibri" w:hAnsi="Calibri" w:eastAsia="宋体" w:cs="Times New Roman"/>
          <w:b/>
          <w:bCs w:val="0"/>
          <w:color w:val="000000"/>
          <w:kern w:val="2"/>
          <w:sz w:val="32"/>
          <w:szCs w:val="32"/>
        </w:rPr>
      </w:pPr>
      <w:r>
        <w:rPr>
          <w:rFonts w:hint="eastAsia" w:ascii="宋体" w:hAnsi="宋体" w:eastAsia="宋体" w:cs="宋体"/>
          <w:b w:val="0"/>
          <w:bCs/>
          <w:color w:val="000000"/>
          <w:kern w:val="2"/>
          <w:sz w:val="32"/>
          <w:szCs w:val="32"/>
          <w:lang w:val="en-US" w:eastAsia="zh-CN" w:bidi="ar"/>
        </w:rPr>
        <w:t>工程名称：</w:t>
      </w:r>
      <w:r>
        <w:rPr>
          <w:rFonts w:hint="eastAsia" w:ascii="Calibri" w:hAnsi="Calibri" w:eastAsia="宋体" w:cs="Times New Roman"/>
          <w:b w:val="0"/>
          <w:bCs/>
          <w:color w:val="000000"/>
          <w:kern w:val="2"/>
          <w:sz w:val="32"/>
          <w:szCs w:val="32"/>
          <w:u w:val="single"/>
          <w:lang w:val="en-US" w:eastAsia="zh-CN" w:bidi="ar"/>
        </w:rPr>
        <w:t xml:space="preserve">                               </w:t>
      </w:r>
    </w:p>
    <w:p w14:paraId="1D748BF9">
      <w:pPr>
        <w:keepNext w:val="0"/>
        <w:keepLines w:val="0"/>
        <w:widowControl w:val="0"/>
        <w:suppressLineNumbers w:val="0"/>
        <w:spacing w:before="0" w:beforeAutospacing="0" w:after="0" w:afterAutospacing="0" w:line="560" w:lineRule="exact"/>
        <w:ind w:left="0" w:right="0"/>
        <w:jc w:val="center"/>
        <w:rPr>
          <w:rFonts w:hint="eastAsia" w:ascii="仿宋_GB2312" w:hAnsi="Calibri" w:eastAsia="仿宋_GB2312" w:cs="Times New Roman"/>
          <w:b/>
          <w:bCs w:val="0"/>
          <w:color w:val="000000"/>
          <w:kern w:val="2"/>
          <w:sz w:val="36"/>
          <w:szCs w:val="36"/>
        </w:rPr>
      </w:pPr>
      <w:r>
        <w:rPr>
          <w:rFonts w:hint="eastAsia" w:ascii="Calibri" w:hAnsi="Calibri" w:eastAsia="宋体" w:cs="Times New Roman"/>
          <w:b/>
          <w:bCs w:val="0"/>
          <w:color w:val="000000"/>
          <w:kern w:val="2"/>
          <w:sz w:val="36"/>
          <w:szCs w:val="36"/>
          <w:lang w:val="en-US" w:eastAsia="zh-CN" w:bidi="ar"/>
        </w:rPr>
        <w:t xml:space="preserve"> </w:t>
      </w:r>
      <w:r>
        <w:rPr>
          <w:rFonts w:hint="eastAsia" w:ascii="仿宋_GB2312" w:hAnsi="Calibri" w:eastAsia="仿宋_GB2312" w:cs="Times New Roman"/>
          <w:b/>
          <w:bCs w:val="0"/>
          <w:color w:val="000000"/>
          <w:kern w:val="2"/>
          <w:sz w:val="36"/>
          <w:szCs w:val="36"/>
          <w:lang w:val="en-US" w:eastAsia="zh-CN" w:bidi="ar"/>
        </w:rPr>
        <w:t xml:space="preserve"> </w:t>
      </w:r>
    </w:p>
    <w:p w14:paraId="541B3961">
      <w:pPr>
        <w:keepNext w:val="0"/>
        <w:keepLines w:val="0"/>
        <w:widowControl w:val="0"/>
        <w:suppressLineNumbers w:val="0"/>
        <w:spacing w:before="0" w:beforeAutospacing="0" w:after="0" w:afterAutospacing="0" w:line="560" w:lineRule="exact"/>
        <w:ind w:left="0" w:right="0"/>
        <w:jc w:val="center"/>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4F7DF169">
      <w:pPr>
        <w:keepNext w:val="0"/>
        <w:keepLines w:val="0"/>
        <w:widowControl w:val="0"/>
        <w:suppressLineNumbers w:val="0"/>
        <w:spacing w:before="0" w:beforeAutospacing="0" w:after="0" w:afterAutospacing="0" w:line="560" w:lineRule="exact"/>
        <w:ind w:left="0" w:right="0"/>
        <w:jc w:val="center"/>
        <w:rPr>
          <w:rFonts w:hint="eastAsia" w:ascii="仿宋_GB2312" w:hAnsi="Calibri" w:eastAsia="仿宋_GB2312" w:cs="Times New Roman"/>
          <w:b/>
          <w:bCs w:val="0"/>
          <w:color w:val="000000"/>
          <w:kern w:val="2"/>
          <w:sz w:val="36"/>
          <w:szCs w:val="36"/>
        </w:rPr>
      </w:pPr>
      <w:r>
        <w:rPr>
          <w:rFonts w:hint="eastAsia" w:ascii="仿宋_GB2312" w:hAnsi="Calibri" w:eastAsia="仿宋_GB2312" w:cs="仿宋_GB2312"/>
          <w:b/>
          <w:bCs w:val="0"/>
          <w:color w:val="000000"/>
          <w:kern w:val="2"/>
          <w:sz w:val="36"/>
          <w:szCs w:val="36"/>
          <w:lang w:val="en-US" w:eastAsia="zh-CN" w:bidi="ar"/>
        </w:rPr>
        <w:t>投标总价</w:t>
      </w:r>
    </w:p>
    <w:p w14:paraId="5073DE55">
      <w:pPr>
        <w:keepNext w:val="0"/>
        <w:keepLines w:val="0"/>
        <w:widowControl w:val="0"/>
        <w:suppressLineNumbers w:val="0"/>
        <w:spacing w:before="0" w:beforeAutospacing="0" w:after="0" w:afterAutospacing="0" w:line="560" w:lineRule="exact"/>
        <w:ind w:left="0" w:right="0"/>
        <w:jc w:val="center"/>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7F276D67">
      <w:pPr>
        <w:keepNext w:val="0"/>
        <w:keepLines w:val="0"/>
        <w:widowControl w:val="0"/>
        <w:suppressLineNumbers w:val="0"/>
        <w:spacing w:before="0" w:beforeAutospacing="0" w:after="0" w:afterAutospacing="0" w:line="560" w:lineRule="exact"/>
        <w:ind w:left="0" w:right="0"/>
        <w:jc w:val="both"/>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3D5E2076">
      <w:pPr>
        <w:keepNext w:val="0"/>
        <w:keepLines w:val="0"/>
        <w:widowControl w:val="0"/>
        <w:suppressLineNumbers w:val="0"/>
        <w:spacing w:before="0" w:beforeAutospacing="0" w:after="0" w:afterAutospacing="0" w:line="560" w:lineRule="exact"/>
        <w:ind w:left="0" w:right="0"/>
        <w:jc w:val="both"/>
        <w:rPr>
          <w:rFonts w:hint="eastAsia" w:ascii="仿宋_GB2312" w:hAnsi="Calibri" w:eastAsia="仿宋_GB2312" w:cs="Times New Roman"/>
          <w:b/>
          <w:bCs w:val="0"/>
          <w:color w:val="000000"/>
          <w:kern w:val="2"/>
          <w:sz w:val="36"/>
          <w:szCs w:val="36"/>
        </w:rPr>
      </w:pPr>
      <w:r>
        <w:rPr>
          <w:rFonts w:hint="eastAsia" w:ascii="仿宋_GB2312" w:hAnsi="Calibri" w:eastAsia="仿宋_GB2312" w:cs="Times New Roman"/>
          <w:b/>
          <w:bCs w:val="0"/>
          <w:color w:val="000000"/>
          <w:kern w:val="2"/>
          <w:sz w:val="36"/>
          <w:szCs w:val="36"/>
          <w:lang w:val="en-US" w:eastAsia="zh-CN" w:bidi="ar"/>
        </w:rPr>
        <w:t xml:space="preserve"> </w:t>
      </w:r>
    </w:p>
    <w:p w14:paraId="3D1D0B28">
      <w:pPr>
        <w:keepNext w:val="0"/>
        <w:keepLines w:val="0"/>
        <w:widowControl w:val="0"/>
        <w:suppressLineNumbers w:val="0"/>
        <w:spacing w:before="0" w:beforeAutospacing="0" w:after="0" w:afterAutospacing="0" w:line="560" w:lineRule="exact"/>
        <w:ind w:left="0" w:right="0" w:firstLine="1280" w:firstLineChars="400"/>
        <w:jc w:val="both"/>
        <w:rPr>
          <w:rFonts w:hint="default" w:ascii="宋体" w:hAnsi="宋体" w:eastAsia="宋体" w:cs="宋体"/>
          <w:b w:val="0"/>
          <w:bCs/>
          <w:color w:val="000000"/>
          <w:kern w:val="2"/>
          <w:sz w:val="32"/>
          <w:szCs w:val="32"/>
          <w:u w:val="single"/>
          <w:lang w:val="en-US" w:eastAsia="zh-CN" w:bidi="ar"/>
        </w:rPr>
      </w:pPr>
      <w:r>
        <w:rPr>
          <w:rFonts w:hint="eastAsia" w:ascii="宋体" w:hAnsi="宋体" w:eastAsia="宋体" w:cs="宋体"/>
          <w:b w:val="0"/>
          <w:bCs/>
          <w:color w:val="000000"/>
          <w:kern w:val="2"/>
          <w:sz w:val="32"/>
          <w:szCs w:val="32"/>
          <w:lang w:val="en-US" w:eastAsia="zh-CN" w:bidi="ar"/>
        </w:rPr>
        <w:t>投标总价(小写):</w:t>
      </w:r>
      <w:r>
        <w:rPr>
          <w:rFonts w:hint="eastAsia" w:ascii="宋体" w:hAnsi="宋体" w:eastAsia="宋体" w:cs="宋体"/>
          <w:b w:val="0"/>
          <w:bCs/>
          <w:color w:val="000000"/>
          <w:kern w:val="2"/>
          <w:sz w:val="32"/>
          <w:szCs w:val="32"/>
          <w:u w:val="single"/>
          <w:lang w:val="en-US" w:eastAsia="zh-CN" w:bidi="ar"/>
        </w:rPr>
        <w:t xml:space="preserve">                           </w:t>
      </w:r>
    </w:p>
    <w:p w14:paraId="4BC9A1C0">
      <w:pPr>
        <w:keepNext w:val="0"/>
        <w:keepLines w:val="0"/>
        <w:widowControl w:val="0"/>
        <w:suppressLineNumbers w:val="0"/>
        <w:spacing w:before="0" w:beforeAutospacing="0" w:after="0" w:afterAutospacing="0" w:line="560" w:lineRule="exact"/>
        <w:ind w:left="0" w:right="0" w:firstLine="2560" w:firstLineChars="800"/>
        <w:jc w:val="both"/>
        <w:rPr>
          <w:rFonts w:hint="default" w:ascii="宋体" w:hAnsi="宋体" w:eastAsia="宋体" w:cs="宋体"/>
          <w:b w:val="0"/>
          <w:bCs/>
          <w:color w:val="000000"/>
          <w:kern w:val="2"/>
          <w:sz w:val="32"/>
          <w:szCs w:val="32"/>
          <w:u w:val="single"/>
          <w:lang w:val="en-US" w:eastAsia="zh-CN" w:bidi="ar"/>
        </w:rPr>
      </w:pPr>
      <w:r>
        <w:rPr>
          <w:rFonts w:hint="eastAsia" w:ascii="宋体" w:hAnsi="宋体" w:eastAsia="宋体" w:cs="宋体"/>
          <w:b w:val="0"/>
          <w:bCs/>
          <w:color w:val="000000"/>
          <w:kern w:val="2"/>
          <w:sz w:val="32"/>
          <w:szCs w:val="32"/>
          <w:lang w:val="en-US" w:eastAsia="zh-CN" w:bidi="ar"/>
        </w:rPr>
        <w:t>(大写):</w:t>
      </w:r>
      <w:r>
        <w:rPr>
          <w:rFonts w:hint="eastAsia" w:ascii="宋体" w:hAnsi="宋体" w:eastAsia="宋体" w:cs="宋体"/>
          <w:b w:val="0"/>
          <w:bCs/>
          <w:color w:val="000000"/>
          <w:kern w:val="2"/>
          <w:sz w:val="32"/>
          <w:szCs w:val="32"/>
          <w:u w:val="single"/>
          <w:lang w:val="en-US" w:eastAsia="zh-CN" w:bidi="ar"/>
        </w:rPr>
        <w:t xml:space="preserve">                           </w:t>
      </w:r>
    </w:p>
    <w:p w14:paraId="17F8F556">
      <w:pPr>
        <w:keepNext w:val="0"/>
        <w:keepLines w:val="0"/>
        <w:widowControl w:val="0"/>
        <w:suppressLineNumbers w:val="0"/>
        <w:spacing w:before="0" w:beforeAutospacing="0" w:after="0" w:afterAutospacing="0" w:line="560" w:lineRule="exact"/>
        <w:ind w:left="0" w:right="0" w:firstLine="1920" w:firstLineChars="600"/>
        <w:jc w:val="both"/>
        <w:rPr>
          <w:rFonts w:hint="default" w:ascii="宋体" w:hAnsi="宋体" w:eastAsia="宋体" w:cs="宋体"/>
          <w:b w:val="0"/>
          <w:bCs/>
          <w:color w:val="000000"/>
          <w:kern w:val="2"/>
          <w:sz w:val="32"/>
          <w:szCs w:val="32"/>
          <w:lang w:val="en-US" w:eastAsia="zh-CN" w:bidi="ar"/>
        </w:rPr>
      </w:pPr>
      <w:r>
        <w:rPr>
          <w:rFonts w:hint="eastAsia" w:ascii="宋体" w:hAnsi="宋体" w:eastAsia="宋体" w:cs="宋体"/>
          <w:b w:val="0"/>
          <w:bCs/>
          <w:color w:val="000000"/>
          <w:kern w:val="2"/>
          <w:sz w:val="32"/>
          <w:szCs w:val="32"/>
          <w:lang w:val="en-US" w:eastAsia="zh-CN" w:bidi="ar"/>
        </w:rPr>
        <w:t xml:space="preserve"> </w:t>
      </w:r>
    </w:p>
    <w:p w14:paraId="1E2C93BE">
      <w:pPr>
        <w:keepNext w:val="0"/>
        <w:keepLines w:val="0"/>
        <w:widowControl w:val="0"/>
        <w:suppressLineNumbers w:val="0"/>
        <w:spacing w:before="0" w:beforeAutospacing="0" w:after="0" w:afterAutospacing="0" w:line="560" w:lineRule="exact"/>
        <w:ind w:left="0" w:right="0" w:firstLine="1920" w:firstLineChars="600"/>
        <w:jc w:val="both"/>
        <w:rPr>
          <w:rFonts w:hint="eastAsia" w:ascii="宋体" w:hAnsi="宋体" w:eastAsia="宋体" w:cs="宋体"/>
          <w:b w:val="0"/>
          <w:bCs/>
          <w:color w:val="000000"/>
          <w:kern w:val="2"/>
          <w:sz w:val="32"/>
          <w:szCs w:val="32"/>
          <w:lang w:val="en-US" w:eastAsia="zh-CN" w:bidi="ar"/>
        </w:rPr>
      </w:pPr>
    </w:p>
    <w:p w14:paraId="130A4238">
      <w:pPr>
        <w:keepNext w:val="0"/>
        <w:keepLines w:val="0"/>
        <w:widowControl w:val="0"/>
        <w:suppressLineNumbers w:val="0"/>
        <w:spacing w:before="0" w:beforeAutospacing="0" w:after="0" w:afterAutospacing="0" w:line="560" w:lineRule="exact"/>
        <w:ind w:left="0" w:right="0" w:firstLine="1920" w:firstLineChars="600"/>
        <w:jc w:val="both"/>
        <w:rPr>
          <w:rFonts w:hint="eastAsia" w:ascii="宋体" w:hAnsi="宋体" w:eastAsia="宋体" w:cs="宋体"/>
          <w:b w:val="0"/>
          <w:bCs/>
          <w:color w:val="000000"/>
          <w:kern w:val="2"/>
          <w:sz w:val="32"/>
          <w:szCs w:val="32"/>
          <w:lang w:val="en-US" w:eastAsia="zh-CN" w:bidi="ar"/>
        </w:rPr>
      </w:pPr>
    </w:p>
    <w:p w14:paraId="4AF18468">
      <w:pPr>
        <w:keepNext w:val="0"/>
        <w:keepLines w:val="0"/>
        <w:widowControl w:val="0"/>
        <w:suppressLineNumbers w:val="0"/>
        <w:spacing w:before="0" w:beforeAutospacing="0" w:after="0" w:afterAutospacing="0" w:line="560" w:lineRule="exact"/>
        <w:ind w:left="0" w:right="0" w:firstLine="1920" w:firstLineChars="600"/>
        <w:jc w:val="both"/>
        <w:rPr>
          <w:rFonts w:hint="eastAsia" w:ascii="宋体" w:hAnsi="宋体" w:eastAsia="宋体" w:cs="宋体"/>
          <w:b w:val="0"/>
          <w:bCs/>
          <w:color w:val="000000"/>
          <w:kern w:val="2"/>
          <w:sz w:val="32"/>
          <w:szCs w:val="32"/>
          <w:lang w:val="en-US" w:eastAsia="zh-CN" w:bidi="ar"/>
        </w:rPr>
      </w:pPr>
    </w:p>
    <w:p w14:paraId="3D5C2B92">
      <w:pPr>
        <w:keepNext w:val="0"/>
        <w:keepLines w:val="0"/>
        <w:widowControl w:val="0"/>
        <w:suppressLineNumbers w:val="0"/>
        <w:spacing w:before="0" w:beforeAutospacing="0" w:after="0" w:afterAutospacing="0" w:line="560" w:lineRule="exact"/>
        <w:ind w:left="0" w:right="0" w:firstLine="0" w:firstLineChars="0"/>
        <w:jc w:val="both"/>
        <w:rPr>
          <w:rFonts w:hint="eastAsia" w:ascii="宋体" w:hAnsi="宋体" w:eastAsia="宋体" w:cs="宋体"/>
          <w:b w:val="0"/>
          <w:bCs/>
          <w:color w:val="000000"/>
          <w:kern w:val="2"/>
          <w:sz w:val="32"/>
          <w:szCs w:val="32"/>
          <w:lang w:val="en-US" w:eastAsia="zh-CN" w:bidi="ar"/>
        </w:rPr>
      </w:pPr>
    </w:p>
    <w:p w14:paraId="64F476D2">
      <w:pPr>
        <w:keepNext w:val="0"/>
        <w:keepLines w:val="0"/>
        <w:widowControl w:val="0"/>
        <w:suppressLineNumbers w:val="0"/>
        <w:spacing w:before="0" w:beforeAutospacing="0" w:after="0" w:afterAutospacing="0" w:line="560" w:lineRule="exact"/>
        <w:ind w:left="0" w:right="0" w:firstLine="1920" w:firstLineChars="600"/>
        <w:jc w:val="both"/>
        <w:rPr>
          <w:rFonts w:hint="eastAsia" w:ascii="宋体" w:hAnsi="宋体" w:eastAsia="宋体" w:cs="宋体"/>
          <w:b w:val="0"/>
          <w:bCs/>
          <w:color w:val="000000"/>
          <w:kern w:val="2"/>
          <w:sz w:val="32"/>
          <w:szCs w:val="32"/>
          <w:lang w:val="en-US" w:eastAsia="zh-CN" w:bidi="ar"/>
        </w:rPr>
      </w:pPr>
    </w:p>
    <w:p w14:paraId="6E0E74BD">
      <w:pPr>
        <w:keepNext w:val="0"/>
        <w:keepLines w:val="0"/>
        <w:widowControl w:val="0"/>
        <w:suppressLineNumbers w:val="0"/>
        <w:spacing w:before="0" w:beforeAutospacing="0" w:after="0" w:afterAutospacing="0" w:line="560" w:lineRule="exact"/>
        <w:ind w:left="0" w:right="0" w:firstLine="1280" w:firstLineChars="400"/>
        <w:jc w:val="both"/>
        <w:rPr>
          <w:rFonts w:hint="eastAsia" w:ascii="宋体" w:hAnsi="宋体" w:eastAsia="宋体" w:cs="宋体"/>
          <w:b w:val="0"/>
          <w:bCs/>
          <w:color w:val="000000"/>
          <w:kern w:val="2"/>
          <w:sz w:val="32"/>
          <w:szCs w:val="32"/>
          <w:lang w:val="en-US" w:eastAsia="zh-CN" w:bidi="ar"/>
        </w:rPr>
      </w:pPr>
      <w:r>
        <w:rPr>
          <w:rFonts w:hint="eastAsia" w:ascii="宋体" w:hAnsi="宋体" w:eastAsia="宋体" w:cs="宋体"/>
          <w:b w:val="0"/>
          <w:bCs/>
          <w:color w:val="000000"/>
          <w:kern w:val="2"/>
          <w:sz w:val="32"/>
          <w:szCs w:val="32"/>
          <w:lang w:val="en-US" w:eastAsia="zh-CN" w:bidi="ar"/>
        </w:rPr>
        <w:t>投标人:</w:t>
      </w:r>
      <w:r>
        <w:rPr>
          <w:rFonts w:hint="eastAsia" w:ascii="宋体" w:hAnsi="宋体" w:eastAsia="宋体" w:cs="宋体"/>
          <w:b w:val="0"/>
          <w:bCs/>
          <w:color w:val="000000"/>
          <w:kern w:val="2"/>
          <w:sz w:val="32"/>
          <w:szCs w:val="32"/>
          <w:u w:val="single"/>
          <w:lang w:val="en-US" w:eastAsia="zh-CN" w:bidi="ar"/>
        </w:rPr>
        <w:t xml:space="preserve">                          </w:t>
      </w:r>
      <w:r>
        <w:rPr>
          <w:rFonts w:hint="eastAsia" w:ascii="宋体" w:hAnsi="宋体" w:eastAsia="宋体" w:cs="宋体"/>
          <w:b w:val="0"/>
          <w:bCs/>
          <w:color w:val="000000"/>
          <w:kern w:val="2"/>
          <w:sz w:val="32"/>
          <w:szCs w:val="32"/>
          <w:lang w:val="en-US" w:eastAsia="zh-CN" w:bidi="ar"/>
        </w:rPr>
        <w:t>(盖章)</w:t>
      </w:r>
    </w:p>
    <w:p w14:paraId="57549DF5">
      <w:pPr>
        <w:keepNext w:val="0"/>
        <w:keepLines w:val="0"/>
        <w:widowControl w:val="0"/>
        <w:suppressLineNumbers w:val="0"/>
        <w:spacing w:before="0" w:beforeAutospacing="0" w:after="0" w:afterAutospacing="0" w:line="560" w:lineRule="exact"/>
        <w:ind w:left="0" w:right="0" w:firstLine="1280" w:firstLineChars="400"/>
        <w:jc w:val="both"/>
        <w:rPr>
          <w:rFonts w:hint="eastAsia" w:ascii="宋体" w:hAnsi="宋体" w:eastAsia="宋体" w:cs="宋体"/>
          <w:b w:val="0"/>
          <w:bCs/>
          <w:color w:val="000000"/>
          <w:kern w:val="2"/>
          <w:sz w:val="32"/>
          <w:szCs w:val="32"/>
          <w:lang w:val="en-US" w:eastAsia="zh-CN" w:bidi="ar"/>
        </w:rPr>
      </w:pPr>
      <w:r>
        <w:rPr>
          <w:rFonts w:hint="eastAsia" w:ascii="宋体" w:hAnsi="宋体" w:eastAsia="宋体" w:cs="宋体"/>
          <w:b w:val="0"/>
          <w:bCs/>
          <w:color w:val="000000"/>
          <w:kern w:val="2"/>
          <w:sz w:val="32"/>
          <w:szCs w:val="32"/>
          <w:lang w:val="en-US" w:eastAsia="zh-CN" w:bidi="ar"/>
        </w:rPr>
        <w:t>法定代表人或其授权人:</w:t>
      </w:r>
      <w:r>
        <w:rPr>
          <w:rFonts w:hint="eastAsia" w:ascii="宋体" w:hAnsi="宋体" w:eastAsia="宋体" w:cs="宋体"/>
          <w:b w:val="0"/>
          <w:bCs/>
          <w:color w:val="000000"/>
          <w:kern w:val="2"/>
          <w:sz w:val="32"/>
          <w:szCs w:val="32"/>
          <w:u w:val="single"/>
          <w:lang w:val="en-US" w:eastAsia="zh-CN" w:bidi="ar"/>
        </w:rPr>
        <w:t xml:space="preserve">                </w:t>
      </w:r>
      <w:r>
        <w:rPr>
          <w:rFonts w:hint="eastAsia" w:ascii="宋体" w:hAnsi="宋体" w:eastAsia="宋体" w:cs="宋体"/>
          <w:b w:val="0"/>
          <w:bCs/>
          <w:color w:val="000000"/>
          <w:kern w:val="2"/>
          <w:sz w:val="32"/>
          <w:szCs w:val="32"/>
          <w:lang w:val="en-US" w:eastAsia="zh-CN" w:bidi="ar"/>
        </w:rPr>
        <w:t>(签字或盖章)</w:t>
      </w:r>
    </w:p>
    <w:p w14:paraId="2EBF7E1E">
      <w:pPr>
        <w:keepNext w:val="0"/>
        <w:keepLines w:val="0"/>
        <w:widowControl w:val="0"/>
        <w:suppressLineNumbers w:val="0"/>
        <w:spacing w:before="0" w:beforeAutospacing="0" w:after="0" w:afterAutospacing="0" w:line="560" w:lineRule="exact"/>
        <w:ind w:left="0" w:right="0" w:firstLine="1280" w:firstLineChars="400"/>
        <w:jc w:val="both"/>
        <w:rPr>
          <w:rFonts w:hint="eastAsia" w:ascii="宋体" w:hAnsi="宋体" w:eastAsia="宋体" w:cs="宋体"/>
          <w:b w:val="0"/>
          <w:bCs/>
          <w:color w:val="000000"/>
          <w:kern w:val="2"/>
          <w:sz w:val="32"/>
          <w:szCs w:val="32"/>
          <w:lang w:val="en-US" w:eastAsia="zh-CN" w:bidi="ar"/>
        </w:rPr>
      </w:pPr>
      <w:r>
        <w:rPr>
          <w:rFonts w:hint="eastAsia" w:ascii="宋体" w:hAnsi="宋体" w:eastAsia="宋体" w:cs="宋体"/>
          <w:b w:val="0"/>
          <w:bCs/>
          <w:color w:val="000000"/>
          <w:kern w:val="2"/>
          <w:sz w:val="32"/>
          <w:szCs w:val="32"/>
          <w:lang w:val="en-US" w:eastAsia="zh-CN" w:bidi="ar"/>
        </w:rPr>
        <w:t>编制人:</w:t>
      </w:r>
      <w:r>
        <w:rPr>
          <w:rFonts w:hint="eastAsia" w:ascii="宋体" w:hAnsi="宋体" w:eastAsia="宋体" w:cs="宋体"/>
          <w:b w:val="0"/>
          <w:bCs/>
          <w:color w:val="000000"/>
          <w:kern w:val="2"/>
          <w:sz w:val="32"/>
          <w:szCs w:val="32"/>
          <w:u w:val="single"/>
          <w:lang w:val="en-US" w:eastAsia="zh-CN" w:bidi="ar"/>
        </w:rPr>
        <w:t xml:space="preserve">                              </w:t>
      </w:r>
      <w:r>
        <w:rPr>
          <w:rFonts w:hint="eastAsia" w:ascii="宋体" w:hAnsi="宋体" w:eastAsia="宋体" w:cs="宋体"/>
          <w:b w:val="0"/>
          <w:bCs/>
          <w:color w:val="000000"/>
          <w:kern w:val="2"/>
          <w:sz w:val="32"/>
          <w:szCs w:val="32"/>
          <w:lang w:val="en-US" w:eastAsia="zh-CN" w:bidi="ar"/>
        </w:rPr>
        <w:t>(签字及盖章)</w:t>
      </w:r>
    </w:p>
    <w:p w14:paraId="363FABF5">
      <w:pPr>
        <w:keepNext w:val="0"/>
        <w:keepLines w:val="0"/>
        <w:widowControl w:val="0"/>
        <w:suppressLineNumbers w:val="0"/>
        <w:spacing w:before="0" w:beforeAutospacing="0" w:after="0" w:afterAutospacing="0" w:line="560" w:lineRule="exact"/>
        <w:ind w:left="0" w:right="0" w:firstLine="1280" w:firstLineChars="400"/>
        <w:jc w:val="both"/>
        <w:rPr>
          <w:rFonts w:hint="default" w:ascii="仿宋_GB2312" w:hAnsi="Calibri" w:eastAsia="仿宋_GB2312" w:cs="Times New Roman"/>
          <w:b/>
          <w:bCs w:val="0"/>
          <w:color w:val="000000"/>
          <w:kern w:val="2"/>
          <w:sz w:val="36"/>
          <w:szCs w:val="36"/>
          <w:u w:val="single"/>
        </w:rPr>
      </w:pPr>
      <w:r>
        <w:rPr>
          <w:rFonts w:hint="eastAsia" w:ascii="宋体" w:hAnsi="宋体" w:eastAsia="宋体" w:cs="宋体"/>
          <w:b w:val="0"/>
          <w:bCs/>
          <w:color w:val="000000"/>
          <w:kern w:val="2"/>
          <w:sz w:val="32"/>
          <w:szCs w:val="32"/>
          <w:lang w:val="en-US" w:eastAsia="zh-CN" w:bidi="ar"/>
        </w:rPr>
        <w:t>编制时间:</w:t>
      </w:r>
      <w:r>
        <w:rPr>
          <w:rFonts w:hint="eastAsia" w:ascii="宋体" w:hAnsi="宋体" w:eastAsia="宋体" w:cs="宋体"/>
          <w:b w:val="0"/>
          <w:bCs/>
          <w:color w:val="000000"/>
          <w:kern w:val="2"/>
          <w:sz w:val="32"/>
          <w:szCs w:val="32"/>
          <w:u w:val="single"/>
          <w:lang w:val="en-US" w:eastAsia="zh-CN" w:bidi="ar"/>
        </w:rPr>
        <w:t xml:space="preserve">       </w:t>
      </w:r>
      <w:r>
        <w:rPr>
          <w:rFonts w:hint="eastAsia" w:ascii="宋体" w:hAnsi="宋体" w:eastAsia="宋体" w:cs="宋体"/>
          <w:b w:val="0"/>
          <w:bCs/>
          <w:color w:val="000000"/>
          <w:kern w:val="2"/>
          <w:sz w:val="32"/>
          <w:szCs w:val="32"/>
          <w:u w:val="none"/>
          <w:lang w:val="en-US" w:eastAsia="zh-CN" w:bidi="ar"/>
        </w:rPr>
        <w:t>年</w:t>
      </w:r>
      <w:r>
        <w:rPr>
          <w:rFonts w:hint="eastAsia" w:ascii="宋体" w:hAnsi="宋体" w:eastAsia="宋体" w:cs="宋体"/>
          <w:b w:val="0"/>
          <w:bCs/>
          <w:color w:val="000000"/>
          <w:kern w:val="2"/>
          <w:sz w:val="32"/>
          <w:szCs w:val="32"/>
          <w:u w:val="single"/>
          <w:lang w:val="en-US" w:eastAsia="zh-CN" w:bidi="ar"/>
        </w:rPr>
        <w:t xml:space="preserve">        </w:t>
      </w:r>
      <w:r>
        <w:rPr>
          <w:rFonts w:hint="eastAsia" w:ascii="宋体" w:hAnsi="宋体" w:eastAsia="宋体" w:cs="宋体"/>
          <w:b w:val="0"/>
          <w:bCs/>
          <w:color w:val="000000"/>
          <w:kern w:val="2"/>
          <w:sz w:val="32"/>
          <w:szCs w:val="32"/>
          <w:u w:val="none"/>
          <w:lang w:val="en-US" w:eastAsia="zh-CN" w:bidi="ar"/>
        </w:rPr>
        <w:t>月</w:t>
      </w:r>
      <w:r>
        <w:rPr>
          <w:rFonts w:hint="eastAsia" w:ascii="宋体" w:hAnsi="宋体" w:eastAsia="宋体" w:cs="宋体"/>
          <w:b w:val="0"/>
          <w:bCs/>
          <w:color w:val="000000"/>
          <w:kern w:val="2"/>
          <w:sz w:val="32"/>
          <w:szCs w:val="32"/>
          <w:u w:val="single"/>
          <w:lang w:val="en-US" w:eastAsia="zh-CN" w:bidi="ar"/>
        </w:rPr>
        <w:t xml:space="preserve">        </w:t>
      </w:r>
      <w:r>
        <w:rPr>
          <w:rFonts w:hint="eastAsia" w:ascii="宋体" w:hAnsi="宋体" w:eastAsia="宋体" w:cs="宋体"/>
          <w:b w:val="0"/>
          <w:bCs/>
          <w:color w:val="000000"/>
          <w:kern w:val="2"/>
          <w:sz w:val="32"/>
          <w:szCs w:val="32"/>
          <w:u w:val="none"/>
          <w:lang w:val="en-US" w:eastAsia="zh-CN" w:bidi="ar"/>
        </w:rPr>
        <w:t>日</w:t>
      </w:r>
    </w:p>
    <w:p w14:paraId="4A020A89">
      <w:pPr>
        <w:pStyle w:val="2"/>
        <w:rPr>
          <w:rFonts w:hint="eastAsia"/>
        </w:rPr>
      </w:pPr>
    </w:p>
    <w:p w14:paraId="2E137EED">
      <w:pPr>
        <w:jc w:val="center"/>
        <w:rPr>
          <w:rFonts w:hint="eastAsia" w:ascii="宋体" w:hAnsi="宋体"/>
          <w:color w:val="auto"/>
          <w:sz w:val="32"/>
          <w:szCs w:val="32"/>
          <w:highlight w:val="none"/>
        </w:rPr>
      </w:pPr>
    </w:p>
    <w:p w14:paraId="2F2DB73E">
      <w:pPr>
        <w:rPr>
          <w:rFonts w:hint="eastAsia" w:ascii="宋体" w:hAnsi="宋体"/>
          <w:color w:val="auto"/>
          <w:sz w:val="32"/>
          <w:szCs w:val="32"/>
          <w:highlight w:val="none"/>
        </w:rPr>
      </w:pPr>
      <w:r>
        <w:rPr>
          <w:rFonts w:hint="eastAsia" w:ascii="宋体" w:hAnsi="宋体"/>
          <w:color w:val="auto"/>
          <w:sz w:val="32"/>
          <w:szCs w:val="32"/>
          <w:highlight w:val="none"/>
        </w:rPr>
        <w:br w:type="page"/>
      </w:r>
    </w:p>
    <w:p w14:paraId="07BFC027">
      <w:pPr>
        <w:jc w:val="center"/>
        <w:rPr>
          <w:rFonts w:ascii="Calibri" w:hAnsi="Calibri"/>
          <w:color w:val="auto"/>
          <w:sz w:val="32"/>
          <w:szCs w:val="32"/>
          <w:highlight w:val="none"/>
        </w:rPr>
      </w:pPr>
      <w:r>
        <w:rPr>
          <w:rFonts w:hint="eastAsia" w:ascii="宋体" w:hAnsi="宋体"/>
          <w:color w:val="auto"/>
          <w:sz w:val="32"/>
          <w:szCs w:val="32"/>
          <w:highlight w:val="none"/>
        </w:rPr>
        <w:t>②</w:t>
      </w:r>
      <w:r>
        <w:rPr>
          <w:rFonts w:hint="eastAsia" w:ascii="Calibri" w:hAnsi="Calibri"/>
          <w:color w:val="auto"/>
          <w:sz w:val="32"/>
          <w:szCs w:val="32"/>
          <w:highlight w:val="none"/>
        </w:rPr>
        <w:t>投标报价编制人信息表</w:t>
      </w:r>
      <w:r>
        <w:rPr>
          <w:rFonts w:hint="eastAsia" w:ascii="Calibri" w:hAnsi="Calibri"/>
          <w:color w:val="auto"/>
          <w:sz w:val="32"/>
          <w:szCs w:val="32"/>
          <w:highlight w:val="none"/>
          <w:vertAlign w:val="superscript"/>
        </w:rPr>
        <w:t>1</w:t>
      </w:r>
    </w:p>
    <w:p w14:paraId="535DF86B">
      <w:pPr>
        <w:jc w:val="center"/>
        <w:rPr>
          <w:rFonts w:ascii="Calibri" w:hAnsi="Calibri"/>
          <w:color w:val="auto"/>
          <w:sz w:val="32"/>
          <w:szCs w:val="32"/>
          <w:highlight w:val="none"/>
        </w:rPr>
      </w:pPr>
    </w:p>
    <w:tbl>
      <w:tblPr>
        <w:tblStyle w:val="21"/>
        <w:tblW w:w="10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216"/>
        <w:gridCol w:w="2951"/>
        <w:gridCol w:w="1737"/>
        <w:gridCol w:w="1563"/>
        <w:gridCol w:w="1967"/>
      </w:tblGrid>
      <w:tr w14:paraId="5B72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827" w:type="dxa"/>
            <w:noWrap w:val="0"/>
            <w:vAlign w:val="center"/>
          </w:tcPr>
          <w:p w14:paraId="371FC982">
            <w:pPr>
              <w:jc w:val="center"/>
              <w:rPr>
                <w:rFonts w:ascii="Calibri" w:hAnsi="Calibri"/>
                <w:color w:val="auto"/>
                <w:szCs w:val="22"/>
                <w:highlight w:val="none"/>
              </w:rPr>
            </w:pPr>
            <w:r>
              <w:rPr>
                <w:rFonts w:hint="eastAsia" w:ascii="Calibri" w:hAnsi="Calibri"/>
                <w:color w:val="auto"/>
                <w:szCs w:val="22"/>
                <w:highlight w:val="none"/>
              </w:rPr>
              <w:t>序号</w:t>
            </w:r>
          </w:p>
        </w:tc>
        <w:tc>
          <w:tcPr>
            <w:tcW w:w="1216" w:type="dxa"/>
            <w:noWrap w:val="0"/>
            <w:vAlign w:val="center"/>
          </w:tcPr>
          <w:p w14:paraId="56C3B67E">
            <w:pPr>
              <w:jc w:val="center"/>
              <w:rPr>
                <w:rFonts w:ascii="Calibri" w:hAnsi="Calibri"/>
                <w:color w:val="auto"/>
                <w:szCs w:val="22"/>
                <w:highlight w:val="none"/>
              </w:rPr>
            </w:pPr>
            <w:r>
              <w:rPr>
                <w:rFonts w:hint="eastAsia" w:ascii="Calibri" w:hAnsi="Calibri"/>
                <w:color w:val="auto"/>
                <w:szCs w:val="22"/>
                <w:highlight w:val="none"/>
              </w:rPr>
              <w:t>姓名</w:t>
            </w:r>
          </w:p>
        </w:tc>
        <w:tc>
          <w:tcPr>
            <w:tcW w:w="2951" w:type="dxa"/>
            <w:noWrap w:val="0"/>
            <w:vAlign w:val="center"/>
          </w:tcPr>
          <w:p w14:paraId="7F696B76">
            <w:pPr>
              <w:jc w:val="center"/>
              <w:rPr>
                <w:rFonts w:ascii="Calibri" w:hAnsi="Calibri"/>
                <w:color w:val="auto"/>
                <w:szCs w:val="22"/>
                <w:highlight w:val="none"/>
              </w:rPr>
            </w:pPr>
            <w:r>
              <w:rPr>
                <w:rFonts w:hint="eastAsia" w:ascii="Calibri" w:hAnsi="Calibri"/>
                <w:color w:val="auto"/>
                <w:szCs w:val="22"/>
                <w:highlight w:val="none"/>
              </w:rPr>
              <w:t>身份证号码</w:t>
            </w:r>
          </w:p>
        </w:tc>
        <w:tc>
          <w:tcPr>
            <w:tcW w:w="1737" w:type="dxa"/>
            <w:noWrap w:val="0"/>
            <w:vAlign w:val="center"/>
          </w:tcPr>
          <w:p w14:paraId="61C2EB78">
            <w:pPr>
              <w:jc w:val="center"/>
              <w:rPr>
                <w:rFonts w:ascii="Calibri" w:hAnsi="Calibri"/>
                <w:color w:val="auto"/>
                <w:szCs w:val="22"/>
                <w:highlight w:val="none"/>
              </w:rPr>
            </w:pPr>
            <w:r>
              <w:rPr>
                <w:rFonts w:hint="eastAsia" w:ascii="Calibri" w:hAnsi="Calibri"/>
                <w:color w:val="auto"/>
                <w:szCs w:val="22"/>
                <w:highlight w:val="none"/>
              </w:rPr>
              <w:t>手机号码</w:t>
            </w:r>
          </w:p>
        </w:tc>
        <w:tc>
          <w:tcPr>
            <w:tcW w:w="1563" w:type="dxa"/>
            <w:noWrap w:val="0"/>
            <w:vAlign w:val="center"/>
          </w:tcPr>
          <w:p w14:paraId="25C81188">
            <w:pPr>
              <w:jc w:val="center"/>
              <w:rPr>
                <w:rFonts w:ascii="Calibri" w:hAnsi="Calibri"/>
                <w:color w:val="auto"/>
                <w:szCs w:val="22"/>
                <w:highlight w:val="none"/>
              </w:rPr>
            </w:pPr>
            <w:r>
              <w:rPr>
                <w:rFonts w:hint="eastAsia" w:ascii="Calibri" w:hAnsi="Calibri"/>
                <w:color w:val="auto"/>
                <w:szCs w:val="22"/>
                <w:highlight w:val="none"/>
              </w:rPr>
              <w:t>单位名称</w:t>
            </w:r>
          </w:p>
        </w:tc>
        <w:tc>
          <w:tcPr>
            <w:tcW w:w="1967" w:type="dxa"/>
            <w:noWrap w:val="0"/>
            <w:vAlign w:val="center"/>
          </w:tcPr>
          <w:p w14:paraId="62EC5117">
            <w:pPr>
              <w:jc w:val="center"/>
              <w:rPr>
                <w:rFonts w:ascii="Calibri" w:hAnsi="Calibri"/>
                <w:color w:val="auto"/>
                <w:szCs w:val="22"/>
                <w:highlight w:val="none"/>
              </w:rPr>
            </w:pPr>
            <w:r>
              <w:rPr>
                <w:rFonts w:hint="eastAsia" w:ascii="Calibri" w:hAnsi="Calibri"/>
                <w:color w:val="auto"/>
                <w:szCs w:val="22"/>
                <w:highlight w:val="none"/>
              </w:rPr>
              <w:t>注册造价工程师注册证书号</w:t>
            </w:r>
          </w:p>
        </w:tc>
      </w:tr>
      <w:tr w14:paraId="6257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7" w:type="dxa"/>
            <w:noWrap w:val="0"/>
            <w:vAlign w:val="center"/>
          </w:tcPr>
          <w:p w14:paraId="68C4FBBF">
            <w:pPr>
              <w:jc w:val="center"/>
              <w:rPr>
                <w:rFonts w:ascii="Calibri" w:hAnsi="Calibri"/>
                <w:color w:val="auto"/>
                <w:szCs w:val="22"/>
                <w:highlight w:val="none"/>
              </w:rPr>
            </w:pPr>
          </w:p>
        </w:tc>
        <w:tc>
          <w:tcPr>
            <w:tcW w:w="1216" w:type="dxa"/>
            <w:noWrap w:val="0"/>
            <w:vAlign w:val="center"/>
          </w:tcPr>
          <w:p w14:paraId="732F9632">
            <w:pPr>
              <w:jc w:val="center"/>
              <w:rPr>
                <w:rFonts w:ascii="Calibri" w:hAnsi="Calibri"/>
                <w:color w:val="auto"/>
                <w:szCs w:val="22"/>
                <w:highlight w:val="none"/>
              </w:rPr>
            </w:pPr>
          </w:p>
        </w:tc>
        <w:tc>
          <w:tcPr>
            <w:tcW w:w="2951" w:type="dxa"/>
            <w:noWrap w:val="0"/>
            <w:vAlign w:val="center"/>
          </w:tcPr>
          <w:p w14:paraId="19542746">
            <w:pPr>
              <w:jc w:val="center"/>
              <w:rPr>
                <w:rFonts w:ascii="Calibri" w:hAnsi="Calibri"/>
                <w:color w:val="auto"/>
                <w:szCs w:val="22"/>
                <w:highlight w:val="none"/>
              </w:rPr>
            </w:pPr>
          </w:p>
        </w:tc>
        <w:tc>
          <w:tcPr>
            <w:tcW w:w="1737" w:type="dxa"/>
            <w:noWrap w:val="0"/>
            <w:vAlign w:val="center"/>
          </w:tcPr>
          <w:p w14:paraId="52BE13A5">
            <w:pPr>
              <w:jc w:val="center"/>
              <w:rPr>
                <w:rFonts w:ascii="Calibri" w:hAnsi="Calibri"/>
                <w:color w:val="auto"/>
                <w:szCs w:val="22"/>
                <w:highlight w:val="none"/>
              </w:rPr>
            </w:pPr>
          </w:p>
        </w:tc>
        <w:tc>
          <w:tcPr>
            <w:tcW w:w="1563" w:type="dxa"/>
            <w:noWrap w:val="0"/>
            <w:vAlign w:val="center"/>
          </w:tcPr>
          <w:p w14:paraId="29F843A1">
            <w:pPr>
              <w:jc w:val="center"/>
              <w:rPr>
                <w:rFonts w:ascii="Calibri" w:hAnsi="Calibri"/>
                <w:color w:val="auto"/>
                <w:szCs w:val="22"/>
                <w:highlight w:val="none"/>
              </w:rPr>
            </w:pPr>
          </w:p>
        </w:tc>
        <w:tc>
          <w:tcPr>
            <w:tcW w:w="1967" w:type="dxa"/>
            <w:noWrap w:val="0"/>
            <w:vAlign w:val="center"/>
          </w:tcPr>
          <w:p w14:paraId="5BD4275C">
            <w:pPr>
              <w:jc w:val="center"/>
              <w:rPr>
                <w:rFonts w:ascii="Calibri" w:hAnsi="Calibri"/>
                <w:color w:val="auto"/>
                <w:szCs w:val="22"/>
                <w:highlight w:val="none"/>
              </w:rPr>
            </w:pPr>
          </w:p>
        </w:tc>
      </w:tr>
      <w:tr w14:paraId="2D91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827" w:type="dxa"/>
            <w:noWrap w:val="0"/>
            <w:vAlign w:val="center"/>
          </w:tcPr>
          <w:p w14:paraId="410F911D">
            <w:pPr>
              <w:jc w:val="center"/>
              <w:rPr>
                <w:rFonts w:ascii="Calibri" w:hAnsi="Calibri"/>
                <w:color w:val="auto"/>
                <w:szCs w:val="22"/>
                <w:highlight w:val="none"/>
              </w:rPr>
            </w:pPr>
          </w:p>
        </w:tc>
        <w:tc>
          <w:tcPr>
            <w:tcW w:w="1216" w:type="dxa"/>
            <w:noWrap w:val="0"/>
            <w:vAlign w:val="center"/>
          </w:tcPr>
          <w:p w14:paraId="4A3BC8B8">
            <w:pPr>
              <w:jc w:val="center"/>
              <w:rPr>
                <w:rFonts w:ascii="Calibri" w:hAnsi="Calibri"/>
                <w:color w:val="auto"/>
                <w:szCs w:val="22"/>
                <w:highlight w:val="none"/>
              </w:rPr>
            </w:pPr>
          </w:p>
        </w:tc>
        <w:tc>
          <w:tcPr>
            <w:tcW w:w="2951" w:type="dxa"/>
            <w:noWrap w:val="0"/>
            <w:vAlign w:val="center"/>
          </w:tcPr>
          <w:p w14:paraId="043FFA27">
            <w:pPr>
              <w:jc w:val="center"/>
              <w:rPr>
                <w:rFonts w:ascii="Calibri" w:hAnsi="Calibri"/>
                <w:color w:val="auto"/>
                <w:szCs w:val="22"/>
                <w:highlight w:val="none"/>
              </w:rPr>
            </w:pPr>
          </w:p>
        </w:tc>
        <w:tc>
          <w:tcPr>
            <w:tcW w:w="1737" w:type="dxa"/>
            <w:noWrap w:val="0"/>
            <w:vAlign w:val="center"/>
          </w:tcPr>
          <w:p w14:paraId="267484EB">
            <w:pPr>
              <w:jc w:val="center"/>
              <w:rPr>
                <w:rFonts w:ascii="Calibri" w:hAnsi="Calibri"/>
                <w:color w:val="auto"/>
                <w:szCs w:val="22"/>
                <w:highlight w:val="none"/>
              </w:rPr>
            </w:pPr>
          </w:p>
        </w:tc>
        <w:tc>
          <w:tcPr>
            <w:tcW w:w="1563" w:type="dxa"/>
            <w:noWrap w:val="0"/>
            <w:vAlign w:val="center"/>
          </w:tcPr>
          <w:p w14:paraId="08E4D835">
            <w:pPr>
              <w:jc w:val="center"/>
              <w:rPr>
                <w:rFonts w:ascii="Calibri" w:hAnsi="Calibri"/>
                <w:color w:val="auto"/>
                <w:szCs w:val="22"/>
                <w:highlight w:val="none"/>
              </w:rPr>
            </w:pPr>
          </w:p>
        </w:tc>
        <w:tc>
          <w:tcPr>
            <w:tcW w:w="1967" w:type="dxa"/>
            <w:noWrap w:val="0"/>
            <w:vAlign w:val="center"/>
          </w:tcPr>
          <w:p w14:paraId="6EAC6924">
            <w:pPr>
              <w:jc w:val="center"/>
              <w:rPr>
                <w:rFonts w:ascii="Calibri" w:hAnsi="Calibri"/>
                <w:color w:val="auto"/>
                <w:szCs w:val="22"/>
                <w:highlight w:val="none"/>
              </w:rPr>
            </w:pPr>
          </w:p>
        </w:tc>
      </w:tr>
    </w:tbl>
    <w:p w14:paraId="41694CC1">
      <w:pPr>
        <w:rPr>
          <w:rFonts w:ascii="宋体" w:hAnsi="宋体"/>
          <w:b/>
          <w:color w:val="auto"/>
          <w:sz w:val="24"/>
          <w:highlight w:val="none"/>
        </w:rPr>
      </w:pPr>
    </w:p>
    <w:p w14:paraId="7B7EF294">
      <w:pPr>
        <w:spacing w:line="560" w:lineRule="exact"/>
        <w:rPr>
          <w:rFonts w:ascii="宋体" w:hAnsi="宋体"/>
          <w:b/>
          <w:color w:val="auto"/>
          <w:sz w:val="24"/>
          <w:highlight w:val="none"/>
        </w:rPr>
      </w:pPr>
      <w:r>
        <w:rPr>
          <w:rFonts w:hint="eastAsia" w:ascii="宋体" w:hAnsi="宋体"/>
          <w:b/>
          <w:color w:val="auto"/>
          <w:sz w:val="24"/>
          <w:highlight w:val="none"/>
        </w:rPr>
        <w:t>注：</w:t>
      </w:r>
    </w:p>
    <w:p w14:paraId="0991E5E8">
      <w:pPr>
        <w:spacing w:line="560" w:lineRule="exact"/>
        <w:rPr>
          <w:rFonts w:ascii="宋体" w:hAnsi="宋体"/>
          <w:color w:val="auto"/>
          <w:sz w:val="24"/>
          <w:highlight w:val="none"/>
        </w:rPr>
      </w:pPr>
      <w:r>
        <w:rPr>
          <w:rFonts w:hint="eastAsia" w:ascii="宋体" w:hAnsi="宋体"/>
          <w:color w:val="auto"/>
          <w:sz w:val="24"/>
          <w:highlight w:val="none"/>
        </w:rPr>
        <w:t>1. 提供投标报价编制人员的注册造价工程师证书扫描件或影印件；</w:t>
      </w:r>
    </w:p>
    <w:p w14:paraId="4170779B">
      <w:pPr>
        <w:spacing w:line="560" w:lineRule="exact"/>
        <w:rPr>
          <w:rFonts w:ascii="宋体" w:hAnsi="宋体"/>
          <w:color w:val="auto"/>
          <w:sz w:val="24"/>
          <w:highlight w:val="none"/>
        </w:rPr>
      </w:pPr>
      <w:r>
        <w:rPr>
          <w:rFonts w:hint="eastAsia" w:ascii="宋体" w:hAnsi="宋体"/>
          <w:color w:val="auto"/>
          <w:sz w:val="24"/>
          <w:highlight w:val="none"/>
        </w:rPr>
        <w:t xml:space="preserve">2. </w:t>
      </w:r>
      <w:r>
        <w:rPr>
          <w:rFonts w:hint="eastAsia" w:ascii="宋体" w:hAnsi="宋体"/>
          <w:sz w:val="24"/>
        </w:rPr>
        <w:t>若投标报价编制人员为投标人委托的造价咨询单位注册造价人员，须提供与造价咨询单位签订的委托协议。</w:t>
      </w:r>
    </w:p>
    <w:p w14:paraId="7A81F173">
      <w:pPr>
        <w:spacing w:line="560" w:lineRule="exact"/>
        <w:rPr>
          <w:rFonts w:ascii="宋体" w:hAnsi="宋体"/>
          <w:color w:val="auto"/>
          <w:sz w:val="24"/>
          <w:highlight w:val="none"/>
        </w:rPr>
      </w:pPr>
      <w:r>
        <w:rPr>
          <w:rFonts w:hint="eastAsia" w:ascii="宋体" w:hAnsi="宋体"/>
          <w:color w:val="auto"/>
          <w:sz w:val="24"/>
          <w:highlight w:val="none"/>
        </w:rPr>
        <w:t xml:space="preserve">3. </w:t>
      </w:r>
      <w:r>
        <w:rPr>
          <w:rFonts w:hint="eastAsia" w:ascii="宋体" w:hAnsi="宋体"/>
          <w:sz w:val="24"/>
        </w:rPr>
        <w:t>表格内容将作为公安机关和行政主管部门调查串通投标、允许他人以自己名义从事工程造价业务等违法违规行为的重要依据。</w:t>
      </w:r>
    </w:p>
    <w:p w14:paraId="136B1320">
      <w:pPr>
        <w:spacing w:line="560" w:lineRule="exact"/>
        <w:rPr>
          <w:rFonts w:ascii="宋体" w:hAnsi="宋体"/>
          <w:color w:val="auto"/>
          <w:sz w:val="24"/>
          <w:highlight w:val="none"/>
        </w:rPr>
      </w:pPr>
      <w:r>
        <w:rPr>
          <w:rFonts w:hint="eastAsia" w:ascii="宋体" w:hAnsi="宋体"/>
          <w:color w:val="auto"/>
          <w:sz w:val="24"/>
          <w:highlight w:val="none"/>
        </w:rPr>
        <w:t xml:space="preserve">4. </w:t>
      </w:r>
      <w:r>
        <w:rPr>
          <w:rFonts w:hint="eastAsia" w:ascii="宋体" w:hAnsi="宋体"/>
          <w:sz w:val="24"/>
        </w:rPr>
        <w:t>投标人填写内容务必真实准确，否则将承担投标失败、中标无效的风险。</w:t>
      </w:r>
    </w:p>
    <w:p w14:paraId="329DB3A7">
      <w:pPr>
        <w:spacing w:line="560" w:lineRule="exact"/>
        <w:rPr>
          <w:rFonts w:ascii="宋体" w:hAnsi="宋体"/>
          <w:color w:val="auto"/>
          <w:sz w:val="24"/>
          <w:highlight w:val="none"/>
        </w:rPr>
      </w:pPr>
    </w:p>
    <w:p w14:paraId="6E1DB7F0">
      <w:pPr>
        <w:jc w:val="center"/>
        <w:rPr>
          <w:rFonts w:hint="eastAsia" w:ascii="宋体" w:hAnsi="宋体" w:cs="Times New Roman"/>
          <w:color w:val="auto"/>
          <w:sz w:val="32"/>
          <w:szCs w:val="32"/>
          <w:highlight w:val="none"/>
        </w:rPr>
      </w:pPr>
    </w:p>
    <w:p w14:paraId="158AD062">
      <w:pPr>
        <w:jc w:val="center"/>
        <w:rPr>
          <w:rFonts w:hint="eastAsia" w:ascii="宋体" w:hAnsi="宋体" w:cs="Times New Roman"/>
          <w:color w:val="auto"/>
          <w:sz w:val="32"/>
          <w:szCs w:val="32"/>
          <w:highlight w:val="none"/>
        </w:rPr>
      </w:pPr>
    </w:p>
    <w:p w14:paraId="4010B8D7">
      <w:pPr>
        <w:jc w:val="center"/>
        <w:rPr>
          <w:rFonts w:hint="eastAsia" w:ascii="宋体" w:hAnsi="宋体" w:cs="Times New Roman"/>
          <w:color w:val="auto"/>
          <w:sz w:val="32"/>
          <w:szCs w:val="32"/>
          <w:highlight w:val="none"/>
        </w:rPr>
      </w:pPr>
    </w:p>
    <w:p w14:paraId="4B87D916">
      <w:pPr>
        <w:jc w:val="center"/>
        <w:rPr>
          <w:rFonts w:hint="eastAsia" w:ascii="宋体" w:hAnsi="宋体" w:cs="Times New Roman"/>
          <w:color w:val="auto"/>
          <w:sz w:val="32"/>
          <w:szCs w:val="32"/>
          <w:highlight w:val="none"/>
        </w:rPr>
      </w:pPr>
      <w:r>
        <w:rPr>
          <w:rFonts w:hint="eastAsia" w:ascii="宋体" w:hAnsi="宋体" w:cs="Times New Roman"/>
          <w:color w:val="auto"/>
          <w:sz w:val="32"/>
          <w:szCs w:val="32"/>
          <w:highlight w:val="none"/>
        </w:rPr>
        <w:t>③工程量清单报价书正文格式：见2026版《安徽省建设工程工程量清单计价规程》</w:t>
      </w:r>
    </w:p>
    <w:p w14:paraId="42825AE0">
      <w:pPr>
        <w:rPr>
          <w:rFonts w:ascii="宋体" w:hAnsi="宋体"/>
          <w:color w:val="auto"/>
          <w:sz w:val="24"/>
          <w:highlight w:val="none"/>
        </w:rPr>
      </w:pPr>
    </w:p>
    <w:p w14:paraId="15A85959">
      <w:pPr>
        <w:rPr>
          <w:rFonts w:ascii="宋体" w:hAnsi="宋体"/>
          <w:color w:val="auto"/>
          <w:sz w:val="24"/>
          <w:highlight w:val="none"/>
        </w:rPr>
      </w:pPr>
    </w:p>
    <w:p w14:paraId="37E830E9">
      <w:pPr>
        <w:rPr>
          <w:rFonts w:ascii="宋体" w:hAnsi="宋体"/>
          <w:color w:val="auto"/>
          <w:sz w:val="24"/>
          <w:highlight w:val="none"/>
        </w:rPr>
      </w:pPr>
    </w:p>
    <w:p w14:paraId="5CDA7818">
      <w:pPr>
        <w:rPr>
          <w:rFonts w:ascii="宋体" w:hAnsi="宋体"/>
          <w:color w:val="auto"/>
          <w:sz w:val="24"/>
          <w:highlight w:val="none"/>
        </w:rPr>
      </w:pPr>
    </w:p>
    <w:p w14:paraId="7A89A684">
      <w:pPr>
        <w:rPr>
          <w:rFonts w:ascii="宋体" w:hAnsi="宋体"/>
          <w:color w:val="auto"/>
          <w:sz w:val="24"/>
          <w:highlight w:val="none"/>
        </w:rPr>
      </w:pPr>
    </w:p>
    <w:p w14:paraId="68EE4804">
      <w:pPr>
        <w:rPr>
          <w:rFonts w:ascii="宋体" w:hAnsi="宋体"/>
          <w:color w:val="auto"/>
          <w:sz w:val="22"/>
          <w:highlight w:val="none"/>
        </w:rPr>
      </w:pPr>
    </w:p>
    <w:p w14:paraId="00958A35">
      <w:pPr>
        <w:rPr>
          <w:rFonts w:hint="eastAsia" w:ascii="宋体" w:hAnsi="宋体"/>
          <w:color w:val="auto"/>
          <w:sz w:val="18"/>
          <w:highlight w:val="none"/>
          <w:vertAlign w:val="superscript"/>
        </w:rPr>
      </w:pPr>
    </w:p>
    <w:p w14:paraId="03A43361">
      <w:pPr>
        <w:rPr>
          <w:rFonts w:hint="eastAsia" w:ascii="宋体" w:hAnsi="宋体"/>
          <w:color w:val="auto"/>
          <w:sz w:val="18"/>
          <w:highlight w:val="none"/>
          <w:vertAlign w:val="superscript"/>
        </w:rPr>
      </w:pPr>
    </w:p>
    <w:p w14:paraId="1F7A3F2E">
      <w:pPr>
        <w:rPr>
          <w:rFonts w:hint="eastAsia" w:ascii="宋体" w:hAnsi="宋体"/>
          <w:color w:val="auto"/>
          <w:sz w:val="18"/>
          <w:highlight w:val="none"/>
          <w:vertAlign w:val="superscript"/>
        </w:rPr>
      </w:pPr>
    </w:p>
    <w:p w14:paraId="0A7F3A56">
      <w:pPr>
        <w:rPr>
          <w:rFonts w:hint="eastAsia" w:ascii="宋体" w:hAnsi="宋体"/>
          <w:color w:val="auto"/>
          <w:sz w:val="18"/>
          <w:highlight w:val="none"/>
          <w:vertAlign w:val="superscript"/>
        </w:rPr>
      </w:pPr>
    </w:p>
    <w:p w14:paraId="717A601B">
      <w:pPr>
        <w:rPr>
          <w:rFonts w:hint="eastAsia" w:ascii="宋体" w:hAnsi="宋体"/>
          <w:color w:val="auto"/>
          <w:sz w:val="18"/>
          <w:highlight w:val="none"/>
          <w:vertAlign w:val="superscript"/>
        </w:rPr>
      </w:pPr>
    </w:p>
    <w:p w14:paraId="25BF5B11">
      <w:pPr>
        <w:rPr>
          <w:rFonts w:ascii="宋体" w:hAnsi="宋体"/>
          <w:color w:val="auto"/>
          <w:sz w:val="18"/>
          <w:highlight w:val="none"/>
        </w:rPr>
      </w:pPr>
      <w:r>
        <w:rPr>
          <w:rFonts w:hint="eastAsia" w:ascii="宋体" w:hAnsi="宋体"/>
          <w:color w:val="auto"/>
          <w:sz w:val="18"/>
          <w:highlight w:val="none"/>
          <w:vertAlign w:val="superscript"/>
        </w:rPr>
        <w:t>1</w:t>
      </w:r>
      <w:r>
        <w:rPr>
          <w:rFonts w:hint="eastAsia" w:ascii="宋体" w:hAnsi="宋体"/>
          <w:sz w:val="18"/>
        </w:rPr>
        <w:t>注：投标文件格式中</w:t>
      </w:r>
      <w:r>
        <w:rPr>
          <w:rFonts w:hint="eastAsia" w:ascii="宋体" w:hAnsi="宋体"/>
          <w:sz w:val="18"/>
          <w:lang w:eastAsia="zh-CN"/>
        </w:rPr>
        <w:t>投标总价</w:t>
      </w:r>
      <w:r>
        <w:rPr>
          <w:rFonts w:hint="eastAsia" w:ascii="宋体" w:hAnsi="宋体"/>
          <w:sz w:val="18"/>
        </w:rPr>
        <w:t>（封面</w:t>
      </w:r>
      <w:r>
        <w:rPr>
          <w:rFonts w:hint="eastAsia" w:ascii="宋体" w:hAnsi="宋体"/>
          <w:sz w:val="18"/>
          <w:lang w:eastAsia="zh-CN"/>
        </w:rPr>
        <w:t>和扉页</w:t>
      </w:r>
      <w:r>
        <w:rPr>
          <w:rFonts w:hint="eastAsia" w:ascii="宋体" w:hAnsi="宋体"/>
          <w:sz w:val="18"/>
        </w:rPr>
        <w:t>）及投标报价编制人信息表与投标文件制作工具导出文件不一致的，以投标文件格式文件为准。</w:t>
      </w:r>
    </w:p>
    <w:p w14:paraId="476146A9">
      <w:pPr>
        <w:rPr>
          <w:rFonts w:hint="eastAsia"/>
          <w:color w:val="auto"/>
          <w:highlight w:val="none"/>
        </w:rPr>
      </w:pPr>
      <w:r>
        <w:rPr>
          <w:rFonts w:hint="eastAsia"/>
          <w:color w:val="auto"/>
          <w:highlight w:val="none"/>
        </w:rPr>
        <w:br w:type="page"/>
      </w:r>
    </w:p>
    <w:p w14:paraId="1E58F963">
      <w:pPr>
        <w:pStyle w:val="4"/>
        <w:adjustRightInd w:val="0"/>
        <w:snapToGrid w:val="0"/>
        <w:spacing w:before="0" w:after="0" w:line="560" w:lineRule="exact"/>
        <w:jc w:val="center"/>
        <w:rPr>
          <w:color w:val="auto"/>
          <w:highlight w:val="none"/>
        </w:rPr>
      </w:pPr>
      <w:bookmarkStart w:id="1525" w:name="_Toc95223545"/>
      <w:r>
        <w:rPr>
          <w:rFonts w:hint="eastAsia"/>
          <w:color w:val="auto"/>
          <w:highlight w:val="none"/>
        </w:rPr>
        <w:t>（</w:t>
      </w:r>
      <w:r>
        <w:rPr>
          <w:rFonts w:hint="eastAsia"/>
          <w:color w:val="auto"/>
          <w:highlight w:val="none"/>
          <w:lang w:val="en-US" w:eastAsia="zh-CN"/>
        </w:rPr>
        <w:t>3</w:t>
      </w:r>
      <w:r>
        <w:rPr>
          <w:rFonts w:hint="eastAsia"/>
          <w:color w:val="auto"/>
          <w:highlight w:val="none"/>
        </w:rPr>
        <w:t>）</w:t>
      </w:r>
      <w:r>
        <w:rPr>
          <w:color w:val="auto"/>
          <w:highlight w:val="none"/>
        </w:rPr>
        <w:t>招标人推荐的材料品牌响应表</w:t>
      </w:r>
      <w:bookmarkEnd w:id="1525"/>
    </w:p>
    <w:p w14:paraId="248CF17A">
      <w:pPr>
        <w:pStyle w:val="11"/>
        <w:tabs>
          <w:tab w:val="left" w:pos="6462"/>
          <w:tab w:val="left" w:pos="6988"/>
          <w:tab w:val="left" w:pos="7722"/>
        </w:tabs>
        <w:adjustRightInd w:val="0"/>
        <w:snapToGrid w:val="0"/>
        <w:spacing w:after="0" w:line="560" w:lineRule="exact"/>
        <w:jc w:val="center"/>
        <w:rPr>
          <w:color w:val="auto"/>
          <w:highlight w:val="none"/>
        </w:rPr>
      </w:pPr>
      <w:r>
        <w:rPr>
          <w:color w:val="auto"/>
          <w:highlight w:val="none"/>
        </w:rPr>
        <w:t>工程</w:t>
      </w:r>
      <w:r>
        <w:rPr>
          <w:color w:val="auto"/>
          <w:spacing w:val="-3"/>
          <w:highlight w:val="none"/>
        </w:rPr>
        <w:t>名</w:t>
      </w:r>
      <w:r>
        <w:rPr>
          <w:color w:val="auto"/>
          <w:highlight w:val="none"/>
        </w:rPr>
        <w:t>称：</w:t>
      </w:r>
      <w:r>
        <w:rPr>
          <w:rFonts w:hint="eastAsia"/>
          <w:color w:val="auto"/>
          <w:highlight w:val="none"/>
        </w:rPr>
        <w:t xml:space="preserve"> </w:t>
      </w:r>
      <w:r>
        <w:rPr>
          <w:color w:val="auto"/>
          <w:highlight w:val="none"/>
        </w:rPr>
        <w:tab/>
      </w:r>
      <w:r>
        <w:rPr>
          <w:color w:val="auto"/>
          <w:highlight w:val="none"/>
        </w:rPr>
        <w:t>第</w:t>
      </w:r>
      <w:r>
        <w:rPr>
          <w:color w:val="auto"/>
          <w:highlight w:val="none"/>
        </w:rPr>
        <w:tab/>
      </w:r>
      <w:r>
        <w:rPr>
          <w:color w:val="auto"/>
          <w:spacing w:val="-3"/>
          <w:highlight w:val="none"/>
        </w:rPr>
        <w:t>页</w:t>
      </w:r>
      <w:r>
        <w:rPr>
          <w:color w:val="auto"/>
          <w:highlight w:val="none"/>
        </w:rPr>
        <w:t>共</w:t>
      </w:r>
      <w:r>
        <w:rPr>
          <w:color w:val="auto"/>
          <w:highlight w:val="none"/>
        </w:rPr>
        <w:tab/>
      </w:r>
      <w:r>
        <w:rPr>
          <w:color w:val="auto"/>
          <w:highlight w:val="none"/>
        </w:rPr>
        <w:t>页</w:t>
      </w:r>
    </w:p>
    <w:p w14:paraId="76209F24">
      <w:pPr>
        <w:pStyle w:val="11"/>
        <w:tabs>
          <w:tab w:val="left" w:pos="6462"/>
          <w:tab w:val="left" w:pos="6988"/>
          <w:tab w:val="left" w:pos="7722"/>
        </w:tabs>
        <w:adjustRightInd w:val="0"/>
        <w:snapToGrid w:val="0"/>
        <w:spacing w:after="0" w:line="560" w:lineRule="exact"/>
        <w:jc w:val="center"/>
        <w:rPr>
          <w:b/>
          <w:color w:val="auto"/>
          <w:sz w:val="28"/>
          <w:highlight w:val="none"/>
        </w:rPr>
      </w:pPr>
      <w:r>
        <w:rPr>
          <w:b/>
          <w:color w:val="auto"/>
          <w:sz w:val="28"/>
          <w:highlight w:val="none"/>
        </w:rPr>
        <w:t>品牌推荐表（如要求）</w:t>
      </w:r>
    </w:p>
    <w:p w14:paraId="62063063">
      <w:pPr>
        <w:pStyle w:val="11"/>
        <w:adjustRightInd w:val="0"/>
        <w:snapToGrid w:val="0"/>
        <w:spacing w:after="0" w:line="560" w:lineRule="exact"/>
        <w:rPr>
          <w:b/>
          <w:color w:val="auto"/>
          <w:sz w:val="5"/>
          <w:highlight w:val="none"/>
        </w:rPr>
      </w:pPr>
    </w:p>
    <w:tbl>
      <w:tblPr>
        <w:tblStyle w:val="21"/>
        <w:tblW w:w="7816" w:type="dxa"/>
        <w:tblInd w:w="9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6"/>
        <w:gridCol w:w="1685"/>
        <w:gridCol w:w="794"/>
        <w:gridCol w:w="794"/>
        <w:gridCol w:w="794"/>
        <w:gridCol w:w="791"/>
        <w:gridCol w:w="635"/>
        <w:gridCol w:w="1687"/>
      </w:tblGrid>
      <w:tr w14:paraId="46F99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636" w:type="dxa"/>
            <w:noWrap w:val="0"/>
            <w:vAlign w:val="top"/>
          </w:tcPr>
          <w:p w14:paraId="013188F2">
            <w:pPr>
              <w:pStyle w:val="39"/>
              <w:adjustRightInd w:val="0"/>
              <w:snapToGrid w:val="0"/>
              <w:spacing w:line="560" w:lineRule="exact"/>
              <w:jc w:val="center"/>
              <w:rPr>
                <w:rFonts w:hint="eastAsia" w:ascii="黑体" w:eastAsia="黑体"/>
                <w:color w:val="auto"/>
                <w:highlight w:val="none"/>
              </w:rPr>
            </w:pPr>
            <w:r>
              <w:rPr>
                <w:rFonts w:hint="eastAsia" w:ascii="黑体" w:eastAsia="黑体"/>
                <w:color w:val="auto"/>
                <w:highlight w:val="none"/>
              </w:rPr>
              <w:t>序号</w:t>
            </w:r>
          </w:p>
        </w:tc>
        <w:tc>
          <w:tcPr>
            <w:tcW w:w="1685" w:type="dxa"/>
            <w:noWrap w:val="0"/>
            <w:vAlign w:val="top"/>
          </w:tcPr>
          <w:p w14:paraId="72B489C9">
            <w:pPr>
              <w:pStyle w:val="39"/>
              <w:adjustRightInd w:val="0"/>
              <w:snapToGrid w:val="0"/>
              <w:spacing w:line="560" w:lineRule="exact"/>
              <w:rPr>
                <w:rFonts w:hint="eastAsia" w:ascii="黑体" w:eastAsia="黑体"/>
                <w:color w:val="auto"/>
                <w:highlight w:val="none"/>
              </w:rPr>
            </w:pPr>
            <w:r>
              <w:rPr>
                <w:rFonts w:hint="eastAsia" w:ascii="黑体" w:eastAsia="黑体"/>
                <w:color w:val="auto"/>
                <w:highlight w:val="none"/>
              </w:rPr>
              <w:t>材料、设备名称</w:t>
            </w:r>
          </w:p>
        </w:tc>
        <w:tc>
          <w:tcPr>
            <w:tcW w:w="794" w:type="dxa"/>
            <w:noWrap w:val="0"/>
            <w:vAlign w:val="top"/>
          </w:tcPr>
          <w:p w14:paraId="4AA4E4D4">
            <w:pPr>
              <w:pStyle w:val="39"/>
              <w:adjustRightInd w:val="0"/>
              <w:snapToGrid w:val="0"/>
              <w:spacing w:line="560" w:lineRule="exact"/>
              <w:rPr>
                <w:rFonts w:hint="eastAsia" w:ascii="黑体" w:eastAsia="黑体"/>
                <w:color w:val="auto"/>
                <w:highlight w:val="none"/>
              </w:rPr>
            </w:pPr>
            <w:r>
              <w:rPr>
                <w:rFonts w:hint="eastAsia" w:ascii="黑体" w:eastAsia="黑体"/>
                <w:color w:val="auto"/>
                <w:highlight w:val="none"/>
              </w:rPr>
              <w:t>品牌 1</w:t>
            </w:r>
          </w:p>
        </w:tc>
        <w:tc>
          <w:tcPr>
            <w:tcW w:w="794" w:type="dxa"/>
            <w:noWrap w:val="0"/>
            <w:vAlign w:val="top"/>
          </w:tcPr>
          <w:p w14:paraId="6FB1B038">
            <w:pPr>
              <w:pStyle w:val="39"/>
              <w:adjustRightInd w:val="0"/>
              <w:snapToGrid w:val="0"/>
              <w:spacing w:line="560" w:lineRule="exact"/>
              <w:rPr>
                <w:rFonts w:hint="eastAsia" w:ascii="黑体" w:eastAsia="黑体"/>
                <w:color w:val="auto"/>
                <w:highlight w:val="none"/>
              </w:rPr>
            </w:pPr>
            <w:r>
              <w:rPr>
                <w:rFonts w:hint="eastAsia" w:ascii="黑体" w:eastAsia="黑体"/>
                <w:color w:val="auto"/>
                <w:highlight w:val="none"/>
              </w:rPr>
              <w:t>品牌 2</w:t>
            </w:r>
          </w:p>
        </w:tc>
        <w:tc>
          <w:tcPr>
            <w:tcW w:w="794" w:type="dxa"/>
            <w:noWrap w:val="0"/>
            <w:vAlign w:val="top"/>
          </w:tcPr>
          <w:p w14:paraId="23B95D3A">
            <w:pPr>
              <w:pStyle w:val="39"/>
              <w:adjustRightInd w:val="0"/>
              <w:snapToGrid w:val="0"/>
              <w:spacing w:line="560" w:lineRule="exact"/>
              <w:rPr>
                <w:rFonts w:hint="eastAsia" w:ascii="黑体" w:eastAsia="黑体"/>
                <w:color w:val="auto"/>
                <w:highlight w:val="none"/>
              </w:rPr>
            </w:pPr>
            <w:r>
              <w:rPr>
                <w:rFonts w:hint="eastAsia" w:ascii="黑体" w:eastAsia="黑体"/>
                <w:color w:val="auto"/>
                <w:highlight w:val="none"/>
              </w:rPr>
              <w:t>品牌 3</w:t>
            </w:r>
          </w:p>
        </w:tc>
        <w:tc>
          <w:tcPr>
            <w:tcW w:w="791" w:type="dxa"/>
            <w:noWrap w:val="0"/>
            <w:vAlign w:val="top"/>
          </w:tcPr>
          <w:p w14:paraId="3CE18D3E">
            <w:pPr>
              <w:pStyle w:val="39"/>
              <w:adjustRightInd w:val="0"/>
              <w:snapToGrid w:val="0"/>
              <w:spacing w:line="560" w:lineRule="exact"/>
              <w:rPr>
                <w:rFonts w:hint="eastAsia" w:ascii="黑体" w:eastAsia="黑体"/>
                <w:color w:val="auto"/>
                <w:highlight w:val="none"/>
              </w:rPr>
            </w:pPr>
            <w:r>
              <w:rPr>
                <w:rFonts w:hint="eastAsia" w:ascii="黑体" w:eastAsia="黑体"/>
                <w:color w:val="auto"/>
                <w:highlight w:val="none"/>
              </w:rPr>
              <w:t>品牌 4</w:t>
            </w:r>
          </w:p>
        </w:tc>
        <w:tc>
          <w:tcPr>
            <w:tcW w:w="635" w:type="dxa"/>
            <w:noWrap w:val="0"/>
            <w:vAlign w:val="top"/>
          </w:tcPr>
          <w:p w14:paraId="2E8E2707">
            <w:pPr>
              <w:pStyle w:val="39"/>
              <w:adjustRightInd w:val="0"/>
              <w:snapToGrid w:val="0"/>
              <w:spacing w:line="560" w:lineRule="exact"/>
              <w:rPr>
                <w:rFonts w:hint="eastAsia" w:ascii="黑体" w:eastAsia="黑体"/>
                <w:color w:val="auto"/>
                <w:highlight w:val="none"/>
              </w:rPr>
            </w:pPr>
            <w:r>
              <w:rPr>
                <w:rFonts w:hint="eastAsia" w:ascii="黑体" w:eastAsia="黑体"/>
                <w:color w:val="auto"/>
                <w:highlight w:val="none"/>
              </w:rPr>
              <w:t>备注</w:t>
            </w:r>
          </w:p>
        </w:tc>
        <w:tc>
          <w:tcPr>
            <w:tcW w:w="1687" w:type="dxa"/>
            <w:noWrap w:val="0"/>
            <w:vAlign w:val="top"/>
          </w:tcPr>
          <w:p w14:paraId="3C92C4EC">
            <w:pPr>
              <w:pStyle w:val="39"/>
              <w:adjustRightInd w:val="0"/>
              <w:snapToGrid w:val="0"/>
              <w:spacing w:line="560" w:lineRule="exact"/>
              <w:rPr>
                <w:rFonts w:hint="eastAsia" w:ascii="黑体" w:eastAsia="黑体"/>
                <w:color w:val="auto"/>
                <w:highlight w:val="none"/>
              </w:rPr>
            </w:pPr>
            <w:r>
              <w:rPr>
                <w:rFonts w:hint="eastAsia" w:ascii="黑体" w:eastAsia="黑体"/>
                <w:color w:val="auto"/>
                <w:highlight w:val="none"/>
              </w:rPr>
              <w:t>投标人选定品牌</w:t>
            </w:r>
          </w:p>
        </w:tc>
      </w:tr>
      <w:tr w14:paraId="6A337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653794EC">
            <w:pPr>
              <w:pStyle w:val="39"/>
              <w:adjustRightInd w:val="0"/>
              <w:snapToGrid w:val="0"/>
              <w:spacing w:line="560" w:lineRule="exact"/>
              <w:jc w:val="center"/>
              <w:rPr>
                <w:color w:val="auto"/>
                <w:highlight w:val="none"/>
              </w:rPr>
            </w:pPr>
            <w:r>
              <w:rPr>
                <w:color w:val="auto"/>
                <w:highlight w:val="none"/>
              </w:rPr>
              <w:t>1</w:t>
            </w:r>
          </w:p>
        </w:tc>
        <w:tc>
          <w:tcPr>
            <w:tcW w:w="1685" w:type="dxa"/>
            <w:noWrap w:val="0"/>
            <w:vAlign w:val="top"/>
          </w:tcPr>
          <w:p w14:paraId="24D42028">
            <w:pPr>
              <w:pStyle w:val="39"/>
              <w:adjustRightInd w:val="0"/>
              <w:snapToGrid w:val="0"/>
              <w:spacing w:line="560" w:lineRule="exact"/>
              <w:rPr>
                <w:rFonts w:ascii="Times New Roman"/>
                <w:color w:val="auto"/>
                <w:sz w:val="20"/>
                <w:highlight w:val="none"/>
              </w:rPr>
            </w:pPr>
          </w:p>
        </w:tc>
        <w:tc>
          <w:tcPr>
            <w:tcW w:w="794" w:type="dxa"/>
            <w:noWrap w:val="0"/>
            <w:vAlign w:val="top"/>
          </w:tcPr>
          <w:p w14:paraId="4F0B3799">
            <w:pPr>
              <w:pStyle w:val="39"/>
              <w:adjustRightInd w:val="0"/>
              <w:snapToGrid w:val="0"/>
              <w:spacing w:line="560" w:lineRule="exact"/>
              <w:rPr>
                <w:rFonts w:ascii="Times New Roman"/>
                <w:color w:val="auto"/>
                <w:sz w:val="20"/>
                <w:highlight w:val="none"/>
              </w:rPr>
            </w:pPr>
          </w:p>
        </w:tc>
        <w:tc>
          <w:tcPr>
            <w:tcW w:w="794" w:type="dxa"/>
            <w:noWrap w:val="0"/>
            <w:vAlign w:val="top"/>
          </w:tcPr>
          <w:p w14:paraId="157B071D">
            <w:pPr>
              <w:pStyle w:val="39"/>
              <w:adjustRightInd w:val="0"/>
              <w:snapToGrid w:val="0"/>
              <w:spacing w:line="560" w:lineRule="exact"/>
              <w:rPr>
                <w:rFonts w:ascii="Times New Roman"/>
                <w:color w:val="auto"/>
                <w:sz w:val="20"/>
                <w:highlight w:val="none"/>
              </w:rPr>
            </w:pPr>
          </w:p>
        </w:tc>
        <w:tc>
          <w:tcPr>
            <w:tcW w:w="794" w:type="dxa"/>
            <w:noWrap w:val="0"/>
            <w:vAlign w:val="top"/>
          </w:tcPr>
          <w:p w14:paraId="3A9C6D89">
            <w:pPr>
              <w:pStyle w:val="39"/>
              <w:adjustRightInd w:val="0"/>
              <w:snapToGrid w:val="0"/>
              <w:spacing w:line="560" w:lineRule="exact"/>
              <w:rPr>
                <w:rFonts w:ascii="Times New Roman"/>
                <w:color w:val="auto"/>
                <w:sz w:val="20"/>
                <w:highlight w:val="none"/>
              </w:rPr>
            </w:pPr>
          </w:p>
        </w:tc>
        <w:tc>
          <w:tcPr>
            <w:tcW w:w="791" w:type="dxa"/>
            <w:noWrap w:val="0"/>
            <w:vAlign w:val="top"/>
          </w:tcPr>
          <w:p w14:paraId="7614727A">
            <w:pPr>
              <w:pStyle w:val="39"/>
              <w:adjustRightInd w:val="0"/>
              <w:snapToGrid w:val="0"/>
              <w:spacing w:line="560" w:lineRule="exact"/>
              <w:rPr>
                <w:rFonts w:ascii="Times New Roman"/>
                <w:color w:val="auto"/>
                <w:sz w:val="20"/>
                <w:highlight w:val="none"/>
              </w:rPr>
            </w:pPr>
          </w:p>
        </w:tc>
        <w:tc>
          <w:tcPr>
            <w:tcW w:w="635" w:type="dxa"/>
            <w:noWrap w:val="0"/>
            <w:vAlign w:val="top"/>
          </w:tcPr>
          <w:p w14:paraId="551368DA">
            <w:pPr>
              <w:pStyle w:val="39"/>
              <w:adjustRightInd w:val="0"/>
              <w:snapToGrid w:val="0"/>
              <w:spacing w:line="560" w:lineRule="exact"/>
              <w:rPr>
                <w:rFonts w:ascii="Times New Roman"/>
                <w:color w:val="auto"/>
                <w:sz w:val="20"/>
                <w:highlight w:val="none"/>
              </w:rPr>
            </w:pPr>
          </w:p>
        </w:tc>
        <w:tc>
          <w:tcPr>
            <w:tcW w:w="1687" w:type="dxa"/>
            <w:noWrap w:val="0"/>
            <w:vAlign w:val="top"/>
          </w:tcPr>
          <w:p w14:paraId="41711263">
            <w:pPr>
              <w:pStyle w:val="39"/>
              <w:adjustRightInd w:val="0"/>
              <w:snapToGrid w:val="0"/>
              <w:spacing w:line="560" w:lineRule="exact"/>
              <w:rPr>
                <w:rFonts w:ascii="Times New Roman"/>
                <w:color w:val="auto"/>
                <w:sz w:val="20"/>
                <w:highlight w:val="none"/>
              </w:rPr>
            </w:pPr>
          </w:p>
        </w:tc>
      </w:tr>
      <w:tr w14:paraId="1CA07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10D0BF6F">
            <w:pPr>
              <w:pStyle w:val="39"/>
              <w:adjustRightInd w:val="0"/>
              <w:snapToGrid w:val="0"/>
              <w:spacing w:line="560" w:lineRule="exact"/>
              <w:jc w:val="center"/>
              <w:rPr>
                <w:color w:val="auto"/>
                <w:highlight w:val="none"/>
              </w:rPr>
            </w:pPr>
            <w:r>
              <w:rPr>
                <w:color w:val="auto"/>
                <w:highlight w:val="none"/>
              </w:rPr>
              <w:t>2</w:t>
            </w:r>
          </w:p>
        </w:tc>
        <w:tc>
          <w:tcPr>
            <w:tcW w:w="1685" w:type="dxa"/>
            <w:noWrap w:val="0"/>
            <w:vAlign w:val="top"/>
          </w:tcPr>
          <w:p w14:paraId="75A394AD">
            <w:pPr>
              <w:pStyle w:val="39"/>
              <w:adjustRightInd w:val="0"/>
              <w:snapToGrid w:val="0"/>
              <w:spacing w:line="560" w:lineRule="exact"/>
              <w:rPr>
                <w:rFonts w:ascii="Times New Roman"/>
                <w:color w:val="auto"/>
                <w:sz w:val="20"/>
                <w:highlight w:val="none"/>
              </w:rPr>
            </w:pPr>
          </w:p>
        </w:tc>
        <w:tc>
          <w:tcPr>
            <w:tcW w:w="794" w:type="dxa"/>
            <w:noWrap w:val="0"/>
            <w:vAlign w:val="top"/>
          </w:tcPr>
          <w:p w14:paraId="3BF83D07">
            <w:pPr>
              <w:pStyle w:val="39"/>
              <w:adjustRightInd w:val="0"/>
              <w:snapToGrid w:val="0"/>
              <w:spacing w:line="560" w:lineRule="exact"/>
              <w:rPr>
                <w:rFonts w:ascii="Times New Roman"/>
                <w:color w:val="auto"/>
                <w:sz w:val="20"/>
                <w:highlight w:val="none"/>
              </w:rPr>
            </w:pPr>
          </w:p>
        </w:tc>
        <w:tc>
          <w:tcPr>
            <w:tcW w:w="794" w:type="dxa"/>
            <w:noWrap w:val="0"/>
            <w:vAlign w:val="top"/>
          </w:tcPr>
          <w:p w14:paraId="2EB3070E">
            <w:pPr>
              <w:pStyle w:val="39"/>
              <w:adjustRightInd w:val="0"/>
              <w:snapToGrid w:val="0"/>
              <w:spacing w:line="560" w:lineRule="exact"/>
              <w:rPr>
                <w:rFonts w:ascii="Times New Roman"/>
                <w:color w:val="auto"/>
                <w:sz w:val="20"/>
                <w:highlight w:val="none"/>
              </w:rPr>
            </w:pPr>
          </w:p>
        </w:tc>
        <w:tc>
          <w:tcPr>
            <w:tcW w:w="794" w:type="dxa"/>
            <w:noWrap w:val="0"/>
            <w:vAlign w:val="top"/>
          </w:tcPr>
          <w:p w14:paraId="70B339F4">
            <w:pPr>
              <w:pStyle w:val="39"/>
              <w:adjustRightInd w:val="0"/>
              <w:snapToGrid w:val="0"/>
              <w:spacing w:line="560" w:lineRule="exact"/>
              <w:rPr>
                <w:rFonts w:ascii="Times New Roman"/>
                <w:color w:val="auto"/>
                <w:sz w:val="20"/>
                <w:highlight w:val="none"/>
              </w:rPr>
            </w:pPr>
          </w:p>
        </w:tc>
        <w:tc>
          <w:tcPr>
            <w:tcW w:w="791" w:type="dxa"/>
            <w:noWrap w:val="0"/>
            <w:vAlign w:val="top"/>
          </w:tcPr>
          <w:p w14:paraId="26ECF02B">
            <w:pPr>
              <w:pStyle w:val="39"/>
              <w:adjustRightInd w:val="0"/>
              <w:snapToGrid w:val="0"/>
              <w:spacing w:line="560" w:lineRule="exact"/>
              <w:rPr>
                <w:rFonts w:ascii="Times New Roman"/>
                <w:color w:val="auto"/>
                <w:sz w:val="20"/>
                <w:highlight w:val="none"/>
              </w:rPr>
            </w:pPr>
          </w:p>
        </w:tc>
        <w:tc>
          <w:tcPr>
            <w:tcW w:w="635" w:type="dxa"/>
            <w:noWrap w:val="0"/>
            <w:vAlign w:val="top"/>
          </w:tcPr>
          <w:p w14:paraId="7780EFF7">
            <w:pPr>
              <w:pStyle w:val="39"/>
              <w:adjustRightInd w:val="0"/>
              <w:snapToGrid w:val="0"/>
              <w:spacing w:line="560" w:lineRule="exact"/>
              <w:rPr>
                <w:rFonts w:ascii="Times New Roman"/>
                <w:color w:val="auto"/>
                <w:sz w:val="20"/>
                <w:highlight w:val="none"/>
              </w:rPr>
            </w:pPr>
          </w:p>
        </w:tc>
        <w:tc>
          <w:tcPr>
            <w:tcW w:w="1687" w:type="dxa"/>
            <w:noWrap w:val="0"/>
            <w:vAlign w:val="top"/>
          </w:tcPr>
          <w:p w14:paraId="3385CEBE">
            <w:pPr>
              <w:pStyle w:val="39"/>
              <w:adjustRightInd w:val="0"/>
              <w:snapToGrid w:val="0"/>
              <w:spacing w:line="560" w:lineRule="exact"/>
              <w:rPr>
                <w:rFonts w:ascii="Times New Roman"/>
                <w:color w:val="auto"/>
                <w:sz w:val="20"/>
                <w:highlight w:val="none"/>
              </w:rPr>
            </w:pPr>
          </w:p>
        </w:tc>
      </w:tr>
      <w:tr w14:paraId="4C140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36" w:type="dxa"/>
            <w:tcBorders>
              <w:bottom w:val="single" w:color="000000" w:sz="6" w:space="0"/>
            </w:tcBorders>
            <w:noWrap w:val="0"/>
            <w:vAlign w:val="top"/>
          </w:tcPr>
          <w:p w14:paraId="1DAC346B">
            <w:pPr>
              <w:pStyle w:val="39"/>
              <w:adjustRightInd w:val="0"/>
              <w:snapToGrid w:val="0"/>
              <w:spacing w:line="560" w:lineRule="exact"/>
              <w:jc w:val="center"/>
              <w:rPr>
                <w:color w:val="auto"/>
                <w:highlight w:val="none"/>
              </w:rPr>
            </w:pPr>
            <w:r>
              <w:rPr>
                <w:color w:val="auto"/>
                <w:highlight w:val="none"/>
              </w:rPr>
              <w:t>3</w:t>
            </w:r>
          </w:p>
        </w:tc>
        <w:tc>
          <w:tcPr>
            <w:tcW w:w="1685" w:type="dxa"/>
            <w:tcBorders>
              <w:bottom w:val="single" w:color="000000" w:sz="6" w:space="0"/>
            </w:tcBorders>
            <w:noWrap w:val="0"/>
            <w:vAlign w:val="top"/>
          </w:tcPr>
          <w:p w14:paraId="3FFFC407">
            <w:pPr>
              <w:pStyle w:val="39"/>
              <w:adjustRightInd w:val="0"/>
              <w:snapToGrid w:val="0"/>
              <w:spacing w:line="560" w:lineRule="exact"/>
              <w:rPr>
                <w:rFonts w:ascii="Times New Roman"/>
                <w:color w:val="auto"/>
                <w:sz w:val="20"/>
                <w:highlight w:val="none"/>
              </w:rPr>
            </w:pPr>
          </w:p>
        </w:tc>
        <w:tc>
          <w:tcPr>
            <w:tcW w:w="794" w:type="dxa"/>
            <w:tcBorders>
              <w:bottom w:val="single" w:color="000000" w:sz="6" w:space="0"/>
            </w:tcBorders>
            <w:noWrap w:val="0"/>
            <w:vAlign w:val="top"/>
          </w:tcPr>
          <w:p w14:paraId="52B89033">
            <w:pPr>
              <w:pStyle w:val="39"/>
              <w:adjustRightInd w:val="0"/>
              <w:snapToGrid w:val="0"/>
              <w:spacing w:line="560" w:lineRule="exact"/>
              <w:rPr>
                <w:rFonts w:ascii="Times New Roman"/>
                <w:color w:val="auto"/>
                <w:sz w:val="20"/>
                <w:highlight w:val="none"/>
              </w:rPr>
            </w:pPr>
          </w:p>
        </w:tc>
        <w:tc>
          <w:tcPr>
            <w:tcW w:w="794" w:type="dxa"/>
            <w:tcBorders>
              <w:bottom w:val="single" w:color="000000" w:sz="6" w:space="0"/>
            </w:tcBorders>
            <w:noWrap w:val="0"/>
            <w:vAlign w:val="top"/>
          </w:tcPr>
          <w:p w14:paraId="4CFA3177">
            <w:pPr>
              <w:pStyle w:val="39"/>
              <w:adjustRightInd w:val="0"/>
              <w:snapToGrid w:val="0"/>
              <w:spacing w:line="560" w:lineRule="exact"/>
              <w:rPr>
                <w:rFonts w:ascii="Times New Roman"/>
                <w:color w:val="auto"/>
                <w:sz w:val="20"/>
                <w:highlight w:val="none"/>
              </w:rPr>
            </w:pPr>
          </w:p>
        </w:tc>
        <w:tc>
          <w:tcPr>
            <w:tcW w:w="794" w:type="dxa"/>
            <w:tcBorders>
              <w:bottom w:val="single" w:color="000000" w:sz="6" w:space="0"/>
            </w:tcBorders>
            <w:noWrap w:val="0"/>
            <w:vAlign w:val="top"/>
          </w:tcPr>
          <w:p w14:paraId="0A3CE799">
            <w:pPr>
              <w:pStyle w:val="39"/>
              <w:adjustRightInd w:val="0"/>
              <w:snapToGrid w:val="0"/>
              <w:spacing w:line="560" w:lineRule="exact"/>
              <w:rPr>
                <w:rFonts w:ascii="Times New Roman"/>
                <w:color w:val="auto"/>
                <w:sz w:val="20"/>
                <w:highlight w:val="none"/>
              </w:rPr>
            </w:pPr>
          </w:p>
        </w:tc>
        <w:tc>
          <w:tcPr>
            <w:tcW w:w="791" w:type="dxa"/>
            <w:tcBorders>
              <w:bottom w:val="single" w:color="000000" w:sz="6" w:space="0"/>
            </w:tcBorders>
            <w:noWrap w:val="0"/>
            <w:vAlign w:val="top"/>
          </w:tcPr>
          <w:p w14:paraId="00F71400">
            <w:pPr>
              <w:pStyle w:val="39"/>
              <w:adjustRightInd w:val="0"/>
              <w:snapToGrid w:val="0"/>
              <w:spacing w:line="560" w:lineRule="exact"/>
              <w:rPr>
                <w:rFonts w:ascii="Times New Roman"/>
                <w:color w:val="auto"/>
                <w:sz w:val="20"/>
                <w:highlight w:val="none"/>
              </w:rPr>
            </w:pPr>
          </w:p>
        </w:tc>
        <w:tc>
          <w:tcPr>
            <w:tcW w:w="635" w:type="dxa"/>
            <w:tcBorders>
              <w:bottom w:val="single" w:color="000000" w:sz="6" w:space="0"/>
            </w:tcBorders>
            <w:noWrap w:val="0"/>
            <w:vAlign w:val="top"/>
          </w:tcPr>
          <w:p w14:paraId="5B349140">
            <w:pPr>
              <w:pStyle w:val="39"/>
              <w:adjustRightInd w:val="0"/>
              <w:snapToGrid w:val="0"/>
              <w:spacing w:line="560" w:lineRule="exact"/>
              <w:rPr>
                <w:rFonts w:ascii="Times New Roman"/>
                <w:color w:val="auto"/>
                <w:sz w:val="20"/>
                <w:highlight w:val="none"/>
              </w:rPr>
            </w:pPr>
          </w:p>
        </w:tc>
        <w:tc>
          <w:tcPr>
            <w:tcW w:w="1687" w:type="dxa"/>
            <w:tcBorders>
              <w:bottom w:val="single" w:color="000000" w:sz="6" w:space="0"/>
            </w:tcBorders>
            <w:noWrap w:val="0"/>
            <w:vAlign w:val="top"/>
          </w:tcPr>
          <w:p w14:paraId="279A3732">
            <w:pPr>
              <w:pStyle w:val="39"/>
              <w:adjustRightInd w:val="0"/>
              <w:snapToGrid w:val="0"/>
              <w:spacing w:line="560" w:lineRule="exact"/>
              <w:rPr>
                <w:rFonts w:ascii="Times New Roman"/>
                <w:color w:val="auto"/>
                <w:sz w:val="20"/>
                <w:highlight w:val="none"/>
              </w:rPr>
            </w:pPr>
          </w:p>
        </w:tc>
      </w:tr>
      <w:tr w14:paraId="3DC47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36" w:type="dxa"/>
            <w:tcBorders>
              <w:top w:val="single" w:color="000000" w:sz="6" w:space="0"/>
            </w:tcBorders>
            <w:noWrap w:val="0"/>
            <w:vAlign w:val="top"/>
          </w:tcPr>
          <w:p w14:paraId="52633A6D">
            <w:pPr>
              <w:pStyle w:val="39"/>
              <w:adjustRightInd w:val="0"/>
              <w:snapToGrid w:val="0"/>
              <w:spacing w:line="560" w:lineRule="exact"/>
              <w:jc w:val="center"/>
              <w:rPr>
                <w:color w:val="auto"/>
                <w:highlight w:val="none"/>
              </w:rPr>
            </w:pPr>
            <w:r>
              <w:rPr>
                <w:color w:val="auto"/>
                <w:highlight w:val="none"/>
              </w:rPr>
              <w:t>4</w:t>
            </w:r>
          </w:p>
        </w:tc>
        <w:tc>
          <w:tcPr>
            <w:tcW w:w="1685" w:type="dxa"/>
            <w:tcBorders>
              <w:top w:val="single" w:color="000000" w:sz="6" w:space="0"/>
            </w:tcBorders>
            <w:noWrap w:val="0"/>
            <w:vAlign w:val="top"/>
          </w:tcPr>
          <w:p w14:paraId="0A4213B9">
            <w:pPr>
              <w:pStyle w:val="39"/>
              <w:adjustRightInd w:val="0"/>
              <w:snapToGrid w:val="0"/>
              <w:spacing w:line="560" w:lineRule="exact"/>
              <w:rPr>
                <w:rFonts w:ascii="Times New Roman"/>
                <w:color w:val="auto"/>
                <w:sz w:val="20"/>
                <w:highlight w:val="none"/>
              </w:rPr>
            </w:pPr>
          </w:p>
        </w:tc>
        <w:tc>
          <w:tcPr>
            <w:tcW w:w="794" w:type="dxa"/>
            <w:tcBorders>
              <w:top w:val="single" w:color="000000" w:sz="6" w:space="0"/>
            </w:tcBorders>
            <w:noWrap w:val="0"/>
            <w:vAlign w:val="top"/>
          </w:tcPr>
          <w:p w14:paraId="3AB47EB2">
            <w:pPr>
              <w:pStyle w:val="39"/>
              <w:adjustRightInd w:val="0"/>
              <w:snapToGrid w:val="0"/>
              <w:spacing w:line="560" w:lineRule="exact"/>
              <w:rPr>
                <w:rFonts w:ascii="Times New Roman"/>
                <w:color w:val="auto"/>
                <w:sz w:val="20"/>
                <w:highlight w:val="none"/>
              </w:rPr>
            </w:pPr>
          </w:p>
        </w:tc>
        <w:tc>
          <w:tcPr>
            <w:tcW w:w="794" w:type="dxa"/>
            <w:tcBorders>
              <w:top w:val="single" w:color="000000" w:sz="6" w:space="0"/>
            </w:tcBorders>
            <w:noWrap w:val="0"/>
            <w:vAlign w:val="top"/>
          </w:tcPr>
          <w:p w14:paraId="4D847318">
            <w:pPr>
              <w:pStyle w:val="39"/>
              <w:adjustRightInd w:val="0"/>
              <w:snapToGrid w:val="0"/>
              <w:spacing w:line="560" w:lineRule="exact"/>
              <w:rPr>
                <w:rFonts w:ascii="Times New Roman"/>
                <w:color w:val="auto"/>
                <w:sz w:val="20"/>
                <w:highlight w:val="none"/>
              </w:rPr>
            </w:pPr>
          </w:p>
        </w:tc>
        <w:tc>
          <w:tcPr>
            <w:tcW w:w="794" w:type="dxa"/>
            <w:tcBorders>
              <w:top w:val="single" w:color="000000" w:sz="6" w:space="0"/>
            </w:tcBorders>
            <w:noWrap w:val="0"/>
            <w:vAlign w:val="top"/>
          </w:tcPr>
          <w:p w14:paraId="68D82D27">
            <w:pPr>
              <w:pStyle w:val="39"/>
              <w:adjustRightInd w:val="0"/>
              <w:snapToGrid w:val="0"/>
              <w:spacing w:line="560" w:lineRule="exact"/>
              <w:rPr>
                <w:rFonts w:ascii="Times New Roman"/>
                <w:color w:val="auto"/>
                <w:sz w:val="20"/>
                <w:highlight w:val="none"/>
              </w:rPr>
            </w:pPr>
          </w:p>
        </w:tc>
        <w:tc>
          <w:tcPr>
            <w:tcW w:w="791" w:type="dxa"/>
            <w:tcBorders>
              <w:top w:val="single" w:color="000000" w:sz="6" w:space="0"/>
            </w:tcBorders>
            <w:noWrap w:val="0"/>
            <w:vAlign w:val="top"/>
          </w:tcPr>
          <w:p w14:paraId="0D74E7EA">
            <w:pPr>
              <w:pStyle w:val="39"/>
              <w:adjustRightInd w:val="0"/>
              <w:snapToGrid w:val="0"/>
              <w:spacing w:line="560" w:lineRule="exact"/>
              <w:rPr>
                <w:rFonts w:ascii="Times New Roman"/>
                <w:color w:val="auto"/>
                <w:sz w:val="20"/>
                <w:highlight w:val="none"/>
              </w:rPr>
            </w:pPr>
          </w:p>
        </w:tc>
        <w:tc>
          <w:tcPr>
            <w:tcW w:w="635" w:type="dxa"/>
            <w:tcBorders>
              <w:top w:val="single" w:color="000000" w:sz="6" w:space="0"/>
            </w:tcBorders>
            <w:noWrap w:val="0"/>
            <w:vAlign w:val="top"/>
          </w:tcPr>
          <w:p w14:paraId="1FD77E5A">
            <w:pPr>
              <w:pStyle w:val="39"/>
              <w:adjustRightInd w:val="0"/>
              <w:snapToGrid w:val="0"/>
              <w:spacing w:line="560" w:lineRule="exact"/>
              <w:rPr>
                <w:rFonts w:ascii="Times New Roman"/>
                <w:color w:val="auto"/>
                <w:sz w:val="20"/>
                <w:highlight w:val="none"/>
              </w:rPr>
            </w:pPr>
          </w:p>
        </w:tc>
        <w:tc>
          <w:tcPr>
            <w:tcW w:w="1687" w:type="dxa"/>
            <w:tcBorders>
              <w:top w:val="single" w:color="000000" w:sz="6" w:space="0"/>
            </w:tcBorders>
            <w:noWrap w:val="0"/>
            <w:vAlign w:val="top"/>
          </w:tcPr>
          <w:p w14:paraId="4DA630F0">
            <w:pPr>
              <w:pStyle w:val="39"/>
              <w:adjustRightInd w:val="0"/>
              <w:snapToGrid w:val="0"/>
              <w:spacing w:line="560" w:lineRule="exact"/>
              <w:rPr>
                <w:rFonts w:ascii="Times New Roman"/>
                <w:color w:val="auto"/>
                <w:sz w:val="20"/>
                <w:highlight w:val="none"/>
              </w:rPr>
            </w:pPr>
          </w:p>
        </w:tc>
      </w:tr>
      <w:tr w14:paraId="0814F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3CF2A41B">
            <w:pPr>
              <w:pStyle w:val="39"/>
              <w:adjustRightInd w:val="0"/>
              <w:snapToGrid w:val="0"/>
              <w:spacing w:line="560" w:lineRule="exact"/>
              <w:jc w:val="center"/>
              <w:rPr>
                <w:color w:val="auto"/>
                <w:highlight w:val="none"/>
              </w:rPr>
            </w:pPr>
            <w:r>
              <w:rPr>
                <w:color w:val="auto"/>
                <w:highlight w:val="none"/>
              </w:rPr>
              <w:t>5</w:t>
            </w:r>
          </w:p>
        </w:tc>
        <w:tc>
          <w:tcPr>
            <w:tcW w:w="1685" w:type="dxa"/>
            <w:noWrap w:val="0"/>
            <w:vAlign w:val="top"/>
          </w:tcPr>
          <w:p w14:paraId="246C979F">
            <w:pPr>
              <w:pStyle w:val="39"/>
              <w:adjustRightInd w:val="0"/>
              <w:snapToGrid w:val="0"/>
              <w:spacing w:line="560" w:lineRule="exact"/>
              <w:rPr>
                <w:rFonts w:ascii="Times New Roman"/>
                <w:color w:val="auto"/>
                <w:sz w:val="20"/>
                <w:highlight w:val="none"/>
              </w:rPr>
            </w:pPr>
          </w:p>
        </w:tc>
        <w:tc>
          <w:tcPr>
            <w:tcW w:w="794" w:type="dxa"/>
            <w:noWrap w:val="0"/>
            <w:vAlign w:val="top"/>
          </w:tcPr>
          <w:p w14:paraId="1538EF86">
            <w:pPr>
              <w:pStyle w:val="39"/>
              <w:adjustRightInd w:val="0"/>
              <w:snapToGrid w:val="0"/>
              <w:spacing w:line="560" w:lineRule="exact"/>
              <w:rPr>
                <w:rFonts w:ascii="Times New Roman"/>
                <w:color w:val="auto"/>
                <w:sz w:val="20"/>
                <w:highlight w:val="none"/>
              </w:rPr>
            </w:pPr>
          </w:p>
        </w:tc>
        <w:tc>
          <w:tcPr>
            <w:tcW w:w="794" w:type="dxa"/>
            <w:noWrap w:val="0"/>
            <w:vAlign w:val="top"/>
          </w:tcPr>
          <w:p w14:paraId="5E221A02">
            <w:pPr>
              <w:pStyle w:val="39"/>
              <w:adjustRightInd w:val="0"/>
              <w:snapToGrid w:val="0"/>
              <w:spacing w:line="560" w:lineRule="exact"/>
              <w:rPr>
                <w:rFonts w:ascii="Times New Roman"/>
                <w:color w:val="auto"/>
                <w:sz w:val="20"/>
                <w:highlight w:val="none"/>
              </w:rPr>
            </w:pPr>
          </w:p>
        </w:tc>
        <w:tc>
          <w:tcPr>
            <w:tcW w:w="794" w:type="dxa"/>
            <w:noWrap w:val="0"/>
            <w:vAlign w:val="top"/>
          </w:tcPr>
          <w:p w14:paraId="2708420B">
            <w:pPr>
              <w:pStyle w:val="39"/>
              <w:adjustRightInd w:val="0"/>
              <w:snapToGrid w:val="0"/>
              <w:spacing w:line="560" w:lineRule="exact"/>
              <w:rPr>
                <w:rFonts w:ascii="Times New Roman"/>
                <w:color w:val="auto"/>
                <w:sz w:val="20"/>
                <w:highlight w:val="none"/>
              </w:rPr>
            </w:pPr>
          </w:p>
        </w:tc>
        <w:tc>
          <w:tcPr>
            <w:tcW w:w="791" w:type="dxa"/>
            <w:noWrap w:val="0"/>
            <w:vAlign w:val="top"/>
          </w:tcPr>
          <w:p w14:paraId="524FAFB9">
            <w:pPr>
              <w:pStyle w:val="39"/>
              <w:adjustRightInd w:val="0"/>
              <w:snapToGrid w:val="0"/>
              <w:spacing w:line="560" w:lineRule="exact"/>
              <w:rPr>
                <w:rFonts w:ascii="Times New Roman"/>
                <w:color w:val="auto"/>
                <w:sz w:val="20"/>
                <w:highlight w:val="none"/>
              </w:rPr>
            </w:pPr>
          </w:p>
        </w:tc>
        <w:tc>
          <w:tcPr>
            <w:tcW w:w="635" w:type="dxa"/>
            <w:noWrap w:val="0"/>
            <w:vAlign w:val="top"/>
          </w:tcPr>
          <w:p w14:paraId="10F5EE6A">
            <w:pPr>
              <w:pStyle w:val="39"/>
              <w:adjustRightInd w:val="0"/>
              <w:snapToGrid w:val="0"/>
              <w:spacing w:line="560" w:lineRule="exact"/>
              <w:rPr>
                <w:rFonts w:ascii="Times New Roman"/>
                <w:color w:val="auto"/>
                <w:sz w:val="20"/>
                <w:highlight w:val="none"/>
              </w:rPr>
            </w:pPr>
          </w:p>
        </w:tc>
        <w:tc>
          <w:tcPr>
            <w:tcW w:w="1687" w:type="dxa"/>
            <w:noWrap w:val="0"/>
            <w:vAlign w:val="top"/>
          </w:tcPr>
          <w:p w14:paraId="618D62E0">
            <w:pPr>
              <w:pStyle w:val="39"/>
              <w:adjustRightInd w:val="0"/>
              <w:snapToGrid w:val="0"/>
              <w:spacing w:line="560" w:lineRule="exact"/>
              <w:rPr>
                <w:rFonts w:ascii="Times New Roman"/>
                <w:color w:val="auto"/>
                <w:sz w:val="20"/>
                <w:highlight w:val="none"/>
              </w:rPr>
            </w:pPr>
          </w:p>
        </w:tc>
      </w:tr>
      <w:tr w14:paraId="008C4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6728BF4B">
            <w:pPr>
              <w:pStyle w:val="39"/>
              <w:adjustRightInd w:val="0"/>
              <w:snapToGrid w:val="0"/>
              <w:spacing w:line="560" w:lineRule="exact"/>
              <w:jc w:val="center"/>
              <w:rPr>
                <w:color w:val="auto"/>
                <w:highlight w:val="none"/>
              </w:rPr>
            </w:pPr>
            <w:r>
              <w:rPr>
                <w:color w:val="auto"/>
                <w:highlight w:val="none"/>
              </w:rPr>
              <w:t>6</w:t>
            </w:r>
          </w:p>
        </w:tc>
        <w:tc>
          <w:tcPr>
            <w:tcW w:w="1685" w:type="dxa"/>
            <w:noWrap w:val="0"/>
            <w:vAlign w:val="top"/>
          </w:tcPr>
          <w:p w14:paraId="700449D0">
            <w:pPr>
              <w:pStyle w:val="39"/>
              <w:adjustRightInd w:val="0"/>
              <w:snapToGrid w:val="0"/>
              <w:spacing w:line="560" w:lineRule="exact"/>
              <w:rPr>
                <w:rFonts w:ascii="Times New Roman"/>
                <w:color w:val="auto"/>
                <w:sz w:val="20"/>
                <w:highlight w:val="none"/>
              </w:rPr>
            </w:pPr>
          </w:p>
        </w:tc>
        <w:tc>
          <w:tcPr>
            <w:tcW w:w="794" w:type="dxa"/>
            <w:noWrap w:val="0"/>
            <w:vAlign w:val="top"/>
          </w:tcPr>
          <w:p w14:paraId="35BFDEF9">
            <w:pPr>
              <w:pStyle w:val="39"/>
              <w:adjustRightInd w:val="0"/>
              <w:snapToGrid w:val="0"/>
              <w:spacing w:line="560" w:lineRule="exact"/>
              <w:rPr>
                <w:rFonts w:ascii="Times New Roman"/>
                <w:color w:val="auto"/>
                <w:sz w:val="20"/>
                <w:highlight w:val="none"/>
              </w:rPr>
            </w:pPr>
          </w:p>
        </w:tc>
        <w:tc>
          <w:tcPr>
            <w:tcW w:w="794" w:type="dxa"/>
            <w:noWrap w:val="0"/>
            <w:vAlign w:val="top"/>
          </w:tcPr>
          <w:p w14:paraId="426C3E57">
            <w:pPr>
              <w:pStyle w:val="39"/>
              <w:adjustRightInd w:val="0"/>
              <w:snapToGrid w:val="0"/>
              <w:spacing w:line="560" w:lineRule="exact"/>
              <w:rPr>
                <w:rFonts w:ascii="Times New Roman"/>
                <w:color w:val="auto"/>
                <w:sz w:val="20"/>
                <w:highlight w:val="none"/>
              </w:rPr>
            </w:pPr>
          </w:p>
        </w:tc>
        <w:tc>
          <w:tcPr>
            <w:tcW w:w="794" w:type="dxa"/>
            <w:noWrap w:val="0"/>
            <w:vAlign w:val="top"/>
          </w:tcPr>
          <w:p w14:paraId="14FF6521">
            <w:pPr>
              <w:pStyle w:val="39"/>
              <w:adjustRightInd w:val="0"/>
              <w:snapToGrid w:val="0"/>
              <w:spacing w:line="560" w:lineRule="exact"/>
              <w:rPr>
                <w:rFonts w:ascii="Times New Roman"/>
                <w:color w:val="auto"/>
                <w:sz w:val="20"/>
                <w:highlight w:val="none"/>
              </w:rPr>
            </w:pPr>
          </w:p>
        </w:tc>
        <w:tc>
          <w:tcPr>
            <w:tcW w:w="791" w:type="dxa"/>
            <w:noWrap w:val="0"/>
            <w:vAlign w:val="top"/>
          </w:tcPr>
          <w:p w14:paraId="77139BEA">
            <w:pPr>
              <w:pStyle w:val="39"/>
              <w:adjustRightInd w:val="0"/>
              <w:snapToGrid w:val="0"/>
              <w:spacing w:line="560" w:lineRule="exact"/>
              <w:rPr>
                <w:rFonts w:ascii="Times New Roman"/>
                <w:color w:val="auto"/>
                <w:sz w:val="20"/>
                <w:highlight w:val="none"/>
              </w:rPr>
            </w:pPr>
          </w:p>
        </w:tc>
        <w:tc>
          <w:tcPr>
            <w:tcW w:w="635" w:type="dxa"/>
            <w:noWrap w:val="0"/>
            <w:vAlign w:val="top"/>
          </w:tcPr>
          <w:p w14:paraId="08924835">
            <w:pPr>
              <w:pStyle w:val="39"/>
              <w:adjustRightInd w:val="0"/>
              <w:snapToGrid w:val="0"/>
              <w:spacing w:line="560" w:lineRule="exact"/>
              <w:rPr>
                <w:rFonts w:ascii="Times New Roman"/>
                <w:color w:val="auto"/>
                <w:sz w:val="20"/>
                <w:highlight w:val="none"/>
              </w:rPr>
            </w:pPr>
          </w:p>
        </w:tc>
        <w:tc>
          <w:tcPr>
            <w:tcW w:w="1687" w:type="dxa"/>
            <w:noWrap w:val="0"/>
            <w:vAlign w:val="top"/>
          </w:tcPr>
          <w:p w14:paraId="608A7937">
            <w:pPr>
              <w:pStyle w:val="39"/>
              <w:adjustRightInd w:val="0"/>
              <w:snapToGrid w:val="0"/>
              <w:spacing w:line="560" w:lineRule="exact"/>
              <w:rPr>
                <w:rFonts w:ascii="Times New Roman"/>
                <w:color w:val="auto"/>
                <w:sz w:val="20"/>
                <w:highlight w:val="none"/>
              </w:rPr>
            </w:pPr>
          </w:p>
        </w:tc>
      </w:tr>
      <w:tr w14:paraId="3F6A1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5270D50A">
            <w:pPr>
              <w:pStyle w:val="39"/>
              <w:adjustRightInd w:val="0"/>
              <w:snapToGrid w:val="0"/>
              <w:spacing w:line="560" w:lineRule="exact"/>
              <w:rPr>
                <w:rFonts w:ascii="Times New Roman"/>
                <w:color w:val="auto"/>
                <w:sz w:val="20"/>
                <w:highlight w:val="none"/>
              </w:rPr>
            </w:pPr>
          </w:p>
        </w:tc>
        <w:tc>
          <w:tcPr>
            <w:tcW w:w="1685" w:type="dxa"/>
            <w:noWrap w:val="0"/>
            <w:vAlign w:val="top"/>
          </w:tcPr>
          <w:p w14:paraId="5F4F28BA">
            <w:pPr>
              <w:pStyle w:val="39"/>
              <w:adjustRightInd w:val="0"/>
              <w:snapToGrid w:val="0"/>
              <w:spacing w:line="560" w:lineRule="exact"/>
              <w:rPr>
                <w:rFonts w:ascii="Times New Roman"/>
                <w:color w:val="auto"/>
                <w:sz w:val="20"/>
                <w:highlight w:val="none"/>
              </w:rPr>
            </w:pPr>
          </w:p>
        </w:tc>
        <w:tc>
          <w:tcPr>
            <w:tcW w:w="794" w:type="dxa"/>
            <w:noWrap w:val="0"/>
            <w:vAlign w:val="top"/>
          </w:tcPr>
          <w:p w14:paraId="5EC56F14">
            <w:pPr>
              <w:pStyle w:val="39"/>
              <w:adjustRightInd w:val="0"/>
              <w:snapToGrid w:val="0"/>
              <w:spacing w:line="560" w:lineRule="exact"/>
              <w:rPr>
                <w:rFonts w:ascii="Times New Roman"/>
                <w:color w:val="auto"/>
                <w:sz w:val="20"/>
                <w:highlight w:val="none"/>
              </w:rPr>
            </w:pPr>
          </w:p>
        </w:tc>
        <w:tc>
          <w:tcPr>
            <w:tcW w:w="794" w:type="dxa"/>
            <w:noWrap w:val="0"/>
            <w:vAlign w:val="top"/>
          </w:tcPr>
          <w:p w14:paraId="6F2D5B4B">
            <w:pPr>
              <w:pStyle w:val="39"/>
              <w:adjustRightInd w:val="0"/>
              <w:snapToGrid w:val="0"/>
              <w:spacing w:line="560" w:lineRule="exact"/>
              <w:rPr>
                <w:rFonts w:ascii="Times New Roman"/>
                <w:color w:val="auto"/>
                <w:sz w:val="20"/>
                <w:highlight w:val="none"/>
              </w:rPr>
            </w:pPr>
          </w:p>
        </w:tc>
        <w:tc>
          <w:tcPr>
            <w:tcW w:w="794" w:type="dxa"/>
            <w:noWrap w:val="0"/>
            <w:vAlign w:val="top"/>
          </w:tcPr>
          <w:p w14:paraId="359D325C">
            <w:pPr>
              <w:pStyle w:val="39"/>
              <w:adjustRightInd w:val="0"/>
              <w:snapToGrid w:val="0"/>
              <w:spacing w:line="560" w:lineRule="exact"/>
              <w:rPr>
                <w:rFonts w:ascii="Times New Roman"/>
                <w:color w:val="auto"/>
                <w:sz w:val="20"/>
                <w:highlight w:val="none"/>
              </w:rPr>
            </w:pPr>
          </w:p>
        </w:tc>
        <w:tc>
          <w:tcPr>
            <w:tcW w:w="791" w:type="dxa"/>
            <w:noWrap w:val="0"/>
            <w:vAlign w:val="top"/>
          </w:tcPr>
          <w:p w14:paraId="2F5EA1C2">
            <w:pPr>
              <w:pStyle w:val="39"/>
              <w:adjustRightInd w:val="0"/>
              <w:snapToGrid w:val="0"/>
              <w:spacing w:line="560" w:lineRule="exact"/>
              <w:rPr>
                <w:rFonts w:ascii="Times New Roman"/>
                <w:color w:val="auto"/>
                <w:sz w:val="20"/>
                <w:highlight w:val="none"/>
              </w:rPr>
            </w:pPr>
          </w:p>
        </w:tc>
        <w:tc>
          <w:tcPr>
            <w:tcW w:w="635" w:type="dxa"/>
            <w:noWrap w:val="0"/>
            <w:vAlign w:val="top"/>
          </w:tcPr>
          <w:p w14:paraId="4D3CFA09">
            <w:pPr>
              <w:pStyle w:val="39"/>
              <w:adjustRightInd w:val="0"/>
              <w:snapToGrid w:val="0"/>
              <w:spacing w:line="560" w:lineRule="exact"/>
              <w:rPr>
                <w:rFonts w:ascii="Times New Roman"/>
                <w:color w:val="auto"/>
                <w:sz w:val="20"/>
                <w:highlight w:val="none"/>
              </w:rPr>
            </w:pPr>
          </w:p>
        </w:tc>
        <w:tc>
          <w:tcPr>
            <w:tcW w:w="1687" w:type="dxa"/>
            <w:noWrap w:val="0"/>
            <w:vAlign w:val="top"/>
          </w:tcPr>
          <w:p w14:paraId="169782A3">
            <w:pPr>
              <w:pStyle w:val="39"/>
              <w:adjustRightInd w:val="0"/>
              <w:snapToGrid w:val="0"/>
              <w:spacing w:line="560" w:lineRule="exact"/>
              <w:rPr>
                <w:rFonts w:ascii="Times New Roman"/>
                <w:color w:val="auto"/>
                <w:sz w:val="20"/>
                <w:highlight w:val="none"/>
              </w:rPr>
            </w:pPr>
          </w:p>
        </w:tc>
      </w:tr>
      <w:tr w14:paraId="50D7C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5A78970F">
            <w:pPr>
              <w:pStyle w:val="39"/>
              <w:adjustRightInd w:val="0"/>
              <w:snapToGrid w:val="0"/>
              <w:spacing w:line="560" w:lineRule="exact"/>
              <w:rPr>
                <w:rFonts w:ascii="Times New Roman"/>
                <w:color w:val="auto"/>
                <w:sz w:val="20"/>
                <w:highlight w:val="none"/>
              </w:rPr>
            </w:pPr>
          </w:p>
        </w:tc>
        <w:tc>
          <w:tcPr>
            <w:tcW w:w="1685" w:type="dxa"/>
            <w:noWrap w:val="0"/>
            <w:vAlign w:val="top"/>
          </w:tcPr>
          <w:p w14:paraId="7AC95B23">
            <w:pPr>
              <w:pStyle w:val="39"/>
              <w:adjustRightInd w:val="0"/>
              <w:snapToGrid w:val="0"/>
              <w:spacing w:line="560" w:lineRule="exact"/>
              <w:rPr>
                <w:rFonts w:ascii="Times New Roman"/>
                <w:color w:val="auto"/>
                <w:sz w:val="20"/>
                <w:highlight w:val="none"/>
              </w:rPr>
            </w:pPr>
          </w:p>
        </w:tc>
        <w:tc>
          <w:tcPr>
            <w:tcW w:w="794" w:type="dxa"/>
            <w:noWrap w:val="0"/>
            <w:vAlign w:val="top"/>
          </w:tcPr>
          <w:p w14:paraId="7BD853EC">
            <w:pPr>
              <w:pStyle w:val="39"/>
              <w:adjustRightInd w:val="0"/>
              <w:snapToGrid w:val="0"/>
              <w:spacing w:line="560" w:lineRule="exact"/>
              <w:rPr>
                <w:rFonts w:ascii="Times New Roman"/>
                <w:color w:val="auto"/>
                <w:sz w:val="20"/>
                <w:highlight w:val="none"/>
              </w:rPr>
            </w:pPr>
          </w:p>
        </w:tc>
        <w:tc>
          <w:tcPr>
            <w:tcW w:w="794" w:type="dxa"/>
            <w:noWrap w:val="0"/>
            <w:vAlign w:val="top"/>
          </w:tcPr>
          <w:p w14:paraId="1C170E4A">
            <w:pPr>
              <w:pStyle w:val="39"/>
              <w:adjustRightInd w:val="0"/>
              <w:snapToGrid w:val="0"/>
              <w:spacing w:line="560" w:lineRule="exact"/>
              <w:rPr>
                <w:rFonts w:ascii="Times New Roman"/>
                <w:color w:val="auto"/>
                <w:sz w:val="20"/>
                <w:highlight w:val="none"/>
              </w:rPr>
            </w:pPr>
          </w:p>
        </w:tc>
        <w:tc>
          <w:tcPr>
            <w:tcW w:w="794" w:type="dxa"/>
            <w:noWrap w:val="0"/>
            <w:vAlign w:val="top"/>
          </w:tcPr>
          <w:p w14:paraId="7D08CA55">
            <w:pPr>
              <w:pStyle w:val="39"/>
              <w:adjustRightInd w:val="0"/>
              <w:snapToGrid w:val="0"/>
              <w:spacing w:line="560" w:lineRule="exact"/>
              <w:rPr>
                <w:rFonts w:ascii="Times New Roman"/>
                <w:color w:val="auto"/>
                <w:sz w:val="20"/>
                <w:highlight w:val="none"/>
              </w:rPr>
            </w:pPr>
          </w:p>
        </w:tc>
        <w:tc>
          <w:tcPr>
            <w:tcW w:w="791" w:type="dxa"/>
            <w:noWrap w:val="0"/>
            <w:vAlign w:val="top"/>
          </w:tcPr>
          <w:p w14:paraId="019CDA65">
            <w:pPr>
              <w:pStyle w:val="39"/>
              <w:adjustRightInd w:val="0"/>
              <w:snapToGrid w:val="0"/>
              <w:spacing w:line="560" w:lineRule="exact"/>
              <w:rPr>
                <w:rFonts w:ascii="Times New Roman"/>
                <w:color w:val="auto"/>
                <w:sz w:val="20"/>
                <w:highlight w:val="none"/>
              </w:rPr>
            </w:pPr>
          </w:p>
        </w:tc>
        <w:tc>
          <w:tcPr>
            <w:tcW w:w="635" w:type="dxa"/>
            <w:noWrap w:val="0"/>
            <w:vAlign w:val="top"/>
          </w:tcPr>
          <w:p w14:paraId="0B3CB5BB">
            <w:pPr>
              <w:pStyle w:val="39"/>
              <w:adjustRightInd w:val="0"/>
              <w:snapToGrid w:val="0"/>
              <w:spacing w:line="560" w:lineRule="exact"/>
              <w:rPr>
                <w:rFonts w:ascii="Times New Roman"/>
                <w:color w:val="auto"/>
                <w:sz w:val="20"/>
                <w:highlight w:val="none"/>
              </w:rPr>
            </w:pPr>
          </w:p>
        </w:tc>
        <w:tc>
          <w:tcPr>
            <w:tcW w:w="1687" w:type="dxa"/>
            <w:noWrap w:val="0"/>
            <w:vAlign w:val="top"/>
          </w:tcPr>
          <w:p w14:paraId="09263376">
            <w:pPr>
              <w:pStyle w:val="39"/>
              <w:adjustRightInd w:val="0"/>
              <w:snapToGrid w:val="0"/>
              <w:spacing w:line="560" w:lineRule="exact"/>
              <w:rPr>
                <w:rFonts w:ascii="Times New Roman"/>
                <w:color w:val="auto"/>
                <w:sz w:val="20"/>
                <w:highlight w:val="none"/>
              </w:rPr>
            </w:pPr>
          </w:p>
        </w:tc>
      </w:tr>
      <w:tr w14:paraId="2D56E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36" w:type="dxa"/>
            <w:noWrap w:val="0"/>
            <w:vAlign w:val="top"/>
          </w:tcPr>
          <w:p w14:paraId="48E9444A">
            <w:pPr>
              <w:pStyle w:val="39"/>
              <w:adjustRightInd w:val="0"/>
              <w:snapToGrid w:val="0"/>
              <w:spacing w:line="560" w:lineRule="exact"/>
              <w:rPr>
                <w:rFonts w:ascii="Times New Roman"/>
                <w:color w:val="auto"/>
                <w:sz w:val="20"/>
                <w:highlight w:val="none"/>
              </w:rPr>
            </w:pPr>
          </w:p>
        </w:tc>
        <w:tc>
          <w:tcPr>
            <w:tcW w:w="1685" w:type="dxa"/>
            <w:noWrap w:val="0"/>
            <w:vAlign w:val="top"/>
          </w:tcPr>
          <w:p w14:paraId="42BB895B">
            <w:pPr>
              <w:pStyle w:val="39"/>
              <w:adjustRightInd w:val="0"/>
              <w:snapToGrid w:val="0"/>
              <w:spacing w:line="560" w:lineRule="exact"/>
              <w:rPr>
                <w:rFonts w:ascii="Times New Roman"/>
                <w:color w:val="auto"/>
                <w:sz w:val="20"/>
                <w:highlight w:val="none"/>
              </w:rPr>
            </w:pPr>
          </w:p>
        </w:tc>
        <w:tc>
          <w:tcPr>
            <w:tcW w:w="794" w:type="dxa"/>
            <w:noWrap w:val="0"/>
            <w:vAlign w:val="top"/>
          </w:tcPr>
          <w:p w14:paraId="34671926">
            <w:pPr>
              <w:pStyle w:val="39"/>
              <w:adjustRightInd w:val="0"/>
              <w:snapToGrid w:val="0"/>
              <w:spacing w:line="560" w:lineRule="exact"/>
              <w:rPr>
                <w:rFonts w:ascii="Times New Roman"/>
                <w:color w:val="auto"/>
                <w:sz w:val="20"/>
                <w:highlight w:val="none"/>
              </w:rPr>
            </w:pPr>
          </w:p>
        </w:tc>
        <w:tc>
          <w:tcPr>
            <w:tcW w:w="794" w:type="dxa"/>
            <w:noWrap w:val="0"/>
            <w:vAlign w:val="top"/>
          </w:tcPr>
          <w:p w14:paraId="4750F6DD">
            <w:pPr>
              <w:pStyle w:val="39"/>
              <w:adjustRightInd w:val="0"/>
              <w:snapToGrid w:val="0"/>
              <w:spacing w:line="560" w:lineRule="exact"/>
              <w:rPr>
                <w:rFonts w:ascii="Times New Roman"/>
                <w:color w:val="auto"/>
                <w:sz w:val="20"/>
                <w:highlight w:val="none"/>
              </w:rPr>
            </w:pPr>
          </w:p>
        </w:tc>
        <w:tc>
          <w:tcPr>
            <w:tcW w:w="794" w:type="dxa"/>
            <w:noWrap w:val="0"/>
            <w:vAlign w:val="top"/>
          </w:tcPr>
          <w:p w14:paraId="4AAA1A2F">
            <w:pPr>
              <w:pStyle w:val="39"/>
              <w:adjustRightInd w:val="0"/>
              <w:snapToGrid w:val="0"/>
              <w:spacing w:line="560" w:lineRule="exact"/>
              <w:rPr>
                <w:rFonts w:ascii="Times New Roman"/>
                <w:color w:val="auto"/>
                <w:sz w:val="20"/>
                <w:highlight w:val="none"/>
              </w:rPr>
            </w:pPr>
          </w:p>
        </w:tc>
        <w:tc>
          <w:tcPr>
            <w:tcW w:w="791" w:type="dxa"/>
            <w:noWrap w:val="0"/>
            <w:vAlign w:val="top"/>
          </w:tcPr>
          <w:p w14:paraId="31ED63C9">
            <w:pPr>
              <w:pStyle w:val="39"/>
              <w:adjustRightInd w:val="0"/>
              <w:snapToGrid w:val="0"/>
              <w:spacing w:line="560" w:lineRule="exact"/>
              <w:rPr>
                <w:rFonts w:ascii="Times New Roman"/>
                <w:color w:val="auto"/>
                <w:sz w:val="20"/>
                <w:highlight w:val="none"/>
              </w:rPr>
            </w:pPr>
          </w:p>
        </w:tc>
        <w:tc>
          <w:tcPr>
            <w:tcW w:w="635" w:type="dxa"/>
            <w:noWrap w:val="0"/>
            <w:vAlign w:val="top"/>
          </w:tcPr>
          <w:p w14:paraId="436080FA">
            <w:pPr>
              <w:pStyle w:val="39"/>
              <w:adjustRightInd w:val="0"/>
              <w:snapToGrid w:val="0"/>
              <w:spacing w:line="560" w:lineRule="exact"/>
              <w:rPr>
                <w:rFonts w:ascii="Times New Roman"/>
                <w:color w:val="auto"/>
                <w:sz w:val="20"/>
                <w:highlight w:val="none"/>
              </w:rPr>
            </w:pPr>
          </w:p>
        </w:tc>
        <w:tc>
          <w:tcPr>
            <w:tcW w:w="1687" w:type="dxa"/>
            <w:noWrap w:val="0"/>
            <w:vAlign w:val="top"/>
          </w:tcPr>
          <w:p w14:paraId="759CDA7B">
            <w:pPr>
              <w:pStyle w:val="39"/>
              <w:adjustRightInd w:val="0"/>
              <w:snapToGrid w:val="0"/>
              <w:spacing w:line="560" w:lineRule="exact"/>
              <w:rPr>
                <w:rFonts w:ascii="Times New Roman"/>
                <w:color w:val="auto"/>
                <w:sz w:val="20"/>
                <w:highlight w:val="none"/>
              </w:rPr>
            </w:pPr>
          </w:p>
        </w:tc>
      </w:tr>
      <w:tr w14:paraId="3B2D0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636" w:type="dxa"/>
            <w:noWrap w:val="0"/>
            <w:vAlign w:val="top"/>
          </w:tcPr>
          <w:p w14:paraId="1E985DEC">
            <w:pPr>
              <w:pStyle w:val="39"/>
              <w:adjustRightInd w:val="0"/>
              <w:snapToGrid w:val="0"/>
              <w:spacing w:line="560" w:lineRule="exact"/>
              <w:rPr>
                <w:rFonts w:ascii="Times New Roman"/>
                <w:color w:val="auto"/>
                <w:sz w:val="20"/>
                <w:highlight w:val="none"/>
              </w:rPr>
            </w:pPr>
          </w:p>
        </w:tc>
        <w:tc>
          <w:tcPr>
            <w:tcW w:w="1685" w:type="dxa"/>
            <w:noWrap w:val="0"/>
            <w:vAlign w:val="top"/>
          </w:tcPr>
          <w:p w14:paraId="4A5F4010">
            <w:pPr>
              <w:pStyle w:val="39"/>
              <w:adjustRightInd w:val="0"/>
              <w:snapToGrid w:val="0"/>
              <w:spacing w:line="560" w:lineRule="exact"/>
              <w:rPr>
                <w:rFonts w:ascii="Times New Roman"/>
                <w:color w:val="auto"/>
                <w:sz w:val="20"/>
                <w:highlight w:val="none"/>
              </w:rPr>
            </w:pPr>
          </w:p>
        </w:tc>
        <w:tc>
          <w:tcPr>
            <w:tcW w:w="794" w:type="dxa"/>
            <w:noWrap w:val="0"/>
            <w:vAlign w:val="top"/>
          </w:tcPr>
          <w:p w14:paraId="40B97EB0">
            <w:pPr>
              <w:pStyle w:val="39"/>
              <w:adjustRightInd w:val="0"/>
              <w:snapToGrid w:val="0"/>
              <w:spacing w:line="560" w:lineRule="exact"/>
              <w:rPr>
                <w:rFonts w:ascii="Times New Roman"/>
                <w:color w:val="auto"/>
                <w:sz w:val="20"/>
                <w:highlight w:val="none"/>
              </w:rPr>
            </w:pPr>
          </w:p>
        </w:tc>
        <w:tc>
          <w:tcPr>
            <w:tcW w:w="794" w:type="dxa"/>
            <w:noWrap w:val="0"/>
            <w:vAlign w:val="top"/>
          </w:tcPr>
          <w:p w14:paraId="545B95F1">
            <w:pPr>
              <w:pStyle w:val="39"/>
              <w:adjustRightInd w:val="0"/>
              <w:snapToGrid w:val="0"/>
              <w:spacing w:line="560" w:lineRule="exact"/>
              <w:rPr>
                <w:rFonts w:ascii="Times New Roman"/>
                <w:color w:val="auto"/>
                <w:sz w:val="20"/>
                <w:highlight w:val="none"/>
              </w:rPr>
            </w:pPr>
          </w:p>
        </w:tc>
        <w:tc>
          <w:tcPr>
            <w:tcW w:w="794" w:type="dxa"/>
            <w:noWrap w:val="0"/>
            <w:vAlign w:val="top"/>
          </w:tcPr>
          <w:p w14:paraId="709EDE44">
            <w:pPr>
              <w:pStyle w:val="39"/>
              <w:adjustRightInd w:val="0"/>
              <w:snapToGrid w:val="0"/>
              <w:spacing w:line="560" w:lineRule="exact"/>
              <w:rPr>
                <w:rFonts w:ascii="Times New Roman"/>
                <w:color w:val="auto"/>
                <w:sz w:val="20"/>
                <w:highlight w:val="none"/>
              </w:rPr>
            </w:pPr>
          </w:p>
        </w:tc>
        <w:tc>
          <w:tcPr>
            <w:tcW w:w="791" w:type="dxa"/>
            <w:noWrap w:val="0"/>
            <w:vAlign w:val="top"/>
          </w:tcPr>
          <w:p w14:paraId="3D3F6806">
            <w:pPr>
              <w:pStyle w:val="39"/>
              <w:adjustRightInd w:val="0"/>
              <w:snapToGrid w:val="0"/>
              <w:spacing w:line="560" w:lineRule="exact"/>
              <w:rPr>
                <w:rFonts w:ascii="Times New Roman"/>
                <w:color w:val="auto"/>
                <w:sz w:val="20"/>
                <w:highlight w:val="none"/>
              </w:rPr>
            </w:pPr>
          </w:p>
        </w:tc>
        <w:tc>
          <w:tcPr>
            <w:tcW w:w="635" w:type="dxa"/>
            <w:noWrap w:val="0"/>
            <w:vAlign w:val="top"/>
          </w:tcPr>
          <w:p w14:paraId="7BA562C2">
            <w:pPr>
              <w:pStyle w:val="39"/>
              <w:adjustRightInd w:val="0"/>
              <w:snapToGrid w:val="0"/>
              <w:spacing w:line="560" w:lineRule="exact"/>
              <w:rPr>
                <w:rFonts w:ascii="Times New Roman"/>
                <w:color w:val="auto"/>
                <w:sz w:val="20"/>
                <w:highlight w:val="none"/>
              </w:rPr>
            </w:pPr>
          </w:p>
        </w:tc>
        <w:tc>
          <w:tcPr>
            <w:tcW w:w="1687" w:type="dxa"/>
            <w:noWrap w:val="0"/>
            <w:vAlign w:val="top"/>
          </w:tcPr>
          <w:p w14:paraId="6F2090B4">
            <w:pPr>
              <w:pStyle w:val="39"/>
              <w:adjustRightInd w:val="0"/>
              <w:snapToGrid w:val="0"/>
              <w:spacing w:line="560" w:lineRule="exact"/>
              <w:rPr>
                <w:rFonts w:ascii="Times New Roman"/>
                <w:color w:val="auto"/>
                <w:sz w:val="20"/>
                <w:highlight w:val="none"/>
              </w:rPr>
            </w:pPr>
          </w:p>
        </w:tc>
      </w:tr>
      <w:tr w14:paraId="1B01B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36" w:type="dxa"/>
            <w:noWrap w:val="0"/>
            <w:vAlign w:val="top"/>
          </w:tcPr>
          <w:p w14:paraId="0896DFA3">
            <w:pPr>
              <w:pStyle w:val="39"/>
              <w:adjustRightInd w:val="0"/>
              <w:snapToGrid w:val="0"/>
              <w:spacing w:line="560" w:lineRule="exact"/>
              <w:rPr>
                <w:rFonts w:ascii="Times New Roman"/>
                <w:color w:val="auto"/>
                <w:sz w:val="20"/>
                <w:highlight w:val="none"/>
              </w:rPr>
            </w:pPr>
          </w:p>
        </w:tc>
        <w:tc>
          <w:tcPr>
            <w:tcW w:w="1685" w:type="dxa"/>
            <w:noWrap w:val="0"/>
            <w:vAlign w:val="top"/>
          </w:tcPr>
          <w:p w14:paraId="68E7E108">
            <w:pPr>
              <w:pStyle w:val="39"/>
              <w:adjustRightInd w:val="0"/>
              <w:snapToGrid w:val="0"/>
              <w:spacing w:line="560" w:lineRule="exact"/>
              <w:rPr>
                <w:rFonts w:ascii="Times New Roman"/>
                <w:color w:val="auto"/>
                <w:sz w:val="20"/>
                <w:highlight w:val="none"/>
              </w:rPr>
            </w:pPr>
          </w:p>
        </w:tc>
        <w:tc>
          <w:tcPr>
            <w:tcW w:w="794" w:type="dxa"/>
            <w:noWrap w:val="0"/>
            <w:vAlign w:val="top"/>
          </w:tcPr>
          <w:p w14:paraId="595534A1">
            <w:pPr>
              <w:pStyle w:val="39"/>
              <w:adjustRightInd w:val="0"/>
              <w:snapToGrid w:val="0"/>
              <w:spacing w:line="560" w:lineRule="exact"/>
              <w:rPr>
                <w:rFonts w:ascii="Times New Roman"/>
                <w:color w:val="auto"/>
                <w:sz w:val="20"/>
                <w:highlight w:val="none"/>
              </w:rPr>
            </w:pPr>
          </w:p>
        </w:tc>
        <w:tc>
          <w:tcPr>
            <w:tcW w:w="794" w:type="dxa"/>
            <w:noWrap w:val="0"/>
            <w:vAlign w:val="top"/>
          </w:tcPr>
          <w:p w14:paraId="779C6686">
            <w:pPr>
              <w:pStyle w:val="39"/>
              <w:adjustRightInd w:val="0"/>
              <w:snapToGrid w:val="0"/>
              <w:spacing w:line="560" w:lineRule="exact"/>
              <w:rPr>
                <w:rFonts w:ascii="Times New Roman"/>
                <w:color w:val="auto"/>
                <w:sz w:val="20"/>
                <w:highlight w:val="none"/>
              </w:rPr>
            </w:pPr>
          </w:p>
        </w:tc>
        <w:tc>
          <w:tcPr>
            <w:tcW w:w="794" w:type="dxa"/>
            <w:noWrap w:val="0"/>
            <w:vAlign w:val="top"/>
          </w:tcPr>
          <w:p w14:paraId="14193354">
            <w:pPr>
              <w:pStyle w:val="39"/>
              <w:adjustRightInd w:val="0"/>
              <w:snapToGrid w:val="0"/>
              <w:spacing w:line="560" w:lineRule="exact"/>
              <w:rPr>
                <w:rFonts w:ascii="Times New Roman"/>
                <w:color w:val="auto"/>
                <w:sz w:val="20"/>
                <w:highlight w:val="none"/>
              </w:rPr>
            </w:pPr>
          </w:p>
        </w:tc>
        <w:tc>
          <w:tcPr>
            <w:tcW w:w="791" w:type="dxa"/>
            <w:noWrap w:val="0"/>
            <w:vAlign w:val="top"/>
          </w:tcPr>
          <w:p w14:paraId="1A67063E">
            <w:pPr>
              <w:pStyle w:val="39"/>
              <w:adjustRightInd w:val="0"/>
              <w:snapToGrid w:val="0"/>
              <w:spacing w:line="560" w:lineRule="exact"/>
              <w:rPr>
                <w:rFonts w:ascii="Times New Roman"/>
                <w:color w:val="auto"/>
                <w:sz w:val="20"/>
                <w:highlight w:val="none"/>
              </w:rPr>
            </w:pPr>
          </w:p>
        </w:tc>
        <w:tc>
          <w:tcPr>
            <w:tcW w:w="635" w:type="dxa"/>
            <w:noWrap w:val="0"/>
            <w:vAlign w:val="top"/>
          </w:tcPr>
          <w:p w14:paraId="7FB6F57E">
            <w:pPr>
              <w:pStyle w:val="39"/>
              <w:adjustRightInd w:val="0"/>
              <w:snapToGrid w:val="0"/>
              <w:spacing w:line="560" w:lineRule="exact"/>
              <w:rPr>
                <w:rFonts w:ascii="Times New Roman"/>
                <w:color w:val="auto"/>
                <w:sz w:val="20"/>
                <w:highlight w:val="none"/>
              </w:rPr>
            </w:pPr>
          </w:p>
        </w:tc>
        <w:tc>
          <w:tcPr>
            <w:tcW w:w="1687" w:type="dxa"/>
            <w:noWrap w:val="0"/>
            <w:vAlign w:val="top"/>
          </w:tcPr>
          <w:p w14:paraId="171F93E2">
            <w:pPr>
              <w:pStyle w:val="39"/>
              <w:adjustRightInd w:val="0"/>
              <w:snapToGrid w:val="0"/>
              <w:spacing w:line="560" w:lineRule="exact"/>
              <w:rPr>
                <w:rFonts w:ascii="Times New Roman"/>
                <w:color w:val="auto"/>
                <w:sz w:val="20"/>
                <w:highlight w:val="none"/>
              </w:rPr>
            </w:pPr>
          </w:p>
        </w:tc>
      </w:tr>
    </w:tbl>
    <w:p w14:paraId="35A4C64B">
      <w:pPr>
        <w:pStyle w:val="11"/>
        <w:adjustRightInd w:val="0"/>
        <w:snapToGrid w:val="0"/>
        <w:spacing w:after="0" w:line="560" w:lineRule="exact"/>
        <w:ind w:firstLine="420"/>
        <w:rPr>
          <w:color w:val="auto"/>
          <w:highlight w:val="none"/>
        </w:rPr>
      </w:pPr>
      <w:r>
        <w:rPr>
          <w:color w:val="auto"/>
          <w:highlight w:val="none"/>
        </w:rPr>
        <w:t>注：</w:t>
      </w:r>
      <w:r>
        <w:rPr>
          <w:rFonts w:hint="eastAsia"/>
          <w:color w:val="auto"/>
          <w:highlight w:val="none"/>
        </w:rPr>
        <w:t>1、</w:t>
      </w:r>
      <w:r>
        <w:rPr>
          <w:color w:val="auto"/>
          <w:highlight w:val="none"/>
        </w:rPr>
        <w:t>本表仅针对不采用招标人推荐品牌，采用其他品牌的投标人填写，并注明并提供相关技术参数、业绩等供评标委员会评审，未在上表中注明且未提供相关技术参数、业绩，或经评标委员会评审未通过的，中标后只能从招标人推荐品牌中进行选择，价格不予调整。</w:t>
      </w:r>
    </w:p>
    <w:p w14:paraId="586347BD">
      <w:pPr>
        <w:pStyle w:val="46"/>
        <w:tabs>
          <w:tab w:val="left" w:pos="1319"/>
        </w:tabs>
        <w:adjustRightInd w:val="0"/>
        <w:snapToGrid w:val="0"/>
        <w:spacing w:line="560" w:lineRule="exact"/>
        <w:ind w:left="0" w:firstLine="408" w:firstLineChars="200"/>
        <w:rPr>
          <w:color w:val="auto"/>
          <w:highlight w:val="none"/>
        </w:rPr>
        <w:sectPr>
          <w:pgSz w:w="11910" w:h="16840"/>
          <w:pgMar w:top="1060" w:right="660" w:bottom="1020" w:left="1120" w:header="0" w:footer="833" w:gutter="0"/>
          <w:pgNumType w:fmt="numberInDash"/>
          <w:cols w:space="720" w:num="1"/>
        </w:sectPr>
      </w:pPr>
      <w:r>
        <w:rPr>
          <w:rFonts w:hint="eastAsia"/>
          <w:color w:val="auto"/>
          <w:spacing w:val="-3"/>
          <w:highlight w:val="none"/>
        </w:rPr>
        <w:t>2、</w:t>
      </w:r>
      <w:r>
        <w:rPr>
          <w:color w:val="auto"/>
          <w:spacing w:val="-3"/>
          <w:highlight w:val="none"/>
        </w:rPr>
        <w:t>对于招标人推荐品牌的材料、设备等，投标人如认为招标人推荐的品牌有限定性、唯一性、明显不在同一档次等级的或者其他疑问的，应在本项目</w:t>
      </w:r>
      <w:r>
        <w:rPr>
          <w:rFonts w:hint="eastAsia"/>
          <w:color w:val="auto"/>
          <w:spacing w:val="-3"/>
          <w:highlight w:val="none"/>
        </w:rPr>
        <w:t>异议</w:t>
      </w:r>
      <w:r>
        <w:rPr>
          <w:color w:val="auto"/>
          <w:spacing w:val="-3"/>
          <w:highlight w:val="none"/>
        </w:rPr>
        <w:t>提出的截止时间前通过电子交易系统</w:t>
      </w:r>
      <w:r>
        <w:rPr>
          <w:rFonts w:hint="eastAsia"/>
          <w:color w:val="auto"/>
          <w:spacing w:val="-3"/>
          <w:highlight w:val="none"/>
        </w:rPr>
        <w:t>向招标人提出。</w:t>
      </w:r>
    </w:p>
    <w:p w14:paraId="75A1D8E9">
      <w:pPr>
        <w:pStyle w:val="4"/>
        <w:adjustRightInd w:val="0"/>
        <w:snapToGrid w:val="0"/>
        <w:spacing w:before="0" w:after="0" w:line="560" w:lineRule="exact"/>
        <w:jc w:val="center"/>
        <w:rPr>
          <w:rFonts w:hint="eastAsia"/>
          <w:color w:val="auto"/>
          <w:highlight w:val="none"/>
        </w:rPr>
      </w:pPr>
      <w:bookmarkStart w:id="1526" w:name="_Toc95223546"/>
      <w:r>
        <w:rPr>
          <w:rFonts w:hint="eastAsia"/>
          <w:color w:val="auto"/>
          <w:highlight w:val="none"/>
        </w:rPr>
        <w:t>（</w:t>
      </w:r>
      <w:r>
        <w:rPr>
          <w:rFonts w:hint="eastAsia"/>
          <w:color w:val="auto"/>
          <w:highlight w:val="none"/>
          <w:lang w:val="en-US" w:eastAsia="zh-CN"/>
        </w:rPr>
        <w:t>4</w:t>
      </w:r>
      <w:r>
        <w:rPr>
          <w:rFonts w:hint="eastAsia"/>
          <w:color w:val="auto"/>
          <w:highlight w:val="none"/>
        </w:rPr>
        <w:t>）详细评审所需其他材料（如有）</w:t>
      </w:r>
      <w:bookmarkEnd w:id="1526"/>
    </w:p>
    <w:p w14:paraId="2D1E6593">
      <w:pPr>
        <w:adjustRightInd w:val="0"/>
        <w:snapToGrid w:val="0"/>
        <w:spacing w:line="560" w:lineRule="exact"/>
        <w:ind w:firstLine="1928" w:firstLineChars="600"/>
        <w:rPr>
          <w:rFonts w:hint="eastAsia" w:ascii="宋体"/>
          <w:b/>
          <w:color w:val="auto"/>
          <w:sz w:val="32"/>
          <w:szCs w:val="32"/>
          <w:highlight w:val="none"/>
        </w:rPr>
      </w:pPr>
    </w:p>
    <w:p w14:paraId="1949542F">
      <w:pPr>
        <w:adjustRightInd w:val="0"/>
        <w:snapToGrid w:val="0"/>
        <w:spacing w:line="560" w:lineRule="exact"/>
        <w:ind w:firstLine="1928" w:firstLineChars="600"/>
        <w:rPr>
          <w:rFonts w:hint="eastAsia" w:ascii="宋体"/>
          <w:b/>
          <w:color w:val="auto"/>
          <w:sz w:val="32"/>
          <w:szCs w:val="32"/>
          <w:highlight w:val="none"/>
        </w:rPr>
      </w:pPr>
    </w:p>
    <w:p w14:paraId="1AEFE5B7">
      <w:pPr>
        <w:adjustRightInd w:val="0"/>
        <w:snapToGrid w:val="0"/>
        <w:spacing w:line="560" w:lineRule="exact"/>
        <w:rPr>
          <w:rFonts w:hint="eastAsia"/>
          <w:b/>
          <w:color w:val="auto"/>
          <w:sz w:val="32"/>
          <w:szCs w:val="32"/>
          <w:highlight w:val="none"/>
        </w:rPr>
      </w:pPr>
    </w:p>
    <w:p w14:paraId="5BD01C44">
      <w:pPr>
        <w:adjustRightInd w:val="0"/>
        <w:snapToGrid w:val="0"/>
        <w:spacing w:line="560" w:lineRule="exact"/>
        <w:jc w:val="center"/>
        <w:rPr>
          <w:rFonts w:hint="eastAsia"/>
          <w:b/>
          <w:color w:val="auto"/>
          <w:sz w:val="32"/>
          <w:szCs w:val="32"/>
          <w:highlight w:val="none"/>
        </w:rPr>
      </w:pPr>
    </w:p>
    <w:p w14:paraId="080C11C4">
      <w:pPr>
        <w:adjustRightInd w:val="0"/>
        <w:snapToGrid w:val="0"/>
        <w:spacing w:line="560" w:lineRule="exact"/>
        <w:jc w:val="center"/>
        <w:rPr>
          <w:rFonts w:hint="eastAsia"/>
          <w:b/>
          <w:color w:val="auto"/>
          <w:sz w:val="32"/>
          <w:szCs w:val="32"/>
          <w:highlight w:val="none"/>
        </w:rPr>
      </w:pPr>
    </w:p>
    <w:p w14:paraId="2191D9EB">
      <w:pPr>
        <w:adjustRightInd w:val="0"/>
        <w:snapToGrid w:val="0"/>
        <w:spacing w:line="560" w:lineRule="exact"/>
        <w:jc w:val="center"/>
        <w:rPr>
          <w:rFonts w:hint="eastAsia"/>
          <w:b/>
          <w:color w:val="auto"/>
          <w:sz w:val="32"/>
          <w:szCs w:val="32"/>
          <w:highlight w:val="none"/>
        </w:rPr>
      </w:pPr>
    </w:p>
    <w:p w14:paraId="207C92D4">
      <w:pPr>
        <w:adjustRightInd w:val="0"/>
        <w:snapToGrid w:val="0"/>
        <w:spacing w:line="560" w:lineRule="exact"/>
        <w:rPr>
          <w:rFonts w:hint="eastAsia"/>
          <w:color w:val="auto"/>
          <w:highlight w:val="none"/>
        </w:rPr>
      </w:pPr>
    </w:p>
    <w:p w14:paraId="22B09859">
      <w:pPr>
        <w:adjustRightInd w:val="0"/>
        <w:snapToGrid w:val="0"/>
        <w:spacing w:line="560" w:lineRule="exact"/>
        <w:rPr>
          <w:rFonts w:hint="eastAsia"/>
          <w:color w:val="auto"/>
          <w:highlight w:val="none"/>
        </w:rPr>
      </w:pPr>
    </w:p>
    <w:p w14:paraId="60C28E69">
      <w:pPr>
        <w:adjustRightInd w:val="0"/>
        <w:snapToGrid w:val="0"/>
        <w:spacing w:line="560" w:lineRule="exact"/>
        <w:rPr>
          <w:rFonts w:hint="eastAsia"/>
          <w:color w:val="auto"/>
          <w:highlight w:val="none"/>
        </w:rPr>
      </w:pPr>
    </w:p>
    <w:p w14:paraId="5EE038E7">
      <w:pPr>
        <w:adjustRightInd w:val="0"/>
        <w:snapToGrid w:val="0"/>
        <w:spacing w:line="560" w:lineRule="exact"/>
        <w:rPr>
          <w:rFonts w:hint="eastAsia"/>
          <w:color w:val="auto"/>
          <w:highlight w:val="none"/>
        </w:rPr>
      </w:pPr>
    </w:p>
    <w:p w14:paraId="266B9885">
      <w:pPr>
        <w:adjustRightInd w:val="0"/>
        <w:snapToGrid w:val="0"/>
        <w:spacing w:line="560" w:lineRule="exact"/>
        <w:rPr>
          <w:rFonts w:hint="eastAsia"/>
          <w:color w:val="auto"/>
          <w:highlight w:val="none"/>
        </w:rPr>
      </w:pPr>
    </w:p>
    <w:p w14:paraId="39DEA345">
      <w:pPr>
        <w:adjustRightInd w:val="0"/>
        <w:snapToGrid w:val="0"/>
        <w:spacing w:line="560" w:lineRule="exact"/>
        <w:rPr>
          <w:rFonts w:hint="eastAsia"/>
          <w:color w:val="auto"/>
          <w:highlight w:val="none"/>
        </w:rPr>
      </w:pPr>
    </w:p>
    <w:p w14:paraId="147F75B7">
      <w:pPr>
        <w:adjustRightInd w:val="0"/>
        <w:snapToGrid w:val="0"/>
        <w:spacing w:line="560" w:lineRule="exact"/>
        <w:rPr>
          <w:rFonts w:hint="eastAsia"/>
          <w:color w:val="auto"/>
          <w:highlight w:val="none"/>
        </w:rPr>
      </w:pPr>
    </w:p>
    <w:p w14:paraId="57AB6F59">
      <w:pPr>
        <w:adjustRightInd w:val="0"/>
        <w:snapToGrid w:val="0"/>
        <w:spacing w:line="560" w:lineRule="exact"/>
        <w:rPr>
          <w:rFonts w:hint="eastAsia"/>
          <w:color w:val="auto"/>
          <w:highlight w:val="none"/>
        </w:rPr>
      </w:pPr>
    </w:p>
    <w:p w14:paraId="7131DAA9">
      <w:pPr>
        <w:adjustRightInd w:val="0"/>
        <w:snapToGrid w:val="0"/>
        <w:spacing w:line="560" w:lineRule="exact"/>
        <w:rPr>
          <w:rFonts w:hint="eastAsia"/>
          <w:color w:val="auto"/>
          <w:highlight w:val="none"/>
        </w:rPr>
      </w:pPr>
    </w:p>
    <w:p w14:paraId="578DDC17">
      <w:pPr>
        <w:adjustRightInd w:val="0"/>
        <w:snapToGrid w:val="0"/>
        <w:spacing w:line="560" w:lineRule="exact"/>
        <w:rPr>
          <w:rFonts w:hint="eastAsia"/>
          <w:color w:val="auto"/>
          <w:highlight w:val="none"/>
        </w:rPr>
      </w:pPr>
    </w:p>
    <w:p w14:paraId="12F7DE4E">
      <w:pPr>
        <w:adjustRightInd w:val="0"/>
        <w:snapToGrid w:val="0"/>
        <w:spacing w:line="560" w:lineRule="exact"/>
        <w:rPr>
          <w:rFonts w:hint="eastAsia"/>
          <w:color w:val="auto"/>
          <w:highlight w:val="none"/>
        </w:rPr>
      </w:pPr>
    </w:p>
    <w:p w14:paraId="43901644">
      <w:pPr>
        <w:adjustRightInd w:val="0"/>
        <w:snapToGrid w:val="0"/>
        <w:spacing w:line="560" w:lineRule="exact"/>
        <w:rPr>
          <w:rFonts w:hint="eastAsia"/>
          <w:color w:val="auto"/>
          <w:highlight w:val="none"/>
        </w:rPr>
      </w:pPr>
    </w:p>
    <w:p w14:paraId="0A99EF21">
      <w:pPr>
        <w:adjustRightInd w:val="0"/>
        <w:snapToGrid w:val="0"/>
        <w:spacing w:line="560" w:lineRule="exact"/>
        <w:rPr>
          <w:rFonts w:hint="eastAsia"/>
          <w:color w:val="auto"/>
          <w:highlight w:val="none"/>
        </w:rPr>
      </w:pPr>
    </w:p>
    <w:p w14:paraId="13FC3D9F">
      <w:pPr>
        <w:adjustRightInd w:val="0"/>
        <w:snapToGrid w:val="0"/>
        <w:spacing w:line="560" w:lineRule="exact"/>
        <w:rPr>
          <w:rFonts w:hint="eastAsia"/>
          <w:color w:val="auto"/>
          <w:highlight w:val="none"/>
        </w:rPr>
      </w:pPr>
    </w:p>
    <w:p w14:paraId="5513F87D">
      <w:pPr>
        <w:adjustRightInd w:val="0"/>
        <w:snapToGrid w:val="0"/>
        <w:spacing w:line="560" w:lineRule="exact"/>
        <w:rPr>
          <w:rFonts w:hint="eastAsia"/>
          <w:color w:val="auto"/>
          <w:highlight w:val="none"/>
        </w:rPr>
      </w:pPr>
    </w:p>
    <w:p w14:paraId="7A05475B">
      <w:pPr>
        <w:pStyle w:val="20"/>
        <w:rPr>
          <w:rFonts w:hint="eastAsia"/>
          <w:color w:val="auto"/>
          <w:highlight w:val="none"/>
        </w:rPr>
      </w:pPr>
    </w:p>
    <w:p w14:paraId="6E7B1F29">
      <w:pPr>
        <w:adjustRightInd w:val="0"/>
        <w:snapToGrid w:val="0"/>
        <w:spacing w:line="560" w:lineRule="exact"/>
        <w:rPr>
          <w:rFonts w:hint="eastAsia"/>
          <w:color w:val="auto"/>
          <w:highlight w:val="none"/>
        </w:rPr>
      </w:pPr>
    </w:p>
    <w:p w14:paraId="01F3E7A4">
      <w:pPr>
        <w:pStyle w:val="20"/>
        <w:rPr>
          <w:rFonts w:hint="eastAsia"/>
          <w:color w:val="auto"/>
          <w:highlight w:val="none"/>
        </w:rPr>
      </w:pPr>
    </w:p>
    <w:p w14:paraId="5EA0B79B">
      <w:pPr>
        <w:rPr>
          <w:rFonts w:hint="eastAsia"/>
          <w:color w:val="auto"/>
          <w:highlight w:val="none"/>
        </w:rPr>
      </w:pPr>
    </w:p>
    <w:p w14:paraId="0198BD0E">
      <w:pPr>
        <w:pStyle w:val="11"/>
        <w:adjustRightInd w:val="0"/>
        <w:snapToGrid w:val="0"/>
        <w:spacing w:after="0" w:line="560" w:lineRule="exact"/>
        <w:jc w:val="both"/>
        <w:outlineLvl w:val="0"/>
        <w:rPr>
          <w:rFonts w:eastAsia="黑体"/>
          <w:b/>
          <w:bCs/>
          <w:color w:val="auto"/>
          <w:sz w:val="32"/>
          <w:highlight w:val="none"/>
        </w:rPr>
        <w:sectPr>
          <w:pgSz w:w="11906" w:h="16838"/>
          <w:pgMar w:top="1134" w:right="1417" w:bottom="1134" w:left="1417" w:header="851" w:footer="992" w:gutter="0"/>
          <w:pgNumType w:fmt="numberInDash"/>
          <w:cols w:space="720" w:num="1"/>
          <w:docGrid w:type="lines" w:linePitch="312" w:charSpace="0"/>
        </w:sectPr>
      </w:pPr>
      <w:bookmarkStart w:id="1527" w:name="_Toc95223547"/>
    </w:p>
    <w:p w14:paraId="0871DBEC">
      <w:pPr>
        <w:pStyle w:val="11"/>
        <w:adjustRightInd w:val="0"/>
        <w:snapToGrid w:val="0"/>
        <w:spacing w:after="0" w:line="560" w:lineRule="exact"/>
        <w:jc w:val="center"/>
        <w:outlineLvl w:val="0"/>
        <w:rPr>
          <w:rFonts w:eastAsia="黑体"/>
          <w:b/>
          <w:bCs/>
          <w:color w:val="auto"/>
          <w:sz w:val="32"/>
          <w:highlight w:val="none"/>
        </w:rPr>
      </w:pPr>
      <w:r>
        <w:rPr>
          <w:rFonts w:hint="eastAsia" w:eastAsia="黑体"/>
          <w:b/>
          <w:bCs/>
          <w:color w:val="auto"/>
          <w:sz w:val="32"/>
          <w:highlight w:val="none"/>
        </w:rPr>
        <w:t>第十章  招标</w:t>
      </w:r>
      <w:bookmarkStart w:id="1528" w:name="_Toc60061593"/>
      <w:r>
        <w:rPr>
          <w:rFonts w:hint="eastAsia" w:eastAsia="黑体"/>
          <w:b/>
          <w:bCs/>
          <w:color w:val="auto"/>
          <w:sz w:val="32"/>
          <w:highlight w:val="none"/>
        </w:rPr>
        <w:t>人、招标代理机构对本招标文件的确认</w:t>
      </w:r>
      <w:bookmarkEnd w:id="1527"/>
      <w:bookmarkEnd w:id="1528"/>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632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83" w:hRule="atLeast"/>
          <w:jc w:val="center"/>
        </w:trPr>
        <w:tc>
          <w:tcPr>
            <w:tcW w:w="9580" w:type="dxa"/>
            <w:noWrap w:val="0"/>
            <w:vAlign w:val="top"/>
          </w:tcPr>
          <w:p w14:paraId="6748C27B">
            <w:pPr>
              <w:adjustRightInd w:val="0"/>
              <w:snapToGrid w:val="0"/>
              <w:spacing w:line="560" w:lineRule="exact"/>
              <w:rPr>
                <w:rFonts w:hint="eastAsia"/>
                <w:color w:val="auto"/>
                <w:sz w:val="30"/>
                <w:highlight w:val="none"/>
              </w:rPr>
            </w:pPr>
          </w:p>
          <w:p w14:paraId="0A7DBC7D">
            <w:pPr>
              <w:adjustRightInd w:val="0"/>
              <w:snapToGrid w:val="0"/>
              <w:spacing w:line="560" w:lineRule="exact"/>
              <w:ind w:firstLine="700" w:firstLineChars="250"/>
              <w:rPr>
                <w:rFonts w:hint="eastAsia"/>
                <w:color w:val="auto"/>
                <w:sz w:val="28"/>
                <w:szCs w:val="28"/>
                <w:highlight w:val="none"/>
              </w:rPr>
            </w:pPr>
            <w:r>
              <w:rPr>
                <w:rFonts w:hint="eastAsia"/>
                <w:color w:val="auto"/>
                <w:sz w:val="28"/>
                <w:szCs w:val="28"/>
                <w:highlight w:val="none"/>
              </w:rPr>
              <w:t>我单位对</w:t>
            </w:r>
            <w:r>
              <w:rPr>
                <w:rFonts w:hint="eastAsia" w:ascii="宋体" w:hAnsi="宋体" w:cs="宋体"/>
                <w:b/>
                <w:color w:val="auto"/>
                <w:kern w:val="0"/>
                <w:sz w:val="28"/>
                <w:szCs w:val="28"/>
                <w:highlight w:val="none"/>
                <w:u w:val="single"/>
              </w:rPr>
              <w:t xml:space="preserve"> </w:t>
            </w:r>
            <w:bookmarkStart w:id="1529" w:name="_Toc506107366"/>
            <w:bookmarkStart w:id="1530" w:name="_Toc15058950"/>
            <w:bookmarkStart w:id="1531" w:name="_Toc60061594"/>
            <w:r>
              <w:rPr>
                <w:rFonts w:hint="eastAsia" w:ascii="宋体" w:hAnsi="宋体" w:cs="宋体"/>
                <w:b/>
                <w:color w:val="auto"/>
                <w:kern w:val="0"/>
                <w:sz w:val="28"/>
                <w:szCs w:val="28"/>
                <w:highlight w:val="none"/>
                <w:u w:val="single"/>
                <w:lang w:val="en-US" w:eastAsia="zh-CN"/>
              </w:rPr>
              <w:t>滁州经开区永阳路标准化厂房及宿舍等配套设施项目改造三期工程</w:t>
            </w:r>
            <w:r>
              <w:rPr>
                <w:rFonts w:hint="eastAsia" w:ascii="宋体" w:hAnsi="宋体" w:cs="宋体"/>
                <w:color w:val="auto"/>
                <w:kern w:val="0"/>
                <w:sz w:val="28"/>
                <w:szCs w:val="28"/>
                <w:highlight w:val="none"/>
              </w:rPr>
              <w:t>施工招</w:t>
            </w:r>
            <w:bookmarkEnd w:id="1529"/>
            <w:bookmarkEnd w:id="1530"/>
            <w:bookmarkEnd w:id="1531"/>
            <w:r>
              <w:rPr>
                <w:rFonts w:hint="eastAsia" w:ascii="宋体" w:hAnsi="宋体" w:cs="宋体"/>
                <w:color w:val="auto"/>
                <w:kern w:val="0"/>
                <w:sz w:val="28"/>
                <w:szCs w:val="28"/>
                <w:highlight w:val="none"/>
              </w:rPr>
              <w:t>标</w:t>
            </w:r>
            <w:r>
              <w:rPr>
                <w:rFonts w:hint="eastAsia"/>
                <w:color w:val="auto"/>
                <w:sz w:val="28"/>
                <w:szCs w:val="28"/>
                <w:highlight w:val="none"/>
              </w:rPr>
              <w:t>的招标文件进行确认。</w:t>
            </w:r>
          </w:p>
          <w:p w14:paraId="3AF37701">
            <w:pPr>
              <w:adjustRightInd w:val="0"/>
              <w:snapToGrid w:val="0"/>
              <w:spacing w:line="560" w:lineRule="exact"/>
              <w:rPr>
                <w:rFonts w:hint="eastAsia" w:ascii="宋体" w:hAnsi="宋体"/>
                <w:color w:val="auto"/>
                <w:sz w:val="28"/>
                <w:szCs w:val="28"/>
                <w:highlight w:val="none"/>
              </w:rPr>
            </w:pPr>
            <w:r>
              <w:rPr>
                <w:rFonts w:hint="eastAsia"/>
                <w:color w:val="auto"/>
                <w:sz w:val="30"/>
                <w:szCs w:val="30"/>
                <w:highlight w:val="none"/>
              </w:rPr>
              <w:t xml:space="preserve">   </w:t>
            </w:r>
            <w:r>
              <w:rPr>
                <w:rFonts w:hint="eastAsia" w:ascii="宋体" w:hAnsi="宋体"/>
                <w:color w:val="auto"/>
                <w:sz w:val="30"/>
                <w:szCs w:val="30"/>
                <w:highlight w:val="none"/>
              </w:rPr>
              <w:t xml:space="preserve"> </w:t>
            </w:r>
            <w:r>
              <w:rPr>
                <w:rFonts w:hint="eastAsia" w:ascii="宋体" w:hAnsi="宋体"/>
                <w:color w:val="auto"/>
                <w:sz w:val="28"/>
                <w:szCs w:val="28"/>
                <w:highlight w:val="none"/>
              </w:rPr>
              <w:t>招 标 人：安徽同康实业发展有限公司</w:t>
            </w:r>
          </w:p>
          <w:p w14:paraId="4F9CD6EE">
            <w:pPr>
              <w:adjustRightInd w:val="0"/>
              <w:snapToGrid w:val="0"/>
              <w:spacing w:line="560" w:lineRule="exact"/>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联 系 人：</w:t>
            </w:r>
            <w:r>
              <w:rPr>
                <w:rFonts w:hint="eastAsia" w:ascii="宋体" w:hAnsi="宋体"/>
                <w:color w:val="auto"/>
                <w:sz w:val="28"/>
                <w:szCs w:val="28"/>
                <w:highlight w:val="none"/>
                <w:lang w:val="en-US" w:eastAsia="zh-CN"/>
              </w:rPr>
              <w:t>李庆延</w:t>
            </w:r>
            <w:r>
              <w:rPr>
                <w:rFonts w:hint="eastAsia" w:ascii="宋体" w:hAnsi="宋体"/>
                <w:color w:val="auto"/>
                <w:sz w:val="28"/>
                <w:szCs w:val="28"/>
                <w:highlight w:val="none"/>
              </w:rPr>
              <w:t xml:space="preserve"> </w:t>
            </w:r>
          </w:p>
          <w:p w14:paraId="772B3841">
            <w:pPr>
              <w:adjustRightInd w:val="0"/>
              <w:snapToGrid w:val="0"/>
              <w:spacing w:line="560" w:lineRule="exact"/>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联系电话</w:t>
            </w:r>
            <w:r>
              <w:rPr>
                <w:rFonts w:hint="eastAsia" w:ascii="宋体" w:hAnsi="宋体"/>
                <w:color w:val="auto"/>
                <w:sz w:val="28"/>
                <w:szCs w:val="28"/>
                <w:highlight w:val="none"/>
                <w:lang w:eastAsia="zh-CN"/>
              </w:rPr>
              <w:t>：0550-3060260</w:t>
            </w:r>
          </w:p>
          <w:p w14:paraId="5A8DD663">
            <w:pPr>
              <w:adjustRightInd w:val="0"/>
              <w:snapToGrid w:val="0"/>
              <w:spacing w:line="560" w:lineRule="exact"/>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 xml:space="preserve">                                                                      </w:t>
            </w:r>
          </w:p>
          <w:p w14:paraId="61B6167A">
            <w:pPr>
              <w:adjustRightInd w:val="0"/>
              <w:snapToGrid w:val="0"/>
              <w:spacing w:line="560" w:lineRule="exact"/>
              <w:ind w:firstLine="6580" w:firstLineChars="2350"/>
              <w:rPr>
                <w:rFonts w:hint="eastAsia" w:ascii="宋体" w:hAnsi="宋体"/>
                <w:color w:val="auto"/>
                <w:sz w:val="28"/>
                <w:szCs w:val="28"/>
                <w:highlight w:val="none"/>
              </w:rPr>
            </w:pPr>
            <w:r>
              <w:rPr>
                <w:rFonts w:hint="eastAsia" w:ascii="宋体" w:hAnsi="宋体"/>
                <w:color w:val="auto"/>
                <w:sz w:val="28"/>
                <w:szCs w:val="28"/>
                <w:highlight w:val="none"/>
              </w:rPr>
              <w:t>（</w:t>
            </w:r>
            <w:r>
              <w:rPr>
                <w:rFonts w:eastAsia="黑体"/>
                <w:color w:val="auto"/>
                <w:sz w:val="28"/>
                <w:szCs w:val="28"/>
                <w:highlight w:val="none"/>
              </w:rPr>
              <w:t>签</w:t>
            </w:r>
            <w:r>
              <w:rPr>
                <w:rFonts w:hint="eastAsia" w:eastAsia="黑体"/>
                <w:color w:val="auto"/>
                <w:sz w:val="28"/>
                <w:szCs w:val="28"/>
                <w:highlight w:val="none"/>
              </w:rPr>
              <w:t>章</w:t>
            </w:r>
            <w:r>
              <w:rPr>
                <w:rFonts w:hint="eastAsia" w:ascii="宋体" w:hAnsi="宋体"/>
                <w:color w:val="auto"/>
                <w:sz w:val="28"/>
                <w:szCs w:val="28"/>
                <w:highlight w:val="none"/>
              </w:rPr>
              <w:t>）</w:t>
            </w:r>
          </w:p>
          <w:p w14:paraId="400EEAD6">
            <w:pPr>
              <w:adjustRightInd w:val="0"/>
              <w:snapToGrid w:val="0"/>
              <w:spacing w:line="560" w:lineRule="exact"/>
              <w:ind w:firstLine="5040" w:firstLineChars="1800"/>
              <w:rPr>
                <w:rFonts w:hint="eastAsia"/>
                <w:color w:val="auto"/>
                <w:sz w:val="30"/>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2026</w:t>
            </w:r>
            <w:r>
              <w:rPr>
                <w:rFonts w:hint="eastAsia" w:ascii="宋体" w:hAnsi="宋体"/>
                <w:color w:val="auto"/>
                <w:sz w:val="28"/>
                <w:szCs w:val="28"/>
                <w:highlight w:val="none"/>
              </w:rPr>
              <w:t>年</w:t>
            </w:r>
            <w:r>
              <w:rPr>
                <w:rFonts w:hint="eastAsia" w:ascii="宋体" w:hAnsi="宋体"/>
                <w:color w:val="auto"/>
                <w:sz w:val="28"/>
                <w:szCs w:val="28"/>
                <w:highlight w:val="none"/>
                <w:lang w:val="en-US" w:eastAsia="zh-CN"/>
              </w:rPr>
              <w:t>10</w:t>
            </w:r>
            <w:r>
              <w:rPr>
                <w:rFonts w:hint="eastAsia" w:ascii="宋体" w:hAnsi="宋体"/>
                <w:color w:val="auto"/>
                <w:sz w:val="28"/>
                <w:szCs w:val="28"/>
                <w:highlight w:val="none"/>
              </w:rPr>
              <w:t>月</w:t>
            </w:r>
            <w:r>
              <w:rPr>
                <w:rFonts w:hint="eastAsia" w:ascii="宋体" w:hAnsi="宋体"/>
                <w:color w:val="auto"/>
                <w:sz w:val="28"/>
                <w:szCs w:val="28"/>
                <w:highlight w:val="none"/>
                <w:lang w:val="en-US" w:eastAsia="zh-CN"/>
              </w:rPr>
              <w:t>30</w:t>
            </w:r>
            <w:r>
              <w:rPr>
                <w:rFonts w:hint="eastAsia" w:ascii="宋体" w:hAnsi="宋体"/>
                <w:color w:val="auto"/>
                <w:sz w:val="28"/>
                <w:szCs w:val="28"/>
                <w:highlight w:val="none"/>
              </w:rPr>
              <w:t>日</w:t>
            </w:r>
          </w:p>
        </w:tc>
      </w:tr>
      <w:tr w14:paraId="705C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6" w:hRule="atLeast"/>
          <w:jc w:val="center"/>
        </w:trPr>
        <w:tc>
          <w:tcPr>
            <w:tcW w:w="9580" w:type="dxa"/>
            <w:noWrap w:val="0"/>
            <w:vAlign w:val="top"/>
          </w:tcPr>
          <w:p w14:paraId="4B1F7584">
            <w:pPr>
              <w:adjustRightInd w:val="0"/>
              <w:snapToGrid w:val="0"/>
              <w:spacing w:line="560" w:lineRule="exact"/>
              <w:ind w:firstLine="600" w:firstLineChars="200"/>
              <w:rPr>
                <w:rFonts w:hint="eastAsia"/>
                <w:color w:val="auto"/>
                <w:sz w:val="30"/>
                <w:highlight w:val="none"/>
              </w:rPr>
            </w:pPr>
          </w:p>
          <w:p w14:paraId="60BC91EC">
            <w:pPr>
              <w:adjustRightInd w:val="0"/>
              <w:snapToGrid w:val="0"/>
              <w:spacing w:line="560" w:lineRule="exact"/>
              <w:ind w:firstLine="560" w:firstLineChars="200"/>
              <w:rPr>
                <w:rFonts w:hint="eastAsia"/>
                <w:color w:val="auto"/>
                <w:sz w:val="28"/>
                <w:szCs w:val="28"/>
                <w:highlight w:val="none"/>
              </w:rPr>
            </w:pPr>
            <w:r>
              <w:rPr>
                <w:rFonts w:hint="eastAsia"/>
                <w:color w:val="auto"/>
                <w:sz w:val="28"/>
                <w:szCs w:val="28"/>
                <w:highlight w:val="none"/>
              </w:rPr>
              <w:t>招标代理机构：</w:t>
            </w:r>
            <w:r>
              <w:rPr>
                <w:rFonts w:hint="eastAsia"/>
                <w:color w:val="auto"/>
                <w:sz w:val="28"/>
                <w:szCs w:val="28"/>
                <w:highlight w:val="none"/>
                <w:lang w:val="en-US" w:eastAsia="zh-CN"/>
              </w:rPr>
              <w:t>滁州市城投工程咨询管理有限公司</w:t>
            </w:r>
            <w:r>
              <w:rPr>
                <w:rFonts w:hint="eastAsia"/>
                <w:color w:val="auto"/>
                <w:sz w:val="28"/>
                <w:szCs w:val="28"/>
                <w:highlight w:val="none"/>
              </w:rPr>
              <w:t xml:space="preserve"> </w:t>
            </w:r>
          </w:p>
          <w:p w14:paraId="3C436E27">
            <w:pPr>
              <w:adjustRightInd w:val="0"/>
              <w:snapToGrid w:val="0"/>
              <w:spacing w:line="560" w:lineRule="exact"/>
              <w:ind w:firstLine="560" w:firstLineChars="200"/>
              <w:rPr>
                <w:rFonts w:hint="eastAsia"/>
                <w:color w:val="auto"/>
                <w:sz w:val="28"/>
                <w:szCs w:val="28"/>
                <w:highlight w:val="none"/>
              </w:rPr>
            </w:pPr>
            <w:r>
              <w:rPr>
                <w:rFonts w:hint="eastAsia"/>
                <w:color w:val="auto"/>
                <w:sz w:val="28"/>
                <w:szCs w:val="28"/>
                <w:highlight w:val="none"/>
              </w:rPr>
              <w:t>联系人：</w:t>
            </w:r>
            <w:r>
              <w:rPr>
                <w:rFonts w:hint="eastAsia"/>
                <w:color w:val="auto"/>
                <w:sz w:val="28"/>
                <w:szCs w:val="28"/>
                <w:highlight w:val="none"/>
                <w:lang w:val="en-US" w:eastAsia="zh-CN"/>
              </w:rPr>
              <w:t>杨韦</w:t>
            </w:r>
            <w:r>
              <w:rPr>
                <w:rFonts w:hint="eastAsia"/>
                <w:color w:val="auto"/>
                <w:sz w:val="28"/>
                <w:szCs w:val="28"/>
                <w:highlight w:val="none"/>
              </w:rPr>
              <w:t xml:space="preserve"> </w:t>
            </w:r>
          </w:p>
          <w:p w14:paraId="0E688C69">
            <w:pPr>
              <w:adjustRightInd w:val="0"/>
              <w:snapToGrid w:val="0"/>
              <w:spacing w:line="560" w:lineRule="exact"/>
              <w:ind w:firstLine="560" w:firstLineChars="200"/>
              <w:rPr>
                <w:rFonts w:hint="eastAsia"/>
                <w:color w:val="auto"/>
                <w:sz w:val="28"/>
                <w:szCs w:val="28"/>
                <w:highlight w:val="none"/>
              </w:rPr>
            </w:pPr>
            <w:r>
              <w:rPr>
                <w:rFonts w:hint="eastAsia"/>
                <w:color w:val="auto"/>
                <w:sz w:val="28"/>
                <w:szCs w:val="28"/>
                <w:highlight w:val="none"/>
              </w:rPr>
              <w:t>联系电话：</w:t>
            </w:r>
            <w:r>
              <w:rPr>
                <w:rFonts w:hint="eastAsia"/>
                <w:color w:val="auto"/>
                <w:sz w:val="28"/>
                <w:szCs w:val="28"/>
                <w:highlight w:val="none"/>
                <w:lang w:val="en-US" w:eastAsia="zh-CN"/>
              </w:rPr>
              <w:t>0550-3519590、18005501210</w:t>
            </w:r>
            <w:r>
              <w:rPr>
                <w:rFonts w:hint="eastAsia"/>
                <w:color w:val="auto"/>
                <w:sz w:val="28"/>
                <w:szCs w:val="28"/>
                <w:highlight w:val="none"/>
              </w:rPr>
              <w:t xml:space="preserve"> </w:t>
            </w:r>
          </w:p>
          <w:p w14:paraId="301AF135">
            <w:pPr>
              <w:adjustRightInd w:val="0"/>
              <w:snapToGrid w:val="0"/>
              <w:spacing w:line="560" w:lineRule="exact"/>
              <w:ind w:firstLine="280" w:firstLineChars="100"/>
              <w:rPr>
                <w:rFonts w:hint="eastAsia"/>
                <w:color w:val="auto"/>
                <w:sz w:val="28"/>
                <w:szCs w:val="28"/>
                <w:highlight w:val="none"/>
              </w:rPr>
            </w:pPr>
            <w:r>
              <w:rPr>
                <w:rFonts w:hint="eastAsia"/>
                <w:color w:val="auto"/>
                <w:sz w:val="28"/>
                <w:szCs w:val="28"/>
                <w:highlight w:val="none"/>
              </w:rPr>
              <w:t xml:space="preserve">                                  </w:t>
            </w:r>
          </w:p>
          <w:p w14:paraId="321332DD">
            <w:pPr>
              <w:adjustRightInd w:val="0"/>
              <w:snapToGrid w:val="0"/>
              <w:spacing w:line="560" w:lineRule="exact"/>
              <w:ind w:firstLine="280" w:firstLineChars="100"/>
              <w:rPr>
                <w:rFonts w:hint="eastAsia"/>
                <w:color w:val="auto"/>
                <w:sz w:val="28"/>
                <w:szCs w:val="28"/>
                <w:highlight w:val="none"/>
              </w:rPr>
            </w:pPr>
          </w:p>
          <w:p w14:paraId="6EC33CF5">
            <w:pPr>
              <w:adjustRightInd w:val="0"/>
              <w:snapToGrid w:val="0"/>
              <w:spacing w:line="560" w:lineRule="exact"/>
              <w:ind w:firstLine="280" w:firstLineChars="100"/>
              <w:jc w:val="center"/>
              <w:rPr>
                <w:rFonts w:hint="eastAsia"/>
                <w:color w:val="auto"/>
                <w:sz w:val="28"/>
                <w:szCs w:val="28"/>
                <w:highlight w:val="none"/>
              </w:rPr>
            </w:pPr>
            <w:r>
              <w:rPr>
                <w:rFonts w:hint="eastAsia"/>
                <w:color w:val="auto"/>
                <w:sz w:val="28"/>
                <w:szCs w:val="28"/>
                <w:highlight w:val="none"/>
              </w:rPr>
              <w:t xml:space="preserve">                               （</w:t>
            </w:r>
            <w:r>
              <w:rPr>
                <w:rFonts w:eastAsia="黑体"/>
                <w:color w:val="auto"/>
                <w:sz w:val="28"/>
                <w:szCs w:val="28"/>
                <w:highlight w:val="none"/>
              </w:rPr>
              <w:t>签</w:t>
            </w:r>
            <w:r>
              <w:rPr>
                <w:rFonts w:hint="eastAsia" w:eastAsia="黑体"/>
                <w:color w:val="auto"/>
                <w:sz w:val="28"/>
                <w:szCs w:val="28"/>
                <w:highlight w:val="none"/>
              </w:rPr>
              <w:t>章</w:t>
            </w:r>
            <w:r>
              <w:rPr>
                <w:rFonts w:hint="eastAsia"/>
                <w:color w:val="auto"/>
                <w:sz w:val="28"/>
                <w:szCs w:val="28"/>
                <w:highlight w:val="none"/>
              </w:rPr>
              <w:t>）</w:t>
            </w:r>
          </w:p>
          <w:p w14:paraId="6B173176">
            <w:pPr>
              <w:adjustRightInd w:val="0"/>
              <w:snapToGrid w:val="0"/>
              <w:spacing w:line="560" w:lineRule="exact"/>
              <w:ind w:firstLine="4900" w:firstLineChars="1750"/>
              <w:rPr>
                <w:rFonts w:hint="eastAsia"/>
                <w:color w:val="auto"/>
                <w:sz w:val="30"/>
                <w:highlight w:val="none"/>
              </w:rPr>
            </w:pPr>
            <w:r>
              <w:rPr>
                <w:rFonts w:hint="eastAsia"/>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 xml:space="preserve"> </w:t>
            </w:r>
            <w:r>
              <w:rPr>
                <w:rFonts w:hint="eastAsia"/>
                <w:color w:val="auto"/>
                <w:sz w:val="28"/>
                <w:szCs w:val="28"/>
                <w:highlight w:val="none"/>
                <w:lang w:val="en-US" w:eastAsia="zh-CN"/>
              </w:rPr>
              <w:t>2026</w:t>
            </w:r>
            <w:r>
              <w:rPr>
                <w:rFonts w:hint="eastAsia"/>
                <w:color w:val="auto"/>
                <w:sz w:val="28"/>
                <w:szCs w:val="28"/>
                <w:highlight w:val="none"/>
              </w:rPr>
              <w:t>年</w:t>
            </w:r>
            <w:r>
              <w:rPr>
                <w:rFonts w:hint="eastAsia"/>
                <w:color w:val="auto"/>
                <w:sz w:val="28"/>
                <w:szCs w:val="28"/>
                <w:highlight w:val="none"/>
                <w:lang w:val="en-US" w:eastAsia="zh-CN"/>
              </w:rPr>
              <w:t>10</w:t>
            </w:r>
            <w:r>
              <w:rPr>
                <w:rFonts w:hint="eastAsia"/>
                <w:color w:val="auto"/>
                <w:sz w:val="28"/>
                <w:szCs w:val="28"/>
                <w:highlight w:val="none"/>
              </w:rPr>
              <w:t>月</w:t>
            </w:r>
            <w:r>
              <w:rPr>
                <w:rFonts w:hint="eastAsia"/>
                <w:color w:val="auto"/>
                <w:sz w:val="28"/>
                <w:szCs w:val="28"/>
                <w:highlight w:val="none"/>
                <w:lang w:val="en-US" w:eastAsia="zh-CN"/>
              </w:rPr>
              <w:t>30</w:t>
            </w:r>
            <w:r>
              <w:rPr>
                <w:rFonts w:hint="eastAsia"/>
                <w:color w:val="auto"/>
                <w:sz w:val="28"/>
                <w:szCs w:val="28"/>
                <w:highlight w:val="none"/>
              </w:rPr>
              <w:t>日</w:t>
            </w:r>
          </w:p>
        </w:tc>
      </w:tr>
      <w:bookmarkEnd w:id="4"/>
      <w:bookmarkEnd w:id="5"/>
      <w:bookmarkEnd w:id="6"/>
      <w:bookmarkEnd w:id="7"/>
      <w:bookmarkEnd w:id="8"/>
    </w:tbl>
    <w:p w14:paraId="73BFE545">
      <w:pPr>
        <w:rPr>
          <w:color w:val="auto"/>
          <w:highlight w:val="none"/>
        </w:rPr>
      </w:pPr>
    </w:p>
    <w:sectPr>
      <w:pgSz w:w="11906" w:h="16838"/>
      <w:pgMar w:top="1134" w:right="1417" w:bottom="1134" w:left="141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CF967D-CFD9-4218-B579-314DB90D4B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218D21A-57B4-4B16-A2F1-A1ECF63D6DF8}"/>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宋体-18030">
    <w:altName w:val="宋体"/>
    <w:panose1 w:val="00000000000000000000"/>
    <w:charset w:val="86"/>
    <w:family w:val="modern"/>
    <w:pitch w:val="default"/>
    <w:sig w:usb0="00000000" w:usb1="00000000" w:usb2="000A005E" w:usb3="00000000" w:csb0="00040001" w:csb1="00000000"/>
    <w:embedRegular r:id="rId3" w:fontKey="{7679081F-C50C-4F08-BF9B-D0E4189B5867}"/>
  </w:font>
  <w:font w:name="MS Mincho">
    <w:panose1 w:val="02020609040205080304"/>
    <w:charset w:val="80"/>
    <w:family w:val="modern"/>
    <w:pitch w:val="default"/>
    <w:sig w:usb0="A00002BF" w:usb1="68C7FCFB" w:usb2="00000010" w:usb3="00000000" w:csb0="4002009F" w:csb1="DFD70000"/>
    <w:embedRegular r:id="rId4" w:fontKey="{1A93DA66-0A75-4726-ACBA-3529DF817D3D}"/>
  </w:font>
  <w:font w:name="仿宋_GB2312">
    <w:panose1 w:val="02010609030101010101"/>
    <w:charset w:val="86"/>
    <w:family w:val="modern"/>
    <w:pitch w:val="default"/>
    <w:sig w:usb0="00000001" w:usb1="080E0000" w:usb2="00000000" w:usb3="00000000" w:csb0="00040000" w:csb1="00000000"/>
    <w:embedRegular r:id="rId5" w:fontKey="{31BF9BF9-D610-4273-9C7B-52DEF4D41BDA}"/>
  </w:font>
  <w:font w:name="华文中宋">
    <w:panose1 w:val="02010600040101010101"/>
    <w:charset w:val="86"/>
    <w:family w:val="auto"/>
    <w:pitch w:val="default"/>
    <w:sig w:usb0="00000287" w:usb1="080F0000" w:usb2="00000000" w:usb3="00000000" w:csb0="0004009F" w:csb1="DFD70000"/>
    <w:embedRegular r:id="rId6" w:fontKey="{4CADB647-211E-4EA4-B7C9-7921DE54702A}"/>
  </w:font>
  <w:font w:name="@仿宋_GB2312">
    <w:altName w:val="仿宋"/>
    <w:panose1 w:val="02010609030101010101"/>
    <w:charset w:val="86"/>
    <w:family w:val="modern"/>
    <w:pitch w:val="default"/>
    <w:sig w:usb0="00000000" w:usb1="00000000" w:usb2="00000000" w:usb3="00000000" w:csb0="00040000" w:csb1="00000000"/>
    <w:embedRegular r:id="rId7" w:fontKey="{F9F66C5A-99C9-4E1D-946C-16D3427453A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embedRegular r:id="rId8" w:fontKey="{CB44BE40-3D17-4503-BAFE-9ADEBDD32AC4}"/>
  </w:font>
  <w:font w:name="WPSEMBED1">
    <w:panose1 w:val="02020609040205080304"/>
    <w:charset w:val="80"/>
    <w:family w:val="auto"/>
    <w:pitch w:val="default"/>
    <w:sig w:usb0="A00002BF" w:usb1="68C7FCFB" w:usb2="00000010" w:usb3="00000000" w:csb0="4002009F" w:csb1="DFD7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9340E">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D8D428">
                          <w:pPr>
                            <w:pStyle w:val="1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D8D428">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E545C">
    <w:pPr>
      <w:pStyle w:val="15"/>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A7A05">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0D545"/>
    <w:multiLevelType w:val="singleLevel"/>
    <w:tmpl w:val="BFD0D545"/>
    <w:lvl w:ilvl="0" w:tentative="0">
      <w:start w:val="3"/>
      <w:numFmt w:val="decimal"/>
      <w:suff w:val="nothing"/>
      <w:lvlText w:val="（%1）"/>
      <w:lvlJc w:val="left"/>
    </w:lvl>
  </w:abstractNum>
  <w:abstractNum w:abstractNumId="1">
    <w:nsid w:val="48F83098"/>
    <w:multiLevelType w:val="singleLevel"/>
    <w:tmpl w:val="48F8309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jMjNhOGFiZDlmMmFjZDZlMWZjN2IzMmRmNzQ3NDcifQ=="/>
  </w:docVars>
  <w:rsids>
    <w:rsidRoot w:val="04C200ED"/>
    <w:rsid w:val="00072C34"/>
    <w:rsid w:val="002108CA"/>
    <w:rsid w:val="00307A95"/>
    <w:rsid w:val="00555609"/>
    <w:rsid w:val="00681EDA"/>
    <w:rsid w:val="006A20EB"/>
    <w:rsid w:val="00BC57CD"/>
    <w:rsid w:val="00CD3FA8"/>
    <w:rsid w:val="00DE5743"/>
    <w:rsid w:val="01227D26"/>
    <w:rsid w:val="013D4B60"/>
    <w:rsid w:val="013F77F9"/>
    <w:rsid w:val="017D31AE"/>
    <w:rsid w:val="01891B53"/>
    <w:rsid w:val="01AB779D"/>
    <w:rsid w:val="01BC583F"/>
    <w:rsid w:val="01CF32DE"/>
    <w:rsid w:val="01FE3B56"/>
    <w:rsid w:val="02180E2A"/>
    <w:rsid w:val="02532988"/>
    <w:rsid w:val="028B7948"/>
    <w:rsid w:val="02B072E7"/>
    <w:rsid w:val="02D955E5"/>
    <w:rsid w:val="034620B4"/>
    <w:rsid w:val="03676684"/>
    <w:rsid w:val="036902F4"/>
    <w:rsid w:val="03936CB9"/>
    <w:rsid w:val="03B677F7"/>
    <w:rsid w:val="03E26D1D"/>
    <w:rsid w:val="03EA2651"/>
    <w:rsid w:val="041F21D1"/>
    <w:rsid w:val="04221DEB"/>
    <w:rsid w:val="047107B7"/>
    <w:rsid w:val="04853043"/>
    <w:rsid w:val="04965593"/>
    <w:rsid w:val="04AD1909"/>
    <w:rsid w:val="04C200ED"/>
    <w:rsid w:val="04C74740"/>
    <w:rsid w:val="04EA6DAD"/>
    <w:rsid w:val="050F05C1"/>
    <w:rsid w:val="052E44FE"/>
    <w:rsid w:val="052E656D"/>
    <w:rsid w:val="05445D91"/>
    <w:rsid w:val="057C377D"/>
    <w:rsid w:val="059127FB"/>
    <w:rsid w:val="05AA02EA"/>
    <w:rsid w:val="05BF6CDE"/>
    <w:rsid w:val="05C36FC4"/>
    <w:rsid w:val="05D61B61"/>
    <w:rsid w:val="05D62E8D"/>
    <w:rsid w:val="05FE23E4"/>
    <w:rsid w:val="060168C2"/>
    <w:rsid w:val="062B45E1"/>
    <w:rsid w:val="06372E72"/>
    <w:rsid w:val="064810A9"/>
    <w:rsid w:val="068D39FF"/>
    <w:rsid w:val="06A26B68"/>
    <w:rsid w:val="06A86F0E"/>
    <w:rsid w:val="07195F0C"/>
    <w:rsid w:val="07395C28"/>
    <w:rsid w:val="074A3962"/>
    <w:rsid w:val="07891D0B"/>
    <w:rsid w:val="07C37441"/>
    <w:rsid w:val="08365E65"/>
    <w:rsid w:val="084B4405"/>
    <w:rsid w:val="086C0F4E"/>
    <w:rsid w:val="08BC746A"/>
    <w:rsid w:val="08DC4C5E"/>
    <w:rsid w:val="08FA3336"/>
    <w:rsid w:val="092E5190"/>
    <w:rsid w:val="09375566"/>
    <w:rsid w:val="097F12A3"/>
    <w:rsid w:val="0990731B"/>
    <w:rsid w:val="099941A3"/>
    <w:rsid w:val="09C51A18"/>
    <w:rsid w:val="09CB187F"/>
    <w:rsid w:val="09EE51E0"/>
    <w:rsid w:val="0A171CC6"/>
    <w:rsid w:val="0A3250CE"/>
    <w:rsid w:val="0A4D5A91"/>
    <w:rsid w:val="0A4E22FB"/>
    <w:rsid w:val="0A4E7F3C"/>
    <w:rsid w:val="0A5B078E"/>
    <w:rsid w:val="0A605D88"/>
    <w:rsid w:val="0A662CDA"/>
    <w:rsid w:val="0A8464FD"/>
    <w:rsid w:val="0AEC4F01"/>
    <w:rsid w:val="0B112AF1"/>
    <w:rsid w:val="0B22254C"/>
    <w:rsid w:val="0B4348B7"/>
    <w:rsid w:val="0B9338DE"/>
    <w:rsid w:val="0BC47C2C"/>
    <w:rsid w:val="0BDE0CED"/>
    <w:rsid w:val="0BE8391A"/>
    <w:rsid w:val="0BF978D5"/>
    <w:rsid w:val="0C065F88"/>
    <w:rsid w:val="0C120997"/>
    <w:rsid w:val="0C7B4653"/>
    <w:rsid w:val="0C88602A"/>
    <w:rsid w:val="0C922E8C"/>
    <w:rsid w:val="0CA313D8"/>
    <w:rsid w:val="0CE75980"/>
    <w:rsid w:val="0CFD1647"/>
    <w:rsid w:val="0D016552"/>
    <w:rsid w:val="0D2E1801"/>
    <w:rsid w:val="0D553231"/>
    <w:rsid w:val="0D6339B7"/>
    <w:rsid w:val="0D887163"/>
    <w:rsid w:val="0DB5188A"/>
    <w:rsid w:val="0DFA2A11"/>
    <w:rsid w:val="0E197DBB"/>
    <w:rsid w:val="0E543DF2"/>
    <w:rsid w:val="0E6D6359"/>
    <w:rsid w:val="0ED1719D"/>
    <w:rsid w:val="0ED71A24"/>
    <w:rsid w:val="0F037193"/>
    <w:rsid w:val="0F7D4865"/>
    <w:rsid w:val="0F8370B3"/>
    <w:rsid w:val="0F873994"/>
    <w:rsid w:val="0F8971C2"/>
    <w:rsid w:val="0FE642B6"/>
    <w:rsid w:val="0FEC7C3F"/>
    <w:rsid w:val="0FF46D31"/>
    <w:rsid w:val="10020573"/>
    <w:rsid w:val="102913E9"/>
    <w:rsid w:val="10B4026F"/>
    <w:rsid w:val="10B60B86"/>
    <w:rsid w:val="10DE353E"/>
    <w:rsid w:val="11576580"/>
    <w:rsid w:val="117A5014"/>
    <w:rsid w:val="11AE4EED"/>
    <w:rsid w:val="11EE155E"/>
    <w:rsid w:val="12767ED2"/>
    <w:rsid w:val="128807D2"/>
    <w:rsid w:val="12BA7692"/>
    <w:rsid w:val="13174AE5"/>
    <w:rsid w:val="13196F8B"/>
    <w:rsid w:val="13217712"/>
    <w:rsid w:val="13533A71"/>
    <w:rsid w:val="13691706"/>
    <w:rsid w:val="136C66D5"/>
    <w:rsid w:val="1372527A"/>
    <w:rsid w:val="13986D70"/>
    <w:rsid w:val="13AF6B58"/>
    <w:rsid w:val="13CA1363"/>
    <w:rsid w:val="13E0137B"/>
    <w:rsid w:val="146D463D"/>
    <w:rsid w:val="14BA1BCC"/>
    <w:rsid w:val="14CE5342"/>
    <w:rsid w:val="15107A3E"/>
    <w:rsid w:val="152A6D51"/>
    <w:rsid w:val="152A7A45"/>
    <w:rsid w:val="154E6CD0"/>
    <w:rsid w:val="15796456"/>
    <w:rsid w:val="159D39C7"/>
    <w:rsid w:val="15B71B1D"/>
    <w:rsid w:val="15B739BD"/>
    <w:rsid w:val="15BD1BCA"/>
    <w:rsid w:val="15E52C78"/>
    <w:rsid w:val="163A2906"/>
    <w:rsid w:val="163D313F"/>
    <w:rsid w:val="164125A5"/>
    <w:rsid w:val="16914904"/>
    <w:rsid w:val="16924BAE"/>
    <w:rsid w:val="16A668AC"/>
    <w:rsid w:val="16B8213B"/>
    <w:rsid w:val="16ED0036"/>
    <w:rsid w:val="16FA5506"/>
    <w:rsid w:val="16FB6BF7"/>
    <w:rsid w:val="170B2D8B"/>
    <w:rsid w:val="17112A73"/>
    <w:rsid w:val="1720040C"/>
    <w:rsid w:val="17614581"/>
    <w:rsid w:val="177E5132"/>
    <w:rsid w:val="178A6601"/>
    <w:rsid w:val="179C50B4"/>
    <w:rsid w:val="17D113F8"/>
    <w:rsid w:val="17EB193D"/>
    <w:rsid w:val="18140A6E"/>
    <w:rsid w:val="185D743E"/>
    <w:rsid w:val="18736C61"/>
    <w:rsid w:val="187A3B4C"/>
    <w:rsid w:val="18932E60"/>
    <w:rsid w:val="189813DB"/>
    <w:rsid w:val="18C57A32"/>
    <w:rsid w:val="18C80D5B"/>
    <w:rsid w:val="18F45F0D"/>
    <w:rsid w:val="19046B90"/>
    <w:rsid w:val="192B68B8"/>
    <w:rsid w:val="19681569"/>
    <w:rsid w:val="19D0792D"/>
    <w:rsid w:val="1A3D367B"/>
    <w:rsid w:val="1A6D3318"/>
    <w:rsid w:val="1A805353"/>
    <w:rsid w:val="1A845156"/>
    <w:rsid w:val="1A954C6D"/>
    <w:rsid w:val="1AA94BBC"/>
    <w:rsid w:val="1AEA05DF"/>
    <w:rsid w:val="1B027E29"/>
    <w:rsid w:val="1B2D1349"/>
    <w:rsid w:val="1B326960"/>
    <w:rsid w:val="1B38452B"/>
    <w:rsid w:val="1B487F31"/>
    <w:rsid w:val="1B787A2E"/>
    <w:rsid w:val="1BAD2BF6"/>
    <w:rsid w:val="1BAE0ABF"/>
    <w:rsid w:val="1BBC5A4A"/>
    <w:rsid w:val="1BEE218B"/>
    <w:rsid w:val="1C146536"/>
    <w:rsid w:val="1C4C33DE"/>
    <w:rsid w:val="1C8A474A"/>
    <w:rsid w:val="1C9378D2"/>
    <w:rsid w:val="1D2642A2"/>
    <w:rsid w:val="1DA17203"/>
    <w:rsid w:val="1DB913DB"/>
    <w:rsid w:val="1DBA11F5"/>
    <w:rsid w:val="1DBE097F"/>
    <w:rsid w:val="1DE71C83"/>
    <w:rsid w:val="1EC11B21"/>
    <w:rsid w:val="1EC27237"/>
    <w:rsid w:val="1EFC05DA"/>
    <w:rsid w:val="1F170346"/>
    <w:rsid w:val="1F2760B0"/>
    <w:rsid w:val="1F917661"/>
    <w:rsid w:val="1F9D2589"/>
    <w:rsid w:val="1FA80B45"/>
    <w:rsid w:val="202C4BD6"/>
    <w:rsid w:val="202C7E22"/>
    <w:rsid w:val="205B0D8E"/>
    <w:rsid w:val="206A14BF"/>
    <w:rsid w:val="20931C4F"/>
    <w:rsid w:val="20CA7543"/>
    <w:rsid w:val="20D63E58"/>
    <w:rsid w:val="20EA2A65"/>
    <w:rsid w:val="210C5F98"/>
    <w:rsid w:val="214178FD"/>
    <w:rsid w:val="215B0293"/>
    <w:rsid w:val="21A06893"/>
    <w:rsid w:val="21C83E17"/>
    <w:rsid w:val="21E32B5E"/>
    <w:rsid w:val="221A3813"/>
    <w:rsid w:val="22407BB4"/>
    <w:rsid w:val="22574EFE"/>
    <w:rsid w:val="22AC788E"/>
    <w:rsid w:val="22EF5136"/>
    <w:rsid w:val="22F07A78"/>
    <w:rsid w:val="231040B3"/>
    <w:rsid w:val="235002CB"/>
    <w:rsid w:val="23711FEF"/>
    <w:rsid w:val="23762DDD"/>
    <w:rsid w:val="23D22A8E"/>
    <w:rsid w:val="23EF693F"/>
    <w:rsid w:val="242920CC"/>
    <w:rsid w:val="245E07C6"/>
    <w:rsid w:val="246526AE"/>
    <w:rsid w:val="249D7540"/>
    <w:rsid w:val="24AB3C18"/>
    <w:rsid w:val="24AC1531"/>
    <w:rsid w:val="24EE1B49"/>
    <w:rsid w:val="25021151"/>
    <w:rsid w:val="25220111"/>
    <w:rsid w:val="25760E8E"/>
    <w:rsid w:val="25A8248F"/>
    <w:rsid w:val="25F80DA5"/>
    <w:rsid w:val="26164C47"/>
    <w:rsid w:val="26466C94"/>
    <w:rsid w:val="265579A6"/>
    <w:rsid w:val="266235BB"/>
    <w:rsid w:val="26751385"/>
    <w:rsid w:val="26B26BA7"/>
    <w:rsid w:val="26E42110"/>
    <w:rsid w:val="26FB65F8"/>
    <w:rsid w:val="270A0791"/>
    <w:rsid w:val="271E5FEA"/>
    <w:rsid w:val="273075E2"/>
    <w:rsid w:val="27457A1B"/>
    <w:rsid w:val="278E3654"/>
    <w:rsid w:val="27C92BBA"/>
    <w:rsid w:val="28176711"/>
    <w:rsid w:val="282A2D36"/>
    <w:rsid w:val="283D5624"/>
    <w:rsid w:val="28642123"/>
    <w:rsid w:val="28757E8C"/>
    <w:rsid w:val="28812772"/>
    <w:rsid w:val="29023CB8"/>
    <w:rsid w:val="2940255A"/>
    <w:rsid w:val="29412512"/>
    <w:rsid w:val="296E25BE"/>
    <w:rsid w:val="29714AF7"/>
    <w:rsid w:val="298133BF"/>
    <w:rsid w:val="29A077CD"/>
    <w:rsid w:val="29C64750"/>
    <w:rsid w:val="29E3739C"/>
    <w:rsid w:val="2A050C55"/>
    <w:rsid w:val="2A0D1F23"/>
    <w:rsid w:val="2A426494"/>
    <w:rsid w:val="2A467D32"/>
    <w:rsid w:val="2A6B1546"/>
    <w:rsid w:val="2ABD7E2E"/>
    <w:rsid w:val="2ABF5E91"/>
    <w:rsid w:val="2ADF3CE2"/>
    <w:rsid w:val="2AFA2458"/>
    <w:rsid w:val="2B54003D"/>
    <w:rsid w:val="2B894E2A"/>
    <w:rsid w:val="2BB138D1"/>
    <w:rsid w:val="2BB4516F"/>
    <w:rsid w:val="2BE07D12"/>
    <w:rsid w:val="2C1D0F66"/>
    <w:rsid w:val="2C343987"/>
    <w:rsid w:val="2C7F71B4"/>
    <w:rsid w:val="2C815051"/>
    <w:rsid w:val="2C857A8F"/>
    <w:rsid w:val="2C8D572B"/>
    <w:rsid w:val="2CB66D78"/>
    <w:rsid w:val="2CCF6074"/>
    <w:rsid w:val="2CDC7A4B"/>
    <w:rsid w:val="2CE02702"/>
    <w:rsid w:val="2CFC5020"/>
    <w:rsid w:val="2D0619FA"/>
    <w:rsid w:val="2D0D36B6"/>
    <w:rsid w:val="2D3A499E"/>
    <w:rsid w:val="2D3C3E3E"/>
    <w:rsid w:val="2D523989"/>
    <w:rsid w:val="2D6629C0"/>
    <w:rsid w:val="2D687FBF"/>
    <w:rsid w:val="2D6C4A4A"/>
    <w:rsid w:val="2D8A7021"/>
    <w:rsid w:val="2D9C4F6B"/>
    <w:rsid w:val="2E1F2D74"/>
    <w:rsid w:val="2E7806D6"/>
    <w:rsid w:val="2EC8785D"/>
    <w:rsid w:val="2F3960B7"/>
    <w:rsid w:val="2F68074A"/>
    <w:rsid w:val="2FBA5EDC"/>
    <w:rsid w:val="2FD41BFC"/>
    <w:rsid w:val="2FE853E7"/>
    <w:rsid w:val="2FF93442"/>
    <w:rsid w:val="300A35B0"/>
    <w:rsid w:val="3043740F"/>
    <w:rsid w:val="305807BF"/>
    <w:rsid w:val="30865E1D"/>
    <w:rsid w:val="308E5F8F"/>
    <w:rsid w:val="30B579BF"/>
    <w:rsid w:val="30D23ED2"/>
    <w:rsid w:val="30D64D73"/>
    <w:rsid w:val="3119625B"/>
    <w:rsid w:val="315471D8"/>
    <w:rsid w:val="31E700F2"/>
    <w:rsid w:val="31F500A1"/>
    <w:rsid w:val="320F1351"/>
    <w:rsid w:val="321A1DE0"/>
    <w:rsid w:val="322873BD"/>
    <w:rsid w:val="322F554F"/>
    <w:rsid w:val="3276317E"/>
    <w:rsid w:val="32B55A55"/>
    <w:rsid w:val="32CC36BF"/>
    <w:rsid w:val="32E922D7"/>
    <w:rsid w:val="32EB76C8"/>
    <w:rsid w:val="331C6092"/>
    <w:rsid w:val="3321133C"/>
    <w:rsid w:val="3351311A"/>
    <w:rsid w:val="33610A26"/>
    <w:rsid w:val="33D30C84"/>
    <w:rsid w:val="33D71736"/>
    <w:rsid w:val="33FC5905"/>
    <w:rsid w:val="343B743F"/>
    <w:rsid w:val="343D21A6"/>
    <w:rsid w:val="343E7CCC"/>
    <w:rsid w:val="344C561A"/>
    <w:rsid w:val="34745E56"/>
    <w:rsid w:val="34942F0E"/>
    <w:rsid w:val="349F158C"/>
    <w:rsid w:val="35331788"/>
    <w:rsid w:val="355E6877"/>
    <w:rsid w:val="35C74E92"/>
    <w:rsid w:val="35D10F79"/>
    <w:rsid w:val="35D1112E"/>
    <w:rsid w:val="35ED7BFB"/>
    <w:rsid w:val="360B5E16"/>
    <w:rsid w:val="36136D0A"/>
    <w:rsid w:val="361A4FF4"/>
    <w:rsid w:val="3627057C"/>
    <w:rsid w:val="36445A95"/>
    <w:rsid w:val="364E0849"/>
    <w:rsid w:val="3667386B"/>
    <w:rsid w:val="36B10C29"/>
    <w:rsid w:val="36D6243D"/>
    <w:rsid w:val="36DF7544"/>
    <w:rsid w:val="373D24BC"/>
    <w:rsid w:val="373F44A3"/>
    <w:rsid w:val="374B5AF8"/>
    <w:rsid w:val="374E6478"/>
    <w:rsid w:val="37B2264E"/>
    <w:rsid w:val="37DC3A83"/>
    <w:rsid w:val="37F67499"/>
    <w:rsid w:val="38014680"/>
    <w:rsid w:val="38267B9B"/>
    <w:rsid w:val="38697764"/>
    <w:rsid w:val="38926C41"/>
    <w:rsid w:val="38AD17EB"/>
    <w:rsid w:val="392C0A3B"/>
    <w:rsid w:val="39424B74"/>
    <w:rsid w:val="39447B32"/>
    <w:rsid w:val="397C544B"/>
    <w:rsid w:val="399C1237"/>
    <w:rsid w:val="39B527DE"/>
    <w:rsid w:val="39CD1864"/>
    <w:rsid w:val="3A3A2CE3"/>
    <w:rsid w:val="3A8F1281"/>
    <w:rsid w:val="3A900B55"/>
    <w:rsid w:val="3AA665E2"/>
    <w:rsid w:val="3AB42A96"/>
    <w:rsid w:val="3AC6324C"/>
    <w:rsid w:val="3ADE5D64"/>
    <w:rsid w:val="3AE8273F"/>
    <w:rsid w:val="3B294DC3"/>
    <w:rsid w:val="3B46796D"/>
    <w:rsid w:val="3B61689A"/>
    <w:rsid w:val="3B691AD2"/>
    <w:rsid w:val="3B697A33"/>
    <w:rsid w:val="3BA541E0"/>
    <w:rsid w:val="3BC27434"/>
    <w:rsid w:val="3C2D0D52"/>
    <w:rsid w:val="3C4D6CFE"/>
    <w:rsid w:val="3C544530"/>
    <w:rsid w:val="3C7E77FF"/>
    <w:rsid w:val="3CF96B37"/>
    <w:rsid w:val="3CFA5C50"/>
    <w:rsid w:val="3D6168CB"/>
    <w:rsid w:val="3DA02E6A"/>
    <w:rsid w:val="3DA97DAA"/>
    <w:rsid w:val="3DD32C78"/>
    <w:rsid w:val="3E40209B"/>
    <w:rsid w:val="3E4156DC"/>
    <w:rsid w:val="3E612F34"/>
    <w:rsid w:val="3EB16BD6"/>
    <w:rsid w:val="3EC97461"/>
    <w:rsid w:val="3F152FAD"/>
    <w:rsid w:val="3F30190B"/>
    <w:rsid w:val="3F3109A9"/>
    <w:rsid w:val="3F36616F"/>
    <w:rsid w:val="3F3E5E4B"/>
    <w:rsid w:val="3F59082E"/>
    <w:rsid w:val="3F5D36FC"/>
    <w:rsid w:val="3F833841"/>
    <w:rsid w:val="3FAF7CCF"/>
    <w:rsid w:val="40302BBE"/>
    <w:rsid w:val="40B90E06"/>
    <w:rsid w:val="40E345BE"/>
    <w:rsid w:val="40EB0D7A"/>
    <w:rsid w:val="41765F5A"/>
    <w:rsid w:val="417E204F"/>
    <w:rsid w:val="41A2478F"/>
    <w:rsid w:val="41A27AEC"/>
    <w:rsid w:val="421742D4"/>
    <w:rsid w:val="421F738E"/>
    <w:rsid w:val="42334F9F"/>
    <w:rsid w:val="428914FE"/>
    <w:rsid w:val="42B605BA"/>
    <w:rsid w:val="42C13F64"/>
    <w:rsid w:val="42F72B39"/>
    <w:rsid w:val="42F80640"/>
    <w:rsid w:val="43300440"/>
    <w:rsid w:val="43543068"/>
    <w:rsid w:val="43944DF9"/>
    <w:rsid w:val="43A322E2"/>
    <w:rsid w:val="43C03ED8"/>
    <w:rsid w:val="43D63D74"/>
    <w:rsid w:val="44150E3F"/>
    <w:rsid w:val="442347E8"/>
    <w:rsid w:val="4469669F"/>
    <w:rsid w:val="44711559"/>
    <w:rsid w:val="44A13649"/>
    <w:rsid w:val="44A27E03"/>
    <w:rsid w:val="44AA399F"/>
    <w:rsid w:val="44DF5D3F"/>
    <w:rsid w:val="451D65DD"/>
    <w:rsid w:val="45327E35"/>
    <w:rsid w:val="453C76F4"/>
    <w:rsid w:val="453E18DA"/>
    <w:rsid w:val="459C6CDB"/>
    <w:rsid w:val="45D60A99"/>
    <w:rsid w:val="45F12A5E"/>
    <w:rsid w:val="460C19D8"/>
    <w:rsid w:val="462E4906"/>
    <w:rsid w:val="46B34F8B"/>
    <w:rsid w:val="46BB09F6"/>
    <w:rsid w:val="46CE7B4A"/>
    <w:rsid w:val="46E26BDC"/>
    <w:rsid w:val="470276B2"/>
    <w:rsid w:val="472C4C55"/>
    <w:rsid w:val="47627777"/>
    <w:rsid w:val="47727F60"/>
    <w:rsid w:val="47AB6FCE"/>
    <w:rsid w:val="47E334DF"/>
    <w:rsid w:val="47F96828"/>
    <w:rsid w:val="486A6E89"/>
    <w:rsid w:val="486F44A0"/>
    <w:rsid w:val="48A06C6D"/>
    <w:rsid w:val="49060960"/>
    <w:rsid w:val="492B3326"/>
    <w:rsid w:val="493059DD"/>
    <w:rsid w:val="49896373"/>
    <w:rsid w:val="498B5309"/>
    <w:rsid w:val="499C12C5"/>
    <w:rsid w:val="499E503D"/>
    <w:rsid w:val="49AB1508"/>
    <w:rsid w:val="49C32CF5"/>
    <w:rsid w:val="49FA5FEB"/>
    <w:rsid w:val="4A0F5F3A"/>
    <w:rsid w:val="4A464097"/>
    <w:rsid w:val="4ADF3B5F"/>
    <w:rsid w:val="4B125CE2"/>
    <w:rsid w:val="4B1A0571"/>
    <w:rsid w:val="4B4A7B6A"/>
    <w:rsid w:val="4B983D0E"/>
    <w:rsid w:val="4B9F509C"/>
    <w:rsid w:val="4BC80BED"/>
    <w:rsid w:val="4BDC6CF8"/>
    <w:rsid w:val="4BEE4235"/>
    <w:rsid w:val="4C137FAF"/>
    <w:rsid w:val="4C3677AE"/>
    <w:rsid w:val="4C465B56"/>
    <w:rsid w:val="4C59349D"/>
    <w:rsid w:val="4C7354D5"/>
    <w:rsid w:val="4CA77FB6"/>
    <w:rsid w:val="4CAC6F1D"/>
    <w:rsid w:val="4CEF6FC4"/>
    <w:rsid w:val="4CF66F3E"/>
    <w:rsid w:val="4D453A21"/>
    <w:rsid w:val="4D470EE5"/>
    <w:rsid w:val="4D7112B5"/>
    <w:rsid w:val="4D8C1117"/>
    <w:rsid w:val="4DB31898"/>
    <w:rsid w:val="4DCB0F30"/>
    <w:rsid w:val="4DFC0584"/>
    <w:rsid w:val="4E06542A"/>
    <w:rsid w:val="4E086F29"/>
    <w:rsid w:val="4E3221F7"/>
    <w:rsid w:val="4E600B13"/>
    <w:rsid w:val="4E7E371F"/>
    <w:rsid w:val="4EAC1FAA"/>
    <w:rsid w:val="4F0C7024"/>
    <w:rsid w:val="4F380341"/>
    <w:rsid w:val="4F4A3571"/>
    <w:rsid w:val="4F9D5D96"/>
    <w:rsid w:val="4FB216C3"/>
    <w:rsid w:val="4FEF0804"/>
    <w:rsid w:val="4FF95F8B"/>
    <w:rsid w:val="5069103C"/>
    <w:rsid w:val="50863BA3"/>
    <w:rsid w:val="50D46B08"/>
    <w:rsid w:val="510F3A86"/>
    <w:rsid w:val="51255A35"/>
    <w:rsid w:val="518A7817"/>
    <w:rsid w:val="51A451BA"/>
    <w:rsid w:val="51EE7F7C"/>
    <w:rsid w:val="520D53A9"/>
    <w:rsid w:val="522B4FA8"/>
    <w:rsid w:val="523753C9"/>
    <w:rsid w:val="52410C5B"/>
    <w:rsid w:val="52506A55"/>
    <w:rsid w:val="528A0854"/>
    <w:rsid w:val="52C84ED8"/>
    <w:rsid w:val="52CA29FF"/>
    <w:rsid w:val="52F30D1F"/>
    <w:rsid w:val="5313262A"/>
    <w:rsid w:val="535D027D"/>
    <w:rsid w:val="53603363"/>
    <w:rsid w:val="53A17FF4"/>
    <w:rsid w:val="53BB4A3D"/>
    <w:rsid w:val="53BF536C"/>
    <w:rsid w:val="53EB5057"/>
    <w:rsid w:val="53F35F85"/>
    <w:rsid w:val="541F2895"/>
    <w:rsid w:val="5429409D"/>
    <w:rsid w:val="545A24A8"/>
    <w:rsid w:val="545C1D7C"/>
    <w:rsid w:val="547E7F44"/>
    <w:rsid w:val="54927CF6"/>
    <w:rsid w:val="54E106CE"/>
    <w:rsid w:val="54E47ED0"/>
    <w:rsid w:val="54F2623D"/>
    <w:rsid w:val="54FD438D"/>
    <w:rsid w:val="550353B8"/>
    <w:rsid w:val="552830AF"/>
    <w:rsid w:val="552C2EC0"/>
    <w:rsid w:val="5546361F"/>
    <w:rsid w:val="554E366F"/>
    <w:rsid w:val="555251D5"/>
    <w:rsid w:val="555B64D8"/>
    <w:rsid w:val="555D12ED"/>
    <w:rsid w:val="556C62F0"/>
    <w:rsid w:val="558B219B"/>
    <w:rsid w:val="56243BF4"/>
    <w:rsid w:val="566A0BDF"/>
    <w:rsid w:val="567D5154"/>
    <w:rsid w:val="56C02A99"/>
    <w:rsid w:val="56D014DF"/>
    <w:rsid w:val="56DF6039"/>
    <w:rsid w:val="56E66275"/>
    <w:rsid w:val="56FC7846"/>
    <w:rsid w:val="570B1838"/>
    <w:rsid w:val="571E156B"/>
    <w:rsid w:val="5740208C"/>
    <w:rsid w:val="5740490C"/>
    <w:rsid w:val="575536ED"/>
    <w:rsid w:val="57781E36"/>
    <w:rsid w:val="57A74D78"/>
    <w:rsid w:val="57E24C8E"/>
    <w:rsid w:val="58237473"/>
    <w:rsid w:val="58450B68"/>
    <w:rsid w:val="589870FB"/>
    <w:rsid w:val="58B45F80"/>
    <w:rsid w:val="58D740C7"/>
    <w:rsid w:val="590D1897"/>
    <w:rsid w:val="593C217C"/>
    <w:rsid w:val="5999137D"/>
    <w:rsid w:val="5A102BB9"/>
    <w:rsid w:val="5A236E98"/>
    <w:rsid w:val="5A2F1CE1"/>
    <w:rsid w:val="5A62218C"/>
    <w:rsid w:val="5A864198"/>
    <w:rsid w:val="5ABF6EB9"/>
    <w:rsid w:val="5AC25AE6"/>
    <w:rsid w:val="5AC42E7D"/>
    <w:rsid w:val="5B062A42"/>
    <w:rsid w:val="5B286E5C"/>
    <w:rsid w:val="5B2D6220"/>
    <w:rsid w:val="5B340B71"/>
    <w:rsid w:val="5B4A6138"/>
    <w:rsid w:val="5B507A5E"/>
    <w:rsid w:val="5B5E178C"/>
    <w:rsid w:val="5B7D3E40"/>
    <w:rsid w:val="5BA85880"/>
    <w:rsid w:val="5BBE0E30"/>
    <w:rsid w:val="5CBC1B3E"/>
    <w:rsid w:val="5CF52036"/>
    <w:rsid w:val="5D144F38"/>
    <w:rsid w:val="5D1F2257"/>
    <w:rsid w:val="5D3025C8"/>
    <w:rsid w:val="5D3A352A"/>
    <w:rsid w:val="5D795F6D"/>
    <w:rsid w:val="5D8579FD"/>
    <w:rsid w:val="5DE70005"/>
    <w:rsid w:val="5E324AF8"/>
    <w:rsid w:val="5E50299B"/>
    <w:rsid w:val="5E652175"/>
    <w:rsid w:val="5E8F7AC1"/>
    <w:rsid w:val="5E9B7945"/>
    <w:rsid w:val="5ED52E57"/>
    <w:rsid w:val="5EF32416"/>
    <w:rsid w:val="5EFB0EFD"/>
    <w:rsid w:val="5F3E69CE"/>
    <w:rsid w:val="5F592854"/>
    <w:rsid w:val="5F645E8C"/>
    <w:rsid w:val="5F8959EF"/>
    <w:rsid w:val="5FDC1FC3"/>
    <w:rsid w:val="5FE27CDB"/>
    <w:rsid w:val="6008663C"/>
    <w:rsid w:val="60310561"/>
    <w:rsid w:val="604A5C07"/>
    <w:rsid w:val="605424A1"/>
    <w:rsid w:val="60651FB9"/>
    <w:rsid w:val="60956CE9"/>
    <w:rsid w:val="60CF38D6"/>
    <w:rsid w:val="60D33F85"/>
    <w:rsid w:val="60D373D4"/>
    <w:rsid w:val="60DE326C"/>
    <w:rsid w:val="60F514A7"/>
    <w:rsid w:val="6135148C"/>
    <w:rsid w:val="614E7EE6"/>
    <w:rsid w:val="61B52ACC"/>
    <w:rsid w:val="61CA2A1B"/>
    <w:rsid w:val="61E433B1"/>
    <w:rsid w:val="61F61B53"/>
    <w:rsid w:val="61FF4ABA"/>
    <w:rsid w:val="62056F76"/>
    <w:rsid w:val="620F042E"/>
    <w:rsid w:val="62373E29"/>
    <w:rsid w:val="623D774F"/>
    <w:rsid w:val="623E0D13"/>
    <w:rsid w:val="62791D57"/>
    <w:rsid w:val="62D35345"/>
    <w:rsid w:val="62D653F0"/>
    <w:rsid w:val="62DC3CFB"/>
    <w:rsid w:val="63041BFB"/>
    <w:rsid w:val="631269A0"/>
    <w:rsid w:val="631E0807"/>
    <w:rsid w:val="64153CF6"/>
    <w:rsid w:val="64526CF8"/>
    <w:rsid w:val="6457430E"/>
    <w:rsid w:val="64662CCF"/>
    <w:rsid w:val="6469773A"/>
    <w:rsid w:val="64857089"/>
    <w:rsid w:val="64D63485"/>
    <w:rsid w:val="64DA2ADC"/>
    <w:rsid w:val="65080569"/>
    <w:rsid w:val="65102E3B"/>
    <w:rsid w:val="651D4188"/>
    <w:rsid w:val="65841133"/>
    <w:rsid w:val="65A87ECA"/>
    <w:rsid w:val="65B33BEC"/>
    <w:rsid w:val="65FA69A9"/>
    <w:rsid w:val="66212E26"/>
    <w:rsid w:val="66321666"/>
    <w:rsid w:val="669E42B5"/>
    <w:rsid w:val="66A4586B"/>
    <w:rsid w:val="66AF4C73"/>
    <w:rsid w:val="66E17CE4"/>
    <w:rsid w:val="671C3FB3"/>
    <w:rsid w:val="677130A1"/>
    <w:rsid w:val="677B1F86"/>
    <w:rsid w:val="67BA708E"/>
    <w:rsid w:val="67D13936"/>
    <w:rsid w:val="67DA0982"/>
    <w:rsid w:val="67E266DE"/>
    <w:rsid w:val="68106CAE"/>
    <w:rsid w:val="681646F1"/>
    <w:rsid w:val="6873723D"/>
    <w:rsid w:val="68887A85"/>
    <w:rsid w:val="688D300E"/>
    <w:rsid w:val="68A11FFC"/>
    <w:rsid w:val="68B71DBC"/>
    <w:rsid w:val="68C87588"/>
    <w:rsid w:val="68F71C1C"/>
    <w:rsid w:val="68FE1A22"/>
    <w:rsid w:val="690E50A9"/>
    <w:rsid w:val="69180463"/>
    <w:rsid w:val="69181B01"/>
    <w:rsid w:val="694C1F68"/>
    <w:rsid w:val="69780837"/>
    <w:rsid w:val="6984294B"/>
    <w:rsid w:val="69C77840"/>
    <w:rsid w:val="69D0012E"/>
    <w:rsid w:val="69DC0241"/>
    <w:rsid w:val="69DD18D6"/>
    <w:rsid w:val="69E46644"/>
    <w:rsid w:val="6A1F745E"/>
    <w:rsid w:val="6A350C4E"/>
    <w:rsid w:val="6AB04778"/>
    <w:rsid w:val="6AB87A25"/>
    <w:rsid w:val="6AC34955"/>
    <w:rsid w:val="6AD370E6"/>
    <w:rsid w:val="6AD45CD0"/>
    <w:rsid w:val="6B0E066F"/>
    <w:rsid w:val="6BB422D8"/>
    <w:rsid w:val="6BCB0EE9"/>
    <w:rsid w:val="6C3659BD"/>
    <w:rsid w:val="6C44161C"/>
    <w:rsid w:val="6C727F37"/>
    <w:rsid w:val="6C787517"/>
    <w:rsid w:val="6C95040D"/>
    <w:rsid w:val="6CB322FE"/>
    <w:rsid w:val="6CB542C8"/>
    <w:rsid w:val="6CC664D5"/>
    <w:rsid w:val="6CCD33BF"/>
    <w:rsid w:val="6D0D2A3E"/>
    <w:rsid w:val="6DAE53F9"/>
    <w:rsid w:val="6E096BA4"/>
    <w:rsid w:val="6E533773"/>
    <w:rsid w:val="6E8A3EFB"/>
    <w:rsid w:val="6E9248C1"/>
    <w:rsid w:val="6ECE183D"/>
    <w:rsid w:val="6EDC3E65"/>
    <w:rsid w:val="6F423F95"/>
    <w:rsid w:val="6F6224EC"/>
    <w:rsid w:val="6F76083C"/>
    <w:rsid w:val="6F933D7C"/>
    <w:rsid w:val="6FA21C45"/>
    <w:rsid w:val="6FCA1E38"/>
    <w:rsid w:val="6FD3454E"/>
    <w:rsid w:val="7046283D"/>
    <w:rsid w:val="705426F3"/>
    <w:rsid w:val="70826F57"/>
    <w:rsid w:val="70CC520D"/>
    <w:rsid w:val="710E5EDF"/>
    <w:rsid w:val="7128128D"/>
    <w:rsid w:val="71445C1A"/>
    <w:rsid w:val="71D97200"/>
    <w:rsid w:val="71EF5B86"/>
    <w:rsid w:val="72227D09"/>
    <w:rsid w:val="722A12B4"/>
    <w:rsid w:val="72395012"/>
    <w:rsid w:val="728C4565"/>
    <w:rsid w:val="72E70F53"/>
    <w:rsid w:val="7306762B"/>
    <w:rsid w:val="730F7446"/>
    <w:rsid w:val="735F4F8D"/>
    <w:rsid w:val="736305DA"/>
    <w:rsid w:val="73750E39"/>
    <w:rsid w:val="73A1609D"/>
    <w:rsid w:val="73B01345"/>
    <w:rsid w:val="73BA34EB"/>
    <w:rsid w:val="73C31078"/>
    <w:rsid w:val="73F25E01"/>
    <w:rsid w:val="73F27BAF"/>
    <w:rsid w:val="73FA488D"/>
    <w:rsid w:val="740A3453"/>
    <w:rsid w:val="749E4116"/>
    <w:rsid w:val="74AE64EB"/>
    <w:rsid w:val="74D30172"/>
    <w:rsid w:val="75104791"/>
    <w:rsid w:val="757B56CA"/>
    <w:rsid w:val="75814D02"/>
    <w:rsid w:val="75E95B16"/>
    <w:rsid w:val="75EC09C9"/>
    <w:rsid w:val="76022B63"/>
    <w:rsid w:val="763C15B6"/>
    <w:rsid w:val="7645046A"/>
    <w:rsid w:val="766957AF"/>
    <w:rsid w:val="76696B66"/>
    <w:rsid w:val="766F7295"/>
    <w:rsid w:val="76BD6322"/>
    <w:rsid w:val="76CF3B75"/>
    <w:rsid w:val="76D025F8"/>
    <w:rsid w:val="76EE0498"/>
    <w:rsid w:val="770E633A"/>
    <w:rsid w:val="7725204A"/>
    <w:rsid w:val="772750DB"/>
    <w:rsid w:val="77336515"/>
    <w:rsid w:val="77361AE6"/>
    <w:rsid w:val="775C1F10"/>
    <w:rsid w:val="781520BE"/>
    <w:rsid w:val="78191BAF"/>
    <w:rsid w:val="785276AB"/>
    <w:rsid w:val="7853175D"/>
    <w:rsid w:val="789B25C4"/>
    <w:rsid w:val="78FB7506"/>
    <w:rsid w:val="79002D6F"/>
    <w:rsid w:val="79112886"/>
    <w:rsid w:val="79336CA0"/>
    <w:rsid w:val="796055BB"/>
    <w:rsid w:val="79CD5799"/>
    <w:rsid w:val="79CE4C1B"/>
    <w:rsid w:val="79D7762B"/>
    <w:rsid w:val="79E00282"/>
    <w:rsid w:val="79F53F55"/>
    <w:rsid w:val="7A0348D0"/>
    <w:rsid w:val="7A826E51"/>
    <w:rsid w:val="7A8772A3"/>
    <w:rsid w:val="7AA64AEE"/>
    <w:rsid w:val="7ACD0560"/>
    <w:rsid w:val="7AD24979"/>
    <w:rsid w:val="7AD87AFF"/>
    <w:rsid w:val="7AE2097E"/>
    <w:rsid w:val="7AEA1E0E"/>
    <w:rsid w:val="7AFE508C"/>
    <w:rsid w:val="7B0363F4"/>
    <w:rsid w:val="7B9A4DB4"/>
    <w:rsid w:val="7C2E56AF"/>
    <w:rsid w:val="7C43369E"/>
    <w:rsid w:val="7C5E4034"/>
    <w:rsid w:val="7CD51E1C"/>
    <w:rsid w:val="7CF15EFA"/>
    <w:rsid w:val="7D092EDC"/>
    <w:rsid w:val="7D1E159E"/>
    <w:rsid w:val="7D581EF7"/>
    <w:rsid w:val="7D8950E1"/>
    <w:rsid w:val="7D9817C8"/>
    <w:rsid w:val="7DC72CBA"/>
    <w:rsid w:val="7DCE51E9"/>
    <w:rsid w:val="7DD41A0F"/>
    <w:rsid w:val="7E1150D6"/>
    <w:rsid w:val="7E301A00"/>
    <w:rsid w:val="7E730D4D"/>
    <w:rsid w:val="7E874C11"/>
    <w:rsid w:val="7E8E4BE9"/>
    <w:rsid w:val="7ED56104"/>
    <w:rsid w:val="7F017163"/>
    <w:rsid w:val="7F743BAB"/>
    <w:rsid w:val="7F7E679B"/>
    <w:rsid w:val="7F8B59A9"/>
    <w:rsid w:val="7F9F508F"/>
    <w:rsid w:val="7FAA4F75"/>
    <w:rsid w:val="7FCD0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2">
    <w:name w:val="heading 2"/>
    <w:basedOn w:val="1"/>
    <w:next w:val="1"/>
    <w:qFormat/>
    <w:uiPriority w:val="0"/>
    <w:pPr>
      <w:keepNext/>
      <w:keepLines/>
      <w:spacing w:before="260" w:beforeLines="0" w:after="260" w:afterLines="0" w:line="415"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5" w:lineRule="auto"/>
      <w:outlineLvl w:val="2"/>
    </w:pPr>
    <w:rPr>
      <w:b/>
      <w:bCs/>
      <w:kern w:val="0"/>
      <w:sz w:val="32"/>
      <w:szCs w:val="32"/>
    </w:rPr>
  </w:style>
  <w:style w:type="paragraph" w:styleId="5">
    <w:name w:val="heading 4"/>
    <w:basedOn w:val="1"/>
    <w:next w:val="6"/>
    <w:qFormat/>
    <w:uiPriority w:val="0"/>
    <w:pPr>
      <w:keepNext/>
      <w:keepLines/>
      <w:spacing w:before="280" w:beforeLines="0" w:after="290" w:afterLines="0" w:line="374" w:lineRule="auto"/>
      <w:outlineLvl w:val="3"/>
    </w:pPr>
    <w:rPr>
      <w:rFonts w:ascii="Arial" w:hAnsi="Arial" w:eastAsia="黑体"/>
      <w:b/>
      <w:bCs/>
      <w:sz w:val="28"/>
      <w:szCs w:val="28"/>
    </w:rPr>
  </w:style>
  <w:style w:type="paragraph" w:styleId="7">
    <w:name w:val="heading 5"/>
    <w:basedOn w:val="1"/>
    <w:next w:val="1"/>
    <w:qFormat/>
    <w:uiPriority w:val="0"/>
    <w:pPr>
      <w:keepNext/>
      <w:keepLines/>
      <w:spacing w:before="280" w:beforeLines="0" w:after="290" w:afterLines="0" w:line="376" w:lineRule="auto"/>
      <w:outlineLvl w:val="4"/>
    </w:pPr>
    <w:rPr>
      <w:b/>
      <w:bCs/>
      <w:sz w:val="28"/>
      <w:szCs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8">
    <w:name w:val="toc 7"/>
    <w:basedOn w:val="1"/>
    <w:next w:val="1"/>
    <w:qFormat/>
    <w:uiPriority w:val="39"/>
    <w:pPr>
      <w:ind w:left="1260"/>
      <w:jc w:val="left"/>
    </w:pPr>
    <w:rPr>
      <w:sz w:val="18"/>
      <w:szCs w:val="18"/>
    </w:rPr>
  </w:style>
  <w:style w:type="paragraph" w:styleId="9">
    <w:name w:val="annotation text"/>
    <w:basedOn w:val="1"/>
    <w:qFormat/>
    <w:uiPriority w:val="0"/>
    <w:pPr>
      <w:jc w:val="left"/>
    </w:pPr>
  </w:style>
  <w:style w:type="paragraph" w:styleId="10">
    <w:name w:val="Body Text 3"/>
    <w:basedOn w:val="1"/>
    <w:qFormat/>
    <w:uiPriority w:val="0"/>
    <w:rPr>
      <w:rFonts w:ascii="宋体"/>
      <w:sz w:val="24"/>
      <w:szCs w:val="20"/>
    </w:rPr>
  </w:style>
  <w:style w:type="paragraph" w:styleId="11">
    <w:name w:val="Body Text"/>
    <w:basedOn w:val="1"/>
    <w:qFormat/>
    <w:uiPriority w:val="0"/>
    <w:pPr>
      <w:spacing w:after="120" w:afterLines="0"/>
    </w:pPr>
  </w:style>
  <w:style w:type="paragraph" w:styleId="12">
    <w:name w:val="Body Text Indent"/>
    <w:basedOn w:val="1"/>
    <w:next w:val="13"/>
    <w:qFormat/>
    <w:uiPriority w:val="99"/>
    <w:pPr>
      <w:spacing w:after="120" w:afterLines="0"/>
      <w:ind w:left="420" w:leftChars="200"/>
    </w:pPr>
  </w:style>
  <w:style w:type="paragraph" w:styleId="13">
    <w:name w:val="envelope return"/>
    <w:basedOn w:val="1"/>
    <w:next w:val="8"/>
    <w:qFormat/>
    <w:uiPriority w:val="0"/>
    <w:pPr>
      <w:snapToGrid w:val="0"/>
    </w:pPr>
    <w:rPr>
      <w:rFonts w:ascii="Arial" w:hAnsi="Arial"/>
    </w:rPr>
  </w:style>
  <w:style w:type="paragraph" w:styleId="14">
    <w:name w:val="footer"/>
    <w:basedOn w:val="1"/>
    <w:qFormat/>
    <w:uiPriority w:val="99"/>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20" w:beforeLines="0" w:after="120" w:afterLines="0"/>
      <w:jc w:val="left"/>
    </w:pPr>
    <w:rPr>
      <w:b/>
      <w:bCs/>
      <w:caps/>
      <w:sz w:val="20"/>
      <w:szCs w:val="20"/>
    </w:rPr>
  </w:style>
  <w:style w:type="paragraph" w:styleId="17">
    <w:name w:val="footnote text"/>
    <w:basedOn w:val="1"/>
    <w:qFormat/>
    <w:uiPriority w:val="0"/>
    <w:rPr>
      <w:sz w:val="20"/>
      <w:szCs w:val="20"/>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index 1"/>
    <w:basedOn w:val="1"/>
    <w:next w:val="1"/>
    <w:uiPriority w:val="0"/>
  </w:style>
  <w:style w:type="paragraph" w:styleId="20">
    <w:name w:val="Body Text First Indent 2"/>
    <w:basedOn w:val="12"/>
    <w:next w:val="1"/>
    <w:qFormat/>
    <w:uiPriority w:val="99"/>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character" w:styleId="25">
    <w:name w:val="FollowedHyperlink"/>
    <w:basedOn w:val="23"/>
    <w:qFormat/>
    <w:uiPriority w:val="0"/>
    <w:rPr>
      <w:color w:val="5C5C5C"/>
      <w:u w:val="none"/>
    </w:rPr>
  </w:style>
  <w:style w:type="character" w:styleId="26">
    <w:name w:val="Emphasis"/>
    <w:basedOn w:val="23"/>
    <w:qFormat/>
    <w:uiPriority w:val="0"/>
    <w:rPr>
      <w:b/>
      <w:bCs/>
    </w:rPr>
  </w:style>
  <w:style w:type="character" w:styleId="27">
    <w:name w:val="HTML Definition"/>
    <w:basedOn w:val="23"/>
    <w:qFormat/>
    <w:uiPriority w:val="0"/>
  </w:style>
  <w:style w:type="character" w:styleId="28">
    <w:name w:val="HTML Typewriter"/>
    <w:basedOn w:val="23"/>
    <w:qFormat/>
    <w:uiPriority w:val="0"/>
    <w:rPr>
      <w:rFonts w:hint="default" w:ascii="monospace" w:hAnsi="monospace" w:eastAsia="monospace" w:cs="monospace"/>
      <w:sz w:val="20"/>
    </w:rPr>
  </w:style>
  <w:style w:type="character" w:styleId="29">
    <w:name w:val="HTML Acronym"/>
    <w:basedOn w:val="23"/>
    <w:qFormat/>
    <w:uiPriority w:val="0"/>
    <w:rPr>
      <w:vanish/>
    </w:rPr>
  </w:style>
  <w:style w:type="character" w:styleId="30">
    <w:name w:val="HTML Variable"/>
    <w:basedOn w:val="23"/>
    <w:qFormat/>
    <w:uiPriority w:val="0"/>
    <w:rPr>
      <w:bdr w:val="single" w:color="EBEBEB" w:sz="6" w:space="0"/>
      <w:shd w:val="clear" w:fill="FFFFFF"/>
    </w:rPr>
  </w:style>
  <w:style w:type="character" w:styleId="31">
    <w:name w:val="Hyperlink"/>
    <w:qFormat/>
    <w:uiPriority w:val="99"/>
    <w:rPr>
      <w:color w:val="333333"/>
      <w:u w:val="none"/>
    </w:rPr>
  </w:style>
  <w:style w:type="character" w:styleId="32">
    <w:name w:val="HTML Code"/>
    <w:basedOn w:val="23"/>
    <w:qFormat/>
    <w:uiPriority w:val="0"/>
    <w:rPr>
      <w:rFonts w:ascii="monospace" w:hAnsi="monospace" w:eastAsia="monospace" w:cs="monospace"/>
      <w:sz w:val="20"/>
    </w:rPr>
  </w:style>
  <w:style w:type="character" w:styleId="33">
    <w:name w:val="HTML Cite"/>
    <w:basedOn w:val="23"/>
    <w:qFormat/>
    <w:uiPriority w:val="0"/>
  </w:style>
  <w:style w:type="character" w:styleId="34">
    <w:name w:val="footnote reference"/>
    <w:qFormat/>
    <w:uiPriority w:val="0"/>
    <w:rPr>
      <w:vertAlign w:val="superscript"/>
    </w:rPr>
  </w:style>
  <w:style w:type="character" w:styleId="35">
    <w:name w:val="HTML Keyboard"/>
    <w:basedOn w:val="23"/>
    <w:qFormat/>
    <w:uiPriority w:val="0"/>
    <w:rPr>
      <w:rFonts w:hint="default" w:ascii="monospace" w:hAnsi="monospace" w:eastAsia="monospace" w:cs="monospace"/>
      <w:sz w:val="20"/>
    </w:rPr>
  </w:style>
  <w:style w:type="character" w:styleId="36">
    <w:name w:val="HTML Sample"/>
    <w:basedOn w:val="23"/>
    <w:qFormat/>
    <w:uiPriority w:val="0"/>
    <w:rPr>
      <w:rFonts w:hint="default" w:ascii="monospace" w:hAnsi="monospace" w:eastAsia="monospace" w:cs="monospace"/>
      <w:sz w:val="21"/>
      <w:szCs w:val="21"/>
    </w:rPr>
  </w:style>
  <w:style w:type="paragraph" w:customStyle="1" w:styleId="37">
    <w:name w:val="_Style 11"/>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38">
    <w:name w:val="p0"/>
    <w:basedOn w:val="1"/>
    <w:qFormat/>
    <w:uiPriority w:val="0"/>
    <w:pPr>
      <w:widowControl/>
    </w:pPr>
    <w:rPr>
      <w:kern w:val="0"/>
      <w:szCs w:val="21"/>
    </w:rPr>
  </w:style>
  <w:style w:type="paragraph" w:customStyle="1" w:styleId="39">
    <w:name w:val="Table Paragraph"/>
    <w:basedOn w:val="1"/>
    <w:qFormat/>
    <w:uiPriority w:val="1"/>
    <w:rPr>
      <w:rFonts w:ascii="宋体" w:hAnsi="宋体" w:eastAsia="宋体" w:cs="宋体"/>
      <w:lang w:val="zh-CN" w:eastAsia="zh-CN" w:bidi="zh-CN"/>
    </w:rPr>
  </w:style>
  <w:style w:type="paragraph" w:customStyle="1" w:styleId="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1"/>
    <w:basedOn w:val="1"/>
    <w:qFormat/>
    <w:uiPriority w:val="34"/>
    <w:pPr>
      <w:ind w:firstLine="420" w:firstLineChars="200"/>
    </w:pPr>
  </w:style>
  <w:style w:type="paragraph" w:customStyle="1" w:styleId="43">
    <w:name w:val="Table Text"/>
    <w:basedOn w:val="1"/>
    <w:semiHidden/>
    <w:qFormat/>
    <w:uiPriority w:val="0"/>
    <w:rPr>
      <w:rFonts w:ascii="宋体" w:hAnsi="宋体" w:eastAsia="宋体" w:cs="宋体"/>
      <w:sz w:val="18"/>
      <w:szCs w:val="18"/>
      <w:lang w:val="en-US" w:eastAsia="en-US" w:bidi="ar-SA"/>
    </w:rPr>
  </w:style>
  <w:style w:type="table" w:customStyle="1" w:styleId="44">
    <w:name w:val="Table Normal"/>
    <w:unhideWhenUsed/>
    <w:qFormat/>
    <w:uiPriority w:val="0"/>
    <w:tblPr>
      <w:tblCellMar>
        <w:top w:w="0" w:type="dxa"/>
        <w:left w:w="0" w:type="dxa"/>
        <w:bottom w:w="0" w:type="dxa"/>
        <w:right w:w="0" w:type="dxa"/>
      </w:tblCellMar>
    </w:tblPr>
  </w:style>
  <w:style w:type="paragraph" w:customStyle="1" w:styleId="45">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customStyle="1" w:styleId="46">
    <w:name w:val="List Paragraph"/>
    <w:basedOn w:val="1"/>
    <w:qFormat/>
    <w:uiPriority w:val="1"/>
    <w:pPr>
      <w:ind w:left="354" w:firstLine="420"/>
    </w:pPr>
    <w:rPr>
      <w:rFonts w:ascii="宋体" w:hAnsi="宋体" w:eastAsia="宋体" w:cs="宋体"/>
      <w:lang w:val="zh-CN" w:eastAsia="zh-CN" w:bidi="zh-CN"/>
    </w:rPr>
  </w:style>
  <w:style w:type="character" w:customStyle="1" w:styleId="47">
    <w:name w:val="hover"/>
    <w:basedOn w:val="23"/>
    <w:qFormat/>
    <w:uiPriority w:val="0"/>
  </w:style>
  <w:style w:type="character" w:customStyle="1" w:styleId="48">
    <w:name w:val="hover1"/>
    <w:basedOn w:val="23"/>
    <w:qFormat/>
    <w:uiPriority w:val="0"/>
    <w:rPr>
      <w:color w:val="2590EB"/>
    </w:rPr>
  </w:style>
  <w:style w:type="character" w:customStyle="1" w:styleId="49">
    <w:name w:val="hover2"/>
    <w:basedOn w:val="23"/>
    <w:qFormat/>
    <w:uiPriority w:val="0"/>
    <w:rPr>
      <w:color w:val="2590EB"/>
    </w:rPr>
  </w:style>
  <w:style w:type="character" w:customStyle="1" w:styleId="50">
    <w:name w:val="hover3"/>
    <w:basedOn w:val="23"/>
    <w:qFormat/>
    <w:uiPriority w:val="0"/>
    <w:rPr>
      <w:color w:val="2590EB"/>
      <w:shd w:val="clear" w:fill="E9F4FD"/>
    </w:rPr>
  </w:style>
  <w:style w:type="character" w:customStyle="1" w:styleId="51">
    <w:name w:val="mini-outputtext1"/>
    <w:basedOn w:val="23"/>
    <w:qFormat/>
    <w:uiPriority w:val="0"/>
  </w:style>
  <w:style w:type="character" w:customStyle="1" w:styleId="52">
    <w:name w:val="hover4"/>
    <w:basedOn w:val="23"/>
    <w:qFormat/>
    <w:uiPriority w:val="0"/>
  </w:style>
  <w:style w:type="character" w:customStyle="1" w:styleId="53">
    <w:name w:val="first-child"/>
    <w:basedOn w:val="23"/>
    <w:qFormat/>
    <w:uiPriority w:val="0"/>
  </w:style>
  <w:style w:type="character" w:customStyle="1" w:styleId="54">
    <w:name w:val="layui-this"/>
    <w:basedOn w:val="23"/>
    <w:qFormat/>
    <w:uiPriority w:val="0"/>
    <w:rPr>
      <w:bdr w:val="single" w:color="EEEEEE" w:sz="6" w:space="0"/>
      <w:shd w:val="clear" w:fill="FFFFFF"/>
    </w:rPr>
  </w:style>
  <w:style w:type="character" w:customStyle="1" w:styleId="55">
    <w:name w:val="font21"/>
    <w:basedOn w:val="23"/>
    <w:qFormat/>
    <w:uiPriority w:val="0"/>
    <w:rPr>
      <w:rFonts w:hint="default" w:ascii="Times New Roman" w:hAnsi="Times New Roman" w:cs="Times New Roman"/>
      <w:color w:val="000000"/>
      <w:sz w:val="22"/>
      <w:szCs w:val="22"/>
      <w:u w:val="none"/>
    </w:rPr>
  </w:style>
  <w:style w:type="character" w:customStyle="1" w:styleId="56">
    <w:name w:val="font11"/>
    <w:basedOn w:val="23"/>
    <w:qFormat/>
    <w:uiPriority w:val="0"/>
    <w:rPr>
      <w:rFonts w:hint="eastAsia" w:ascii="宋体" w:hAnsi="宋体" w:eastAsia="宋体" w:cs="宋体"/>
      <w:color w:val="000000"/>
      <w:sz w:val="22"/>
      <w:szCs w:val="22"/>
      <w:u w:val="none"/>
    </w:rPr>
  </w:style>
  <w:style w:type="paragraph" w:customStyle="1" w:styleId="57">
    <w:name w:val="范本-表格-宋体-五号-两端对齐"/>
    <w:basedOn w:val="1"/>
    <w:qFormat/>
    <w:uiPriority w:val="0"/>
    <w:pPr>
      <w:adjustRightInd w:val="0"/>
      <w:spacing w:line="400" w:lineRule="exact"/>
    </w:pPr>
    <w:rPr>
      <w:rFonts w:ascii="Calibri" w:hAnsi="Calibri" w:eastAsia="宋体" w:cs="Times New Roman"/>
      <w:szCs w:val="21"/>
    </w:rPr>
  </w:style>
  <w:style w:type="character" w:customStyle="1" w:styleId="58">
    <w:name w:val="font01"/>
    <w:basedOn w:val="23"/>
    <w:qFormat/>
    <w:uiPriority w:val="0"/>
    <w:rPr>
      <w:rFonts w:hint="eastAsia" w:ascii="宋体" w:hAnsi="宋体" w:eastAsia="宋体" w:cs="宋体"/>
      <w:color w:val="000000"/>
      <w:sz w:val="22"/>
      <w:szCs w:val="22"/>
      <w:u w:val="none"/>
    </w:rPr>
  </w:style>
  <w:style w:type="character" w:customStyle="1" w:styleId="59">
    <w:name w:val="font51"/>
    <w:basedOn w:val="23"/>
    <w:qFormat/>
    <w:uiPriority w:val="0"/>
    <w:rPr>
      <w:rFonts w:ascii="Calibri" w:hAnsi="Calibri" w:cs="Calibri"/>
      <w:color w:val="000000"/>
      <w:sz w:val="22"/>
      <w:szCs w:val="22"/>
      <w:u w:val="none"/>
    </w:rPr>
  </w:style>
  <w:style w:type="paragraph" w:customStyle="1" w:styleId="60">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3228a099-6dff-49b3-b435-3afca0c2ee68</errorID>
      <errorWord>(</errorWord>
      <group>L1_Format</group>
      <groupName>格式问题</groupName>
      <ability>L2_HalfPunc_CN</ability>
      <abilityName>全半角问题</abilityName>
      <candidateList>
        <item>（</item>
      </candidateList>
      <explain>文本全半角错误。</explain>
      <paraID>2B35FECF</paraID>
      <start>62</start>
      <end>63</end>
      <status>unmodified</status>
      <modifiedWord/>
      <trackRevisions>false</trackRevisions>
    </reviewItem>
    <reviewItem>
      <errorID>79ab68ba-bbff-41a8-a5cf-dc10dd882b0e</errorID>
      <errorWord>)</errorWord>
      <group>L1_Format</group>
      <groupName>格式问题</groupName>
      <ability>L2_HalfPunc_CN</ability>
      <abilityName>全半角问题</abilityName>
      <candidateList>
        <item>）</item>
      </candidateList>
      <explain>文本全半角错误。</explain>
      <paraID>2B35FECF</paraID>
      <start>65</start>
      <end>66</end>
      <status>unmodified</status>
      <modifiedWord/>
      <trackRevisions>false</trackRevisions>
    </reviewItem>
    <reviewItem>
      <errorID>5a38e86d-bdfb-4562-99d7-fc9328e5ef27</errorID>
      <errorWord>(</errorWord>
      <group>L1_Format</group>
      <groupName>格式问题</groupName>
      <ability>L2_HalfPunc_CN</ability>
      <abilityName>全半角问题</abilityName>
      <candidateList>
        <item>（</item>
      </candidateList>
      <explain>文本全半角错误。</explain>
      <paraID>2B35FECF</paraID>
      <start>159</start>
      <end>160</end>
      <status>unmodified</status>
      <modifiedWord/>
      <trackRevisions>false</trackRevisions>
    </reviewItem>
    <reviewItem>
      <errorID>89ebbca1-3462-4ffc-b1be-e2f08df1f7b7</errorID>
      <errorWord>)</errorWord>
      <group>L1_Format</group>
      <groupName>格式问题</groupName>
      <ability>L2_HalfPunc_CN</ability>
      <abilityName>全半角问题</abilityName>
      <candidateList>
        <item>）</item>
      </candidateList>
      <explain>文本全半角错误。</explain>
      <paraID>2B35FECF</paraID>
      <start>162</start>
      <end>163</end>
      <status>unmodified</status>
      <modifiedWord/>
      <trackRevisions>false</trackRevisions>
    </reviewItem>
    <reviewItem>
      <errorID>1448bcaf-7d4c-4ad5-9854-238d5a697cb9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2B35FECF</paraID>
      <start>185</start>
      <end>186</end>
      <status>unmodified</status>
      <modifiedWord/>
      <trackRevisions>false</trackRevisions>
    </reviewItem>
    <reviewItem>
      <errorID>74a9e176-25ff-41b1-b119-1362dbc5eba6</errorID>
      <errorWord>(</errorWord>
      <group>L1_Format</group>
      <groupName>格式问题</groupName>
      <ability>L2_HalfPunc_CN</ability>
      <abilityName>全半角问题</abilityName>
      <candidateList>
        <item>（</item>
      </candidateList>
      <explain>文本全半角错误。</explain>
      <paraID>2B35FECF</paraID>
      <start>220</start>
      <end>221</end>
      <status>unmodified</status>
      <modifiedWord/>
      <trackRevisions>false</trackRevisions>
    </reviewItem>
    <reviewItem>
      <errorID>fa616195-aaff-46be-950f-4562b9f35a09</errorID>
      <errorWord>)</errorWord>
      <group>L1_Format</group>
      <groupName>格式问题</groupName>
      <ability>L2_HalfPunc_CN</ability>
      <abilityName>全半角问题</abilityName>
      <candidateList>
        <item>）</item>
      </candidateList>
      <explain>文本全半角错误。</explain>
      <paraID>2B35FECF</paraID>
      <start>223</start>
      <end>224</end>
      <status>unmodified</status>
      <modifiedWord/>
      <trackRevisions>false</trackRevisions>
    </reviewItem>
    <reviewItem>
      <errorID>fe2cb129-f814-49ba-8716-8985df62db54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2B35FECF</paraID>
      <start>226</start>
      <end>227</end>
      <status>unmodified</status>
      <modifiedWord/>
      <trackRevisions>false</trackRevisions>
    </reviewItem>
    <reviewItem>
      <errorID>9b9d6489-b053-4fc2-9fe5-f8663f31aee6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280E3932</paraID>
      <start>0</start>
      <end>2</end>
      <status>unmodified</status>
      <modifiedWord/>
      <trackRevisions>false</trackRevisions>
    </reviewItem>
    <reviewItem>
      <errorID>c3b08d34-e56c-4931-80af-406cf828603a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62FE7E77</paraID>
      <start>0</start>
      <end>2</end>
      <status>unmodified</status>
      <modifiedWord/>
      <trackRevisions>false</trackRevisions>
    </reviewItem>
    <reviewItem>
      <errorID>c638bc27-a35e-44ab-8b3e-6d62c44a6fc9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3A31A6ED</paraID>
      <start>0</start>
      <end>2</end>
      <status>unmodified</status>
      <modifiedWord/>
      <trackRevisions>false</trackRevisions>
    </reviewItem>
    <reviewItem>
      <errorID>bcd61963-a14e-4f56-9ba8-8bea2080fc1b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76A81E11</paraID>
      <start>0</start>
      <end>2</end>
      <status>unmodified</status>
      <modifiedWord/>
      <trackRevisions>false</trackRevisions>
    </reviewItem>
    <reviewItem>
      <errorID>b0e6135b-08d4-4952-b5d9-4e5ca0c61dc2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57CEBD3B</paraID>
      <start>0</start>
      <end>2</end>
      <status>unmodified</status>
      <modifiedWord/>
      <trackRevisions>false</trackRevisions>
    </reviewItem>
    <reviewItem>
      <errorID>5c2a17e6-64e5-4c01-8afb-94e98d1dda19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D86B502</paraID>
      <start>0</start>
      <end>2</end>
      <status>unmodified</status>
      <modifiedWord/>
      <trackRevisions>false</trackRevisions>
    </reviewItem>
    <reviewItem>
      <errorID>ef7f7a11-3c21-4214-b041-a5410f510b2f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63EDEF81</paraID>
      <start>0</start>
      <end>2</end>
      <status>unmodified</status>
      <modifiedWord/>
      <trackRevisions>false</trackRevisions>
    </reviewItem>
    <reviewItem>
      <errorID>45bebacd-cfa0-4577-8bd1-c92ba213414c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8C9DEA4</paraID>
      <start>0</start>
      <end>2</end>
      <status>unmodified</status>
      <modifiedWord/>
      <trackRevisions>false</trackRevisions>
    </reviewItem>
    <reviewItem>
      <errorID>5e69683a-c0ff-4563-a57d-706645ac0ce1</errorID>
      <errorWord>(</errorWord>
      <group>L1_Format</group>
      <groupName>格式问题</groupName>
      <ability>L2_HalfPunc_CN</ability>
      <abilityName>全半角问题</abilityName>
      <candidateList>
        <item>（</item>
      </candidateList>
      <explain>文本全半角错误。</explain>
      <paraID>3466A6FF</paraID>
      <start>23</start>
      <end>24</end>
      <status>unmodified</status>
      <modifiedWord/>
      <trackRevisions>false</trackRevisions>
    </reviewItem>
    <reviewItem>
      <errorID>9b3eb273-3b6d-48ba-bbdd-baf4774cfd98</errorID>
      <errorWord>)</errorWord>
      <group>L1_Format</group>
      <groupName>格式问题</groupName>
      <ability>L2_HalfPunc_CN</ability>
      <abilityName>全半角问题</abilityName>
      <candidateList>
        <item>）</item>
      </candidateList>
      <explain>文本全半角错误。</explain>
      <paraID>3466A6FF</paraID>
      <start>28</start>
      <end>29</end>
      <status>unmodified</status>
      <modifiedWord/>
      <trackRevisions>false</trackRevisions>
    </reviewItem>
    <reviewItem>
      <errorID>a98c95fd-1ec1-4d22-92d0-8bbab2c74384</errorID>
      <errorWord>(</errorWord>
      <group>L1_Format</group>
      <groupName>格式问题</groupName>
      <ability>L2_HalfPunc_CN</ability>
      <abilityName>全半角问题</abilityName>
      <candidateList>
        <item>（</item>
      </candidateList>
      <explain>文本全半角错误。</explain>
      <paraID>3466A6FF</paraID>
      <start>47</start>
      <end>48</end>
      <status>unmodified</status>
      <modifiedWord/>
      <trackRevisions>false</trackRevisions>
    </reviewItem>
    <reviewItem>
      <errorID>945d02de-8ff3-4000-9b5e-f30bf592f477</errorID>
      <errorWord>)</errorWord>
      <group>L1_Format</group>
      <groupName>格式问题</groupName>
      <ability>L2_HalfPunc_CN</ability>
      <abilityName>全半角问题</abilityName>
      <candidateList>
        <item>）</item>
      </candidateList>
      <explain>文本全半角错误。</explain>
      <paraID>3466A6FF</paraID>
      <start>52</start>
      <end>53</end>
      <status>unmodified</status>
      <modifiedWord/>
      <trackRevisions>false</trackRevisions>
    </reviewItem>
    <reviewItem>
      <errorID>b76c17fb-6dc5-4325-b56b-03797fc802e0</errorID>
      <errorWord>(</errorWord>
      <group>L1_Format</group>
      <groupName>格式问题</groupName>
      <ability>L2_HalfPunc_CN</ability>
      <abilityName>全半角问题</abilityName>
      <candidateList>
        <item>（</item>
      </candidateList>
      <explain>文本全半角错误。</explain>
      <paraID>3466A6FF</paraID>
      <start>56</start>
      <end>57</end>
      <status>unmodified</status>
      <modifiedWord/>
      <trackRevisions>false</trackRevisions>
    </reviewItem>
    <reviewItem>
      <errorID>c411a536-5b79-4e8e-b6fc-8d456ecdb49d</errorID>
      <errorWord>)</errorWord>
      <group>L1_Format</group>
      <groupName>格式问题</groupName>
      <ability>L2_HalfPunc_CN</ability>
      <abilityName>全半角问题</abilityName>
      <candidateList>
        <item>）</item>
      </candidateList>
      <explain>文本全半角错误。</explain>
      <paraID>3466A6FF</paraID>
      <start>68</start>
      <end>69</end>
      <status>unmodified</status>
      <modifiedWord/>
      <trackRevisions>false</trackRevisions>
    </reviewItem>
    <reviewItem>
      <errorID>439bb6df-06df-414b-8744-b1edeb3e230b</errorID>
      <errorWord>截止10日</errorWord>
      <group>L1_Word</group>
      <groupName>字词问题</groupName>
      <ability>L2_Typo</ability>
      <abilityName>字词错误</abilityName>
      <candidateList>
        <item>截至10日</item>
      </candidateList>
      <explain/>
      <paraID>3FE43371</paraID>
      <start>36</start>
      <end>41</end>
      <status>unmodified</status>
      <modifiedWord/>
      <trackRevisions>false</trackRevisions>
    </reviewItem>
    <reviewItem>
      <errorID>d7c8ad5f-8cca-47f8-888e-220fbb92998e</errorID>
      <errorWord>&gt;</errorWord>
      <group>L1_Format</group>
      <groupName>格式问题</groupName>
      <ability>L2_HalfPunc_CN</ability>
      <abilityName>全半角问题</abilityName>
      <candidateList>
        <item>〉</item>
      </candidateList>
      <explain>文本全半角错误。</explain>
      <paraID>3FE43371</paraID>
      <start>86</start>
      <end>87</end>
      <status>unmodified</status>
      <modifiedWord/>
      <trackRevisions>false</trackRevisions>
    </reviewItem>
    <reviewItem>
      <errorID>5478fc86-db50-49c6-acd5-bf39a4e80a46</errorID>
      <errorWord>&gt;</errorWord>
      <group>L1_Format</group>
      <groupName>格式问题</groupName>
      <ability>L2_HalfPunc_CN</ability>
      <abilityName>全半角问题</abilityName>
      <candidateList>
        <item>〉</item>
      </candidateList>
      <explain>文本全半角错误。</explain>
      <paraID>3FE43371</paraID>
      <start>91</start>
      <end>92</end>
      <status>unmodified</status>
      <modifiedWord/>
      <trackRevisions>false</trackRevisions>
    </reviewItem>
    <reviewItem>
      <errorID>812fe451-6c9b-4754-b6f8-969952f17829</errorID>
      <errorWord>:</errorWord>
      <group>L1_Format</group>
      <groupName>格式问题</groupName>
      <ability>L2_HalfPunc_CN</ability>
      <abilityName>全半角问题</abilityName>
      <candidateList>
        <item>：</item>
      </candidateList>
      <explain>文本全半角错误。</explain>
      <paraID>6412C0F9</paraID>
      <start>21</start>
      <end>22</end>
      <status>unmodified</status>
      <modifiedWord/>
      <trackRevisions>false</trackRevisions>
    </reviewItem>
    <reviewItem>
      <errorID>c0802bcf-5598-4ae4-9ab8-70c4abefe8f4</errorID>
      <errorWord>法律、法规</errorWord>
      <group>L1_Word</group>
      <groupName>字词问题</groupName>
      <ability>L2_Typo</ability>
      <abilityName>字词错误</abilityName>
      <candidateList>
        <item>法律法规</item>
      </candidateList>
      <explain/>
      <paraID>4EA7F928</paraID>
      <start>22</start>
      <end>27</end>
      <status>unmodified</status>
      <modifiedWord/>
      <trackRevisions>false</trackRevisions>
    </reviewItem>
    <reviewItem>
      <errorID>41dfa61d-7601-4775-8a4d-7471244440ad</errorID>
      <errorWord>&gt;</errorWord>
      <group>L1_Format</group>
      <groupName>格式问题</groupName>
      <ability>L2_HalfPunc_CN</ability>
      <abilityName>全半角问题</abilityName>
      <candidateList>
        <item>〉</item>
      </candidateList>
      <explain>文本全半角错误。</explain>
      <paraID>4EA7F928</paraID>
      <start>66</start>
      <end>67</end>
      <status>unmodified</status>
      <modifiedWord/>
      <trackRevisions>false</trackRevisions>
    </reviewItem>
    <reviewItem>
      <errorID>c992d90e-898e-43fe-8f16-c4005c9b5fc2</errorID>
      <errorWord>&gt;</errorWord>
      <group>L1_Format</group>
      <groupName>格式问题</groupName>
      <ability>L2_HalfPunc_CN</ability>
      <abilityName>全半角问题</abilityName>
      <candidateList>
        <item>〉</item>
      </candidateList>
      <explain>文本全半角错误。</explain>
      <paraID>4EA7F928</paraID>
      <start>218</start>
      <end>219</end>
      <status>unmodified</status>
      <modifiedWord/>
      <trackRevisions>false</trackRevisions>
    </reviewItem>
    <reviewItem>
      <errorID>ba652e05-1ea2-46d2-9564-12a91ff59a8f</errorID>
      <errorWord>&gt;</errorWord>
      <group>L1_Format</group>
      <groupName>格式问题</groupName>
      <ability>L2_HalfPunc_CN</ability>
      <abilityName>全半角问题</abilityName>
      <candidateList>
        <item>〉</item>
      </candidateList>
      <explain>文本全半角错误。</explain>
      <paraID>4EA7F928</paraID>
      <start>223</start>
      <end>224</end>
      <status>unmodified</status>
      <modifiedWord/>
      <trackRevisions>false</trackRevisions>
    </reviewItem>
    <reviewItem>
      <errorID>2acbaace-7720-4e45-9687-7d51718f3add</errorID>
      <errorWord>&gt;</errorWord>
      <group>L1_Format</group>
      <groupName>格式问题</groupName>
      <ability>L2_HalfPunc_CN</ability>
      <abilityName>全半角问题</abilityName>
      <candidateList>
        <item>〉</item>
      </candidateList>
      <explain>文本全半角错误。</explain>
      <paraID>4EA7F928</paraID>
      <start>229</start>
      <end>230</end>
      <status>unmodified</status>
      <modifiedWord/>
      <trackRevisions>false</trackRevisions>
    </reviewItem>
    <reviewItem>
      <errorID>730b84d5-5f9b-4db8-b83e-e57707cb513d</errorID>
      <errorWord>)</errorWord>
      <group>L1_Format</group>
      <groupName>格式问题</groupName>
      <ability>L2_HalfPunc_CN</ability>
      <abilityName>全半角问题</abilityName>
      <candidateList>
        <item>）</item>
      </candidateList>
      <explain>文本全半角错误。</explain>
      <paraID> 45C91FD</paraID>
      <start>3</start>
      <end>4</end>
      <status>unmodified</status>
      <modifiedWord/>
      <trackRevisions>false</trackRevisions>
    </reviewItem>
    <reviewItem>
      <errorID>9ff558b1-bd19-479b-a271-069cbe33738d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773F4EBB</paraID>
      <start>0</start>
      <end>2</end>
      <status>unmodified</status>
      <modifiedWord/>
      <trackRevisions>false</trackRevisions>
    </reviewItem>
    <reviewItem>
      <errorID>e32e7936-1ca9-48f2-922e-ea0d9316fc4d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943A57D</paraID>
      <start>0</start>
      <end>2</end>
      <status>unmodified</status>
      <modifiedWord/>
      <trackRevisions>false</trackRevisions>
    </reviewItem>
    <reviewItem>
      <errorID>ae146fba-f6a6-4dd4-bae8-d03da1d2a6ce</errorID>
      <errorWord>,</errorWord>
      <group>L1_Format</group>
      <groupName>格式问题</groupName>
      <ability>L2_HalfPunc_CN</ability>
      <abilityName>全半角问题</abilityName>
      <candidateList>
        <item>，</item>
      </candidateList>
      <explain>文本全半角错误。</explain>
      <paraID>2956F2B2</paraID>
      <start>35</start>
      <end>36</end>
      <status>unmodified</status>
      <modifiedWord/>
      <trackRevisions>false</trackRevisions>
    </reviewItem>
    <reviewItem>
      <errorID>2d8e3d3f-1a6c-4a19-b78d-7e79961308db</errorID>
      <errorWord>&gt;</errorWord>
      <group>L1_Format</group>
      <groupName>格式问题</groupName>
      <ability>L2_HalfPunc_CN</ability>
      <abilityName>全半角问题</abilityName>
      <candidateList>
        <item>〉</item>
      </candidateList>
      <explain>文本全半角错误。</explain>
      <paraID>5562A5D7</paraID>
      <start>193</start>
      <end>194</end>
      <status>unmodified</status>
      <modifiedWord/>
      <trackRevisions>false</trackRevisions>
    </reviewItem>
    <reviewItem>
      <errorID>ef593c0a-10fb-470f-93df-3c0ec19b4053</errorID>
      <errorWord>&gt;</errorWord>
      <group>L1_Format</group>
      <groupName>格式问题</groupName>
      <ability>L2_HalfPunc_CN</ability>
      <abilityName>全半角问题</abilityName>
      <candidateList>
        <item>〉</item>
      </candidateList>
      <explain>文本全半角错误。</explain>
      <paraID>5562A5D7</paraID>
      <start>198</start>
      <end>199</end>
      <status>unmodified</status>
      <modifiedWord/>
      <trackRevisions>false</trackRevisions>
    </reviewItem>
    <reviewItem>
      <errorID>844922f2-4b80-44bc-99e1-402a65df33fd</errorID>
      <errorWord>,</errorWord>
      <group>L1_Format</group>
      <groupName>格式问题</groupName>
      <ability>L2_HalfPunc_CN</ability>
      <abilityName>全半角问题</abilityName>
      <candidateList>
        <item>，</item>
      </candidateList>
      <explain>文本全半角错误。</explain>
      <paraID>5562A5D7</paraID>
      <start>353</start>
      <end>354</end>
      <status>unmodified</status>
      <modifiedWord/>
      <trackRevisions>false</trackRevisions>
    </reviewItem>
    <reviewItem>
      <errorID>81a0d85a-885b-4455-9b06-5dea71bf9168</errorID>
      <errorWord>00）、</errorWord>
      <group>L1_Punc</group>
      <groupName>标点问题</groupName>
      <ability>L2_Punc_CN</ability>
      <abilityName>标点符号问题</abilityName>
      <candidateList>
        <item>00）</item>
      </candidateList>
      <explain>根据国标GB/T 15834-2011《标点符号用法》中的4.5.3.3节，带括号的汉字数字或阿拉伯数字表次序时，后面通常不加顿号。如“（一）指导思想”“（二）行动指南”。</explain>
      <paraID>5562A5D7</paraID>
      <start>437</start>
      <end>441</end>
      <status>unmodified</status>
      <modifiedWord/>
      <trackRevisions>false</trackRevisions>
    </reviewItem>
    <reviewItem>
      <errorID>6b16eb40-2ea0-4283-8203-10066161c0e3</errorID>
      <errorWord>&gt;</errorWord>
      <group>L1_Format</group>
      <groupName>格式问题</groupName>
      <ability>L2_HalfPunc_CN</ability>
      <abilityName>全半角问题</abilityName>
      <candidateList>
        <item>〉</item>
      </candidateList>
      <explain>文本全半角错误。</explain>
      <paraID>50AF2C6B</paraID>
      <start>48</start>
      <end>49</end>
      <status>unmodified</status>
      <modifiedWord/>
      <trackRevisions>false</trackRevisions>
    </reviewItem>
    <reviewItem>
      <errorID>fd8c71d9-788c-4b12-87e1-cab47bb078c1</errorID>
      <errorWord>&gt;</errorWord>
      <group>L1_Format</group>
      <groupName>格式问题</groupName>
      <ability>L2_HalfPunc_CN</ability>
      <abilityName>全半角问题</abilityName>
      <candidateList>
        <item>〉</item>
      </candidateList>
      <explain>文本全半角错误。</explain>
      <paraID>50AF2C6B</paraID>
      <start>53</start>
      <end>54</end>
      <status>unmodified</status>
      <modifiedWord/>
      <trackRevisions>false</trackRevisions>
    </reviewItem>
    <reviewItem>
      <errorID>29aac97f-64bf-4b41-a560-1ae015a5dff7</errorID>
      <errorWord>(</errorWord>
      <group>L1_Format</group>
      <groupName>格式问题</groupName>
      <ability>L2_HalfPunc_CN</ability>
      <abilityName>全半角问题</abilityName>
      <candidateList>
        <item>（</item>
      </candidateList>
      <explain>文本全半角错误。</explain>
      <paraID>5274B87A</paraID>
      <start>12</start>
      <end>13</end>
      <status>unmodified</status>
      <modifiedWord/>
      <trackRevisions>false</trackRevisions>
    </reviewItem>
    <reviewItem>
      <errorID>e2cdc769-1076-41af-8495-422db7eb8fba</errorID>
      <errorWord>)</errorWord>
      <group>L1_Format</group>
      <groupName>格式问题</groupName>
      <ability>L2_HalfPunc_CN</ability>
      <abilityName>全半角问题</abilityName>
      <candidateList>
        <item>）</item>
      </candidateList>
      <explain>文本全半角错误。</explain>
      <paraID>5274B87A</paraID>
      <start>17</start>
      <end>18</end>
      <status>unmodified</status>
      <modifiedWord/>
      <trackRevisions>false</trackRevisions>
    </reviewItem>
    <reviewItem>
      <errorID>d57aeaab-7da9-41ae-b600-af53968ec12f</errorID>
      <errorWord>&gt;</errorWord>
      <group>L1_Format</group>
      <groupName>格式问题</groupName>
      <ability>L2_HalfPunc_CN</ability>
      <abilityName>全半角问题</abilityName>
      <candidateList>
        <item>〉</item>
      </candidateList>
      <explain>文本全半角错误。</explain>
      <paraID>5274B87A</paraID>
      <start>209</start>
      <end>210</end>
      <status>unmodified</status>
      <modifiedWord/>
      <trackRevisions>false</trackRevisions>
    </reviewItem>
    <reviewItem>
      <errorID>74434882-366d-481a-9bc1-2d255a5f50d3</errorID>
      <errorWord>&gt;</errorWord>
      <group>L1_Format</group>
      <groupName>格式问题</groupName>
      <ability>L2_HalfPunc_CN</ability>
      <abilityName>全半角问题</abilityName>
      <candidateList>
        <item>〉</item>
      </candidateList>
      <explain>文本全半角错误。</explain>
      <paraID>5274B87A</paraID>
      <start>214</start>
      <end>215</end>
      <status>unmodified</status>
      <modifiedWord/>
      <trackRevisions>false</trackRevisions>
    </reviewItem>
    <reviewItem>
      <errorID>d98fe222-e831-4a2f-a0a5-2712fcf159b2</errorID>
      <errorWord>&gt;</errorWord>
      <group>L1_Format</group>
      <groupName>格式问题</groupName>
      <ability>L2_HalfPunc_CN</ability>
      <abilityName>全半角问题</abilityName>
      <candidateList>
        <item>〉</item>
      </candidateList>
      <explain>文本全半角错误。</explain>
      <paraID>4894C88D</paraID>
      <start>32</start>
      <end>33</end>
      <status>unmodified</status>
      <modifiedWord/>
      <trackRevisions>false</trackRevisions>
    </reviewItem>
    <reviewItem>
      <errorID>4820637f-1a11-4a41-80d1-faaaf9f5341a</errorID>
      <errorWord>&gt;</errorWord>
      <group>L1_Format</group>
      <groupName>格式问题</groupName>
      <ability>L2_HalfPunc_CN</ability>
      <abilityName>全半角问题</abilityName>
      <candidateList>
        <item>〉</item>
      </candidateList>
      <explain>文本全半角错误。</explain>
      <paraID>4894C88D</paraID>
      <start>37</start>
      <end>38</end>
      <status>unmodified</status>
      <modifiedWord/>
      <trackRevisions>false</trackRevisions>
    </reviewItem>
    <reviewItem>
      <errorID>080826a0-b5a3-4113-841e-6fc6f95125cb</errorID>
      <errorWord>&gt;</errorWord>
      <group>L1_Format</group>
      <groupName>格式问题</groupName>
      <ability>L2_HalfPunc_CN</ability>
      <abilityName>全半角问题</abilityName>
      <candidateList>
        <item>〉</item>
      </candidateList>
      <explain>文本全半角错误。</explain>
      <paraID>780A0C16</paraID>
      <start>83</start>
      <end>84</end>
      <status>unmodified</status>
      <modifiedWord/>
      <trackRevisions>false</trackRevisions>
    </reviewItem>
    <reviewItem>
      <errorID>a4635d77-9349-42a4-b977-e2fb9a37eada</errorID>
      <errorWord>&gt;</errorWord>
      <group>L1_Format</group>
      <groupName>格式问题</groupName>
      <ability>L2_HalfPunc_CN</ability>
      <abilityName>全半角问题</abilityName>
      <candidateList>
        <item>〉</item>
      </candidateList>
      <explain>文本全半角错误。</explain>
      <paraID>780A0C16</paraID>
      <start>88</start>
      <end>89</end>
      <status>unmodified</status>
      <modifiedWord/>
      <trackRevisions>false</trackRevisions>
    </reviewItem>
    <reviewItem>
      <errorID>2a43531c-40d9-4c25-8726-34b9a8cab27d</errorID>
      <errorWord>：/</errorWord>
      <group>L1_Punc</group>
      <groupName>标点问题</groupName>
      <ability>L2_Punc_CN</ability>
      <abilityName>标点符号问题</abilityName>
      <candidateList>
        <item>：</item>
      </candidateList>
      <explain/>
      <paraID> 2EA7C28</paraID>
      <start>24</start>
      <end>26</end>
      <status>unmodified</status>
      <modifiedWord/>
      <trackRevisions>false</trackRevisions>
    </reviewItem>
    <reviewItem>
      <errorID>9b6b55ad-9d08-4c9a-8238-ad5fd959b452</errorID>
      <errorWord>：/</errorWord>
      <group>L1_Punc</group>
      <groupName>标点问题</groupName>
      <ability>L2_Punc_CN</ability>
      <abilityName>标点符号问题</abilityName>
      <candidateList>
        <item>：</item>
      </candidateList>
      <explain/>
      <paraID>77040C44</paraID>
      <start>2</start>
      <end>4</end>
      <status>unmodified</status>
      <modifiedWord/>
      <trackRevisions>false</trackRevisions>
    </reviewItem>
    <reviewItem>
      <errorID>4f85eda3-9c5f-4196-a3c3-685e6d971225</errorID>
      <errorWord>：/</errorWord>
      <group>L1_Punc</group>
      <groupName>标点问题</groupName>
      <ability>L2_Punc_CN</ability>
      <abilityName>标点符号问题</abilityName>
      <candidateList>
        <item>：</item>
      </candidateList>
      <explain/>
      <paraID>2DC380E8</paraID>
      <start>2</start>
      <end>4</end>
      <status>unmodified</status>
      <modifiedWord/>
      <trackRevisions>false</trackRevisions>
    </reviewItem>
    <reviewItem>
      <errorID>37c858a5-671f-441b-bee6-560f70461ec4</errorID>
      <errorWord>截止10日</errorWord>
      <group>L1_Word</group>
      <groupName>字词问题</groupName>
      <ability>L2_Typo</ability>
      <abilityName>字词错误</abilityName>
      <candidateList>
        <item>截至10日</item>
      </candidateList>
      <explain/>
      <paraID>2727A989</paraID>
      <start>35</start>
      <end>40</end>
      <status>unmodified</status>
      <modifiedWord/>
      <trackRevisions>false</trackRevisions>
    </reviewItem>
    <reviewItem>
      <errorID>bac1e2de-ef90-400f-a02f-ad174b5fe2b6</errorID>
      <errorWord>&gt;</errorWord>
      <group>L1_Format</group>
      <groupName>格式问题</groupName>
      <ability>L2_HalfPunc_CN</ability>
      <abilityName>全半角问题</abilityName>
      <candidateList>
        <item>〉</item>
      </candidateList>
      <explain>文本全半角错误。</explain>
      <paraID>2727A989</paraID>
      <start>83</start>
      <end>84</end>
      <status>unmodified</status>
      <modifiedWord/>
      <trackRevisions>false</trackRevisions>
    </reviewItem>
    <reviewItem>
      <errorID>faa06742-9cf8-4634-86c3-8128f3acab92</errorID>
      <errorWord>&gt;</errorWord>
      <group>L1_Format</group>
      <groupName>格式问题</groupName>
      <ability>L2_HalfPunc_CN</ability>
      <abilityName>全半角问题</abilityName>
      <candidateList>
        <item>〉</item>
      </candidateList>
      <explain>文本全半角错误。</explain>
      <paraID>2727A989</paraID>
      <start>88</start>
      <end>89</end>
      <status>unmodified</status>
      <modifiedWord/>
      <trackRevisions>false</trackRevisions>
    </reviewItem>
    <reviewItem>
      <errorID>e362e58f-885d-49e8-b527-94bd8c85cfa5</errorID>
      <errorWord>其它</errorWord>
      <group>L1_Word</group>
      <groupName>字词问题</groupName>
      <ability>L2_Alias</ability>
      <abilityName>也作/曾用词</abilityName>
      <candidateList>
        <item>其他</item>
      </candidateList>
      <explain>词汇[其它]为不规范表述或旧称，其规范书面表述为[其他]。</explain>
      <paraID>5F17B608</paraID>
      <start>0</start>
      <end>2</end>
      <status>unmodified</status>
      <modifiedWord/>
      <trackRevisions>false</trackRevisions>
    </reviewItem>
    <reviewItem>
      <errorID>f54d0bba-facd-4485-a650-7efd69ca0084</errorID>
      <errorWord>位</errorWord>
      <group>L1_Word</group>
      <groupName>字词问题</groupName>
      <ability>L2_Typo</ability>
      <abilityName>字词错误</abilityName>
      <candidateList>
        <item>位公</item>
      </candidateList>
      <explain/>
      <paraID>2DEE1B73</paraID>
      <start>71</start>
      <end>72</end>
      <status>unmodified</status>
      <modifiedWord/>
      <trackRevisions>false</trackRevisions>
    </reviewItem>
    <reviewItem>
      <errorID>c897ce2f-d6d0-4671-9171-3274455f190a</errorID>
      <errorWord>:</errorWord>
      <group>L1_Format</group>
      <groupName>格式问题</groupName>
      <ability>L2_HalfPunc_CN</ability>
      <abilityName>全半角问题</abilityName>
      <candidateList>
        <item>：</item>
      </candidateList>
      <explain>文本全半角错误。</explain>
      <paraID> 6DF9DFB</paraID>
      <start>4</start>
      <end>5</end>
      <status>unmodified</status>
      <modifiedWord/>
      <trackRevisions>false</trackRevisions>
    </reviewItem>
    <reviewItem>
      <errorID>5f729ff4-3623-4286-9456-459d2525bdd2</errorID>
      <errorWord>【2002】1980号</errorWord>
      <group>L1_Knowledge</group>
      <groupName>知识性问题</groupName>
      <ability>L2_Knowledge</ability>
      <abilityName>其他知识</abilityName>
      <candidateList>
        <item>〔2002〕1980号</item>
      </candidateList>
      <explain>发文字号格式错误。</explain>
      <paraID> 40B2493</paraID>
      <start>22</start>
      <end>33</end>
      <status>unmodified</status>
      <modifiedWord/>
      <trackRevisions>false</trackRevisions>
    </reviewItem>
    <reviewItem>
      <errorID>f5138aec-441a-428a-a859-b24e6dea90b6</errorID>
      <errorWord>人</errorWord>
      <group>L1_Word</group>
      <groupName>字词问题</groupName>
      <ability>L2_Typo</ability>
      <abilityName>字词错误</abilityName>
      <candidateList>
        <item>人在</item>
      </candidateList>
      <explain/>
      <paraID>4D7A8A86</paraID>
      <start>47</start>
      <end>48</end>
      <status>unmodified</status>
      <modifiedWord/>
      <trackRevisions>false</trackRevisions>
    </reviewItem>
    <reviewItem>
      <errorID>ae94be24-a1bf-4596-aa5a-da68612e7a59</errorID>
      <errorWord>一次性支付给</errorWord>
      <group>L1_Word</group>
      <groupName>字词问题</groupName>
      <ability>L2_Typo</ability>
      <abilityName>字词错误</abilityName>
      <candidateList>
        <item>一次性支付</item>
      </candidateList>
      <explain/>
      <paraID>7F7830B6</paraID>
      <start>23</start>
      <end>29</end>
      <status>unmodified</status>
      <modifiedWord/>
      <trackRevisions>false</trackRevisions>
    </reviewItem>
    <reviewItem>
      <errorID>85e59025-fcd6-4b65-b724-7cdeb7c8cf0e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501A5476</paraID>
      <start>0</start>
      <end>2</end>
      <status>unmodified</status>
      <modifiedWord/>
      <trackRevisions>false</trackRevisions>
    </reviewItem>
    <reviewItem>
      <errorID>73624e83-3555-4605-aa41-b0d76f8c3428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4AA858F8</paraID>
      <start>0</start>
      <end>2</end>
      <status>unmodified</status>
      <modifiedWord/>
      <trackRevisions>false</trackRevisions>
    </reviewItem>
    <reviewItem>
      <errorID>a860b5d0-c2de-4dec-a9d8-8479beae5e1f</errorID>
      <errorWord>&lt;</errorWord>
      <group>L1_Format</group>
      <groupName>格式问题</groupName>
      <ability>L2_HalfPunc_CN</ability>
      <abilityName>全半角问题</abilityName>
      <candidateList>
        <item>〈</item>
      </candidateList>
      <explain>文本全半角错误。</explain>
      <paraID>432F1D07</paraID>
      <start>104</start>
      <end>105</end>
      <status>unmodified</status>
      <modifiedWord/>
      <trackRevisions>false</trackRevisions>
    </reviewItem>
    <reviewItem>
      <errorID>bed496de-9a5d-40cf-844a-8d5d9b0ba092</errorID>
      <errorWord>&gt;的通知》</errorWord>
      <group>L1_Punc</group>
      <groupName>标点问题</groupName>
      <ability>L2_Punc_CN</ability>
      <abilityName>标点符号问题</abilityName>
      <candidateList>
        <item>〉的通知》</item>
      </candidateList>
      <explain/>
      <paraID>432F1D07</paraID>
      <start>126</start>
      <end>131</end>
      <status>unmodified</status>
      <modifiedWord/>
      <trackRevisions>false</trackRevisions>
    </reviewItem>
    <reviewItem>
      <errorID>1e2bd63c-6534-480c-98f1-d9b3c60a770a</errorID>
      <errorWord>&lt;</errorWord>
      <group>L1_Format</group>
      <groupName>格式问题</groupName>
      <ability>L2_HalfPunc_CN</ability>
      <abilityName>全半角问题</abilityName>
      <candidateList>
        <item>〈</item>
      </candidateList>
      <explain>文本全半角错误。</explain>
      <paraID>385A9814</paraID>
      <start>5</start>
      <end>6</end>
      <status>unmodified</status>
      <modifiedWord/>
      <trackRevisions>false</trackRevisions>
    </reviewItem>
    <reviewItem>
      <errorID>f233452d-d535-490c-b734-3d87316212c5</errorID>
      <errorWord>&gt;的通知》</errorWord>
      <group>L1_Punc</group>
      <groupName>标点问题</groupName>
      <ability>L2_Punc_CN</ability>
      <abilityName>标点符号问题</abilityName>
      <candidateList>
        <item>〉的通知》</item>
      </candidateList>
      <explain/>
      <paraID>385A9814</paraID>
      <start>27</start>
      <end>32</end>
      <status>unmodified</status>
      <modifiedWord/>
      <trackRevisions>false</trackRevisions>
    </reviewItem>
    <reviewItem>
      <errorID>d720a223-fdcd-4fa1-9d84-b99a23a6d979</errorID>
      <errorWord>【2022】5号</errorWord>
      <group>L1_Knowledge</group>
      <groupName>知识性问题</groupName>
      <ability>L2_Knowledge</ability>
      <abilityName>其他知识</abilityName>
      <candidateList>
        <item>〔2022〕5号</item>
      </candidateList>
      <explain>发文字号格式错误。</explain>
      <paraID>385A9814</paraID>
      <start>37</start>
      <end>45</end>
      <status>unmodified</status>
      <modifiedWord/>
      <trackRevisions>false</trackRevisions>
    </reviewItem>
    <reviewItem>
      <errorID>1810138d-9349-4f97-8dc7-46b643216a08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3E3F6387</paraID>
      <start>18</start>
      <end>21</end>
      <status>unmodified</status>
      <modifiedWord/>
      <trackRevisions>false</trackRevisions>
    </reviewItem>
    <reviewItem>
      <errorID>57845887-871f-4a5f-ac56-4e4152615251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3E3F6387</paraID>
      <start>27</start>
      <end>30</end>
      <status>unmodified</status>
      <modifiedWord/>
      <trackRevisions>false</trackRevisions>
    </reviewItem>
    <reviewItem>
      <errorID>66e9c55a-fd29-4f51-b0a8-1b35a7e8b9ec</errorID>
      <errorWord>，</errorWord>
      <group>L1_Word</group>
      <groupName>字词问题</groupName>
      <ability>L2_Typo</ability>
      <abilityName>字词错误</abilityName>
      <candidateList>
        <item>，在</item>
      </candidateList>
      <explain/>
      <paraID>51BBD237</paraID>
      <start>34</start>
      <end>35</end>
      <status>unmodified</status>
      <modifiedWord/>
      <trackRevisions>false</trackRevisions>
    </reviewItem>
    <reviewItem>
      <errorID>c026e27b-67d8-4efb-9109-3328e6c61d61</errorID>
      <errorWord>，</errorWord>
      <group>L1_Word</group>
      <groupName>字词问题</groupName>
      <ability>L2_Typo</ability>
      <abilityName>字词错误</abilityName>
      <candidateList>
        <item>，并</item>
      </candidateList>
      <explain/>
      <paraID>23E683EC</paraID>
      <start>148</start>
      <end>149</end>
      <status>unmodified</status>
      <modifiedWord/>
      <trackRevisions>false</trackRevisions>
    </reviewItem>
    <reviewItem>
      <errorID>187ea82a-e732-4bfe-8d3c-9cad11811ea1</errorID>
      <errorWord>需</errorWord>
      <group>L1_Word</group>
      <groupName>字词问题</groupName>
      <ability>L2_Typo</ability>
      <abilityName>字词错误</abilityName>
      <candidateList>
        <item>须</item>
      </candidateList>
      <explain>存在发音相同字词的误用。</explain>
      <paraID>7F1E8C41</paraID>
      <start>88</start>
      <end>89</end>
      <status>unmodified</status>
      <modifiedWord/>
      <trackRevisions>false</trackRevisions>
    </reviewItem>
    <reviewItem>
      <errorID>d6087528-c07a-4e95-9daf-c4965583eedc</errorID>
      <errorWord>:</errorWord>
      <group>L1_Format</group>
      <groupName>格式问题</groupName>
      <ability>L2_HalfPunc_CN</ability>
      <abilityName>全半角问题</abilityName>
      <candidateList>
        <item>：</item>
      </candidateList>
      <explain>文本全半角错误。</explain>
      <paraID>1AA2893C</paraID>
      <start>34</start>
      <end>35</end>
      <status>unmodified</status>
      <modifiedWord/>
      <trackRevisions>false</trackRevisions>
    </reviewItem>
    <reviewItem>
      <errorID>9cdb55a3-258b-4bd5-a55a-314063f5f3d3</errorID>
      <errorWord>.</errorWord>
      <group>L1_Format</group>
      <groupName>格式问题</groupName>
      <ability>L2_HalfPunc_CN</ability>
      <abilityName>全半角问题</abilityName>
      <candidateList>
        <item>。</item>
      </candidateList>
      <explain>文本全半角错误。</explain>
      <paraID>1AA2893C</paraID>
      <start>122</start>
      <end>123</end>
      <status>unmodified</status>
      <modifiedWord/>
      <trackRevisions>false</trackRevisions>
    </reviewItem>
    <reviewItem>
      <errorID>5a5032f3-c68a-4098-9423-adff6fe3e0e3</errorID>
      <errorWord>:</errorWord>
      <group>L1_Format</group>
      <groupName>格式问题</groupName>
      <ability>L2_HalfPunc_CN</ability>
      <abilityName>全半角问题</abilityName>
      <candidateList>
        <item>：</item>
      </candidateList>
      <explain>文本全半角错误。</explain>
      <paraID>7C836300</paraID>
      <start>29</start>
      <end>30</end>
      <status>unmodified</status>
      <modifiedWord/>
      <trackRevisions>false</trackRevisions>
    </reviewItem>
    <reviewItem>
      <errorID>7b61c95d-b373-4142-9567-9d4a58471a79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747543E7</paraID>
      <start>19</start>
      <end>22</end>
      <status>unmodified</status>
      <modifiedWord/>
      <trackRevisions>false</trackRevisions>
    </reviewItem>
    <reviewItem>
      <errorID>95643337-7894-4e85-a642-da074beff94e</errorID>
      <errorWord>（</errorWord>
      <group>L1_Punc</group>
      <groupName>标点问题</groupName>
      <ability>L2_Punc_CN</ability>
      <abilityName>标点符号问题</abilityName>
      <candidateList/>
      <explain>同一形式括号套用。</explain>
      <paraID>16990C14</paraID>
      <start>96</start>
      <end>97</end>
      <status>unmodified</status>
      <modifiedWord/>
      <trackRevisions>false</trackRevisions>
    </reviewItem>
    <reviewItem>
      <errorID>22044151-85fd-460c-b9a3-5663aff81d23</errorID>
      <errorWord>）</errorWord>
      <group>L1_Punc</group>
      <groupName>标点问题</groupName>
      <ability>L2_Punc_CN</ability>
      <abilityName>标点符号问题</abilityName>
      <candidateList/>
      <explain>同一形式括号套用。</explain>
      <paraID>16990C14</paraID>
      <start>100</start>
      <end>101</end>
      <status>unmodified</status>
      <modifiedWord/>
      <trackRevisions>false</trackRevisions>
    </reviewItem>
    <reviewItem>
      <errorID>175b0bb5-ca6d-4123-97ac-f152b73df3a6</errorID>
      <errorWord>作</errorWord>
      <group>L1_Word</group>
      <groupName>字词问题</groupName>
      <ability>L2_Typo</ability>
      <abilityName>字词错误</abilityName>
      <candidateList>
        <item>做</item>
      </candidateList>
      <explain>存在发音相同字词的误用。</explain>
      <paraID>4DA57140</paraID>
      <start>20</start>
      <end>21</end>
      <status>unmodified</status>
      <modifiedWord/>
      <trackRevisions>false</trackRevisions>
    </reviewItem>
    <reviewItem>
      <errorID>7080ef00-0b32-4e6f-b4e3-d1f4420cdbad</errorID>
      <errorWord>责</errorWord>
      <group>L1_Word</group>
      <groupName>字词问题</groupName>
      <ability>L2_Typo</ability>
      <abilityName>字词错误</abilityName>
      <candidateList>
        <item>责人</item>
      </candidateList>
      <explain/>
      <paraID>4D13503D</paraID>
      <start>223</start>
      <end>224</end>
      <status>unmodified</status>
      <modifiedWord/>
      <trackRevisions>false</trackRevisions>
    </reviewItem>
    <reviewItem>
      <errorID>c8fb2ba4-bb26-4036-a651-c585036f7742</errorID>
      <errorWord>，</errorWord>
      <group>L1_Word</group>
      <groupName>字词问题</groupName>
      <ability>L2_Typo</ability>
      <abilityName>字词错误</abilityName>
      <candidateList>
        <item>，包</item>
      </candidateList>
      <explain/>
      <paraID> 6E67E64</paraID>
      <start>117</start>
      <end>118</end>
      <status>unmodified</status>
      <modifiedWord/>
      <trackRevisions>false</trackRevisions>
    </reviewItem>
    <reviewItem>
      <errorID>9bf35748-1cd7-4b0b-9e60-13f0031b07ef</errorID>
      <errorWord>责</errorWord>
      <group>L1_Word</group>
      <groupName>字词问题</groupName>
      <ability>L2_Typo</ability>
      <abilityName>字词错误</abilityName>
      <candidateList>
        <item>责人</item>
      </candidateList>
      <explain/>
      <paraID> 6E67E64</paraID>
      <start>324</start>
      <end>325</end>
      <status>unmodified</status>
      <modifiedWord/>
      <trackRevisions>false</trackRevisions>
    </reviewItem>
    <reviewItem>
      <errorID>f8856a53-d05e-43e0-8bd4-5c1118c5f17f</errorID>
      <errorWord>、直至</errorWord>
      <group>L1_Word</group>
      <groupName>字词问题</groupName>
      <ability>L2_Typo</ability>
      <abilityName>字词错误</abilityName>
      <candidateList>
        <item>直至</item>
      </candidateList>
      <explain/>
      <paraID>5B0F4F09</paraID>
      <start>69</start>
      <end>72</end>
      <status>unmodified</status>
      <modifiedWord/>
      <trackRevisions>false</trackRevisions>
    </reviewItem>
    <reviewItem>
      <errorID>a2615eb0-5773-47a7-b6aa-ea165306145d</errorID>
      <errorWord>未</errorWord>
      <group>L1_Word</group>
      <groupName>字词问题</groupName>
      <ability>L2_Typo</ability>
      <abilityName>字词错误</abilityName>
      <candidateList>
        <item>未支</item>
      </candidateList>
      <explain/>
      <paraID>5B0F4F09</paraID>
      <start>95</start>
      <end>96</end>
      <status>unmodified</status>
      <modifiedWord/>
      <trackRevisions>false</trackRevisions>
    </reviewItem>
    <reviewItem>
      <errorID>b7d26013-771e-44e4-a4c0-375c8e3ee0eb</errorID>
      <errorWord>其它</errorWord>
      <group>L1_Word</group>
      <groupName>字词问题</groupName>
      <ability>L2_Alias</ability>
      <abilityName>也作/曾用词</abilityName>
      <candidateList>
        <item>其他</item>
      </candidateList>
      <explain>词汇[其它]为不规范表述或旧称，其规范书面表述为[其他]。</explain>
      <paraID>696492AE</paraID>
      <start>131</start>
      <end>133</end>
      <status>unmodified</status>
      <modifiedWord/>
      <trackRevisions>false</trackRevisions>
    </reviewItem>
    <reviewItem>
      <errorID>b35a3ebb-84b9-4a8a-b134-20c9639a29d2</errorID>
      <errorWord>依次类推</errorWord>
      <group>L1_Word</group>
      <groupName>字词问题</groupName>
      <ability>L2_Typo</ability>
      <abilityName>字词错误</abilityName>
      <candidateList>
        <item>以此类推</item>
      </candidateList>
      <explain/>
      <paraID>1CCFB486</paraID>
      <start>78</start>
      <end>82</end>
      <status>unmodified</status>
      <modifiedWord/>
      <trackRevisions>false</trackRevisions>
    </reviewItem>
    <reviewItem>
      <errorID>a5aff07f-d9d8-4dd3-9fc5-8073266e2651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61EC4415</paraID>
      <start>22</start>
      <end>25</end>
      <status>unmodified</status>
      <modifiedWord/>
      <trackRevisions>false</trackRevisions>
    </reviewItem>
    <reviewItem>
      <errorID>a3688350-1be3-4cb5-a21c-9ac98acd3585</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5471598A</paraID>
      <start>44</start>
      <end>51</end>
      <status>unmodified</status>
      <modifiedWord/>
      <trackRevisions>false</trackRevisions>
    </reviewItem>
    <reviewItem>
      <errorID>8893189e-db96-431b-8273-fbef20773d4a</errorID>
      <errorWord>依此类推</errorWord>
      <group>L1_Word</group>
      <groupName>字词问题</groupName>
      <ability>L2_Typo</ability>
      <abilityName>字词错误</abilityName>
      <candidateList>
        <item>以此类推</item>
      </candidateList>
      <explain>存在发音相同字词的误用。</explain>
      <paraID>5471598A</paraID>
      <start>110</start>
      <end>114</end>
      <status>unmodified</status>
      <modifiedWord/>
      <trackRevisions>false</trackRevisions>
    </reviewItem>
    <reviewItem>
      <errorID>a003bf53-e3fb-48fe-b3b7-2d3bbb2f132d</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BC8A88F</paraID>
      <start>50</start>
      <end>57</end>
      <status>unmodified</status>
      <modifiedWord/>
      <trackRevisions>false</trackRevisions>
    </reviewItem>
    <reviewItem>
      <errorID>55fc5f7d-6c89-4377-b2e2-0015069903e5</errorID>
      <errorWord>依此类推</errorWord>
      <group>L1_Word</group>
      <groupName>字词问题</groupName>
      <ability>L2_Typo</ability>
      <abilityName>字词错误</abilityName>
      <candidateList>
        <item>以此类推</item>
      </candidateList>
      <explain>存在发音相同字词的误用。</explain>
      <paraID> BC8A88F</paraID>
      <start>117</start>
      <end>121</end>
      <status>unmodified</status>
      <modifiedWord/>
      <trackRevisions>false</trackRevisions>
    </reviewItem>
    <reviewItem>
      <errorID>a9dbaed5-484c-441c-bb04-ba09c268cc7a</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116D160A</paraID>
      <start>46</start>
      <end>53</end>
      <status>unmodified</status>
      <modifiedWord/>
      <trackRevisions>false</trackRevisions>
    </reviewItem>
    <reviewItem>
      <errorID>56f6d410-3fd5-4a8f-93e6-1aeb387ee487</errorID>
      <errorWord>依此类推</errorWord>
      <group>L1_Word</group>
      <groupName>字词问题</groupName>
      <ability>L2_Typo</ability>
      <abilityName>字词错误</abilityName>
      <candidateList>
        <item>以此类推</item>
      </candidateList>
      <explain>存在发音相同字词的误用。</explain>
      <paraID>116D160A</paraID>
      <start>116</start>
      <end>120</end>
      <status>unmodified</status>
      <modifiedWord/>
      <trackRevisions>false</trackRevisions>
    </reviewItem>
    <reviewItem>
      <errorID>c111dff5-838b-42e9-b42d-2883e29405e2</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68A845FF</paraID>
      <start>21</start>
      <end>25</end>
      <status>unmodified</status>
      <modifiedWord/>
      <trackRevisions>false</trackRevisions>
    </reviewItem>
    <reviewItem>
      <errorID>eef2b483-a9f2-4b67-aab5-4aab5b737d1c</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7FE62F9D</paraID>
      <start>56</start>
      <end>60</end>
      <status>unmodified</status>
      <modifiedWord/>
      <trackRevisions>false</trackRevisions>
    </reviewItem>
    <reviewItem>
      <errorID>9e2da895-743f-4fdf-8523-0236a7bde542</errorID>
      <errorWord>，</errorWord>
      <group>L1_Word</group>
      <groupName>字词问题</groupName>
      <ability>L2_Typo</ability>
      <abilityName>字词错误</abilityName>
      <candidateList>
        <item>，包</item>
      </candidateList>
      <explain/>
      <paraID>58476C43</paraID>
      <start>85</start>
      <end>86</end>
      <status>unmodified</status>
      <modifiedWord/>
      <trackRevisions>false</trackRevisions>
    </reviewItem>
    <reviewItem>
      <errorID>975228df-0495-46d7-8188-42440f2335ef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26FB0ABC</paraID>
      <start>59</start>
      <end>62</end>
      <status>unmodified</status>
      <modifiedWord/>
      <trackRevisions>false</trackRevisions>
    </reviewItem>
    <reviewItem>
      <errorID>dc3dd960-95dd-44ba-904a-1b74670c8def</errorID>
      <errorWord>必须要</errorWord>
      <group>L1_Word</group>
      <groupName>字词问题</groupName>
      <ability>L2_Typo</ability>
      <abilityName>字词错误</abilityName>
      <candidateList>
        <item>必须</item>
      </candidateList>
      <explain/>
      <paraID>38F31FC9</paraID>
      <start>47</start>
      <end>50</end>
      <status>unmodified</status>
      <modifiedWord/>
      <trackRevisions>false</trackRevisions>
    </reviewItem>
    <reviewItem>
      <errorID>369a5581-3164-4d9c-bae3-cc3186b44ab4</errorID>
      <errorWord>(</errorWord>
      <group>L1_Format</group>
      <groupName>格式问题</groupName>
      <ability>L2_HalfPunc_CN</ability>
      <abilityName>全半角问题</abilityName>
      <candidateList>
        <item>（</item>
      </candidateList>
      <explain>文本全半角错误。</explain>
      <paraID>435BA00B</paraID>
      <start>45</start>
      <end>46</end>
      <status>unmodified</status>
      <modifiedWord/>
      <trackRevisions>false</trackRevisions>
    </reviewItem>
    <reviewItem>
      <errorID>6febea99-e1ff-45b6-ae7c-a5c33e41d48f</errorID>
      <errorWord>(</errorWord>
      <group>L1_Format</group>
      <groupName>格式问题</groupName>
      <ability>L2_HalfPunc_CN</ability>
      <abilityName>全半角问题</abilityName>
      <candidateList>
        <item>（</item>
      </candidateList>
      <explain>文本全半角错误。</explain>
      <paraID>7CC2B378</paraID>
      <start>6</start>
      <end>7</end>
      <status>unmodified</status>
      <modifiedWord/>
      <trackRevisions>false</trackRevisions>
    </reviewItem>
    <reviewItem>
      <errorID>fbd5102e-243a-4f6a-a5b6-793a2dcf733e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443E2B5</paraID>
      <start>4</start>
      <end>5</end>
      <status>unmodified</status>
      <modifiedWord/>
      <trackRevisions>false</trackRevisions>
    </reviewItem>
    <reviewItem>
      <errorID>de736747-0513-4af3-aa57-a9224d662fe3</errorID>
      <errorWord>(</errorWord>
      <group>L1_Format</group>
      <groupName>格式问题</groupName>
      <ability>L2_HalfPunc_CN</ability>
      <abilityName>全半角问题</abilityName>
      <candidateList>
        <item>（</item>
      </candidateList>
      <explain>文本全半角错误。</explain>
      <paraID>5E0DDF2C</paraID>
      <start>0</start>
      <end>1</end>
      <status>unmodified</status>
      <modifiedWord/>
      <trackRevisions>false</trackRevisions>
    </reviewItem>
    <reviewItem>
      <errorID>079cb54a-7304-4b33-82f6-04f249ed9f4b</errorID>
      <errorWord>的</errorWord>
      <group>L1_Word</group>
      <groupName>字词问题</groupName>
      <ability>L2_DDD</ability>
      <abilityName>的地得用法</abilityName>
      <candidateList>
        <item>地</item>
      </candidateList>
      <explain/>
      <paraID>5D61AC26</paraID>
      <start>96</start>
      <end>97</end>
      <status>unmodified</status>
      <modifiedWord/>
      <trackRevisions>false</trackRevisions>
    </reviewItem>
    <reviewItem>
      <errorID>8a593dc7-eb8c-46b5-bd50-c07f1078f3aa</errorID>
      <errorWord>-</errorWord>
      <group>L1_Format</group>
      <groupName>格式问题</groupName>
      <ability>L2_HalfPunc_CN</ability>
      <abilityName>全半角问题</abilityName>
      <candidateList>
        <item>－</item>
      </candidateList>
      <explain>文本全半角错误。</explain>
      <paraID>10EDD474</paraID>
      <start>7</start>
      <end>8</end>
      <status>unmodified</status>
      <modifiedWord/>
      <trackRevisions>false</trackRevisions>
    </reviewItem>
    <reviewItem>
      <errorID>85cdb556-7dc4-42d8-9135-256d01049e4a</errorID>
      <errorWord>-</errorWord>
      <group>L1_Format</group>
      <groupName>格式问题</groupName>
      <ability>L2_HalfPunc_CN</ability>
      <abilityName>全半角问题</abilityName>
      <candidateList>
        <item>－</item>
      </candidateList>
      <explain>文本全半角错误。</explain>
      <paraID>5C54FC23</paraID>
      <start>7</start>
      <end>8</end>
      <status>unmodified</status>
      <modifiedWord/>
      <trackRevisions>false</trackRevisions>
    </reviewItem>
    <reviewItem>
      <errorID>fe16bc8e-39a9-47e5-b430-9c6cd778957a</errorID>
      <errorWord>-</errorWord>
      <group>L1_Format</group>
      <groupName>格式问题</groupName>
      <ability>L2_HalfPunc_CN</ability>
      <abilityName>全半角问题</abilityName>
      <candidateList>
        <item>－</item>
      </candidateList>
      <explain>文本全半角错误。</explain>
      <paraID>1FAA51B8</paraID>
      <start>7</start>
      <end>8</end>
      <status>unmodified</status>
      <modifiedWord/>
      <trackRevisions>false</trackRevisions>
    </reviewItem>
    <reviewItem>
      <errorID>50021d0b-3c6e-417d-8180-055d2bb3b6a1</errorID>
      <errorWord>-</errorWord>
      <group>L1_Format</group>
      <groupName>格式问题</groupName>
      <ability>L2_HalfPunc_CN</ability>
      <abilityName>全半角问题</abilityName>
      <candidateList>
        <item>－</item>
      </candidateList>
      <explain>文本全半角错误。</explain>
      <paraID>4DD9D29E</paraID>
      <start>7</start>
      <end>8</end>
      <status>unmodified</status>
      <modifiedWord/>
      <trackRevisions>false</trackRevisions>
    </reviewItem>
    <reviewItem>
      <errorID>049495ef-d4be-41e3-946e-274a01acdbc8</errorID>
      <errorWord>，</errorWord>
      <group>L1_Word</group>
      <groupName>字词问题</groupName>
      <ability>L2_Typo</ability>
      <abilityName>字词错误</abilityName>
      <candidateList>
        <item>，由</item>
      </candidateList>
      <explain/>
      <paraID>36865BEB</paraID>
      <start>49</start>
      <end>50</end>
      <status>unmodified</status>
      <modifiedWord/>
      <trackRevisions>false</trackRevisions>
    </reviewItem>
    <reviewItem>
      <errorID>4d2d93e0-a5dd-47e4-bdc7-11e5a7849336</errorID>
      <errorWord>法律、法规</errorWord>
      <group>L1_Word</group>
      <groupName>字词问题</groupName>
      <ability>L2_Typo</ability>
      <abilityName>字词错误</abilityName>
      <candidateList>
        <item>法律法规</item>
      </candidateList>
      <explain/>
      <paraID>3ED7C3DD</paraID>
      <start>42</start>
      <end>47</end>
      <status>unmodified</status>
      <modifiedWord/>
      <trackRevisions>false</trackRevisions>
    </reviewItem>
    <reviewItem>
      <errorID>8373dc2e-6acf-4649-9804-4ab0871905e8</errorID>
      <errorWord>(</errorWord>
      <group>L1_Format</group>
      <groupName>格式问题</groupName>
      <ability>L2_HalfPunc_CN</ability>
      <abilityName>全半角问题</abilityName>
      <candidateList>
        <item>（</item>
      </candidateList>
      <explain>文本全半角错误。</explain>
      <paraID>2C8050D9</paraID>
      <start>35</start>
      <end>36</end>
      <status>unmodified</status>
      <modifiedWord/>
      <trackRevisions>false</trackRevisions>
    </reviewItem>
    <reviewItem>
      <errorID>fccc92bc-64be-429f-b762-28042f8a8d64</errorID>
      <errorWord>本</errorWord>
      <group>L1_Word</group>
      <groupName>字词问题</groupName>
      <ability>L2_Typo</ability>
      <abilityName>字词错误</abilityName>
      <candidateList>
        <item>本项</item>
      </candidateList>
      <explain/>
      <paraID>2C8050D9</paraID>
      <start>43</start>
      <end>44</end>
      <status>unmodified</status>
      <modifiedWord/>
      <trackRevisions>false</trackRevisions>
    </reviewItem>
    <reviewItem>
      <errorID>3677b2d1-a2f3-41ac-b218-23fe1117e9d6</errorID>
      <errorWord>)</errorWord>
      <group>L1_Format</group>
      <groupName>格式问题</groupName>
      <ability>L2_HalfPunc_CN</ability>
      <abilityName>全半角问题</abilityName>
      <candidateList>
        <item>）</item>
      </candidateList>
      <explain>文本全半角错误。</explain>
      <paraID>2C8050D9</paraID>
      <start>48</start>
      <end>49</end>
      <status>unmodified</status>
      <modifiedWord/>
      <trackRevisions>false</trackRevisions>
    </reviewItem>
    <reviewItem>
      <errorID>7419c508-5a62-484c-b564-4a2718d91d14</errorID>
      <errorWord>(</errorWord>
      <group>L1_Format</group>
      <groupName>格式问题</groupName>
      <ability>L2_HalfPunc_CN</ability>
      <abilityName>全半角问题</abilityName>
      <candidateList>
        <item>（</item>
      </candidateList>
      <explain>文本全半角错误。</explain>
      <paraID>1179FD50</paraID>
      <start>17</start>
      <end>18</end>
      <status>unmodified</status>
      <modifiedWord/>
      <trackRevisions>false</trackRevisions>
    </reviewItem>
    <reviewItem>
      <errorID>fe488c29-c134-4498-bc4f-ec60619fb0ec</errorID>
      <errorWord>)</errorWord>
      <group>L1_Format</group>
      <groupName>格式问题</groupName>
      <ability>L2_HalfPunc_CN</ability>
      <abilityName>全半角问题</abilityName>
      <candidateList>
        <item>）</item>
      </candidateList>
      <explain>文本全半角错误。</explain>
      <paraID>1179FD50</paraID>
      <start>23</start>
      <end>24</end>
      <status>unmodified</status>
      <modifiedWord/>
      <trackRevisions>false</trackRevisions>
    </reviewItem>
    <reviewItem>
      <errorID>92a9da19-9bf3-4091-a17b-e7f86d27d71b</errorID>
      <errorWord>法律、法规</errorWord>
      <group>L1_Word</group>
      <groupName>字词问题</groupName>
      <ability>L2_Typo</ability>
      <abilityName>字词错误</abilityName>
      <candidateList>
        <item>法律法规</item>
      </candidateList>
      <explain/>
      <paraID>21B36112</paraID>
      <start>8</start>
      <end>13</end>
      <status>unmodified</status>
      <modifiedWord/>
      <trackRevisions>false</trackRevisions>
    </reviewItem>
    <reviewItem>
      <errorID>aeacac5d-088f-4f04-8455-9306ab5b5ea7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6673B3B0</paraID>
      <start>3</start>
      <end>7</end>
      <status>unmodified</status>
      <modifiedWord/>
      <trackRevisions>false</trackRevisions>
    </reviewItem>
    <reviewItem>
      <errorID>d8d5f137-8acd-4dfe-bea6-b83faf5230ba</errorID>
      <errorWord>透漏</errorWord>
      <group>L1_Word</group>
      <groupName>字词问题</groupName>
      <ability>L2_Typo</ability>
      <abilityName>字词错误</abilityName>
      <candidateList>
        <item>透露</item>
      </candidateList>
      <explain>存在发音相同字词的误用。</explain>
      <paraID>22E615B0</paraID>
      <start>28</start>
      <end>30</end>
      <status>unmodified</status>
      <modifiedWord/>
      <trackRevisions>false</trackRevisions>
    </reviewItem>
    <reviewItem>
      <errorID>0744f0b6-4874-488a-8a66-7a67b7be4711</errorID>
      <errorWord>透漏</errorWord>
      <group>L1_Word</group>
      <groupName>字词问题</groupName>
      <ability>L2_Typo</ability>
      <abilityName>字词错误</abilityName>
      <candidateList>
        <item>透露</item>
      </candidateList>
      <explain>存在发音相同字词的误用。</explain>
      <paraID>4C5301FE</paraID>
      <start>33</start>
      <end>35</end>
      <status>unmodified</status>
      <modifiedWord/>
      <trackRevisions>false</trackRevisions>
    </reviewItem>
    <reviewItem>
      <errorID>eaafd34a-878f-489f-9fd1-464b36ae8bb8</errorID>
      <errorWord>法律、法规</errorWord>
      <group>L1_Word</group>
      <groupName>字词问题</groupName>
      <ability>L2_Typo</ability>
      <abilityName>字词错误</abilityName>
      <candidateList>
        <item>法律法规</item>
      </candidateList>
      <explain/>
      <paraID>1CD4F2A0</paraID>
      <start>27</start>
      <end>32</end>
      <status>unmodified</status>
      <modifiedWord/>
      <trackRevisions>false</trackRevisions>
    </reviewItem>
    <reviewItem>
      <errorID>2f902798-3ab3-4817-b846-d7905476a9fb</errorID>
      <errorWord>(</errorWord>
      <group>L1_Format</group>
      <groupName>格式问题</groupName>
      <ability>L2_HalfPunc_CN</ability>
      <abilityName>全半角问题</abilityName>
      <candidateList>
        <item>（</item>
      </candidateList>
      <explain>文本全半角错误。</explain>
      <paraID>117C6105</paraID>
      <start>17</start>
      <end>18</end>
      <status>unmodified</status>
      <modifiedWord/>
      <trackRevisions>false</trackRevisions>
    </reviewItem>
    <reviewItem>
      <errorID>ed92b10f-8cf9-4ed3-869f-6c41826332e4</errorID>
      <errorWord>)</errorWord>
      <group>L1_Format</group>
      <groupName>格式问题</groupName>
      <ability>L2_HalfPunc_CN</ability>
      <abilityName>全半角问题</abilityName>
      <candidateList>
        <item>）</item>
      </candidateList>
      <explain>文本全半角错误。</explain>
      <paraID>117C6105</paraID>
      <start>40</start>
      <end>41</end>
      <status>unmodified</status>
      <modifiedWord/>
      <trackRevisions>false</trackRevisions>
    </reviewItem>
    <reviewItem>
      <errorID>6edfb1d1-8e8d-4298-9e1e-12797250d565</errorID>
      <errorWord>，</errorWord>
      <group>L1_Word</group>
      <groupName>字词问题</groupName>
      <ability>L2_Typo</ability>
      <abilityName>字词错误</abilityName>
      <candidateList>
        <item>，并</item>
      </candidateList>
      <explain/>
      <paraID>6454C3B1</paraID>
      <start>247</start>
      <end>248</end>
      <status>unmodified</status>
      <modifiedWord/>
      <trackRevisions>false</trackRevisions>
    </reviewItem>
    <reviewItem>
      <errorID>dd2d64b7-38aa-4712-903d-36f553b6e111</errorID>
      <errorWord>(</errorWord>
      <group>L1_Format</group>
      <groupName>格式问题</groupName>
      <ability>L2_HalfPunc_CN</ability>
      <abilityName>全半角问题</abilityName>
      <candidateList>
        <item>（</item>
      </candidateList>
      <explain>文本全半角错误。</explain>
      <paraID>51452B9A</paraID>
      <start>20</start>
      <end>21</end>
      <status>unmodified</status>
      <modifiedWord/>
      <trackRevisions>false</trackRevisions>
    </reviewItem>
    <reviewItem>
      <errorID>3e0a6d07-dd0a-45af-8295-0e0b7d4d3bed</errorID>
      <errorWord>)</errorWord>
      <group>L1_Format</group>
      <groupName>格式问题</groupName>
      <ability>L2_HalfPunc_CN</ability>
      <abilityName>全半角问题</abilityName>
      <candidateList>
        <item>）</item>
      </candidateList>
      <explain>文本全半角错误。</explain>
      <paraID>51452B9A</paraID>
      <start>43</start>
      <end>44</end>
      <status>unmodified</status>
      <modifiedWord/>
      <trackRevisions>false</trackRevisions>
    </reviewItem>
    <reviewItem>
      <errorID>76e9ffc0-ef7f-4189-8764-026ef86c2214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51452B9A</paraID>
      <start>44</start>
      <end>45</end>
      <status>unmodified</status>
      <modifiedWord/>
      <trackRevisions>false</trackRevisions>
    </reviewItem>
    <reviewItem>
      <errorID>625be816-54e3-486f-a3d4-d3dcf3b31fa0</errorID>
      <errorWord>,</errorWord>
      <group>L1_Format</group>
      <groupName>格式问题</groupName>
      <ability>L2_HalfPunc_CN</ability>
      <abilityName>全半角问题</abilityName>
      <candidateList>
        <item>，</item>
      </candidateList>
      <explain>文本全半角错误。</explain>
      <paraID>7B127B3E</paraID>
      <start>21</start>
      <end>22</end>
      <status>unmodified</status>
      <modifiedWord/>
      <trackRevisions>false</trackRevisions>
    </reviewItem>
    <reviewItem>
      <errorID>e0478bce-c797-4412-a930-a206111146ff</errorID>
      <errorWord>法律、法规</errorWord>
      <group>L1_Word</group>
      <groupName>字词问题</groupName>
      <ability>L2_Typo</ability>
      <abilityName>字词错误</abilityName>
      <candidateList>
        <item>法律法规</item>
      </candidateList>
      <explain/>
      <paraID> CD9B3F3</paraID>
      <start>3</start>
      <end>8</end>
      <status>unmodified</status>
      <modifiedWord/>
      <trackRevisions>false</trackRevisions>
    </reviewItem>
    <reviewItem>
      <errorID>5f1f5ec4-73cf-4331-bf57-94fa0d7c0d11</errorID>
      <errorWord>:</errorWord>
      <group>L1_Format</group>
      <groupName>格式问题</groupName>
      <ability>L2_HalfPunc_CN</ability>
      <abilityName>全半角问题</abilityName>
      <candidateList>
        <item>：</item>
      </candidateList>
      <explain>文本全半角错误。</explain>
      <paraID>2C2B2E14</paraID>
      <start>1</start>
      <end>2</end>
      <status>unmodified</status>
      <modifiedWord/>
      <trackRevisions>false</trackRevisions>
    </reviewItem>
    <reviewItem>
      <errorID>fdc0a758-9e63-4744-b52f-23e012f44768</errorID>
      <errorWord>(</errorWord>
      <group>L1_Punc</group>
      <groupName>标点问题</groupName>
      <ability>L2_Punc_CN</ability>
      <abilityName>标点符号问题</abilityName>
      <candidateList/>
      <explain>同一形式括号套用。</explain>
      <paraID>206EAB3C</paraID>
      <start>32</start>
      <end>33</end>
      <status>unmodified</status>
      <modifiedWord/>
      <trackRevisions>false</trackRevisions>
    </reviewItem>
    <reviewItem>
      <errorID>3daba12f-63bd-4d7d-8a52-6d09a1715527</errorID>
      <errorWord>（</errorWord>
      <group>L1_Punc</group>
      <groupName>标点问题</groupName>
      <ability>L2_Punc_CN</ability>
      <abilityName>标点符号问题</abilityName>
      <candidateList/>
      <explain>同一形式括号套用。</explain>
      <paraID>206EAB3C</paraID>
      <start>52</start>
      <end>53</end>
      <status>unmodified</status>
      <modifiedWord/>
      <trackRevisions>false</trackRevisions>
    </reviewItem>
    <reviewItem>
      <errorID>29d9550d-ad38-4b55-8664-e32d199e8729</errorID>
      <errorWord>）</errorWord>
      <group>L1_Punc</group>
      <groupName>标点问题</groupName>
      <ability>L2_Punc_CN</ability>
      <abilityName>标点符号问题</abilityName>
      <candidateList/>
      <explain>同一形式括号套用。</explain>
      <paraID>206EAB3C</paraID>
      <start>59</start>
      <end>60</end>
      <status>unmodified</status>
      <modifiedWord/>
      <trackRevisions>false</trackRevisions>
    </reviewItem>
    <reviewItem>
      <errorID>3550048c-3cc3-4e89-9cb9-0006f7ec3555</errorID>
      <errorWord>)</errorWord>
      <group>L1_Punc</group>
      <groupName>标点问题</groupName>
      <ability>L2_Punc_CN</ability>
      <abilityName>标点符号问题</abilityName>
      <candidateList/>
      <explain>同一形式括号套用。</explain>
      <paraID>206EAB3C</paraID>
      <start>62</start>
      <end>63</end>
      <status>unmodified</status>
      <modifiedWord/>
      <trackRevisions>false</trackRevisions>
    </reviewItem>
    <reviewItem>
      <errorID>bae4e980-6a7f-44f1-9815-e59cab027c95</errorID>
      <errorWord>须</errorWord>
      <group>L1_Word</group>
      <groupName>字词问题</groupName>
      <ability>L2_Typo</ability>
      <abilityName>字词错误</abilityName>
      <candidateList>
        <item>需</item>
      </candidateList>
      <explain>存在发音相同字词的误用。</explain>
      <paraID>19F1FDC3</paraID>
      <start>87</start>
      <end>88</end>
      <status>unmodified</status>
      <modifiedWord/>
      <trackRevisions>false</trackRevisions>
    </reviewItem>
    <reviewItem>
      <errorID>43b1482f-b718-455a-b646-8fa2170dc650</errorID>
      <errorWord>:</errorWord>
      <group>L1_Format</group>
      <groupName>格式问题</groupName>
      <ability>L2_HalfPunc_CN</ability>
      <abilityName>全半角问题</abilityName>
      <candidateList>
        <item>：</item>
      </candidateList>
      <explain>文本全半角错误。</explain>
      <paraID>4A992EB9</paraID>
      <start>1</start>
      <end>2</end>
      <status>unmodified</status>
      <modifiedWord/>
      <trackRevisions>false</trackRevisions>
    </reviewItem>
    <reviewItem>
      <errorID>00241da0-0554-40ff-8607-9ef8c3286e9f</errorID>
      <errorWord>(</errorWord>
      <group>L1_Punc</group>
      <groupName>标点问题</groupName>
      <ability>L2_Punc_CN</ability>
      <abilityName>标点符号问题</abilityName>
      <candidateList/>
      <explain>同一形式括号套用。</explain>
      <paraID>  F12403</paraID>
      <start>32</start>
      <end>33</end>
      <status>unmodified</status>
      <modifiedWord/>
      <trackRevisions>false</trackRevisions>
    </reviewItem>
    <reviewItem>
      <errorID>19003f3a-83f2-49a2-a713-bbc8c2021f37</errorID>
      <errorWord>（</errorWord>
      <group>L1_Punc</group>
      <groupName>标点问题</groupName>
      <ability>L2_Punc_CN</ability>
      <abilityName>标点符号问题</abilityName>
      <candidateList/>
      <explain>同一形式括号套用。</explain>
      <paraID>  F12403</paraID>
      <start>52</start>
      <end>53</end>
      <status>unmodified</status>
      <modifiedWord/>
      <trackRevisions>false</trackRevisions>
    </reviewItem>
    <reviewItem>
      <errorID>55697458-b3b1-4dfb-9112-be768446803d</errorID>
      <errorWord>）</errorWord>
      <group>L1_Punc</group>
      <groupName>标点问题</groupName>
      <ability>L2_Punc_CN</ability>
      <abilityName>标点符号问题</abilityName>
      <candidateList/>
      <explain>同一形式括号套用。</explain>
      <paraID>  F12403</paraID>
      <start>59</start>
      <end>60</end>
      <status>unmodified</status>
      <modifiedWord/>
      <trackRevisions>false</trackRevisions>
    </reviewItem>
    <reviewItem>
      <errorID>bd05df07-b035-4f2b-9036-028ef276ac44</errorID>
      <errorWord>)</errorWord>
      <group>L1_Punc</group>
      <groupName>标点问题</groupName>
      <ability>L2_Punc_CN</ability>
      <abilityName>标点符号问题</abilityName>
      <candidateList/>
      <explain>同一形式括号套用。</explain>
      <paraID>  F12403</paraID>
      <start>62</start>
      <end>63</end>
      <status>unmodified</status>
      <modifiedWord/>
      <trackRevisions>false</trackRevisions>
    </reviewItem>
    <reviewItem>
      <errorID>2f3e325a-7f86-4c52-b18e-c5f67d7536d8</errorID>
      <errorWord>须</errorWord>
      <group>L1_Word</group>
      <groupName>字词问题</groupName>
      <ability>L2_Typo</ability>
      <abilityName>字词错误</abilityName>
      <candidateList>
        <item>需</item>
      </candidateList>
      <explain>存在发音相同字词的误用。</explain>
      <paraID>3AAB28C7</paraID>
      <start>87</start>
      <end>88</end>
      <status>unmodified</status>
      <modifiedWord/>
      <trackRevisions>false</trackRevisions>
    </reviewItem>
    <reviewItem>
      <errorID>6b28d416-b4c8-40fc-9d2d-78539518641b</errorID>
      <errorWord>&gt;</errorWord>
      <group>L1_Format</group>
      <groupName>格式问题</groupName>
      <ability>L2_HalfPunc_CN</ability>
      <abilityName>全半角问题</abilityName>
      <candidateList>
        <item>〉</item>
      </candidateList>
      <explain>文本全半角错误。</explain>
      <paraID>1FED9A46</paraID>
      <start>6</start>
      <end>7</end>
      <status>unmodified</status>
      <modifiedWord/>
      <trackRevisions>false</trackRevisions>
    </reviewItem>
    <reviewItem>
      <errorID>3f866ea9-9493-41e5-80a1-09db3c4517da</errorID>
      <errorWord>）</errorWord>
      <group>L1_Word</group>
      <groupName>字词问题</groupName>
      <ability>L2_Typo</ability>
      <abilityName>字词错误</abilityName>
      <candidateList>
        <item>）以</item>
      </candidateList>
      <explain/>
      <paraID>614EA2A6</paraID>
      <start>158</start>
      <end>159</end>
      <status>unmodified</status>
      <modifiedWord/>
      <trackRevisions>false</trackRevisions>
    </reviewItem>
    <reviewItem>
      <errorID>b7a909fc-3fe6-4a60-aa0d-b60caee8f082</errorID>
      <errorWord>,</errorWord>
      <group>L1_Format</group>
      <groupName>格式问题</groupName>
      <ability>L2_HalfPunc_CN</ability>
      <abilityName>全半角问题</abilityName>
      <candidateList>
        <item>，</item>
      </candidateList>
      <explain>文本全半角错误。</explain>
      <paraID>75E53A2F</paraID>
      <start>11</start>
      <end>12</end>
      <status>unmodified</status>
      <modifiedWord/>
      <trackRevisions>false</trackRevisions>
    </reviewItem>
    <reviewItem>
      <errorID>72a9022c-801b-4411-983e-e0132a473eff</errorID>
      <errorWord>项</errorWord>
      <group>L1_Word</group>
      <groupName>字词问题</groupName>
      <ability>L2_Typo</ability>
      <abilityName>字词错误</abilityName>
      <candidateList>
        <item>个</item>
      </candidateList>
      <explain/>
      <paraID>5F5BC59F</paraID>
      <start>159</start>
      <end>160</end>
      <status>unmodified</status>
      <modifiedWord/>
      <trackRevisions>false</trackRevisions>
    </reviewItem>
    <reviewItem>
      <errorID>ce963407-6c6b-4eb2-8c6f-0ad43ec2ded6</errorID>
      <errorWord>、及</errorWord>
      <group>L1_Word</group>
      <groupName>字词问题</groupName>
      <ability>L2_Typo</ability>
      <abilityName>字词错误</abilityName>
      <candidateList>
        <item>及</item>
      </candidateList>
      <explain/>
      <paraID>4EB281BD</paraID>
      <start>71</start>
      <end>73</end>
      <status>unmodified</status>
      <modifiedWord/>
      <trackRevisions>false</trackRevisions>
    </reviewItem>
    <reviewItem>
      <errorID>a0577c0c-836b-4634-8533-80699e140804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7A314285</paraID>
      <start>0</start>
      <end>2</end>
      <status>unmodified</status>
      <modifiedWord/>
      <trackRevisions>false</trackRevisions>
    </reviewItem>
    <reviewItem>
      <errorID>a9f1588f-a574-46f8-982a-ce7df84a142d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2289AE4D</paraID>
      <start>0</start>
      <end>2</end>
      <status>unmodified</status>
      <modifiedWord/>
      <trackRevisions>false</trackRevisions>
    </reviewItem>
    <reviewItem>
      <errorID>e9dd5446-f3df-4aed-8fee-fcd66e99f281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5B230EB1</paraID>
      <start>0</start>
      <end>2</end>
      <status>unmodified</status>
      <modifiedWord/>
      <trackRevisions>false</trackRevisions>
    </reviewItem>
    <reviewItem>
      <errorID>ec19cd4e-8817-4820-8c16-1fa6e04caada</errorID>
      <errorWord>,</errorWord>
      <group>L1_Format</group>
      <groupName>格式问题</groupName>
      <ability>L2_HalfPunc_CN</ability>
      <abilityName>全半角问题</abilityName>
      <candidateList>
        <item>，</item>
      </candidateList>
      <explain>文本全半角错误。</explain>
      <paraID>5B230EB1</paraID>
      <start>44</start>
      <end>45</end>
      <status>unmodified</status>
      <modifiedWord/>
      <trackRevisions>false</trackRevisions>
    </reviewItem>
    <reviewItem>
      <errorID>4a98cc38-451a-49cb-833b-71b754044196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49D01D93</paraID>
      <start>0</start>
      <end>2</end>
      <status>unmodified</status>
      <modifiedWord/>
      <trackRevisions>false</trackRevisions>
    </reviewItem>
    <reviewItem>
      <errorID>e88ae69f-e5a0-4ddd-93d8-fdc4e812cf3f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55934995</paraID>
      <start>0</start>
      <end>2</end>
      <status>unmodified</status>
      <modifiedWord/>
      <trackRevisions>false</trackRevisions>
    </reviewItem>
    <reviewItem>
      <errorID>c1bbb196-41e5-4c14-a4f3-a3f2945b1bc5</errorID>
      <errorWord>(</errorWord>
      <group>L1_Format</group>
      <groupName>格式问题</groupName>
      <ability>L2_HalfPunc_CN</ability>
      <abilityName>全半角问题</abilityName>
      <candidateList>
        <item>（</item>
      </candidateList>
      <explain>文本全半角错误。</explain>
      <paraID>52C45463</paraID>
      <start>115</start>
      <end>116</end>
      <status>unmodified</status>
      <modifiedWord/>
      <trackRevisions>false</trackRevisions>
    </reviewItem>
    <reviewItem>
      <errorID>d86dffee-de67-4554-b35c-41d901eeca3f</errorID>
      <errorWord>)</errorWord>
      <group>L1_Format</group>
      <groupName>格式问题</groupName>
      <ability>L2_HalfPunc_CN</ability>
      <abilityName>全半角问题</abilityName>
      <candidateList>
        <item>）</item>
      </candidateList>
      <explain>文本全半角错误。</explain>
      <paraID>52C45463</paraID>
      <start>121</start>
      <end>122</end>
      <status>unmodified</status>
      <modifiedWord/>
      <trackRevisions>false</trackRevisions>
    </reviewItem>
    <reviewItem>
      <errorID>bfae34a3-374f-47ee-90e3-01a7b9dcb161</errorID>
      <errorWord>件</errorWord>
      <group>L1_Word</group>
      <groupName>字词问题</groupName>
      <ability>L2_Typo</ability>
      <abilityName>字词错误</abilityName>
      <candidateList>
        <item>件和</item>
      </candidateList>
      <explain/>
      <paraID>1AF18EF8</paraID>
      <start>110</start>
      <end>111</end>
      <status>unmodified</status>
      <modifiedWord/>
      <trackRevisions>false</trackRevisions>
    </reviewItem>
    <reviewItem>
      <errorID>684c7abd-5ddd-4ca0-aeb7-6ecd29acc607</errorID>
      <errorWord>(</errorWord>
      <group>L1_Format</group>
      <groupName>格式问题</groupName>
      <ability>L2_HalfPunc_CN</ability>
      <abilityName>全半角问题</abilityName>
      <candidateList>
        <item>（</item>
      </candidateList>
      <explain>文本全半角错误。</explain>
      <paraID>51EBEF51</paraID>
      <start>24</start>
      <end>25</end>
      <status>unmodified</status>
      <modifiedWord/>
      <trackRevisions>false</trackRevisions>
    </reviewItem>
    <reviewItem>
      <errorID>2d7bf435-ad54-4f57-a7ca-d87c00d5ddd7</errorID>
      <errorWord>)</errorWord>
      <group>L1_Format</group>
      <groupName>格式问题</groupName>
      <ability>L2_HalfPunc_CN</ability>
      <abilityName>全半角问题</abilityName>
      <candidateList>
        <item>）</item>
      </candidateList>
      <explain>文本全半角错误。</explain>
      <paraID>51EBEF51</paraID>
      <start>30</start>
      <end>31</end>
      <status>unmodified</status>
      <modifiedWord/>
      <trackRevisions>false</trackRevisions>
    </reviewItem>
    <reviewItem>
      <errorID>b678129a-de44-4b87-8cd2-410766b03fe2</errorID>
      <errorWord>房</errorWord>
      <group>L1_Word</group>
      <groupName>字词问题</groupName>
      <ability>L2_Typo</ability>
      <abilityName>字词错误</abilityName>
      <candidateList>
        <item>房和</item>
      </candidateList>
      <explain/>
      <paraID>51EBEF51</paraID>
      <start>75</start>
      <end>76</end>
      <status>unmodified</status>
      <modifiedWord/>
      <trackRevisions>false</trackRevisions>
    </reviewItem>
    <reviewItem>
      <errorID>39c56a35-6afe-4ff0-aa46-b3c6a146ed02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629E9931</paraID>
      <start>0</start>
      <end>3</end>
      <status>unmodified</status>
      <modifiedWord/>
      <trackRevisions>false</trackRevisions>
    </reviewItem>
    <reviewItem>
      <errorID>71307f04-ddeb-4c3b-89ad-12ba25c56b31</errorID>
      <errorWord>（</errorWord>
      <group>L1_Punc</group>
      <groupName>标点问题</groupName>
      <ability>L2_Punc_CN</ability>
      <abilityName>标点符号问题</abilityName>
      <candidateList/>
      <explain>同一形式括号套用。</explain>
      <paraID>27DC37B2</paraID>
      <start>50</start>
      <end>51</end>
      <status>unmodified</status>
      <modifiedWord/>
      <trackRevisions>false</trackRevisions>
    </reviewItem>
    <reviewItem>
      <errorID>ca4400ec-d198-4a39-af51-6e26f3d0deb0</errorID>
      <errorWord>）</errorWord>
      <group>L1_Punc</group>
      <groupName>标点问题</groupName>
      <ability>L2_Punc_CN</ability>
      <abilityName>标点符号问题</abilityName>
      <candidateList/>
      <explain>同一形式括号套用。</explain>
      <paraID>27DC37B2</paraID>
      <start>66</start>
      <end>67</end>
      <status>unmodified</status>
      <modifiedWord/>
      <trackRevisions>false</trackRevisions>
    </reviewItem>
    <reviewItem>
      <errorID>6c90ceec-12a2-4c23-87a1-3fe1d774c9cb</errorID>
      <errorWord>做无效投标</errorWord>
      <group>L1_Word</group>
      <groupName>字词问题</groupName>
      <ability>L2_Typo</ability>
      <abilityName>字词错误</abilityName>
      <candidateList>
        <item>作无效投标</item>
      </candidateList>
      <explain/>
      <paraID>443B5B9F</paraID>
      <start>41</start>
      <end>46</end>
      <status>unmodified</status>
      <modifiedWord/>
      <trackRevisions>false</trackRevisions>
    </reviewItem>
    <reviewItem>
      <errorID>926305ab-f011-4736-ac51-8cf312b6432f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4C5E4E62</paraID>
      <start>0</start>
      <end>3</end>
      <status>unmodified</status>
      <modifiedWord/>
      <trackRevisions>false</trackRevisions>
    </reviewItem>
    <reviewItem>
      <errorID>29e20aed-1aa4-465f-a2aa-f2b932d3bce1</errorID>
      <errorWord>做</errorWord>
      <group>L1_Word</group>
      <groupName>字词问题</groupName>
      <ability>L2_Typo</ability>
      <abilityName>字词错误</abilityName>
      <candidateList>
        <item>作</item>
      </candidateList>
      <explain/>
      <paraID>4C5E4E62</paraID>
      <start>44</start>
      <end>45</end>
      <status>unmodified</status>
      <modifiedWord/>
      <trackRevisions>false</trackRevisions>
    </reviewItem>
    <reviewItem>
      <errorID>bd6eb544-9ea9-435a-b372-7c5f9c775234</errorID>
      <errorWord>法律、法规</errorWord>
      <group>L1_Word</group>
      <groupName>字词问题</groupName>
      <ability>L2_Typo</ability>
      <abilityName>字词错误</abilityName>
      <candidateList>
        <item>法律法规</item>
      </candidateList>
      <explain/>
      <paraID>49FBAF37</paraID>
      <start>4</start>
      <end>9</end>
      <status>unmodified</status>
      <modifiedWord/>
      <trackRevisions>false</trackRevisions>
    </reviewItem>
    <reviewItem>
      <errorID>1af984ac-f84b-4f3b-8222-66b5f76ff091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50FC880E</paraID>
      <start>64</start>
      <end>65</end>
      <status>unmodified</status>
      <modifiedWord/>
      <trackRevisions>false</trackRevisions>
    </reviewItem>
    <reviewItem>
      <errorID>c90f55a6-ed9c-4c26-b25b-cd03cefb7da3</errorID>
      <errorWord>、直至</errorWord>
      <group>L1_Word</group>
      <groupName>字词问题</groupName>
      <ability>L2_Typo</ability>
      <abilityName>字词错误</abilityName>
      <candidateList>
        <item>直至</item>
      </candidateList>
      <explain/>
      <paraID>5F6738C8</paraID>
      <start>46</start>
      <end>49</end>
      <status>unmodified</status>
      <modifiedWord/>
      <trackRevisions>false</trackRevisions>
    </reviewItem>
    <reviewItem>
      <errorID>d8203d35-d4f8-44c2-926e-a58a06d020db</errorID>
      <errorWord>:</errorWord>
      <group>L1_Format</group>
      <groupName>格式问题</groupName>
      <ability>L2_HalfPunc_CN</ability>
      <abilityName>全半角问题</abilityName>
      <candidateList>
        <item>：</item>
      </candidateList>
      <explain>文本全半角错误。</explain>
      <paraID>1E457112</paraID>
      <start>17</start>
      <end>18</end>
      <status>unmodified</status>
      <modifiedWord/>
      <trackRevisions>false</trackRevisions>
    </reviewItem>
    <reviewItem>
      <errorID>9153481b-96a0-45af-aee9-4cb8fb07d053</errorID>
      <errorWord>)</errorWord>
      <group>L1_Format</group>
      <groupName>格式问题</groupName>
      <ability>L2_HalfPunc_CN</ability>
      <abilityName>全半角问题</abilityName>
      <candidateList>
        <item>）</item>
      </candidateList>
      <explain>文本全半角错误。</explain>
      <paraID>540B08EE</paraID>
      <start>37</start>
      <end>38</end>
      <status>unmodified</status>
      <modifiedWord/>
      <trackRevisions>false</trackRevisions>
    </reviewItem>
    <reviewItem>
      <errorID>27de4a9a-e36c-45b3-8c10-c118cba11027</errorID>
      <errorWord>)</errorWord>
      <group>L1_Format</group>
      <groupName>格式问题</groupName>
      <ability>L2_HalfPunc_CN</ability>
      <abilityName>全半角问题</abilityName>
      <candidateList>
        <item>）</item>
      </candidateList>
      <explain>文本全半角错误。</explain>
      <paraID>763CEE52</paraID>
      <start>35</start>
      <end>36</end>
      <status>unmodified</status>
      <modifiedWord/>
      <trackRevisions>false</trackRevisions>
    </reviewItem>
    <reviewItem>
      <errorID>c6b4300e-612d-4ef8-9f04-a5b407a191a8</errorID>
      <errorWord>)</errorWord>
      <group>L1_Format</group>
      <groupName>格式问题</groupName>
      <ability>L2_HalfPunc_CN</ability>
      <abilityName>全半角问题</abilityName>
      <candidateList>
        <item>）</item>
      </candidateList>
      <explain>文本全半角错误。</explain>
      <paraID> CA08798</paraID>
      <start>35</start>
      <end>36</end>
      <status>unmodified</status>
      <modifiedWord/>
      <trackRevisions>false</trackRevisions>
    </reviewItem>
    <reviewItem>
      <errorID>e58ea3b9-a4f2-4695-a54f-1dbfe446b80c</errorID>
      <errorWord>)</errorWord>
      <group>L1_Format</group>
      <groupName>格式问题</groupName>
      <ability>L2_HalfPunc_CN</ability>
      <abilityName>全半角问题</abilityName>
      <candidateList>
        <item>）</item>
      </candidateList>
      <explain>文本全半角错误。</explain>
      <paraID>23F0A5AB</paraID>
      <start>35</start>
      <end>36</end>
      <status>unmodified</status>
      <modifiedWord/>
      <trackRevisions>false</trackRevisions>
    </reviewItem>
    <reviewItem>
      <errorID>a5bde08f-6818-4601-aa38-4f4aef297b28</errorID>
      <errorWord>；；</errorWord>
      <group>L1_Punc</group>
      <groupName>标点问题</groupName>
      <ability>L2_Punc_CN</ability>
      <abilityName>标点符号问题</abilityName>
      <candidateList>
        <item>；</item>
      </candidateList>
      <explain/>
      <paraID>23F0A5AB</paraID>
      <start>36</start>
      <end>38</end>
      <status>unmodified</status>
      <modifiedWord/>
      <trackRevisions>false</trackRevisions>
    </reviewItem>
    <reviewItem>
      <errorID>dd2bb033-8875-40d4-99d3-f0a2f0f17510</errorID>
      <errorWord>)</errorWord>
      <group>L1_Format</group>
      <groupName>格式问题</groupName>
      <ability>L2_HalfPunc_CN</ability>
      <abilityName>全半角问题</abilityName>
      <candidateList>
        <item>）</item>
      </candidateList>
      <explain>文本全半角错误。</explain>
      <paraID>4C92C162</paraID>
      <start>35</start>
      <end>36</end>
      <status>unmodified</status>
      <modifiedWord/>
      <trackRevisions>false</trackRevisions>
    </reviewItem>
    <reviewItem>
      <errorID>9acf1b15-b67f-460d-b075-6cbc0b16a418</errorID>
      <errorWord>；。</errorWord>
      <group>L1_Punc</group>
      <groupName>标点问题</groupName>
      <ability>L2_Punc_CN</ability>
      <abilityName>标点符号问题</abilityName>
      <candidateList>
        <item>；</item>
      </candidateList>
      <explain/>
      <paraID>4C92C162</paraID>
      <start>36</start>
      <end>38</end>
      <status>unmodified</status>
      <modifiedWord/>
      <trackRevisions>false</trackRevisions>
    </reviewItem>
    <reviewItem>
      <errorID>53f34959-0318-4b85-a8c1-6fdec9ec052d</errorID>
      <errorWord>(</errorWord>
      <group>L1_Format</group>
      <groupName>格式问题</groupName>
      <ability>L2_HalfPunc_CN</ability>
      <abilityName>全半角问题</abilityName>
      <candidateList>
        <item>（</item>
      </candidateList>
      <explain>文本全半角错误。</explain>
      <paraID>2583CCD6</paraID>
      <start>18</start>
      <end>19</end>
      <status>unmodified</status>
      <modifiedWord/>
      <trackRevisions>false</trackRevisions>
    </reviewItem>
    <reviewItem>
      <errorID>9a361ddd-9d04-4f01-a4f1-dad71a943ec5</errorID>
      <errorWord>)</errorWord>
      <group>L1_Format</group>
      <groupName>格式问题</groupName>
      <ability>L2_HalfPunc_CN</ability>
      <abilityName>全半角问题</abilityName>
      <candidateList>
        <item>）</item>
      </candidateList>
      <explain>文本全半角错误。</explain>
      <paraID>2583CCD6</paraID>
      <start>21</start>
      <end>22</end>
      <status>unmodified</status>
      <modifiedWord/>
      <trackRevisions>false</trackRevisions>
    </reviewItem>
    <reviewItem>
      <errorID>83efc446-4d08-4916-8657-ca9ceab7dd33</errorID>
      <errorWord>(</errorWord>
      <group>L1_Format</group>
      <groupName>格式问题</groupName>
      <ability>L2_HalfPunc_CN</ability>
      <abilityName>全半角问题</abilityName>
      <candidateList>
        <item>（</item>
      </candidateList>
      <explain>文本全半角错误。</explain>
      <paraID>2583CCD6</paraID>
      <start>52</start>
      <end>53</end>
      <status>unmodified</status>
      <modifiedWord/>
      <trackRevisions>false</trackRevisions>
    </reviewItem>
    <reviewItem>
      <errorID>2ca7ad1f-a8bf-4610-bd48-925c03fd4f0a</errorID>
      <errorWord>)</errorWord>
      <group>L1_Format</group>
      <groupName>格式问题</groupName>
      <ability>L2_HalfPunc_CN</ability>
      <abilityName>全半角问题</abilityName>
      <candidateList>
        <item>）</item>
      </candidateList>
      <explain>文本全半角错误。</explain>
      <paraID>2583CCD6</paraID>
      <start>55</start>
      <end>56</end>
      <status>unmodified</status>
      <modifiedWord/>
      <trackRevisions>false</trackRevisions>
    </reviewItem>
    <reviewItem>
      <errorID>313c19fb-47c6-4ce0-bbf2-cdde14dcbd59</errorID>
      <errorWord>(</errorWord>
      <group>L1_Format</group>
      <groupName>格式问题</groupName>
      <ability>L2_HalfPunc_CN</ability>
      <abilityName>全半角问题</abilityName>
      <candidateList>
        <item>（</item>
      </candidateList>
      <explain>文本全半角错误。</explain>
      <paraID>1529C22D</paraID>
      <start>11</start>
      <end>12</end>
      <status>unmodified</status>
      <modifiedWord/>
      <trackRevisions>false</trackRevisions>
    </reviewItem>
    <reviewItem>
      <errorID>9477f588-0d6b-4515-a95e-27101661f425</errorID>
      <errorWord>)</errorWord>
      <group>L1_Format</group>
      <groupName>格式问题</groupName>
      <ability>L2_HalfPunc_CN</ability>
      <abilityName>全半角问题</abilityName>
      <candidateList>
        <item>）</item>
      </candidateList>
      <explain>文本全半角错误。</explain>
      <paraID>1529C22D</paraID>
      <start>16</start>
      <end>17</end>
      <status>unmodified</status>
      <modifiedWord/>
      <trackRevisions>false</trackRevisions>
    </reviewItem>
    <reviewItem>
      <errorID>962d4960-838f-4973-af2b-e893ee1d0afe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1F650ADB</paraID>
      <start>26</start>
      <end>29</end>
      <status>unmodified</status>
      <modifiedWord/>
      <trackRevisions>false</trackRevisions>
    </reviewItem>
    <reviewItem>
      <errorID>629efab1-6358-4ff3-b48f-96728873c5f1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1F650ADB</paraID>
      <start>39</start>
      <end>42</end>
      <status>unmodified</status>
      <modifiedWord/>
      <trackRevisions>false</trackRevisions>
    </reviewItem>
    <reviewItem>
      <errorID>cad14f7d-f632-40cc-9205-1339553672a6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1F650ADB</paraID>
      <start>54</start>
      <end>57</end>
      <status>unmodified</status>
      <modifiedWord/>
      <trackRevisions>false</trackRevisions>
    </reviewItem>
    <reviewItem>
      <errorID>49fdb9a5-b8d2-42a6-b08e-fcc5a3e5c65e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1F650ADB</paraID>
      <start>67</start>
      <end>70</end>
      <status>unmodified</status>
      <modifiedWord/>
      <trackRevisions>false</trackRevisions>
    </reviewItem>
    <reviewItem>
      <errorID>044f514d-2c33-4d0e-b2b3-0f1267711d4b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7684A32A</paraID>
      <start>7</start>
      <end>8</end>
      <status>unmodified</status>
      <modifiedWord/>
      <trackRevisions>false</trackRevisions>
    </reviewItem>
    <reviewItem>
      <errorID>62e27064-6906-46a0-84fa-ad7f558a3e02</errorID>
      <errorWord>抛撒</errorWord>
      <group>L1_Word</group>
      <groupName>字词问题</groupName>
      <ability>L2_Typo</ability>
      <abilityName>字词错误</abilityName>
      <candidateList>
        <item>抛洒</item>
      </candidateList>
      <explain>存在发音相同字词的误用。</explain>
      <paraID>7684A32A</paraID>
      <start>259</start>
      <end>261</end>
      <status>unmodified</status>
      <modifiedWord/>
      <trackRevisions>false</trackRevisions>
    </reviewItem>
    <reviewItem>
      <errorID>e93db1dc-4635-4f82-8590-ee5bdc4b2d55</errorID>
      <errorWord>,</errorWord>
      <group>L1_Format</group>
      <groupName>格式问题</groupName>
      <ability>L2_HalfPunc_CN</ability>
      <abilityName>全半角问题</abilityName>
      <candidateList>
        <item>，</item>
      </candidateList>
      <explain>文本全半角错误。</explain>
      <paraID>7684A32A</paraID>
      <start>294</start>
      <end>295</end>
      <status>unmodified</status>
      <modifiedWord/>
      <trackRevisions>false</trackRevisions>
    </reviewItem>
    <reviewItem>
      <errorID>b0be1994-b041-43c7-9c22-54ebed95d04a</errorID>
      <errorWord>,</errorWord>
      <group>L1_Format</group>
      <groupName>格式问题</groupName>
      <ability>L2_HalfPunc_CN</ability>
      <abilityName>全半角问题</abilityName>
      <candidateList>
        <item>，</item>
      </candidateList>
      <explain>文本全半角错误。</explain>
      <paraID>7684A32A</paraID>
      <start>325</start>
      <end>326</end>
      <status>unmodified</status>
      <modifiedWord/>
      <trackRevisions>false</trackRevisions>
    </reviewItem>
    <reviewItem>
      <errorID>f68a0a56-26b9-4b02-bfb8-ef121ced8c12</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2976F1DD</paraID>
      <start>33</start>
      <end>39</end>
      <status>unmodified</status>
      <modifiedWord/>
      <trackRevisions>false</trackRevisions>
    </reviewItem>
    <reviewItem>
      <errorID>311e90f3-5dbb-43cb-8cb4-9adc25185398</errorID>
      <errorWord>(</errorWord>
      <group>L1_Format</group>
      <groupName>格式问题</groupName>
      <ability>L2_HalfPunc_CN</ability>
      <abilityName>全半角问题</abilityName>
      <candidateList>
        <item>（</item>
      </candidateList>
      <explain>文本全半角错误。</explain>
      <paraID>2976F1DD</paraID>
      <start>162</start>
      <end>163</end>
      <status>unmodified</status>
      <modifiedWord/>
      <trackRevisions>false</trackRevisions>
    </reviewItem>
    <reviewItem>
      <errorID>d8a4fecc-7112-4add-ad56-73c9b0c3adbd</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3EC07D34</paraID>
      <start>113</start>
      <end>120</end>
      <status>unmodified</status>
      <modifiedWord/>
      <trackRevisions>false</trackRevisions>
    </reviewItem>
    <reviewItem>
      <errorID>7e10bd95-ec99-4fcc-8df7-65e6db8a2de8</errorID>
      <errorWord>至至</errorWord>
      <group>L1_Word</group>
      <groupName>字词问题</groupName>
      <ability>L2_Typo</ability>
      <abilityName>字词错误</abilityName>
      <candidateList>
        <item>至</item>
      </candidateList>
      <explain/>
      <paraID>63D0172D</paraID>
      <start>70</start>
      <end>72</end>
      <status>unmodified</status>
      <modifiedWord/>
      <trackRevisions>false</trackRevisions>
    </reviewItem>
    <reviewItem>
      <errorID>af57ce8d-62af-4150-a13e-8ef5244f78fb</errorID>
      <errorWord>源</errorWord>
      <group>L1_Word</group>
      <groupName>字词问题</groupName>
      <ability>L2_Typo</ability>
      <abilityName>字词错误</abilityName>
      <candidateList>
        <item>源和</item>
      </candidateList>
      <explain/>
      <paraID>3DFBBAFF</paraID>
      <start>121</start>
      <end>122</end>
      <status>unmodified</status>
      <modifiedWord/>
      <trackRevisions>false</trackRevisions>
    </reviewItem>
    <reviewItem>
      <errorID>71859af9-6246-4f13-8be3-4abcfe228d91</errorID>
      <errorWord>、直至</errorWord>
      <group>L1_Word</group>
      <groupName>字词问题</groupName>
      <ability>L2_Typo</ability>
      <abilityName>字词错误</abilityName>
      <candidateList>
        <item>直至</item>
      </candidateList>
      <explain/>
      <paraID>4C0E7F25</paraID>
      <start>90</start>
      <end>93</end>
      <status>unmodified</status>
      <modifiedWord/>
      <trackRevisions>false</trackRevisions>
    </reviewItem>
    <reviewItem>
      <errorID>43e345d4-0aed-4c32-bf39-78f435363f27</errorID>
      <errorWord>未</errorWord>
      <group>L1_Word</group>
      <groupName>字词问题</groupName>
      <ability>L2_Typo</ability>
      <abilityName>字词错误</abilityName>
      <candidateList>
        <item>未支</item>
      </candidateList>
      <explain/>
      <paraID>4C0E7F25</paraID>
      <start>116</start>
      <end>117</end>
      <status>unmodified</status>
      <modifiedWord/>
      <trackRevisions>false</trackRevisions>
    </reviewItem>
    <reviewItem>
      <errorID>b959158f-83bd-4c4f-8da0-7f6545eb1003</errorID>
      <errorWord>,</errorWord>
      <group>L1_Format</group>
      <groupName>格式问题</groupName>
      <ability>L2_HalfPunc_CN</ability>
      <abilityName>全半角问题</abilityName>
      <candidateList>
        <item>，</item>
      </candidateList>
      <explain>文本全半角错误。</explain>
      <paraID>30035F9A</paraID>
      <start>18</start>
      <end>19</end>
      <status>unmodified</status>
      <modifiedWord/>
      <trackRevisions>false</trackRevisions>
    </reviewItem>
    <reviewItem>
      <errorID>32bf64c3-42b7-40f4-94e3-84ada9dad311</errorID>
      <errorWord>,</errorWord>
      <group>L1_Format</group>
      <groupName>格式问题</groupName>
      <ability>L2_HalfPunc_CN</ability>
      <abilityName>全半角问题</abilityName>
      <candidateList>
        <item>，</item>
      </candidateList>
      <explain>文本全半角错误。</explain>
      <paraID>5E6C902B</paraID>
      <start>42</start>
      <end>43</end>
      <status>unmodified</status>
      <modifiedWord/>
      <trackRevisions>false</trackRevisions>
    </reviewItem>
    <reviewItem>
      <errorID>59d51ac0-df74-4854-8c09-88f9b97583c9</errorID>
      <errorWord>责</errorWord>
      <group>L1_Word</group>
      <groupName>字词问题</groupName>
      <ability>L2_Typo</ability>
      <abilityName>字词错误</abilityName>
      <candidateList>
        <item>责人</item>
      </candidateList>
      <explain/>
      <paraID> CC75C6B</paraID>
      <start>81</start>
      <end>82</end>
      <status>unmodified</status>
      <modifiedWord/>
      <trackRevisions>false</trackRevisions>
    </reviewItem>
    <reviewItem>
      <errorID>74d5c1f8-a0d1-4e0f-9b79-62ee376a6a6c</errorID>
      <errorWord>（</errorWord>
      <group>L1_Format</group>
      <groupName>格式问题</groupName>
      <ability>L2_HalfPunc_CN</ability>
      <abilityName>全半角问题</abilityName>
      <candidateList>
        <item>(</item>
      </candidateList>
      <explain>文本全半角错误。</explain>
      <paraID> F53C9BD</paraID>
      <start>0</start>
      <end>1</end>
      <status>unmodified</status>
      <modifiedWord/>
      <trackRevisions>false</trackRevisions>
    </reviewItem>
    <reviewItem>
      <errorID>04a67c16-3779-4322-8e01-0525fa04c983</errorID>
      <errorWord>）</errorWord>
      <group>L1_Format</group>
      <groupName>格式问题</groupName>
      <ability>L2_HalfPunc_CN</ability>
      <abilityName>全半角问题</abilityName>
      <candidateList>
        <item>)</item>
      </candidateList>
      <explain>文本全半角错误。</explain>
      <paraID> F53C9BD</paraID>
      <start>2</start>
      <end>3</end>
      <status>unmodified</status>
      <modifiedWord/>
      <trackRevisions>false</trackRevisions>
    </reviewItem>
    <reviewItem>
      <errorID>2be89316-3381-4145-83f9-d9201a498e4f</errorID>
      <errorWord>；</errorWord>
      <group>L1_Format</group>
      <groupName>格式问题</groupName>
      <ability>L2_HalfPunc_CN</ability>
      <abilityName>全半角问题</abilityName>
      <candidateList>
        <item>;</item>
      </candidateList>
      <explain>文本全半角错误。</explain>
      <paraID> F53C9BD</paraID>
      <start>38</start>
      <end>39</end>
      <status>unmodified</status>
      <modifiedWord/>
      <trackRevisions>false</trackRevisions>
    </reviewItem>
    <reviewItem>
      <errorID>998ca8a2-a3da-41f1-9bdf-311db985ebb8</errorID>
      <errorWord>（</errorWord>
      <group>L1_Format</group>
      <groupName>格式问题</groupName>
      <ability>L2_HalfPunc_CN</ability>
      <abilityName>全半角问题</abilityName>
      <candidateList>
        <item>(</item>
      </candidateList>
      <explain>文本全半角错误。</explain>
      <paraID>12172673</paraID>
      <start>0</start>
      <end>1</end>
      <status>unmodified</status>
      <modifiedWord/>
      <trackRevisions>false</trackRevisions>
    </reviewItem>
    <reviewItem>
      <errorID>483d3400-bca0-484b-8e63-bfff8f109f70</errorID>
      <errorWord>）</errorWord>
      <group>L1_Format</group>
      <groupName>格式问题</groupName>
      <ability>L2_HalfPunc_CN</ability>
      <abilityName>全半角问题</abilityName>
      <candidateList>
        <item>)</item>
      </candidateList>
      <explain>文本全半角错误。</explain>
      <paraID>12172673</paraID>
      <start>2</start>
      <end>3</end>
      <status>unmodified</status>
      <modifiedWord/>
      <trackRevisions>false</trackRevisions>
    </reviewItem>
    <reviewItem>
      <errorID>df9aeacc-4ab7-4177-9919-0202cf938a22</errorID>
      <errorWord>；</errorWord>
      <group>L1_Format</group>
      <groupName>格式问题</groupName>
      <ability>L2_HalfPunc_CN</ability>
      <abilityName>全半角问题</abilityName>
      <candidateList>
        <item>;</item>
      </candidateList>
      <explain>文本全半角错误。</explain>
      <paraID>12172673</paraID>
      <start>38</start>
      <end>39</end>
      <status>unmodified</status>
      <modifiedWord/>
      <trackRevisions>false</trackRevisions>
    </reviewItem>
    <reviewItem>
      <errorID>9cec7d3d-da50-4676-a138-dc48ba752c67</errorID>
      <errorWord>（</errorWord>
      <group>L1_Format</group>
      <groupName>格式问题</groupName>
      <ability>L2_HalfPunc_CN</ability>
      <abilityName>全半角问题</abilityName>
      <candidateList>
        <item>(</item>
      </candidateList>
      <explain>文本全半角错误。</explain>
      <paraID>708660DE</paraID>
      <start>0</start>
      <end>1</end>
      <status>unmodified</status>
      <modifiedWord/>
      <trackRevisions>false</trackRevisions>
    </reviewItem>
    <reviewItem>
      <errorID>8e845ace-7ef4-445a-a981-46de70a72884</errorID>
      <errorWord>）</errorWord>
      <group>L1_Format</group>
      <groupName>格式问题</groupName>
      <ability>L2_HalfPunc_CN</ability>
      <abilityName>全半角问题</abilityName>
      <candidateList>
        <item>)</item>
      </candidateList>
      <explain>文本全半角错误。</explain>
      <paraID>708660DE</paraID>
      <start>2</start>
      <end>3</end>
      <status>unmodified</status>
      <modifiedWord/>
      <trackRevisions>false</trackRevisions>
    </reviewItem>
    <reviewItem>
      <errorID>31efbe18-ca91-445e-84b2-272b95559fa4</errorID>
      <errorWord>。</errorWord>
      <group>L1_Format</group>
      <groupName>格式问题</groupName>
      <ability>L2_HalfPunc_CN</ability>
      <abilityName>全半角问题</abilityName>
      <candidateList>
        <item>.</item>
      </candidateList>
      <explain>文本全半角错误。</explain>
      <paraID>708660DE</paraID>
      <start>38</start>
      <end>39</end>
      <status>unmodified</status>
      <modifiedWord/>
      <trackRevisions>false</trackRevisions>
    </reviewItem>
    <reviewItem>
      <errorID>759b4b40-8a00-4244-884b-0ee8b8bfa4aa</errorID>
      <errorWord>损</errorWord>
      <group>L1_Word</group>
      <groupName>字词问题</groupName>
      <ability>L2_Typo</ability>
      <abilityName>字词错误</abilityName>
      <candidateList>
        <item>损失</item>
      </candidateList>
      <explain/>
      <paraID>15A19534</paraID>
      <start>154</start>
      <end>155</end>
      <status>unmodified</status>
      <modifiedWord/>
      <trackRevisions>false</trackRevisions>
    </reviewItem>
    <reviewItem>
      <errorID>03b4a422-7adc-4ca9-b851-9d7914c845dd</errorID>
      <errorWord>(</errorWord>
      <group>L1_Format</group>
      <groupName>格式问题</groupName>
      <ability>L2_HalfPunc_CN</ability>
      <abilityName>全半角问题</abilityName>
      <candidateList>
        <item>（</item>
      </candidateList>
      <explain>文本全半角错误。</explain>
      <paraID>452BD56A</paraID>
      <start>15</start>
      <end>16</end>
      <status>unmodified</status>
      <modifiedWord/>
      <trackRevisions>false</trackRevisions>
    </reviewItem>
    <reviewItem>
      <errorID>bcaa5408-0546-4de0-8706-eaaeb6b76695</errorID>
      <errorWord>依次类推</errorWord>
      <group>L1_Word</group>
      <groupName>字词问题</groupName>
      <ability>L2_Typo</ability>
      <abilityName>字词错误</abilityName>
      <candidateList>
        <item>以此类推</item>
      </candidateList>
      <explain/>
      <paraID>7A711565</paraID>
      <start>103</start>
      <end>107</end>
      <status>unmodified</status>
      <modifiedWord/>
      <trackRevisions>false</trackRevisions>
    </reviewItem>
    <reviewItem>
      <errorID>a6879ecb-e6fd-4df5-bb6f-2e945b1e48ff</errorID>
      <errorWord>变更的</errorWord>
      <group>L1_Word</group>
      <groupName>字词问题</groupName>
      <ability>L2_Typo</ability>
      <abilityName>字词错误</abilityName>
      <candidateList>
        <item>变更</item>
      </candidateList>
      <explain/>
      <paraID> 5E6D4E7</paraID>
      <start>2</start>
      <end>5</end>
      <status>unmodified</status>
      <modifiedWord/>
      <trackRevisions>false</trackRevisions>
    </reviewItem>
    <reviewItem>
      <errorID>b951684b-e5a1-4951-bcfd-d72ead2b93a5</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2133B9F6</paraID>
      <start>59</start>
      <end>65</end>
      <status>unmodified</status>
      <modifiedWord/>
      <trackRevisions>false</trackRevisions>
    </reviewItem>
    <reviewItem>
      <errorID>38a2c375-71a4-4e34-ab0a-f175285354e8</errorID>
      <errorWord>(</errorWord>
      <group>L1_Format</group>
      <groupName>格式问题</groupName>
      <ability>L2_HalfPunc_CN</ability>
      <abilityName>全半角问题</abilityName>
      <candidateList>
        <item>（</item>
      </candidateList>
      <explain>文本全半角错误。</explain>
      <paraID>2133B9F6</paraID>
      <start>188</start>
      <end>189</end>
      <status>unmodified</status>
      <modifiedWord/>
      <trackRevisions>false</trackRevisions>
    </reviewItem>
    <reviewItem>
      <errorID>419ef5cb-a5c2-4964-8a32-9a3a4f1e52a2</errorID>
      <errorWord>金</errorWord>
      <group>L1_Word</group>
      <groupName>字词问题</groupName>
      <ability>L2_Typo</ability>
      <abilityName>字词错误</abilityName>
      <candidateList>
        <item>金额</item>
      </candidateList>
      <explain/>
      <paraID>4E6404D5</paraID>
      <start>19</start>
      <end>20</end>
      <status>unmodified</status>
      <modifiedWord/>
      <trackRevisions>false</trackRevisions>
    </reviewItem>
    <reviewItem>
      <errorID>13a08d06-d503-4162-85e8-01a3028173ce</errorID>
      <errorWord>金</errorWord>
      <group>L1_Word</group>
      <groupName>字词问题</groupName>
      <ability>L2_Typo</ability>
      <abilityName>字词错误</abilityName>
      <candidateList>
        <item>金额</item>
      </candidateList>
      <explain/>
      <paraID>4E6404D5</paraID>
      <start>97</start>
      <end>98</end>
      <status>unmodified</status>
      <modifiedWord/>
      <trackRevisions>false</trackRevisions>
    </reviewItem>
    <reviewItem>
      <errorID>80475efa-046f-42a6-98af-e839d2a7f090</errorID>
      <errorWord>:</errorWord>
      <group>L1_Format</group>
      <groupName>格式问题</groupName>
      <ability>L2_HalfPunc_CN</ability>
      <abilityName>全半角问题</abilityName>
      <candidateList>
        <item>：</item>
      </candidateList>
      <explain>文本全半角错误。</explain>
      <paraID>6E9AD64D</paraID>
      <start>16</start>
      <end>17</end>
      <status>unmodified</status>
      <modifiedWord/>
      <trackRevisions>false</trackRevisions>
    </reviewItem>
    <reviewItem>
      <errorID>c091d1c9-5ce3-4c25-bc10-916bc5b284a4</errorID>
      <errorWord>:</errorWord>
      <group>L1_Format</group>
      <groupName>格式问题</groupName>
      <ability>L2_HalfPunc_CN</ability>
      <abilityName>全半角问题</abilityName>
      <candidateList>
        <item>：</item>
      </candidateList>
      <explain>文本全半角错误。</explain>
      <paraID>32A5C0C7</paraID>
      <start>14</start>
      <end>15</end>
      <status>unmodified</status>
      <modifiedWord/>
      <trackRevisions>false</trackRevisions>
    </reviewItem>
    <reviewItem>
      <errorID>c875674c-81c7-48be-9c57-1e14e3fe492d</errorID>
      <errorWord>:</errorWord>
      <group>L1_Format</group>
      <groupName>格式问题</groupName>
      <ability>L2_HalfPunc_CN</ability>
      <abilityName>全半角问题</abilityName>
      <candidateList>
        <item>：</item>
      </candidateList>
      <explain>文本全半角错误。</explain>
      <paraID>10F6818B</paraID>
      <start>16</start>
      <end>17</end>
      <status>unmodified</status>
      <modifiedWord/>
      <trackRevisions>false</trackRevisions>
    </reviewItem>
    <reviewItem>
      <errorID>88c0fe5e-8c5f-459d-b74b-4422b499155a</errorID>
      <errorWord>:</errorWord>
      <group>L1_Format</group>
      <groupName>格式问题</groupName>
      <ability>L2_HalfPunc_CN</ability>
      <abilityName>全半角问题</abilityName>
      <candidateList>
        <item>：</item>
      </candidateList>
      <explain>文本全半角错误。</explain>
      <paraID>62223BA0</paraID>
      <start>14</start>
      <end>15</end>
      <status>unmodified</status>
      <modifiedWord/>
      <trackRevisions>false</trackRevisions>
    </reviewItem>
    <reviewItem>
      <errorID>ab333740-c3cb-4dc0-934b-abe7ffea87df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1C105DDB</paraID>
      <start>41</start>
      <end>42</end>
      <status>unmodified</status>
      <modifiedWord/>
      <trackRevisions>false</trackRevisions>
    </reviewItem>
    <reviewItem>
      <errorID>91c5b893-dfba-4cee-9c6f-f8cfaae7cc4b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2E7EEE84</paraID>
      <start>0</start>
      <end>3</end>
      <status>unmodified</status>
      <modifiedWord/>
      <trackRevisions>false</trackRevisions>
    </reviewItem>
    <reviewItem>
      <errorID>10008936-5c5d-4cdd-986b-b4f480160810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6875A80F</paraID>
      <start>0</start>
      <end>3</end>
      <status>unmodified</status>
      <modifiedWord/>
      <trackRevisions>false</trackRevisions>
    </reviewItem>
    <reviewItem>
      <errorID>fd610fb3-2666-4ed1-bdf8-f711f576eee1</errorID>
      <errorWord>(</errorWord>
      <group>L1_Format</group>
      <groupName>格式问题</groupName>
      <ability>L2_HalfPunc_CN</ability>
      <abilityName>全半角问题</abilityName>
      <candidateList>
        <item>（</item>
      </candidateList>
      <explain>文本全半角错误。</explain>
      <paraID>17E13165</paraID>
      <start>0</start>
      <end>1</end>
      <status>unmodified</status>
      <modifiedWord/>
      <trackRevisions>false</trackRevisions>
    </reviewItem>
    <reviewItem>
      <errorID>dbdacf52-2a1f-40a1-bc5b-0567b89431a3</errorID>
      <errorWord>)</errorWord>
      <group>L1_Format</group>
      <groupName>格式问题</groupName>
      <ability>L2_HalfPunc_CN</ability>
      <abilityName>全半角问题</abilityName>
      <candidateList>
        <item>）</item>
      </candidateList>
      <explain>文本全半角错误。</explain>
      <paraID>17E13165</paraID>
      <start>2</start>
      <end>3</end>
      <status>unmodified</status>
      <modifiedWord/>
      <trackRevisions>false</trackRevisions>
    </reviewItem>
    <reviewItem>
      <errorID>9f4e4ca8-f9fe-42b9-a6ff-6f8d0e427e8b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4005D238</paraID>
      <start>0</start>
      <end>3</end>
      <status>unmodified</status>
      <modifiedWord/>
      <trackRevisions>false</trackRevisions>
    </reviewItem>
    <reviewItem>
      <errorID>96b4b52e-ddad-4145-bb46-8e7e22d1b20d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35ACDC7</paraID>
      <start>0</start>
      <end>3</end>
      <status>unmodified</status>
      <modifiedWord/>
      <trackRevisions>false</trackRevisions>
    </reviewItem>
    <reviewItem>
      <errorID>35c62392-a539-4822-83dc-f8497c36912f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337C0E25</paraID>
      <start>0</start>
      <end>3</end>
      <status>unmodified</status>
      <modifiedWord/>
      <trackRevisions>false</trackRevisions>
    </reviewItem>
    <reviewItem>
      <errorID>0959b761-687a-461d-9404-3313fe011747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1FC47049</paraID>
      <start>0</start>
      <end>3</end>
      <status>unmodified</status>
      <modifiedWord/>
      <trackRevisions>false</trackRevisions>
    </reviewItem>
    <reviewItem>
      <errorID>e1563303-9aaf-4c12-bb3b-2e5a8919131a</errorID>
      <errorWord>(</errorWord>
      <group>L1_Format</group>
      <groupName>格式问题</groupName>
      <ability>L2_HalfPunc_CN</ability>
      <abilityName>全半角问题</abilityName>
      <candidateList>
        <item>（</item>
      </candidateList>
      <explain>文本全半角错误。</explain>
      <paraID>1FC47049</paraID>
      <start>60</start>
      <end>61</end>
      <status>unmodified</status>
      <modifiedWord/>
      <trackRevisions>false</trackRevisions>
    </reviewItem>
    <reviewItem>
      <errorID>e5af77d6-b430-41dc-87d3-7d0faf3b235c</errorID>
      <errorWord>)</errorWord>
      <group>L1_Format</group>
      <groupName>格式问题</groupName>
      <ability>L2_HalfPunc_CN</ability>
      <abilityName>全半角问题</abilityName>
      <candidateList>
        <item>）</item>
      </candidateList>
      <explain>文本全半角错误。</explain>
      <paraID>1FC47049</paraID>
      <start>71</start>
      <end>72</end>
      <status>unmodified</status>
      <modifiedWord/>
      <trackRevisions>false</trackRevisions>
    </reviewItem>
    <reviewItem>
      <errorID>0f11ebd1-104b-42c3-bafa-e48822db7c63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23D37FFA</paraID>
      <start>0</start>
      <end>3</end>
      <status>unmodified</status>
      <modifiedWord/>
      <trackRevisions>false</trackRevisions>
    </reviewItem>
    <reviewItem>
      <errorID>dfdacf4f-86c5-40dc-888e-093a9ebf2091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3D5117DA</paraID>
      <start>0</start>
      <end>3</end>
      <status>unmodified</status>
      <modifiedWord/>
      <trackRevisions>false</trackRevisions>
    </reviewItem>
    <reviewItem>
      <errorID>e4f0fc13-e0e5-4998-923c-1156c49d986a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18D48F98</paraID>
      <start>0</start>
      <end>3</end>
      <status>unmodified</status>
      <modifiedWord/>
      <trackRevisions>false</trackRevisions>
    </reviewItem>
    <reviewItem>
      <errorID>cc87f74c-5ac5-4b10-b866-4aa2a793e8c6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5D8C726D</paraID>
      <start>0</start>
      <end>3</end>
      <status>unmodified</status>
      <modifiedWord/>
      <trackRevisions>false</trackRevisions>
    </reviewItem>
    <reviewItem>
      <errorID>3c6e9f12-23dd-4da7-b07c-167e48ab9295</errorID>
      <errorWord>:</errorWord>
      <group>L1_Format</group>
      <groupName>格式问题</groupName>
      <ability>L2_HalfPunc_CN</ability>
      <abilityName>全半角问题</abilityName>
      <candidateList>
        <item>：</item>
      </candidateList>
      <explain>文本全半角错误。</explain>
      <paraID>166F193C</paraID>
      <start>7</start>
      <end>8</end>
      <status>unmodified</status>
      <modifiedWord/>
      <trackRevisions>false</trackRevisions>
    </reviewItem>
    <reviewItem>
      <errorID>24852ff6-7704-4dc5-8545-3375fcebf96d</errorID>
      <errorWord>:</errorWord>
      <group>L1_Format</group>
      <groupName>格式问题</groupName>
      <ability>L2_HalfPunc_CN</ability>
      <abilityName>全半角问题</abilityName>
      <candidateList>
        <item>：</item>
      </candidateList>
      <explain>文本全半角错误。</explain>
      <paraID>2A944731</paraID>
      <start>9</start>
      <end>10</end>
      <status>unmodified</status>
      <modifiedWord/>
      <trackRevisions>false</trackRevisions>
    </reviewItem>
    <reviewItem>
      <errorID>f537bf83-4916-4d1c-bb26-cb86aca5376d</errorID>
      <errorWord>、或</errorWord>
      <group>L1_Word</group>
      <groupName>字词问题</groupName>
      <ability>L2_Typo</ability>
      <abilityName>字词错误</abilityName>
      <candidateList>
        <item>或</item>
      </candidateList>
      <explain/>
      <paraID>6C1639E1</paraID>
      <start>19</start>
      <end>21</end>
      <status>unmodified</status>
      <modifiedWord/>
      <trackRevisions>false</trackRevisions>
    </reviewItem>
    <reviewItem>
      <errorID>026ba810-e5ea-4e92-8e35-eb3580c1edcb</errorID>
      <errorWord>、或</errorWord>
      <group>L1_Word</group>
      <groupName>字词问题</groupName>
      <ability>L2_Typo</ability>
      <abilityName>字词错误</abilityName>
      <candidateList>
        <item>或</item>
      </candidateList>
      <explain/>
      <paraID>1CFD7278</paraID>
      <start>20</start>
      <end>22</end>
      <status>unmodified</status>
      <modifiedWord/>
      <trackRevisions>false</trackRevisions>
    </reviewItem>
    <reviewItem>
      <errorID>3a3e92e8-8d5c-49ff-a558-7b093aa79f1c</errorID>
      <errorWord>成员的</errorWord>
      <group>L1_Word</group>
      <groupName>字词问题</groupName>
      <ability>L2_Typo</ability>
      <abilityName>字词错误</abilityName>
      <candidateList>
        <item>成员</item>
      </candidateList>
      <explain/>
      <paraID> 873160B</paraID>
      <start>6</start>
      <end>9</end>
      <status>unmodified</status>
      <modifiedWord/>
      <trackRevisions>false</trackRevisions>
    </reviewItem>
    <reviewItem>
      <errorID>dfc26f44-48d8-42cd-a17f-ccaef30542d6</errorID>
      <errorWord>或或</errorWord>
      <group>L1_Word</group>
      <groupName>字词问题</groupName>
      <ability>L2_Typo</ability>
      <abilityName>字词错误</abilityName>
      <candidateList>
        <item>或</item>
      </candidateList>
      <explain/>
      <paraID>55B0D972</paraID>
      <start>36</start>
      <end>38</end>
      <status>unmodified</status>
      <modifiedWord/>
      <trackRevisions>false</trackRevisions>
    </reviewItem>
    <reviewItem>
      <errorID>fd75a52f-a957-451d-afa3-4dbf912ad64c</errorID>
      <errorWord>、以及</errorWord>
      <group>L1_Punc</group>
      <groupName>标点问题</groupName>
      <ability>L2_Punc_CN</ability>
      <abilityName>标点符号问题</abilityName>
      <candidateList>
        <item>，以及</item>
      </candidateList>
      <explain>连接词前后不宜使用顿号，建议使用逗号。</explain>
      <paraID>6875D891</paraID>
      <start>45</start>
      <end>48</end>
      <status>unmodified</status>
      <modifiedWord/>
      <trackRevisions>false</trackRevisions>
    </reviewItem>
    <reviewItem>
      <errorID>59f1eec9-7c83-4e63-beea-634865876a41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5BA9CC83</paraID>
      <start>40</start>
      <end>43</end>
      <status>unmodified</status>
      <modifiedWord/>
      <trackRevisions>false</trackRevisions>
    </reviewItem>
    <reviewItem>
      <errorID>7071be70-4ba8-41d5-8230-59350cf0070f</errorID>
      <errorWord>勘查</errorWord>
      <group>L1_Word</group>
      <groupName>字词问题</groupName>
      <ability>L2_Typo</ability>
      <abilityName>字词错误</abilityName>
      <candidateList>
        <item>勘察</item>
      </candidateList>
      <explain>存在发音相同字词的误用。</explain>
      <paraID> 5EE4D6F</paraID>
      <start>49</start>
      <end>51</end>
      <status>unmodified</status>
      <modifiedWord/>
      <trackRevisions>false</trackRevisions>
    </reviewItem>
    <reviewItem>
      <errorID>eae8bcdd-0780-40c1-aff3-17bab68aecf8</errorID>
      <errorWord>（</errorWord>
      <group>L1_Format</group>
      <groupName>格式问题</groupName>
      <ability>L2_HalfPunc_CN</ability>
      <abilityName>全半角问题</abilityName>
      <candidateList>
        <item>(</item>
      </candidateList>
      <explain>文本全半角错误。</explain>
      <paraID>528BBAC3</paraID>
      <start>0</start>
      <end>1</end>
      <status>unmodified</status>
      <modifiedWord/>
      <trackRevisions>false</trackRevisions>
    </reviewItem>
    <reviewItem>
      <errorID>0c02cd9c-725f-4455-a88e-2c8c822c1176</errorID>
      <errorWord>）</errorWord>
      <group>L1_Format</group>
      <groupName>格式问题</groupName>
      <ability>L2_HalfPunc_CN</ability>
      <abilityName>全半角问题</abilityName>
      <candidateList>
        <item>)</item>
      </candidateList>
      <explain>文本全半角错误。</explain>
      <paraID>528BBAC3</paraID>
      <start>2</start>
      <end>3</end>
      <status>unmodified</status>
      <modifiedWord/>
      <trackRevisions>false</trackRevisions>
    </reviewItem>
    <reviewItem>
      <errorID>5473b3c9-3b7a-47bf-9990-47c17e08f6ab</errorID>
      <errorWord>；</errorWord>
      <group>L1_Format</group>
      <groupName>格式问题</groupName>
      <ability>L2_HalfPunc_CN</ability>
      <abilityName>全半角问题</abilityName>
      <candidateList>
        <item>;</item>
      </candidateList>
      <explain>文本全半角错误。</explain>
      <paraID>528BBAC3</paraID>
      <start>30</start>
      <end>31</end>
      <status>unmodified</status>
      <modifiedWord/>
      <trackRevisions>false</trackRevisions>
    </reviewItem>
    <reviewItem>
      <errorID>ef02b740-bada-46b9-b1ff-9b9204998376</errorID>
      <errorWord>（</errorWord>
      <group>L1_Format</group>
      <groupName>格式问题</groupName>
      <ability>L2_HalfPunc_CN</ability>
      <abilityName>全半角问题</abilityName>
      <candidateList>
        <item>(</item>
      </candidateList>
      <explain>文本全半角错误。</explain>
      <paraID>66B2BCFB</paraID>
      <start>0</start>
      <end>1</end>
      <status>unmodified</status>
      <modifiedWord/>
      <trackRevisions>false</trackRevisions>
    </reviewItem>
    <reviewItem>
      <errorID>9786e393-303e-4916-b257-78e7e6380546</errorID>
      <errorWord>）</errorWord>
      <group>L1_Format</group>
      <groupName>格式问题</groupName>
      <ability>L2_HalfPunc_CN</ability>
      <abilityName>全半角问题</abilityName>
      <candidateList>
        <item>)</item>
      </candidateList>
      <explain>文本全半角错误。</explain>
      <paraID>66B2BCFB</paraID>
      <start>2</start>
      <end>3</end>
      <status>unmodified</status>
      <modifiedWord/>
      <trackRevisions>false</trackRevisions>
    </reviewItem>
    <reviewItem>
      <errorID>b896a646-0639-497d-a915-812e1fb53182</errorID>
      <errorWord>；</errorWord>
      <group>L1_Format</group>
      <groupName>格式问题</groupName>
      <ability>L2_HalfPunc_CN</ability>
      <abilityName>全半角问题</abilityName>
      <candidateList>
        <item>;</item>
      </candidateList>
      <explain>文本全半角错误。</explain>
      <paraID>66B2BCFB</paraID>
      <start>30</start>
      <end>31</end>
      <status>unmodified</status>
      <modifiedWord/>
      <trackRevisions>false</trackRevisions>
    </reviewItem>
    <reviewItem>
      <errorID>49483923-ef1a-4eab-8116-75a02b4c6d0e</errorID>
      <errorWord>（</errorWord>
      <group>L1_Format</group>
      <groupName>格式问题</groupName>
      <ability>L2_HalfPunc_CN</ability>
      <abilityName>全半角问题</abilityName>
      <candidateList>
        <item>(</item>
      </candidateList>
      <explain>文本全半角错误。</explain>
      <paraID>7C380399</paraID>
      <start>0</start>
      <end>1</end>
      <status>unmodified</status>
      <modifiedWord/>
      <trackRevisions>false</trackRevisions>
    </reviewItem>
    <reviewItem>
      <errorID>a0ce8e70-ce66-437d-ab23-3770b70b7435</errorID>
      <errorWord>）</errorWord>
      <group>L1_Format</group>
      <groupName>格式问题</groupName>
      <ability>L2_HalfPunc_CN</ability>
      <abilityName>全半角问题</abilityName>
      <candidateList>
        <item>)</item>
      </candidateList>
      <explain>文本全半角错误。</explain>
      <paraID>7C380399</paraID>
      <start>2</start>
      <end>3</end>
      <status>unmodified</status>
      <modifiedWord/>
      <trackRevisions>false</trackRevisions>
    </reviewItem>
    <reviewItem>
      <errorID>caecf196-737a-410b-b8e2-a88646c21ab7</errorID>
      <errorWord>（</errorWord>
      <group>L1_Format</group>
      <groupName>格式问题</groupName>
      <ability>L2_HalfPunc_CN</ability>
      <abilityName>全半角问题</abilityName>
      <candidateList>
        <item>(</item>
      </candidateList>
      <explain>文本全半角错误。</explain>
      <paraID>2FD60FC9</paraID>
      <start>0</start>
      <end>1</end>
      <status>unmodified</status>
      <modifiedWord/>
      <trackRevisions>false</trackRevisions>
    </reviewItem>
    <reviewItem>
      <errorID>9daf9507-6327-4589-a879-07be37997afc</errorID>
      <errorWord>）</errorWord>
      <group>L1_Format</group>
      <groupName>格式问题</groupName>
      <ability>L2_HalfPunc_CN</ability>
      <abilityName>全半角问题</abilityName>
      <candidateList>
        <item>)</item>
      </candidateList>
      <explain>文本全半角错误。</explain>
      <paraID>2FD60FC9</paraID>
      <start>2</start>
      <end>3</end>
      <status>unmodified</status>
      <modifiedWord/>
      <trackRevisions>false</trackRevisions>
    </reviewItem>
    <reviewItem>
      <errorID>051d49b1-ef0e-4ff4-8d08-234887b249f8</errorID>
      <errorWord>(</errorWord>
      <group>L1_Format</group>
      <groupName>格式问题</groupName>
      <ability>L2_HalfPunc_CN</ability>
      <abilityName>全半角问题</abilityName>
      <candidateList>
        <item>（</item>
      </candidateList>
      <explain>文本全半角错误。</explain>
      <paraID>171946F5</paraID>
      <start>6</start>
      <end>7</end>
      <status>unmodified</status>
      <modifiedWord/>
      <trackRevisions>false</trackRevisions>
    </reviewItem>
    <reviewItem>
      <errorID>c2a75448-5266-4da2-916b-6b336394dbe7</errorID>
      <errorWord>)</errorWord>
      <group>L1_Format</group>
      <groupName>格式问题</groupName>
      <ability>L2_HalfPunc_CN</ability>
      <abilityName>全半角问题</abilityName>
      <candidateList>
        <item>）</item>
      </candidateList>
      <explain>文本全半角错误。</explain>
      <paraID>171946F5</paraID>
      <start>9</start>
      <end>10</end>
      <status>unmodified</status>
      <modifiedWord/>
      <trackRevisions>false</trackRevisions>
    </reviewItem>
    <reviewItem>
      <errorID>ff3279ec-15e3-47f7-9f1a-9b5633327bfd</errorID>
      <errorWord>(</errorWord>
      <group>L1_Format</group>
      <groupName>格式问题</groupName>
      <ability>L2_HalfPunc_CN</ability>
      <abilityName>全半角问题</abilityName>
      <candidateList>
        <item>（</item>
      </candidateList>
      <explain>文本全半角错误。</explain>
      <paraID>171946F5</paraID>
      <start>43</start>
      <end>44</end>
      <status>unmodified</status>
      <modifiedWord/>
      <trackRevisions>false</trackRevisions>
    </reviewItem>
    <reviewItem>
      <errorID>0f1309aa-0044-4f58-b8db-08722941be6d</errorID>
      <errorWord>)</errorWord>
      <group>L1_Format</group>
      <groupName>格式问题</groupName>
      <ability>L2_HalfPunc_CN</ability>
      <abilityName>全半角问题</abilityName>
      <candidateList>
        <item>）</item>
      </candidateList>
      <explain>文本全半角错误。</explain>
      <paraID>171946F5</paraID>
      <start>46</start>
      <end>47</end>
      <status>unmodified</status>
      <modifiedWord/>
      <trackRevisions>false</trackRevisions>
    </reviewItem>
    <reviewItem>
      <errorID>6d04759b-ac94-4238-8a47-5eb847664da2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7E03D4EC</paraID>
      <start>0</start>
      <end>2</end>
      <status>unmodified</status>
      <modifiedWord/>
      <trackRevisions>false</trackRevisions>
    </reviewItem>
    <reviewItem>
      <errorID>c6a530b1-6bd4-49d0-9295-02db5a32e4d3</errorID>
      <errorWord>参与对</errorWord>
      <group>L1_Word</group>
      <groupName>字词问题</groupName>
      <ability>L2_Typo</ability>
      <abilityName>字词错误</abilityName>
      <candidateList>
        <item>参与</item>
      </candidateList>
      <explain/>
      <paraID>7E03D4EC</paraID>
      <start>81</start>
      <end>84</end>
      <status>unmodified</status>
      <modifiedWord/>
      <trackRevisions>false</trackRevisions>
    </reviewItem>
    <reviewItem>
      <errorID>405fd8be-2913-4363-8d44-ab3559590666</errorID>
      <errorWord>相关台帐</errorWord>
      <group>L1_Word</group>
      <groupName>字词问题</groupName>
      <ability>L2_Alias</ability>
      <abilityName>也作/曾用词</abilityName>
      <candidateList>
        <item>相关台账</item>
      </candidateList>
      <explain>词汇[相关台帐]为不规范表述或旧称，其规范书面表述为[相关台账]。</explain>
      <paraID>7E03D4EC</paraID>
      <start>95</start>
      <end>99</end>
      <status>unmodified</status>
      <modifiedWord/>
      <trackRevisions>false</trackRevisions>
    </reviewItem>
    <reviewItem>
      <errorID>21b0b8e8-48f5-46a9-9ac8-755db995f0ec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13918213</paraID>
      <start>0</start>
      <end>2</end>
      <status>unmodified</status>
      <modifiedWord/>
      <trackRevisions>false</trackRevisions>
    </reviewItem>
    <reviewItem>
      <errorID>b36027fe-cb86-43c8-875b-b9e03009471d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2D10C992</paraID>
      <start>0</start>
      <end>2</end>
      <status>unmodified</status>
      <modifiedWord/>
      <trackRevisions>false</trackRevisions>
    </reviewItem>
    <reviewItem>
      <errorID>cc4f521c-bacd-4d60-bea8-390e2ebf10a8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1CFAF1E7</paraID>
      <start>0</start>
      <end>2</end>
      <status>unmodified</status>
      <modifiedWord/>
      <trackRevisions>false</trackRevisions>
    </reviewItem>
    <reviewItem>
      <errorID>b21d9242-465c-4f4b-a193-0afbde08b6ab</errorID>
      <errorWord>责</errorWord>
      <group>L1_Word</group>
      <groupName>字词问题</groupName>
      <ability>L2_Typo</ability>
      <abilityName>字词错误</abilityName>
      <candidateList>
        <item>责人</item>
      </candidateList>
      <explain/>
      <paraID>65660991</paraID>
      <start>225</start>
      <end>226</end>
      <status>unmodified</status>
      <modifiedWord/>
      <trackRevisions>false</trackRevisions>
    </reviewItem>
    <reviewItem>
      <errorID>4476898f-1502-4cfc-93e1-f8b51ccd3174</errorID>
      <errorWord>，</errorWord>
      <group>L1_Word</group>
      <groupName>字词问题</groupName>
      <ability>L2_Typo</ability>
      <abilityName>字词错误</abilityName>
      <candidateList>
        <item>，包</item>
      </candidateList>
      <explain/>
      <paraID>21640464</paraID>
      <start>118</start>
      <end>119</end>
      <status>unmodified</status>
      <modifiedWord/>
      <trackRevisions>false</trackRevisions>
    </reviewItem>
    <reviewItem>
      <errorID>f50d6ca8-16e2-4281-b63f-18e2e6da82f6</errorID>
      <errorWord>责</errorWord>
      <group>L1_Word</group>
      <groupName>字词问题</groupName>
      <ability>L2_Typo</ability>
      <abilityName>字词错误</abilityName>
      <candidateList>
        <item>责人</item>
      </candidateList>
      <explain/>
      <paraID>21640464</paraID>
      <start>325</start>
      <end>326</end>
      <status>unmodified</status>
      <modifiedWord/>
      <trackRevisions>false</trackRevisions>
    </reviewItem>
    <reviewItem>
      <errorID>c8768030-f51f-425d-8825-c4d71f85a991</errorID>
      <errorWord>、直至</errorWord>
      <group>L1_Word</group>
      <groupName>字词问题</groupName>
      <ability>L2_Typo</ability>
      <abilityName>字词错误</abilityName>
      <candidateList>
        <item>直至</item>
      </candidateList>
      <explain/>
      <paraID> 41566A1</paraID>
      <start>70</start>
      <end>73</end>
      <status>unmodified</status>
      <modifiedWord/>
      <trackRevisions>false</trackRevisions>
    </reviewItem>
    <reviewItem>
      <errorID>e96dcacb-2eca-408a-b49a-dc6d3233a2d9</errorID>
      <errorWord>未</errorWord>
      <group>L1_Word</group>
      <groupName>字词问题</groupName>
      <ability>L2_Typo</ability>
      <abilityName>字词错误</abilityName>
      <candidateList>
        <item>未支</item>
      </candidateList>
      <explain/>
      <paraID> 41566A1</paraID>
      <start>96</start>
      <end>97</end>
      <status>unmodified</status>
      <modifiedWord/>
      <trackRevisions>false</trackRevisions>
    </reviewItem>
    <reviewItem>
      <errorID>6a322bb3-c576-47c1-affd-e8d8fbd8cd25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6E210383</paraID>
      <start>0</start>
      <end>2</end>
      <status>unmodified</status>
      <modifiedWord/>
      <trackRevisions>false</trackRevisions>
    </reviewItem>
    <reviewItem>
      <errorID>71288851-a8b9-482c-9b59-d6959c31db82</errorID>
      <errorWord>其它</errorWord>
      <group>L1_Word</group>
      <groupName>字词问题</groupName>
      <ability>L2_Alias</ability>
      <abilityName>也作/曾用词</abilityName>
      <candidateList>
        <item>其他</item>
      </candidateList>
      <explain>词汇[其它]为不规范表述或旧称，其规范书面表述为[其他]。</explain>
      <paraID>6A50D07A</paraID>
      <start>132</start>
      <end>134</end>
      <status>unmodified</status>
      <modifiedWord/>
      <trackRevisions>false</trackRevisions>
    </reviewItem>
    <reviewItem>
      <errorID>b69b82d4-5fe2-4adf-aef6-db4570ae0a42</errorID>
      <errorWord>依次类推</errorWord>
      <group>L1_Word</group>
      <groupName>字词问题</groupName>
      <ability>L2_Typo</ability>
      <abilityName>字词错误</abilityName>
      <candidateList>
        <item>以此类推</item>
      </candidateList>
      <explain/>
      <paraID>213C6777</paraID>
      <start>79</start>
      <end>83</end>
      <status>unmodified</status>
      <modifiedWord/>
      <trackRevisions>false</trackRevisions>
    </reviewItem>
    <reviewItem>
      <errorID>7eb69832-35dd-4161-b234-2390cd8c5893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734D8E0</paraID>
      <start>0</start>
      <end>2</end>
      <status>unmodified</status>
      <modifiedWord/>
      <trackRevisions>false</trackRevisions>
    </reviewItem>
    <reviewItem>
      <errorID>def52124-c104-4732-a3f9-a3b5f2bbee8e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33E79B2E</paraID>
      <start>0</start>
      <end>2</end>
      <status>unmodified</status>
      <modifiedWord/>
      <trackRevisions>false</trackRevisions>
    </reviewItem>
    <reviewItem>
      <errorID>e714b14a-b95c-4036-a495-1776231929c2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6C4A2C69</paraID>
      <start>0</start>
      <end>2</end>
      <status>unmodified</status>
      <modifiedWord/>
      <trackRevisions>false</trackRevisions>
    </reviewItem>
    <reviewItem>
      <errorID>fff70200-aecb-4665-a567-780ee162d1e6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EE22690</paraID>
      <start>25</start>
      <end>28</end>
      <status>unmodified</status>
      <modifiedWord/>
      <trackRevisions>false</trackRevisions>
    </reviewItem>
    <reviewItem>
      <errorID>2a32fcae-b8a8-492b-a0b5-9c149f699384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2442E0DF</paraID>
      <start>0</start>
      <end>2</end>
      <status>unmodified</status>
      <modifiedWord/>
      <trackRevisions>false</trackRevisions>
    </reviewItem>
    <reviewItem>
      <errorID>d1cf3152-aafe-4030-8eb9-2b44cf453c4d</errorID>
      <errorWord>&lt;</errorWord>
      <group>L1_Format</group>
      <groupName>格式问题</groupName>
      <ability>L2_HalfPunc_CN</ability>
      <abilityName>全半角问题</abilityName>
      <candidateList>
        <item>〈</item>
      </candidateList>
      <explain>文本全半角错误。</explain>
      <paraID>7EB64DC6</paraID>
      <start>108</start>
      <end>109</end>
      <status>unmodified</status>
      <modifiedWord/>
      <trackRevisions>false</trackRevisions>
    </reviewItem>
    <reviewItem>
      <errorID>63b6d61e-fecc-40e8-890b-e1d51b9a6492</errorID>
      <errorWord>&gt;的通知》</errorWord>
      <group>L1_Punc</group>
      <groupName>标点问题</groupName>
      <ability>L2_Punc_CN</ability>
      <abilityName>标点符号问题</abilityName>
      <candidateList>
        <item>〉的通知》</item>
      </candidateList>
      <explain/>
      <paraID>7EB64DC6</paraID>
      <start>130</start>
      <end>135</end>
      <status>unmodified</status>
      <modifiedWord/>
      <trackRevisions>false</trackRevisions>
    </reviewItem>
    <reviewItem>
      <errorID>613a8568-9b3b-4b2c-8525-5264519c454a</errorID>
      <errorWord>【2019】21号</errorWord>
      <group>L1_Knowledge</group>
      <groupName>知识性问题</groupName>
      <ability>L2_Knowledge</ability>
      <abilityName>其他知识</abilityName>
      <candidateList>
        <item>〔2019〕21号</item>
      </candidateList>
      <explain>发文字号格式错误。</explain>
      <paraID> 78D5163</paraID>
      <start>54</start>
      <end>63</end>
      <status>unmodified</status>
      <modifiedWord/>
      <trackRevisions>false</trackRevisions>
    </reviewItem>
    <reviewItem>
      <errorID>bb1a2e4f-0591-4f5b-addc-4ed7947650f7</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2369AC93</paraID>
      <start>48</start>
      <end>55</end>
      <status>unmodified</status>
      <modifiedWord/>
      <trackRevisions>false</trackRevisions>
    </reviewItem>
    <reviewItem>
      <errorID>5e3898ab-2da1-45f3-b731-854c13fa2a24</errorID>
      <errorWord>依此类推</errorWord>
      <group>L1_Word</group>
      <groupName>字词问题</groupName>
      <ability>L2_Typo</ability>
      <abilityName>字词错误</abilityName>
      <candidateList>
        <item>以此类推</item>
      </candidateList>
      <explain>存在发音相同字词的误用。</explain>
      <paraID>2369AC93</paraID>
      <start>119</start>
      <end>123</end>
      <status>unmodified</status>
      <modifiedWord/>
      <trackRevisions>false</trackRevisions>
    </reviewItem>
    <reviewItem>
      <errorID>55a69273-42bd-481e-9103-c14dd2e80355</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355F094B</paraID>
      <start>51</start>
      <end>58</end>
      <status>unmodified</status>
      <modifiedWord/>
      <trackRevisions>false</trackRevisions>
    </reviewItem>
    <reviewItem>
      <errorID>d0126058-0fcb-4250-a87c-213b331f50d5</errorID>
      <errorWord>依此类推</errorWord>
      <group>L1_Word</group>
      <groupName>字词问题</groupName>
      <ability>L2_Typo</ability>
      <abilityName>字词错误</abilityName>
      <candidateList>
        <item>以此类推</item>
      </candidateList>
      <explain/>
      <paraID>355F094B</paraID>
      <start>122</start>
      <end>126</end>
      <status>unmodified</status>
      <modifiedWord/>
      <trackRevisions>false</trackRevisions>
    </reviewItem>
    <reviewItem>
      <errorID>4b624862-e108-4a73-998f-1d5750939c4c</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17EC8D3E</paraID>
      <start>47</start>
      <end>54</end>
      <status>unmodified</status>
      <modifiedWord/>
      <trackRevisions>false</trackRevisions>
    </reviewItem>
    <reviewItem>
      <errorID>991f649d-1808-4640-aca0-8d507a207239</errorID>
      <errorWord>依此类推</errorWord>
      <group>L1_Word</group>
      <groupName>字词问题</groupName>
      <ability>L2_Typo</ability>
      <abilityName>字词错误</abilityName>
      <candidateList>
        <item>以此类推</item>
      </candidateList>
      <explain>存在发音相同字词的误用。</explain>
      <paraID>17EC8D3E</paraID>
      <start>118</start>
      <end>122</end>
      <status>unmodified</status>
      <modifiedWord/>
      <trackRevisions>false</trackRevisions>
    </reviewItem>
    <reviewItem>
      <errorID>d355792d-39eb-4429-a9ae-dd9e4671f940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5C8ED146</paraID>
      <start>0</start>
      <end>3</end>
      <status>unmodified</status>
      <modifiedWord/>
      <trackRevisions>false</trackRevisions>
    </reviewItem>
    <reviewItem>
      <errorID>3d0700a2-c789-4294-b325-738ccc238fb9</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1A103845</paraID>
      <start>23</start>
      <end>27</end>
      <status>unmodified</status>
      <modifiedWord/>
      <trackRevisions>false</trackRevisions>
    </reviewItem>
    <reviewItem>
      <errorID>68360fd1-09db-48fc-9480-12af43d32526</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23C2066C</paraID>
      <start>58</start>
      <end>62</end>
      <status>unmodified</status>
      <modifiedWord/>
      <trackRevisions>false</trackRevisions>
    </reviewItem>
    <reviewItem>
      <errorID>0e53aae3-8c68-4ca3-8207-48ff16b27c3c</errorID>
      <errorWord>，</errorWord>
      <group>L1_Word</group>
      <groupName>字词问题</groupName>
      <ability>L2_Typo</ability>
      <abilityName>字词错误</abilityName>
      <candidateList>
        <item>，包</item>
      </candidateList>
      <explain/>
      <paraID>3C785F64</paraID>
      <start>87</start>
      <end>88</end>
      <status>unmodified</status>
      <modifiedWord/>
      <trackRevisions>false</trackRevisions>
    </reviewItem>
    <reviewItem>
      <errorID>241bece1-bf63-43a4-ac74-c6f1acde68b1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3A93D740</paraID>
      <start>0</start>
      <end>3</end>
      <status>unmodified</status>
      <modifiedWord/>
      <trackRevisions>false</trackRevisions>
    </reviewItem>
    <reviewItem>
      <errorID>9147b825-7ac9-488f-b8f6-b2e1057f9c97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1A9A6A4B</paraID>
      <start>59</start>
      <end>62</end>
      <status>unmodified</status>
      <modifiedWord/>
      <trackRevisions>false</trackRevisions>
    </reviewItem>
    <reviewItem>
      <errorID>7f9d553d-a85b-4b73-8544-1de6f85ff8a4</errorID>
      <errorWord>必须要</errorWord>
      <group>L1_Word</group>
      <groupName>字词问题</groupName>
      <ability>L2_Typo</ability>
      <abilityName>字词错误</abilityName>
      <candidateList>
        <item>必须</item>
      </candidateList>
      <explain/>
      <paraID>5517F0FB</paraID>
      <start>47</start>
      <end>50</end>
      <status>unmodified</status>
      <modifiedWord/>
      <trackRevisions>false</trackRevisions>
    </reviewItem>
    <reviewItem>
      <errorID>d72f4583-f5fa-4963-8f82-4ededc6a3368</errorID>
      <errorWord>签定</errorWord>
      <group>L1_Word</group>
      <groupName>字词问题</groupName>
      <ability>L2_Typo</ability>
      <abilityName>字词错误</abilityName>
      <candidateList>
        <item>签订</item>
      </candidateList>
      <explain/>
      <paraID>4CB62953</paraID>
      <start>16</start>
      <end>18</end>
      <status>unmodified</status>
      <modifiedWord/>
      <trackRevisions>false</trackRevisions>
    </reviewItem>
    <reviewItem>
      <errorID>b3c43c45-d60e-4d3b-b144-22810c2e0950</errorID>
      <errorWord>(</errorWord>
      <group>L1_Format</group>
      <groupName>格式问题</groupName>
      <ability>L2_HalfPunc_CN</ability>
      <abilityName>全半角问题</abilityName>
      <candidateList>
        <item>（</item>
      </candidateList>
      <explain>文本全半角错误。</explain>
      <paraID>2109DD09</paraID>
      <start>4</start>
      <end>5</end>
      <status>unmodified</status>
      <modifiedWord/>
      <trackRevisions>false</trackRevisions>
    </reviewItem>
    <reviewItem>
      <errorID>610008d0-4d27-4f1f-ac1d-c5fbbe74a472</errorID>
      <errorWord>)</errorWord>
      <group>L1_Format</group>
      <groupName>格式问题</groupName>
      <ability>L2_HalfPunc_CN</ability>
      <abilityName>全半角问题</abilityName>
      <candidateList>
        <item>）</item>
      </candidateList>
      <explain>文本全半角错误。</explain>
      <paraID>2109DD09</paraID>
      <start>8</start>
      <end>9</end>
      <status>unmodified</status>
      <modifiedWord/>
      <trackRevisions>false</trackRevisions>
    </reviewItem>
    <reviewItem>
      <errorID>790ad3c1-97a1-409c-bf4f-2c434c021500</errorID>
      <errorWord>，</errorWord>
      <group>L1_Word</group>
      <groupName>字词问题</groupName>
      <ability>L2_Typo</ability>
      <abilityName>字词错误</abilityName>
      <candidateList>
        <item>，由</item>
      </candidateList>
      <explain/>
      <paraID>319FEBE8</paraID>
      <start>93</start>
      <end>94</end>
      <status>unmodified</status>
      <modifiedWord/>
      <trackRevisions>false</trackRevisions>
    </reviewItem>
    <reviewItem>
      <errorID>91c2d5b6-4b44-452e-8810-78b597feb707</errorID>
      <errorWord>(</errorWord>
      <group>L1_Format</group>
      <groupName>格式问题</groupName>
      <ability>L2_HalfPunc_CN</ability>
      <abilityName>全半角问题</abilityName>
      <candidateList>
        <item>（</item>
      </candidateList>
      <explain>文本全半角错误。</explain>
      <paraID>27E4D24E</paraID>
      <start>3</start>
      <end>4</end>
      <status>unmodified</status>
      <modifiedWord/>
      <trackRevisions>false</trackRevisions>
    </reviewItem>
    <reviewItem>
      <errorID>e27dc5e7-3404-4afd-8db9-4f4477bbdf20</errorID>
      <errorWord>)</errorWord>
      <group>L1_Format</group>
      <groupName>格式问题</groupName>
      <ability>L2_HalfPunc_CN</ability>
      <abilityName>全半角问题</abilityName>
      <candidateList>
        <item>）</item>
      </candidateList>
      <explain>文本全半角错误。</explain>
      <paraID>27E4D24E</paraID>
      <start>6</start>
      <end>7</end>
      <status>unmodified</status>
      <modifiedWord/>
      <trackRevisions>false</trackRevisions>
    </reviewItem>
    <reviewItem>
      <errorID>a1873d6f-5a76-420c-9ed3-9bcbca381820</errorID>
      <errorWord>(</errorWord>
      <group>L1_Format</group>
      <groupName>格式问题</groupName>
      <ability>L2_HalfPunc_CN</ability>
      <abilityName>全半角问题</abilityName>
      <candidateList>
        <item>（</item>
      </candidateList>
      <explain>文本全半角错误。</explain>
      <paraID>27E4D24E</paraID>
      <start>45</start>
      <end>46</end>
      <status>unmodified</status>
      <modifiedWord/>
      <trackRevisions>false</trackRevisions>
    </reviewItem>
    <reviewItem>
      <errorID>bb283660-7d20-4788-b82e-de21e5b8a9a2</errorID>
      <errorWord>)</errorWord>
      <group>L1_Format</group>
      <groupName>格式问题</groupName>
      <ability>L2_HalfPunc_CN</ability>
      <abilityName>全半角问题</abilityName>
      <candidateList>
        <item>）</item>
      </candidateList>
      <explain>文本全半角错误。</explain>
      <paraID>27E4D24E</paraID>
      <start>48</start>
      <end>49</end>
      <status>unmodified</status>
      <modifiedWord/>
      <trackRevisions>false</trackRevisions>
    </reviewItem>
    <reviewItem>
      <errorID>1456e575-5fb5-4637-8761-d76ce4c9ab5b</errorID>
      <errorWord>(</errorWord>
      <group>L1_Format</group>
      <groupName>格式问题</groupName>
      <ability>L2_HalfPunc_CN</ability>
      <abilityName>全半角问题</abilityName>
      <candidateList>
        <item>（</item>
      </candidateList>
      <explain>文本全半角错误。</explain>
      <paraID>499A7297</paraID>
      <start>5</start>
      <end>6</end>
      <status>unmodified</status>
      <modifiedWord/>
      <trackRevisions>false</trackRevisions>
    </reviewItem>
    <reviewItem>
      <errorID>87a5f946-1bb6-4051-95ab-e43e63a0155a</errorID>
      <errorWord>)</errorWord>
      <group>L1_Format</group>
      <groupName>格式问题</groupName>
      <ability>L2_HalfPunc_CN</ability>
      <abilityName>全半角问题</abilityName>
      <candidateList>
        <item>）</item>
      </candidateList>
      <explain>文本全半角错误。</explain>
      <paraID>499A7297</paraID>
      <start>8</start>
      <end>9</end>
      <status>unmodified</status>
      <modifiedWord/>
      <trackRevisions>false</trackRevisions>
    </reviewItem>
    <reviewItem>
      <errorID>071e6c4e-2ec5-44e9-8a7e-09bb4de6f596</errorID>
      <errorWord>(</errorWord>
      <group>L1_Format</group>
      <groupName>格式问题</groupName>
      <ability>L2_HalfPunc_CN</ability>
      <abilityName>全半角问题</abilityName>
      <candidateList>
        <item>（</item>
      </candidateList>
      <explain>文本全半角错误。</explain>
      <paraID>499A7297</paraID>
      <start>46</start>
      <end>47</end>
      <status>unmodified</status>
      <modifiedWord/>
      <trackRevisions>false</trackRevisions>
    </reviewItem>
    <reviewItem>
      <errorID>5a0aa48b-aa5b-4974-815e-581d6a70c6db</errorID>
      <errorWord>)</errorWord>
      <group>L1_Format</group>
      <groupName>格式问题</groupName>
      <ability>L2_HalfPunc_CN</ability>
      <abilityName>全半角问题</abilityName>
      <candidateList>
        <item>）</item>
      </candidateList>
      <explain>文本全半角错误。</explain>
      <paraID>499A7297</paraID>
      <start>49</start>
      <end>50</end>
      <status>unmodified</status>
      <modifiedWord/>
      <trackRevisions>false</trackRevisions>
    </reviewItem>
    <reviewItem>
      <errorID>370c0fde-2357-467c-b2ae-584e3f3076c2</errorID>
      <errorWord>(</errorWord>
      <group>L1_Format</group>
      <groupName>格式问题</groupName>
      <ability>L2_HalfPunc_CN</ability>
      <abilityName>全半角问题</abilityName>
      <candidateList>
        <item>（</item>
      </candidateList>
      <explain>文本全半角错误。</explain>
      <paraID>6766D755</paraID>
      <start>5</start>
      <end>6</end>
      <status>unmodified</status>
      <modifiedWord/>
      <trackRevisions>false</trackRevisions>
    </reviewItem>
    <reviewItem>
      <errorID>738cb5e2-bbb9-477f-9dab-c29846e71d2b</errorID>
      <errorWord>)</errorWord>
      <group>L1_Format</group>
      <groupName>格式问题</groupName>
      <ability>L2_HalfPunc_CN</ability>
      <abilityName>全半角问题</abilityName>
      <candidateList>
        <item>）</item>
      </candidateList>
      <explain>文本全半角错误。</explain>
      <paraID>6766D755</paraID>
      <start>8</start>
      <end>9</end>
      <status>unmodified</status>
      <modifiedWord/>
      <trackRevisions>false</trackRevisions>
    </reviewItem>
    <reviewItem>
      <errorID>5ccda1c3-9d8f-4367-9bd8-6b87a0ddabdb</errorID>
      <errorWord>(</errorWord>
      <group>L1_Format</group>
      <groupName>格式问题</groupName>
      <ability>L2_HalfPunc_CN</ability>
      <abilityName>全半角问题</abilityName>
      <candidateList>
        <item>（</item>
      </candidateList>
      <explain>文本全半角错误。</explain>
      <paraID>6766D755</paraID>
      <start>46</start>
      <end>47</end>
      <status>unmodified</status>
      <modifiedWord/>
      <trackRevisions>false</trackRevisions>
    </reviewItem>
    <reviewItem>
      <errorID>f29e1bd9-a9cd-49c5-b01c-619719d82d0c</errorID>
      <errorWord>)</errorWord>
      <group>L1_Format</group>
      <groupName>格式问题</groupName>
      <ability>L2_HalfPunc_CN</ability>
      <abilityName>全半角问题</abilityName>
      <candidateList>
        <item>）</item>
      </candidateList>
      <explain>文本全半角错误。</explain>
      <paraID>6766D755</paraID>
      <start>49</start>
      <end>50</end>
      <status>unmodified</status>
      <modifiedWord/>
      <trackRevisions>false</trackRevisions>
    </reviewItem>
    <reviewItem>
      <errorID>f66eb564-aac9-4675-80a0-16da2362c76d</errorID>
      <errorWord>(</errorWord>
      <group>L1_Format</group>
      <groupName>格式问题</groupName>
      <ability>L2_HalfPunc_CN</ability>
      <abilityName>全半角问题</abilityName>
      <candidateList>
        <item>（</item>
      </candidateList>
      <explain>文本全半角错误。</explain>
      <paraID>4C387BE1</paraID>
      <start>4</start>
      <end>5</end>
      <status>unmodified</status>
      <modifiedWord/>
      <trackRevisions>false</trackRevisions>
    </reviewItem>
    <reviewItem>
      <errorID>69432681-961b-48db-b516-2932df78cae4</errorID>
      <errorWord>)</errorWord>
      <group>L1_Format</group>
      <groupName>格式问题</groupName>
      <ability>L2_HalfPunc_CN</ability>
      <abilityName>全半角问题</abilityName>
      <candidateList>
        <item>）</item>
      </candidateList>
      <explain>文本全半角错误。</explain>
      <paraID>4C387BE1</paraID>
      <start>7</start>
      <end>8</end>
      <status>unmodified</status>
      <modifiedWord/>
      <trackRevisions>false</trackRevisions>
    </reviewItem>
    <reviewItem>
      <errorID>48d7b7d9-985d-4f23-9286-081e2dd43296</errorID>
      <errorWord>(</errorWord>
      <group>L1_Format</group>
      <groupName>格式问题</groupName>
      <ability>L2_HalfPunc_CN</ability>
      <abilityName>全半角问题</abilityName>
      <candidateList>
        <item>（</item>
      </candidateList>
      <explain>文本全半角错误。</explain>
      <paraID>18467AEA</paraID>
      <start>84</start>
      <end>85</end>
      <status>unmodified</status>
      <modifiedWord/>
      <trackRevisions>false</trackRevisions>
    </reviewItem>
    <reviewItem>
      <errorID>5cebc37a-a252-45cf-bfaa-ccefb04eea92</errorID>
      <errorWord>)</errorWord>
      <group>L1_Format</group>
      <groupName>格式问题</groupName>
      <ability>L2_HalfPunc_CN</ability>
      <abilityName>全半角问题</abilityName>
      <candidateList>
        <item>）</item>
      </candidateList>
      <explain>文本全半角错误。</explain>
      <paraID>18467AEA</paraID>
      <start>90</start>
      <end>91</end>
      <status>unmodified</status>
      <modifiedWord/>
      <trackRevisions>false</trackRevisions>
    </reviewItem>
    <reviewItem>
      <errorID>f100b705-6a0a-4a66-ab17-7febfea22b57</errorID>
      <errorWord>(</errorWord>
      <group>L1_Format</group>
      <groupName>格式问题</groupName>
      <ability>L2_HalfPunc_CN</ability>
      <abilityName>全半角问题</abilityName>
      <candidateList>
        <item>（</item>
      </candidateList>
      <explain>文本全半角错误。</explain>
      <paraID>18467AEA</paraID>
      <start>113</start>
      <end>114</end>
      <status>unmodified</status>
      <modifiedWord/>
      <trackRevisions>false</trackRevisions>
    </reviewItem>
    <reviewItem>
      <errorID>45dd3992-29c9-4265-a3d2-42016c3067f7</errorID>
      <errorWord>)</errorWord>
      <group>L1_Format</group>
      <groupName>格式问题</groupName>
      <ability>L2_HalfPunc_CN</ability>
      <abilityName>全半角问题</abilityName>
      <candidateList>
        <item>）</item>
      </candidateList>
      <explain>文本全半角错误。</explain>
      <paraID>18467AEA</paraID>
      <start>119</start>
      <end>120</end>
      <status>unmodified</status>
      <modifiedWord/>
      <trackRevisions>false</trackRevisions>
    </reviewItem>
    <reviewItem>
      <errorID>90f90a2c-1400-4c82-9d7f-8aebba71df24</errorID>
      <errorWord>国家最高人民检察院</errorWord>
      <group>L1_Knowledge</group>
      <groupName>知识性问题</groupName>
      <ability>L2_Knowledge</ability>
      <abilityName>其他知识</abilityName>
      <candidateList>
        <item>最高人民检察院</item>
      </candidateList>
      <explain/>
      <paraID>2C632DEA</paraID>
      <start>55</start>
      <end>64</end>
      <status>unmodified</status>
      <modifiedWord/>
      <trackRevisions>false</trackRevisions>
    </reviewItem>
    <reviewItem>
      <errorID>d50af283-b6d5-4c7e-9351-64a6cfd83da5</errorID>
      <errorWord>的</errorWord>
      <group>L1_Word</group>
      <groupName>字词问题</groupName>
      <ability>L2_Typo</ability>
      <abilityName>字词错误</abilityName>
      <candidateList>
        <item/>
      </candidateList>
      <explain/>
      <paraID>74A7ADB7</paraID>
      <start>39</start>
      <end>40</end>
      <status>unmodified</status>
      <modifiedWord/>
      <trackRevisions>false</trackRevisions>
    </reviewItem>
    <reviewItem>
      <errorID>35bec447-c6bb-40f7-8eda-7f918d50a843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71CB99E9</paraID>
      <start>0</start>
      <end>3</end>
      <status>unmodified</status>
      <modifiedWord/>
      <trackRevisions>false</trackRevisions>
    </reviewItem>
    <reviewItem>
      <errorID>644b9273-7434-4c4b-b081-fbc1fba7288b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6B83D764</paraID>
      <start>0</start>
      <end>3</end>
      <status>unmodified</status>
      <modifiedWord/>
      <trackRevisions>false</trackRevisions>
    </reviewItem>
    <reviewItem>
      <errorID>d5460e1e-18d4-4183-8895-9f8feabd610b</errorID>
      <errorWord>)</errorWord>
      <group>L1_Format</group>
      <groupName>格式问题</groupName>
      <ability>L2_HalfPunc_CN</ability>
      <abilityName>全半角问题</abilityName>
      <candidateList>
        <item>）</item>
      </candidateList>
      <explain>文本全半角错误。</explain>
      <paraID>125984A0</paraID>
      <start>2</start>
      <end>3</end>
      <status>unmodified</status>
      <modifiedWord/>
      <trackRevisions>false</trackRevisions>
    </reviewItem>
    <reviewItem>
      <errorID>ef56725a-c2b9-4a61-850b-b390145315c2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32CD12F3</paraID>
      <start>0</start>
      <end>3</end>
      <status>unmodified</status>
      <modifiedWord/>
      <trackRevisions>false</trackRevisions>
    </reviewItem>
    <reviewItem>
      <errorID>db3f0274-9e7c-42d4-a302-b6101697fd0c</errorID>
      <errorWord>(</errorWord>
      <group>L1_Format</group>
      <groupName>格式问题</groupName>
      <ability>L2_HalfPunc_CN</ability>
      <abilityName>全半角问题</abilityName>
      <candidateList>
        <item>（</item>
      </candidateList>
      <explain>文本全半角错误。</explain>
      <paraID>2EE105FF</paraID>
      <start>25</start>
      <end>26</end>
      <status>unmodified</status>
      <modifiedWord/>
      <trackRevisions>false</trackRevisions>
    </reviewItem>
    <reviewItem>
      <errorID>ef270198-5e6f-4ae7-9f9f-f74499a458c8</errorID>
      <errorWord>)</errorWord>
      <group>L1_Format</group>
      <groupName>格式问题</groupName>
      <ability>L2_HalfPunc_CN</ability>
      <abilityName>全半角问题</abilityName>
      <candidateList>
        <item>）</item>
      </candidateList>
      <explain>文本全半角错误。</explain>
      <paraID>2EE105FF</paraID>
      <start>28</start>
      <end>29</end>
      <status>unmodified</status>
      <modifiedWord/>
      <trackRevisions>false</trackRevisions>
    </reviewItem>
    <reviewItem>
      <errorID>8f26657d-7710-4655-8643-c297fdc1ddd9</errorID>
      <errorWord>、</errorWord>
      <group>L1_Word</group>
      <groupName>字词问题</groupName>
      <ability>L2_Typo</ability>
      <abilityName>字词错误</abilityName>
      <candidateList>
        <item>、第</item>
      </candidateList>
      <explain/>
      <paraID>33DA9F98</paraID>
      <start>18</start>
      <end>19</end>
      <status>unmodified</status>
      <modifiedWord/>
      <trackRevisions>false</trackRevisions>
    </reviewItem>
    <reviewItem>
      <errorID>f03611dc-2ea1-4006-852a-94abc441aba6</errorID>
      <errorWord>、</errorWord>
      <group>L1_Word</group>
      <groupName>字词问题</groupName>
      <ability>L2_Typo</ability>
      <abilityName>字词错误</abilityName>
      <candidateList>
        <item>、第</item>
      </candidateList>
      <explain/>
      <paraID>671E6C4A</paraID>
      <start>18</start>
      <end>19</end>
      <status>unmodified</status>
      <modifiedWord/>
      <trackRevisions>false</trackRevisions>
    </reviewItem>
    <reviewItem>
      <errorID>d6ce3c5d-4207-47b3-96ee-e0245ce8ffc2</errorID>
      <errorWord>方</errorWord>
      <group>L1_Word</group>
      <groupName>字词问题</groupName>
      <ability>L2_Typo</ability>
      <abilityName>字词错误</abilityName>
      <candidateList>
        <item>方在</item>
      </candidateList>
      <explain/>
      <paraID>7EDA5706</paraID>
      <start>4</start>
      <end>5</end>
      <status>unmodified</status>
      <modifiedWord/>
      <trackRevisions>false</trackRevisions>
    </reviewItem>
    <reviewItem>
      <errorID>2ccb959c-52e3-43af-aa99-1ec889749bc1</errorID>
      <errorWord>(</errorWord>
      <group>L1_Format</group>
      <groupName>格式问题</groupName>
      <ability>L2_HalfPunc_CN</ability>
      <abilityName>全半角问题</abilityName>
      <candidateList>
        <item>（</item>
      </candidateList>
      <explain>文本全半角错误。</explain>
      <paraID>1C75D8FF</paraID>
      <start>19</start>
      <end>20</end>
      <status>unmodified</status>
      <modifiedWord/>
      <trackRevisions>false</trackRevisions>
    </reviewItem>
    <reviewItem>
      <errorID>b89f95e2-6411-4ea5-a7b9-7401ee009bee</errorID>
      <errorWord>)</errorWord>
      <group>L1_Format</group>
      <groupName>格式问题</groupName>
      <ability>L2_HalfPunc_CN</ability>
      <abilityName>全半角问题</abilityName>
      <candidateList>
        <item>）</item>
      </candidateList>
      <explain>文本全半角错误。</explain>
      <paraID>1C75D8FF</paraID>
      <start>22</start>
      <end>23</end>
      <status>unmodified</status>
      <modifiedWord/>
      <trackRevisions>false</trackRevisions>
    </reviewItem>
    <reviewItem>
      <errorID>85d42efd-c488-47c6-b08b-ffca4a0e809e</errorID>
      <errorWord>(</errorWord>
      <group>L1_Format</group>
      <groupName>格式问题</groupName>
      <ability>L2_HalfPunc_CN</ability>
      <abilityName>全半角问题</abilityName>
      <candidateList>
        <item>（</item>
      </candidateList>
      <explain>文本全半角错误。</explain>
      <paraID>1C75D8FF</paraID>
      <start>55</start>
      <end>56</end>
      <status>unmodified</status>
      <modifiedWord/>
      <trackRevisions>false</trackRevisions>
    </reviewItem>
    <reviewItem>
      <errorID>4304c02f-b7b8-41b3-a354-bf7e32989447</errorID>
      <errorWord>)</errorWord>
      <group>L1_Format</group>
      <groupName>格式问题</groupName>
      <ability>L2_HalfPunc_CN</ability>
      <abilityName>全半角问题</abilityName>
      <candidateList>
        <item>）</item>
      </candidateList>
      <explain>文本全半角错误。</explain>
      <paraID>1C75D8FF</paraID>
      <start>58</start>
      <end>59</end>
      <status>unmodified</status>
      <modifiedWord/>
      <trackRevisions>false</trackRevisions>
    </reviewItem>
    <reviewItem>
      <errorID>ea6d7569-1b0f-439b-a6f9-96bd167aef25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5AF03AA6</paraID>
      <start>117</start>
      <end>118</end>
      <status>unmodified</status>
      <modifiedWord/>
      <trackRevisions>false</trackRevisions>
    </reviewItem>
    <reviewItem>
      <errorID>103a686e-3ba9-404a-8971-daba754c4edc</errorID>
      <errorWord>承担的</errorWord>
      <group>L1_Word</group>
      <groupName>字词问题</groupName>
      <ability>L2_Typo</ability>
      <abilityName>字词错误</abilityName>
      <candidateList>
        <item>承担</item>
      </candidateList>
      <explain/>
      <paraID> BED8E74</paraID>
      <start>37</start>
      <end>40</end>
      <status>unmodified</status>
      <modifiedWord/>
      <trackRevisions>false</trackRevisions>
    </reviewItem>
    <reviewItem>
      <errorID>96f30fa6-6920-4675-871b-af525cd51c38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639C1F06</paraID>
      <start>20</start>
      <end>23</end>
      <status>unmodified</status>
      <modifiedWord/>
      <trackRevisions>false</trackRevisions>
    </reviewItem>
    <reviewItem>
      <errorID>f22694d5-0ab6-437b-b261-618b71932745</errorID>
      <errorWord>的</errorWord>
      <group>L1_Word</group>
      <groupName>字词问题</groupName>
      <ability>L2_Typo</ability>
      <abilityName>字词错误</abilityName>
      <candidateList>
        <item>的农</item>
      </candidateList>
      <explain/>
      <paraID>38C7B662</paraID>
      <start>39</start>
      <end>40</end>
      <status>unmodified</status>
      <modifiedWord/>
      <trackRevisions>false</trackRevisions>
    </reviewItem>
    <reviewItem>
      <errorID>426987e0-ba8c-4dd8-a81c-212cfdbe6ab4</errorID>
      <errorWord>规定的</errorWord>
      <group>L1_Word</group>
      <groupName>字词问题</groupName>
      <ability>L2_Typo</ability>
      <abilityName>字词错误</abilityName>
      <candidateList>
        <item>规定</item>
      </candidateList>
      <explain/>
      <paraID>38C7B662</paraID>
      <start>139</start>
      <end>142</end>
      <status>unmodified</status>
      <modifiedWord/>
      <trackRevisions>false</trackRevisions>
    </reviewItem>
    <reviewItem>
      <errorID>8605769b-3e72-4f86-aed4-f192d21cb5a0</errorID>
      <errorWord>操作合</errorWord>
      <group>L1_Word</group>
      <groupName>字词问题</groupName>
      <ability>L2_Typo</ability>
      <abilityName>字词错误</abilityName>
      <candidateList>
        <item>操作台</item>
      </candidateList>
      <explain/>
      <paraID>55F4C044</paraID>
      <start>161</start>
      <end>164</end>
      <status>unmodified</status>
      <modifiedWord/>
      <trackRevisions>false</trackRevisions>
    </reviewItem>
    <reviewItem>
      <errorID>fceb17bd-4304-4d5f-b5bb-9304fce74c6a</errorID>
      <errorWord>之外，还应配备有足够</errorWord>
      <group>L1_Word</group>
      <groupName>字词问题</groupName>
      <ability>L2_Typo</ability>
      <abilityName>字词错误</abilityName>
      <candidateList>
        <item>之外，还应配备足够</item>
      </candidateList>
      <explain/>
      <paraID> 7D98A67</paraID>
      <start>20</start>
      <end>30</end>
      <status>unmodified</status>
      <modifiedWord/>
      <trackRevisions>false</trackRevisions>
    </reviewItem>
    <reviewItem>
      <errorID>bf256498-b5e8-4b23-b536-c57f708fb8c3</errorID>
      <errorWord>．</errorWord>
      <group>L1_Format</group>
      <groupName>格式问题</groupName>
      <ability>L2_HalfPunc_CN</ability>
      <abilityName>全半角问题</abilityName>
      <candidateList>
        <item>。</item>
      </candidateList>
      <explain>文本全半角错误。</explain>
      <paraID>11478AA8</paraID>
      <start>107</start>
      <end>108</end>
      <status>unmodified</status>
      <modifiedWord/>
      <trackRevisions>false</trackRevisions>
    </reviewItem>
    <reviewItem>
      <errorID>8159d304-dfc0-4d4f-81b0-17e39617208e</errorID>
      <errorWord>位</errorWord>
      <group>L1_Word</group>
      <groupName>字词问题</groupName>
      <ability>L2_Typo</ability>
      <abilityName>字词错误</abilityName>
      <candidateList>
        <item>位公</item>
      </candidateList>
      <explain/>
      <paraID>491A3EBA</paraID>
      <start>27</start>
      <end>28</end>
      <status>unmodified</status>
      <modifiedWord/>
      <trackRevisions>false</trackRevisions>
    </reviewItem>
    <reviewItem>
      <errorID>b4fc1d11-8265-436a-b29f-d94570f5e825</errorID>
      <errorWord>(</errorWord>
      <group>L1_Format</group>
      <groupName>格式问题</groupName>
      <ability>L2_HalfPunc_CN</ability>
      <abilityName>全半角问题</abilityName>
      <candidateList>
        <item>（</item>
      </candidateList>
      <explain>文本全半角错误。</explain>
      <paraID>7BA0E053</paraID>
      <start>16</start>
      <end>17</end>
      <status>unmodified</status>
      <modifiedWord/>
      <trackRevisions>false</trackRevisions>
    </reviewItem>
    <reviewItem>
      <errorID>f6c9661b-5ef9-406f-8309-1a7205b38330</errorID>
      <errorWord>)</errorWord>
      <group>L1_Format</group>
      <groupName>格式问题</groupName>
      <ability>L2_HalfPunc_CN</ability>
      <abilityName>全半角问题</abilityName>
      <candidateList>
        <item>）</item>
      </candidateList>
      <explain>文本全半角错误。</explain>
      <paraID>7BA0E053</paraID>
      <start>22</start>
      <end>23</end>
      <status>unmodified</status>
      <modifiedWord/>
      <trackRevisions>false</trackRevisions>
    </reviewItem>
    <reviewItem>
      <errorID>32cc553d-2202-4963-94ad-551c26b2db6e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39A884C7</paraID>
      <start>0</start>
      <end>2</end>
      <status>unmodified</status>
      <modifiedWord/>
      <trackRevisions>false</trackRevisions>
    </reviewItem>
    <reviewItem>
      <errorID>0960240a-0b42-4e7a-a860-370084b33743</errorID>
      <errorWord>，</errorWord>
      <group>L1_Word</group>
      <groupName>字词问题</groupName>
      <ability>L2_Typo</ability>
      <abilityName>字词错误</abilityName>
      <candidateList>
        <item>，在</item>
      </candidateList>
      <explain/>
      <paraID>39A884C7</paraID>
      <start>34</start>
      <end>35</end>
      <status>unmodified</status>
      <modifiedWord/>
      <trackRevisions>false</trackRevisions>
    </reviewItem>
    <reviewItem>
      <errorID>6f50c8fa-7cc7-438b-becf-6895723316e6</errorID>
      <errorWord>(</errorWord>
      <group>L1_Format</group>
      <groupName>格式问题</groupName>
      <ability>L2_HalfPunc_CN</ability>
      <abilityName>全半角问题</abilityName>
      <candidateList>
        <item>（</item>
      </candidateList>
      <explain>文本全半角错误。</explain>
      <paraID>47CC6C13</paraID>
      <start>16</start>
      <end>17</end>
      <status>unmodified</status>
      <modifiedWord/>
      <trackRevisions>false</trackRevisions>
    </reviewItem>
    <reviewItem>
      <errorID>6af371f3-fb77-4175-bbc6-5e31b62d44e3</errorID>
      <errorWord>)</errorWord>
      <group>L1_Format</group>
      <groupName>格式问题</groupName>
      <ability>L2_HalfPunc_CN</ability>
      <abilityName>全半角问题</abilityName>
      <candidateList>
        <item>）</item>
      </candidateList>
      <explain>文本全半角错误。</explain>
      <paraID>47CC6C13</paraID>
      <start>37</start>
      <end>38</end>
      <status>unmodified</status>
      <modifiedWord/>
      <trackRevisions>false</trackRevisions>
    </reviewItem>
    <reviewItem>
      <errorID>cb29a188-db6c-456f-8ff1-4f7b2cb9d591</errorID>
      <errorWord>(</errorWord>
      <group>L1_Punc</group>
      <groupName>标点问题</groupName>
      <ability>L2_Punc_CN</ability>
      <abilityName>标点符号问题</abilityName>
      <candidateList/>
      <explain>同一形式括号套用。</explain>
      <paraID>1A5F80DD</paraID>
      <start>8</start>
      <end>9</end>
      <status>unmodified</status>
      <modifiedWord/>
      <trackRevisions>false</trackRevisions>
    </reviewItem>
    <reviewItem>
      <errorID>ea21cd89-4f2b-4945-bf67-f95c5ed67e22</errorID>
      <errorWord>（</errorWord>
      <group>L1_Punc</group>
      <groupName>标点问题</groupName>
      <ability>L2_Punc_CN</ability>
      <abilityName>标点符号问题</abilityName>
      <candidateList/>
      <explain>同一形式括号套用。</explain>
      <paraID>1A5F80DD</paraID>
      <start>19</start>
      <end>20</end>
      <status>unmodified</status>
      <modifiedWord/>
      <trackRevisions>false</trackRevisions>
    </reviewItem>
    <reviewItem>
      <errorID>e97f1dd2-175b-4e9a-9edd-304719607719</errorID>
      <errorWord>）</errorWord>
      <group>L1_Punc</group>
      <groupName>标点问题</groupName>
      <ability>L2_Punc_CN</ability>
      <abilityName>标点符号问题</abilityName>
      <candidateList/>
      <explain>同一形式括号套用。</explain>
      <paraID>1A5F80DD</paraID>
      <start>32</start>
      <end>33</end>
      <status>unmodified</status>
      <modifiedWord/>
      <trackRevisions>false</trackRevisions>
    </reviewItem>
    <reviewItem>
      <errorID>0a67f3dd-38d4-490a-8b1e-389196106d51</errorID>
      <errorWord>)</errorWord>
      <group>L1_Punc</group>
      <groupName>标点问题</groupName>
      <ability>L2_Punc_CN</ability>
      <abilityName>标点符号问题</abilityName>
      <candidateList/>
      <explain>同一形式括号套用。</explain>
      <paraID>1A5F80DD</paraID>
      <start>34</start>
      <end>35</end>
      <status>unmodified</status>
      <modifiedWord/>
      <trackRevisions>false</trackRevisions>
    </reviewItem>
    <reviewItem>
      <errorID>bf1a3a83-a3b2-4646-ab32-c58b200dd2a2</errorID>
      <errorWord>（</errorWord>
      <group>L1_Punc</group>
      <groupName>标点问题</groupName>
      <ability>L2_Punc_CN</ability>
      <abilityName>标点符号问题</abilityName>
      <candidateList/>
      <explain>同一形式括号套用。</explain>
      <paraID>7E8B07CA</paraID>
      <start>11</start>
      <end>12</end>
      <status>unmodified</status>
      <modifiedWord/>
      <trackRevisions>false</trackRevisions>
    </reviewItem>
    <reviewItem>
      <errorID>5e7d59f4-da8e-4e11-a526-48f1d9d52f35</errorID>
      <errorWord>）</errorWord>
      <group>L1_Punc</group>
      <groupName>标点问题</groupName>
      <ability>L2_Punc_CN</ability>
      <abilityName>标点符号问题</abilityName>
      <candidateList/>
      <explain>同一形式括号套用。</explain>
      <paraID>7E8B07CA</paraID>
      <start>15</start>
      <end>16</end>
      <status>unmodified</status>
      <modifiedWord/>
      <trackRevisions>false</trackRevisions>
    </reviewItem>
    <reviewItem>
      <errorID>604099dc-4e31-4ae8-a8dc-fa546bde35cd</errorID>
      <errorWord>（</errorWord>
      <group>L1_Punc</group>
      <groupName>标点问题</groupName>
      <ability>L2_Punc_CN</ability>
      <abilityName>标点符号问题</abilityName>
      <candidateList/>
      <explain>同一形式括号套用。</explain>
      <paraID>1494CBC2</paraID>
      <start>170</start>
      <end>171</end>
      <status>unmodified</status>
      <modifiedWord/>
      <trackRevisions>false</trackRevisions>
    </reviewItem>
    <reviewItem>
      <errorID>46deb5d1-35c9-415f-820e-f500e2742683</errorID>
      <errorWord>）</errorWord>
      <group>L1_Punc</group>
      <groupName>标点问题</groupName>
      <ability>L2_Punc_CN</ability>
      <abilityName>标点符号问题</abilityName>
      <candidateList/>
      <explain>同一形式括号套用。</explain>
      <paraID>1494CBC2</paraID>
      <start>174</start>
      <end>175</end>
      <status>unmodified</status>
      <modifiedWord/>
      <trackRevisions>false</trackRevisions>
    </reviewItem>
    <reviewItem>
      <errorID>8d6216d6-dbb3-4607-aeb3-fb5deacfcf12</errorID>
      <errorWord>（</errorWord>
      <group>L1_Punc</group>
      <groupName>标点问题</groupName>
      <ability>L2_Punc_CN</ability>
      <abilityName>标点符号问题</abilityName>
      <candidateList/>
      <explain>同一形式括号套用。</explain>
      <paraID>1494CBC2</paraID>
      <start>187</start>
      <end>188</end>
      <status>unmodified</status>
      <modifiedWord/>
      <trackRevisions>false</trackRevisions>
    </reviewItem>
    <reviewItem>
      <errorID>c2767882-a82c-4ce4-a1ed-2892c385cdc1</errorID>
      <errorWord>）</errorWord>
      <group>L1_Punc</group>
      <groupName>标点问题</groupName>
      <ability>L2_Punc_CN</ability>
      <abilityName>标点符号问题</abilityName>
      <candidateList/>
      <explain>同一形式括号套用。</explain>
      <paraID>1494CBC2</paraID>
      <start>191</start>
      <end>192</end>
      <status>unmodified</status>
      <modifiedWord/>
      <trackRevisions>false</trackRevisions>
    </reviewItem>
    <reviewItem>
      <errorID>53fae7a3-e98a-4554-a57c-1dbc0fe1f158</errorID>
      <errorWord>（</errorWord>
      <group>L1_Punc</group>
      <groupName>标点问题</groupName>
      <ability>L2_Punc_CN</ability>
      <abilityName>标点符号问题</abilityName>
      <candidateList/>
      <explain>同一形式括号套用。</explain>
      <paraID>1494CBC2</paraID>
      <start>201</start>
      <end>202</end>
      <status>unmodified</status>
      <modifiedWord/>
      <trackRevisions>false</trackRevisions>
    </reviewItem>
    <reviewItem>
      <errorID>7360169f-3870-47da-9a90-71e76b893a53</errorID>
      <errorWord>）</errorWord>
      <group>L1_Punc</group>
      <groupName>标点问题</groupName>
      <ability>L2_Punc_CN</ability>
      <abilityName>标点符号问题</abilityName>
      <candidateList/>
      <explain>同一形式括号套用。</explain>
      <paraID>1494CBC2</paraID>
      <start>206</start>
      <end>207</end>
      <status>unmodified</status>
      <modifiedWord/>
      <trackRevisions>false</trackRevisions>
    </reviewItem>
    <reviewItem>
      <errorID>4bab6f38-4389-4302-909f-dd8acb6eaad8</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5807BEB8</paraID>
      <start>24</start>
      <end>28</end>
      <status>unmodified</status>
      <modifiedWord/>
      <trackRevisions>false</trackRevisions>
    </reviewItem>
    <reviewItem>
      <errorID>c7236ada-72d5-4c97-b7d0-aba47d769fee</errorID>
      <errorWord>(</errorWord>
      <group>L1_Format</group>
      <groupName>格式问题</groupName>
      <ability>L2_HalfPunc_CN</ability>
      <abilityName>全半角问题</abilityName>
      <candidateList>
        <item>（</item>
      </candidateList>
      <explain>文本全半角错误。</explain>
      <paraID>76E36E1C</paraID>
      <start>91</start>
      <end>92</end>
      <status>unmodified</status>
      <modifiedWord/>
      <trackRevisions>false</trackRevisions>
    </reviewItem>
    <reviewItem>
      <errorID>c706f4e6-f1e2-428f-bb45-a4a24353c3aa</errorID>
      <errorWord>[2016]1号</errorWord>
      <group>L1_Knowledge</group>
      <groupName>知识性问题</groupName>
      <ability>L2_Knowledge</ability>
      <abilityName>其他知识</abilityName>
      <candidateList>
        <item>〔2016〕1号</item>
      </candidateList>
      <explain>发文字号格式错误。</explain>
      <paraID>11C75145</paraID>
      <start>39</start>
      <end>47</end>
      <status>unmodified</status>
      <modifiedWord/>
      <trackRevisions>false</trackRevisions>
    </reviewItem>
    <reviewItem>
      <errorID>60923246-4983-4aee-96a4-603a061ac5f7</errorID>
      <errorWord>[2019]18号</errorWord>
      <group>L1_Knowledge</group>
      <groupName>知识性问题</groupName>
      <ability>L2_Knowledge</ability>
      <abilityName>其他知识</abilityName>
      <candidateList>
        <item>〔2019〕18号</item>
      </candidateList>
      <explain>发文字号格式错误。</explain>
      <paraID>11C75145</paraID>
      <start>76</start>
      <end>85</end>
      <status>unmodified</status>
      <modifiedWord/>
      <trackRevisions>false</trackRevisions>
    </reviewItem>
    <reviewItem>
      <errorID>6296442e-cfb7-4f12-94f8-8e9f217144d5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686F5732</paraID>
      <start>23</start>
      <end>24</end>
      <status>unmodified</status>
      <modifiedWord/>
      <trackRevisions>false</trackRevisions>
    </reviewItem>
    <reviewItem>
      <errorID>d8bd5065-de21-401c-ad99-319d4050fe6b</errorID>
      <errorWord>(</errorWord>
      <group>L1_Format</group>
      <groupName>格式问题</groupName>
      <ability>L2_HalfPunc_CN</ability>
      <abilityName>全半角问题</abilityName>
      <candidateList>
        <item>（</item>
      </candidateList>
      <explain>文本全半角错误。</explain>
      <paraID>49862560</paraID>
      <start>17</start>
      <end>18</end>
      <status>unmodified</status>
      <modifiedWord/>
      <trackRevisions>false</trackRevisions>
    </reviewItem>
    <reviewItem>
      <errorID>b4283bfa-bb78-4c8a-8590-563dc0389724</errorID>
      <errorWord>)</errorWord>
      <group>L1_Format</group>
      <groupName>格式问题</groupName>
      <ability>L2_HalfPunc_CN</ability>
      <abilityName>全半角问题</abilityName>
      <candidateList>
        <item>）</item>
      </candidateList>
      <explain>文本全半角错误。</explain>
      <paraID>49862560</paraID>
      <start>23</start>
      <end>24</end>
      <status>unmodified</status>
      <modifiedWord/>
      <trackRevisions>false</trackRevisions>
    </reviewItem>
    <reviewItem>
      <errorID>5c03c937-bc48-4c9f-bbee-430429738554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6D74C2CE</paraID>
      <start>0</start>
      <end>2</end>
      <status>unmodified</status>
      <modifiedWord/>
      <trackRevisions>false</trackRevisions>
    </reviewItem>
    <reviewItem>
      <errorID>17cd0be6-9e43-4e9e-8a00-ffdca214357c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31FC03D2</paraID>
      <start>0</start>
      <end>2</end>
      <status>unmodified</status>
      <modifiedWord/>
      <trackRevisions>false</trackRevisions>
    </reviewItem>
    <reviewItem>
      <errorID>1505a877-09f1-4326-9050-5c167c92e650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7645C58F</paraID>
      <start>0</start>
      <end>2</end>
      <status>unmodified</status>
      <modifiedWord/>
      <trackRevisions>false</trackRevisions>
    </reviewItem>
    <reviewItem>
      <errorID>1c2b2734-7e6a-4310-a953-b64a10207a55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31B73C47</paraID>
      <start>0</start>
      <end>2</end>
      <status>unmodified</status>
      <modifiedWord/>
      <trackRevisions>false</trackRevisions>
    </reviewItem>
    <reviewItem>
      <errorID>e8bf3018-9399-4d58-bf58-40196d186244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4886ED47</paraID>
      <start>0</start>
      <end>2</end>
      <status>unmodified</status>
      <modifiedWord/>
      <trackRevisions>false</trackRevisions>
    </reviewItem>
    <reviewItem>
      <errorID>dfda7b27-3bcc-4508-81eb-f58a1051b0aa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3A4F013</paraID>
      <start>0</start>
      <end>2</end>
      <status>unmodified</status>
      <modifiedWord/>
      <trackRevisions>false</trackRevisions>
    </reviewItem>
    <reviewItem>
      <errorID>74836899-5d82-4757-93a9-cc1670a8838e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2454DB81</paraID>
      <start>0</start>
      <end>2</end>
      <status>unmodified</status>
      <modifiedWord/>
      <trackRevisions>false</trackRevisions>
    </reviewItem>
    <reviewItem>
      <errorID>e0cc9a52-bcdc-4d82-956a-881c27c35602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5967BED4</paraID>
      <start>0</start>
      <end>2</end>
      <status>unmodified</status>
      <modifiedWord/>
      <trackRevisions>false</trackRevisions>
    </reviewItem>
    <reviewItem>
      <errorID>e4a89cdc-019b-4652-afb6-e682a51dbfc6</errorID>
      <errorWord>(</errorWord>
      <group>L1_Format</group>
      <groupName>格式问题</groupName>
      <ability>L2_HalfPunc_CN</ability>
      <abilityName>全半角问题</abilityName>
      <candidateList>
        <item>（</item>
      </candidateList>
      <explain>文本全半角错误。</explain>
      <paraID>2010C2B3</paraID>
      <start>44</start>
      <end>45</end>
      <status>unmodified</status>
      <modifiedWord/>
      <trackRevisions>false</trackRevisions>
    </reviewItem>
    <reviewItem>
      <errorID>ffc7bf93-8447-4473-bb8a-989759459085</errorID>
      <errorWord>)</errorWord>
      <group>L1_Format</group>
      <groupName>格式问题</groupName>
      <ability>L2_HalfPunc_CN</ability>
      <abilityName>全半角问题</abilityName>
      <candidateList>
        <item>）</item>
      </candidateList>
      <explain>文本全半角错误。</explain>
      <paraID>2010C2B3</paraID>
      <start>49</start>
      <end>50</end>
      <status>unmodified</status>
      <modifiedWord/>
      <trackRevisions>false</trackRevisions>
    </reviewItem>
    <reviewItem>
      <errorID>a3b997cd-3075-41c2-b03c-95694f8a435b</errorID>
      <errorWord>(</errorWord>
      <group>L1_Format</group>
      <groupName>格式问题</groupName>
      <ability>L2_HalfPunc_CN</ability>
      <abilityName>全半角问题</abilityName>
      <candidateList>
        <item>（</item>
      </candidateList>
      <explain>文本全半角错误。</explain>
      <paraID>63A16E22</paraID>
      <start>40</start>
      <end>41</end>
      <status>unmodified</status>
      <modifiedWord/>
      <trackRevisions>false</trackRevisions>
    </reviewItem>
    <reviewItem>
      <errorID>7025b883-7e5b-4c2e-979f-066c5b8392af</errorID>
      <errorWord>)</errorWord>
      <group>L1_Format</group>
      <groupName>格式问题</groupName>
      <ability>L2_HalfPunc_CN</ability>
      <abilityName>全半角问题</abilityName>
      <candidateList>
        <item>）</item>
      </candidateList>
      <explain>文本全半角错误。</explain>
      <paraID>63A16E22</paraID>
      <start>46</start>
      <end>47</end>
      <status>unmodified</status>
      <modifiedWord/>
      <trackRevisions>false</trackRevisions>
    </reviewItem>
    <reviewItem>
      <errorID>c3f6072d-3da8-4412-b54f-426777fc1af5</errorID>
      <errorWord>(</errorWord>
      <group>L1_Format</group>
      <groupName>格式问题</groupName>
      <ability>L2_HalfPunc_CN</ability>
      <abilityName>全半角问题</abilityName>
      <candidateList>
        <item>（</item>
      </candidateList>
      <explain>文本全半角错误。</explain>
      <paraID>5776B575</paraID>
      <start>1</start>
      <end>2</end>
      <status>unmodified</status>
      <modifiedWord/>
      <trackRevisions>false</trackRevisions>
    </reviewItem>
    <reviewItem>
      <errorID>3cde21dc-2fdf-4000-b74a-0ae534aa44b5</errorID>
      <errorWord>)</errorWord>
      <group>L1_Format</group>
      <groupName>格式问题</groupName>
      <ability>L2_HalfPunc_CN</ability>
      <abilityName>全半角问题</abilityName>
      <candidateList>
        <item>）</item>
      </candidateList>
      <explain>文本全半角错误。</explain>
      <paraID>5776B575</paraID>
      <start>18</start>
      <end>19</end>
      <status>unmodified</status>
      <modifiedWord/>
      <trackRevisions>false</trackRevisions>
    </reviewItem>
    <reviewItem>
      <errorID>9bdbc98b-e40f-41a2-9fe8-eaa018ffbddf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586347BD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6fd39b-98e6-462f-ac9b-2b2f2c216ba8}">
  <ds:schemaRefs/>
</ds:datastoreItem>
</file>

<file path=docProps/app.xml><?xml version="1.0" encoding="utf-8"?>
<Properties xmlns="http://schemas.openxmlformats.org/officeDocument/2006/extended-properties" xmlns:vt="http://schemas.openxmlformats.org/officeDocument/2006/docPropsVTypes">
  <Template>Normal.dotm</Template>
  <Pages>162</Pages>
  <Words>11557</Words>
  <Characters>12925</Characters>
  <Lines>0</Lines>
  <Paragraphs>0</Paragraphs>
  <TotalTime>29</TotalTime>
  <ScaleCrop>false</ScaleCrop>
  <LinksUpToDate>false</LinksUpToDate>
  <CharactersWithSpaces>13217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2025-06-04T11:06:00Z</dcterms:created>
  <dc:creator>椰语百合</dc:creator>
  <cp:lastModifiedBy>韦韦</cp:lastModifiedBy>
  <cp:lastPrinted>2025-06-10T08:46:00Z</cp:lastPrinted>
  <dcterms:modified xsi:type="dcterms:W3CDTF">2026-10-30T07:11:36Z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7F85242AB9EA48A4BC8CCBD3102D98F3_13</vt:lpwstr>
  </property>
  <property fmtid="{D5CDD505-2E9C-101B-9397-08002B2CF9AE}" pid="4" name="KSOTemplateDocerSaveRecord">
    <vt:lpwstr>eyJoZGlkIjoiZmQ5MGI3YTdkMjVkZTZjM2ZjZTQ5YjMxYTJjZjRlOWEiLCJ1c2VySWQiOiIzNjE4MjQ5In0=</vt:lpwstr>
  </property>
</Properties>
</file>