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F8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 xml:space="preserve"> </w:t>
      </w:r>
    </w:p>
    <w:p w14:paraId="1D9094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E9576C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56F9B9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455AF3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（2026年版）</w:t>
      </w:r>
    </w:p>
    <w:p w14:paraId="4D3E338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4B8A9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B0FFCA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5C3E9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0D9785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1E9E9B6">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滁州学院2026年图书馆中文纸质图书采购项目</w:t>
      </w:r>
    </w:p>
    <w:p w14:paraId="75B7B19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 xml:space="preserve"> czsjcg202606-006</w:t>
      </w:r>
    </w:p>
    <w:p w14:paraId="2326298C">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滁州学院  </w:t>
      </w:r>
    </w:p>
    <w:p w14:paraId="0A1496A3">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 xml:space="preserve"> 滁州市政府采购中心</w:t>
      </w:r>
    </w:p>
    <w:p w14:paraId="52E396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006EC97">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24AF1534">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BCD3625">
      <w:pPr>
        <w:pStyle w:val="21"/>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rFonts w:hint="eastAsia"/>
          <w:color w:val="auto"/>
          <w:highlight w:val="none"/>
        </w:rPr>
        <w:t>3</w:t>
      </w:r>
      <w:r>
        <w:rPr>
          <w:rFonts w:hint="eastAsia"/>
          <w:color w:val="auto"/>
          <w:highlight w:val="none"/>
        </w:rPr>
        <w:fldChar w:fldCharType="end"/>
      </w:r>
    </w:p>
    <w:p w14:paraId="3AA31125">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rFonts w:hint="eastAsia"/>
          <w:color w:val="auto"/>
          <w:highlight w:val="none"/>
        </w:rPr>
        <w:t>7</w:t>
      </w:r>
      <w:r>
        <w:rPr>
          <w:rFonts w:hint="eastAsia"/>
          <w:color w:val="auto"/>
          <w:highlight w:val="none"/>
        </w:rPr>
        <w:fldChar w:fldCharType="end"/>
      </w:r>
    </w:p>
    <w:p w14:paraId="1CD57AE8">
      <w:pPr>
        <w:pStyle w:val="21"/>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color w:val="auto"/>
          <w:szCs w:val="24"/>
          <w:highlight w:val="none"/>
          <w:lang w:val="en-US" w:eastAsia="zh-CN"/>
        </w:rPr>
        <w:t>8</w:t>
      </w:r>
    </w:p>
    <w:p w14:paraId="44D8CE2E">
      <w:pPr>
        <w:pStyle w:val="21"/>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rPr>
        <w:t>3</w:t>
      </w:r>
      <w:r>
        <w:rPr>
          <w:rFonts w:hint="eastAsia"/>
          <w:color w:val="auto"/>
          <w:highlight w:val="none"/>
        </w:rPr>
        <w:fldChar w:fldCharType="end"/>
      </w:r>
      <w:r>
        <w:rPr>
          <w:rFonts w:hint="eastAsia" w:asciiTheme="minorEastAsia" w:hAnsiTheme="minorEastAsia"/>
          <w:color w:val="auto"/>
          <w:szCs w:val="24"/>
          <w:highlight w:val="none"/>
          <w:lang w:val="en-US" w:eastAsia="zh-CN"/>
        </w:rPr>
        <w:t>8</w:t>
      </w:r>
    </w:p>
    <w:p w14:paraId="4C6A8185">
      <w:pPr>
        <w:pStyle w:val="21"/>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4</w:t>
      </w:r>
      <w:r>
        <w:rPr>
          <w:rFonts w:hint="eastAsia"/>
          <w:color w:val="auto"/>
          <w:highlight w:val="none"/>
        </w:rPr>
        <w:fldChar w:fldCharType="end"/>
      </w:r>
      <w:r>
        <w:rPr>
          <w:rFonts w:hint="eastAsia" w:asciiTheme="minorEastAsia" w:hAnsiTheme="minorEastAsia"/>
          <w:color w:val="auto"/>
          <w:szCs w:val="24"/>
          <w:highlight w:val="none"/>
          <w:lang w:val="en-US" w:eastAsia="zh-CN"/>
        </w:rPr>
        <w:t>9</w:t>
      </w:r>
    </w:p>
    <w:p w14:paraId="2CF797BF">
      <w:pPr>
        <w:pStyle w:val="21"/>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rPr>
        <w:t>5</w:t>
      </w:r>
      <w:r>
        <w:rPr>
          <w:rFonts w:hint="eastAsia"/>
          <w:color w:val="auto"/>
          <w:highlight w:val="none"/>
        </w:rPr>
        <w:fldChar w:fldCharType="end"/>
      </w:r>
      <w:r>
        <w:rPr>
          <w:rFonts w:hint="eastAsia" w:asciiTheme="minorEastAsia" w:hAnsiTheme="minorEastAsia"/>
          <w:color w:val="auto"/>
          <w:szCs w:val="24"/>
          <w:highlight w:val="none"/>
          <w:lang w:val="en-US" w:eastAsia="zh-CN"/>
        </w:rPr>
        <w:t>9</w:t>
      </w:r>
    </w:p>
    <w:p w14:paraId="3185385B">
      <w:pPr>
        <w:pStyle w:val="21"/>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rPr>
        <w:t>7</w:t>
      </w:r>
      <w:r>
        <w:rPr>
          <w:rFonts w:hint="eastAsia"/>
          <w:color w:val="auto"/>
          <w:highlight w:val="none"/>
        </w:rPr>
        <w:fldChar w:fldCharType="end"/>
      </w:r>
      <w:r>
        <w:rPr>
          <w:rFonts w:hint="eastAsia" w:asciiTheme="minorEastAsia" w:hAnsiTheme="minorEastAsia"/>
          <w:color w:val="auto"/>
          <w:szCs w:val="24"/>
          <w:highlight w:val="none"/>
          <w:lang w:val="en-US" w:eastAsia="zh-CN"/>
        </w:rPr>
        <w:t>3</w:t>
      </w:r>
    </w:p>
    <w:p w14:paraId="5ECFB6DA">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61A6A116">
      <w:pP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14:paraId="507EA54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259872C9">
      <w:pPr>
        <w:spacing w:line="360" w:lineRule="auto"/>
        <w:ind w:firstLine="437"/>
        <w:outlineLvl w:val="1"/>
        <w:rPr>
          <w:rFonts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5806A427">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czsjcg202606-006</w:t>
      </w:r>
    </w:p>
    <w:p w14:paraId="7642287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滁州学院2026年图书馆中文纸质图书采购项目</w:t>
      </w:r>
    </w:p>
    <w:p w14:paraId="6316B4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1150000.00元（其中1包自然科学类中文图书550000.00元，2包教师荐购与国内外获奖类中文图书350000.00元，3包社会科学类中文图书250000.00元）</w:t>
      </w:r>
    </w:p>
    <w:p w14:paraId="7921C0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本项目采用折扣率报价，折扣率不得高于100.00%，不满足要求的其投标文件按无效投标处理。</w:t>
      </w:r>
    </w:p>
    <w:p w14:paraId="1ED3C4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纸质图书采购</w:t>
      </w:r>
    </w:p>
    <w:p w14:paraId="3D188E7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自合同签订后60个日历天内完成全部货物的供货。</w:t>
      </w:r>
    </w:p>
    <w:p w14:paraId="721F43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346B7E27">
      <w:pPr>
        <w:spacing w:line="360" w:lineRule="auto"/>
        <w:ind w:firstLine="437"/>
        <w:outlineLvl w:val="1"/>
        <w:rPr>
          <w:rFonts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1AD35C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399F25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296384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69CCBA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不专门面向中小企业预留采购份额。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E118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2.1.2□本项目专门面向</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采购。</w:t>
      </w:r>
    </w:p>
    <w:p w14:paraId="3204E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r>
        <w:rPr>
          <w:rFonts w:asciiTheme="minorEastAsia" w:hAnsiTheme="minorEastAsia" w:eastAsiaTheme="minorEastAsia"/>
          <w:color w:val="auto"/>
          <w:sz w:val="24"/>
          <w:highlight w:val="none"/>
        </w:rPr>
        <w:t>__________________</w:t>
      </w:r>
      <w:r>
        <w:rPr>
          <w:rFonts w:hint="eastAsia" w:asciiTheme="minorEastAsia" w:hAnsiTheme="minorEastAsia" w:eastAsiaTheme="minorEastAsia"/>
          <w:color w:val="auto"/>
          <w:sz w:val="24"/>
          <w:highlight w:val="none"/>
        </w:rPr>
        <w:t>。</w:t>
      </w:r>
    </w:p>
    <w:p w14:paraId="01ADA888">
      <w:pPr>
        <w:spacing w:line="360" w:lineRule="auto"/>
        <w:ind w:firstLine="435"/>
        <w:rPr>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w:t>
      </w:r>
      <w:r>
        <w:rPr>
          <w:rFonts w:hint="eastAsia" w:asciiTheme="minorEastAsia" w:hAnsiTheme="minorEastAsia" w:eastAsiaTheme="minorEastAsia"/>
          <w:i/>
          <w:iCs/>
          <w:color w:val="auto"/>
          <w:sz w:val="24"/>
          <w:highlight w:val="none"/>
        </w:rPr>
        <w:t>（如有）</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p w14:paraId="7E271D67">
      <w:pPr>
        <w:spacing w:line="360" w:lineRule="auto"/>
        <w:ind w:firstLine="435"/>
        <w:rPr>
          <w:color w:val="auto"/>
          <w:highlight w:val="none"/>
          <w:u w:val="singl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rPr>
        <w:t>具有出版发行管理部门颁发的出版物经营许可证。</w:t>
      </w:r>
    </w:p>
    <w:p w14:paraId="3D9FFADF">
      <w:pPr>
        <w:spacing w:line="360" w:lineRule="auto"/>
        <w:ind w:firstLine="435"/>
        <w:rPr>
          <w:rFonts w:asciiTheme="minorEastAsia" w:hAnsiTheme="minorEastAsia" w:eastAsiaTheme="minorEastAsia"/>
          <w:color w:val="auto"/>
          <w:sz w:val="24"/>
          <w:highlight w:val="none"/>
        </w:rPr>
      </w:pPr>
      <w:bookmarkStart w:id="6" w:name="_Toc30110"/>
      <w:bookmarkStart w:id="7" w:name="_Toc32089"/>
      <w:r>
        <w:rPr>
          <w:rFonts w:hint="eastAsia" w:asciiTheme="minorEastAsia" w:hAnsiTheme="minorEastAsia" w:eastAsiaTheme="minorEastAsia"/>
          <w:color w:val="auto"/>
          <w:sz w:val="24"/>
          <w:highlight w:val="none"/>
        </w:rPr>
        <w:t>4.信誉要求：投标人不得存在以下情形：</w:t>
      </w:r>
    </w:p>
    <w:p w14:paraId="3D6810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5C5005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4F8B1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53B3AC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8" w:name="OLE_LINK129"/>
      <w:bookmarkStart w:id="9" w:name="OLE_LINK128"/>
      <w:bookmarkStart w:id="10" w:name="OLE_LINK127"/>
      <w:r>
        <w:rPr>
          <w:rFonts w:hint="eastAsia" w:asciiTheme="minorEastAsia" w:hAnsiTheme="minorEastAsia" w:eastAsiaTheme="minorEastAsia"/>
          <w:color w:val="auto"/>
          <w:sz w:val="24"/>
          <w:highlight w:val="none"/>
        </w:rPr>
        <w:t>“信用中国”网站</w:t>
      </w:r>
      <w:bookmarkEnd w:id="8"/>
      <w:bookmarkEnd w:id="9"/>
      <w:bookmarkEnd w:id="10"/>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2EFA01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481F40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⑥被列入中国政府采购网站“政府采购严重违法失信行为信息记录”的。</w:t>
      </w:r>
    </w:p>
    <w:p w14:paraId="72015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386295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5.投标人所属分公司、办事处等分支机构存在第4款信誉要求①-⑦项情形之一的，接受其被确定为中标人。</w:t>
      </w:r>
    </w:p>
    <w:p w14:paraId="3917AC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5C41D52F">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49C63BC">
      <w:pPr>
        <w:spacing w:line="360" w:lineRule="auto"/>
        <w:ind w:firstLine="540"/>
        <w:rPr>
          <w:rFonts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rPr>
        <w:t>）</w:t>
      </w:r>
    </w:p>
    <w:p w14:paraId="5EAB0035">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滁州市公共资源交易中心网</w:t>
      </w:r>
    </w:p>
    <w:p w14:paraId="6133D415">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网上下载</w:t>
      </w:r>
    </w:p>
    <w:p w14:paraId="1C5C19E0">
      <w:pPr>
        <w:spacing w:line="360" w:lineRule="auto"/>
        <w:ind w:firstLine="437"/>
        <w:outlineLvl w:val="1"/>
        <w:rPr>
          <w:rFonts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14595D9A">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3" w:name="_Toc5082"/>
      <w:r>
        <w:rPr>
          <w:rFonts w:hint="eastAsia" w:asciiTheme="minorEastAsia" w:hAnsiTheme="minorEastAsia" w:eastAsiaTheme="minorEastAsia" w:cstheme="minorEastAsia"/>
          <w:bCs/>
          <w:color w:val="auto"/>
          <w:sz w:val="24"/>
          <w:szCs w:val="24"/>
          <w:highlight w:val="none"/>
          <w:u w:val="single"/>
        </w:rPr>
        <w:t>2026</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24</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分（北京时间）</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rPr>
        <w:t>）</w:t>
      </w:r>
    </w:p>
    <w:p w14:paraId="43688B67">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滁州市公共资源交易平台电子交易系统</w:t>
      </w:r>
    </w:p>
    <w:p w14:paraId="1CB8B993">
      <w:pPr>
        <w:spacing w:line="360" w:lineRule="auto"/>
        <w:ind w:firstLine="437"/>
        <w:outlineLvl w:val="1"/>
        <w:rPr>
          <w:rFonts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75B3F6FE">
      <w:pPr>
        <w:spacing w:line="360" w:lineRule="auto"/>
        <w:ind w:firstLine="437"/>
        <w:rPr>
          <w:rFonts w:ascii="宋体" w:hAnsi="宋体" w:eastAsia="宋体"/>
          <w:color w:val="auto"/>
          <w:sz w:val="24"/>
          <w:szCs w:val="18"/>
          <w:highlight w:val="none"/>
        </w:rPr>
      </w:pPr>
      <w:bookmarkStart w:id="15" w:name="_Toc1215"/>
      <w:r>
        <w:rPr>
          <w:rFonts w:hint="eastAsia" w:ascii="宋体" w:hAnsi="宋体" w:eastAsia="宋体"/>
          <w:color w:val="auto"/>
          <w:sz w:val="24"/>
          <w:szCs w:val="18"/>
          <w:highlight w:val="none"/>
        </w:rPr>
        <w:t>自本公告发布之日起5个工作日。</w:t>
      </w:r>
    </w:p>
    <w:p w14:paraId="14177021">
      <w:pPr>
        <w:spacing w:line="360" w:lineRule="auto"/>
        <w:ind w:firstLine="437"/>
        <w:outlineLvl w:val="1"/>
        <w:rPr>
          <w:rFonts w:ascii="宋体" w:hAnsi="宋体" w:eastAsia="宋体"/>
          <w:b/>
          <w:bCs/>
          <w:color w:val="auto"/>
          <w:sz w:val="24"/>
          <w:szCs w:val="18"/>
          <w:highlight w:val="none"/>
        </w:rPr>
      </w:pPr>
      <w:bookmarkStart w:id="16" w:name="_Toc35393795"/>
      <w:bookmarkStart w:id="17" w:name="_Toc8807"/>
      <w:bookmarkStart w:id="18" w:name="_Toc35393626"/>
      <w:r>
        <w:rPr>
          <w:rFonts w:hint="eastAsia" w:ascii="宋体" w:hAnsi="宋体" w:eastAsia="宋体"/>
          <w:b/>
          <w:bCs/>
          <w:color w:val="auto"/>
          <w:sz w:val="24"/>
          <w:szCs w:val="18"/>
          <w:highlight w:val="none"/>
        </w:rPr>
        <w:t>六、其他补充事宜</w:t>
      </w:r>
      <w:bookmarkEnd w:id="16"/>
      <w:bookmarkEnd w:id="17"/>
      <w:bookmarkEnd w:id="18"/>
    </w:p>
    <w:p w14:paraId="62354D38">
      <w:pPr>
        <w:pStyle w:val="11"/>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1.项目采用全流程电子化采购方式，相关操作说明如下：</w:t>
      </w:r>
    </w:p>
    <w:p w14:paraId="31E05621">
      <w:pPr>
        <w:pStyle w:val="11"/>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6550257">
      <w:pPr>
        <w:pStyle w:val="11"/>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（2）请投标人登录滁州市公共资源交易中心网站查看参加本项目的程序（具体操作步骤和程序请参见服务指南&lt;交易须知&gt;投标人填写投标信息、下载文件及网上提问操作手册）。</w:t>
      </w:r>
    </w:p>
    <w:p w14:paraId="064768A0">
      <w:pPr>
        <w:pStyle w:val="11"/>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C856B42">
      <w:pPr>
        <w:pStyle w:val="11"/>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5"/>
    <w:p w14:paraId="2570B877">
      <w:pPr>
        <w:spacing w:line="360" w:lineRule="auto"/>
        <w:ind w:firstLine="437"/>
        <w:outlineLvl w:val="1"/>
        <w:rPr>
          <w:rFonts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70617FE0">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67739BA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滁州学院</w:t>
      </w:r>
    </w:p>
    <w:p w14:paraId="59262EA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安徽省滁州市会峰西路1号滁州学院会峰校区</w:t>
      </w:r>
    </w:p>
    <w:p w14:paraId="28D89B3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陈老师</w:t>
      </w:r>
      <w:r>
        <w:rPr>
          <w:rFonts w:ascii="宋体" w:hAnsi="宋体" w:eastAsia="宋体"/>
          <w:color w:val="auto"/>
          <w:sz w:val="24"/>
          <w:szCs w:val="18"/>
          <w:highlight w:val="none"/>
          <w:u w:val="single"/>
        </w:rPr>
        <w:t xml:space="preserve"> </w:t>
      </w:r>
    </w:p>
    <w:p w14:paraId="18C7E2C1">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0550-3512003</w:t>
      </w:r>
    </w:p>
    <w:p w14:paraId="4752C20E">
      <w:pPr>
        <w:spacing w:line="360" w:lineRule="auto"/>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4CEB78E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滁州市政府采购中心</w:t>
      </w:r>
    </w:p>
    <w:p w14:paraId="008A7D1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color w:val="auto"/>
          <w:sz w:val="24"/>
          <w:szCs w:val="18"/>
          <w:highlight w:val="none"/>
          <w:u w:val="single"/>
        </w:rPr>
        <w:t>滁州市龙蟠大道109号房产商务大厦2楼</w:t>
      </w:r>
    </w:p>
    <w:p w14:paraId="5BED3A76">
      <w:pPr>
        <w:spacing w:line="360" w:lineRule="auto"/>
        <w:ind w:firstLine="435"/>
        <w:rPr>
          <w:rFonts w:eastAsia="宋体"/>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杨韦</w:t>
      </w:r>
    </w:p>
    <w:p w14:paraId="36E8A4A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0550-3519590、18005501210</w:t>
      </w:r>
    </w:p>
    <w:p w14:paraId="16023DB1">
      <w:pPr>
        <w:spacing w:line="360" w:lineRule="auto"/>
        <w:ind w:firstLine="437"/>
        <w:outlineLvl w:val="2"/>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6F0575A8">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名  称：</w:t>
      </w:r>
      <w:r>
        <w:rPr>
          <w:rFonts w:hint="eastAsia" w:ascii="宋体" w:hAnsi="宋体" w:eastAsia="宋体"/>
          <w:color w:val="auto"/>
          <w:sz w:val="24"/>
          <w:szCs w:val="18"/>
          <w:highlight w:val="none"/>
          <w:u w:val="single"/>
        </w:rPr>
        <w:t>安徽省财政厅</w:t>
      </w:r>
    </w:p>
    <w:p w14:paraId="3F7F9D60">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1DC542B8">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r>
        <w:rPr>
          <w:rFonts w:ascii="宋体" w:hAnsi="宋体" w:eastAsia="宋体"/>
          <w:color w:val="auto"/>
          <w:sz w:val="24"/>
          <w:szCs w:val="18"/>
          <w:highlight w:val="none"/>
        </w:rPr>
        <w:br w:type="page"/>
      </w:r>
    </w:p>
    <w:p w14:paraId="339D5454">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35B8D8EF">
      <w:pPr>
        <w:spacing w:line="360" w:lineRule="auto"/>
        <w:jc w:val="center"/>
        <w:outlineLvl w:val="1"/>
        <w:rPr>
          <w:rFonts w:asciiTheme="minorEastAsia" w:hAnsiTheme="minorEastAsia" w:eastAsiaTheme="minorEastAsia"/>
          <w:b/>
          <w:color w:val="auto"/>
          <w:sz w:val="24"/>
          <w:highlight w:val="none"/>
        </w:rPr>
      </w:pPr>
      <w:bookmarkStart w:id="22" w:name="_Toc7178"/>
      <w:bookmarkStart w:id="2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0F670811">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181"/>
        <w:gridCol w:w="5205"/>
      </w:tblGrid>
      <w:tr w14:paraId="1BB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7EAD3356">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368" w:type="dxa"/>
            <w:vAlign w:val="center"/>
          </w:tcPr>
          <w:p w14:paraId="55976F2A">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621" w:type="dxa"/>
            <w:vAlign w:val="center"/>
          </w:tcPr>
          <w:p w14:paraId="2D908117">
            <w:pPr>
              <w:pStyle w:val="48"/>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D82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0D95F063">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368" w:type="dxa"/>
            <w:vAlign w:val="center"/>
          </w:tcPr>
          <w:p w14:paraId="4C33B46C">
            <w:pPr>
              <w:pStyle w:val="4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5621" w:type="dxa"/>
            <w:vAlign w:val="center"/>
          </w:tcPr>
          <w:p w14:paraId="769D5E62">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E3ADCED">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033A256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8B88CF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0B04EFAC">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76B6157">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A11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15401A49">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2368" w:type="dxa"/>
            <w:vAlign w:val="center"/>
          </w:tcPr>
          <w:p w14:paraId="573D238E">
            <w:pPr>
              <w:pStyle w:val="48"/>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621" w:type="dxa"/>
            <w:vAlign w:val="center"/>
          </w:tcPr>
          <w:p w14:paraId="5F89F1E6">
            <w:pPr>
              <w:pStyle w:val="48"/>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4451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2DAF9648">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2368" w:type="dxa"/>
            <w:vAlign w:val="center"/>
          </w:tcPr>
          <w:p w14:paraId="442522AB">
            <w:pPr>
              <w:pStyle w:val="48"/>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621" w:type="dxa"/>
            <w:vAlign w:val="center"/>
          </w:tcPr>
          <w:p w14:paraId="5FAFE425">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rPr>
              <w:t>☑</w:t>
            </w:r>
            <w:r>
              <w:rPr>
                <w:rFonts w:ascii="宋体" w:hAnsi="宋体" w:eastAsia="宋体"/>
                <w:b w:val="0"/>
                <w:color w:val="auto"/>
                <w:sz w:val="24"/>
                <w:highlight w:val="none"/>
                <w:u w:val="single"/>
              </w:rPr>
              <w:t>分为</w:t>
            </w:r>
            <w:r>
              <w:rPr>
                <w:rFonts w:hint="eastAsia" w:ascii="宋体" w:hAnsi="宋体" w:eastAsia="宋体"/>
                <w:b w:val="0"/>
                <w:color w:val="auto"/>
                <w:sz w:val="24"/>
                <w:highlight w:val="none"/>
                <w:u w:val="single"/>
              </w:rPr>
              <w:t>3</w:t>
            </w:r>
            <w:r>
              <w:rPr>
                <w:rFonts w:ascii="宋体" w:hAnsi="宋体" w:eastAsia="宋体"/>
                <w:b w:val="0"/>
                <w:color w:val="auto"/>
                <w:sz w:val="24"/>
                <w:highlight w:val="none"/>
                <w:u w:val="single"/>
              </w:rPr>
              <w:t>个包</w:t>
            </w:r>
            <w:r>
              <w:rPr>
                <w:rFonts w:hint="eastAsia" w:ascii="宋体" w:hAnsi="宋体" w:eastAsia="宋体"/>
                <w:b w:val="0"/>
                <w:color w:val="auto"/>
                <w:sz w:val="24"/>
                <w:highlight w:val="none"/>
                <w:u w:val="single"/>
              </w:rPr>
              <w:t>，1包自然科学类中文图书550000.00元，2包教师荐购与国内外获奖类中文图书350000.00元，3包社会科学类中文图书250000.00元。</w:t>
            </w:r>
          </w:p>
          <w:p w14:paraId="79D03A1A">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color w:val="auto"/>
                <w:sz w:val="24"/>
                <w:highlight w:val="none"/>
                <w:u w:val="single"/>
              </w:rPr>
              <w:t>投标人可以同时参与本项目3个包的投标，但只能按评审顺序中其中1个包。评审时按照包别顺序依次进行（评审顺序：1包→2包→3包）。如某一有效投标人被确定为1包的第一中标候选人，则在2包和3包中通过资格审查和符合性审查后，仅作为有效投标人，不再参与2包和3包的中标候选人排名；某一有效投标人（除1包第一中标候选人外）被确定为2包的第一中标候选人，则在3包中通过资格审查和符合性审查后，仅作为有效投标人，不再参与3包的中标候选人排名。评审完成后被确定为第一中标候选人的投标人在任何情况下均不参与其他包别的中标人递补。</w:t>
            </w:r>
            <w:r>
              <w:rPr>
                <w:rFonts w:ascii="宋体" w:hAnsi="宋体" w:eastAsia="宋体"/>
                <w:b w:val="0"/>
                <w:color w:val="auto"/>
                <w:sz w:val="24"/>
                <w:highlight w:val="none"/>
              </w:rPr>
              <w:t xml:space="preserve"> </w:t>
            </w:r>
          </w:p>
        </w:tc>
      </w:tr>
      <w:tr w14:paraId="63D3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91" w:type="dxa"/>
            <w:vAlign w:val="center"/>
          </w:tcPr>
          <w:p w14:paraId="165A3B48">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2368" w:type="dxa"/>
            <w:vAlign w:val="center"/>
          </w:tcPr>
          <w:p w14:paraId="1EA0EC1C">
            <w:pPr>
              <w:pStyle w:val="4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5621" w:type="dxa"/>
            <w:vAlign w:val="center"/>
          </w:tcPr>
          <w:p w14:paraId="1E8EB56E">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146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32A03959">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2368" w:type="dxa"/>
            <w:vAlign w:val="center"/>
          </w:tcPr>
          <w:p w14:paraId="47C4C95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621" w:type="dxa"/>
            <w:vAlign w:val="center"/>
          </w:tcPr>
          <w:p w14:paraId="636E2AA2">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690A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3BBBDA3C">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368" w:type="dxa"/>
            <w:vAlign w:val="center"/>
          </w:tcPr>
          <w:p w14:paraId="30AFFDB9">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621" w:type="dxa"/>
            <w:vAlign w:val="center"/>
          </w:tcPr>
          <w:p w14:paraId="6AA57872">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791D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5A17F38B">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2368" w:type="dxa"/>
            <w:vAlign w:val="center"/>
          </w:tcPr>
          <w:p w14:paraId="63E6FE1A">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621" w:type="dxa"/>
            <w:vAlign w:val="center"/>
          </w:tcPr>
          <w:p w14:paraId="2FAF06C9">
            <w:pPr>
              <w:pStyle w:val="48"/>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68A4109A">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8A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09DAA216">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2368" w:type="dxa"/>
            <w:vAlign w:val="center"/>
          </w:tcPr>
          <w:p w14:paraId="2388D1AD">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621" w:type="dxa"/>
            <w:vAlign w:val="center"/>
          </w:tcPr>
          <w:p w14:paraId="52E0AFB7">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10C1DF7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4441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2C35A34B">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2368" w:type="dxa"/>
            <w:vAlign w:val="center"/>
          </w:tcPr>
          <w:p w14:paraId="20C63AE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6FCE94C5">
            <w:pPr>
              <w:pStyle w:val="48"/>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5621" w:type="dxa"/>
            <w:vAlign w:val="center"/>
          </w:tcPr>
          <w:p w14:paraId="632E362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Cs w:val="0"/>
                <w:color w:val="auto"/>
                <w:sz w:val="24"/>
                <w:highlight w:val="none"/>
              </w:rPr>
              <w:t>对小型和微型企业产品的价格给予10%的扣除后参与评审</w:t>
            </w:r>
            <w:r>
              <w:rPr>
                <w:rFonts w:hint="eastAsia" w:ascii="宋体" w:hAnsi="宋体" w:eastAsia="宋体"/>
                <w:b w:val="0"/>
                <w:color w:val="auto"/>
                <w:sz w:val="24"/>
                <w:highlight w:val="none"/>
              </w:rPr>
              <w:t>。</w:t>
            </w:r>
          </w:p>
          <w:p w14:paraId="7EDFBE31">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8906A10">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0741E93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069CB10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FEC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17CAE6ED">
            <w:pPr>
              <w:pStyle w:val="4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2368" w:type="dxa"/>
            <w:vAlign w:val="center"/>
          </w:tcPr>
          <w:p w14:paraId="5E09CBDE">
            <w:pPr>
              <w:spacing w:line="360" w:lineRule="auto"/>
              <w:rPr>
                <w:rFonts w:ascii="宋体" w:hAnsi="宋体" w:eastAsia="宋体"/>
                <w:i/>
                <w:color w:val="auto"/>
                <w:sz w:val="24"/>
                <w:highlight w:val="none"/>
              </w:rPr>
            </w:pPr>
            <w:r>
              <w:rPr>
                <w:rFonts w:hint="eastAsia" w:ascii="宋体" w:hAnsi="宋体" w:eastAsia="宋体"/>
                <w:color w:val="auto"/>
                <w:sz w:val="24"/>
                <w:highlight w:val="none"/>
              </w:rPr>
              <w:t>本国产品价格扣除</w:t>
            </w:r>
            <w:r>
              <w:rPr>
                <w:rFonts w:hint="eastAsia" w:ascii="宋体" w:hAnsi="宋体" w:eastAsia="宋体" w:cs="Times New Roman"/>
                <w:i/>
                <w:iCs/>
                <w:color w:val="auto"/>
                <w:sz w:val="24"/>
                <w:highlight w:val="none"/>
              </w:rPr>
              <w:t>（适用于</w:t>
            </w:r>
            <w:r>
              <w:rPr>
                <w:rFonts w:hint="eastAsia" w:ascii="宋体" w:hAnsi="宋体" w:eastAsia="宋体" w:cs="宋体"/>
                <w:i/>
                <w:iCs/>
                <w:color w:val="auto"/>
                <w:sz w:val="24"/>
                <w:szCs w:val="24"/>
                <w:highlight w:val="none"/>
                <w:shd w:val="clear" w:color="auto" w:fill="FFFFFF"/>
              </w:rPr>
              <w:t>既有本国产品又有非本国产品参与竞争的货物项目</w:t>
            </w:r>
            <w:r>
              <w:rPr>
                <w:rFonts w:hint="eastAsia" w:ascii="宋体" w:hAnsi="宋体" w:eastAsia="宋体" w:cs="Times New Roman"/>
                <w:i/>
                <w:iCs/>
                <w:color w:val="auto"/>
                <w:sz w:val="24"/>
                <w:highlight w:val="none"/>
              </w:rPr>
              <w:t>）</w:t>
            </w:r>
          </w:p>
        </w:tc>
        <w:tc>
          <w:tcPr>
            <w:tcW w:w="5621" w:type="dxa"/>
            <w:vAlign w:val="center"/>
          </w:tcPr>
          <w:p w14:paraId="38DEDF36">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p w14:paraId="5925F31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tc>
      </w:tr>
      <w:tr w14:paraId="0A5A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45736BB5">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368" w:type="dxa"/>
            <w:vAlign w:val="center"/>
          </w:tcPr>
          <w:p w14:paraId="77F7C63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5621" w:type="dxa"/>
            <w:vAlign w:val="center"/>
          </w:tcPr>
          <w:p w14:paraId="777CD093">
            <w:pPr>
              <w:pStyle w:val="4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评</w:t>
            </w:r>
            <w:r>
              <w:rPr>
                <w:rFonts w:hint="eastAsia" w:ascii="宋体" w:hAnsi="宋体" w:eastAsia="宋体"/>
                <w:b w:val="0"/>
                <w:color w:val="auto"/>
                <w:sz w:val="24"/>
                <w:highlight w:val="none"/>
              </w:rPr>
              <w:t>标委员会推荐3名中标候选人</w:t>
            </w:r>
          </w:p>
        </w:tc>
      </w:tr>
      <w:tr w14:paraId="4A2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4C7D54D6">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368" w:type="dxa"/>
            <w:vAlign w:val="center"/>
          </w:tcPr>
          <w:p w14:paraId="7F2C7725">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5621" w:type="dxa"/>
            <w:vAlign w:val="center"/>
          </w:tcPr>
          <w:p w14:paraId="67E3CBBD">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90BF0E5">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7871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155BBC81">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2368" w:type="dxa"/>
            <w:vAlign w:val="center"/>
          </w:tcPr>
          <w:p w14:paraId="7B5B63B2">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5621" w:type="dxa"/>
            <w:vAlign w:val="center"/>
          </w:tcPr>
          <w:p w14:paraId="7C0CA4C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0C19CBD9">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54ADF2D0">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（3）中标（成交）供应商的评审总得分</w:t>
            </w:r>
          </w:p>
          <w:p w14:paraId="3048EB22">
            <w:pPr>
              <w:pStyle w:val="48"/>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（4）</w:t>
            </w:r>
            <w:r>
              <w:rPr>
                <w:rFonts w:hint="eastAsia" w:ascii="宋体" w:hAnsi="宋体" w:eastAsia="宋体"/>
                <w:b w:val="0"/>
                <w:bCs w:val="0"/>
                <w:color w:val="auto"/>
                <w:sz w:val="24"/>
                <w:szCs w:val="20"/>
                <w:highlight w:val="none"/>
              </w:rPr>
              <w:t>符合本国产品标准的声明函；</w:t>
            </w:r>
            <w:r>
              <w:rPr>
                <w:rFonts w:hint="eastAsia" w:ascii="宋体" w:hAnsi="宋体" w:eastAsia="宋体"/>
                <w:b w:val="0"/>
                <w:bCs w:val="0"/>
                <w:i/>
                <w:iCs/>
                <w:color w:val="auto"/>
                <w:sz w:val="24"/>
                <w:szCs w:val="20"/>
                <w:highlight w:val="none"/>
              </w:rPr>
              <w:t>（如有）</w:t>
            </w:r>
          </w:p>
        </w:tc>
      </w:tr>
      <w:tr w14:paraId="60EE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2B02FBFB">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2368" w:type="dxa"/>
            <w:vAlign w:val="center"/>
          </w:tcPr>
          <w:p w14:paraId="2C89850E">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5621" w:type="dxa"/>
            <w:vAlign w:val="center"/>
          </w:tcPr>
          <w:p w14:paraId="32C23EC2">
            <w:pPr>
              <w:pStyle w:val="48"/>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7185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325A5080">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2368" w:type="dxa"/>
            <w:vAlign w:val="center"/>
          </w:tcPr>
          <w:p w14:paraId="4DCF193D">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5621" w:type="dxa"/>
            <w:vAlign w:val="center"/>
          </w:tcPr>
          <w:p w14:paraId="1D0811BA">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599CDADF">
            <w:pPr>
              <w:pStyle w:val="48"/>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313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91" w:type="dxa"/>
            <w:vAlign w:val="center"/>
          </w:tcPr>
          <w:p w14:paraId="271C4728">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2368" w:type="dxa"/>
            <w:vAlign w:val="center"/>
          </w:tcPr>
          <w:p w14:paraId="02E28481">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621" w:type="dxa"/>
          </w:tcPr>
          <w:p w14:paraId="4701FA7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1F28A84">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0B8A7E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rPr>
              <w:t>%</w:t>
            </w:r>
          </w:p>
          <w:p w14:paraId="070EC48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5C964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C2C1B2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319DF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滁州学院</w:t>
            </w:r>
            <w:r>
              <w:rPr>
                <w:rFonts w:hint="eastAsia" w:ascii="宋体" w:hAnsi="宋体" w:eastAsia="宋体"/>
                <w:bCs/>
                <w:color w:val="auto"/>
                <w:kern w:val="0"/>
                <w:sz w:val="24"/>
                <w:szCs w:val="28"/>
                <w:highlight w:val="none"/>
              </w:rPr>
              <w:t xml:space="preserve">              </w:t>
            </w:r>
          </w:p>
          <w:p w14:paraId="629312B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另行通知</w:t>
            </w:r>
          </w:p>
          <w:p w14:paraId="3F42DD9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验收合格，一次性退还</w:t>
            </w:r>
          </w:p>
          <w:p w14:paraId="033C9AA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706424D">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62A55F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65E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1" w:type="dxa"/>
            <w:vAlign w:val="center"/>
          </w:tcPr>
          <w:p w14:paraId="1B1BCEF7">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2368" w:type="dxa"/>
            <w:vAlign w:val="center"/>
          </w:tcPr>
          <w:p w14:paraId="14DFA7C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5621" w:type="dxa"/>
          </w:tcPr>
          <w:p w14:paraId="63356E03">
            <w:pPr>
              <w:pStyle w:val="23"/>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13CA63AD">
            <w:pPr>
              <w:pStyle w:val="23"/>
              <w:widowControl/>
              <w:spacing w:before="0" w:beforeAutospacing="0" w:after="0" w:afterAutospacing="0" w:line="360" w:lineRule="auto"/>
              <w:rPr>
                <w:rFonts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w:t>
            </w:r>
            <w:r>
              <w:rPr>
                <w:rFonts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ascii="宋体" w:hAnsi="宋体" w:eastAsia="宋体" w:cs="宋体"/>
                <w:color w:val="auto"/>
                <w:szCs w:val="24"/>
                <w:highlight w:val="none"/>
              </w:rPr>
              <w:t>但涉及国家秘密、商业秘密的信息和其他依法不得公开的信息除外。</w:t>
            </w:r>
          </w:p>
        </w:tc>
      </w:tr>
      <w:tr w14:paraId="1AF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06D191F7">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2368" w:type="dxa"/>
            <w:vAlign w:val="center"/>
          </w:tcPr>
          <w:p w14:paraId="30D962DC">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5621" w:type="dxa"/>
            <w:vAlign w:val="center"/>
          </w:tcPr>
          <w:p w14:paraId="1EB2594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3B16E975">
            <w:pPr>
              <w:spacing w:before="24"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本项目不向采购人及中标人收取代理费用</w:t>
            </w:r>
          </w:p>
          <w:p w14:paraId="7906F4F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b w:val="0"/>
                <w:color w:val="auto"/>
                <w:sz w:val="24"/>
                <w:highlight w:val="none"/>
                <w:u w:val="single"/>
              </w:rPr>
              <w:t>参考计价格【2002】1980号文件规定的</w:t>
            </w:r>
            <w:r>
              <w:rPr>
                <w:rFonts w:hint="eastAsia" w:ascii="宋体" w:hAnsi="宋体" w:eastAsia="宋体"/>
                <w:b w:val="0"/>
                <w:color w:val="auto"/>
                <w:sz w:val="24"/>
                <w:highlight w:val="none"/>
                <w:u w:val="single"/>
              </w:rPr>
              <w:t>50</w:t>
            </w:r>
            <w:r>
              <w:rPr>
                <w:rFonts w:ascii="宋体" w:hAnsi="宋体" w:eastAsia="宋体"/>
                <w:b w:val="0"/>
                <w:color w:val="auto"/>
                <w:sz w:val="24"/>
                <w:highlight w:val="none"/>
                <w:u w:val="single"/>
              </w:rPr>
              <w:t>%（约</w:t>
            </w:r>
            <w:r>
              <w:rPr>
                <w:rFonts w:hint="eastAsia" w:ascii="宋体" w:hAnsi="宋体" w:eastAsia="宋体"/>
                <w:b w:val="0"/>
                <w:color w:val="auto"/>
                <w:sz w:val="24"/>
                <w:highlight w:val="none"/>
                <w:u w:val="single"/>
              </w:rPr>
              <w:t>8300</w:t>
            </w:r>
            <w:r>
              <w:rPr>
                <w:rFonts w:ascii="宋体" w:hAnsi="宋体" w:eastAsia="宋体"/>
                <w:b w:val="0"/>
                <w:color w:val="auto"/>
                <w:sz w:val="24"/>
                <w:highlight w:val="none"/>
                <w:u w:val="single"/>
              </w:rPr>
              <w:t>元）</w:t>
            </w:r>
          </w:p>
        </w:tc>
      </w:tr>
      <w:tr w14:paraId="596D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3609F1D5">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2368" w:type="dxa"/>
            <w:vAlign w:val="center"/>
          </w:tcPr>
          <w:p w14:paraId="368F3E8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621" w:type="dxa"/>
            <w:vAlign w:val="center"/>
          </w:tcPr>
          <w:p w14:paraId="305E020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180A99A">
            <w:pPr>
              <w:pStyle w:val="48"/>
              <w:widowControl w:val="0"/>
              <w:spacing w:before="0" w:beforeAutospacing="0" w:after="0" w:afterAutospacing="0" w:line="360" w:lineRule="auto"/>
              <w:jc w:val="both"/>
              <w:rPr>
                <w:rFonts w:ascii="宋体" w:hAnsi="宋体" w:eastAsia="宋体" w:cs="宋体"/>
                <w:b w:val="0"/>
                <w:bCs w:val="0"/>
                <w:color w:val="auto"/>
                <w:sz w:val="24"/>
                <w:szCs w:val="24"/>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sz w:val="24"/>
                <w:szCs w:val="24"/>
                <w:highlight w:val="none"/>
                <w:u w:val="single"/>
              </w:rPr>
              <w:t>滁州学院、滁州市政府采购中心</w:t>
            </w:r>
          </w:p>
          <w:p w14:paraId="5FF7315D">
            <w:pPr>
              <w:pStyle w:val="48"/>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color w:val="auto"/>
                <w:sz w:val="24"/>
                <w:szCs w:val="24"/>
                <w:highlight w:val="none"/>
                <w:u w:val="single"/>
              </w:rPr>
              <w:t>0550-3512003、0550-3159590</w:t>
            </w:r>
          </w:p>
          <w:p w14:paraId="292DB45F">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color w:val="auto"/>
                <w:sz w:val="24"/>
                <w:szCs w:val="24"/>
                <w:highlight w:val="none"/>
                <w:u w:val="single"/>
              </w:rPr>
              <w:t>安徽省滁州市会峰西路1号滁州学院会峰校区、滁州市龙蟠大道109号房产大厦2楼</w:t>
            </w:r>
          </w:p>
        </w:tc>
      </w:tr>
      <w:tr w14:paraId="2034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91" w:type="dxa"/>
            <w:vAlign w:val="center"/>
          </w:tcPr>
          <w:p w14:paraId="57662717">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2368" w:type="dxa"/>
            <w:vAlign w:val="center"/>
          </w:tcPr>
          <w:p w14:paraId="04F68D3A">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5621" w:type="dxa"/>
            <w:vAlign w:val="center"/>
          </w:tcPr>
          <w:p w14:paraId="0194A4D1">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3E83A8F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5BF6BB3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3781E7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235A90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A142CF">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188CE8E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0D08AF6">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0B6FE86C">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4、部分可提供线下政采贷的金融机构</w:t>
            </w:r>
          </w:p>
          <w:p w14:paraId="5F341DD2">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市本级</w:t>
            </w:r>
          </w:p>
          <w:p w14:paraId="6D68F008">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金融机构名称：兴业银行滁州分行</w:t>
            </w:r>
          </w:p>
          <w:p w14:paraId="6DCD4E93">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安徽省滁州市琅琊区丰乐大道1090号</w:t>
            </w:r>
          </w:p>
          <w:p w14:paraId="784C5E5A">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asciiTheme="minorEastAsia" w:hAnsiTheme="minorEastAsia" w:eastAsiaTheme="minorEastAsia"/>
                <w:b w:val="0"/>
                <w:color w:val="auto"/>
                <w:kern w:val="2"/>
                <w:sz w:val="24"/>
                <w:szCs w:val="24"/>
                <w:highlight w:val="none"/>
              </w:rPr>
              <w:t>伏庚：17755080811</w:t>
            </w:r>
          </w:p>
          <w:p w14:paraId="24CC93C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574D7D6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52D1936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D113B06">
            <w:pPr>
              <w:pStyle w:val="48"/>
              <w:widowControl w:val="0"/>
              <w:wordWrap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912362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3AB3B83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1BAE746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EB4D1F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49E7A0D6">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5611FCB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0B19FE69">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F41BF82">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185CD55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3C72236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1C61A3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27E86EF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1AF6FD4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105ECEE8">
            <w:pPr>
              <w:pStyle w:val="48"/>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11641F7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14880"/>
      <w:bookmarkStart w:id="2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4918622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477AA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841B3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1B8DB5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670BD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E1F4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753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4B351B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4F7A13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431E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EFCCB6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031438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39CBAA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554E8E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1B11E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42F2B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3EBA1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193C8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0D822E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5641BD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331694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04594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A457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0ECA4E9D">
      <w:pPr>
        <w:spacing w:line="360" w:lineRule="auto"/>
        <w:ind w:firstLine="435"/>
        <w:rPr>
          <w:rFonts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23694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02E83C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22673D0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D9DC7B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903082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45B95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879D27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48B7E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56918C0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8B52C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496E7E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2EF598E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EF8C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8177F3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48792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9FC6E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41FB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F37D136">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B61C5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30EE4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0B581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E3DE92E">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782736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36ED7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3EDEE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6CFB2C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ADA7A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等。</w:t>
      </w:r>
    </w:p>
    <w:bookmarkEnd w:id="27"/>
    <w:p w14:paraId="2A96F3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C0EEC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638524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05D7ED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B36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83439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169C6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09CBC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69C385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0CD63A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1A20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02C00D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2A28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036481A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1CD9D4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816DE6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05F2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E485E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95823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1562FE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11CCBAE6">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62AC2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616904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4E46AB0">
      <w:pPr>
        <w:spacing w:line="360" w:lineRule="auto"/>
        <w:ind w:firstLine="435"/>
        <w:rPr>
          <w:rFonts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9DDAA9F">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E7509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00B2E2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7F6A0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B6705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A5116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63DF2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8D4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rPr>
        <w:t>、</w:t>
      </w:r>
      <w:r>
        <w:rPr>
          <w:rFonts w:hint="eastAsia" w:ascii="宋体" w:hAnsi="宋体" w:eastAsia="宋体" w:cs="Times New Roman"/>
          <w:color w:val="auto"/>
          <w:sz w:val="24"/>
          <w:highlight w:val="none"/>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5F0334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19104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00C9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DE54E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0FFC1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6EA5EA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E187A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3C31E8F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1C3FF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731EB6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11F845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124B58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853DCA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457E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922A0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074A2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9270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DE2EB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576A3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637B4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307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AC5EC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55FCBD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BEDAD3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81BA6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w:t>
      </w:r>
      <w:r>
        <w:rPr>
          <w:rFonts w:hint="eastAsia" w:ascii="宋体" w:hAnsi="宋体" w:eastAsia="宋体" w:cs="Times New Roman"/>
          <w:color w:val="auto"/>
          <w:sz w:val="24"/>
          <w:highlight w:val="none"/>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7DE7F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5DD5CE1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E4F4C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333BA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229236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E3404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C8B718A">
      <w:pPr>
        <w:pStyle w:val="48"/>
        <w:widowControl w:val="0"/>
        <w:spacing w:before="0" w:beforeAutospacing="0" w:after="0" w:afterAutospacing="0" w:line="360" w:lineRule="auto"/>
        <w:ind w:firstLine="480" w:firstLineChars="2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C8F6B4F">
      <w:pPr>
        <w:pStyle w:val="48"/>
        <w:widowControl w:val="0"/>
        <w:spacing w:before="0" w:beforeAutospacing="0" w:after="0" w:afterAutospacing="0" w:line="360" w:lineRule="auto"/>
        <w:ind w:firstLine="480" w:firstLineChars="2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0514AE0A">
      <w:pPr>
        <w:pStyle w:val="48"/>
        <w:widowControl w:val="0"/>
        <w:spacing w:before="0" w:beforeAutospacing="0" w:after="0" w:afterAutospacing="0" w:line="360" w:lineRule="auto"/>
        <w:ind w:firstLine="240" w:firstLineChars="1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655E2C">
      <w:pPr>
        <w:pStyle w:val="48"/>
        <w:widowControl w:val="0"/>
        <w:spacing w:before="0" w:beforeAutospacing="0" w:after="0" w:afterAutospacing="0" w:line="360" w:lineRule="auto"/>
        <w:ind w:firstLine="240" w:firstLineChars="100"/>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17.5同时符合17.4和17.5的价格评审优惠时，评标价为投标报价分别扣除促进中小企业发展政策的价格评审优惠和本国产品支持政策的价格评审优惠后的价格。</w:t>
      </w:r>
    </w:p>
    <w:p w14:paraId="1CDA7B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4C95B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3BD46B8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F2E8E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824AB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1D775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1C0D1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6D4270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8E4A9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6758386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E7978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55005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A6AC83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3D9027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E3D7A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7910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114E62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0726605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4B6D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6AD38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E6CE1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21458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93EE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632BFA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92EC66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027F04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DE1AE2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5E3700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14CB2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266F68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B00F0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0A83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45742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29435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6ACC19C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3063B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113D4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0D60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DC11E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4CD0F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9CDA0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10A645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5CC0564">
      <w:pPr>
        <w:spacing w:line="360" w:lineRule="auto"/>
        <w:ind w:firstLine="437"/>
        <w:outlineLvl w:val="2"/>
        <w:rPr>
          <w:rFonts w:asciiTheme="minorEastAsia" w:hAnsiTheme="minorEastAsia" w:eastAsiaTheme="minorEastAsia"/>
          <w:b/>
          <w:color w:val="auto"/>
          <w:sz w:val="24"/>
          <w:highlight w:val="none"/>
        </w:rPr>
      </w:pPr>
      <w:bookmarkStart w:id="29" w:name="_Toc518923100"/>
      <w:bookmarkStart w:id="3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29"/>
      <w:bookmarkEnd w:id="30"/>
    </w:p>
    <w:p w14:paraId="0EF7BD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13627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5910DBA">
      <w:pPr>
        <w:spacing w:line="360" w:lineRule="auto"/>
        <w:ind w:firstLine="437"/>
        <w:outlineLvl w:val="2"/>
        <w:rPr>
          <w:rFonts w:asciiTheme="minorEastAsia" w:hAnsiTheme="minorEastAsia" w:eastAsiaTheme="minorEastAsia"/>
          <w:b/>
          <w:color w:val="auto"/>
          <w:sz w:val="24"/>
          <w:highlight w:val="none"/>
        </w:rPr>
      </w:pPr>
      <w:bookmarkStart w:id="31" w:name="_Toc518923101"/>
      <w:bookmarkStart w:id="32" w:name="_Toc2583662"/>
      <w:r>
        <w:rPr>
          <w:rFonts w:hint="eastAsia" w:asciiTheme="minorEastAsia" w:hAnsiTheme="minorEastAsia" w:eastAsiaTheme="minorEastAsia"/>
          <w:b/>
          <w:color w:val="auto"/>
          <w:sz w:val="24"/>
          <w:highlight w:val="none"/>
        </w:rPr>
        <w:t>30.人员回避</w:t>
      </w:r>
      <w:bookmarkEnd w:id="31"/>
      <w:bookmarkEnd w:id="32"/>
    </w:p>
    <w:p w14:paraId="48C86479">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AC34F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1DBF6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9239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AC57A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5045F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53D4E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9CC53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EA55A1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87CF985">
      <w:pPr>
        <w:spacing w:line="360" w:lineRule="auto"/>
        <w:jc w:val="center"/>
        <w:outlineLvl w:val="0"/>
        <w:rPr>
          <w:rFonts w:asciiTheme="minorEastAsia" w:hAnsiTheme="minorEastAsia" w:eastAsiaTheme="minorEastAsia"/>
          <w:b/>
          <w:color w:val="auto"/>
          <w:sz w:val="28"/>
          <w:highlight w:val="none"/>
        </w:rPr>
      </w:pPr>
      <w:bookmarkStart w:id="33" w:name="_Toc10891"/>
      <w:r>
        <w:rPr>
          <w:rFonts w:hint="eastAsia" w:asciiTheme="minorEastAsia" w:hAnsiTheme="minorEastAsia" w:eastAsiaTheme="minorEastAsia"/>
          <w:b/>
          <w:color w:val="auto"/>
          <w:sz w:val="28"/>
          <w:highlight w:val="none"/>
        </w:rPr>
        <w:t>第三章  采购需求</w:t>
      </w:r>
      <w:bookmarkEnd w:id="33"/>
    </w:p>
    <w:p w14:paraId="7D7D37C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7D1028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85A514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7BEDDE85">
      <w:pPr>
        <w:spacing w:line="360" w:lineRule="auto"/>
        <w:ind w:firstLine="435"/>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F7E959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63CC240">
      <w:pPr>
        <w:spacing w:line="360" w:lineRule="auto"/>
        <w:ind w:firstLine="435"/>
        <w:rPr>
          <w:color w:val="auto"/>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43F504B7">
      <w:pPr>
        <w:spacing w:line="360" w:lineRule="auto"/>
        <w:ind w:firstLine="437"/>
        <w:outlineLvl w:val="1"/>
        <w:rPr>
          <w:rFonts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71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9C2B6CD">
            <w:pPr>
              <w:pStyle w:val="4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2DEB938A">
            <w:pPr>
              <w:pStyle w:val="4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484" w:type="dxa"/>
            <w:vAlign w:val="center"/>
          </w:tcPr>
          <w:p w14:paraId="4187F065">
            <w:pPr>
              <w:pStyle w:val="4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8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CFDDF4C">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326C6251">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14:paraId="03049313">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生效并具备实施条件后5个工作日内可支付每包合同价（暂定为每标包预算金额）的40%预付款(预付款支付前，中标人须提供同等金额的见索即付预付款保函)，供货完成，经验收合格后一次性付清合同款（对应包别合同款=对应包别验收合格的到货图书总码洋*对应包别中标价（综合折扣率））</w:t>
            </w:r>
          </w:p>
        </w:tc>
      </w:tr>
      <w:tr w14:paraId="03FC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8715B64">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1FCBDB94">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center"/>
          </w:tcPr>
          <w:p w14:paraId="6AB384D8">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滁州学院校内，采购人指定地点</w:t>
            </w:r>
          </w:p>
        </w:tc>
      </w:tr>
      <w:tr w14:paraId="39E6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07B337D">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11730493">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center"/>
          </w:tcPr>
          <w:p w14:paraId="04833DCB">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自合同签订后60个日历天内完成全部货物的供货。</w:t>
            </w:r>
          </w:p>
        </w:tc>
      </w:tr>
      <w:tr w14:paraId="68F5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C504EC">
            <w:pPr>
              <w:pStyle w:val="4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2032" w:type="dxa"/>
            <w:vAlign w:val="center"/>
          </w:tcPr>
          <w:p w14:paraId="485AC486">
            <w:pPr>
              <w:pStyle w:val="4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5D322D02">
            <w:pPr>
              <w:pStyle w:val="4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本项目免费质量保证期为验收合格之日起1年</w:t>
            </w:r>
          </w:p>
        </w:tc>
      </w:tr>
    </w:tbl>
    <w:p w14:paraId="2E6AC0FE">
      <w:pPr>
        <w:spacing w:line="360" w:lineRule="auto"/>
        <w:ind w:firstLine="437"/>
        <w:outlineLvl w:val="1"/>
        <w:rPr>
          <w:rFonts w:ascii="宋体" w:hAnsi="宋体" w:eastAsia="宋体"/>
          <w:b/>
          <w:bCs/>
          <w:color w:val="auto"/>
          <w:sz w:val="24"/>
          <w:szCs w:val="18"/>
          <w:highlight w:val="none"/>
        </w:rPr>
      </w:pPr>
      <w:bookmarkStart w:id="36" w:name="_Toc7671"/>
      <w:bookmarkStart w:id="37"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20"/>
        <w:gridCol w:w="6645"/>
        <w:gridCol w:w="795"/>
        <w:gridCol w:w="675"/>
        <w:gridCol w:w="873"/>
        <w:gridCol w:w="626"/>
      </w:tblGrid>
      <w:tr w14:paraId="4858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Align w:val="center"/>
          </w:tcPr>
          <w:p w14:paraId="507AAC96">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20" w:type="dxa"/>
            <w:vAlign w:val="center"/>
          </w:tcPr>
          <w:p w14:paraId="0D3BC7F1">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6645" w:type="dxa"/>
            <w:vAlign w:val="center"/>
          </w:tcPr>
          <w:p w14:paraId="49722D09">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795" w:type="dxa"/>
            <w:vAlign w:val="center"/>
          </w:tcPr>
          <w:p w14:paraId="3C368CDC">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13C69E8E">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675" w:type="dxa"/>
            <w:vAlign w:val="center"/>
          </w:tcPr>
          <w:p w14:paraId="45BD5DC4">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0CC2FA2E">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c>
          <w:tcPr>
            <w:tcW w:w="873" w:type="dxa"/>
            <w:vAlign w:val="center"/>
          </w:tcPr>
          <w:p w14:paraId="2F045F40">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是否为核心产品</w:t>
            </w:r>
          </w:p>
        </w:tc>
        <w:tc>
          <w:tcPr>
            <w:tcW w:w="626" w:type="dxa"/>
            <w:vAlign w:val="center"/>
          </w:tcPr>
          <w:p w14:paraId="55C6D7FD">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6E36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3" w:type="dxa"/>
            <w:vAlign w:val="center"/>
          </w:tcPr>
          <w:p w14:paraId="184310F0">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20" w:type="dxa"/>
            <w:vAlign w:val="center"/>
          </w:tcPr>
          <w:p w14:paraId="5FED7C03">
            <w:pPr>
              <w:widowControl/>
              <w:spacing w:line="5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1包至3包图书采购</w:t>
            </w:r>
          </w:p>
        </w:tc>
        <w:tc>
          <w:tcPr>
            <w:tcW w:w="6645" w:type="dxa"/>
            <w:vAlign w:val="center"/>
          </w:tcPr>
          <w:p w14:paraId="34BB5B1A">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1包自然科学类中文图书550000.00元。2包教师荐购与国内外获奖类中文图书350000.00元。</w:t>
            </w:r>
            <w:r>
              <w:rPr>
                <w:rFonts w:hint="eastAsia" w:ascii="宋体" w:hAnsi="宋体" w:eastAsia="宋体" w:cs="宋体"/>
                <w:b/>
                <w:color w:val="auto"/>
                <w:szCs w:val="21"/>
                <w:highlight w:val="none"/>
              </w:rPr>
              <w:t>书目详见附件，</w:t>
            </w:r>
            <w:r>
              <w:rPr>
                <w:rFonts w:hint="eastAsia" w:ascii="宋体" w:hAnsi="宋体" w:eastAsia="宋体" w:cs="宋体"/>
                <w:bCs/>
                <w:color w:val="auto"/>
                <w:szCs w:val="21"/>
                <w:highlight w:val="none"/>
              </w:rPr>
              <w:t>若采购人提供挂网书目订单全部供货完成后，订单书目码洋仍旧不够，则由采购人续增新订单，订单书目码洋不超过项目预算。3包社会科学类中文图书250000.00元。</w:t>
            </w:r>
            <w:r>
              <w:rPr>
                <w:rFonts w:hint="eastAsia" w:ascii="宋体" w:hAnsi="宋体" w:eastAsia="宋体" w:cs="宋体"/>
                <w:color w:val="auto"/>
                <w:kern w:val="0"/>
                <w:szCs w:val="21"/>
                <w:highlight w:val="none"/>
              </w:rPr>
              <w:t>采购人为综合类本科院校，采购内容为中文纸质图书。中标人须免费提供 MARC 采访、编目数据和图书全加工服务。</w:t>
            </w:r>
          </w:p>
          <w:p w14:paraId="12A2D063">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一、图书采购要求及说明 </w:t>
            </w:r>
          </w:p>
          <w:p w14:paraId="0B211493">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1.采购方式</w:t>
            </w:r>
          </w:p>
          <w:p w14:paraId="0F1EFE22">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包括：各种类型的现场采购、书目报订、专题采购、补订增订等方式。采购书源、采购方式、采购图书的品种和出版社等完全根据采购人图书馆需要，中标人不得对采购人图书馆的采购设置任何障碍。</w:t>
            </w:r>
          </w:p>
          <w:p w14:paraId="330810B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现采地点以官方或协会举办的出版社直接参与的全国大型书市为主。如：全国图书交易博览会、北京新书订货会、全国大学出版社书市、上海书市等，同时结合出版社直销和其它高质量的现采活动。</w:t>
            </w:r>
          </w:p>
          <w:p w14:paraId="5775A5A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书目报订主要参考能全面客观反映全国已出版或即将出版新书信息的采访书目，尤其是采购人图书馆根据采购人学校学科特点认定的重点出版社以及新闻出版署等评定的优秀出版社新书信息，包括优秀的中标人书目、馆藏重点出版社书目、新华书店《科技新书目》和《社科新书目》以及各类权威机构的推荐图书和获奖图书。</w:t>
            </w:r>
          </w:p>
          <w:p w14:paraId="575FDBF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2.中标人须具有完善的馆配服务平台、较强的技术支持和稳定的图书馆客户。</w:t>
            </w:r>
          </w:p>
          <w:p w14:paraId="138681B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本次采购主要为2025年以后出版的未经使用的全新、正版图书。重点采购滁州学院各相关学科学术性专业图书和优秀教材教辅图书，中标人应具有较强的供货能力并与采购人所列重点采购的50家出版社有良好的供货关系。</w:t>
            </w:r>
          </w:p>
          <w:p w14:paraId="2A2A8A3E">
            <w:pPr>
              <w:pStyle w:val="2"/>
              <w:ind w:firstLine="420"/>
              <w:rPr>
                <w:color w:val="auto"/>
                <w:highlight w:val="none"/>
              </w:rPr>
            </w:pPr>
            <w:r>
              <w:rPr>
                <w:rFonts w:hint="eastAsia" w:ascii="宋体" w:hAnsi="宋体" w:eastAsia="宋体" w:cs="宋体"/>
                <w:color w:val="auto"/>
                <w:sz w:val="21"/>
                <w:szCs w:val="21"/>
                <w:highlight w:val="none"/>
              </w:rPr>
              <w:t>50家出版社（投标时按顺序编排）：1.国家图书馆出版社、2.商务印书馆（商务印书馆有限公司）、3.中华书局（中华书局有限公司）、4.社会科学文献出版社、5.科学出版社（中国科技出版传媒股份有限公司）、6.化学工业出版社（化学工业出版社发行部）、7.人民邮电出版社、8.人民交通出版社（人民交通出版社股份有限公司）、9.电子工业出版社、10.国防工业出版社（新时代出版社）、11.北京大学出版社（北京大学出版社有限公司）、12.清华大学出版社（清华大学出版社有限公司）、13.重庆大学出版社（重庆大学出版社有限公司）、14.复旦大学出版社（复旦大学出版社有限公司）、15.中国政法大学出版社（中国政法大学出版社有限责任公司）、16.法律出版社（中国法律图书有限公司）、17.合肥工业大学出版社（合肥工业大学出版社有限责任公司）、18.华东师范大学出版社（华东师范大学出版社有限公司）、19.中国水利水电出版社（中国水利水电出版社营销中心）、20.中国人民大学出版社（中国人民大学出版社有限公司）、21.外语教学与研究出版社、22.中国建筑工业出版社、23.北京理工大学出版社（北京理工大学出版社有限责任公司）、24.作家出版社、25.高等教育出版社、26.中国金融出版社、27.华夏出版社、28.江苏译林出版社（江苏译林出版社有限公司）、29.人民出版社、30.山东齐鲁书社出版有限公司、31.武汉大学出版社（武大出版传媒股份公司）、32.机械工业出版社、33.厦门大学出版社（厦门大学出版社有限责任公司）、34.西北工业大学出版社（西北工业大学出版社有限公司）、35.浙江大学出版社（浙江大学出版社有限责任公司）、36.上海交通大学出版社（上海交通大学出版社有限公司）、37.中国法制出版社、38.中国经济出版社。39.中信出版社、40.生活.读书.新知三联书店、41.同济大学出版社、42.广西师范大学出版社、43.人民文学出版社（人民文学出版社有限公司）、44.西安交通大学出版社、45.中国环境科学出版社（中国环境出版集团有限公司）、46.北京航天航空大学出版社、47、南京大学出版社、48、中国财政经济出版社、49.天津大学出版社、50.中央编译出版社。</w:t>
            </w:r>
          </w:p>
          <w:p w14:paraId="3D063AAD">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4.中标人应建有功能较完善、性能稳定的专业化网站，便于供需双方通过网络开展业务工作。 </w:t>
            </w:r>
          </w:p>
          <w:p w14:paraId="3305C3A2">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5.中标人应建立采购人图书馆预订图书工作库，收到图书订单后应立刻回复确认收到，并对每批订单及时查重报订，不得人为延误报订，对采购人图书馆订单中出现的重复订购信息，中标人须在获得采购人图书馆确认后方可报订。对由于书目信息不完整或错误信息（如书名和书号不一致）错订图书要及时回告。 </w:t>
            </w:r>
          </w:p>
          <w:p w14:paraId="7F2EEDF2">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6.中标人应在采购人图书馆提供订单后一个月内反馈订购信息及未订到原因，报订图书的到书率和重点出版社到书率均不得低于90%。中标供应商不得因利润等原因，借故不采购采购人所需的图书。</w:t>
            </w:r>
          </w:p>
          <w:p w14:paraId="466B63C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7.合同期满后将统计各书商的整体到书率和重点采购出版社到书率，按整体到书率和重点采购出版社到书率中较低值计算，每低于规定到书率一个百分点，将从履约保证金中扣除合同总金额的1%，保证金不足抵扣的，中标人应另行补足差额。如整体到书率或重点采购出版社到书率低于85％，视为中标人严重违约。中标人除承担前述违约责任外，采购人有权单方解除合同、拒付剩余款项、追索全部损失，并将中标人列入不良供应商名单，中标人须承担由此产生的一切经济、法律责任及对采购人造成的全部损失。</w:t>
            </w:r>
          </w:p>
          <w:p w14:paraId="20DFEE1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8.严禁中标人因成本、利润等原因选择性报订，故意不提供采购人所要图书，采购人图书馆可直接将每批订单未到书向出版社报订，如能够订到，将作为故意不提供进行相应处理，从履约保证金中扣除2倍码洋金额。中标人不得更换图书馆预订和现采的图书订单和采购数据，不得搭配非图书馆订购的图书。对有意或无意错发书、加塞非采购人订购图书的情况，验收时一经发现按退货处理并按错书码洋的2倍扣除履约保证金。</w:t>
            </w:r>
          </w:p>
          <w:p w14:paraId="49BC9FB3">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9.中标人负责组织现货采购，中标人每年须为采购人图书馆提供不少于1次的赴外地现采服务，外采时间和地点由采购人图书馆确定，现场采购图书时，中标人应该提供人员、设备、数据等方面的便利。</w:t>
            </w:r>
          </w:p>
          <w:p w14:paraId="64475F3B">
            <w:pPr>
              <w:spacing w:line="500" w:lineRule="exact"/>
              <w:ind w:firstLine="422" w:firstLineChars="200"/>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二、中标人供货图书馆藏要求：</w:t>
            </w:r>
            <w:r>
              <w:rPr>
                <w:rFonts w:hint="eastAsia" w:ascii="宋体" w:hAnsi="宋体" w:eastAsia="宋体" w:cs="宋体"/>
                <w:bCs/>
                <w:color w:val="auto"/>
                <w:szCs w:val="21"/>
                <w:highlight w:val="none"/>
              </w:rPr>
              <w:t xml:space="preserve"> </w:t>
            </w:r>
          </w:p>
          <w:p w14:paraId="211D460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1.高职高专、医学类教材，中小学、活页书、低于32K不便排架管理的小本书等类型的图书采购人图书馆一般不收藏，因此，中标人须主动去除由于信息不明确误报订的此类图书并回告采购人。 </w:t>
            </w:r>
          </w:p>
          <w:p w14:paraId="7B147473">
            <w:pPr>
              <w:spacing w:line="500" w:lineRule="exact"/>
              <w:ind w:firstLine="42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Cs w:val="21"/>
                <w:highlight w:val="none"/>
              </w:rPr>
              <w:t>2.中标人提供的图书及相关服务不得含有任何有可能出现意识形态问题的内容，坚决杜绝有意识形态问题的图书进入图书馆。</w:t>
            </w:r>
            <w:r>
              <w:rPr>
                <w:rFonts w:hint="eastAsia" w:ascii="宋体" w:hAnsi="宋体" w:eastAsia="宋体" w:cs="宋体"/>
                <w:b/>
                <w:color w:val="auto"/>
                <w:sz w:val="24"/>
                <w:szCs w:val="24"/>
                <w:highlight w:val="none"/>
              </w:rPr>
              <w:t>投标人投标时需提供意识形态安全承诺书（格式自拟），加盖投标人公章。</w:t>
            </w:r>
          </w:p>
          <w:p w14:paraId="5AC44DEC">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3.采购人报订的单本100元以上高码洋中文图书需对实物内容确认后才可正式选用。</w:t>
            </w:r>
          </w:p>
          <w:p w14:paraId="37EE312C">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4.中标人在处理订单时，如实际书价超出订单书价15%，应及时与采购人图书馆沟通，否则图书馆有权退货或按低价核算，凡送交到图书馆的图书，以图书定价作为计算书款的依据，经验收发现书款与图书数量与发货单不相符的，图书馆及时通知中标人核算，中标人接到通知之日起10个工作日内如未及时核算的，则以其中较低的价格或数量核算书款金额。 </w:t>
            </w:r>
          </w:p>
          <w:p w14:paraId="47E1480A">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中标人应主动根据以上要求核查图书，若发现到馆的图书不符合采购人事先说明的馆藏要求，不论加工与否，均可退换。</w:t>
            </w:r>
          </w:p>
          <w:p w14:paraId="2895866B">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三、中标人编目加工要求</w:t>
            </w:r>
          </w:p>
          <w:p w14:paraId="0B52881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1.中标人应有从事书目数据采集分编业务的专业人员，能提供图书采访与编目的标准MARC数据（数据要求参见《中国机读目录格式使用手册》、《CALIS联机合作编目手册》），提供的所有数据能在采购方图书馆系统无障碍地使用。 </w:t>
            </w:r>
          </w:p>
          <w:p w14:paraId="783BD6A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2.中标人提供的采访、编目数据需符合以下要求： </w:t>
            </w:r>
          </w:p>
          <w:p w14:paraId="2AA6F85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中标人应根据采购人需要及时免费提供采购人所要求的每期各类优质图书征订书目作为采访数据(CNMARC格式，包括电子版和印刷版）。采访数据除有图书的各项基本信息外，还应该包括读者使用对象和图书内容介绍以及225、410丛编项字段。中标人每月需提供不重复的且经过筛选符合本科院校采选的采访书目数据不少于5000 条（应剔除高职高专、医学类教材，中小学、少儿等图书信息）。</w:t>
            </w:r>
          </w:p>
          <w:p w14:paraId="629237FC">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（2）现采图书的 CNMARC采访数据和订购数据应在现采后立刻提供，如由于客观原因不能立刻提供的，须在一周内提供。 </w:t>
            </w:r>
          </w:p>
          <w:p w14:paraId="1E7AAD9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（3）CNMARC采访数据与 CNMARC 订购数据均能正确导入采购人业务管理系统。 </w:t>
            </w:r>
          </w:p>
          <w:p w14:paraId="63625B0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（4）中标人应协助采购人图书馆在本馆网站上向读者提供最新书目信息，满足读者网上选书需求并能作为采访依据之一。 </w:t>
            </w:r>
          </w:p>
          <w:p w14:paraId="4F4B58A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（5）使用《中国图书馆分类法》（第五版）准确类分图书。 </w:t>
            </w:r>
          </w:p>
          <w:p w14:paraId="189536EB">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（6）遵循国际标准书目著录（ISBD）和中国文献著录国家标准的著录原则。 </w:t>
            </w:r>
          </w:p>
          <w:p w14:paraId="2F68A1F3">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（7）CNMARC格式与CALIS联合编目数据库的格式保持一致。 </w:t>
            </w:r>
          </w:p>
          <w:p w14:paraId="5C19B32E">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（8）遵循主题分类标引原则，使用《中国分类主题词表》进行文献分类标引。 </w:t>
            </w:r>
          </w:p>
          <w:p w14:paraId="60FBC5A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（9）编目数据须与对应图书同时到达，并能正确导入采购人业务管理系统。如不能提供合格的编目数据，须按CALIS联机编目系统下载数据的收费标准按实际供书品种支付采购人编目数据费，即采购人下载 CALIS编目数据费用由中标人承担。</w:t>
            </w:r>
          </w:p>
          <w:p w14:paraId="35D963C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对于条形码的使用要求：采购人使用9位条码，无校验位，条码号开头第一位为大写字母Z(代表中文图书)，条码的后8位为加工流水数，具体条码号分配细则以采购人规定为准。中标人所打印条码号应超出实际加工的册数，待加工结束后将多余的条码移交采购人。</w:t>
            </w:r>
          </w:p>
          <w:p w14:paraId="6FD52B7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对于加工过程中汇文系统的使用说明：不同的中标人会分配不同的帐户、密码进入系统，为了保证加工质量，中标人要严格按照采购、编目、典藏这个系统流程加工图书，不得直接在编目系统中使用回溯加工，如经发现扣除全部质保金。</w:t>
            </w:r>
          </w:p>
          <w:p w14:paraId="5FF18F8E">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5.对于中标人加工形式的约定：一般情况下，中标人应在公司所在地按照采购人指定加工要求进行远程加工。采购人也可按实际情况要求中标人到图书馆统一加工。中标人需提供符合采购人要求和存档标准的所有加工材料，并雇用专业加工人员现场加工，为确保图书加工质量，加工人员应相对稳定并严格按照采购人提出的加工要求操作。以上服务和材料费用包含在优惠价格之内，即为免费服务。</w:t>
            </w:r>
          </w:p>
          <w:p w14:paraId="511D2941">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6.中文赠书分编要求： </w:t>
            </w:r>
          </w:p>
          <w:p w14:paraId="66C48751">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（1）使用《中图法》第五版类分图书 </w:t>
            </w:r>
          </w:p>
          <w:p w14:paraId="1C880D1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（2）按照CALIS编目规则著录 </w:t>
            </w:r>
          </w:p>
          <w:p w14:paraId="2A69E21A">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（3）根据本馆分类编目细则取号及著录</w:t>
            </w:r>
          </w:p>
          <w:p w14:paraId="3B13B74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7.滁州学院种次号分配细则</w:t>
            </w:r>
          </w:p>
          <w:p w14:paraId="7E6A91E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（1）版本号：第2版排在第1版后面，以此类推。第1版省略</w:t>
            </w:r>
          </w:p>
          <w:p w14:paraId="596C41D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指示符：＝    </w:t>
            </w:r>
          </w:p>
          <w:p w14:paraId="2926460C">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如：类号/155=2   第2版   类号/237=3   第3版</w:t>
            </w:r>
          </w:p>
          <w:p w14:paraId="3C5A00A5">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（2）异版号：一种图书被不同的出版社出版，叫异版书。第2异版排在第1版图书后，以此类推。</w:t>
            </w:r>
          </w:p>
          <w:p w14:paraId="63D77BF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   指示符：（Yn）  如：类号/34(Y1)  类号/34(Y2)</w:t>
            </w:r>
          </w:p>
          <w:p w14:paraId="5CBB1A7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（3）分册号：第2册或下册排在第1册或上册后，以此类推。</w:t>
            </w:r>
          </w:p>
          <w:p w14:paraId="10F2B3AD">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指示符：＃    如：类号/56#1  类号/56#2……</w:t>
            </w:r>
          </w:p>
          <w:p w14:paraId="49E3BE0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类号/73#2.1  第2册或中册的第一分册</w:t>
            </w:r>
          </w:p>
          <w:p w14:paraId="40FDE5A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（4）附本号：一本书是前一种书的附加说明或附带图书，排在前一种书的后面。</w:t>
            </w:r>
          </w:p>
          <w:p w14:paraId="675F88E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指示符：－   </w:t>
            </w:r>
          </w:p>
          <w:p w14:paraId="571445A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如：   F230/34     会计学         F230/34-1      会计学辅导书</w:t>
            </w:r>
          </w:p>
          <w:p w14:paraId="3FC1374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O13/78      高等数学    O13/78－1    高等数学习题集</w:t>
            </w:r>
          </w:p>
          <w:p w14:paraId="7272017E">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J624.1/176  钢琴演奏法    J624.1/176－1 钢琴演奏法附30首曲谱</w:t>
            </w:r>
          </w:p>
          <w:p w14:paraId="1AB03E2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（5）年鉴：指示符：（年代）</w:t>
            </w:r>
          </w:p>
          <w:p w14:paraId="764D2FE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如：安徽年鉴 2003年 C54/56(2003)  安徽年鉴 2004年 Ｃ54/56(2004)</w:t>
            </w:r>
          </w:p>
          <w:p w14:paraId="0A34045F">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（6）在种次号中出现多个辅助号时，排列顺序为版本号、异版号、分册号、附本号</w:t>
            </w:r>
          </w:p>
          <w:p w14:paraId="0898546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8.滁州学院图书典藏分流细则</w:t>
            </w:r>
          </w:p>
          <w:p w14:paraId="56EACD7B">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书库名称及入库典藏分流明细：</w:t>
            </w:r>
          </w:p>
          <w:p w14:paraId="08D9CE4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北馆书库：G4-G7（第1本分入此库），B84(第1本分入此库)，TU2（第1本分入此库），I（复本3本的第1本分入此库）</w:t>
            </w:r>
          </w:p>
          <w:p w14:paraId="26CAAD5E">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艺术阅览室：J（第1本分入此库，其余均分入北馆书库）</w:t>
            </w:r>
          </w:p>
          <w:p w14:paraId="4869BE7F">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文一书库：I、K、Z</w:t>
            </w:r>
          </w:p>
          <w:p w14:paraId="1BBDF5B1">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文二书库：A、B（B 84除北馆书库图书全部入此库）、C、 D、 G （G4-G7除北馆书库图书全部入此库）</w:t>
            </w:r>
          </w:p>
          <w:p w14:paraId="61873BD3">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文三书库：H、F、E、N、R</w:t>
            </w:r>
          </w:p>
          <w:p w14:paraId="1C0EF42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理一书库：O、P 、Q 、S 、U、V 、X   </w:t>
            </w:r>
          </w:p>
          <w:p w14:paraId="04B9689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理二书库：只有T大类（TU2除北馆书库图书全部入此库）</w:t>
            </w:r>
          </w:p>
          <w:p w14:paraId="57EE3C53">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工具书库： 大词典，专业词典，工具书，年鉴，索引。。。。。。（只留一册在工具书库，其它的各入各类）</w:t>
            </w:r>
          </w:p>
          <w:p w14:paraId="698D235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四、中标人配送与验收要求：</w:t>
            </w:r>
          </w:p>
          <w:p w14:paraId="66912BEC">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1.中标人应及时将图书发送到采购人图书馆指定地点，在发送图书之前，应预先联系图书馆商定具体时间。</w:t>
            </w:r>
          </w:p>
          <w:p w14:paraId="6A4EF7D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2.发送图书的包装应满足防湿和防破要求，保证图书安全运输到馆。图书在到达采购人所在地前发生的不可预见的风险均由中标人负责。 </w:t>
            </w:r>
          </w:p>
          <w:p w14:paraId="7286DDA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3.随书提供与货物数量、品种、价格相符的该批图书总清单和分包清单。 </w:t>
            </w:r>
          </w:p>
          <w:p w14:paraId="3AF234BF">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4.中标人应具有良好的服务能力，根据图书馆需求及时派人到馆处理拆包验收、退货、结账等事务。 </w:t>
            </w:r>
          </w:p>
          <w:p w14:paraId="78DE5E92">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5.送货与验收环节所发生的费用全部由中标人承担。</w:t>
            </w:r>
          </w:p>
          <w:p w14:paraId="05DF096B">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五、中标人图书加工要求:</w:t>
            </w:r>
          </w:p>
          <w:p w14:paraId="522D6BBC">
            <w:pPr>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中</w:t>
            </w:r>
            <w:r>
              <w:rPr>
                <w:rFonts w:hint="eastAsia" w:ascii="宋体" w:hAnsi="宋体" w:eastAsia="宋体" w:cs="宋体"/>
                <w:bCs/>
                <w:color w:val="auto"/>
                <w:szCs w:val="21"/>
                <w:highlight w:val="none"/>
              </w:rPr>
              <w:t>标人须按采购人具体要求对所发送图书加盖馆藏章、装贴钴基复合磁条或RFID 芯片（写入信息须兼容本馆现有自助借还设备）、贴条形码（要求参数正确，粘合牢度强，条码可抗磨擦，印刷清晰）、贴书标。</w:t>
            </w:r>
          </w:p>
          <w:p w14:paraId="35860162">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1.盖馆藏章：颜色为蓝色，每册图书需在三处加盖馆藏章，一处在图书书口处，要求纵向盖在书口的中间位置；第二处在图书题名页上，要求横向盖在题名页中间位置的空白处；第三处要求横向盖在封底。</w:t>
            </w:r>
          </w:p>
          <w:p w14:paraId="70EFE5B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2.贴磁条：加贴图书防盗磁条，可在书的任一页加贴16cm钴基复合磁条，超过300页及精装本、大开本图书贴2根及2根以上(每增加一厘米，加贴一根磁条)，需隐蔽性好；</w:t>
            </w:r>
          </w:p>
          <w:p w14:paraId="3E4B900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3.贴条形码：每册书贴两个一样的条形码，条码要求清晰，灵敏度好，原则上一个要求贴在书名页上方中间位置，不能覆盖文字；一个贴在最后一页上方中间空白位置，另条形码上需加贴透明胶带。</w:t>
            </w:r>
          </w:p>
          <w:p w14:paraId="73E0C5B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贴书标：书标纵向贴在书脊上，书标下方距底端2.5厘米，分类号朝向封面(如果是纵向排版的图书，分类号朝向封底，遇有前后都有书名像封面的图书，请确认正书名正确贴标，贴标时如果图书比较薄，要让分类号在书脊上，另书标需加贴透明胶带。</w:t>
            </w:r>
          </w:p>
          <w:p w14:paraId="110CE1C8">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5.采购人琅琊校区图书馆已使用自助借还系统，所有分配到琅琊校区图书馆的图书（包括北馆书库和艺术阅览室）需使用RFID标签。质保期内对因质量问题不能正常使用的标签提供免费更换，免费提供需贴RFID标签图书数5%的备用更换标签。</w:t>
            </w:r>
          </w:p>
          <w:p w14:paraId="363E7E6A">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附：RFID图书标签参数及其加工要求</w:t>
            </w:r>
          </w:p>
          <w:p w14:paraId="16846A4C">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技术参数:</w:t>
            </w:r>
          </w:p>
          <w:p w14:paraId="70EEAB84">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1.符合标准:ISO/IEC 18000-6C，EPC-C0,C1,C2,G2；</w:t>
            </w:r>
          </w:p>
          <w:p w14:paraId="0F36D2DA">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2.工作频率:860～960MHz；</w:t>
            </w:r>
          </w:p>
          <w:p w14:paraId="4543BE40">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3.标签内存容量：＞512bits；</w:t>
            </w:r>
          </w:p>
          <w:p w14:paraId="52E67AE9">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4.规格:≥120×3mm；</w:t>
            </w:r>
          </w:p>
          <w:p w14:paraId="6F06186E">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5.读取距离:0m～10m（与读写器相关） ；</w:t>
            </w:r>
          </w:p>
          <w:p w14:paraId="57E4215B">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6.写入距离:0m～8m（与读写器相关）； </w:t>
            </w:r>
          </w:p>
          <w:p w14:paraId="65E08163">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7.防冲突性:允许工作区间内多个标签的可靠识读；</w:t>
            </w:r>
          </w:p>
          <w:p w14:paraId="70D0B14B">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8.数据存储:10年；</w:t>
            </w:r>
          </w:p>
          <w:p w14:paraId="112E6D8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9.有效使用次数:10万次读取，10万次写入；</w:t>
            </w:r>
          </w:p>
          <w:p w14:paraId="3D2CA172">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六、中标人图书质量要求： </w:t>
            </w:r>
          </w:p>
          <w:p w14:paraId="743A5E3D">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1.中标人不得提供盗版书及非法出版物。一旦发现中标人所提供的图书出现盗版或非法出版物，不论是当往年，按中标人违约处理，采购人扣除中标人履约保证金，由此引起的一切责任及后果由中标人承担；中标人也不得以特价书充非特价书，一经发现将从履约保证金扣除5倍书款，由此引起的法律责任和经济纠纷完全由中标人承担。 </w:t>
            </w:r>
          </w:p>
          <w:p w14:paraId="7E3E4377">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2.中标人所提供的图书若有缺附件、缺页、散页、图文不清、倒装、污损等印刷和装帧等质量问题，或所供图书一年内出现装订等质量问题，均可根据图书馆需要无条件退换或贬值处理，中标人不能以已加工为理由拒绝，以上情况造成的损失及费用由中标人承担。 </w:t>
            </w:r>
          </w:p>
          <w:p w14:paraId="35AF2F6E">
            <w:pPr>
              <w:spacing w:line="5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3.若图书馆误订图书，在未加盖馆藏章、不影响二次销售的情况下，中标人应允许退货。</w:t>
            </w:r>
          </w:p>
        </w:tc>
        <w:tc>
          <w:tcPr>
            <w:tcW w:w="795" w:type="dxa"/>
            <w:vAlign w:val="center"/>
          </w:tcPr>
          <w:p w14:paraId="1CBB6AE7">
            <w:pPr>
              <w:pStyle w:val="8"/>
              <w:numPr>
                <w:ilvl w:val="0"/>
                <w:numId w:val="0"/>
              </w:num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1批</w:t>
            </w:r>
          </w:p>
        </w:tc>
        <w:tc>
          <w:tcPr>
            <w:tcW w:w="675" w:type="dxa"/>
            <w:vAlign w:val="center"/>
          </w:tcPr>
          <w:p w14:paraId="5D00CE86">
            <w:p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其他未列明行业</w:t>
            </w:r>
          </w:p>
        </w:tc>
        <w:tc>
          <w:tcPr>
            <w:tcW w:w="873" w:type="dxa"/>
            <w:vAlign w:val="center"/>
          </w:tcPr>
          <w:p w14:paraId="02FFC3C6">
            <w:p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本项目为图书采购类项目，特殊采购标的，不设置核心产品</w:t>
            </w:r>
          </w:p>
        </w:tc>
        <w:tc>
          <w:tcPr>
            <w:tcW w:w="626" w:type="dxa"/>
            <w:vAlign w:val="center"/>
          </w:tcPr>
          <w:p w14:paraId="29063549">
            <w:pPr>
              <w:spacing w:line="500" w:lineRule="exact"/>
              <w:jc w:val="center"/>
              <w:rPr>
                <w:rFonts w:ascii="宋体" w:hAnsi="宋体" w:eastAsia="宋体" w:cs="宋体"/>
                <w:bCs/>
                <w:color w:val="auto"/>
                <w:szCs w:val="21"/>
                <w:highlight w:val="none"/>
              </w:rPr>
            </w:pPr>
          </w:p>
        </w:tc>
      </w:tr>
    </w:tbl>
    <w:p w14:paraId="4B57EF2C">
      <w:pPr>
        <w:spacing w:line="360" w:lineRule="auto"/>
        <w:ind w:firstLine="437"/>
        <w:outlineLvl w:val="1"/>
        <w:rPr>
          <w:rFonts w:ascii="宋体" w:hAnsi="宋体" w:eastAsia="宋体"/>
          <w:b/>
          <w:bCs/>
          <w:color w:val="auto"/>
          <w:sz w:val="24"/>
          <w:szCs w:val="18"/>
          <w:highlight w:val="none"/>
        </w:rPr>
      </w:pPr>
      <w:bookmarkStart w:id="38" w:name="_Toc7421"/>
      <w:bookmarkStart w:id="39" w:name="_Toc4843"/>
      <w:r>
        <w:rPr>
          <w:rFonts w:hint="eastAsia" w:ascii="宋体" w:hAnsi="宋体" w:eastAsia="宋体"/>
          <w:b/>
          <w:bCs/>
          <w:color w:val="auto"/>
          <w:sz w:val="24"/>
          <w:szCs w:val="18"/>
          <w:highlight w:val="none"/>
        </w:rPr>
        <w:t>三、报价要求</w:t>
      </w:r>
      <w:bookmarkEnd w:id="38"/>
      <w:bookmarkEnd w:id="39"/>
    </w:p>
    <w:p w14:paraId="077F50F7">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1DA22C92">
      <w:pPr>
        <w:rPr>
          <w:rFonts w:asciiTheme="minorEastAsia" w:hAnsiTheme="minorEastAsia" w:eastAsiaTheme="minorEastAsia"/>
          <w:b/>
          <w:color w:val="auto"/>
          <w:sz w:val="28"/>
          <w:highlight w:val="none"/>
        </w:rPr>
      </w:pPr>
      <w:bookmarkStart w:id="40" w:name="_Toc16417"/>
    </w:p>
    <w:p w14:paraId="7194ADE2">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40"/>
    </w:p>
    <w:p w14:paraId="6FDFB6ED">
      <w:pPr>
        <w:spacing w:line="360" w:lineRule="auto"/>
        <w:ind w:firstLine="437"/>
        <w:outlineLvl w:val="1"/>
        <w:rPr>
          <w:rFonts w:asciiTheme="minorEastAsia" w:hAnsiTheme="minorEastAsia" w:eastAsiaTheme="minorEastAsia"/>
          <w:b/>
          <w:color w:val="auto"/>
          <w:sz w:val="24"/>
          <w:highlight w:val="none"/>
        </w:rPr>
      </w:pPr>
      <w:bookmarkStart w:id="41" w:name="_Toc11823"/>
      <w:bookmarkStart w:id="42" w:name="_Toc1246"/>
      <w:r>
        <w:rPr>
          <w:rFonts w:hint="eastAsia" w:asciiTheme="minorEastAsia" w:hAnsiTheme="minorEastAsia" w:eastAsiaTheme="minorEastAsia"/>
          <w:b/>
          <w:color w:val="auto"/>
          <w:sz w:val="24"/>
          <w:highlight w:val="none"/>
        </w:rPr>
        <w:t>一、总则</w:t>
      </w:r>
      <w:bookmarkEnd w:id="41"/>
      <w:bookmarkEnd w:id="42"/>
    </w:p>
    <w:p w14:paraId="74799D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8A7BD7A">
      <w:pPr>
        <w:spacing w:line="360" w:lineRule="auto"/>
        <w:ind w:firstLine="437"/>
        <w:outlineLvl w:val="1"/>
        <w:rPr>
          <w:rFonts w:asciiTheme="minorEastAsia" w:hAnsiTheme="minorEastAsia" w:eastAsiaTheme="minorEastAsia"/>
          <w:b/>
          <w:color w:val="auto"/>
          <w:sz w:val="24"/>
          <w:highlight w:val="none"/>
        </w:rPr>
      </w:pPr>
      <w:bookmarkStart w:id="43" w:name="_Toc31871"/>
      <w:bookmarkStart w:id="44" w:name="_Toc13117"/>
      <w:r>
        <w:rPr>
          <w:rFonts w:hint="eastAsia" w:asciiTheme="minorEastAsia" w:hAnsiTheme="minorEastAsia" w:eastAsiaTheme="minorEastAsia"/>
          <w:b/>
          <w:color w:val="auto"/>
          <w:sz w:val="24"/>
          <w:highlight w:val="none"/>
        </w:rPr>
        <w:t>二、评标方法</w:t>
      </w:r>
      <w:bookmarkEnd w:id="43"/>
      <w:bookmarkEnd w:id="44"/>
    </w:p>
    <w:p w14:paraId="561CE2D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47"/>
        <w:gridCol w:w="4247"/>
        <w:gridCol w:w="2366"/>
      </w:tblGrid>
      <w:tr w14:paraId="33F1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99" w:type="dxa"/>
            <w:gridSpan w:val="4"/>
            <w:tcBorders>
              <w:bottom w:val="single" w:color="auto" w:sz="4" w:space="0"/>
            </w:tcBorders>
            <w:vAlign w:val="center"/>
          </w:tcPr>
          <w:p w14:paraId="2D370CC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4E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bottom w:val="single" w:color="auto" w:sz="4" w:space="0"/>
            </w:tcBorders>
            <w:vAlign w:val="center"/>
          </w:tcPr>
          <w:p w14:paraId="62B9A55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547" w:type="dxa"/>
            <w:tcBorders>
              <w:bottom w:val="single" w:color="auto" w:sz="4" w:space="0"/>
            </w:tcBorders>
            <w:vAlign w:val="center"/>
          </w:tcPr>
          <w:p w14:paraId="0709D2FB">
            <w:pPr>
              <w:pStyle w:val="49"/>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4247" w:type="dxa"/>
            <w:tcBorders>
              <w:bottom w:val="single" w:color="auto" w:sz="4" w:space="0"/>
            </w:tcBorders>
            <w:vAlign w:val="center"/>
          </w:tcPr>
          <w:p w14:paraId="1EEF93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2366" w:type="dxa"/>
            <w:tcBorders>
              <w:bottom w:val="single" w:color="auto" w:sz="4" w:space="0"/>
            </w:tcBorders>
            <w:vAlign w:val="center"/>
          </w:tcPr>
          <w:p w14:paraId="6804A2F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D6E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39" w:type="dxa"/>
            <w:tcBorders>
              <w:bottom w:val="single" w:color="auto" w:sz="4" w:space="0"/>
            </w:tcBorders>
            <w:vAlign w:val="center"/>
          </w:tcPr>
          <w:p w14:paraId="578D763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547" w:type="dxa"/>
            <w:tcBorders>
              <w:bottom w:val="single" w:color="auto" w:sz="4" w:space="0"/>
            </w:tcBorders>
            <w:vAlign w:val="center"/>
          </w:tcPr>
          <w:p w14:paraId="68FE2BB8">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247" w:type="dxa"/>
            <w:tcBorders>
              <w:bottom w:val="single" w:color="auto" w:sz="4" w:space="0"/>
            </w:tcBorders>
            <w:vAlign w:val="center"/>
          </w:tcPr>
          <w:p w14:paraId="79E03411">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93A648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02FDF6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079AEB2F">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5D3D1F59">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2366" w:type="dxa"/>
            <w:vAlign w:val="center"/>
          </w:tcPr>
          <w:p w14:paraId="0CE878CB">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410A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39" w:type="dxa"/>
            <w:tcBorders>
              <w:bottom w:val="single" w:color="auto" w:sz="4" w:space="0"/>
            </w:tcBorders>
            <w:vAlign w:val="center"/>
          </w:tcPr>
          <w:p w14:paraId="2DD37C3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547" w:type="dxa"/>
            <w:tcBorders>
              <w:bottom w:val="single" w:color="auto" w:sz="4" w:space="0"/>
            </w:tcBorders>
            <w:vAlign w:val="center"/>
          </w:tcPr>
          <w:p w14:paraId="25515AA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4247" w:type="dxa"/>
            <w:tcBorders>
              <w:bottom w:val="single" w:color="auto" w:sz="4" w:space="0"/>
            </w:tcBorders>
            <w:vAlign w:val="center"/>
          </w:tcPr>
          <w:p w14:paraId="3D10224B">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2366" w:type="dxa"/>
            <w:vAlign w:val="center"/>
          </w:tcPr>
          <w:p w14:paraId="2F007EB9">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7EE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bottom w:val="single" w:color="auto" w:sz="4" w:space="0"/>
            </w:tcBorders>
            <w:vAlign w:val="center"/>
          </w:tcPr>
          <w:p w14:paraId="4423DD3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547" w:type="dxa"/>
            <w:tcBorders>
              <w:bottom w:val="single" w:color="auto" w:sz="4" w:space="0"/>
            </w:tcBorders>
            <w:vAlign w:val="center"/>
          </w:tcPr>
          <w:p w14:paraId="2EEBA5E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247" w:type="dxa"/>
            <w:tcBorders>
              <w:bottom w:val="single" w:color="auto" w:sz="4" w:space="0"/>
            </w:tcBorders>
            <w:vAlign w:val="center"/>
          </w:tcPr>
          <w:p w14:paraId="214998D1">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2366" w:type="dxa"/>
            <w:tcBorders>
              <w:bottom w:val="single" w:color="auto" w:sz="4" w:space="0"/>
            </w:tcBorders>
            <w:vAlign w:val="center"/>
          </w:tcPr>
          <w:p w14:paraId="1F785F59">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36AF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bottom w:val="single" w:color="auto" w:sz="4" w:space="0"/>
            </w:tcBorders>
            <w:vAlign w:val="center"/>
          </w:tcPr>
          <w:p w14:paraId="46042E3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547" w:type="dxa"/>
            <w:tcBorders>
              <w:bottom w:val="single" w:color="auto" w:sz="4" w:space="0"/>
            </w:tcBorders>
            <w:vAlign w:val="center"/>
          </w:tcPr>
          <w:p w14:paraId="296DD277">
            <w:pPr>
              <w:spacing w:after="50" w:line="360" w:lineRule="auto"/>
              <w:ind w:right="-1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4247" w:type="dxa"/>
            <w:tcBorders>
              <w:bottom w:val="single" w:color="auto" w:sz="4" w:space="0"/>
            </w:tcBorders>
            <w:vAlign w:val="center"/>
          </w:tcPr>
          <w:p w14:paraId="752FFAF1">
            <w:pPr>
              <w:spacing w:after="50" w:line="360" w:lineRule="auto"/>
              <w:ind w:righ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2366" w:type="dxa"/>
            <w:tcBorders>
              <w:bottom w:val="single" w:color="auto" w:sz="4" w:space="0"/>
            </w:tcBorders>
            <w:vAlign w:val="center"/>
          </w:tcPr>
          <w:p w14:paraId="4CBAD5FA">
            <w:pPr>
              <w:spacing w:after="50" w:line="360" w:lineRule="auto"/>
              <w:ind w:right="-10"/>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4CAA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0EFFDDE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1547" w:type="dxa"/>
            <w:vAlign w:val="center"/>
          </w:tcPr>
          <w:p w14:paraId="08F05683">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本项目的特定资格要求</w:t>
            </w:r>
          </w:p>
        </w:tc>
        <w:tc>
          <w:tcPr>
            <w:tcW w:w="4247" w:type="dxa"/>
            <w:vAlign w:val="center"/>
          </w:tcPr>
          <w:p w14:paraId="07339B89">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2366" w:type="dxa"/>
            <w:vAlign w:val="center"/>
          </w:tcPr>
          <w:p w14:paraId="61E2963B">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3EF8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3CC6C9D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1547" w:type="dxa"/>
            <w:shd w:val="clear" w:color="auto" w:fill="auto"/>
            <w:vAlign w:val="center"/>
          </w:tcPr>
          <w:p w14:paraId="313A4746">
            <w:pPr>
              <w:wordWrap w:val="0"/>
              <w:spacing w:after="50" w:line="360" w:lineRule="auto"/>
              <w:ind w:right="-1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247" w:type="dxa"/>
            <w:shd w:val="clear" w:color="auto" w:fill="auto"/>
            <w:vAlign w:val="center"/>
          </w:tcPr>
          <w:p w14:paraId="23CD202C">
            <w:pPr>
              <w:wordWrap w:val="0"/>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2366" w:type="dxa"/>
            <w:shd w:val="clear" w:color="auto" w:fill="auto"/>
            <w:vAlign w:val="center"/>
          </w:tcPr>
          <w:p w14:paraId="0F58065D">
            <w:pPr>
              <w:wordWrap w:val="0"/>
              <w:spacing w:after="50" w:line="360" w:lineRule="auto"/>
              <w:ind w:right="-10"/>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bl>
    <w:p w14:paraId="6A7B094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D1F7DB4">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C2609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22"/>
        <w:gridCol w:w="3462"/>
        <w:gridCol w:w="3318"/>
      </w:tblGrid>
      <w:tr w14:paraId="1120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13" w:type="dxa"/>
            <w:gridSpan w:val="4"/>
            <w:tcBorders>
              <w:bottom w:val="single" w:color="auto" w:sz="4" w:space="0"/>
            </w:tcBorders>
            <w:vAlign w:val="center"/>
          </w:tcPr>
          <w:p w14:paraId="2A476CA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5B5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1" w:type="dxa"/>
            <w:tcBorders>
              <w:bottom w:val="single" w:color="auto" w:sz="4" w:space="0"/>
            </w:tcBorders>
            <w:vAlign w:val="center"/>
          </w:tcPr>
          <w:p w14:paraId="21CB677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522" w:type="dxa"/>
            <w:tcBorders>
              <w:bottom w:val="single" w:color="auto" w:sz="4" w:space="0"/>
            </w:tcBorders>
            <w:vAlign w:val="center"/>
          </w:tcPr>
          <w:p w14:paraId="134DAB0F">
            <w:pPr>
              <w:pStyle w:val="49"/>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3462" w:type="dxa"/>
            <w:tcBorders>
              <w:bottom w:val="single" w:color="auto" w:sz="4" w:space="0"/>
            </w:tcBorders>
            <w:vAlign w:val="center"/>
          </w:tcPr>
          <w:p w14:paraId="25A81BF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3318" w:type="dxa"/>
            <w:tcBorders>
              <w:bottom w:val="single" w:color="auto" w:sz="4" w:space="0"/>
            </w:tcBorders>
            <w:vAlign w:val="center"/>
          </w:tcPr>
          <w:p w14:paraId="3D45B17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23C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CBFB86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22" w:type="dxa"/>
            <w:vAlign w:val="center"/>
          </w:tcPr>
          <w:p w14:paraId="621207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462" w:type="dxa"/>
            <w:vAlign w:val="center"/>
          </w:tcPr>
          <w:p w14:paraId="68BB9EF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3318" w:type="dxa"/>
            <w:vAlign w:val="center"/>
          </w:tcPr>
          <w:p w14:paraId="00CDCCF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050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E2F9B9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22" w:type="dxa"/>
            <w:vAlign w:val="center"/>
          </w:tcPr>
          <w:p w14:paraId="2370B80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462" w:type="dxa"/>
            <w:vAlign w:val="center"/>
          </w:tcPr>
          <w:p w14:paraId="365021D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3318" w:type="dxa"/>
            <w:vAlign w:val="center"/>
          </w:tcPr>
          <w:p w14:paraId="3B2FB57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6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3890BF0">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522" w:type="dxa"/>
            <w:vAlign w:val="center"/>
          </w:tcPr>
          <w:p w14:paraId="0B9BB8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462" w:type="dxa"/>
            <w:vAlign w:val="center"/>
          </w:tcPr>
          <w:p w14:paraId="7010362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3318" w:type="dxa"/>
            <w:vAlign w:val="center"/>
          </w:tcPr>
          <w:p w14:paraId="38FB3D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6422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77800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22" w:type="dxa"/>
            <w:vAlign w:val="center"/>
          </w:tcPr>
          <w:p w14:paraId="51B3ED6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462" w:type="dxa"/>
            <w:vAlign w:val="center"/>
          </w:tcPr>
          <w:p w14:paraId="7EA7194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3318" w:type="dxa"/>
            <w:vAlign w:val="center"/>
          </w:tcPr>
          <w:p w14:paraId="6B818D9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8FA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C42917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522" w:type="dxa"/>
            <w:vAlign w:val="center"/>
          </w:tcPr>
          <w:p w14:paraId="40D38B0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62" w:type="dxa"/>
            <w:vAlign w:val="center"/>
          </w:tcPr>
          <w:p w14:paraId="0E8A3F2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3318" w:type="dxa"/>
            <w:vAlign w:val="center"/>
          </w:tcPr>
          <w:p w14:paraId="68A47A7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46F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E1D33C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522" w:type="dxa"/>
            <w:vAlign w:val="center"/>
          </w:tcPr>
          <w:p w14:paraId="1157480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62" w:type="dxa"/>
            <w:vAlign w:val="center"/>
          </w:tcPr>
          <w:p w14:paraId="5C7246D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3318" w:type="dxa"/>
            <w:vAlign w:val="center"/>
          </w:tcPr>
          <w:p w14:paraId="2714CFA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3C0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B98C78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522" w:type="dxa"/>
            <w:vAlign w:val="center"/>
          </w:tcPr>
          <w:p w14:paraId="1F2C231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62" w:type="dxa"/>
            <w:vAlign w:val="center"/>
          </w:tcPr>
          <w:p w14:paraId="7B4A41E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3318" w:type="dxa"/>
            <w:vAlign w:val="center"/>
          </w:tcPr>
          <w:p w14:paraId="6ACE347F">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646D0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5B0382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2.3异常低价投标审查</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390"/>
        <w:gridCol w:w="4207"/>
        <w:gridCol w:w="2140"/>
      </w:tblGrid>
      <w:tr w14:paraId="4D2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3" w:type="dxa"/>
            <w:gridSpan w:val="4"/>
            <w:tcBorders>
              <w:bottom w:val="single" w:color="auto" w:sz="4" w:space="0"/>
            </w:tcBorders>
            <w:vAlign w:val="center"/>
          </w:tcPr>
          <w:p w14:paraId="446761F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s="Times New Roman"/>
                <w:b/>
                <w:bCs/>
                <w:color w:val="auto"/>
                <w:sz w:val="24"/>
                <w:highlight w:val="none"/>
              </w:rPr>
              <w:t>异常低价投标审查表</w:t>
            </w:r>
          </w:p>
        </w:tc>
      </w:tr>
      <w:tr w14:paraId="4E3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55867E15">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序号</w:t>
            </w:r>
          </w:p>
        </w:tc>
        <w:tc>
          <w:tcPr>
            <w:tcW w:w="1450" w:type="dxa"/>
            <w:tcBorders>
              <w:bottom w:val="single" w:color="auto" w:sz="4" w:space="0"/>
            </w:tcBorders>
            <w:vAlign w:val="center"/>
          </w:tcPr>
          <w:p w14:paraId="239FCBB0">
            <w:pPr>
              <w:spacing w:line="360" w:lineRule="auto"/>
              <w:ind w:firstLine="240" w:firstLineChars="100"/>
              <w:jc w:val="center"/>
              <w:rPr>
                <w:rFonts w:ascii="宋体" w:hAnsi="宋体" w:eastAsia="宋体"/>
                <w:color w:val="auto"/>
                <w:szCs w:val="24"/>
                <w:highlight w:val="none"/>
              </w:rPr>
            </w:pPr>
            <w:r>
              <w:rPr>
                <w:rFonts w:hint="eastAsia" w:ascii="宋体" w:hAnsi="宋体" w:eastAsia="宋体" w:cs="Times New Roman"/>
                <w:color w:val="auto"/>
                <w:sz w:val="24"/>
                <w:highlight w:val="none"/>
              </w:rPr>
              <w:t>评审指标</w:t>
            </w:r>
          </w:p>
        </w:tc>
        <w:tc>
          <w:tcPr>
            <w:tcW w:w="4438" w:type="dxa"/>
            <w:tcBorders>
              <w:bottom w:val="single" w:color="auto" w:sz="4" w:space="0"/>
            </w:tcBorders>
            <w:vAlign w:val="center"/>
          </w:tcPr>
          <w:p w14:paraId="4455F388">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rPr>
              <w:t>评审标准</w:t>
            </w:r>
          </w:p>
        </w:tc>
        <w:tc>
          <w:tcPr>
            <w:tcW w:w="2260" w:type="dxa"/>
            <w:tcBorders>
              <w:bottom w:val="single" w:color="auto" w:sz="4" w:space="0"/>
            </w:tcBorders>
            <w:vAlign w:val="center"/>
          </w:tcPr>
          <w:p w14:paraId="306C8505">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格式及材料要求</w:t>
            </w:r>
          </w:p>
        </w:tc>
      </w:tr>
      <w:tr w14:paraId="5A84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4F5DA14B">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450" w:type="dxa"/>
            <w:tcBorders>
              <w:bottom w:val="single" w:color="auto" w:sz="4" w:space="0"/>
            </w:tcBorders>
            <w:vAlign w:val="center"/>
          </w:tcPr>
          <w:p w14:paraId="56019655">
            <w:pPr>
              <w:spacing w:line="360" w:lineRule="auto"/>
              <w:rPr>
                <w:rFonts w:ascii="宋体" w:hAnsi="宋体" w:eastAsia="宋体" w:cs="宋体"/>
                <w:color w:val="auto"/>
                <w:sz w:val="24"/>
                <w:szCs w:val="28"/>
                <w:highlight w:val="none"/>
              </w:rPr>
            </w:pPr>
            <w:r>
              <w:rPr>
                <w:rFonts w:hint="eastAsia" w:ascii="宋体" w:hAnsi="宋体" w:eastAsia="宋体" w:cs="宋体"/>
                <w:color w:val="auto"/>
                <w:sz w:val="24"/>
                <w:highlight w:val="none"/>
              </w:rPr>
              <w:t>异常低价投标审查</w:t>
            </w:r>
          </w:p>
        </w:tc>
        <w:tc>
          <w:tcPr>
            <w:tcW w:w="4438" w:type="dxa"/>
            <w:tcBorders>
              <w:bottom w:val="single" w:color="auto" w:sz="4" w:space="0"/>
            </w:tcBorders>
            <w:vAlign w:val="center"/>
          </w:tcPr>
          <w:p w14:paraId="15F11DC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（1）投标报价＜全部通过符合性审查投标人投标报价平均值×</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14:paraId="5E1078D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（2）投标报价＜通过符合性审查的次低报价投标人投标报价×</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14:paraId="38F9B61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（3）投标报价＜采购项目最高限价（</w:t>
            </w:r>
            <w:r>
              <w:rPr>
                <w:rFonts w:hint="eastAsia" w:ascii="宋体" w:hAnsi="宋体" w:eastAsia="宋体" w:cs="宋体"/>
                <w:color w:val="auto"/>
                <w:sz w:val="24"/>
                <w:highlight w:val="none"/>
              </w:rPr>
              <w:t>如采购项目未设定最高限价的，以采购项目预算金额作为最高限价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45%</w:t>
            </w:r>
            <w:r>
              <w:rPr>
                <w:rFonts w:hint="eastAsia" w:ascii="宋体" w:hAnsi="宋体" w:eastAsia="宋体" w:cs="宋体"/>
                <w:color w:val="auto"/>
                <w:sz w:val="24"/>
                <w:szCs w:val="24"/>
                <w:highlight w:val="none"/>
              </w:rPr>
              <w:t>；</w:t>
            </w:r>
          </w:p>
          <w:p w14:paraId="5ECC4BBA">
            <w:pPr>
              <w:pStyle w:val="1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（4）评标委员会基于专业判断，认为投标人报价过低，有可能影响产品质量或者不能诚信履约的其他情形。</w:t>
            </w:r>
          </w:p>
          <w:p w14:paraId="5E820C90">
            <w:pPr>
              <w:pStyle w:val="1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提醒：</w:t>
            </w:r>
          </w:p>
          <w:p w14:paraId="3E28E307">
            <w:pPr>
              <w:pStyle w:val="10"/>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上述</w:t>
            </w:r>
            <w:r>
              <w:rPr>
                <w:rFonts w:hint="eastAsia" w:ascii="宋体" w:hAnsi="宋体" w:eastAsia="宋体"/>
                <w:color w:val="auto"/>
                <w:sz w:val="24"/>
                <w:highlight w:val="none"/>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419A60E7">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2404A9AF">
      <w:pPr>
        <w:spacing w:line="360" w:lineRule="auto"/>
        <w:rPr>
          <w:rFonts w:ascii="宋体" w:hAnsi="宋体" w:eastAsia="宋体" w:cs="Arial"/>
          <w:color w:val="auto"/>
          <w:sz w:val="24"/>
          <w:highlight w:val="none"/>
        </w:rPr>
      </w:pPr>
      <w:r>
        <w:rPr>
          <w:rFonts w:hint="eastAsia" w:ascii="宋体" w:hAnsi="宋体" w:eastAsia="宋体" w:cs="Times New Roman"/>
          <w:color w:val="auto"/>
          <w:sz w:val="24"/>
          <w:highlight w:val="none"/>
        </w:rPr>
        <w:t>注：</w:t>
      </w:r>
    </w:p>
    <w:p w14:paraId="61EE58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根据《关于推进解决政府采购异常低价问题的通知》（财库〔</w:t>
      </w:r>
      <w:r>
        <w:rPr>
          <w:rFonts w:ascii="宋体" w:hAnsi="宋体" w:eastAsia="宋体"/>
          <w:color w:val="auto"/>
          <w:sz w:val="24"/>
          <w:highlight w:val="none"/>
        </w:rPr>
        <w:t>202</w:t>
      </w: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号</w:t>
      </w:r>
      <w:r>
        <w:rPr>
          <w:rFonts w:hint="eastAsia" w:ascii="宋体" w:hAnsi="宋体" w:eastAsia="宋体"/>
          <w:color w:val="auto"/>
          <w:sz w:val="24"/>
          <w:highlight w:val="none"/>
        </w:rPr>
        <w:t>），采购人可以结合具体项目实际情况，提高上述</w:t>
      </w:r>
      <w:r>
        <w:rPr>
          <w:rFonts w:hint="eastAsia" w:ascii="宋体" w:hAnsi="宋体" w:eastAsia="宋体" w:cs="Times New Roman"/>
          <w:color w:val="auto"/>
          <w:sz w:val="24"/>
          <w:highlight w:val="none"/>
        </w:rPr>
        <w:t>评审标准</w:t>
      </w:r>
      <w:r>
        <w:rPr>
          <w:rFonts w:hint="eastAsia" w:ascii="宋体" w:hAnsi="宋体" w:eastAsia="宋体"/>
          <w:color w:val="auto"/>
          <w:sz w:val="24"/>
          <w:highlight w:val="none"/>
        </w:rPr>
        <w:t>第（1）项至第（3）项中的数值标准，但是最高不得超过65%。</w:t>
      </w:r>
    </w:p>
    <w:p w14:paraId="0FB4840D">
      <w:pPr>
        <w:spacing w:line="360" w:lineRule="auto"/>
        <w:ind w:firstLine="480" w:firstLineChars="200"/>
        <w:rPr>
          <w:rFonts w:ascii="宋体" w:hAnsi="宋体" w:eastAsia="宋体" w:cs="Arial"/>
          <w:color w:val="auto"/>
          <w:sz w:val="24"/>
          <w:highlight w:val="none"/>
        </w:rPr>
      </w:pPr>
      <w:r>
        <w:rPr>
          <w:rFonts w:hint="eastAsia" w:ascii="宋体" w:hAnsi="宋体" w:eastAsia="宋体" w:cs="Arial"/>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rPr>
        <w:t>（3）</w:t>
      </w:r>
      <w:r>
        <w:rPr>
          <w:rFonts w:hint="eastAsia" w:ascii="宋体" w:hAnsi="宋体" w:eastAsia="宋体" w:cs="Arial"/>
          <w:color w:val="auto"/>
          <w:sz w:val="24"/>
          <w:highlight w:val="none"/>
        </w:rPr>
        <w:t>项情形，投标人已随投标文件一并提交相关书面说明及必要的证明材料的，在评审现场可不再重复提交。</w:t>
      </w:r>
    </w:p>
    <w:p w14:paraId="1B3AA956">
      <w:pPr>
        <w:pStyle w:val="1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47F0E14">
      <w:pPr>
        <w:pStyle w:val="1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094BD3D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2.4详细审查</w:t>
      </w:r>
    </w:p>
    <w:p w14:paraId="3D0A5F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r>
        <w:rPr>
          <w:rFonts w:hint="eastAsia" w:ascii="宋体" w:hAnsi="宋体" w:eastAsia="宋体" w:cs="宋体"/>
          <w:b/>
          <w:bCs/>
          <w:color w:val="auto"/>
          <w:sz w:val="24"/>
          <w:szCs w:val="24"/>
          <w:highlight w:val="none"/>
        </w:rPr>
        <w:t>本项目三个包的评分细则相同。</w:t>
      </w:r>
    </w:p>
    <w:p w14:paraId="5200A7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30</w:t>
      </w:r>
      <w:r>
        <w:rPr>
          <w:rFonts w:asciiTheme="minorEastAsia" w:hAnsiTheme="minorEastAsia" w:eastAsiaTheme="minorEastAsia"/>
          <w:color w:val="auto"/>
          <w:sz w:val="24"/>
          <w:highlight w:val="none"/>
        </w:rPr>
        <w:t>%。具体评分细则如下：</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43"/>
        <w:gridCol w:w="5164"/>
        <w:gridCol w:w="1066"/>
      </w:tblGrid>
      <w:tr w14:paraId="2070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7E34F551">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1221" w:type="dxa"/>
            <w:tcBorders>
              <w:top w:val="single" w:color="auto" w:sz="4" w:space="0"/>
              <w:left w:val="single" w:color="auto" w:sz="4" w:space="0"/>
              <w:bottom w:val="single" w:color="auto" w:sz="4" w:space="0"/>
              <w:right w:val="single" w:color="auto" w:sz="4" w:space="0"/>
            </w:tcBorders>
            <w:vAlign w:val="center"/>
          </w:tcPr>
          <w:p w14:paraId="50B4266D">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6321" w:type="dxa"/>
            <w:tcBorders>
              <w:top w:val="single" w:color="auto" w:sz="4" w:space="0"/>
              <w:left w:val="single" w:color="auto" w:sz="4" w:space="0"/>
              <w:bottom w:val="single" w:color="auto" w:sz="4" w:space="0"/>
              <w:right w:val="single" w:color="auto" w:sz="4" w:space="0"/>
            </w:tcBorders>
            <w:vAlign w:val="center"/>
          </w:tcPr>
          <w:p w14:paraId="2A330322">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1189" w:type="dxa"/>
            <w:tcBorders>
              <w:top w:val="single" w:color="auto" w:sz="4" w:space="0"/>
              <w:left w:val="single" w:color="auto" w:sz="4" w:space="0"/>
              <w:bottom w:val="single" w:color="auto" w:sz="4" w:space="0"/>
              <w:right w:val="single" w:color="auto" w:sz="4" w:space="0"/>
            </w:tcBorders>
            <w:vAlign w:val="center"/>
          </w:tcPr>
          <w:p w14:paraId="020BF989">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14:paraId="727D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tcBorders>
              <w:top w:val="single" w:color="auto" w:sz="4" w:space="0"/>
              <w:left w:val="single" w:color="auto" w:sz="4" w:space="0"/>
              <w:right w:val="single" w:color="auto" w:sz="4" w:space="0"/>
            </w:tcBorders>
            <w:vAlign w:val="center"/>
          </w:tcPr>
          <w:p w14:paraId="1D237E3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技术资信分</w:t>
            </w:r>
          </w:p>
          <w:p w14:paraId="75AD4E2E">
            <w:pPr>
              <w:spacing w:line="500" w:lineRule="exact"/>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70</w:t>
            </w:r>
            <w:r>
              <w:rPr>
                <w:rFonts w:hint="eastAsia" w:ascii="宋体" w:hAnsi="宋体" w:eastAsia="宋体" w:cs="宋体"/>
                <w:color w:val="auto"/>
                <w:szCs w:val="21"/>
                <w:highlight w:val="none"/>
              </w:rPr>
              <w:t>分）</w:t>
            </w:r>
          </w:p>
        </w:tc>
        <w:tc>
          <w:tcPr>
            <w:tcW w:w="1221" w:type="dxa"/>
            <w:tcBorders>
              <w:top w:val="single" w:color="auto" w:sz="4" w:space="0"/>
              <w:left w:val="single" w:color="auto" w:sz="4" w:space="0"/>
              <w:bottom w:val="single" w:color="auto" w:sz="4" w:space="0"/>
              <w:right w:val="single" w:color="auto" w:sz="4" w:space="0"/>
            </w:tcBorders>
            <w:vAlign w:val="center"/>
          </w:tcPr>
          <w:p w14:paraId="149D2AE2">
            <w:p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投标人业绩</w:t>
            </w:r>
          </w:p>
        </w:tc>
        <w:tc>
          <w:tcPr>
            <w:tcW w:w="6321" w:type="dxa"/>
            <w:tcBorders>
              <w:top w:val="single" w:color="auto" w:sz="4" w:space="0"/>
              <w:left w:val="single" w:color="auto" w:sz="4" w:space="0"/>
              <w:bottom w:val="single" w:color="auto" w:sz="4" w:space="0"/>
              <w:right w:val="single" w:color="auto" w:sz="4" w:space="0"/>
            </w:tcBorders>
            <w:vAlign w:val="center"/>
          </w:tcPr>
          <w:p w14:paraId="6C82D06E">
            <w:pPr>
              <w:spacing w:line="500" w:lineRule="exac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年1月1 日至投标截止时间(以合同签订时间为准)， 投标人提供一个图书馆非教材类图书供货业绩的，得2分，本项满分2分。</w:t>
            </w:r>
          </w:p>
          <w:p w14:paraId="7182EBDE">
            <w:pPr>
              <w:spacing w:line="500" w:lineRule="exact"/>
              <w:jc w:val="left"/>
              <w:rPr>
                <w:rFonts w:ascii="宋体" w:hAnsi="宋体" w:eastAsia="宋体" w:cs="宋体"/>
                <w:bCs/>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val="zh-CN"/>
              </w:rPr>
              <w:t>投标文件中提供合同扫描件，如上述材料无法体现供货内容、合同签订时间等评审内容的，须另附采购单位出具的证明材料。</w:t>
            </w:r>
          </w:p>
        </w:tc>
        <w:tc>
          <w:tcPr>
            <w:tcW w:w="1189" w:type="dxa"/>
            <w:tcBorders>
              <w:top w:val="single" w:color="auto" w:sz="4" w:space="0"/>
              <w:left w:val="single" w:color="auto" w:sz="4" w:space="0"/>
              <w:bottom w:val="single" w:color="auto" w:sz="4" w:space="0"/>
              <w:right w:val="single" w:color="auto" w:sz="4" w:space="0"/>
            </w:tcBorders>
            <w:vAlign w:val="center"/>
          </w:tcPr>
          <w:p w14:paraId="469F90AB">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0-2分</w:t>
            </w:r>
          </w:p>
        </w:tc>
      </w:tr>
      <w:tr w14:paraId="3842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606320E6">
            <w:pPr>
              <w:spacing w:line="500" w:lineRule="exact"/>
              <w:jc w:val="center"/>
              <w:rPr>
                <w:rFonts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5F1F4FD">
            <w:pPr>
              <w:spacing w:line="50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lang w:val="zh-CN"/>
              </w:rPr>
              <w:t>供应商荣誉</w:t>
            </w:r>
          </w:p>
        </w:tc>
        <w:tc>
          <w:tcPr>
            <w:tcW w:w="6321" w:type="dxa"/>
            <w:tcBorders>
              <w:top w:val="single" w:color="auto" w:sz="4" w:space="0"/>
              <w:left w:val="single" w:color="auto" w:sz="4" w:space="0"/>
              <w:bottom w:val="single" w:color="auto" w:sz="4" w:space="0"/>
              <w:right w:val="single" w:color="auto" w:sz="4" w:space="0"/>
            </w:tcBorders>
            <w:vAlign w:val="center"/>
          </w:tcPr>
          <w:p w14:paraId="3E507B28">
            <w:pPr>
              <w:spacing w:line="500" w:lineRule="exac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年1月1日至投标截止时间（以证书或公示时间为准），具有“图书馆报”权威机构颁发的“全国优秀馆配商”荣誉的得2分。</w:t>
            </w:r>
          </w:p>
          <w:p w14:paraId="309180ED">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注：提供获奖证书、批复、颁奖单位颁奖文件、网上公示截图（具有其中之一即可）等材料原件扫描件。</w:t>
            </w:r>
          </w:p>
        </w:tc>
        <w:tc>
          <w:tcPr>
            <w:tcW w:w="1189" w:type="dxa"/>
            <w:tcBorders>
              <w:top w:val="single" w:color="auto" w:sz="4" w:space="0"/>
              <w:left w:val="single" w:color="auto" w:sz="4" w:space="0"/>
              <w:bottom w:val="single" w:color="auto" w:sz="4" w:space="0"/>
              <w:right w:val="single" w:color="auto" w:sz="4" w:space="0"/>
            </w:tcBorders>
            <w:vAlign w:val="center"/>
          </w:tcPr>
          <w:p w14:paraId="590BE44E">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0-2分</w:t>
            </w:r>
          </w:p>
        </w:tc>
      </w:tr>
      <w:tr w14:paraId="753C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66712704">
            <w:pPr>
              <w:spacing w:line="500" w:lineRule="exact"/>
              <w:jc w:val="center"/>
              <w:rPr>
                <w:rFonts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2B79201">
            <w:pPr>
              <w:spacing w:line="5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出版社合作关系</w:t>
            </w:r>
          </w:p>
        </w:tc>
        <w:tc>
          <w:tcPr>
            <w:tcW w:w="6321" w:type="dxa"/>
            <w:tcBorders>
              <w:top w:val="single" w:color="auto" w:sz="4" w:space="0"/>
              <w:left w:val="single" w:color="auto" w:sz="4" w:space="0"/>
              <w:bottom w:val="single" w:color="auto" w:sz="4" w:space="0"/>
              <w:right w:val="single" w:color="auto" w:sz="4" w:space="0"/>
            </w:tcBorders>
            <w:vAlign w:val="center"/>
          </w:tcPr>
          <w:p w14:paraId="5768E33D">
            <w:pPr>
              <w:spacing w:line="500" w:lineRule="exac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投标人提供与招标文件采购需求中要求的“核心出版社”签订的有效期内的有效合同（或合作协议</w:t>
            </w:r>
            <w:r>
              <w:rPr>
                <w:rFonts w:hint="eastAsia" w:ascii="宋体" w:hAnsi="宋体" w:eastAsia="宋体" w:cs="宋体"/>
                <w:color w:val="auto"/>
                <w:szCs w:val="21"/>
                <w:highlight w:val="none"/>
              </w:rPr>
              <w:t>或出版社提供的授权书或发行代理证书</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并同时提供</w:t>
            </w:r>
            <w:r>
              <w:rPr>
                <w:rFonts w:hint="eastAsia" w:ascii="宋体" w:hAnsi="宋体" w:eastAsia="宋体" w:cs="宋体"/>
                <w:color w:val="auto"/>
                <w:szCs w:val="21"/>
                <w:highlight w:val="none"/>
                <w:lang w:val="zh-CN"/>
              </w:rPr>
              <w:t>与出版社的结算发票（须为2023-2025年期间的国家正规发票），每提供一个</w:t>
            </w:r>
            <w:r>
              <w:rPr>
                <w:rFonts w:hint="eastAsia" w:ascii="宋体" w:hAnsi="宋体" w:eastAsia="宋体" w:cs="宋体"/>
                <w:color w:val="auto"/>
                <w:szCs w:val="21"/>
                <w:highlight w:val="none"/>
              </w:rPr>
              <w:t>出版社</w:t>
            </w:r>
            <w:r>
              <w:rPr>
                <w:rFonts w:hint="eastAsia" w:ascii="宋体" w:hAnsi="宋体" w:eastAsia="宋体" w:cs="宋体"/>
                <w:color w:val="auto"/>
                <w:szCs w:val="21"/>
                <w:highlight w:val="none"/>
                <w:lang w:val="zh-CN"/>
              </w:rPr>
              <w:t>得0.5分，满分25分。</w:t>
            </w:r>
          </w:p>
          <w:p w14:paraId="6DE281D0">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注：1.上述出版社如有更名，以最新名称为准； </w:t>
            </w:r>
          </w:p>
          <w:p w14:paraId="259AF390">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2.投标人与“核心出版社”的合同（或合作协议</w:t>
            </w:r>
            <w:r>
              <w:rPr>
                <w:rFonts w:hint="eastAsia" w:ascii="宋体" w:hAnsi="宋体" w:eastAsia="宋体" w:cs="宋体"/>
                <w:color w:val="auto"/>
                <w:szCs w:val="21"/>
                <w:highlight w:val="none"/>
              </w:rPr>
              <w:t>或出版社提供的授权书或发行代理证书</w:t>
            </w:r>
            <w:r>
              <w:rPr>
                <w:rFonts w:hint="eastAsia" w:ascii="宋体" w:hAnsi="宋体" w:eastAsia="宋体" w:cs="宋体"/>
                <w:b/>
                <w:bCs/>
                <w:color w:val="auto"/>
                <w:szCs w:val="21"/>
                <w:highlight w:val="none"/>
              </w:rPr>
              <w:t>）须能体现供货折扣、合作出版社联系人以及联系电话等信息，如合同（或合作协议）无法体现上述信息的，须同时提供合同出版社方出具的含有以上信息的证明材料（加盖出版社公章）。</w:t>
            </w:r>
          </w:p>
          <w:p w14:paraId="447E9D79">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3.为便于评审，请各投标人在制作投标文件时， 建议按出版社名单中所列出版社顺序提供证明材料。</w:t>
            </w:r>
          </w:p>
        </w:tc>
        <w:tc>
          <w:tcPr>
            <w:tcW w:w="1189" w:type="dxa"/>
            <w:tcBorders>
              <w:top w:val="single" w:color="auto" w:sz="4" w:space="0"/>
              <w:left w:val="single" w:color="auto" w:sz="4" w:space="0"/>
              <w:bottom w:val="single" w:color="auto" w:sz="4" w:space="0"/>
              <w:right w:val="single" w:color="auto" w:sz="4" w:space="0"/>
            </w:tcBorders>
            <w:vAlign w:val="center"/>
          </w:tcPr>
          <w:p w14:paraId="486C13B5">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0-25分</w:t>
            </w:r>
          </w:p>
        </w:tc>
      </w:tr>
      <w:tr w14:paraId="512F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3B1F3D4A">
            <w:pPr>
              <w:spacing w:line="500" w:lineRule="exact"/>
              <w:jc w:val="center"/>
              <w:rPr>
                <w:rFonts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CF9B7AC">
            <w:pPr>
              <w:spacing w:line="5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项目人员实力</w:t>
            </w:r>
          </w:p>
        </w:tc>
        <w:tc>
          <w:tcPr>
            <w:tcW w:w="6321" w:type="dxa"/>
            <w:tcBorders>
              <w:top w:val="single" w:color="auto" w:sz="4" w:space="0"/>
              <w:left w:val="single" w:color="auto" w:sz="4" w:space="0"/>
              <w:bottom w:val="single" w:color="auto" w:sz="4" w:space="0"/>
              <w:right w:val="single" w:color="auto" w:sz="4" w:space="0"/>
            </w:tcBorders>
            <w:vAlign w:val="center"/>
          </w:tcPr>
          <w:p w14:paraId="13083840">
            <w:pPr>
              <w:pStyle w:val="47"/>
              <w:tabs>
                <w:tab w:val="left" w:pos="1800"/>
                <w:tab w:val="left" w:pos="2340"/>
                <w:tab w:val="left" w:pos="2700"/>
              </w:tabs>
              <w:adjustRightInd w:val="0"/>
              <w:snapToGrid w:val="0"/>
              <w:spacing w:before="0" w:beforeAutospacing="0" w:after="0" w:afterAutospacing="0" w:line="500" w:lineRule="exact"/>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1.投标人为本项目配备中文图书编目上岗证书或中文编目员资格证书的，每提供一个2分，满分6分。                                             </w:t>
            </w:r>
          </w:p>
          <w:p w14:paraId="3D629EFB">
            <w:pPr>
              <w:pStyle w:val="47"/>
              <w:tabs>
                <w:tab w:val="left" w:pos="1800"/>
                <w:tab w:val="left" w:pos="2340"/>
                <w:tab w:val="left" w:pos="2700"/>
              </w:tabs>
              <w:adjustRightInd w:val="0"/>
              <w:snapToGrid w:val="0"/>
              <w:spacing w:before="0" w:beforeAutospacing="0" w:after="0" w:afterAutospacing="0" w:line="500" w:lineRule="exact"/>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2.投标人为本项目配备图书编目数据上传资格证书，每提供1个得2分，满分6分。</w:t>
            </w:r>
          </w:p>
          <w:p w14:paraId="0B79D1B6">
            <w:pPr>
              <w:pStyle w:val="47"/>
              <w:tabs>
                <w:tab w:val="left" w:pos="1800"/>
                <w:tab w:val="left" w:pos="2340"/>
                <w:tab w:val="left" w:pos="2700"/>
              </w:tabs>
              <w:adjustRightInd w:val="0"/>
              <w:snapToGrid w:val="0"/>
              <w:spacing w:before="0" w:beforeAutospacing="0" w:after="0" w:afterAutospacing="0" w:line="500" w:lineRule="exact"/>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3.投标人为本项目配备售后服务管理师职业资格证书的，每提供1个得2分，满分4分。</w:t>
            </w:r>
          </w:p>
          <w:p w14:paraId="5B6EF461">
            <w:pPr>
              <w:pStyle w:val="47"/>
              <w:tabs>
                <w:tab w:val="left" w:pos="1800"/>
                <w:tab w:val="left" w:pos="2340"/>
                <w:tab w:val="left" w:pos="2700"/>
              </w:tabs>
              <w:adjustRightInd w:val="0"/>
              <w:snapToGrid w:val="0"/>
              <w:spacing w:before="0" w:beforeAutospacing="0" w:after="0" w:afterAutospacing="0" w:line="400" w:lineRule="exact"/>
              <w:jc w:val="both"/>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注：①所有证书均应在有效期内；</w:t>
            </w:r>
          </w:p>
          <w:p w14:paraId="4AA20F18">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②供应商必须提供到岗承诺书，保证图书到馆加工团队中，至少有一人持有中文图书编目上岗证书或中文编目员资格证书，同时此人为投标书中供应商提供的持证人员之一。同样，在数据上传时，须保证至少一人持图书编目数据上传资格证书到岗，且此人为投标书中供应商提供的持证人员之一。否则人员资质此大项不得分。</w:t>
            </w:r>
          </w:p>
          <w:p w14:paraId="4629EE19">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③第1项和第2项评分细则中人员不得重复，一人多证不重复得分。 </w:t>
            </w:r>
          </w:p>
          <w:p w14:paraId="51A021E1">
            <w:pPr>
              <w:spacing w:line="5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④针对此大项评分细则，投标人须同时提供到岗承诺书（格式自拟）、人员证书扫描件（其中第1项评分细则还须提供全国图书馆联合编目中心证书查询系统（CALIS编目员资格认证证书查验系统/CALIS联合目录编目员资格认证系统）截图）、社保部门出具的本单位为其缴纳的投标前近三个月内任意一个月的养老保险证明（含官网在线打印件，证明文件两个月内有效）或投标人提供已为上述人员缴纳养老保险证明的承诺书（格式自拟）。</w:t>
            </w:r>
          </w:p>
        </w:tc>
        <w:tc>
          <w:tcPr>
            <w:tcW w:w="1189" w:type="dxa"/>
            <w:tcBorders>
              <w:top w:val="single" w:color="auto" w:sz="4" w:space="0"/>
              <w:left w:val="single" w:color="auto" w:sz="4" w:space="0"/>
              <w:bottom w:val="single" w:color="auto" w:sz="4" w:space="0"/>
              <w:right w:val="single" w:color="auto" w:sz="4" w:space="0"/>
            </w:tcBorders>
            <w:vAlign w:val="center"/>
          </w:tcPr>
          <w:p w14:paraId="074084B1">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0-16分</w:t>
            </w:r>
          </w:p>
        </w:tc>
      </w:tr>
      <w:tr w14:paraId="5ADA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18E52983">
            <w:pPr>
              <w:spacing w:line="500" w:lineRule="exact"/>
              <w:ind w:firstLine="435"/>
              <w:jc w:val="center"/>
              <w:rPr>
                <w:rFonts w:ascii="宋体" w:hAnsi="宋体" w:eastAsia="宋体" w:cs="宋体"/>
                <w:b/>
                <w:bCs/>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A7649BA">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投标人实力</w:t>
            </w:r>
          </w:p>
        </w:tc>
        <w:tc>
          <w:tcPr>
            <w:tcW w:w="6321" w:type="dxa"/>
            <w:tcBorders>
              <w:top w:val="single" w:color="auto" w:sz="4" w:space="0"/>
              <w:left w:val="single" w:color="auto" w:sz="4" w:space="0"/>
              <w:bottom w:val="single" w:color="auto" w:sz="4" w:space="0"/>
              <w:right w:val="single" w:color="auto" w:sz="4" w:space="0"/>
            </w:tcBorders>
            <w:vAlign w:val="center"/>
          </w:tcPr>
          <w:p w14:paraId="16F734D2">
            <w:pPr>
              <w:spacing w:line="5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根据投标人的网站建设情况（附网址、网站首页截图、网上订购系统页面截图、手机端app或小程序等）进行打分：</w:t>
            </w:r>
          </w:p>
          <w:p w14:paraId="24B2245F">
            <w:pPr>
              <w:spacing w:line="5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1.投标人网站和手机端订购图书模块功能完善、操作便捷，可供选书、订书操作方便合理，得5分；</w:t>
            </w:r>
          </w:p>
          <w:p w14:paraId="612A204F">
            <w:pPr>
              <w:spacing w:line="5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2.网站和手机端订购图书模块功能基本满足，操作方便，相关模块基本齐全完整，得3分；</w:t>
            </w:r>
          </w:p>
          <w:p w14:paraId="282661B3">
            <w:pPr>
              <w:spacing w:line="5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3.网站和手机端订购图书模块功能简单、操作内容缺少，得1分；</w:t>
            </w:r>
          </w:p>
          <w:p w14:paraId="637ED230">
            <w:pPr>
              <w:spacing w:line="500" w:lineRule="exact"/>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4.未提供不得分。</w:t>
            </w:r>
          </w:p>
        </w:tc>
        <w:tc>
          <w:tcPr>
            <w:tcW w:w="1189" w:type="dxa"/>
            <w:tcBorders>
              <w:top w:val="single" w:color="auto" w:sz="4" w:space="0"/>
              <w:left w:val="single" w:color="auto" w:sz="4" w:space="0"/>
              <w:bottom w:val="single" w:color="auto" w:sz="4" w:space="0"/>
              <w:right w:val="single" w:color="auto" w:sz="4" w:space="0"/>
            </w:tcBorders>
            <w:vAlign w:val="center"/>
          </w:tcPr>
          <w:p w14:paraId="13526431">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4FDF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06243CDE">
            <w:pPr>
              <w:spacing w:line="500" w:lineRule="exact"/>
              <w:ind w:firstLine="435"/>
              <w:jc w:val="center"/>
              <w:rPr>
                <w:rFonts w:ascii="宋体" w:hAnsi="宋体" w:eastAsia="宋体" w:cs="宋体"/>
                <w:b/>
                <w:bCs/>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73FB657">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现采服务方案</w:t>
            </w:r>
          </w:p>
        </w:tc>
        <w:tc>
          <w:tcPr>
            <w:tcW w:w="6321" w:type="dxa"/>
            <w:tcBorders>
              <w:top w:val="single" w:color="auto" w:sz="4" w:space="0"/>
              <w:left w:val="single" w:color="auto" w:sz="4" w:space="0"/>
              <w:bottom w:val="single" w:color="auto" w:sz="4" w:space="0"/>
              <w:right w:val="single" w:color="auto" w:sz="4" w:space="0"/>
            </w:tcBorders>
            <w:vAlign w:val="center"/>
          </w:tcPr>
          <w:p w14:paraId="2242E918">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采购人进行现采服务的方式及组织方案安排，须在采购阶段向采购人提供全国范围内的图书展览、现采等信息供采购人对图书选型，具有图书相关采购信息渠道、采购方式多样、可供采购人采购的选取图书类型多；评标委员会根据投标人的现采保障能力及现采服务方案进行综合评分：</w:t>
            </w:r>
          </w:p>
          <w:p w14:paraId="7BF50E1D">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1.现采保障能力强（包括但不限于场地、设备等），现采服务方案完整、科学合理，可实施性强，充分考虑项目需求设置的，得5分；</w:t>
            </w:r>
          </w:p>
          <w:p w14:paraId="032B6AEC">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2.具有现采保障能力，现采服务方案基本完整、服务方案基本科学合理但有一定的不贴合项目实际，得3分；</w:t>
            </w:r>
          </w:p>
          <w:p w14:paraId="33B180EE">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3.现采保障能力服务方案描述简单，可提供的服务内容少，完整度不足，未针对项目全面考虑，保障能力有待提升的，得1分；</w:t>
            </w:r>
          </w:p>
          <w:p w14:paraId="3BABEFD9">
            <w:pPr>
              <w:spacing w:line="500" w:lineRule="exact"/>
              <w:jc w:val="left"/>
              <w:rPr>
                <w:rFonts w:ascii="宋体" w:hAnsi="宋体" w:eastAsia="宋体" w:cs="宋体"/>
                <w:bCs/>
                <w:color w:val="auto"/>
                <w:szCs w:val="21"/>
                <w:highlight w:val="none"/>
              </w:rPr>
            </w:pPr>
            <w:r>
              <w:rPr>
                <w:rFonts w:hint="eastAsia" w:ascii="宋体" w:hAnsi="宋体" w:eastAsia="宋体" w:cs="宋体"/>
                <w:color w:val="auto"/>
                <w:szCs w:val="21"/>
                <w:highlight w:val="none"/>
              </w:rPr>
              <w:t>4.未提供的不得分。</w:t>
            </w:r>
          </w:p>
        </w:tc>
        <w:tc>
          <w:tcPr>
            <w:tcW w:w="1189" w:type="dxa"/>
            <w:tcBorders>
              <w:top w:val="single" w:color="auto" w:sz="4" w:space="0"/>
              <w:left w:val="single" w:color="auto" w:sz="4" w:space="0"/>
              <w:bottom w:val="single" w:color="auto" w:sz="4" w:space="0"/>
              <w:right w:val="single" w:color="auto" w:sz="4" w:space="0"/>
            </w:tcBorders>
            <w:vAlign w:val="center"/>
          </w:tcPr>
          <w:p w14:paraId="4E1D29F4">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4FD8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456BEE2F">
            <w:pPr>
              <w:spacing w:line="500" w:lineRule="exact"/>
              <w:ind w:firstLine="435"/>
              <w:jc w:val="center"/>
              <w:rPr>
                <w:rFonts w:ascii="宋体" w:hAnsi="宋体" w:eastAsia="宋体" w:cs="宋体"/>
                <w:b/>
                <w:bCs/>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9D4F13">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售后服务方案</w:t>
            </w:r>
          </w:p>
        </w:tc>
        <w:tc>
          <w:tcPr>
            <w:tcW w:w="6321" w:type="dxa"/>
            <w:tcBorders>
              <w:top w:val="single" w:color="auto" w:sz="4" w:space="0"/>
              <w:left w:val="single" w:color="auto" w:sz="4" w:space="0"/>
              <w:bottom w:val="single" w:color="auto" w:sz="4" w:space="0"/>
              <w:right w:val="single" w:color="auto" w:sz="4" w:space="0"/>
            </w:tcBorders>
            <w:vAlign w:val="center"/>
          </w:tcPr>
          <w:p w14:paraId="25EF691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在售后服务方案及保障方面：根据投标供应商提供售后服务方案、服务人员专业性和服务机构等情况，以及服务承诺的可行性、完整性以及服务方案的保障措施，对各有效投标人进行综合评价</w:t>
            </w:r>
          </w:p>
          <w:p w14:paraId="6CA055E0">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1.售后服务方案内容完善，售后服务措施得当，具有完善的物流送货能力，完全能够满足采购人实际需求，得5分；</w:t>
            </w:r>
          </w:p>
          <w:p w14:paraId="5E0B522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2.售后服务方案内容完整，售后服务措施完整，具有物流送货能力，基本能够满足采购人实际需求，得3分；</w:t>
            </w:r>
          </w:p>
          <w:p w14:paraId="735AC195">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3.售后服务方案内容简单空洞，售后服务措施、物流送货能力有待提升，得1分；</w:t>
            </w:r>
          </w:p>
          <w:p w14:paraId="7BC16C28">
            <w:pPr>
              <w:spacing w:line="500" w:lineRule="exact"/>
              <w:jc w:val="left"/>
              <w:rPr>
                <w:rFonts w:ascii="宋体" w:hAnsi="宋体" w:eastAsia="宋体" w:cs="宋体"/>
                <w:bCs/>
                <w:color w:val="auto"/>
                <w:szCs w:val="21"/>
                <w:highlight w:val="none"/>
              </w:rPr>
            </w:pPr>
            <w:r>
              <w:rPr>
                <w:rFonts w:hint="eastAsia" w:ascii="宋体" w:hAnsi="宋体" w:eastAsia="宋体" w:cs="宋体"/>
                <w:color w:val="auto"/>
                <w:szCs w:val="21"/>
                <w:highlight w:val="none"/>
              </w:rPr>
              <w:t>4.未提供的不得分。</w:t>
            </w:r>
          </w:p>
        </w:tc>
        <w:tc>
          <w:tcPr>
            <w:tcW w:w="1189" w:type="dxa"/>
            <w:tcBorders>
              <w:top w:val="single" w:color="auto" w:sz="4" w:space="0"/>
              <w:left w:val="single" w:color="auto" w:sz="4" w:space="0"/>
              <w:bottom w:val="single" w:color="auto" w:sz="4" w:space="0"/>
              <w:right w:val="single" w:color="auto" w:sz="4" w:space="0"/>
            </w:tcBorders>
            <w:vAlign w:val="center"/>
          </w:tcPr>
          <w:p w14:paraId="465F44A0">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3147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3F8BEFEC">
            <w:pPr>
              <w:spacing w:line="500" w:lineRule="exact"/>
              <w:ind w:firstLine="435"/>
              <w:jc w:val="center"/>
              <w:rPr>
                <w:rFonts w:ascii="宋体" w:hAnsi="宋体" w:eastAsia="宋体" w:cs="宋体"/>
                <w:b/>
                <w:bCs/>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68005ED">
            <w:p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增值服务</w:t>
            </w:r>
          </w:p>
        </w:tc>
        <w:tc>
          <w:tcPr>
            <w:tcW w:w="6321" w:type="dxa"/>
            <w:tcBorders>
              <w:top w:val="single" w:color="auto" w:sz="4" w:space="0"/>
              <w:left w:val="single" w:color="auto" w:sz="4" w:space="0"/>
              <w:bottom w:val="single" w:color="auto" w:sz="4" w:space="0"/>
              <w:right w:val="single" w:color="auto" w:sz="4" w:space="0"/>
            </w:tcBorders>
            <w:vAlign w:val="center"/>
          </w:tcPr>
          <w:p w14:paraId="28704318">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投标人提供其他增值、特色服务（如在服务的高校举办专题讲座、阅读推广活动等）的，由评委会根据投标人所能提供的增值、特色服务的实用性和价值进行综合评分： </w:t>
            </w:r>
          </w:p>
          <w:p w14:paraId="75CABC11">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1.对此项理解充分准确，满足或优于采购需求，提供方案完整详细， 可行性、实用性、针对性强，得5分； </w:t>
            </w:r>
          </w:p>
          <w:p w14:paraId="7D9DDBE5">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2.对此项理解基本准确，适合采购需求，提供方案完整详细，具有可行性、实用性、针对性，得3分； </w:t>
            </w:r>
          </w:p>
          <w:p w14:paraId="2C09ECFC">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3.提供方案比较简单，有待进一步完善的，得1分； </w:t>
            </w:r>
          </w:p>
          <w:p w14:paraId="13D53EB7">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4.未提供任的不得分。</w:t>
            </w:r>
          </w:p>
        </w:tc>
        <w:tc>
          <w:tcPr>
            <w:tcW w:w="1189" w:type="dxa"/>
            <w:tcBorders>
              <w:top w:val="single" w:color="auto" w:sz="4" w:space="0"/>
              <w:left w:val="single" w:color="auto" w:sz="4" w:space="0"/>
              <w:bottom w:val="single" w:color="auto" w:sz="4" w:space="0"/>
              <w:right w:val="single" w:color="auto" w:sz="4" w:space="0"/>
            </w:tcBorders>
            <w:vAlign w:val="center"/>
          </w:tcPr>
          <w:p w14:paraId="76D3AAAC">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6DE4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tcBorders>
              <w:left w:val="single" w:color="auto" w:sz="4" w:space="0"/>
              <w:right w:val="single" w:color="auto" w:sz="4" w:space="0"/>
            </w:tcBorders>
            <w:vAlign w:val="center"/>
          </w:tcPr>
          <w:p w14:paraId="21A6CA6D">
            <w:pPr>
              <w:spacing w:line="500" w:lineRule="exact"/>
              <w:ind w:firstLine="435"/>
              <w:jc w:val="center"/>
              <w:rPr>
                <w:rFonts w:ascii="宋体" w:hAnsi="宋体" w:eastAsia="宋体" w:cs="宋体"/>
                <w:b/>
                <w:bCs/>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6B07E08">
            <w:pPr>
              <w:spacing w:line="5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供货能力</w:t>
            </w:r>
          </w:p>
        </w:tc>
        <w:tc>
          <w:tcPr>
            <w:tcW w:w="6321" w:type="dxa"/>
            <w:tcBorders>
              <w:top w:val="single" w:color="auto" w:sz="4" w:space="0"/>
              <w:left w:val="single" w:color="auto" w:sz="4" w:space="0"/>
              <w:bottom w:val="single" w:color="auto" w:sz="4" w:space="0"/>
              <w:right w:val="single" w:color="auto" w:sz="4" w:space="0"/>
            </w:tcBorders>
            <w:vAlign w:val="center"/>
          </w:tcPr>
          <w:p w14:paraId="0BDFC8DC">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根据投标人提供的图书来源渠道和图书品种的说明，根据投标人以往经验以及现有合作出版社等能力，体现针对本项目的供货能力及供货方案安排，由评委会综合评分：</w:t>
            </w:r>
          </w:p>
          <w:p w14:paraId="23294C22">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1.方案内容完善，采用措施得当，能体现出图书来源渠道广，图书品种丰富，完全能够满足采购人实际需求，能够通过方案体现有充分的供货能力，得5分；</w:t>
            </w:r>
          </w:p>
          <w:p w14:paraId="025A6E46">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2.方案内容、供货措施完整，能体现出有一定的图书来源渠道，图书品种充足，基本能够满足采购人实际需求，得3分；</w:t>
            </w:r>
          </w:p>
          <w:p w14:paraId="62453690">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3.方案不完善且内容空洞，供货措施有待提升，能体现出图书来源渠道窄，品种不够丰富，方案未体现出针对本项目的供货要求分析，得1分。</w:t>
            </w:r>
          </w:p>
          <w:p w14:paraId="144B28EE">
            <w:pPr>
              <w:spacing w:line="5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4.未提供的不得分。</w:t>
            </w:r>
          </w:p>
        </w:tc>
        <w:tc>
          <w:tcPr>
            <w:tcW w:w="1189" w:type="dxa"/>
            <w:tcBorders>
              <w:top w:val="single" w:color="auto" w:sz="4" w:space="0"/>
              <w:left w:val="single" w:color="auto" w:sz="4" w:space="0"/>
              <w:bottom w:val="single" w:color="auto" w:sz="4" w:space="0"/>
              <w:right w:val="single" w:color="auto" w:sz="4" w:space="0"/>
            </w:tcBorders>
            <w:vAlign w:val="center"/>
          </w:tcPr>
          <w:p w14:paraId="226DEB2F">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0-5分</w:t>
            </w:r>
          </w:p>
        </w:tc>
      </w:tr>
      <w:tr w14:paraId="340A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tcBorders>
              <w:left w:val="single" w:color="auto" w:sz="4" w:space="0"/>
              <w:right w:val="single" w:color="auto" w:sz="4" w:space="0"/>
            </w:tcBorders>
            <w:vAlign w:val="center"/>
          </w:tcPr>
          <w:p w14:paraId="66313AA8">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价格分</w:t>
            </w:r>
          </w:p>
          <w:p w14:paraId="09A4278F">
            <w:pPr>
              <w:spacing w:line="500" w:lineRule="exact"/>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w:t>
            </w:r>
          </w:p>
        </w:tc>
        <w:tc>
          <w:tcPr>
            <w:tcW w:w="8731" w:type="dxa"/>
            <w:gridSpan w:val="3"/>
            <w:tcBorders>
              <w:top w:val="single" w:color="auto" w:sz="4" w:space="0"/>
              <w:left w:val="single" w:color="auto" w:sz="4" w:space="0"/>
              <w:bottom w:val="single" w:color="auto" w:sz="4" w:space="0"/>
              <w:right w:val="single" w:color="auto" w:sz="4" w:space="0"/>
            </w:tcBorders>
            <w:vAlign w:val="center"/>
          </w:tcPr>
          <w:p w14:paraId="798E5B55">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分。其他投标人的价格分统一按照下列公式</w:t>
            </w:r>
            <w:bookmarkStart w:id="294" w:name="_GoBack"/>
            <w:bookmarkEnd w:id="294"/>
            <w:r>
              <w:rPr>
                <w:rFonts w:hint="eastAsia" w:ascii="宋体" w:hAnsi="宋体" w:eastAsia="宋体" w:cs="宋体"/>
                <w:color w:val="auto"/>
                <w:szCs w:val="21"/>
                <w:highlight w:val="none"/>
              </w:rPr>
              <w:t>计算：</w:t>
            </w:r>
          </w:p>
          <w:p w14:paraId="6552C988">
            <w:pPr>
              <w:spacing w:line="500" w:lineRule="exact"/>
              <w:rPr>
                <w:rFonts w:ascii="宋体" w:hAnsi="宋体" w:eastAsia="宋体" w:cs="宋体"/>
                <w:b/>
                <w:bCs/>
                <w:color w:val="auto"/>
                <w:szCs w:val="21"/>
                <w:highlight w:val="none"/>
              </w:rPr>
            </w:pPr>
            <w:r>
              <w:rPr>
                <w:rFonts w:hint="eastAsia" w:ascii="宋体" w:hAnsi="宋体" w:eastAsia="宋体" w:cs="宋体"/>
                <w:color w:val="auto"/>
                <w:szCs w:val="21"/>
                <w:highlight w:val="none"/>
              </w:rPr>
              <w:t>投标报价得分＝（评标基准价/投标报价）×</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％×100</w:t>
            </w:r>
          </w:p>
        </w:tc>
      </w:tr>
    </w:tbl>
    <w:p w14:paraId="0BD619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AE63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01914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D3444FE">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三、无效投标条款</w:t>
      </w:r>
    </w:p>
    <w:p w14:paraId="0947C3F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21352E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1054FD6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78B309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21D2E8B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33369D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5149171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szCs w:val="24"/>
          <w:highlight w:val="none"/>
          <w:lang w:bidi="ar"/>
        </w:rPr>
        <w:t>与采购人存在利害关系可能影响采购公正性的法人、其他组织或者个人；</w:t>
      </w:r>
    </w:p>
    <w:p w14:paraId="7C0736F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(4)招标公告写明专门面向中小企业采购，投标人提供的货物非中小企业制造的；</w:t>
      </w:r>
    </w:p>
    <w:p w14:paraId="3BD3FC9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(5)要求供应商以联合体形式参加采购活动，投标人非联合体或者联合协议中中小企业合同金额未达到应当达到的比例；</w:t>
      </w:r>
    </w:p>
    <w:p w14:paraId="4E8D1CE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(6)要求获得采购合同的供应商向中小企业分包，投标人未提供分包意向协议或者分包意向协议中中小企业合同金额未达到应当达到的比例；</w:t>
      </w:r>
    </w:p>
    <w:p w14:paraId="169B3FD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(7)评标专家无法查看并检验电子投标文件中相关资料的；</w:t>
      </w:r>
    </w:p>
    <w:p w14:paraId="5CECADC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(8)联合体投标未提交联合体协议的；</w:t>
      </w:r>
    </w:p>
    <w:p w14:paraId="7ED2F47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(9)责令停产停业的；</w:t>
      </w:r>
    </w:p>
    <w:p w14:paraId="7DF894C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(10)暂停或者取消参与政府采购项目资格的；</w:t>
      </w:r>
    </w:p>
    <w:p w14:paraId="446F73C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(11)投标人单位负责人为同一人或者存在直接控股、管理关系的不同单位的；</w:t>
      </w:r>
    </w:p>
    <w:p w14:paraId="02B94DA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(12)投标人基本资格条件和特定资格条件中有一项及以上不符合要求的；</w:t>
      </w:r>
    </w:p>
    <w:p w14:paraId="19E571B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2473B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(14)其它情形，经评标委员会委提出按无效投标处理，并经公共资源交易监督部门核准的；</w:t>
      </w:r>
    </w:p>
    <w:p w14:paraId="51B87CE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(15)投标人投标MAC地址一致，由评标委员会否决其投标；</w:t>
      </w:r>
    </w:p>
    <w:p w14:paraId="2D9BCF4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(16)投标人单方面出现其他投标人材料的；</w:t>
      </w:r>
    </w:p>
    <w:p w14:paraId="4D6AD2B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(17)投标人联系人或联系电话相同的，由评标委员会否决其投标，并报告监管部门作不良行为处理和进一步调查；</w:t>
      </w:r>
    </w:p>
    <w:p w14:paraId="1621C79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(18)招标公告未写明允许采购进口产品，投标人所投产品为进口产品的；</w:t>
      </w:r>
    </w:p>
    <w:p w14:paraId="28F2A5E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(19)招标文件规定的其它无效投标情形。</w:t>
      </w:r>
    </w:p>
    <w:p w14:paraId="7FD4462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0D94CDF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20AF522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00F07E7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252F4C5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229105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3086CE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3EAC2E2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6E73216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51D4B05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677D469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4C09813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23AF18F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0F5C6FA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68332F0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(4)拒不确认评标委员会评审修正的投标无效；</w:t>
      </w:r>
    </w:p>
    <w:p w14:paraId="0EA1157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(5)其它情形，经评标委员会委提出按无效投标处理，并经公共资源交易监督部门核准的；</w:t>
      </w:r>
    </w:p>
    <w:p w14:paraId="54C02C0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(6)招标文件规定的其它无效投标情形。</w:t>
      </w:r>
      <w:r>
        <w:rPr>
          <w:rFonts w:asciiTheme="minorEastAsia" w:hAnsiTheme="minorEastAsia" w:eastAsiaTheme="minorEastAsia"/>
          <w:color w:val="auto"/>
          <w:sz w:val="24"/>
          <w:highlight w:val="none"/>
        </w:rPr>
        <w:br w:type="page"/>
      </w:r>
    </w:p>
    <w:p w14:paraId="6B64CC52">
      <w:pPr>
        <w:spacing w:line="360" w:lineRule="auto"/>
        <w:jc w:val="center"/>
        <w:outlineLvl w:val="0"/>
        <w:rPr>
          <w:rFonts w:asciiTheme="minorEastAsia" w:hAnsiTheme="minorEastAsia" w:eastAsiaTheme="minorEastAsia"/>
          <w:b/>
          <w:color w:val="auto"/>
          <w:sz w:val="28"/>
          <w:highlight w:val="none"/>
        </w:rPr>
      </w:pPr>
      <w:bookmarkStart w:id="45"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5"/>
    </w:p>
    <w:p w14:paraId="14FF5B34">
      <w:pPr>
        <w:pStyle w:val="11"/>
        <w:spacing w:after="0" w:line="360" w:lineRule="auto"/>
        <w:rPr>
          <w:rFonts w:ascii="宋体" w:hAnsi="宋体" w:eastAsia="宋体" w:cs="宋体"/>
          <w:b/>
          <w:bCs/>
          <w:color w:val="auto"/>
          <w:spacing w:val="-20"/>
          <w:kern w:val="44"/>
          <w:sz w:val="24"/>
          <w:highlight w:val="none"/>
        </w:rPr>
      </w:pPr>
    </w:p>
    <w:p w14:paraId="235AA5A5">
      <w:pPr>
        <w:pStyle w:val="11"/>
        <w:spacing w:after="0" w:line="360" w:lineRule="auto"/>
        <w:jc w:val="center"/>
        <w:rPr>
          <w:rFonts w:ascii="宋体" w:hAnsi="宋体" w:eastAsia="宋体" w:cs="宋体"/>
          <w:b/>
          <w:bCs/>
          <w:color w:val="auto"/>
          <w:spacing w:val="-20"/>
          <w:kern w:val="44"/>
          <w:sz w:val="24"/>
          <w:highlight w:val="none"/>
        </w:rPr>
      </w:pPr>
    </w:p>
    <w:p w14:paraId="679176EB">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528BF641">
      <w:pPr>
        <w:spacing w:line="480" w:lineRule="auto"/>
        <w:jc w:val="center"/>
        <w:rPr>
          <w:rFonts w:ascii="宋体" w:hAnsi="宋体" w:eastAsia="宋体" w:cs="Times New Roman"/>
          <w:b/>
          <w:color w:val="auto"/>
          <w:sz w:val="24"/>
          <w:szCs w:val="24"/>
          <w:highlight w:val="none"/>
        </w:rPr>
      </w:pPr>
    </w:p>
    <w:p w14:paraId="5E72F022">
      <w:pPr>
        <w:spacing w:line="480" w:lineRule="auto"/>
        <w:jc w:val="center"/>
        <w:rPr>
          <w:rFonts w:ascii="宋体" w:hAnsi="宋体" w:eastAsia="宋体" w:cs="Times New Roman"/>
          <w:b/>
          <w:color w:val="auto"/>
          <w:sz w:val="24"/>
          <w:szCs w:val="24"/>
          <w:highlight w:val="none"/>
        </w:rPr>
      </w:pPr>
    </w:p>
    <w:p w14:paraId="7A731DFE">
      <w:pPr>
        <w:spacing w:line="480" w:lineRule="auto"/>
        <w:jc w:val="center"/>
        <w:rPr>
          <w:rFonts w:ascii="宋体" w:hAnsi="宋体" w:eastAsia="宋体" w:cs="Times New Roman"/>
          <w:b/>
          <w:color w:val="auto"/>
          <w:sz w:val="24"/>
          <w:szCs w:val="24"/>
          <w:highlight w:val="none"/>
        </w:rPr>
      </w:pPr>
    </w:p>
    <w:p w14:paraId="2D528AB7">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rPr>
        <w:t>滁州学院                   采购项目</w:t>
      </w:r>
    </w:p>
    <w:p w14:paraId="52A0689E">
      <w:pPr>
        <w:spacing w:before="120" w:line="480" w:lineRule="auto"/>
        <w:ind w:left="96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某编号</w:t>
      </w:r>
    </w:p>
    <w:p w14:paraId="6EDA62F1">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p>
    <w:p w14:paraId="4B12A6D2">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25969617">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1D08B4FE">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7214366F">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0C792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滁州学院</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s="Times New Roman"/>
          <w:i/>
          <w:iCs/>
          <w:color w:val="auto"/>
          <w:sz w:val="24"/>
          <w:szCs w:val="24"/>
          <w:highlight w:val="none"/>
          <w:u w:val="single"/>
        </w:rPr>
        <w:t>（中标人名称）</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1F29955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95329D6">
      <w:pPr>
        <w:spacing w:line="360" w:lineRule="auto"/>
        <w:ind w:firstLine="437"/>
        <w:outlineLvl w:val="2"/>
        <w:rPr>
          <w:rFonts w:ascii="宋体" w:hAnsi="宋体" w:eastAsia="宋体" w:cs="Times New Roman"/>
          <w:b/>
          <w:bCs/>
          <w:color w:val="auto"/>
          <w:sz w:val="24"/>
          <w:szCs w:val="24"/>
          <w:highlight w:val="none"/>
          <w:lang w:val="zh-CN"/>
        </w:rPr>
      </w:pPr>
      <w:bookmarkStart w:id="46" w:name="_Toc2232"/>
      <w:bookmarkStart w:id="47" w:name="_Toc3029"/>
      <w:bookmarkStart w:id="48"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46"/>
      <w:bookmarkEnd w:id="47"/>
      <w:bookmarkEnd w:id="48"/>
    </w:p>
    <w:p w14:paraId="2678BA8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0999BD4">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1FFBB702">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6A89AE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5D4B405C">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2AF0E09A">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75E54790">
      <w:pPr>
        <w:spacing w:line="360" w:lineRule="auto"/>
        <w:ind w:firstLine="437"/>
        <w:outlineLvl w:val="2"/>
        <w:rPr>
          <w:rFonts w:ascii="宋体" w:hAnsi="宋体" w:eastAsia="宋体" w:cs="Times New Roman"/>
          <w:b/>
          <w:bCs/>
          <w:color w:val="auto"/>
          <w:sz w:val="24"/>
          <w:szCs w:val="24"/>
          <w:highlight w:val="none"/>
          <w:lang w:val="zh-CN"/>
        </w:rPr>
      </w:pPr>
      <w:bookmarkStart w:id="49" w:name="_Toc27126"/>
      <w:bookmarkStart w:id="50" w:name="_Toc21295"/>
      <w:bookmarkStart w:id="51" w:name="_Toc24300"/>
      <w:r>
        <w:rPr>
          <w:rFonts w:hint="eastAsia" w:ascii="宋体" w:hAnsi="宋体" w:eastAsia="宋体" w:cs="Times New Roman"/>
          <w:b/>
          <w:bCs/>
          <w:color w:val="auto"/>
          <w:sz w:val="24"/>
          <w:szCs w:val="24"/>
          <w:highlight w:val="none"/>
          <w:lang w:val="zh-CN"/>
        </w:rPr>
        <w:t>1.2</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货物</w:t>
      </w:r>
      <w:bookmarkEnd w:id="49"/>
      <w:bookmarkEnd w:id="50"/>
      <w:bookmarkEnd w:id="5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5732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7F7546C">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序号</w:t>
            </w:r>
          </w:p>
        </w:tc>
        <w:tc>
          <w:tcPr>
            <w:tcW w:w="1515" w:type="dxa"/>
            <w:vAlign w:val="center"/>
          </w:tcPr>
          <w:p w14:paraId="666EAFD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货物名称</w:t>
            </w:r>
          </w:p>
        </w:tc>
        <w:tc>
          <w:tcPr>
            <w:tcW w:w="1515" w:type="dxa"/>
            <w:vAlign w:val="center"/>
          </w:tcPr>
          <w:p w14:paraId="3F5CA7A4">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规格型号</w:t>
            </w:r>
          </w:p>
        </w:tc>
        <w:tc>
          <w:tcPr>
            <w:tcW w:w="1512" w:type="dxa"/>
            <w:vAlign w:val="center"/>
          </w:tcPr>
          <w:p w14:paraId="609824EE">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单位</w:t>
            </w:r>
          </w:p>
        </w:tc>
        <w:tc>
          <w:tcPr>
            <w:tcW w:w="1512" w:type="dxa"/>
            <w:vAlign w:val="center"/>
          </w:tcPr>
          <w:p w14:paraId="47CD9CF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数量</w:t>
            </w:r>
          </w:p>
        </w:tc>
        <w:tc>
          <w:tcPr>
            <w:tcW w:w="1508" w:type="dxa"/>
            <w:vAlign w:val="center"/>
          </w:tcPr>
          <w:p w14:paraId="360ACBA1">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生产厂商</w:t>
            </w:r>
          </w:p>
        </w:tc>
      </w:tr>
      <w:tr w14:paraId="578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1FC9AD">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1515" w:type="dxa"/>
            <w:vAlign w:val="center"/>
          </w:tcPr>
          <w:p w14:paraId="7A88C970">
            <w:pPr>
              <w:jc w:val="center"/>
              <w:rPr>
                <w:rFonts w:ascii="宋体" w:hAnsi="宋体" w:eastAsia="宋体" w:cs="Times New Roman"/>
                <w:color w:val="auto"/>
                <w:sz w:val="24"/>
                <w:szCs w:val="24"/>
                <w:highlight w:val="none"/>
                <w:lang w:val="zh-CN"/>
              </w:rPr>
            </w:pPr>
          </w:p>
        </w:tc>
        <w:tc>
          <w:tcPr>
            <w:tcW w:w="1515" w:type="dxa"/>
            <w:vAlign w:val="center"/>
          </w:tcPr>
          <w:p w14:paraId="6CA4B47D">
            <w:pPr>
              <w:jc w:val="center"/>
              <w:rPr>
                <w:rFonts w:ascii="宋体" w:hAnsi="宋体" w:eastAsia="宋体" w:cs="Times New Roman"/>
                <w:color w:val="auto"/>
                <w:sz w:val="24"/>
                <w:szCs w:val="24"/>
                <w:highlight w:val="none"/>
                <w:lang w:val="zh-CN"/>
              </w:rPr>
            </w:pPr>
          </w:p>
        </w:tc>
        <w:tc>
          <w:tcPr>
            <w:tcW w:w="1512" w:type="dxa"/>
            <w:vAlign w:val="center"/>
          </w:tcPr>
          <w:p w14:paraId="05AD0158">
            <w:pPr>
              <w:jc w:val="center"/>
              <w:rPr>
                <w:rFonts w:ascii="宋体" w:hAnsi="宋体" w:eastAsia="宋体" w:cs="Times New Roman"/>
                <w:color w:val="auto"/>
                <w:sz w:val="24"/>
                <w:szCs w:val="24"/>
                <w:highlight w:val="none"/>
                <w:lang w:val="zh-CN"/>
              </w:rPr>
            </w:pPr>
          </w:p>
        </w:tc>
        <w:tc>
          <w:tcPr>
            <w:tcW w:w="1512" w:type="dxa"/>
            <w:vAlign w:val="center"/>
          </w:tcPr>
          <w:p w14:paraId="59195007">
            <w:pPr>
              <w:jc w:val="center"/>
              <w:rPr>
                <w:rFonts w:ascii="宋体" w:hAnsi="宋体" w:eastAsia="宋体" w:cs="Times New Roman"/>
                <w:color w:val="auto"/>
                <w:sz w:val="24"/>
                <w:szCs w:val="24"/>
                <w:highlight w:val="none"/>
                <w:lang w:val="zh-CN"/>
              </w:rPr>
            </w:pPr>
          </w:p>
        </w:tc>
        <w:tc>
          <w:tcPr>
            <w:tcW w:w="1508" w:type="dxa"/>
            <w:vAlign w:val="center"/>
          </w:tcPr>
          <w:p w14:paraId="3B200C30">
            <w:pPr>
              <w:jc w:val="center"/>
              <w:rPr>
                <w:rFonts w:ascii="宋体" w:hAnsi="宋体" w:eastAsia="宋体" w:cs="Times New Roman"/>
                <w:color w:val="auto"/>
                <w:sz w:val="24"/>
                <w:szCs w:val="24"/>
                <w:highlight w:val="none"/>
                <w:lang w:val="zh-CN"/>
              </w:rPr>
            </w:pPr>
          </w:p>
        </w:tc>
      </w:tr>
      <w:tr w14:paraId="2FE0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1FBB800">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1515" w:type="dxa"/>
            <w:vAlign w:val="center"/>
          </w:tcPr>
          <w:p w14:paraId="60CEC684">
            <w:pPr>
              <w:jc w:val="center"/>
              <w:rPr>
                <w:rFonts w:ascii="宋体" w:hAnsi="宋体" w:eastAsia="宋体" w:cs="Times New Roman"/>
                <w:color w:val="auto"/>
                <w:sz w:val="24"/>
                <w:szCs w:val="24"/>
                <w:highlight w:val="none"/>
                <w:lang w:val="zh-CN"/>
              </w:rPr>
            </w:pPr>
          </w:p>
        </w:tc>
        <w:tc>
          <w:tcPr>
            <w:tcW w:w="1515" w:type="dxa"/>
            <w:vAlign w:val="center"/>
          </w:tcPr>
          <w:p w14:paraId="77A2B328">
            <w:pPr>
              <w:jc w:val="center"/>
              <w:rPr>
                <w:rFonts w:ascii="宋体" w:hAnsi="宋体" w:eastAsia="宋体" w:cs="Times New Roman"/>
                <w:color w:val="auto"/>
                <w:sz w:val="24"/>
                <w:szCs w:val="24"/>
                <w:highlight w:val="none"/>
                <w:lang w:val="zh-CN"/>
              </w:rPr>
            </w:pPr>
          </w:p>
        </w:tc>
        <w:tc>
          <w:tcPr>
            <w:tcW w:w="1512" w:type="dxa"/>
            <w:vAlign w:val="center"/>
          </w:tcPr>
          <w:p w14:paraId="37BFF361">
            <w:pPr>
              <w:jc w:val="center"/>
              <w:rPr>
                <w:rFonts w:ascii="宋体" w:hAnsi="宋体" w:eastAsia="宋体" w:cs="Times New Roman"/>
                <w:color w:val="auto"/>
                <w:sz w:val="24"/>
                <w:szCs w:val="24"/>
                <w:highlight w:val="none"/>
                <w:lang w:val="zh-CN"/>
              </w:rPr>
            </w:pPr>
          </w:p>
        </w:tc>
        <w:tc>
          <w:tcPr>
            <w:tcW w:w="1512" w:type="dxa"/>
            <w:vAlign w:val="center"/>
          </w:tcPr>
          <w:p w14:paraId="59E88ECD">
            <w:pPr>
              <w:jc w:val="center"/>
              <w:rPr>
                <w:rFonts w:ascii="宋体" w:hAnsi="宋体" w:eastAsia="宋体" w:cs="Times New Roman"/>
                <w:color w:val="auto"/>
                <w:sz w:val="24"/>
                <w:szCs w:val="24"/>
                <w:highlight w:val="none"/>
                <w:lang w:val="zh-CN"/>
              </w:rPr>
            </w:pPr>
          </w:p>
        </w:tc>
        <w:tc>
          <w:tcPr>
            <w:tcW w:w="1508" w:type="dxa"/>
            <w:vAlign w:val="center"/>
          </w:tcPr>
          <w:p w14:paraId="49BB4203">
            <w:pPr>
              <w:jc w:val="center"/>
              <w:rPr>
                <w:rFonts w:ascii="宋体" w:hAnsi="宋体" w:eastAsia="宋体" w:cs="Times New Roman"/>
                <w:color w:val="auto"/>
                <w:sz w:val="24"/>
                <w:szCs w:val="24"/>
                <w:highlight w:val="none"/>
                <w:lang w:val="zh-CN"/>
              </w:rPr>
            </w:pPr>
          </w:p>
        </w:tc>
      </w:tr>
      <w:tr w14:paraId="0F0A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A92242F">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1515" w:type="dxa"/>
            <w:vAlign w:val="center"/>
          </w:tcPr>
          <w:p w14:paraId="6382FAB6">
            <w:pPr>
              <w:jc w:val="center"/>
              <w:rPr>
                <w:rFonts w:ascii="宋体" w:hAnsi="宋体" w:eastAsia="宋体" w:cs="Times New Roman"/>
                <w:color w:val="auto"/>
                <w:sz w:val="24"/>
                <w:szCs w:val="24"/>
                <w:highlight w:val="none"/>
                <w:lang w:val="zh-CN"/>
              </w:rPr>
            </w:pPr>
          </w:p>
        </w:tc>
        <w:tc>
          <w:tcPr>
            <w:tcW w:w="1515" w:type="dxa"/>
            <w:vAlign w:val="center"/>
          </w:tcPr>
          <w:p w14:paraId="32D8F794">
            <w:pPr>
              <w:jc w:val="center"/>
              <w:rPr>
                <w:rFonts w:ascii="宋体" w:hAnsi="宋体" w:eastAsia="宋体" w:cs="Times New Roman"/>
                <w:color w:val="auto"/>
                <w:sz w:val="24"/>
                <w:szCs w:val="24"/>
                <w:highlight w:val="none"/>
                <w:lang w:val="zh-CN"/>
              </w:rPr>
            </w:pPr>
          </w:p>
        </w:tc>
        <w:tc>
          <w:tcPr>
            <w:tcW w:w="1512" w:type="dxa"/>
            <w:vAlign w:val="center"/>
          </w:tcPr>
          <w:p w14:paraId="489EABFA">
            <w:pPr>
              <w:jc w:val="center"/>
              <w:rPr>
                <w:rFonts w:ascii="宋体" w:hAnsi="宋体" w:eastAsia="宋体" w:cs="Times New Roman"/>
                <w:color w:val="auto"/>
                <w:sz w:val="24"/>
                <w:szCs w:val="24"/>
                <w:highlight w:val="none"/>
                <w:lang w:val="zh-CN"/>
              </w:rPr>
            </w:pPr>
          </w:p>
        </w:tc>
        <w:tc>
          <w:tcPr>
            <w:tcW w:w="1512" w:type="dxa"/>
            <w:vAlign w:val="center"/>
          </w:tcPr>
          <w:p w14:paraId="0A386D0A">
            <w:pPr>
              <w:jc w:val="center"/>
              <w:rPr>
                <w:rFonts w:ascii="宋体" w:hAnsi="宋体" w:eastAsia="宋体" w:cs="Times New Roman"/>
                <w:color w:val="auto"/>
                <w:sz w:val="24"/>
                <w:szCs w:val="24"/>
                <w:highlight w:val="none"/>
                <w:lang w:val="zh-CN"/>
              </w:rPr>
            </w:pPr>
          </w:p>
        </w:tc>
        <w:tc>
          <w:tcPr>
            <w:tcW w:w="1508" w:type="dxa"/>
            <w:vAlign w:val="center"/>
          </w:tcPr>
          <w:p w14:paraId="31BBDC98">
            <w:pPr>
              <w:jc w:val="center"/>
              <w:rPr>
                <w:rFonts w:ascii="宋体" w:hAnsi="宋体" w:eastAsia="宋体" w:cs="Times New Roman"/>
                <w:color w:val="auto"/>
                <w:sz w:val="24"/>
                <w:szCs w:val="24"/>
                <w:highlight w:val="none"/>
                <w:lang w:val="zh-CN"/>
              </w:rPr>
            </w:pPr>
          </w:p>
        </w:tc>
      </w:tr>
      <w:tr w14:paraId="72EF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15F7ACE">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1515" w:type="dxa"/>
            <w:vAlign w:val="center"/>
          </w:tcPr>
          <w:p w14:paraId="66F704C1">
            <w:pPr>
              <w:jc w:val="center"/>
              <w:rPr>
                <w:rFonts w:ascii="宋体" w:hAnsi="宋体" w:eastAsia="宋体" w:cs="Times New Roman"/>
                <w:color w:val="auto"/>
                <w:sz w:val="24"/>
                <w:szCs w:val="24"/>
                <w:highlight w:val="none"/>
                <w:lang w:val="zh-CN"/>
              </w:rPr>
            </w:pPr>
          </w:p>
        </w:tc>
        <w:tc>
          <w:tcPr>
            <w:tcW w:w="1515" w:type="dxa"/>
            <w:vAlign w:val="center"/>
          </w:tcPr>
          <w:p w14:paraId="2D7E4ABD">
            <w:pPr>
              <w:jc w:val="center"/>
              <w:rPr>
                <w:rFonts w:ascii="宋体" w:hAnsi="宋体" w:eastAsia="宋体" w:cs="Times New Roman"/>
                <w:color w:val="auto"/>
                <w:sz w:val="24"/>
                <w:szCs w:val="24"/>
                <w:highlight w:val="none"/>
                <w:lang w:val="zh-CN"/>
              </w:rPr>
            </w:pPr>
          </w:p>
        </w:tc>
        <w:tc>
          <w:tcPr>
            <w:tcW w:w="1512" w:type="dxa"/>
            <w:vAlign w:val="center"/>
          </w:tcPr>
          <w:p w14:paraId="6105FA57">
            <w:pPr>
              <w:jc w:val="center"/>
              <w:rPr>
                <w:rFonts w:ascii="宋体" w:hAnsi="宋体" w:eastAsia="宋体" w:cs="Times New Roman"/>
                <w:color w:val="auto"/>
                <w:sz w:val="24"/>
                <w:szCs w:val="24"/>
                <w:highlight w:val="none"/>
                <w:lang w:val="zh-CN"/>
              </w:rPr>
            </w:pPr>
          </w:p>
        </w:tc>
        <w:tc>
          <w:tcPr>
            <w:tcW w:w="1512" w:type="dxa"/>
            <w:vAlign w:val="center"/>
          </w:tcPr>
          <w:p w14:paraId="3D61D8F6">
            <w:pPr>
              <w:jc w:val="center"/>
              <w:rPr>
                <w:rFonts w:ascii="宋体" w:hAnsi="宋体" w:eastAsia="宋体" w:cs="Times New Roman"/>
                <w:color w:val="auto"/>
                <w:sz w:val="24"/>
                <w:szCs w:val="24"/>
                <w:highlight w:val="none"/>
                <w:lang w:val="zh-CN"/>
              </w:rPr>
            </w:pPr>
          </w:p>
        </w:tc>
        <w:tc>
          <w:tcPr>
            <w:tcW w:w="1508" w:type="dxa"/>
            <w:vAlign w:val="center"/>
          </w:tcPr>
          <w:p w14:paraId="6DCD2AC8">
            <w:pPr>
              <w:jc w:val="center"/>
              <w:rPr>
                <w:rFonts w:ascii="宋体" w:hAnsi="宋体" w:eastAsia="宋体" w:cs="Times New Roman"/>
                <w:color w:val="auto"/>
                <w:sz w:val="24"/>
                <w:szCs w:val="24"/>
                <w:highlight w:val="none"/>
                <w:lang w:val="zh-CN"/>
              </w:rPr>
            </w:pPr>
          </w:p>
        </w:tc>
      </w:tr>
    </w:tbl>
    <w:p w14:paraId="5F195703">
      <w:pPr>
        <w:spacing w:line="360" w:lineRule="auto"/>
        <w:ind w:firstLine="437"/>
        <w:outlineLvl w:val="2"/>
        <w:rPr>
          <w:rFonts w:ascii="宋体" w:hAnsi="宋体" w:eastAsia="宋体" w:cs="Times New Roman"/>
          <w:b/>
          <w:bCs/>
          <w:color w:val="auto"/>
          <w:sz w:val="24"/>
          <w:szCs w:val="24"/>
          <w:highlight w:val="none"/>
          <w:lang w:val="zh-CN"/>
        </w:rPr>
      </w:pPr>
      <w:bookmarkStart w:id="52" w:name="_Toc23292"/>
      <w:bookmarkStart w:id="53" w:name="_Toc21631"/>
      <w:bookmarkStart w:id="54" w:name="_Toc2155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52"/>
      <w:bookmarkEnd w:id="53"/>
      <w:bookmarkEnd w:id="54"/>
    </w:p>
    <w:p w14:paraId="6A2BF39E">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332DD2F6">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669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002E3B0">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序号</w:t>
            </w:r>
          </w:p>
        </w:tc>
        <w:tc>
          <w:tcPr>
            <w:tcW w:w="4316" w:type="dxa"/>
            <w:vAlign w:val="center"/>
          </w:tcPr>
          <w:p w14:paraId="09E592E2">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vAlign w:val="center"/>
          </w:tcPr>
          <w:p w14:paraId="4740A791">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3044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FEBDAB2">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vAlign w:val="center"/>
          </w:tcPr>
          <w:p w14:paraId="7631C803">
            <w:pPr>
              <w:ind w:firstLine="200"/>
              <w:jc w:val="center"/>
              <w:rPr>
                <w:rFonts w:ascii="宋体" w:hAnsi="宋体" w:eastAsia="宋体" w:cs="Times New Roman"/>
                <w:color w:val="auto"/>
                <w:sz w:val="24"/>
                <w:szCs w:val="24"/>
                <w:highlight w:val="none"/>
              </w:rPr>
            </w:pPr>
          </w:p>
        </w:tc>
        <w:tc>
          <w:tcPr>
            <w:tcW w:w="3237" w:type="dxa"/>
            <w:gridSpan w:val="2"/>
            <w:vAlign w:val="center"/>
          </w:tcPr>
          <w:p w14:paraId="6ED303C3">
            <w:pPr>
              <w:ind w:firstLine="200"/>
              <w:jc w:val="center"/>
              <w:rPr>
                <w:rFonts w:ascii="宋体" w:hAnsi="宋体" w:eastAsia="宋体" w:cs="Times New Roman"/>
                <w:color w:val="auto"/>
                <w:sz w:val="24"/>
                <w:szCs w:val="24"/>
                <w:highlight w:val="none"/>
              </w:rPr>
            </w:pPr>
          </w:p>
        </w:tc>
      </w:tr>
      <w:tr w14:paraId="5350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55580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vAlign w:val="center"/>
          </w:tcPr>
          <w:p w14:paraId="531F4628">
            <w:pPr>
              <w:ind w:firstLine="200"/>
              <w:jc w:val="center"/>
              <w:rPr>
                <w:rFonts w:ascii="宋体" w:hAnsi="宋体" w:eastAsia="宋体" w:cs="Times New Roman"/>
                <w:color w:val="auto"/>
                <w:sz w:val="24"/>
                <w:szCs w:val="24"/>
                <w:highlight w:val="none"/>
              </w:rPr>
            </w:pPr>
          </w:p>
        </w:tc>
        <w:tc>
          <w:tcPr>
            <w:tcW w:w="3237" w:type="dxa"/>
            <w:gridSpan w:val="2"/>
            <w:vAlign w:val="center"/>
          </w:tcPr>
          <w:p w14:paraId="71D35428">
            <w:pPr>
              <w:ind w:firstLine="200"/>
              <w:jc w:val="center"/>
              <w:rPr>
                <w:rFonts w:ascii="宋体" w:hAnsi="宋体" w:eastAsia="宋体" w:cs="Times New Roman"/>
                <w:color w:val="auto"/>
                <w:sz w:val="24"/>
                <w:szCs w:val="24"/>
                <w:highlight w:val="none"/>
              </w:rPr>
            </w:pPr>
          </w:p>
        </w:tc>
      </w:tr>
      <w:tr w14:paraId="694C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E280C7F">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4316" w:type="dxa"/>
            <w:vAlign w:val="center"/>
          </w:tcPr>
          <w:p w14:paraId="71743881">
            <w:pPr>
              <w:ind w:firstLine="200"/>
              <w:jc w:val="center"/>
              <w:rPr>
                <w:rFonts w:ascii="宋体" w:hAnsi="宋体" w:eastAsia="宋体" w:cs="Times New Roman"/>
                <w:color w:val="auto"/>
                <w:sz w:val="24"/>
                <w:szCs w:val="24"/>
                <w:highlight w:val="none"/>
              </w:rPr>
            </w:pPr>
          </w:p>
        </w:tc>
        <w:tc>
          <w:tcPr>
            <w:tcW w:w="3237" w:type="dxa"/>
            <w:gridSpan w:val="2"/>
            <w:vAlign w:val="center"/>
          </w:tcPr>
          <w:p w14:paraId="12A89AF0">
            <w:pPr>
              <w:ind w:firstLine="200"/>
              <w:jc w:val="center"/>
              <w:rPr>
                <w:rFonts w:ascii="宋体" w:hAnsi="宋体" w:eastAsia="宋体" w:cs="Times New Roman"/>
                <w:color w:val="auto"/>
                <w:sz w:val="24"/>
                <w:szCs w:val="24"/>
                <w:highlight w:val="none"/>
              </w:rPr>
            </w:pPr>
          </w:p>
        </w:tc>
      </w:tr>
      <w:tr w14:paraId="0B20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A2BC28D">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vAlign w:val="center"/>
          </w:tcPr>
          <w:p w14:paraId="3BD37DC1">
            <w:pPr>
              <w:ind w:firstLine="200"/>
              <w:jc w:val="center"/>
              <w:rPr>
                <w:rFonts w:ascii="宋体" w:hAnsi="宋体" w:eastAsia="宋体" w:cs="Times New Roman"/>
                <w:color w:val="auto"/>
                <w:sz w:val="24"/>
                <w:szCs w:val="24"/>
                <w:highlight w:val="none"/>
              </w:rPr>
            </w:pPr>
          </w:p>
        </w:tc>
        <w:tc>
          <w:tcPr>
            <w:tcW w:w="3237" w:type="dxa"/>
            <w:gridSpan w:val="2"/>
            <w:vAlign w:val="center"/>
          </w:tcPr>
          <w:p w14:paraId="3B8C297C">
            <w:pPr>
              <w:ind w:firstLine="200"/>
              <w:jc w:val="center"/>
              <w:rPr>
                <w:rFonts w:ascii="宋体" w:hAnsi="宋体" w:eastAsia="宋体" w:cs="Times New Roman"/>
                <w:color w:val="auto"/>
                <w:sz w:val="24"/>
                <w:szCs w:val="24"/>
                <w:highlight w:val="none"/>
              </w:rPr>
            </w:pPr>
          </w:p>
        </w:tc>
      </w:tr>
      <w:tr w14:paraId="794D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F875C6E">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vAlign w:val="center"/>
          </w:tcPr>
          <w:p w14:paraId="36F1E791">
            <w:pPr>
              <w:ind w:firstLine="200"/>
              <w:jc w:val="center"/>
              <w:rPr>
                <w:rFonts w:ascii="宋体" w:hAnsi="宋体" w:eastAsia="宋体" w:cs="Times New Roman"/>
                <w:color w:val="auto"/>
                <w:sz w:val="24"/>
                <w:szCs w:val="24"/>
                <w:highlight w:val="none"/>
              </w:rPr>
            </w:pPr>
          </w:p>
        </w:tc>
      </w:tr>
    </w:tbl>
    <w:p w14:paraId="29506899">
      <w:pPr>
        <w:spacing w:line="360" w:lineRule="auto"/>
        <w:ind w:firstLine="437"/>
        <w:outlineLvl w:val="2"/>
        <w:rPr>
          <w:rFonts w:ascii="宋体" w:hAnsi="宋体" w:eastAsia="宋体" w:cs="Times New Roman"/>
          <w:b/>
          <w:bCs/>
          <w:color w:val="auto"/>
          <w:sz w:val="24"/>
          <w:szCs w:val="24"/>
          <w:highlight w:val="none"/>
          <w:lang w:val="zh-CN"/>
        </w:rPr>
      </w:pPr>
      <w:bookmarkStart w:id="55" w:name="_Toc22618"/>
      <w:bookmarkStart w:id="56" w:name="_Toc10340"/>
      <w:bookmarkStart w:id="57" w:name="_Toc181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55"/>
      <w:bookmarkEnd w:id="56"/>
      <w:bookmarkEnd w:id="57"/>
    </w:p>
    <w:p w14:paraId="0CC97CD8">
      <w:pPr>
        <w:spacing w:line="360" w:lineRule="auto"/>
        <w:ind w:firstLine="435"/>
        <w:rPr>
          <w:rFonts w:ascii="宋体" w:hAnsi="宋体" w:eastAsia="宋体" w:cs="Times New Roman"/>
          <w:color w:val="auto"/>
          <w:sz w:val="24"/>
          <w:szCs w:val="24"/>
          <w:highlight w:val="none"/>
          <w:u w:val="single"/>
        </w:rPr>
      </w:pPr>
      <w:bookmarkStart w:id="58" w:name="_Toc2846"/>
      <w:bookmarkStart w:id="59" w:name="_Toc19304"/>
      <w:bookmarkStart w:id="60" w:name="_Toc32071"/>
      <w:bookmarkStart w:id="61" w:name="_Toc19554"/>
      <w:bookmarkStart w:id="62" w:name="_Toc27250"/>
      <w:bookmarkStart w:id="63" w:name="_Toc21423"/>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合同签订生效并具备实施条件后5个工作日内可支付每包合同价（暂定为每标包预算金额）的40%预付款(预付款支付前，中标人须提供同等金额的见索即付预付款保函)，供货完成，经验收合格后一次性付清合同款</w:t>
      </w:r>
      <w:r>
        <w:rPr>
          <w:rFonts w:hint="eastAsia" w:ascii="宋体" w:hAnsi="宋体" w:eastAsia="宋体"/>
          <w:color w:val="auto"/>
          <w:sz w:val="24"/>
          <w:highlight w:val="none"/>
          <w:u w:val="single"/>
        </w:rPr>
        <w:t>（对应包别合同款=对应包别验收合格的到货图书总码洋*对应包别中标价（综合折扣率））</w:t>
      </w:r>
    </w:p>
    <w:p w14:paraId="28C713F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增值税专用发票      </w:t>
      </w:r>
      <w:r>
        <w:rPr>
          <w:rFonts w:hint="eastAsia" w:ascii="宋体" w:hAnsi="宋体" w:eastAsia="宋体" w:cs="Times New Roman"/>
          <w:color w:val="auto"/>
          <w:sz w:val="24"/>
          <w:szCs w:val="24"/>
          <w:highlight w:val="none"/>
        </w:rPr>
        <w:t>。</w:t>
      </w:r>
    </w:p>
    <w:p w14:paraId="78564FC8">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5 货物交付期限</w:t>
      </w:r>
      <w:r>
        <w:rPr>
          <w:rFonts w:hint="eastAsia" w:ascii="宋体" w:hAnsi="宋体" w:eastAsia="宋体" w:cs="Times New Roman"/>
          <w:b/>
          <w:bCs/>
          <w:color w:val="auto"/>
          <w:sz w:val="24"/>
          <w:szCs w:val="24"/>
          <w:highlight w:val="none"/>
          <w:lang w:val="zh-CN"/>
        </w:rPr>
        <w:t>、地点和方式</w:t>
      </w:r>
      <w:bookmarkEnd w:id="58"/>
      <w:bookmarkEnd w:id="59"/>
      <w:bookmarkEnd w:id="60"/>
    </w:p>
    <w:p w14:paraId="223FB66D">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1.5.1交付期限：</w:t>
      </w:r>
      <w:r>
        <w:rPr>
          <w:rFonts w:hint="eastAsia" w:ascii="宋体" w:hAnsi="宋体" w:eastAsia="宋体"/>
          <w:color w:val="auto"/>
          <w:sz w:val="24"/>
          <w:szCs w:val="18"/>
          <w:highlight w:val="none"/>
          <w:u w:val="single"/>
        </w:rPr>
        <w:t>自合同签订后60个日历天内完成全部货物的供货。</w:t>
      </w:r>
      <w:r>
        <w:rPr>
          <w:rFonts w:hint="eastAsia" w:ascii="宋体" w:hAnsi="宋体" w:eastAsia="宋体"/>
          <w:color w:val="auto"/>
          <w:sz w:val="24"/>
          <w:highlight w:val="none"/>
          <w:u w:val="single"/>
        </w:rPr>
        <w:t>。</w:t>
      </w:r>
    </w:p>
    <w:p w14:paraId="014636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1.5.2交付地点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滁州学院校内，采购人指定地点    </w:t>
      </w:r>
      <w:r>
        <w:rPr>
          <w:rFonts w:hint="eastAsia" w:ascii="宋体" w:hAnsi="宋体" w:eastAsia="宋体" w:cs="Times New Roman"/>
          <w:color w:val="auto"/>
          <w:sz w:val="24"/>
          <w:szCs w:val="24"/>
          <w:highlight w:val="none"/>
        </w:rPr>
        <w:t>；</w:t>
      </w:r>
    </w:p>
    <w:p w14:paraId="7DA03B30">
      <w:pPr>
        <w:spacing w:line="360" w:lineRule="auto"/>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1.5.3交付方式：</w:t>
      </w:r>
      <w:r>
        <w:rPr>
          <w:rFonts w:hint="eastAsia" w:ascii="宋体" w:hAnsi="宋体" w:eastAsia="宋体" w:cs="Times New Roman"/>
          <w:color w:val="auto"/>
          <w:sz w:val="24"/>
          <w:szCs w:val="24"/>
          <w:highlight w:val="none"/>
          <w:u w:val="single"/>
        </w:rPr>
        <w:t xml:space="preserve"> 现实交付                        </w:t>
      </w:r>
      <w:r>
        <w:rPr>
          <w:rFonts w:hint="eastAsia" w:ascii="宋体" w:hAnsi="宋体" w:eastAsia="宋体" w:cs="Times New Roman"/>
          <w:color w:val="auto"/>
          <w:sz w:val="24"/>
          <w:szCs w:val="24"/>
          <w:highlight w:val="none"/>
        </w:rPr>
        <w:t>；</w:t>
      </w:r>
    </w:p>
    <w:p w14:paraId="070BA37E">
      <w:pPr>
        <w:spacing w:line="360" w:lineRule="auto"/>
        <w:ind w:firstLine="437"/>
        <w:outlineLvl w:val="2"/>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1.5.4免费质保期：</w:t>
      </w:r>
      <w:r>
        <w:rPr>
          <w:rFonts w:hint="eastAsia" w:ascii="宋体" w:hAnsi="宋体" w:eastAsia="宋体" w:cs="Times New Roman"/>
          <w:color w:val="auto"/>
          <w:sz w:val="24"/>
          <w:szCs w:val="24"/>
          <w:highlight w:val="none"/>
          <w:u w:val="single"/>
        </w:rPr>
        <w:t>验收合格之日起  1  年的免费质保服务。</w:t>
      </w:r>
    </w:p>
    <w:p w14:paraId="648BCBF3">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1.6 违约责任</w:t>
      </w:r>
      <w:bookmarkEnd w:id="61"/>
      <w:bookmarkEnd w:id="62"/>
      <w:bookmarkEnd w:id="63"/>
    </w:p>
    <w:p w14:paraId="621C057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地点和方式交付货物，那么甲方可要求乙方支付违约金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违约金按每迟延交付货物一日的应交付而未交付货物价格的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迟延交付货物的违约金计算数额达到前述最高限额之日起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6809838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5008F8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20717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EAE00A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AF9E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13111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028B19C9">
      <w:pPr>
        <w:spacing w:line="360" w:lineRule="auto"/>
        <w:ind w:firstLine="437"/>
        <w:outlineLvl w:val="2"/>
        <w:rPr>
          <w:rFonts w:ascii="宋体" w:hAnsi="宋体" w:eastAsia="宋体" w:cs="Times New Roman"/>
          <w:b/>
          <w:bCs/>
          <w:color w:val="auto"/>
          <w:sz w:val="24"/>
          <w:szCs w:val="24"/>
          <w:highlight w:val="none"/>
          <w:lang w:val="zh-CN"/>
        </w:rPr>
      </w:pPr>
      <w:bookmarkStart w:id="64" w:name="_Toc15583"/>
      <w:bookmarkStart w:id="65" w:name="_Toc28375"/>
      <w:bookmarkStart w:id="66"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64"/>
      <w:bookmarkEnd w:id="65"/>
      <w:bookmarkEnd w:id="66"/>
    </w:p>
    <w:p w14:paraId="2D68DA9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1.7.2 </w:t>
      </w:r>
      <w:r>
        <w:rPr>
          <w:rFonts w:hint="eastAsia" w:ascii="宋体" w:hAnsi="宋体" w:eastAsia="宋体" w:cs="Times New Roman"/>
          <w:color w:val="auto"/>
          <w:sz w:val="24"/>
          <w:szCs w:val="24"/>
          <w:highlight w:val="none"/>
        </w:rPr>
        <w:t>种方式解决：</w:t>
      </w:r>
    </w:p>
    <w:p w14:paraId="2A975B0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0B8D046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人民法院起诉。</w:t>
      </w:r>
    </w:p>
    <w:p w14:paraId="3BEE8E81">
      <w:pPr>
        <w:spacing w:line="360" w:lineRule="auto"/>
        <w:ind w:firstLine="437"/>
        <w:outlineLvl w:val="2"/>
        <w:rPr>
          <w:rFonts w:ascii="宋体" w:hAnsi="宋体" w:eastAsia="宋体" w:cs="Times New Roman"/>
          <w:b/>
          <w:bCs/>
          <w:color w:val="auto"/>
          <w:sz w:val="24"/>
          <w:szCs w:val="24"/>
          <w:highlight w:val="none"/>
          <w:lang w:val="zh-CN"/>
        </w:rPr>
      </w:pPr>
      <w:bookmarkStart w:id="67" w:name="_Toc11173"/>
      <w:bookmarkStart w:id="68" w:name="_Toc7245"/>
      <w:bookmarkStart w:id="69" w:name="_Toc15322"/>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67"/>
      <w:bookmarkEnd w:id="68"/>
      <w:bookmarkEnd w:id="69"/>
    </w:p>
    <w:p w14:paraId="49DDAF5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89CC3EB">
      <w:pPr>
        <w:autoSpaceDE w:val="0"/>
        <w:autoSpaceDN w:val="0"/>
        <w:adjustRightInd w:val="0"/>
        <w:spacing w:line="560" w:lineRule="exact"/>
        <w:rPr>
          <w:rFonts w:ascii="宋体" w:hAnsi="宋体" w:eastAsia="宋体" w:cs="Times New Roman"/>
          <w:color w:val="auto"/>
          <w:sz w:val="24"/>
          <w:szCs w:val="24"/>
          <w:highlight w:val="none"/>
          <w:lang w:val="zh-CN"/>
        </w:rPr>
      </w:pPr>
    </w:p>
    <w:p w14:paraId="1114FF5E">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D956953">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17F68D7D">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689EC375">
      <w:pPr>
        <w:widowControl/>
        <w:spacing w:line="560" w:lineRule="exact"/>
        <w:jc w:val="left"/>
        <w:rPr>
          <w:rFonts w:ascii="宋体" w:hAnsi="宋体" w:eastAsia="宋体" w:cs="Times New Roman"/>
          <w:bCs/>
          <w:color w:val="auto"/>
          <w:sz w:val="24"/>
          <w:szCs w:val="24"/>
          <w:highlight w:val="none"/>
        </w:rPr>
      </w:pPr>
      <w:bookmarkStart w:id="70"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2DBD518C">
      <w:pPr>
        <w:widowControl/>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52EE2CDE">
      <w:pPr>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163C25A8">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70"/>
    </w:p>
    <w:p w14:paraId="1C7D4BD1">
      <w:pPr>
        <w:spacing w:line="500" w:lineRule="exact"/>
        <w:ind w:firstLine="437"/>
        <w:jc w:val="left"/>
        <w:outlineLvl w:val="2"/>
        <w:rPr>
          <w:rFonts w:ascii="宋体" w:hAnsi="宋体" w:eastAsia="宋体" w:cs="Times New Roman"/>
          <w:b/>
          <w:bCs/>
          <w:color w:val="auto"/>
          <w:sz w:val="24"/>
          <w:szCs w:val="24"/>
          <w:highlight w:val="none"/>
          <w:lang w:val="zh-CN"/>
        </w:rPr>
      </w:pPr>
      <w:bookmarkStart w:id="71" w:name="_Toc487900349"/>
      <w:bookmarkStart w:id="72" w:name="_Ref467379205"/>
      <w:bookmarkStart w:id="73" w:name="_Ref467378404"/>
      <w:bookmarkStart w:id="74" w:name="_Ref467379109"/>
      <w:bookmarkStart w:id="75" w:name="_Toc16917"/>
      <w:bookmarkStart w:id="76" w:name="_Ref467378499"/>
      <w:bookmarkStart w:id="77" w:name="_Toc28763"/>
      <w:bookmarkStart w:id="78" w:name="_Toc19614"/>
      <w:bookmarkStart w:id="79" w:name="_Toc259093669"/>
      <w:bookmarkStart w:id="80" w:name="_Ref467379101"/>
      <w:bookmarkStart w:id="81" w:name="_Ref467379214"/>
      <w:bookmarkStart w:id="82" w:name="_Ref467379225"/>
      <w:bookmarkStart w:id="83" w:name="_Ref467379195"/>
      <w:bookmarkStart w:id="84" w:name="_Toc279701240"/>
      <w:bookmarkStart w:id="85" w:name="_Ref467379094"/>
      <w:bookmarkStart w:id="86" w:name="_Ref4673784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DD243BB">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67D164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17CB93B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77EF37C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1.3“货物”系指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根据合同约定应向采购人交付的一切</w:t>
      </w:r>
      <w:r>
        <w:rPr>
          <w:rFonts w:hint="eastAsia" w:ascii="宋体" w:hAnsi="宋体" w:eastAsia="宋体" w:cs="Times New Roman"/>
          <w:color w:val="auto"/>
          <w:sz w:val="24"/>
          <w:szCs w:val="24"/>
          <w:highlight w:val="none"/>
        </w:rPr>
        <w:t>各种形态和种类的物品，包括原材料、燃料、设备、</w:t>
      </w:r>
      <w:r>
        <w:rPr>
          <w:rFonts w:ascii="宋体" w:hAnsi="宋体" w:eastAsia="宋体" w:cs="Times New Roman"/>
          <w:color w:val="auto"/>
          <w:sz w:val="24"/>
          <w:szCs w:val="24"/>
          <w:highlight w:val="none"/>
        </w:rPr>
        <w:t>机械、仪表、备件</w:t>
      </w:r>
      <w:r>
        <w:rPr>
          <w:rFonts w:hint="eastAsia" w:ascii="宋体" w:hAnsi="宋体" w:eastAsia="宋体" w:cs="Times New Roman"/>
          <w:color w:val="auto"/>
          <w:sz w:val="24"/>
          <w:szCs w:val="24"/>
          <w:highlight w:val="none"/>
        </w:rPr>
        <w:t>、计算机软件、产品等</w:t>
      </w:r>
      <w:r>
        <w:rPr>
          <w:rFonts w:ascii="宋体" w:hAnsi="宋体" w:eastAsia="宋体" w:cs="Times New Roman"/>
          <w:color w:val="auto"/>
          <w:sz w:val="24"/>
          <w:szCs w:val="24"/>
          <w:highlight w:val="none"/>
        </w:rPr>
        <w:t>，并包括工具、手册等其他相关资料。</w:t>
      </w:r>
    </w:p>
    <w:p w14:paraId="2F3C0578">
      <w:pPr>
        <w:spacing w:line="500" w:lineRule="exact"/>
        <w:ind w:firstLine="435"/>
        <w:jc w:val="left"/>
        <w:rPr>
          <w:rFonts w:ascii="宋体" w:hAnsi="宋体" w:eastAsia="宋体" w:cs="Times New Roman"/>
          <w:color w:val="auto"/>
          <w:sz w:val="24"/>
          <w:szCs w:val="24"/>
          <w:highlight w:val="none"/>
        </w:rPr>
      </w:pPr>
      <w:bookmarkStart w:id="87"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87"/>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CAA925A">
      <w:pPr>
        <w:spacing w:line="500" w:lineRule="exact"/>
        <w:ind w:firstLine="435"/>
        <w:jc w:val="left"/>
        <w:rPr>
          <w:rFonts w:ascii="宋体" w:hAnsi="宋体" w:eastAsia="宋体" w:cs="Times New Roman"/>
          <w:color w:val="auto"/>
          <w:sz w:val="24"/>
          <w:szCs w:val="24"/>
          <w:highlight w:val="none"/>
        </w:rPr>
      </w:pPr>
      <w:bookmarkStart w:id="88"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“乙方”系指根据合同约定交付货物的中标人</w:t>
      </w:r>
      <w:bookmarkEnd w:id="88"/>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6BD64A8">
      <w:pPr>
        <w:spacing w:line="500" w:lineRule="exact"/>
        <w:ind w:firstLine="435"/>
        <w:jc w:val="left"/>
        <w:rPr>
          <w:rFonts w:ascii="宋体" w:hAnsi="宋体" w:eastAsia="宋体" w:cs="Times New Roman"/>
          <w:color w:val="auto"/>
          <w:sz w:val="24"/>
          <w:szCs w:val="24"/>
          <w:highlight w:val="none"/>
        </w:rPr>
      </w:pPr>
      <w:bookmarkStart w:id="89"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“现场”系指合同约定货物将要运至</w:t>
      </w:r>
      <w:r>
        <w:rPr>
          <w:rFonts w:hint="eastAsia" w:ascii="宋体" w:hAnsi="宋体" w:eastAsia="宋体" w:cs="Times New Roman"/>
          <w:color w:val="auto"/>
          <w:sz w:val="24"/>
          <w:szCs w:val="24"/>
          <w:highlight w:val="none"/>
        </w:rPr>
        <w:t>或者</w:t>
      </w:r>
      <w:r>
        <w:rPr>
          <w:rFonts w:ascii="宋体" w:hAnsi="宋体" w:eastAsia="宋体" w:cs="Times New Roman"/>
          <w:color w:val="auto"/>
          <w:sz w:val="24"/>
          <w:szCs w:val="24"/>
          <w:highlight w:val="none"/>
        </w:rPr>
        <w:t>安装的地点。</w:t>
      </w:r>
      <w:bookmarkEnd w:id="89"/>
    </w:p>
    <w:p w14:paraId="4ACB5254">
      <w:pPr>
        <w:spacing w:line="500" w:lineRule="exact"/>
        <w:ind w:firstLine="437"/>
        <w:jc w:val="left"/>
        <w:outlineLvl w:val="2"/>
        <w:rPr>
          <w:rFonts w:ascii="宋体" w:hAnsi="宋体" w:eastAsia="宋体" w:cs="Times New Roman"/>
          <w:b/>
          <w:bCs/>
          <w:color w:val="auto"/>
          <w:sz w:val="24"/>
          <w:szCs w:val="24"/>
          <w:highlight w:val="none"/>
          <w:lang w:val="zh-CN"/>
        </w:rPr>
      </w:pPr>
      <w:bookmarkStart w:id="90" w:name="_Toc27635"/>
      <w:bookmarkStart w:id="91" w:name="_Toc13336"/>
      <w:bookmarkStart w:id="92" w:name="_Toc279701241"/>
      <w:bookmarkStart w:id="93" w:name="_Toc32504"/>
      <w:bookmarkStart w:id="94" w:name="_Toc487900350"/>
      <w:bookmarkStart w:id="95" w:name="_Toc25909367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90"/>
      <w:bookmarkEnd w:id="91"/>
      <w:bookmarkEnd w:id="92"/>
      <w:bookmarkEnd w:id="93"/>
      <w:bookmarkEnd w:id="94"/>
      <w:bookmarkEnd w:id="95"/>
    </w:p>
    <w:p w14:paraId="75223D6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3D9B616E">
      <w:pPr>
        <w:spacing w:line="500" w:lineRule="exact"/>
        <w:ind w:firstLine="437"/>
        <w:jc w:val="left"/>
        <w:outlineLvl w:val="2"/>
        <w:rPr>
          <w:rFonts w:ascii="宋体" w:hAnsi="宋体" w:eastAsia="宋体" w:cs="Times New Roman"/>
          <w:b/>
          <w:bCs/>
          <w:color w:val="auto"/>
          <w:sz w:val="24"/>
          <w:szCs w:val="24"/>
          <w:highlight w:val="none"/>
          <w:lang w:val="zh-CN"/>
        </w:rPr>
      </w:pPr>
      <w:bookmarkStart w:id="96" w:name="_Toc487900351"/>
      <w:bookmarkStart w:id="97" w:name="_Toc31634"/>
      <w:bookmarkStart w:id="98" w:name="_Toc9829"/>
      <w:bookmarkStart w:id="99" w:name="_Toc27853"/>
      <w:bookmarkStart w:id="100" w:name="_Toc279701242"/>
      <w:bookmarkStart w:id="101" w:name="_Toc25909367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96"/>
      <w:bookmarkEnd w:id="97"/>
      <w:bookmarkEnd w:id="98"/>
      <w:bookmarkEnd w:id="99"/>
      <w:bookmarkEnd w:id="100"/>
      <w:bookmarkEnd w:id="101"/>
    </w:p>
    <w:p w14:paraId="0CF582E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41AC2F9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05A97804">
      <w:pPr>
        <w:spacing w:line="500" w:lineRule="exact"/>
        <w:ind w:firstLine="437"/>
        <w:jc w:val="left"/>
        <w:outlineLvl w:val="2"/>
        <w:rPr>
          <w:rFonts w:ascii="宋体" w:hAnsi="宋体" w:eastAsia="宋体" w:cs="Times New Roman"/>
          <w:b/>
          <w:color w:val="auto"/>
          <w:sz w:val="24"/>
          <w:szCs w:val="24"/>
          <w:highlight w:val="none"/>
        </w:rPr>
      </w:pPr>
      <w:bookmarkStart w:id="102" w:name="_Toc4194"/>
      <w:bookmarkStart w:id="103" w:name="_Toc11932"/>
      <w:bookmarkStart w:id="104" w:name="_Toc29149"/>
      <w:r>
        <w:rPr>
          <w:rFonts w:hint="eastAsia" w:ascii="宋体" w:hAnsi="宋体" w:eastAsia="宋体" w:cs="Times New Roman"/>
          <w:b/>
          <w:bCs/>
          <w:color w:val="auto"/>
          <w:sz w:val="24"/>
          <w:szCs w:val="24"/>
          <w:highlight w:val="none"/>
          <w:lang w:val="zh-CN"/>
        </w:rPr>
        <w:t>2.4</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包装和装运</w:t>
      </w:r>
      <w:bookmarkEnd w:id="102"/>
      <w:bookmarkEnd w:id="103"/>
      <w:bookmarkEnd w:id="104"/>
    </w:p>
    <w:p w14:paraId="516DD69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2.4.1除</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DCF48D5">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2.4.2装运货物的要求和通知，详见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w:t>
      </w:r>
    </w:p>
    <w:p w14:paraId="142A00A1">
      <w:pPr>
        <w:spacing w:line="500" w:lineRule="exact"/>
        <w:ind w:firstLine="437"/>
        <w:jc w:val="left"/>
        <w:outlineLvl w:val="2"/>
        <w:rPr>
          <w:rFonts w:ascii="宋体" w:hAnsi="宋体" w:eastAsia="宋体" w:cs="Times New Roman"/>
          <w:b/>
          <w:bCs/>
          <w:color w:val="auto"/>
          <w:sz w:val="24"/>
          <w:szCs w:val="24"/>
          <w:highlight w:val="none"/>
          <w:lang w:val="zh-CN"/>
        </w:rPr>
      </w:pPr>
      <w:bookmarkStart w:id="105" w:name="_Ref467378541"/>
      <w:bookmarkStart w:id="106" w:name="_Toc487900354"/>
      <w:bookmarkStart w:id="107" w:name="_Ref467379536"/>
      <w:bookmarkStart w:id="108" w:name="_Toc259093674"/>
      <w:bookmarkStart w:id="109" w:name="_Toc279701245"/>
      <w:bookmarkStart w:id="110" w:name="_Ref467379527"/>
      <w:bookmarkStart w:id="111" w:name="_Ref467379542"/>
      <w:bookmarkStart w:id="112" w:name="_Ref467378591"/>
      <w:bookmarkStart w:id="113" w:name="_Toc26182"/>
      <w:bookmarkStart w:id="114" w:name="_Toc19074"/>
      <w:bookmarkStart w:id="115" w:name="_Toc30272"/>
      <w:r>
        <w:rPr>
          <w:rFonts w:hint="eastAsia" w:ascii="宋体" w:hAnsi="宋体" w:eastAsia="宋体" w:cs="Times New Roman"/>
          <w:b/>
          <w:bCs/>
          <w:color w:val="auto"/>
          <w:sz w:val="24"/>
          <w:szCs w:val="24"/>
          <w:highlight w:val="none"/>
          <w:lang w:val="zh-CN"/>
        </w:rPr>
        <w:t>2.</w:t>
      </w:r>
      <w:bookmarkEnd w:id="105"/>
      <w:bookmarkEnd w:id="106"/>
      <w:bookmarkEnd w:id="107"/>
      <w:bookmarkEnd w:id="108"/>
      <w:bookmarkEnd w:id="109"/>
      <w:bookmarkEnd w:id="110"/>
      <w:bookmarkEnd w:id="111"/>
      <w:bookmarkEnd w:id="112"/>
      <w:r>
        <w:rPr>
          <w:rFonts w:hint="eastAsia" w:ascii="宋体" w:hAnsi="宋体" w:eastAsia="宋体" w:cs="Times New Roman"/>
          <w:b/>
          <w:bCs/>
          <w:color w:val="auto"/>
          <w:sz w:val="24"/>
          <w:szCs w:val="24"/>
          <w:highlight w:val="none"/>
          <w:lang w:val="zh-CN"/>
        </w:rPr>
        <w:t>5</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履约检查和问题反馈</w:t>
      </w:r>
      <w:bookmarkEnd w:id="113"/>
      <w:bookmarkEnd w:id="114"/>
      <w:bookmarkEnd w:id="115"/>
    </w:p>
    <w:p w14:paraId="2A66CDAC">
      <w:pPr>
        <w:spacing w:line="500" w:lineRule="exact"/>
        <w:ind w:firstLine="435"/>
        <w:jc w:val="left"/>
        <w:rPr>
          <w:rFonts w:ascii="宋体" w:hAnsi="宋体" w:eastAsia="宋体" w:cs="Times New Roman"/>
          <w:color w:val="auto"/>
          <w:sz w:val="24"/>
          <w:szCs w:val="24"/>
          <w:highlight w:val="none"/>
        </w:rPr>
      </w:pPr>
      <w:bookmarkStart w:id="116" w:name="_Ref467379657"/>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.1</w:t>
      </w:r>
      <w:bookmarkEnd w:id="116"/>
      <w:bookmarkStart w:id="117" w:name="_Toc186431854"/>
      <w:bookmarkStart w:id="118" w:name="_Ref467379807"/>
      <w:bookmarkStart w:id="119" w:name="_Toc259093676"/>
      <w:bookmarkStart w:id="120" w:name="_Toc279701247"/>
      <w:bookmarkStart w:id="121" w:name="_Toc487900357"/>
      <w:bookmarkStart w:id="122" w:name="_Ref467379793"/>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14:paraId="44ED074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2.5.2合同履行期间，甲方有权将履行过程中出现的问题反馈给乙方，双方当事人应以书面形式约定需要完善和改进的内容</w:t>
      </w:r>
      <w:bookmarkEnd w:id="117"/>
      <w:bookmarkStart w:id="123" w:name="_Toc186431855"/>
      <w:r>
        <w:rPr>
          <w:rFonts w:hint="eastAsia" w:ascii="宋体" w:hAnsi="宋体" w:eastAsia="宋体" w:cs="Times New Roman"/>
          <w:color w:val="auto"/>
          <w:sz w:val="24"/>
          <w:szCs w:val="24"/>
          <w:highlight w:val="none"/>
        </w:rPr>
        <w:t>。</w:t>
      </w:r>
    </w:p>
    <w:bookmarkEnd w:id="123"/>
    <w:p w14:paraId="543C95FE">
      <w:pPr>
        <w:spacing w:line="500" w:lineRule="exact"/>
        <w:ind w:firstLine="437"/>
        <w:jc w:val="left"/>
        <w:outlineLvl w:val="2"/>
        <w:rPr>
          <w:rFonts w:ascii="宋体" w:hAnsi="宋体" w:eastAsia="宋体" w:cs="Times New Roman"/>
          <w:b/>
          <w:bCs/>
          <w:color w:val="auto"/>
          <w:sz w:val="24"/>
          <w:szCs w:val="24"/>
          <w:highlight w:val="none"/>
          <w:lang w:val="zh-CN"/>
        </w:rPr>
      </w:pPr>
      <w:bookmarkStart w:id="124" w:name="_Toc7836"/>
      <w:bookmarkStart w:id="125" w:name="_Toc19219"/>
      <w:bookmarkStart w:id="126" w:name="_Toc28451"/>
      <w:r>
        <w:rPr>
          <w:rFonts w:hint="eastAsia" w:ascii="宋体" w:hAnsi="宋体" w:eastAsia="宋体" w:cs="Times New Roman"/>
          <w:b/>
          <w:bCs/>
          <w:color w:val="auto"/>
          <w:sz w:val="24"/>
          <w:szCs w:val="24"/>
          <w:highlight w:val="none"/>
          <w:lang w:val="zh-CN"/>
        </w:rPr>
        <w:t xml:space="preserve">2.6 </w:t>
      </w:r>
      <w:r>
        <w:rPr>
          <w:rFonts w:ascii="宋体" w:hAnsi="宋体" w:eastAsia="宋体" w:cs="Times New Roman"/>
          <w:b/>
          <w:bCs/>
          <w:color w:val="auto"/>
          <w:sz w:val="24"/>
          <w:szCs w:val="24"/>
          <w:highlight w:val="none"/>
          <w:lang w:val="zh-CN"/>
        </w:rPr>
        <w:t>结算方式和付款条件</w:t>
      </w:r>
      <w:bookmarkEnd w:id="118"/>
      <w:bookmarkEnd w:id="119"/>
      <w:bookmarkEnd w:id="120"/>
      <w:bookmarkEnd w:id="121"/>
      <w:bookmarkEnd w:id="122"/>
      <w:bookmarkEnd w:id="124"/>
      <w:bookmarkEnd w:id="125"/>
      <w:bookmarkEnd w:id="126"/>
    </w:p>
    <w:p w14:paraId="33530665">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1329115C">
      <w:pPr>
        <w:spacing w:line="500" w:lineRule="exact"/>
        <w:ind w:firstLine="437"/>
        <w:jc w:val="left"/>
        <w:outlineLvl w:val="2"/>
        <w:rPr>
          <w:rFonts w:ascii="宋体" w:hAnsi="宋体" w:eastAsia="宋体" w:cs="Times New Roman"/>
          <w:b/>
          <w:bCs/>
          <w:color w:val="auto"/>
          <w:sz w:val="24"/>
          <w:szCs w:val="24"/>
          <w:highlight w:val="none"/>
          <w:lang w:val="zh-CN"/>
        </w:rPr>
      </w:pPr>
      <w:bookmarkStart w:id="127" w:name="_Ref467379852"/>
      <w:bookmarkStart w:id="128" w:name="_Ref467379923"/>
      <w:bookmarkStart w:id="129" w:name="_Toc259093677"/>
      <w:bookmarkStart w:id="130" w:name="_Toc487900358"/>
      <w:bookmarkStart w:id="131" w:name="_Toc279701248"/>
      <w:bookmarkStart w:id="132" w:name="_Ref467379863"/>
      <w:bookmarkStart w:id="133" w:name="_Toc16110"/>
      <w:bookmarkStart w:id="134" w:name="_Toc774"/>
      <w:bookmarkStart w:id="135" w:name="_Toc3225"/>
      <w:r>
        <w:rPr>
          <w:rFonts w:hint="eastAsia" w:ascii="宋体" w:hAnsi="宋体" w:eastAsia="宋体" w:cs="Times New Roman"/>
          <w:b/>
          <w:bCs/>
          <w:color w:val="auto"/>
          <w:sz w:val="24"/>
          <w:szCs w:val="24"/>
          <w:highlight w:val="none"/>
          <w:lang w:val="zh-CN"/>
        </w:rPr>
        <w:t xml:space="preserve">2.7 </w:t>
      </w:r>
      <w:r>
        <w:rPr>
          <w:rFonts w:ascii="宋体" w:hAnsi="宋体" w:eastAsia="宋体" w:cs="Times New Roman"/>
          <w:b/>
          <w:bCs/>
          <w:color w:val="auto"/>
          <w:sz w:val="24"/>
          <w:szCs w:val="24"/>
          <w:highlight w:val="none"/>
          <w:lang w:val="zh-CN"/>
        </w:rPr>
        <w:t>技术资料</w:t>
      </w:r>
      <w:bookmarkEnd w:id="127"/>
      <w:bookmarkEnd w:id="128"/>
      <w:bookmarkEnd w:id="129"/>
      <w:bookmarkEnd w:id="130"/>
      <w:bookmarkEnd w:id="131"/>
      <w:bookmarkEnd w:id="132"/>
      <w:r>
        <w:rPr>
          <w:rFonts w:ascii="宋体" w:hAnsi="宋体" w:eastAsia="宋体" w:cs="Times New Roman"/>
          <w:b/>
          <w:bCs/>
          <w:color w:val="auto"/>
          <w:sz w:val="24"/>
          <w:szCs w:val="24"/>
          <w:highlight w:val="none"/>
          <w:lang w:val="zh-CN"/>
        </w:rPr>
        <w:t>和保密义务</w:t>
      </w:r>
      <w:bookmarkEnd w:id="133"/>
      <w:bookmarkEnd w:id="134"/>
      <w:bookmarkEnd w:id="135"/>
    </w:p>
    <w:p w14:paraId="298BA08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6C9A5E6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2.7.2乙方有义务妥善保管和保护由甲方提供的前款信息和资料等；</w:t>
      </w:r>
    </w:p>
    <w:p w14:paraId="79240C2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6F213BE">
      <w:pPr>
        <w:spacing w:line="500" w:lineRule="exact"/>
        <w:ind w:firstLine="437"/>
        <w:jc w:val="left"/>
        <w:outlineLvl w:val="2"/>
        <w:rPr>
          <w:rFonts w:ascii="宋体" w:hAnsi="宋体" w:eastAsia="宋体" w:cs="Times New Roman"/>
          <w:b/>
          <w:bCs/>
          <w:color w:val="auto"/>
          <w:sz w:val="24"/>
          <w:szCs w:val="24"/>
          <w:highlight w:val="none"/>
          <w:lang w:val="zh-CN"/>
        </w:rPr>
      </w:pPr>
      <w:bookmarkStart w:id="136" w:name="_Toc7860"/>
      <w:r>
        <w:rPr>
          <w:rFonts w:ascii="宋体" w:hAnsi="宋体" w:eastAsia="宋体" w:cs="Times New Roman"/>
          <w:b/>
          <w:bCs/>
          <w:color w:val="auto"/>
          <w:sz w:val="24"/>
          <w:szCs w:val="24"/>
          <w:highlight w:val="none"/>
          <w:lang w:val="zh-CN"/>
        </w:rPr>
        <w:t>2.8 质量保证</w:t>
      </w:r>
      <w:bookmarkEnd w:id="136"/>
    </w:p>
    <w:p w14:paraId="3FEC646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2.8.1乙方应建立和完善履行合同的内部质量保证体系，并提供相关内部规章制度给甲方，以便甲方进行监督检查；</w:t>
      </w:r>
    </w:p>
    <w:p w14:paraId="6AD55B9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2.8.2乙方应保证履行合同的人员数量和素质、软件和硬件设备的配置、场地、环境和设施等满足全面履行合同的要求，并应接受甲方的监督检查。</w:t>
      </w:r>
    </w:p>
    <w:p w14:paraId="1626F62A">
      <w:pPr>
        <w:spacing w:line="500" w:lineRule="exact"/>
        <w:ind w:firstLine="437"/>
        <w:jc w:val="left"/>
        <w:outlineLvl w:val="2"/>
        <w:rPr>
          <w:rFonts w:ascii="宋体" w:hAnsi="宋体" w:eastAsia="宋体" w:cs="Times New Roman"/>
          <w:b/>
          <w:bCs/>
          <w:color w:val="auto"/>
          <w:sz w:val="24"/>
          <w:szCs w:val="24"/>
          <w:highlight w:val="none"/>
          <w:lang w:val="zh-CN"/>
        </w:rPr>
      </w:pPr>
      <w:bookmarkStart w:id="137" w:name="_Toc17244"/>
      <w:bookmarkStart w:id="138" w:name="_Toc279701252"/>
      <w:bookmarkStart w:id="139" w:name="_Toc259093681"/>
      <w:bookmarkStart w:id="140" w:name="_Toc487900362"/>
      <w:r>
        <w:rPr>
          <w:rFonts w:ascii="宋体" w:hAnsi="宋体" w:eastAsia="宋体" w:cs="Times New Roman"/>
          <w:b/>
          <w:bCs/>
          <w:color w:val="auto"/>
          <w:sz w:val="24"/>
          <w:szCs w:val="24"/>
          <w:highlight w:val="none"/>
          <w:lang w:val="zh-CN"/>
        </w:rPr>
        <w:t>2.9 货物的风险负担</w:t>
      </w:r>
      <w:bookmarkEnd w:id="137"/>
    </w:p>
    <w:p w14:paraId="6FBE6220">
      <w:pPr>
        <w:spacing w:line="500" w:lineRule="exact"/>
        <w:ind w:firstLine="435"/>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货物或者在途货物或者交付给第一承运人后的货物毁损、灭失的风险负担</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75C760A8">
      <w:pPr>
        <w:spacing w:line="500" w:lineRule="exact"/>
        <w:ind w:firstLine="437"/>
        <w:jc w:val="left"/>
        <w:outlineLvl w:val="2"/>
        <w:rPr>
          <w:rFonts w:ascii="宋体" w:hAnsi="宋体" w:eastAsia="宋体" w:cs="Times New Roman"/>
          <w:b/>
          <w:bCs/>
          <w:color w:val="auto"/>
          <w:sz w:val="24"/>
          <w:szCs w:val="24"/>
          <w:highlight w:val="none"/>
          <w:lang w:val="zh-CN"/>
        </w:rPr>
      </w:pPr>
      <w:bookmarkStart w:id="141" w:name="_Toc14055"/>
      <w:r>
        <w:rPr>
          <w:rFonts w:ascii="宋体" w:hAnsi="宋体" w:eastAsia="宋体" w:cs="Times New Roman"/>
          <w:b/>
          <w:bCs/>
          <w:color w:val="auto"/>
          <w:sz w:val="24"/>
          <w:szCs w:val="24"/>
          <w:highlight w:val="none"/>
          <w:lang w:val="zh-CN"/>
        </w:rPr>
        <w:t>2.10 延迟交货</w:t>
      </w:r>
      <w:bookmarkEnd w:id="138"/>
      <w:bookmarkEnd w:id="139"/>
      <w:bookmarkEnd w:id="140"/>
      <w:bookmarkEnd w:id="141"/>
    </w:p>
    <w:p w14:paraId="7CD3F0C2">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在合同履行过程中，如果乙方遇到不能按时交付货物的情况，应及时以书面形式将不能按时</w:t>
      </w:r>
      <w:r>
        <w:rPr>
          <w:rFonts w:hint="eastAsia" w:ascii="宋体" w:hAnsi="宋体" w:eastAsia="宋体" w:cs="Times New Roman"/>
          <w:color w:val="auto"/>
          <w:sz w:val="24"/>
          <w:szCs w:val="24"/>
          <w:highlight w:val="none"/>
        </w:rPr>
        <w:t>交付货物</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方收到乙方通知后，认为其理由正当的，可以书面形式酌情同意乙方可以延长交货的具体时间。</w:t>
      </w:r>
    </w:p>
    <w:p w14:paraId="69C839AF">
      <w:pPr>
        <w:spacing w:line="500" w:lineRule="exact"/>
        <w:ind w:firstLine="437"/>
        <w:jc w:val="left"/>
        <w:outlineLvl w:val="2"/>
        <w:rPr>
          <w:rFonts w:ascii="宋体" w:hAnsi="宋体" w:eastAsia="宋体" w:cs="Times New Roman"/>
          <w:b/>
          <w:bCs/>
          <w:color w:val="auto"/>
          <w:sz w:val="24"/>
          <w:szCs w:val="24"/>
          <w:highlight w:val="none"/>
          <w:lang w:val="zh-CN"/>
        </w:rPr>
      </w:pPr>
      <w:bookmarkStart w:id="142" w:name="_Toc7502"/>
      <w:bookmarkStart w:id="143" w:name="_Toc487900364"/>
      <w:bookmarkStart w:id="144" w:name="_Toc259093683"/>
      <w:bookmarkStart w:id="145" w:name="_Ref467378121"/>
      <w:bookmarkStart w:id="146" w:name="_Toc279701254"/>
      <w:r>
        <w:rPr>
          <w:rFonts w:ascii="宋体" w:hAnsi="宋体" w:eastAsia="宋体" w:cs="Times New Roman"/>
          <w:b/>
          <w:bCs/>
          <w:color w:val="auto"/>
          <w:sz w:val="24"/>
          <w:szCs w:val="24"/>
          <w:highlight w:val="none"/>
          <w:lang w:val="zh-CN"/>
        </w:rPr>
        <w:t>2.11 合同变更</w:t>
      </w:r>
      <w:bookmarkEnd w:id="142"/>
    </w:p>
    <w:p w14:paraId="4159EE7A">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2.11.1双方当事人协商一致，可以签订书面补充合同的形式变更合同，但不得违背采购文件确定的事项；</w:t>
      </w:r>
    </w:p>
    <w:p w14:paraId="321E9A7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47" w:name="_Toc279701259"/>
      <w:bookmarkStart w:id="148" w:name="_Toc487900369"/>
      <w:bookmarkStart w:id="149" w:name="_Toc259093688"/>
    </w:p>
    <w:p w14:paraId="5B194A8E">
      <w:pPr>
        <w:spacing w:line="500" w:lineRule="exact"/>
        <w:ind w:firstLine="437"/>
        <w:jc w:val="left"/>
        <w:outlineLvl w:val="2"/>
        <w:rPr>
          <w:rFonts w:ascii="宋体" w:hAnsi="宋体" w:eastAsia="宋体" w:cs="Times New Roman"/>
          <w:b/>
          <w:bCs/>
          <w:color w:val="auto"/>
          <w:sz w:val="24"/>
          <w:szCs w:val="24"/>
          <w:highlight w:val="none"/>
          <w:lang w:val="zh-CN"/>
        </w:rPr>
      </w:pPr>
      <w:bookmarkStart w:id="150" w:name="_Toc22955"/>
      <w:bookmarkStart w:id="151" w:name="_Toc15237"/>
      <w:bookmarkStart w:id="152" w:name="_Toc10366"/>
      <w:r>
        <w:rPr>
          <w:rFonts w:hint="eastAsia" w:ascii="宋体" w:hAnsi="宋体" w:eastAsia="宋体" w:cs="Times New Roman"/>
          <w:b/>
          <w:bCs/>
          <w:color w:val="auto"/>
          <w:sz w:val="24"/>
          <w:szCs w:val="24"/>
          <w:highlight w:val="none"/>
          <w:lang w:val="zh-CN"/>
        </w:rPr>
        <w:t xml:space="preserve">2.12 </w:t>
      </w:r>
      <w:r>
        <w:rPr>
          <w:rFonts w:ascii="宋体" w:hAnsi="宋体" w:eastAsia="宋体" w:cs="Times New Roman"/>
          <w:b/>
          <w:bCs/>
          <w:color w:val="auto"/>
          <w:sz w:val="24"/>
          <w:szCs w:val="24"/>
          <w:highlight w:val="none"/>
          <w:lang w:val="zh-CN"/>
        </w:rPr>
        <w:t>合同转让</w:t>
      </w:r>
      <w:bookmarkEnd w:id="147"/>
      <w:bookmarkEnd w:id="148"/>
      <w:bookmarkEnd w:id="149"/>
      <w:r>
        <w:rPr>
          <w:rFonts w:ascii="宋体" w:hAnsi="宋体" w:eastAsia="宋体" w:cs="Times New Roman"/>
          <w:b/>
          <w:bCs/>
          <w:color w:val="auto"/>
          <w:sz w:val="24"/>
          <w:szCs w:val="24"/>
          <w:highlight w:val="none"/>
          <w:lang w:val="zh-CN"/>
        </w:rPr>
        <w:t>和分包</w:t>
      </w:r>
      <w:bookmarkEnd w:id="150"/>
      <w:bookmarkEnd w:id="151"/>
      <w:bookmarkEnd w:id="152"/>
    </w:p>
    <w:p w14:paraId="744E1CA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73AEF2AF">
      <w:pPr>
        <w:spacing w:line="500" w:lineRule="exact"/>
        <w:ind w:firstLine="437"/>
        <w:jc w:val="left"/>
        <w:outlineLvl w:val="2"/>
        <w:rPr>
          <w:rFonts w:ascii="宋体" w:hAnsi="宋体" w:eastAsia="宋体" w:cs="Times New Roman"/>
          <w:b/>
          <w:bCs/>
          <w:color w:val="auto"/>
          <w:sz w:val="24"/>
          <w:szCs w:val="24"/>
          <w:highlight w:val="none"/>
          <w:lang w:val="zh-CN"/>
        </w:rPr>
      </w:pPr>
      <w:bookmarkStart w:id="153" w:name="_Toc16508"/>
      <w:bookmarkStart w:id="154" w:name="_Toc14066"/>
      <w:bookmarkStart w:id="155" w:name="_Toc13566"/>
      <w:r>
        <w:rPr>
          <w:rFonts w:hint="eastAsia" w:ascii="宋体" w:hAnsi="宋体" w:eastAsia="宋体" w:cs="Times New Roman"/>
          <w:b/>
          <w:bCs/>
          <w:color w:val="auto"/>
          <w:sz w:val="24"/>
          <w:szCs w:val="24"/>
          <w:highlight w:val="none"/>
          <w:lang w:val="zh-CN"/>
        </w:rPr>
        <w:t>2.13</w:t>
      </w:r>
      <w:r>
        <w:rPr>
          <w:rFonts w:ascii="宋体" w:hAnsi="宋体" w:eastAsia="宋体" w:cs="Times New Roman"/>
          <w:b/>
          <w:bCs/>
          <w:color w:val="auto"/>
          <w:sz w:val="24"/>
          <w:szCs w:val="24"/>
          <w:highlight w:val="none"/>
          <w:lang w:val="zh-CN"/>
        </w:rPr>
        <w:t xml:space="preserve"> 不可抗力</w:t>
      </w:r>
      <w:bookmarkEnd w:id="153"/>
      <w:bookmarkEnd w:id="154"/>
      <w:bookmarkEnd w:id="155"/>
    </w:p>
    <w:p w14:paraId="19A11BB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54AFE90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2.13.2因不可抗力致使不能实现合同目的的，当事人可以解除合同；</w:t>
      </w:r>
    </w:p>
    <w:p w14:paraId="7B8AC2C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155FFA7B">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E190997">
      <w:pPr>
        <w:spacing w:line="500" w:lineRule="exact"/>
        <w:ind w:firstLine="437"/>
        <w:jc w:val="left"/>
        <w:outlineLvl w:val="2"/>
        <w:rPr>
          <w:rFonts w:ascii="宋体" w:hAnsi="宋体" w:eastAsia="宋体" w:cs="Times New Roman"/>
          <w:b/>
          <w:bCs/>
          <w:color w:val="auto"/>
          <w:sz w:val="24"/>
          <w:szCs w:val="24"/>
          <w:highlight w:val="none"/>
          <w:lang w:val="zh-CN"/>
        </w:rPr>
      </w:pPr>
      <w:bookmarkStart w:id="156" w:name="_Toc30676"/>
      <w:bookmarkStart w:id="157" w:name="_Toc279701255"/>
      <w:bookmarkStart w:id="158" w:name="_Toc6969"/>
      <w:bookmarkStart w:id="159" w:name="_Toc487900365"/>
      <w:bookmarkStart w:id="160" w:name="_Toc259093684"/>
      <w:bookmarkStart w:id="161" w:name="_Toc68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4 </w:t>
      </w:r>
      <w:r>
        <w:rPr>
          <w:rFonts w:ascii="宋体" w:hAnsi="宋体" w:eastAsia="宋体" w:cs="Times New Roman"/>
          <w:b/>
          <w:bCs/>
          <w:color w:val="auto"/>
          <w:sz w:val="24"/>
          <w:szCs w:val="24"/>
          <w:highlight w:val="none"/>
          <w:lang w:val="zh-CN"/>
        </w:rPr>
        <w:t>税费</w:t>
      </w:r>
      <w:bookmarkEnd w:id="156"/>
      <w:bookmarkEnd w:id="157"/>
      <w:bookmarkEnd w:id="158"/>
      <w:bookmarkEnd w:id="159"/>
      <w:bookmarkEnd w:id="160"/>
      <w:bookmarkEnd w:id="161"/>
    </w:p>
    <w:p w14:paraId="4191B594">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0DEFD2CC">
      <w:pPr>
        <w:spacing w:line="500" w:lineRule="exact"/>
        <w:ind w:firstLine="437"/>
        <w:jc w:val="left"/>
        <w:outlineLvl w:val="2"/>
        <w:rPr>
          <w:rFonts w:ascii="宋体" w:hAnsi="宋体" w:eastAsia="宋体" w:cs="Times New Roman"/>
          <w:b/>
          <w:bCs/>
          <w:color w:val="auto"/>
          <w:sz w:val="24"/>
          <w:szCs w:val="24"/>
          <w:highlight w:val="none"/>
          <w:lang w:val="zh-CN"/>
        </w:rPr>
      </w:pPr>
      <w:bookmarkStart w:id="162" w:name="_Toc487900368"/>
      <w:bookmarkStart w:id="163" w:name="_Toc7102"/>
      <w:bookmarkStart w:id="164" w:name="_Toc16959"/>
      <w:bookmarkStart w:id="165" w:name="_Toc8298"/>
      <w:bookmarkStart w:id="166" w:name="_Toc259093687"/>
      <w:bookmarkStart w:id="167" w:name="_Toc27970125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5 </w:t>
      </w:r>
      <w:r>
        <w:rPr>
          <w:rFonts w:ascii="宋体" w:hAnsi="宋体" w:eastAsia="宋体" w:cs="Times New Roman"/>
          <w:b/>
          <w:bCs/>
          <w:color w:val="auto"/>
          <w:sz w:val="24"/>
          <w:szCs w:val="24"/>
          <w:highlight w:val="none"/>
          <w:lang w:val="zh-CN"/>
        </w:rPr>
        <w:t>乙方破产</w:t>
      </w:r>
      <w:bookmarkEnd w:id="162"/>
      <w:bookmarkEnd w:id="163"/>
      <w:bookmarkEnd w:id="164"/>
      <w:bookmarkEnd w:id="165"/>
      <w:bookmarkEnd w:id="166"/>
      <w:bookmarkEnd w:id="167"/>
    </w:p>
    <w:p w14:paraId="4476A264">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1640BEB5">
      <w:pPr>
        <w:spacing w:line="500" w:lineRule="exact"/>
        <w:ind w:firstLine="437"/>
        <w:jc w:val="left"/>
        <w:outlineLvl w:val="2"/>
        <w:rPr>
          <w:rFonts w:ascii="宋体" w:hAnsi="宋体" w:eastAsia="宋体" w:cs="Times New Roman"/>
          <w:b/>
          <w:color w:val="auto"/>
          <w:sz w:val="24"/>
          <w:szCs w:val="24"/>
          <w:highlight w:val="none"/>
        </w:rPr>
      </w:pPr>
      <w:bookmarkStart w:id="168" w:name="_Toc29333"/>
      <w:bookmarkStart w:id="169" w:name="_Toc15387"/>
      <w:bookmarkStart w:id="170" w:name="_Toc6134"/>
      <w:r>
        <w:rPr>
          <w:rFonts w:hint="eastAsia" w:ascii="宋体" w:hAnsi="宋体" w:eastAsia="宋体" w:cs="Times New Roman"/>
          <w:b/>
          <w:bCs/>
          <w:color w:val="auto"/>
          <w:sz w:val="24"/>
          <w:szCs w:val="24"/>
          <w:highlight w:val="none"/>
          <w:lang w:val="zh-CN"/>
        </w:rPr>
        <w:t>2.16 合同中止、终止</w:t>
      </w:r>
      <w:bookmarkEnd w:id="168"/>
      <w:bookmarkEnd w:id="169"/>
      <w:bookmarkEnd w:id="170"/>
    </w:p>
    <w:p w14:paraId="4CE0DA3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2.16.1双方当事人不得擅自中止或者终止合同；</w:t>
      </w:r>
    </w:p>
    <w:p w14:paraId="691FDC6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06580BC8">
      <w:pPr>
        <w:spacing w:line="500" w:lineRule="exact"/>
        <w:ind w:firstLine="437"/>
        <w:jc w:val="left"/>
        <w:outlineLvl w:val="2"/>
        <w:rPr>
          <w:rFonts w:ascii="宋体" w:hAnsi="宋体" w:eastAsia="宋体" w:cs="Times New Roman"/>
          <w:b/>
          <w:bCs/>
          <w:color w:val="auto"/>
          <w:sz w:val="24"/>
          <w:szCs w:val="24"/>
          <w:highlight w:val="none"/>
          <w:lang w:val="zh-CN"/>
        </w:rPr>
      </w:pPr>
      <w:bookmarkStart w:id="171" w:name="_Toc14563"/>
      <w:bookmarkStart w:id="172" w:name="_Toc6596"/>
      <w:bookmarkStart w:id="173" w:name="_Toc1125"/>
      <w:r>
        <w:rPr>
          <w:rFonts w:hint="eastAsia" w:ascii="宋体" w:hAnsi="宋体" w:eastAsia="宋体" w:cs="Times New Roman"/>
          <w:b/>
          <w:bCs/>
          <w:color w:val="auto"/>
          <w:sz w:val="24"/>
          <w:szCs w:val="24"/>
          <w:highlight w:val="none"/>
          <w:lang w:val="zh-CN"/>
        </w:rPr>
        <w:t>2.17 检验和验收</w:t>
      </w:r>
      <w:bookmarkEnd w:id="171"/>
      <w:bookmarkEnd w:id="172"/>
      <w:bookmarkEnd w:id="173"/>
    </w:p>
    <w:p w14:paraId="7AC8A46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约定时间内组织验收，并可依法邀请相关方参加，验收应出具验收书。</w:t>
      </w:r>
    </w:p>
    <w:p w14:paraId="7E5754A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757CA68">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3"/>
    <w:bookmarkEnd w:id="144"/>
    <w:bookmarkEnd w:id="145"/>
    <w:bookmarkEnd w:id="146"/>
    <w:p w14:paraId="7DFCF116">
      <w:pPr>
        <w:spacing w:line="500" w:lineRule="exact"/>
        <w:ind w:firstLine="437"/>
        <w:jc w:val="left"/>
        <w:outlineLvl w:val="2"/>
        <w:rPr>
          <w:rFonts w:ascii="宋体" w:hAnsi="宋体" w:eastAsia="宋体" w:cs="Times New Roman"/>
          <w:b/>
          <w:color w:val="auto"/>
          <w:sz w:val="24"/>
          <w:szCs w:val="24"/>
          <w:highlight w:val="none"/>
        </w:rPr>
      </w:pPr>
      <w:bookmarkStart w:id="174" w:name="_Toc4355"/>
      <w:bookmarkStart w:id="175" w:name="_Toc279701262"/>
      <w:bookmarkStart w:id="176" w:name="_Toc30599"/>
      <w:bookmarkStart w:id="177" w:name="_Toc487900372"/>
      <w:bookmarkStart w:id="178" w:name="_Toc259093691"/>
      <w:bookmarkStart w:id="179" w:name="_Toc18540"/>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8</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计量单位</w:t>
      </w:r>
      <w:bookmarkEnd w:id="174"/>
      <w:bookmarkEnd w:id="175"/>
      <w:bookmarkEnd w:id="176"/>
      <w:bookmarkEnd w:id="177"/>
      <w:bookmarkEnd w:id="178"/>
      <w:bookmarkEnd w:id="179"/>
    </w:p>
    <w:p w14:paraId="6BB9DC30">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除技术规范中另有规定外,合同的计量单位均使用国家法定计量单位。</w:t>
      </w:r>
    </w:p>
    <w:p w14:paraId="54411FBD">
      <w:pPr>
        <w:spacing w:line="500" w:lineRule="exact"/>
        <w:ind w:firstLine="437"/>
        <w:jc w:val="left"/>
        <w:outlineLvl w:val="2"/>
        <w:rPr>
          <w:rFonts w:ascii="宋体" w:hAnsi="宋体" w:eastAsia="宋体" w:cs="Times New Roman"/>
          <w:b/>
          <w:bCs/>
          <w:color w:val="auto"/>
          <w:sz w:val="24"/>
          <w:szCs w:val="24"/>
          <w:highlight w:val="none"/>
        </w:rPr>
      </w:pPr>
      <w:bookmarkStart w:id="180" w:name="_Toc10330"/>
      <w:bookmarkStart w:id="181" w:name="_Toc259093692"/>
      <w:bookmarkStart w:id="182" w:name="_Toc487900373"/>
      <w:bookmarkStart w:id="183" w:name="_Toc12773"/>
      <w:bookmarkStart w:id="184" w:name="_Toc279701263"/>
      <w:bookmarkStart w:id="185" w:name="_Toc18567"/>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19</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80"/>
      <w:bookmarkEnd w:id="181"/>
      <w:bookmarkEnd w:id="182"/>
      <w:bookmarkEnd w:id="183"/>
      <w:bookmarkEnd w:id="184"/>
      <w:bookmarkEnd w:id="185"/>
    </w:p>
    <w:p w14:paraId="616B6AB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70E95B7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43661F5F">
      <w:pPr>
        <w:spacing w:line="500" w:lineRule="exact"/>
        <w:ind w:firstLine="437"/>
        <w:jc w:val="left"/>
        <w:outlineLvl w:val="2"/>
        <w:rPr>
          <w:rFonts w:ascii="宋体" w:hAnsi="宋体" w:eastAsia="宋体" w:cs="Times New Roman"/>
          <w:b/>
          <w:color w:val="auto"/>
          <w:sz w:val="24"/>
          <w:szCs w:val="24"/>
          <w:highlight w:val="none"/>
        </w:rPr>
      </w:pPr>
      <w:bookmarkStart w:id="186" w:name="_Toc279701264"/>
      <w:bookmarkStart w:id="187" w:name="_Toc3148"/>
      <w:bookmarkStart w:id="188" w:name="_Toc12004"/>
      <w:bookmarkStart w:id="189" w:name="_Toc16673"/>
      <w:bookmarkStart w:id="190" w:name="_Toc259093693"/>
      <w:bookmarkStart w:id="191" w:name="_Toc487900374"/>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6"/>
      <w:bookmarkEnd w:id="187"/>
      <w:bookmarkEnd w:id="188"/>
      <w:bookmarkEnd w:id="189"/>
      <w:bookmarkEnd w:id="190"/>
    </w:p>
    <w:p w14:paraId="3FCE5C3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AB3DE7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约定期间内或者货物质量保证期内不予退还或者应完全有效</w:t>
      </w:r>
      <w:r>
        <w:rPr>
          <w:rFonts w:hint="eastAsia" w:ascii="宋体" w:hAnsi="宋体" w:eastAsia="宋体" w:cs="Times New Roman"/>
          <w:color w:val="auto"/>
          <w:sz w:val="24"/>
          <w:szCs w:val="24"/>
          <w:highlight w:val="none"/>
        </w:rPr>
        <w:t>，前述约定期间届满或者</w:t>
      </w:r>
      <w:r>
        <w:rPr>
          <w:rFonts w:ascii="宋体" w:hAnsi="宋体" w:eastAsia="宋体" w:cs="Times New Roman"/>
          <w:color w:val="auto"/>
          <w:sz w:val="24"/>
          <w:szCs w:val="24"/>
          <w:highlight w:val="none"/>
        </w:rPr>
        <w:t>货物质量保证期届满之日起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w:t>
      </w:r>
    </w:p>
    <w:p w14:paraId="1169DE63">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1"/>
    <w:p w14:paraId="25853211">
      <w:pPr>
        <w:spacing w:line="500" w:lineRule="exact"/>
        <w:ind w:firstLine="437"/>
        <w:jc w:val="left"/>
        <w:outlineLvl w:val="2"/>
        <w:rPr>
          <w:rFonts w:ascii="宋体" w:hAnsi="宋体" w:eastAsia="宋体" w:cs="Times New Roman"/>
          <w:b/>
          <w:color w:val="auto"/>
          <w:sz w:val="24"/>
          <w:szCs w:val="24"/>
          <w:highlight w:val="none"/>
        </w:rPr>
      </w:pPr>
      <w:bookmarkStart w:id="192" w:name="_Toc6885"/>
      <w:bookmarkStart w:id="193" w:name="_Toc19890"/>
      <w:bookmarkStart w:id="194" w:name="_Toc14001"/>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 合同份数</w:t>
      </w:r>
      <w:bookmarkEnd w:id="192"/>
      <w:bookmarkEnd w:id="193"/>
      <w:bookmarkEnd w:id="194"/>
    </w:p>
    <w:p w14:paraId="01DE6F33">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4D5CB3C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86967E7">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p>
    <w:p w14:paraId="7EC409DE">
      <w:pPr>
        <w:spacing w:line="50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EF3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1BB7AB7">
            <w:pPr>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05F9C11">
            <w:pPr>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63559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D465DCA">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2.6</w:t>
            </w:r>
          </w:p>
        </w:tc>
        <w:tc>
          <w:tcPr>
            <w:tcW w:w="7568" w:type="dxa"/>
            <w:vAlign w:val="center"/>
          </w:tcPr>
          <w:p w14:paraId="1F88EF6B">
            <w:pPr>
              <w:spacing w:line="500" w:lineRule="exact"/>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u w:val="single"/>
              </w:rPr>
              <w:t>合同签订生效并具备实施条件后5个工作日内可支付每包合同价（暂定为每标包预算金额）的40%预付款(预付款支付前，中标人须提供同等金额的见索即付预付款保函)，供货完成，经验收合格后一次性付清合同款（对应包别合同款=对应包别验收合格的到货图书总码洋*对应包别中标价（综合折扣率））</w:t>
            </w:r>
          </w:p>
        </w:tc>
      </w:tr>
      <w:tr w14:paraId="6C799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5B3AC2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2.17.3</w:t>
            </w:r>
          </w:p>
        </w:tc>
        <w:tc>
          <w:tcPr>
            <w:tcW w:w="7568" w:type="dxa"/>
            <w:vAlign w:val="center"/>
          </w:tcPr>
          <w:p w14:paraId="38DF602E">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检验和验收标准根据项目</w:t>
            </w:r>
            <w:r>
              <w:rPr>
                <w:rFonts w:hint="eastAsia" w:ascii="宋体" w:hAnsi="宋体" w:eastAsia="宋体" w:cs="宋体"/>
                <w:color w:val="auto"/>
                <w:sz w:val="24"/>
                <w:szCs w:val="24"/>
                <w:highlight w:val="none"/>
                <w:lang w:val="zh-CN"/>
              </w:rPr>
              <w:t>投标文件及采购文件要求（含澄清或者说明文件、承诺书等）执行。验收程序</w:t>
            </w:r>
            <w:r>
              <w:rPr>
                <w:rFonts w:hint="eastAsia" w:ascii="宋体" w:hAnsi="宋体" w:eastAsia="宋体" w:cs="宋体"/>
                <w:color w:val="auto"/>
                <w:sz w:val="24"/>
                <w:szCs w:val="24"/>
                <w:highlight w:val="none"/>
              </w:rPr>
              <w:t>按《滁州学院采购项目验收管理办法》执行</w:t>
            </w:r>
            <w:r>
              <w:rPr>
                <w:rFonts w:hint="eastAsia" w:ascii="宋体" w:hAnsi="宋体" w:eastAsia="宋体" w:cs="宋体"/>
                <w:i/>
                <w:color w:val="auto"/>
                <w:sz w:val="24"/>
                <w:szCs w:val="24"/>
                <w:highlight w:val="none"/>
              </w:rPr>
              <w:t>。</w:t>
            </w:r>
          </w:p>
        </w:tc>
      </w:tr>
      <w:tr w14:paraId="133B6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BBE4C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2.20.1</w:t>
            </w:r>
          </w:p>
        </w:tc>
        <w:tc>
          <w:tcPr>
            <w:tcW w:w="7568" w:type="dxa"/>
            <w:vAlign w:val="center"/>
          </w:tcPr>
          <w:p w14:paraId="364514CA">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本项目履约保证金为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 ），收受人为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，履约担保的形式为：</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转账/电汇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汇票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本票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保险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保函</w:t>
            </w:r>
          </w:p>
        </w:tc>
      </w:tr>
      <w:tr w14:paraId="2193B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948E8A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2.20.2</w:t>
            </w:r>
          </w:p>
        </w:tc>
        <w:tc>
          <w:tcPr>
            <w:tcW w:w="7568" w:type="dxa"/>
            <w:vAlign w:val="center"/>
          </w:tcPr>
          <w:p w14:paraId="2D11DE8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履约保证金期满后，乙方应向甲方提出申请，经甲方确认后，乙方自行至履约保证金收受方办理履约保证金退还手续。</w:t>
            </w:r>
          </w:p>
        </w:tc>
      </w:tr>
      <w:tr w14:paraId="2D955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A8212D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2.21</w:t>
            </w:r>
          </w:p>
        </w:tc>
        <w:tc>
          <w:tcPr>
            <w:tcW w:w="7568" w:type="dxa"/>
            <w:vAlign w:val="center"/>
          </w:tcPr>
          <w:p w14:paraId="2B1A5E03">
            <w:pPr>
              <w:spacing w:line="5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份，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tc>
      </w:tr>
      <w:tr w14:paraId="547DE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502F8B3">
            <w:pPr>
              <w:spacing w:line="500" w:lineRule="exact"/>
              <w:rPr>
                <w:rFonts w:ascii="宋体" w:hAnsi="宋体" w:eastAsia="宋体" w:cs="宋体"/>
                <w:color w:val="auto"/>
                <w:sz w:val="24"/>
                <w:szCs w:val="24"/>
                <w:highlight w:val="none"/>
              </w:rPr>
            </w:pPr>
          </w:p>
        </w:tc>
        <w:tc>
          <w:tcPr>
            <w:tcW w:w="7568" w:type="dxa"/>
            <w:vAlign w:val="center"/>
          </w:tcPr>
          <w:p w14:paraId="6E0BC47D">
            <w:pPr>
              <w:spacing w:line="500" w:lineRule="exact"/>
              <w:rPr>
                <w:rFonts w:ascii="宋体" w:hAnsi="宋体" w:eastAsia="宋体" w:cs="宋体"/>
                <w:color w:val="auto"/>
                <w:sz w:val="24"/>
                <w:szCs w:val="24"/>
                <w:highlight w:val="none"/>
              </w:rPr>
            </w:pPr>
          </w:p>
        </w:tc>
      </w:tr>
      <w:tr w14:paraId="5C078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DABF3CC">
            <w:pPr>
              <w:spacing w:line="500" w:lineRule="exact"/>
              <w:rPr>
                <w:rFonts w:ascii="宋体" w:hAnsi="宋体" w:eastAsia="宋体" w:cs="宋体"/>
                <w:color w:val="auto"/>
                <w:sz w:val="24"/>
                <w:szCs w:val="24"/>
                <w:highlight w:val="none"/>
              </w:rPr>
            </w:pPr>
          </w:p>
        </w:tc>
        <w:tc>
          <w:tcPr>
            <w:tcW w:w="7568" w:type="dxa"/>
            <w:vAlign w:val="center"/>
          </w:tcPr>
          <w:p w14:paraId="48B4D2CB">
            <w:pPr>
              <w:spacing w:line="500" w:lineRule="exact"/>
              <w:rPr>
                <w:rFonts w:ascii="宋体" w:hAnsi="宋体" w:eastAsia="宋体" w:cs="宋体"/>
                <w:color w:val="auto"/>
                <w:sz w:val="24"/>
                <w:szCs w:val="24"/>
                <w:highlight w:val="none"/>
                <w:u w:val="single"/>
              </w:rPr>
            </w:pPr>
          </w:p>
        </w:tc>
      </w:tr>
      <w:tr w14:paraId="50BFB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9054033">
            <w:pPr>
              <w:spacing w:line="500" w:lineRule="exact"/>
              <w:rPr>
                <w:rFonts w:ascii="宋体" w:hAnsi="宋体" w:eastAsia="宋体" w:cs="宋体"/>
                <w:color w:val="auto"/>
                <w:sz w:val="24"/>
                <w:szCs w:val="24"/>
                <w:highlight w:val="none"/>
              </w:rPr>
            </w:pPr>
          </w:p>
        </w:tc>
        <w:tc>
          <w:tcPr>
            <w:tcW w:w="7568" w:type="dxa"/>
            <w:vAlign w:val="center"/>
          </w:tcPr>
          <w:p w14:paraId="497CB886">
            <w:pPr>
              <w:spacing w:line="500" w:lineRule="exact"/>
              <w:rPr>
                <w:rFonts w:ascii="宋体" w:hAnsi="宋体" w:eastAsia="宋体" w:cs="宋体"/>
                <w:color w:val="auto"/>
                <w:sz w:val="24"/>
                <w:szCs w:val="24"/>
                <w:highlight w:val="none"/>
              </w:rPr>
            </w:pPr>
          </w:p>
        </w:tc>
      </w:tr>
      <w:tr w14:paraId="1581E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5FF2734">
            <w:pPr>
              <w:spacing w:line="500" w:lineRule="exact"/>
              <w:rPr>
                <w:rFonts w:ascii="宋体" w:hAnsi="宋体" w:eastAsia="宋体" w:cs="宋体"/>
                <w:color w:val="auto"/>
                <w:sz w:val="24"/>
                <w:szCs w:val="24"/>
                <w:highlight w:val="none"/>
              </w:rPr>
            </w:pPr>
          </w:p>
        </w:tc>
        <w:tc>
          <w:tcPr>
            <w:tcW w:w="7568" w:type="dxa"/>
            <w:vAlign w:val="center"/>
          </w:tcPr>
          <w:p w14:paraId="088FF3A0">
            <w:pPr>
              <w:spacing w:line="500" w:lineRule="exact"/>
              <w:rPr>
                <w:rFonts w:ascii="宋体" w:hAnsi="宋体" w:eastAsia="宋体" w:cs="宋体"/>
                <w:color w:val="auto"/>
                <w:sz w:val="24"/>
                <w:szCs w:val="24"/>
                <w:highlight w:val="none"/>
              </w:rPr>
            </w:pPr>
          </w:p>
        </w:tc>
      </w:tr>
      <w:tr w14:paraId="3E24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60D754">
            <w:pPr>
              <w:spacing w:line="500" w:lineRule="exact"/>
              <w:rPr>
                <w:rFonts w:ascii="宋体" w:hAnsi="宋体" w:eastAsia="宋体" w:cs="宋体"/>
                <w:color w:val="auto"/>
                <w:sz w:val="24"/>
                <w:szCs w:val="24"/>
                <w:highlight w:val="none"/>
              </w:rPr>
            </w:pPr>
          </w:p>
        </w:tc>
        <w:tc>
          <w:tcPr>
            <w:tcW w:w="7568" w:type="dxa"/>
            <w:vAlign w:val="center"/>
          </w:tcPr>
          <w:p w14:paraId="02317362">
            <w:pPr>
              <w:spacing w:line="500" w:lineRule="exact"/>
              <w:rPr>
                <w:rFonts w:ascii="宋体" w:hAnsi="宋体" w:eastAsia="宋体" w:cs="宋体"/>
                <w:color w:val="auto"/>
                <w:sz w:val="24"/>
                <w:szCs w:val="24"/>
                <w:highlight w:val="none"/>
              </w:rPr>
            </w:pPr>
          </w:p>
        </w:tc>
      </w:tr>
      <w:tr w14:paraId="351D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A7DC951">
            <w:pPr>
              <w:spacing w:line="500" w:lineRule="exact"/>
              <w:rPr>
                <w:rFonts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6A0E280">
            <w:pPr>
              <w:spacing w:line="500" w:lineRule="exact"/>
              <w:rPr>
                <w:rFonts w:ascii="宋体" w:hAnsi="宋体" w:eastAsia="宋体" w:cs="宋体"/>
                <w:color w:val="auto"/>
                <w:sz w:val="24"/>
                <w:szCs w:val="24"/>
                <w:highlight w:val="none"/>
              </w:rPr>
            </w:pPr>
          </w:p>
        </w:tc>
      </w:tr>
      <w:tr w14:paraId="31CBC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908269F">
            <w:pPr>
              <w:spacing w:line="500" w:lineRule="exact"/>
              <w:rPr>
                <w:rFonts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8BE90F5">
            <w:pPr>
              <w:spacing w:line="500" w:lineRule="exact"/>
              <w:rPr>
                <w:rFonts w:ascii="宋体" w:hAnsi="宋体" w:eastAsia="宋体" w:cs="宋体"/>
                <w:color w:val="auto"/>
                <w:sz w:val="24"/>
                <w:szCs w:val="24"/>
                <w:highlight w:val="none"/>
              </w:rPr>
            </w:pPr>
          </w:p>
        </w:tc>
      </w:tr>
    </w:tbl>
    <w:p w14:paraId="72EE2DA0">
      <w:pPr>
        <w:pStyle w:val="14"/>
        <w:ind w:left="1260"/>
        <w:rPr>
          <w:color w:val="auto"/>
          <w:highlight w:val="none"/>
        </w:rPr>
      </w:pPr>
    </w:p>
    <w:p w14:paraId="36593F6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8E1F1AA">
      <w:pPr>
        <w:spacing w:line="360" w:lineRule="auto"/>
        <w:jc w:val="center"/>
        <w:outlineLvl w:val="0"/>
        <w:rPr>
          <w:rFonts w:asciiTheme="minorEastAsia" w:hAnsiTheme="minorEastAsia" w:eastAsiaTheme="minorEastAsia"/>
          <w:b/>
          <w:color w:val="auto"/>
          <w:sz w:val="28"/>
          <w:highlight w:val="none"/>
        </w:rPr>
      </w:pPr>
      <w:bookmarkStart w:id="195" w:name="_Toc22492"/>
      <w:r>
        <w:rPr>
          <w:rFonts w:hint="eastAsia" w:asciiTheme="minorEastAsia" w:hAnsiTheme="minorEastAsia" w:eastAsiaTheme="minorEastAsia"/>
          <w:b/>
          <w:color w:val="auto"/>
          <w:sz w:val="28"/>
          <w:highlight w:val="none"/>
        </w:rPr>
        <w:t>第六章  投标文件格式</w:t>
      </w:r>
      <w:bookmarkEnd w:id="195"/>
    </w:p>
    <w:p w14:paraId="2F00D6C8">
      <w:pPr>
        <w:spacing w:line="900" w:lineRule="exact"/>
        <w:jc w:val="center"/>
        <w:rPr>
          <w:rFonts w:asciiTheme="minorEastAsia" w:hAnsiTheme="minorEastAsia" w:eastAsiaTheme="minorEastAsia"/>
          <w:b/>
          <w:color w:val="auto"/>
          <w:sz w:val="72"/>
          <w:highlight w:val="none"/>
        </w:rPr>
      </w:pPr>
    </w:p>
    <w:p w14:paraId="4E3C9032">
      <w:pPr>
        <w:spacing w:line="900" w:lineRule="exact"/>
        <w:jc w:val="center"/>
        <w:outlineLvl w:val="1"/>
        <w:rPr>
          <w:rFonts w:asciiTheme="minorEastAsia" w:hAnsiTheme="minorEastAsia" w:eastAsiaTheme="minorEastAsia"/>
          <w:b/>
          <w:color w:val="auto"/>
          <w:sz w:val="72"/>
          <w:highlight w:val="none"/>
        </w:rPr>
      </w:pPr>
      <w:bookmarkStart w:id="196" w:name="_Toc651"/>
      <w:r>
        <w:rPr>
          <w:rFonts w:hint="eastAsia" w:asciiTheme="minorEastAsia" w:hAnsiTheme="minorEastAsia" w:eastAsiaTheme="minorEastAsia"/>
          <w:b/>
          <w:color w:val="auto"/>
          <w:sz w:val="72"/>
          <w:highlight w:val="none"/>
        </w:rPr>
        <w:t>投</w:t>
      </w:r>
      <w:bookmarkEnd w:id="196"/>
    </w:p>
    <w:p w14:paraId="0474AA54">
      <w:pPr>
        <w:spacing w:line="900" w:lineRule="exact"/>
        <w:jc w:val="center"/>
        <w:rPr>
          <w:rFonts w:asciiTheme="minorEastAsia" w:hAnsiTheme="minorEastAsia" w:eastAsiaTheme="minorEastAsia"/>
          <w:b/>
          <w:color w:val="auto"/>
          <w:sz w:val="72"/>
          <w:highlight w:val="none"/>
        </w:rPr>
      </w:pPr>
    </w:p>
    <w:p w14:paraId="0AB71C08">
      <w:pPr>
        <w:spacing w:line="900" w:lineRule="exact"/>
        <w:jc w:val="center"/>
        <w:outlineLvl w:val="1"/>
        <w:rPr>
          <w:rFonts w:asciiTheme="minorEastAsia" w:hAnsiTheme="minorEastAsia" w:eastAsiaTheme="minorEastAsia"/>
          <w:b/>
          <w:color w:val="auto"/>
          <w:sz w:val="72"/>
          <w:highlight w:val="none"/>
        </w:rPr>
      </w:pPr>
      <w:bookmarkStart w:id="197" w:name="_Toc6148"/>
      <w:r>
        <w:rPr>
          <w:rFonts w:hint="eastAsia" w:asciiTheme="minorEastAsia" w:hAnsiTheme="minorEastAsia" w:eastAsiaTheme="minorEastAsia"/>
          <w:b/>
          <w:color w:val="auto"/>
          <w:sz w:val="72"/>
          <w:highlight w:val="none"/>
        </w:rPr>
        <w:t>标</w:t>
      </w:r>
      <w:bookmarkEnd w:id="197"/>
    </w:p>
    <w:p w14:paraId="2DBB0545">
      <w:pPr>
        <w:spacing w:line="900" w:lineRule="exact"/>
        <w:jc w:val="center"/>
        <w:rPr>
          <w:rFonts w:asciiTheme="minorEastAsia" w:hAnsiTheme="minorEastAsia" w:eastAsiaTheme="minorEastAsia"/>
          <w:b/>
          <w:color w:val="auto"/>
          <w:sz w:val="72"/>
          <w:highlight w:val="none"/>
        </w:rPr>
      </w:pPr>
    </w:p>
    <w:p w14:paraId="7AC601E7">
      <w:pPr>
        <w:spacing w:line="900" w:lineRule="exact"/>
        <w:jc w:val="center"/>
        <w:outlineLvl w:val="1"/>
        <w:rPr>
          <w:rFonts w:asciiTheme="minorEastAsia" w:hAnsiTheme="minorEastAsia" w:eastAsiaTheme="minorEastAsia"/>
          <w:b/>
          <w:color w:val="auto"/>
          <w:sz w:val="72"/>
          <w:highlight w:val="none"/>
        </w:rPr>
      </w:pPr>
      <w:bookmarkStart w:id="198" w:name="_Toc1338"/>
      <w:r>
        <w:rPr>
          <w:rFonts w:hint="eastAsia" w:asciiTheme="minorEastAsia" w:hAnsiTheme="minorEastAsia" w:eastAsiaTheme="minorEastAsia"/>
          <w:b/>
          <w:color w:val="auto"/>
          <w:sz w:val="72"/>
          <w:highlight w:val="none"/>
        </w:rPr>
        <w:t>文</w:t>
      </w:r>
      <w:bookmarkEnd w:id="198"/>
    </w:p>
    <w:p w14:paraId="1943F2F5">
      <w:pPr>
        <w:spacing w:line="900" w:lineRule="exact"/>
        <w:jc w:val="center"/>
        <w:rPr>
          <w:rFonts w:asciiTheme="minorEastAsia" w:hAnsiTheme="minorEastAsia" w:eastAsiaTheme="minorEastAsia"/>
          <w:b/>
          <w:color w:val="auto"/>
          <w:sz w:val="72"/>
          <w:highlight w:val="none"/>
        </w:rPr>
      </w:pPr>
    </w:p>
    <w:p w14:paraId="5ECC542E">
      <w:pPr>
        <w:jc w:val="center"/>
        <w:outlineLvl w:val="1"/>
        <w:rPr>
          <w:rFonts w:asciiTheme="minorEastAsia" w:hAnsiTheme="minorEastAsia" w:eastAsiaTheme="minorEastAsia"/>
          <w:b/>
          <w:color w:val="auto"/>
          <w:sz w:val="72"/>
          <w:highlight w:val="none"/>
        </w:rPr>
      </w:pPr>
      <w:bookmarkStart w:id="199" w:name="_Toc10796"/>
      <w:r>
        <w:rPr>
          <w:rFonts w:hint="eastAsia" w:asciiTheme="minorEastAsia" w:hAnsiTheme="minorEastAsia" w:eastAsiaTheme="minorEastAsia"/>
          <w:b/>
          <w:color w:val="auto"/>
          <w:sz w:val="72"/>
          <w:highlight w:val="none"/>
        </w:rPr>
        <w:t>件</w:t>
      </w:r>
      <w:bookmarkEnd w:id="199"/>
    </w:p>
    <w:p w14:paraId="5FC644DF">
      <w:pPr>
        <w:spacing w:after="156" w:afterLines="50"/>
        <w:jc w:val="center"/>
        <w:rPr>
          <w:rFonts w:asciiTheme="minorEastAsia" w:hAnsiTheme="minorEastAsia" w:eastAsiaTheme="minorEastAsia"/>
          <w:b/>
          <w:color w:val="auto"/>
          <w:sz w:val="72"/>
          <w:highlight w:val="none"/>
        </w:rPr>
      </w:pPr>
    </w:p>
    <w:p w14:paraId="544D08E2">
      <w:pPr>
        <w:spacing w:before="156" w:beforeLines="50" w:after="156" w:afterLines="50"/>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 </w:t>
      </w:r>
    </w:p>
    <w:p w14:paraId="2A5AB931">
      <w:pPr>
        <w:spacing w:after="156" w:afterLines="50" w:line="500" w:lineRule="exact"/>
        <w:jc w:val="center"/>
        <w:rPr>
          <w:rFonts w:asciiTheme="minorEastAsia" w:hAnsiTheme="minorEastAsia" w:eastAsiaTheme="minorEastAsia"/>
          <w:b/>
          <w:color w:val="auto"/>
          <w:sz w:val="28"/>
          <w:szCs w:val="28"/>
          <w:highlight w:val="none"/>
        </w:rPr>
      </w:pPr>
    </w:p>
    <w:p w14:paraId="757F66A3">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3917340">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6DFF37C9">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730C1C8B">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0" w:name="_Toc8037"/>
      <w:bookmarkStart w:id="201"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0"/>
      <w:bookmarkEnd w:id="201"/>
    </w:p>
    <w:p w14:paraId="32AFEA8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C4CB0F">
      <w:pPr>
        <w:spacing w:line="360" w:lineRule="auto"/>
        <w:jc w:val="center"/>
        <w:outlineLvl w:val="1"/>
        <w:rPr>
          <w:rFonts w:asciiTheme="minorEastAsia" w:hAnsiTheme="minorEastAsia" w:eastAsiaTheme="minorEastAsia"/>
          <w:b/>
          <w:color w:val="auto"/>
          <w:sz w:val="24"/>
          <w:highlight w:val="none"/>
        </w:rPr>
      </w:pPr>
      <w:bookmarkStart w:id="202" w:name="_Toc5555"/>
      <w:bookmarkStart w:id="203" w:name="_Toc28960"/>
      <w:r>
        <w:rPr>
          <w:rFonts w:hint="eastAsia" w:asciiTheme="minorEastAsia" w:hAnsiTheme="minorEastAsia" w:eastAsiaTheme="minorEastAsia"/>
          <w:b/>
          <w:color w:val="auto"/>
          <w:sz w:val="24"/>
          <w:highlight w:val="none"/>
        </w:rPr>
        <w:t>一、开标一览表</w:t>
      </w:r>
      <w:bookmarkEnd w:id="202"/>
      <w:bookmarkEnd w:id="20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380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15AEB0A7">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218" w:type="dxa"/>
            <w:tcBorders>
              <w:top w:val="single" w:color="auto" w:sz="4" w:space="0"/>
              <w:bottom w:val="single" w:color="auto" w:sz="4" w:space="0"/>
              <w:right w:val="single" w:color="auto" w:sz="4" w:space="0"/>
            </w:tcBorders>
            <w:vAlign w:val="center"/>
          </w:tcPr>
          <w:p w14:paraId="69BBC4F7">
            <w:pPr>
              <w:spacing w:line="360" w:lineRule="exact"/>
              <w:jc w:val="center"/>
              <w:rPr>
                <w:rFonts w:asciiTheme="minorEastAsia" w:hAnsiTheme="minorEastAsia" w:eastAsiaTheme="minorEastAsia"/>
                <w:bCs/>
                <w:color w:val="auto"/>
                <w:sz w:val="24"/>
                <w:highlight w:val="none"/>
                <w:u w:val="single"/>
              </w:rPr>
            </w:pPr>
          </w:p>
        </w:tc>
      </w:tr>
      <w:tr w14:paraId="080C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47DD89C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218" w:type="dxa"/>
            <w:tcBorders>
              <w:top w:val="nil"/>
            </w:tcBorders>
            <w:vAlign w:val="center"/>
          </w:tcPr>
          <w:p w14:paraId="18FB9EEA">
            <w:pPr>
              <w:spacing w:line="360" w:lineRule="auto"/>
              <w:rPr>
                <w:rFonts w:asciiTheme="minorEastAsia" w:hAnsiTheme="minorEastAsia" w:eastAsiaTheme="minorEastAsia"/>
                <w:color w:val="auto"/>
                <w:sz w:val="24"/>
                <w:highlight w:val="none"/>
              </w:rPr>
            </w:pPr>
          </w:p>
        </w:tc>
      </w:tr>
      <w:tr w14:paraId="6742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A3335C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218" w:type="dxa"/>
            <w:tcBorders>
              <w:top w:val="nil"/>
            </w:tcBorders>
            <w:vAlign w:val="center"/>
          </w:tcPr>
          <w:p w14:paraId="79A26D27">
            <w:pPr>
              <w:widowControl/>
              <w:spacing w:line="360" w:lineRule="auto"/>
              <w:rPr>
                <w:rFonts w:hint="eastAsia" w:eastAsia="宋体" w:asciiTheme="minorEastAsia" w:hAnsiTheme="minorEastAsia"/>
                <w:color w:val="auto"/>
                <w:sz w:val="24"/>
                <w:highlight w:val="none"/>
                <w:lang w:eastAsia="zh-CN"/>
              </w:rPr>
            </w:pP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r>
              <w:rPr>
                <w:rFonts w:hint="eastAsia" w:ascii="宋体" w:hAnsi="宋体" w:eastAsia="宋体"/>
                <w:color w:val="auto"/>
                <w:sz w:val="24"/>
                <w:szCs w:val="28"/>
                <w:highlight w:val="none"/>
                <w:lang w:val="en-US" w:eastAsia="zh-CN"/>
              </w:rPr>
              <w:t xml:space="preserve"> </w:t>
            </w:r>
          </w:p>
        </w:tc>
      </w:tr>
      <w:tr w14:paraId="6ACA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2304" w:type="dxa"/>
            <w:tcBorders>
              <w:top w:val="nil"/>
            </w:tcBorders>
            <w:vAlign w:val="center"/>
          </w:tcPr>
          <w:p w14:paraId="78665977">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6218" w:type="dxa"/>
            <w:tcBorders>
              <w:top w:val="nil"/>
            </w:tcBorders>
            <w:vAlign w:val="center"/>
          </w:tcPr>
          <w:p w14:paraId="098312AF">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折扣率大写：</w:t>
            </w:r>
            <w:r>
              <w:rPr>
                <w:rFonts w:hint="eastAsia" w:ascii="宋体" w:hAnsi="宋体" w:eastAsia="宋体" w:cs="宋体"/>
                <w:bCs/>
                <w:color w:val="auto"/>
                <w:sz w:val="24"/>
                <w:szCs w:val="24"/>
                <w:highlight w:val="none"/>
                <w:u w:val="single"/>
              </w:rPr>
              <w:t xml:space="preserve">                     </w:t>
            </w:r>
          </w:p>
          <w:p w14:paraId="04707F25">
            <w:pPr>
              <w:spacing w:line="360" w:lineRule="auto"/>
              <w:ind w:right="-670" w:firstLine="720" w:firstLineChars="30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C09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736E4B4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218" w:type="dxa"/>
            <w:tcBorders>
              <w:top w:val="nil"/>
            </w:tcBorders>
            <w:vAlign w:val="center"/>
          </w:tcPr>
          <w:p w14:paraId="694A8CD3">
            <w:pPr>
              <w:spacing w:line="360" w:lineRule="auto"/>
              <w:jc w:val="left"/>
              <w:rPr>
                <w:rFonts w:asciiTheme="minorEastAsia" w:hAnsiTheme="minorEastAsia" w:eastAsiaTheme="minorEastAsia"/>
                <w:color w:val="auto"/>
                <w:sz w:val="24"/>
                <w:szCs w:val="28"/>
                <w:highlight w:val="none"/>
              </w:rPr>
            </w:pPr>
          </w:p>
        </w:tc>
      </w:tr>
    </w:tbl>
    <w:p w14:paraId="422B3BB2">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F9E034B">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BF10FBD">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9F5A80B">
      <w:pPr>
        <w:spacing w:line="360" w:lineRule="auto"/>
        <w:ind w:firstLine="360" w:firstLineChars="150"/>
        <w:rPr>
          <w:rFonts w:asciiTheme="minorEastAsia" w:hAnsiTheme="minorEastAsia" w:eastAsiaTheme="minorEastAsia"/>
          <w:color w:val="auto"/>
          <w:sz w:val="24"/>
          <w:highlight w:val="none"/>
        </w:rPr>
      </w:pPr>
    </w:p>
    <w:p w14:paraId="503C746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3A4B6F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B11103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58A7EE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3D6C69EA">
      <w:pPr>
        <w:spacing w:line="360" w:lineRule="auto"/>
        <w:jc w:val="center"/>
        <w:outlineLvl w:val="1"/>
        <w:rPr>
          <w:rFonts w:asciiTheme="minorEastAsia" w:hAnsiTheme="minorEastAsia" w:eastAsiaTheme="minorEastAsia"/>
          <w:b/>
          <w:color w:val="auto"/>
          <w:sz w:val="24"/>
          <w:highlight w:val="none"/>
        </w:rPr>
      </w:pPr>
      <w:bookmarkStart w:id="204" w:name="_Toc6441"/>
      <w:bookmarkStart w:id="205" w:name="_Toc18010"/>
      <w:r>
        <w:rPr>
          <w:rFonts w:hint="eastAsia" w:asciiTheme="minorEastAsia" w:hAnsiTheme="minorEastAsia" w:eastAsiaTheme="minorEastAsia"/>
          <w:b/>
          <w:color w:val="auto"/>
          <w:sz w:val="24"/>
          <w:highlight w:val="none"/>
        </w:rPr>
        <w:t>二、投标函</w:t>
      </w:r>
      <w:bookmarkEnd w:id="204"/>
      <w:bookmarkEnd w:id="205"/>
    </w:p>
    <w:p w14:paraId="03280D3A">
      <w:pPr>
        <w:pStyle w:val="17"/>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32902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042B9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AC332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2D7E94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6C09D3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00AAD26">
      <w:pPr>
        <w:spacing w:line="360" w:lineRule="auto"/>
        <w:ind w:firstLine="4800" w:firstLineChars="2000"/>
        <w:rPr>
          <w:rFonts w:ascii="宋体" w:hAnsi="宋体" w:eastAsia="宋体"/>
          <w:color w:val="auto"/>
          <w:sz w:val="24"/>
          <w:highlight w:val="none"/>
        </w:rPr>
      </w:pPr>
    </w:p>
    <w:p w14:paraId="44A17D3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24DB5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A2D0F8F">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DBADD55">
      <w:pPr>
        <w:spacing w:line="360" w:lineRule="auto"/>
        <w:jc w:val="center"/>
        <w:outlineLvl w:val="1"/>
        <w:rPr>
          <w:rFonts w:asciiTheme="minorEastAsia" w:hAnsiTheme="minorEastAsia" w:eastAsiaTheme="minorEastAsia"/>
          <w:b/>
          <w:color w:val="auto"/>
          <w:sz w:val="24"/>
          <w:highlight w:val="none"/>
        </w:rPr>
      </w:pPr>
      <w:bookmarkStart w:id="206" w:name="_Toc1328"/>
      <w:r>
        <w:rPr>
          <w:rFonts w:hint="eastAsia" w:asciiTheme="minorEastAsia" w:hAnsiTheme="minorEastAsia" w:eastAsiaTheme="minorEastAsia"/>
          <w:b/>
          <w:color w:val="auto"/>
          <w:sz w:val="24"/>
          <w:highlight w:val="none"/>
        </w:rPr>
        <w:t>三．投标人资格声明书</w:t>
      </w:r>
      <w:bookmarkEnd w:id="206"/>
      <w:r>
        <w:rPr>
          <w:rFonts w:hint="eastAsia" w:asciiTheme="minorEastAsia" w:hAnsiTheme="minorEastAsia" w:eastAsiaTheme="minorEastAsia"/>
          <w:b/>
          <w:color w:val="auto"/>
          <w:sz w:val="24"/>
          <w:highlight w:val="none"/>
        </w:rPr>
        <w:t xml:space="preserve"> </w:t>
      </w:r>
    </w:p>
    <w:p w14:paraId="74C9E483">
      <w:pPr>
        <w:pStyle w:val="17"/>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00505F3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2662857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2CA826E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49E9B5B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25EC73F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2884D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5C7D375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DAD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C03182">
            <w:pPr>
              <w:widowControl/>
              <w:spacing w:before="156" w:beforeLines="50" w:after="1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383792">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69B8B2BB">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305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741821">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1ECE688E">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6F8DDCC2">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p>
        </w:tc>
      </w:tr>
      <w:tr w14:paraId="6809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6D6503">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35C8E055">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7652F837">
            <w:pPr>
              <w:pStyle w:val="11"/>
              <w:spacing w:before="156" w:beforeLines="50" w:after="10"/>
              <w:jc w:val="center"/>
              <w:rPr>
                <w:rFonts w:asciiTheme="minorEastAsia" w:hAnsiTheme="minorEastAsia" w:eastAsiaTheme="minorEastAsia" w:cstheme="minorEastAsia"/>
                <w:color w:val="auto"/>
                <w:kern w:val="0"/>
                <w:sz w:val="24"/>
                <w:highlight w:val="none"/>
                <w:lang w:val="en-US" w:bidi="ar"/>
              </w:rPr>
            </w:pPr>
          </w:p>
        </w:tc>
      </w:tr>
    </w:tbl>
    <w:p w14:paraId="45E661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22FD0F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F716A1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CFF57E1">
      <w:pPr>
        <w:pStyle w:val="11"/>
        <w:rPr>
          <w:rFonts w:asciiTheme="minorEastAsia" w:hAnsiTheme="minorEastAsia" w:eastAsiaTheme="minorEastAsia" w:cstheme="minorEastAsia"/>
          <w:color w:val="auto"/>
          <w:kern w:val="0"/>
          <w:sz w:val="24"/>
          <w:highlight w:val="none"/>
          <w:lang w:val="en-US" w:bidi="ar"/>
        </w:rPr>
      </w:pPr>
    </w:p>
    <w:p w14:paraId="1ADB520B">
      <w:pPr>
        <w:pStyle w:val="11"/>
        <w:rPr>
          <w:rFonts w:asciiTheme="minorEastAsia" w:hAnsiTheme="minorEastAsia" w:eastAsiaTheme="minorEastAsia" w:cstheme="minorEastAsia"/>
          <w:color w:val="auto"/>
          <w:kern w:val="0"/>
          <w:sz w:val="24"/>
          <w:highlight w:val="none"/>
          <w:lang w:val="en-US" w:bidi="ar"/>
        </w:rPr>
      </w:pPr>
    </w:p>
    <w:p w14:paraId="6AE73AD9">
      <w:pPr>
        <w:pStyle w:val="11"/>
        <w:rPr>
          <w:rFonts w:asciiTheme="minorEastAsia" w:hAnsiTheme="minorEastAsia" w:eastAsiaTheme="minorEastAsia" w:cstheme="minorEastAsia"/>
          <w:color w:val="auto"/>
          <w:kern w:val="0"/>
          <w:sz w:val="24"/>
          <w:highlight w:val="none"/>
          <w:lang w:val="en-US" w:bidi="ar"/>
        </w:rPr>
      </w:pPr>
    </w:p>
    <w:p w14:paraId="43C98248">
      <w:pPr>
        <w:rPr>
          <w:rFonts w:asciiTheme="minorEastAsia" w:hAnsiTheme="minorEastAsia" w:eastAsiaTheme="minorEastAsia"/>
          <w:b/>
          <w:color w:val="auto"/>
          <w:sz w:val="24"/>
          <w:highlight w:val="none"/>
        </w:rPr>
      </w:pPr>
      <w:bookmarkStart w:id="207" w:name="_Toc11607"/>
      <w:r>
        <w:rPr>
          <w:rFonts w:hint="eastAsia" w:asciiTheme="minorEastAsia" w:hAnsiTheme="minorEastAsia" w:eastAsiaTheme="minorEastAsia"/>
          <w:b/>
          <w:color w:val="auto"/>
          <w:sz w:val="24"/>
          <w:highlight w:val="none"/>
        </w:rPr>
        <w:br w:type="page"/>
      </w:r>
    </w:p>
    <w:p w14:paraId="2497C9EB">
      <w:pPr>
        <w:spacing w:line="360" w:lineRule="auto"/>
        <w:jc w:val="center"/>
        <w:outlineLvl w:val="1"/>
        <w:rPr>
          <w:rFonts w:asciiTheme="minorEastAsia" w:hAnsiTheme="minorEastAsia" w:eastAsiaTheme="minorEastAsia"/>
          <w:b/>
          <w:color w:val="auto"/>
          <w:sz w:val="24"/>
          <w:highlight w:val="none"/>
        </w:rPr>
      </w:pPr>
      <w:bookmarkStart w:id="208" w:name="_Toc16960"/>
      <w:r>
        <w:rPr>
          <w:rFonts w:hint="eastAsia" w:asciiTheme="minorEastAsia" w:hAnsiTheme="minorEastAsia" w:eastAsiaTheme="minorEastAsia"/>
          <w:b/>
          <w:color w:val="auto"/>
          <w:sz w:val="24"/>
          <w:highlight w:val="none"/>
        </w:rPr>
        <w:t>四、授权书</w:t>
      </w:r>
      <w:bookmarkEnd w:id="207"/>
      <w:bookmarkEnd w:id="208"/>
    </w:p>
    <w:p w14:paraId="6E29F3F7">
      <w:pPr>
        <w:pStyle w:val="16"/>
        <w:snapToGrid w:val="0"/>
        <w:spacing w:line="360" w:lineRule="auto"/>
        <w:ind w:firstLine="480" w:firstLineChars="200"/>
        <w:jc w:val="left"/>
        <w:rPr>
          <w:rFonts w:hAnsi="宋体" w:eastAsia="宋体"/>
          <w:color w:val="auto"/>
          <w:sz w:val="24"/>
          <w:szCs w:val="28"/>
          <w:highlight w:val="none"/>
        </w:rPr>
      </w:pPr>
    </w:p>
    <w:p w14:paraId="5A814264">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BDCD35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1A38DD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A861D0C">
      <w:pPr>
        <w:spacing w:line="360" w:lineRule="auto"/>
        <w:ind w:firstLine="435"/>
        <w:rPr>
          <w:rFonts w:asciiTheme="minorEastAsia" w:hAnsiTheme="minorEastAsia" w:eastAsiaTheme="minorEastAsia"/>
          <w:color w:val="auto"/>
          <w:sz w:val="24"/>
          <w:highlight w:val="none"/>
        </w:rPr>
      </w:pPr>
    </w:p>
    <w:p w14:paraId="56150CF5">
      <w:pPr>
        <w:spacing w:line="360" w:lineRule="auto"/>
        <w:ind w:firstLine="435"/>
        <w:rPr>
          <w:rFonts w:asciiTheme="minorEastAsia" w:hAnsiTheme="minorEastAsia" w:eastAsiaTheme="minorEastAsia"/>
          <w:color w:val="auto"/>
          <w:sz w:val="24"/>
          <w:highlight w:val="none"/>
        </w:rPr>
      </w:pPr>
    </w:p>
    <w:p w14:paraId="009EE44E">
      <w:pPr>
        <w:spacing w:line="360" w:lineRule="auto"/>
        <w:ind w:firstLine="435"/>
        <w:rPr>
          <w:rFonts w:asciiTheme="minorEastAsia" w:hAnsiTheme="minorEastAsia" w:eastAsiaTheme="minorEastAsia"/>
          <w:color w:val="auto"/>
          <w:sz w:val="24"/>
          <w:highlight w:val="none"/>
        </w:rPr>
      </w:pPr>
    </w:p>
    <w:p w14:paraId="6AA93AE2">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944D2EE">
      <w:pPr>
        <w:spacing w:line="360" w:lineRule="auto"/>
        <w:ind w:firstLine="435"/>
        <w:rPr>
          <w:rFonts w:hAnsi="宋体" w:eastAsia="宋体"/>
          <w:color w:val="auto"/>
          <w:sz w:val="24"/>
          <w:szCs w:val="28"/>
          <w:highlight w:val="none"/>
          <w:lang w:val="zh-CN"/>
        </w:rPr>
      </w:pPr>
    </w:p>
    <w:p w14:paraId="605CF02A">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8767743">
      <w:pPr>
        <w:spacing w:line="360" w:lineRule="auto"/>
        <w:rPr>
          <w:rFonts w:ascii="宋体" w:hAnsi="宋体" w:eastAsia="宋体"/>
          <w:color w:val="auto"/>
          <w:sz w:val="24"/>
          <w:szCs w:val="28"/>
          <w:highlight w:val="none"/>
        </w:rPr>
      </w:pPr>
    </w:p>
    <w:p w14:paraId="23CA36C9">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rPr>
        <w:t xml:space="preserve">                            投标人电子签章：</w:t>
      </w:r>
      <w:r>
        <w:rPr>
          <w:rFonts w:hint="eastAsia" w:ascii="宋体" w:hAnsi="宋体" w:eastAsia="宋体"/>
          <w:bCs/>
          <w:color w:val="auto"/>
          <w:sz w:val="24"/>
          <w:szCs w:val="28"/>
          <w:highlight w:val="none"/>
          <w:u w:val="single"/>
        </w:rPr>
        <w:t xml:space="preserve">                    </w:t>
      </w:r>
    </w:p>
    <w:p w14:paraId="1FA470A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0282498E">
      <w:pPr>
        <w:spacing w:line="360" w:lineRule="auto"/>
        <w:ind w:firstLine="435"/>
        <w:rPr>
          <w:rFonts w:asciiTheme="minorEastAsia" w:hAnsiTheme="minorEastAsia" w:eastAsiaTheme="minorEastAsia"/>
          <w:color w:val="auto"/>
          <w:sz w:val="24"/>
          <w:highlight w:val="none"/>
        </w:rPr>
      </w:pPr>
    </w:p>
    <w:p w14:paraId="5B4C775E">
      <w:pPr>
        <w:spacing w:line="360" w:lineRule="auto"/>
        <w:ind w:firstLine="435"/>
        <w:rPr>
          <w:rFonts w:asciiTheme="minorEastAsia" w:hAnsiTheme="minorEastAsia" w:eastAsiaTheme="minorEastAsia"/>
          <w:color w:val="auto"/>
          <w:sz w:val="24"/>
          <w:highlight w:val="none"/>
        </w:rPr>
      </w:pPr>
    </w:p>
    <w:p w14:paraId="1F8C467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63790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34C65C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8DEB16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24820EB">
      <w:pPr>
        <w:spacing w:line="360" w:lineRule="auto"/>
        <w:jc w:val="center"/>
        <w:outlineLvl w:val="1"/>
        <w:rPr>
          <w:rFonts w:asciiTheme="minorEastAsia" w:hAnsiTheme="minorEastAsia" w:eastAsiaTheme="minorEastAsia"/>
          <w:b/>
          <w:color w:val="auto"/>
          <w:sz w:val="24"/>
          <w:highlight w:val="none"/>
        </w:rPr>
      </w:pPr>
      <w:bookmarkStart w:id="209" w:name="_Toc20329"/>
      <w:bookmarkStart w:id="210" w:name="_Toc11940"/>
      <w:r>
        <w:rPr>
          <w:rFonts w:hint="eastAsia" w:asciiTheme="minorEastAsia" w:hAnsiTheme="minorEastAsia" w:eastAsiaTheme="minorEastAsia"/>
          <w:b/>
          <w:color w:val="auto"/>
          <w:sz w:val="24"/>
          <w:highlight w:val="none"/>
        </w:rPr>
        <w:t>五、投标响应表</w:t>
      </w:r>
      <w:bookmarkEnd w:id="209"/>
      <w:bookmarkEnd w:id="210"/>
    </w:p>
    <w:p w14:paraId="3423BE2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95F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5A437FEA">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6A8F1D5B">
            <w:pPr>
              <w:pStyle w:val="1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8" w:type="dxa"/>
            <w:vAlign w:val="center"/>
          </w:tcPr>
          <w:p w14:paraId="0F6614BD">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575" w:type="dxa"/>
            <w:vAlign w:val="center"/>
          </w:tcPr>
          <w:p w14:paraId="5A36409E">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10" w:type="dxa"/>
            <w:vAlign w:val="center"/>
          </w:tcPr>
          <w:p w14:paraId="6E59E2CF">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4E7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3CA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7295D22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498" w:type="dxa"/>
            <w:vAlign w:val="center"/>
          </w:tcPr>
          <w:p w14:paraId="78ABEE11">
            <w:pPr>
              <w:jc w:val="center"/>
              <w:rPr>
                <w:rFonts w:asciiTheme="minorEastAsia" w:hAnsiTheme="minorEastAsia" w:eastAsiaTheme="minorEastAsia"/>
                <w:color w:val="auto"/>
                <w:sz w:val="24"/>
                <w:highlight w:val="none"/>
              </w:rPr>
            </w:pPr>
          </w:p>
        </w:tc>
        <w:tc>
          <w:tcPr>
            <w:tcW w:w="2575" w:type="dxa"/>
            <w:vAlign w:val="center"/>
          </w:tcPr>
          <w:p w14:paraId="76D90286">
            <w:pPr>
              <w:jc w:val="center"/>
              <w:rPr>
                <w:rFonts w:asciiTheme="minorEastAsia" w:hAnsiTheme="minorEastAsia" w:eastAsiaTheme="minorEastAsia"/>
                <w:color w:val="auto"/>
                <w:sz w:val="24"/>
                <w:highlight w:val="none"/>
              </w:rPr>
            </w:pPr>
          </w:p>
        </w:tc>
        <w:tc>
          <w:tcPr>
            <w:tcW w:w="810" w:type="dxa"/>
            <w:vAlign w:val="center"/>
          </w:tcPr>
          <w:p w14:paraId="7E42D4B9">
            <w:pPr>
              <w:jc w:val="center"/>
              <w:rPr>
                <w:rFonts w:asciiTheme="minorEastAsia" w:hAnsiTheme="minorEastAsia" w:eastAsiaTheme="minorEastAsia"/>
                <w:color w:val="auto"/>
                <w:sz w:val="24"/>
                <w:highlight w:val="none"/>
              </w:rPr>
            </w:pPr>
          </w:p>
        </w:tc>
      </w:tr>
      <w:tr w14:paraId="1884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1AF9B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0AEB8F9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8" w:type="dxa"/>
            <w:vAlign w:val="center"/>
          </w:tcPr>
          <w:p w14:paraId="09F07C16">
            <w:pPr>
              <w:jc w:val="center"/>
              <w:rPr>
                <w:rFonts w:asciiTheme="minorEastAsia" w:hAnsiTheme="minorEastAsia" w:eastAsiaTheme="minorEastAsia"/>
                <w:color w:val="auto"/>
                <w:sz w:val="24"/>
                <w:highlight w:val="none"/>
              </w:rPr>
            </w:pPr>
          </w:p>
        </w:tc>
        <w:tc>
          <w:tcPr>
            <w:tcW w:w="2575" w:type="dxa"/>
            <w:vAlign w:val="center"/>
          </w:tcPr>
          <w:p w14:paraId="69D4FE81">
            <w:pPr>
              <w:jc w:val="center"/>
              <w:rPr>
                <w:rFonts w:asciiTheme="minorEastAsia" w:hAnsiTheme="minorEastAsia" w:eastAsiaTheme="minorEastAsia"/>
                <w:color w:val="auto"/>
                <w:sz w:val="24"/>
                <w:highlight w:val="none"/>
              </w:rPr>
            </w:pPr>
          </w:p>
        </w:tc>
        <w:tc>
          <w:tcPr>
            <w:tcW w:w="810" w:type="dxa"/>
            <w:vAlign w:val="center"/>
          </w:tcPr>
          <w:p w14:paraId="2B3482A4">
            <w:pPr>
              <w:jc w:val="center"/>
              <w:rPr>
                <w:rFonts w:asciiTheme="minorEastAsia" w:hAnsiTheme="minorEastAsia" w:eastAsiaTheme="minorEastAsia"/>
                <w:color w:val="auto"/>
                <w:sz w:val="24"/>
                <w:highlight w:val="none"/>
              </w:rPr>
            </w:pPr>
          </w:p>
        </w:tc>
      </w:tr>
      <w:tr w14:paraId="4CA4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1A201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2F2E68D5">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8" w:type="dxa"/>
            <w:vAlign w:val="center"/>
          </w:tcPr>
          <w:p w14:paraId="22787C49">
            <w:pPr>
              <w:jc w:val="center"/>
              <w:rPr>
                <w:rFonts w:asciiTheme="minorEastAsia" w:hAnsiTheme="minorEastAsia" w:eastAsiaTheme="minorEastAsia"/>
                <w:color w:val="auto"/>
                <w:sz w:val="24"/>
                <w:highlight w:val="none"/>
              </w:rPr>
            </w:pPr>
          </w:p>
        </w:tc>
        <w:tc>
          <w:tcPr>
            <w:tcW w:w="2575" w:type="dxa"/>
            <w:vAlign w:val="center"/>
          </w:tcPr>
          <w:p w14:paraId="0344CC3F">
            <w:pPr>
              <w:pStyle w:val="62"/>
              <w:jc w:val="center"/>
              <w:rPr>
                <w:rFonts w:asciiTheme="minorEastAsia" w:hAnsiTheme="minorEastAsia" w:eastAsiaTheme="minorEastAsia"/>
                <w:color w:val="auto"/>
                <w:highlight w:val="none"/>
              </w:rPr>
            </w:pPr>
          </w:p>
        </w:tc>
        <w:tc>
          <w:tcPr>
            <w:tcW w:w="810" w:type="dxa"/>
            <w:vAlign w:val="center"/>
          </w:tcPr>
          <w:p w14:paraId="015C4A8F">
            <w:pPr>
              <w:jc w:val="center"/>
              <w:rPr>
                <w:rFonts w:asciiTheme="minorEastAsia" w:hAnsiTheme="minorEastAsia" w:eastAsiaTheme="minorEastAsia"/>
                <w:color w:val="auto"/>
                <w:sz w:val="24"/>
                <w:highlight w:val="none"/>
              </w:rPr>
            </w:pPr>
          </w:p>
        </w:tc>
      </w:tr>
      <w:tr w14:paraId="58EE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E9317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1BE6FFD3">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8" w:type="dxa"/>
            <w:vAlign w:val="center"/>
          </w:tcPr>
          <w:p w14:paraId="07F0EF70">
            <w:pPr>
              <w:jc w:val="center"/>
              <w:rPr>
                <w:rFonts w:asciiTheme="minorEastAsia" w:hAnsiTheme="minorEastAsia" w:eastAsiaTheme="minorEastAsia"/>
                <w:color w:val="auto"/>
                <w:sz w:val="24"/>
                <w:highlight w:val="none"/>
              </w:rPr>
            </w:pPr>
          </w:p>
        </w:tc>
        <w:tc>
          <w:tcPr>
            <w:tcW w:w="2575" w:type="dxa"/>
            <w:vAlign w:val="center"/>
          </w:tcPr>
          <w:p w14:paraId="411E4E7D">
            <w:pPr>
              <w:jc w:val="center"/>
              <w:rPr>
                <w:rFonts w:asciiTheme="minorEastAsia" w:hAnsiTheme="minorEastAsia" w:eastAsiaTheme="minorEastAsia"/>
                <w:color w:val="auto"/>
                <w:sz w:val="24"/>
                <w:highlight w:val="none"/>
              </w:rPr>
            </w:pPr>
          </w:p>
        </w:tc>
        <w:tc>
          <w:tcPr>
            <w:tcW w:w="810" w:type="dxa"/>
            <w:vAlign w:val="center"/>
          </w:tcPr>
          <w:p w14:paraId="42B5F118">
            <w:pPr>
              <w:jc w:val="center"/>
              <w:rPr>
                <w:rFonts w:asciiTheme="minorEastAsia" w:hAnsiTheme="minorEastAsia" w:eastAsiaTheme="minorEastAsia"/>
                <w:color w:val="auto"/>
                <w:sz w:val="24"/>
                <w:highlight w:val="none"/>
              </w:rPr>
            </w:pPr>
          </w:p>
        </w:tc>
      </w:tr>
      <w:tr w14:paraId="353B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38CC5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2A8543AB">
            <w:pPr>
              <w:jc w:val="center"/>
              <w:rPr>
                <w:rFonts w:ascii="宋体" w:hAnsi="宋体" w:eastAsia="宋体"/>
                <w:color w:val="auto"/>
                <w:sz w:val="24"/>
                <w:highlight w:val="none"/>
              </w:rPr>
            </w:pPr>
          </w:p>
        </w:tc>
        <w:tc>
          <w:tcPr>
            <w:tcW w:w="2498" w:type="dxa"/>
            <w:vAlign w:val="center"/>
          </w:tcPr>
          <w:p w14:paraId="5581BCBA">
            <w:pPr>
              <w:jc w:val="center"/>
              <w:rPr>
                <w:rFonts w:asciiTheme="minorEastAsia" w:hAnsiTheme="minorEastAsia" w:eastAsiaTheme="minorEastAsia"/>
                <w:color w:val="auto"/>
                <w:sz w:val="24"/>
                <w:highlight w:val="none"/>
              </w:rPr>
            </w:pPr>
          </w:p>
        </w:tc>
        <w:tc>
          <w:tcPr>
            <w:tcW w:w="2575" w:type="dxa"/>
            <w:vAlign w:val="center"/>
          </w:tcPr>
          <w:p w14:paraId="6D3221F4">
            <w:pPr>
              <w:jc w:val="center"/>
              <w:rPr>
                <w:rFonts w:asciiTheme="minorEastAsia" w:hAnsiTheme="minorEastAsia" w:eastAsiaTheme="minorEastAsia"/>
                <w:color w:val="auto"/>
                <w:sz w:val="24"/>
                <w:highlight w:val="none"/>
              </w:rPr>
            </w:pPr>
          </w:p>
        </w:tc>
        <w:tc>
          <w:tcPr>
            <w:tcW w:w="810" w:type="dxa"/>
            <w:vAlign w:val="center"/>
          </w:tcPr>
          <w:p w14:paraId="374D8D8B">
            <w:pPr>
              <w:jc w:val="center"/>
              <w:rPr>
                <w:rFonts w:asciiTheme="minorEastAsia" w:hAnsiTheme="minorEastAsia" w:eastAsiaTheme="minorEastAsia"/>
                <w:color w:val="auto"/>
                <w:sz w:val="24"/>
                <w:highlight w:val="none"/>
              </w:rPr>
            </w:pPr>
          </w:p>
        </w:tc>
      </w:tr>
    </w:tbl>
    <w:p w14:paraId="56829BC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733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6B9EE9E5">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4A7FF6C5">
            <w:pPr>
              <w:pStyle w:val="1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4" w:type="dxa"/>
            <w:vAlign w:val="center"/>
          </w:tcPr>
          <w:p w14:paraId="2A2AB1B8">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2482" w:type="dxa"/>
            <w:vAlign w:val="center"/>
          </w:tcPr>
          <w:p w14:paraId="42F0A4A1">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856" w:type="dxa"/>
            <w:vAlign w:val="center"/>
          </w:tcPr>
          <w:p w14:paraId="24E88497">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4F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566A8B0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5064E8E1">
            <w:pPr>
              <w:jc w:val="center"/>
              <w:rPr>
                <w:rFonts w:asciiTheme="minorEastAsia" w:hAnsiTheme="minorEastAsia" w:eastAsiaTheme="minorEastAsia"/>
                <w:color w:val="auto"/>
                <w:sz w:val="24"/>
                <w:highlight w:val="none"/>
              </w:rPr>
            </w:pPr>
          </w:p>
        </w:tc>
        <w:tc>
          <w:tcPr>
            <w:tcW w:w="2864" w:type="dxa"/>
            <w:vAlign w:val="center"/>
          </w:tcPr>
          <w:p w14:paraId="4A46EF4E">
            <w:pPr>
              <w:jc w:val="center"/>
              <w:rPr>
                <w:rFonts w:asciiTheme="minorEastAsia" w:hAnsiTheme="minorEastAsia" w:eastAsiaTheme="minorEastAsia"/>
                <w:color w:val="auto"/>
                <w:sz w:val="24"/>
                <w:highlight w:val="none"/>
              </w:rPr>
            </w:pPr>
          </w:p>
        </w:tc>
        <w:tc>
          <w:tcPr>
            <w:tcW w:w="2482" w:type="dxa"/>
            <w:vAlign w:val="center"/>
          </w:tcPr>
          <w:p w14:paraId="1E576EEF">
            <w:pPr>
              <w:jc w:val="center"/>
              <w:rPr>
                <w:rFonts w:asciiTheme="minorEastAsia" w:hAnsiTheme="minorEastAsia" w:eastAsiaTheme="minorEastAsia"/>
                <w:color w:val="auto"/>
                <w:sz w:val="24"/>
                <w:highlight w:val="none"/>
              </w:rPr>
            </w:pPr>
          </w:p>
        </w:tc>
        <w:tc>
          <w:tcPr>
            <w:tcW w:w="856" w:type="dxa"/>
            <w:vAlign w:val="center"/>
          </w:tcPr>
          <w:p w14:paraId="1B479A5F">
            <w:pPr>
              <w:jc w:val="center"/>
              <w:rPr>
                <w:rFonts w:asciiTheme="minorEastAsia" w:hAnsiTheme="minorEastAsia" w:eastAsiaTheme="minorEastAsia"/>
                <w:color w:val="auto"/>
                <w:sz w:val="24"/>
                <w:highlight w:val="none"/>
              </w:rPr>
            </w:pPr>
          </w:p>
        </w:tc>
      </w:tr>
      <w:tr w14:paraId="1F4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246A758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232BDDE4">
            <w:pPr>
              <w:jc w:val="center"/>
              <w:rPr>
                <w:rFonts w:asciiTheme="minorEastAsia" w:hAnsiTheme="minorEastAsia" w:eastAsiaTheme="minorEastAsia"/>
                <w:color w:val="auto"/>
                <w:sz w:val="24"/>
                <w:highlight w:val="none"/>
              </w:rPr>
            </w:pPr>
          </w:p>
        </w:tc>
        <w:tc>
          <w:tcPr>
            <w:tcW w:w="2864" w:type="dxa"/>
            <w:vAlign w:val="center"/>
          </w:tcPr>
          <w:p w14:paraId="64EC347D">
            <w:pPr>
              <w:jc w:val="center"/>
              <w:rPr>
                <w:rFonts w:asciiTheme="minorEastAsia" w:hAnsiTheme="minorEastAsia" w:eastAsiaTheme="minorEastAsia"/>
                <w:color w:val="auto"/>
                <w:sz w:val="24"/>
                <w:highlight w:val="none"/>
              </w:rPr>
            </w:pPr>
          </w:p>
        </w:tc>
        <w:tc>
          <w:tcPr>
            <w:tcW w:w="2482" w:type="dxa"/>
            <w:vAlign w:val="center"/>
          </w:tcPr>
          <w:p w14:paraId="54A6963F">
            <w:pPr>
              <w:jc w:val="center"/>
              <w:rPr>
                <w:rFonts w:asciiTheme="minorEastAsia" w:hAnsiTheme="minorEastAsia" w:eastAsiaTheme="minorEastAsia"/>
                <w:color w:val="auto"/>
                <w:sz w:val="24"/>
                <w:highlight w:val="none"/>
              </w:rPr>
            </w:pPr>
          </w:p>
        </w:tc>
        <w:tc>
          <w:tcPr>
            <w:tcW w:w="856" w:type="dxa"/>
            <w:vAlign w:val="center"/>
          </w:tcPr>
          <w:p w14:paraId="15DECBE0">
            <w:pPr>
              <w:jc w:val="center"/>
              <w:rPr>
                <w:rFonts w:asciiTheme="minorEastAsia" w:hAnsiTheme="minorEastAsia" w:eastAsiaTheme="minorEastAsia"/>
                <w:color w:val="auto"/>
                <w:sz w:val="24"/>
                <w:highlight w:val="none"/>
              </w:rPr>
            </w:pPr>
          </w:p>
        </w:tc>
      </w:tr>
      <w:tr w14:paraId="635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844D85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042B9FC1">
            <w:pPr>
              <w:jc w:val="center"/>
              <w:rPr>
                <w:rFonts w:asciiTheme="minorEastAsia" w:hAnsiTheme="minorEastAsia" w:eastAsiaTheme="minorEastAsia"/>
                <w:color w:val="auto"/>
                <w:sz w:val="24"/>
                <w:highlight w:val="none"/>
              </w:rPr>
            </w:pPr>
          </w:p>
        </w:tc>
        <w:tc>
          <w:tcPr>
            <w:tcW w:w="2864" w:type="dxa"/>
            <w:vAlign w:val="center"/>
          </w:tcPr>
          <w:p w14:paraId="189C5A33">
            <w:pPr>
              <w:jc w:val="center"/>
              <w:rPr>
                <w:rFonts w:asciiTheme="minorEastAsia" w:hAnsiTheme="minorEastAsia" w:eastAsiaTheme="minorEastAsia"/>
                <w:color w:val="auto"/>
                <w:sz w:val="24"/>
                <w:highlight w:val="none"/>
              </w:rPr>
            </w:pPr>
          </w:p>
        </w:tc>
        <w:tc>
          <w:tcPr>
            <w:tcW w:w="2482" w:type="dxa"/>
            <w:vAlign w:val="center"/>
          </w:tcPr>
          <w:p w14:paraId="413D1B03">
            <w:pPr>
              <w:pStyle w:val="62"/>
              <w:jc w:val="center"/>
              <w:rPr>
                <w:rFonts w:asciiTheme="minorEastAsia" w:hAnsiTheme="minorEastAsia" w:eastAsiaTheme="minorEastAsia"/>
                <w:color w:val="auto"/>
                <w:highlight w:val="none"/>
              </w:rPr>
            </w:pPr>
          </w:p>
        </w:tc>
        <w:tc>
          <w:tcPr>
            <w:tcW w:w="856" w:type="dxa"/>
            <w:vAlign w:val="center"/>
          </w:tcPr>
          <w:p w14:paraId="60421CAD">
            <w:pPr>
              <w:jc w:val="center"/>
              <w:rPr>
                <w:rFonts w:asciiTheme="minorEastAsia" w:hAnsiTheme="minorEastAsia" w:eastAsiaTheme="minorEastAsia"/>
                <w:color w:val="auto"/>
                <w:sz w:val="24"/>
                <w:highlight w:val="none"/>
              </w:rPr>
            </w:pPr>
          </w:p>
        </w:tc>
      </w:tr>
      <w:tr w14:paraId="2997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3AD53A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2B6ED947">
            <w:pPr>
              <w:jc w:val="center"/>
              <w:rPr>
                <w:rFonts w:asciiTheme="minorEastAsia" w:hAnsiTheme="minorEastAsia" w:eastAsiaTheme="minorEastAsia"/>
                <w:color w:val="auto"/>
                <w:sz w:val="24"/>
                <w:highlight w:val="none"/>
              </w:rPr>
            </w:pPr>
          </w:p>
        </w:tc>
        <w:tc>
          <w:tcPr>
            <w:tcW w:w="2864" w:type="dxa"/>
            <w:vAlign w:val="center"/>
          </w:tcPr>
          <w:p w14:paraId="569247B1">
            <w:pPr>
              <w:jc w:val="center"/>
              <w:rPr>
                <w:rFonts w:asciiTheme="minorEastAsia" w:hAnsiTheme="minorEastAsia" w:eastAsiaTheme="minorEastAsia"/>
                <w:color w:val="auto"/>
                <w:sz w:val="24"/>
                <w:highlight w:val="none"/>
              </w:rPr>
            </w:pPr>
          </w:p>
        </w:tc>
        <w:tc>
          <w:tcPr>
            <w:tcW w:w="2482" w:type="dxa"/>
            <w:vAlign w:val="center"/>
          </w:tcPr>
          <w:p w14:paraId="44D53568">
            <w:pPr>
              <w:pStyle w:val="62"/>
              <w:jc w:val="center"/>
              <w:rPr>
                <w:rFonts w:asciiTheme="minorEastAsia" w:hAnsiTheme="minorEastAsia" w:eastAsiaTheme="minorEastAsia"/>
                <w:color w:val="auto"/>
                <w:highlight w:val="none"/>
              </w:rPr>
            </w:pPr>
          </w:p>
        </w:tc>
        <w:tc>
          <w:tcPr>
            <w:tcW w:w="856" w:type="dxa"/>
            <w:vAlign w:val="center"/>
          </w:tcPr>
          <w:p w14:paraId="426EA408">
            <w:pPr>
              <w:jc w:val="center"/>
              <w:rPr>
                <w:rFonts w:asciiTheme="minorEastAsia" w:hAnsiTheme="minorEastAsia" w:eastAsiaTheme="minorEastAsia"/>
                <w:color w:val="auto"/>
                <w:sz w:val="24"/>
                <w:highlight w:val="none"/>
              </w:rPr>
            </w:pPr>
          </w:p>
        </w:tc>
      </w:tr>
      <w:tr w14:paraId="680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3A8E1F1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794B44A3">
            <w:pPr>
              <w:jc w:val="center"/>
              <w:rPr>
                <w:rFonts w:asciiTheme="minorEastAsia" w:hAnsiTheme="minorEastAsia" w:eastAsiaTheme="minorEastAsia"/>
                <w:color w:val="auto"/>
                <w:sz w:val="24"/>
                <w:highlight w:val="none"/>
              </w:rPr>
            </w:pPr>
          </w:p>
        </w:tc>
        <w:tc>
          <w:tcPr>
            <w:tcW w:w="2864" w:type="dxa"/>
            <w:vAlign w:val="center"/>
          </w:tcPr>
          <w:p w14:paraId="57952384">
            <w:pPr>
              <w:jc w:val="center"/>
              <w:rPr>
                <w:rFonts w:asciiTheme="minorEastAsia" w:hAnsiTheme="minorEastAsia" w:eastAsiaTheme="minorEastAsia"/>
                <w:color w:val="auto"/>
                <w:sz w:val="24"/>
                <w:highlight w:val="none"/>
              </w:rPr>
            </w:pPr>
          </w:p>
        </w:tc>
        <w:tc>
          <w:tcPr>
            <w:tcW w:w="2482" w:type="dxa"/>
            <w:vAlign w:val="center"/>
          </w:tcPr>
          <w:p w14:paraId="0F805400">
            <w:pPr>
              <w:jc w:val="center"/>
              <w:rPr>
                <w:rFonts w:asciiTheme="minorEastAsia" w:hAnsiTheme="minorEastAsia" w:eastAsiaTheme="minorEastAsia"/>
                <w:color w:val="auto"/>
                <w:sz w:val="24"/>
                <w:highlight w:val="none"/>
              </w:rPr>
            </w:pPr>
          </w:p>
        </w:tc>
        <w:tc>
          <w:tcPr>
            <w:tcW w:w="856" w:type="dxa"/>
            <w:vAlign w:val="center"/>
          </w:tcPr>
          <w:p w14:paraId="49233DB2">
            <w:pPr>
              <w:jc w:val="center"/>
              <w:rPr>
                <w:rFonts w:asciiTheme="minorEastAsia" w:hAnsiTheme="minorEastAsia" w:eastAsiaTheme="minorEastAsia"/>
                <w:color w:val="auto"/>
                <w:sz w:val="24"/>
                <w:highlight w:val="none"/>
              </w:rPr>
            </w:pPr>
          </w:p>
        </w:tc>
      </w:tr>
    </w:tbl>
    <w:p w14:paraId="494A829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80A1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3CC82ED">
      <w:pPr>
        <w:pStyle w:val="17"/>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17C79A30">
      <w:pPr>
        <w:spacing w:line="360" w:lineRule="auto"/>
        <w:jc w:val="center"/>
        <w:outlineLvl w:val="1"/>
        <w:rPr>
          <w:rFonts w:asciiTheme="minorEastAsia" w:hAnsiTheme="minorEastAsia" w:eastAsiaTheme="minorEastAsia"/>
          <w:b/>
          <w:color w:val="auto"/>
          <w:sz w:val="24"/>
          <w:highlight w:val="none"/>
        </w:rPr>
      </w:pPr>
      <w:bookmarkStart w:id="211" w:name="_Toc9573"/>
      <w:bookmarkStart w:id="212" w:name="_Toc31244"/>
      <w:bookmarkStart w:id="213" w:name="OLE_LINK13"/>
      <w:bookmarkStart w:id="214" w:name="OLE_LINK14"/>
      <w:r>
        <w:rPr>
          <w:rFonts w:hint="eastAsia" w:asciiTheme="minorEastAsia" w:hAnsiTheme="minorEastAsia" w:eastAsiaTheme="minorEastAsia"/>
          <w:b/>
          <w:color w:val="auto"/>
          <w:sz w:val="24"/>
          <w:highlight w:val="none"/>
        </w:rPr>
        <w:t>六、中小企业声明函</w:t>
      </w:r>
      <w:bookmarkEnd w:id="211"/>
      <w:bookmarkEnd w:id="212"/>
    </w:p>
    <w:p w14:paraId="5F72DFFA">
      <w:pPr>
        <w:pStyle w:val="11"/>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非中小企业投标</w:t>
      </w:r>
      <w:r>
        <w:rPr>
          <w:rFonts w:hint="eastAsia" w:ascii="宋体" w:hAnsi="宋体" w:eastAsia="宋体"/>
          <w:i/>
          <w:color w:val="auto"/>
          <w:sz w:val="24"/>
          <w:highlight w:val="none"/>
          <w:lang w:val="en-US"/>
        </w:rPr>
        <w:t>，不需此件，请删去“中小企业声明函”）</w:t>
      </w:r>
    </w:p>
    <w:p w14:paraId="55077108">
      <w:pPr>
        <w:rPr>
          <w:rFonts w:asciiTheme="minorEastAsia" w:hAnsiTheme="minorEastAsia" w:eastAsiaTheme="minorEastAsia"/>
          <w:color w:val="auto"/>
          <w:sz w:val="24"/>
          <w:szCs w:val="24"/>
          <w:highlight w:val="none"/>
        </w:rPr>
      </w:pPr>
    </w:p>
    <w:p w14:paraId="1988196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54226B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5D3B56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5E2635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908F7C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816C04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BDBFB20">
      <w:pPr>
        <w:spacing w:line="360" w:lineRule="auto"/>
        <w:ind w:firstLine="435"/>
        <w:rPr>
          <w:rFonts w:asciiTheme="minorEastAsia" w:hAnsiTheme="minorEastAsia" w:eastAsiaTheme="minorEastAsia"/>
          <w:color w:val="auto"/>
          <w:sz w:val="24"/>
          <w:szCs w:val="24"/>
          <w:highlight w:val="none"/>
        </w:rPr>
      </w:pPr>
    </w:p>
    <w:p w14:paraId="713DDA75">
      <w:pPr>
        <w:spacing w:line="360" w:lineRule="auto"/>
        <w:ind w:firstLine="435"/>
        <w:rPr>
          <w:rFonts w:asciiTheme="minorEastAsia" w:hAnsiTheme="minorEastAsia" w:eastAsiaTheme="minorEastAsia"/>
          <w:color w:val="auto"/>
          <w:sz w:val="24"/>
          <w:szCs w:val="24"/>
          <w:highlight w:val="none"/>
        </w:rPr>
      </w:pPr>
    </w:p>
    <w:p w14:paraId="6CF2A0A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309308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96B3FC">
      <w:pPr>
        <w:tabs>
          <w:tab w:val="left" w:pos="4620"/>
        </w:tabs>
        <w:spacing w:line="360" w:lineRule="auto"/>
        <w:jc w:val="left"/>
        <w:rPr>
          <w:rFonts w:asciiTheme="minorEastAsia" w:hAnsiTheme="minorEastAsia" w:eastAsiaTheme="minorEastAsia"/>
          <w:color w:val="auto"/>
          <w:sz w:val="24"/>
          <w:szCs w:val="24"/>
          <w:highlight w:val="none"/>
        </w:rPr>
      </w:pPr>
    </w:p>
    <w:p w14:paraId="6A838C55">
      <w:pPr>
        <w:tabs>
          <w:tab w:val="left" w:pos="4620"/>
        </w:tabs>
        <w:spacing w:line="360" w:lineRule="auto"/>
        <w:jc w:val="left"/>
        <w:rPr>
          <w:rFonts w:asciiTheme="minorEastAsia" w:hAnsiTheme="minorEastAsia" w:eastAsiaTheme="minorEastAsia"/>
          <w:color w:val="auto"/>
          <w:sz w:val="24"/>
          <w:szCs w:val="24"/>
          <w:highlight w:val="none"/>
        </w:rPr>
      </w:pPr>
    </w:p>
    <w:p w14:paraId="53AB8527">
      <w:pPr>
        <w:tabs>
          <w:tab w:val="left" w:pos="4620"/>
        </w:tabs>
        <w:spacing w:line="360" w:lineRule="auto"/>
        <w:jc w:val="left"/>
        <w:rPr>
          <w:rFonts w:asciiTheme="minorEastAsia" w:hAnsiTheme="minorEastAsia" w:eastAsiaTheme="minorEastAsia"/>
          <w:color w:val="auto"/>
          <w:sz w:val="24"/>
          <w:szCs w:val="24"/>
          <w:highlight w:val="none"/>
        </w:rPr>
      </w:pPr>
    </w:p>
    <w:p w14:paraId="762005B4">
      <w:pPr>
        <w:tabs>
          <w:tab w:val="left" w:pos="4620"/>
        </w:tabs>
        <w:spacing w:line="360" w:lineRule="auto"/>
        <w:jc w:val="left"/>
        <w:rPr>
          <w:rFonts w:asciiTheme="minorEastAsia" w:hAnsiTheme="minorEastAsia" w:eastAsiaTheme="minorEastAsia"/>
          <w:color w:val="auto"/>
          <w:sz w:val="24"/>
          <w:szCs w:val="24"/>
          <w:highlight w:val="none"/>
        </w:rPr>
      </w:pPr>
    </w:p>
    <w:p w14:paraId="4587B0BE">
      <w:pPr>
        <w:tabs>
          <w:tab w:val="left" w:pos="4620"/>
        </w:tabs>
        <w:spacing w:line="360" w:lineRule="auto"/>
        <w:jc w:val="left"/>
        <w:rPr>
          <w:rFonts w:asciiTheme="minorEastAsia" w:hAnsiTheme="minorEastAsia" w:eastAsiaTheme="minorEastAsia"/>
          <w:color w:val="auto"/>
          <w:sz w:val="24"/>
          <w:szCs w:val="24"/>
          <w:highlight w:val="none"/>
        </w:rPr>
      </w:pPr>
    </w:p>
    <w:p w14:paraId="019447A9">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308DE1A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E17AE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D8A4A6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D54E3D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CB5F00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AC6CBA2">
      <w:pPr>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13"/>
      <w:bookmarkEnd w:id="214"/>
    </w:p>
    <w:p w14:paraId="677EE695">
      <w:pPr>
        <w:spacing w:line="360" w:lineRule="auto"/>
        <w:jc w:val="center"/>
        <w:outlineLvl w:val="1"/>
        <w:rPr>
          <w:rFonts w:asciiTheme="minorEastAsia" w:hAnsiTheme="minorEastAsia" w:eastAsiaTheme="minorEastAsia"/>
          <w:b/>
          <w:color w:val="auto"/>
          <w:sz w:val="24"/>
          <w:highlight w:val="none"/>
        </w:rPr>
      </w:pPr>
      <w:bookmarkStart w:id="215" w:name="_Toc16713"/>
      <w:bookmarkStart w:id="216" w:name="_Toc24563"/>
      <w:r>
        <w:rPr>
          <w:rFonts w:hint="eastAsia" w:asciiTheme="minorEastAsia" w:hAnsiTheme="minorEastAsia" w:eastAsiaTheme="minorEastAsia"/>
          <w:b/>
          <w:color w:val="auto"/>
          <w:sz w:val="24"/>
          <w:highlight w:val="none"/>
        </w:rPr>
        <w:t>七、残疾人福利性单位声明函</w:t>
      </w:r>
      <w:bookmarkEnd w:id="215"/>
      <w:bookmarkEnd w:id="216"/>
    </w:p>
    <w:p w14:paraId="0A60CF27">
      <w:pPr>
        <w:pStyle w:val="11"/>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3EF7C9A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3001E9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6A2DB59">
      <w:pPr>
        <w:spacing w:line="360" w:lineRule="auto"/>
        <w:ind w:firstLine="4228" w:firstLineChars="1762"/>
        <w:rPr>
          <w:rFonts w:asciiTheme="minorEastAsia" w:hAnsiTheme="minorEastAsia" w:eastAsiaTheme="minorEastAsia"/>
          <w:color w:val="auto"/>
          <w:sz w:val="24"/>
          <w:szCs w:val="24"/>
          <w:highlight w:val="none"/>
        </w:rPr>
      </w:pPr>
    </w:p>
    <w:p w14:paraId="60C5EAA1">
      <w:pPr>
        <w:spacing w:line="360" w:lineRule="auto"/>
        <w:ind w:firstLine="4228" w:firstLineChars="1762"/>
        <w:rPr>
          <w:rFonts w:asciiTheme="minorEastAsia" w:hAnsiTheme="minorEastAsia" w:eastAsiaTheme="minorEastAsia"/>
          <w:color w:val="auto"/>
          <w:sz w:val="24"/>
          <w:szCs w:val="24"/>
          <w:highlight w:val="none"/>
        </w:rPr>
      </w:pPr>
    </w:p>
    <w:p w14:paraId="23C701B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99EAE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3FD476F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E457D7">
      <w:pPr>
        <w:spacing w:line="360" w:lineRule="auto"/>
        <w:jc w:val="center"/>
        <w:outlineLvl w:val="1"/>
        <w:rPr>
          <w:rFonts w:ascii="宋体" w:hAnsi="宋体" w:eastAsia="宋体"/>
          <w:b/>
          <w:color w:val="auto"/>
          <w:sz w:val="24"/>
          <w:highlight w:val="none"/>
        </w:rPr>
      </w:pPr>
      <w:bookmarkStart w:id="217" w:name="_Toc520299348"/>
      <w:bookmarkStart w:id="218" w:name="_Toc457768004"/>
      <w:bookmarkStart w:id="219" w:name="_Toc300210382"/>
      <w:bookmarkStart w:id="220" w:name="_Toc25813"/>
      <w:bookmarkStart w:id="221" w:name="_Toc26536"/>
      <w:bookmarkStart w:id="222" w:name="_Hlk11701496"/>
      <w:r>
        <w:rPr>
          <w:rFonts w:hint="eastAsia" w:asciiTheme="minorEastAsia" w:hAnsiTheme="minorEastAsia" w:eastAsiaTheme="minorEastAsia"/>
          <w:b/>
          <w:color w:val="auto"/>
          <w:sz w:val="24"/>
          <w:highlight w:val="none"/>
        </w:rPr>
        <w:t>八、</w:t>
      </w:r>
      <w:r>
        <w:rPr>
          <w:rFonts w:hint="eastAsia" w:ascii="宋体" w:hAnsi="宋体" w:eastAsia="宋体"/>
          <w:b/>
          <w:color w:val="auto"/>
          <w:sz w:val="24"/>
          <w:highlight w:val="none"/>
        </w:rPr>
        <w:t>关于符合本国产品标准的声明函</w:t>
      </w:r>
    </w:p>
    <w:p w14:paraId="570AADD8">
      <w:pPr>
        <w:spacing w:line="360" w:lineRule="auto"/>
        <w:jc w:val="center"/>
        <w:rPr>
          <w:rFonts w:ascii="宋体" w:hAnsi="宋体" w:eastAsia="宋体" w:cs="宋体"/>
          <w:color w:val="auto"/>
          <w:sz w:val="24"/>
          <w:szCs w:val="24"/>
          <w:highlight w:val="none"/>
          <w:shd w:val="clear" w:color="auto" w:fill="FFFFFF"/>
        </w:rPr>
      </w:pPr>
      <w:r>
        <w:rPr>
          <w:rFonts w:hint="eastAsia" w:ascii="宋体" w:hAnsi="宋体" w:eastAsia="宋体"/>
          <w:i/>
          <w:color w:val="auto"/>
          <w:sz w:val="24"/>
          <w:highlight w:val="none"/>
        </w:rPr>
        <w:t>（不符合本国产品扶持政策，不需此件）</w:t>
      </w:r>
    </w:p>
    <w:p w14:paraId="4FBC1009">
      <w:pPr>
        <w:pStyle w:val="23"/>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CBFF791">
      <w:pPr>
        <w:pStyle w:val="23"/>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33"/>
          <w:rFonts w:hint="eastAsia" w:ascii="宋体" w:hAnsi="宋体" w:eastAsia="宋体" w:cs="宋体"/>
          <w:i w:val="0"/>
          <w:color w:val="auto"/>
          <w:szCs w:val="24"/>
          <w:highlight w:val="none"/>
          <w:u w:val="single"/>
          <w:shd w:val="clear" w:color="auto" w:fill="FFFFFF"/>
        </w:rPr>
        <w:t>（产品名称1）</w:t>
      </w:r>
      <w:r>
        <w:rPr>
          <w:rStyle w:val="33"/>
          <w:rFonts w:hint="eastAsia" w:ascii="宋体" w:hAnsi="宋体" w:eastAsia="宋体" w:cs="宋体"/>
          <w:i w:val="0"/>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33"/>
          <w:rFonts w:hint="eastAsia" w:ascii="宋体" w:hAnsi="宋体" w:eastAsia="宋体" w:cs="宋体"/>
          <w:i w:val="0"/>
          <w:color w:val="auto"/>
          <w:szCs w:val="24"/>
          <w:highlight w:val="none"/>
          <w:u w:val="single"/>
          <w:shd w:val="clear" w:color="auto" w:fill="FFFFFF"/>
        </w:rPr>
        <w:t>（厂名）</w:t>
      </w:r>
      <w:r>
        <w:rPr>
          <w:rStyle w:val="33"/>
          <w:rFonts w:hint="eastAsia" w:ascii="宋体" w:hAnsi="宋体" w:eastAsia="宋体" w:cs="宋体"/>
          <w:i w:val="0"/>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33"/>
          <w:rFonts w:hint="eastAsia" w:ascii="宋体" w:hAnsi="宋体" w:eastAsia="宋体" w:cs="宋体"/>
          <w:i w:val="0"/>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6B896EC2">
      <w:pPr>
        <w:pStyle w:val="23"/>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33"/>
          <w:rFonts w:hint="eastAsia" w:ascii="宋体" w:hAnsi="宋体" w:eastAsia="宋体" w:cs="宋体"/>
          <w:i w:val="0"/>
          <w:color w:val="auto"/>
          <w:szCs w:val="24"/>
          <w:highlight w:val="none"/>
          <w:u w:val="singl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33"/>
          <w:rFonts w:hint="eastAsia" w:ascii="宋体" w:hAnsi="宋体" w:eastAsia="宋体" w:cs="宋体"/>
          <w:i w:val="0"/>
          <w:color w:val="auto"/>
          <w:szCs w:val="24"/>
          <w:highlight w:val="none"/>
          <w:u w:val="single"/>
          <w:shd w:val="clear" w:color="auto" w:fill="FFFFFF"/>
        </w:rPr>
        <w:t>（厂名）</w:t>
      </w:r>
      <w:r>
        <w:rPr>
          <w:rFonts w:hint="eastAsia" w:ascii="宋体" w:hAnsi="宋体" w:eastAsia="宋体" w:cs="宋体"/>
          <w:color w:val="auto"/>
          <w:szCs w:val="24"/>
          <w:highlight w:val="none"/>
          <w:shd w:val="clear" w:color="auto" w:fill="FFFFFF"/>
        </w:rPr>
        <w:t>，厂址为</w:t>
      </w:r>
      <w:r>
        <w:rPr>
          <w:rStyle w:val="33"/>
          <w:rFonts w:hint="eastAsia" w:ascii="宋体" w:hAnsi="宋体" w:eastAsia="宋体" w:cs="宋体"/>
          <w:i w:val="0"/>
          <w:color w:val="auto"/>
          <w:szCs w:val="24"/>
          <w:highlight w:val="none"/>
          <w:u w:val="single"/>
          <w:shd w:val="clear" w:color="auto" w:fill="FFFFFF"/>
        </w:rPr>
        <w:t>（生产厂址）</w:t>
      </w:r>
      <w:r>
        <w:rPr>
          <w:rFonts w:hint="eastAsia" w:ascii="宋体" w:hAnsi="宋体" w:eastAsia="宋体" w:cs="宋体"/>
          <w:color w:val="auto"/>
          <w:szCs w:val="24"/>
          <w:highlight w:val="none"/>
          <w:shd w:val="clear" w:color="auto" w:fill="FFFFFF"/>
        </w:rPr>
        <w:t>。</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的中国境内生产的组件成本占比≥</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在中国境内生产。</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的</w:t>
      </w:r>
      <w:r>
        <w:rPr>
          <w:rStyle w:val="33"/>
          <w:rFonts w:hint="eastAsia" w:ascii="宋体" w:hAnsi="宋体" w:eastAsia="宋体" w:cs="宋体"/>
          <w:i w:val="0"/>
          <w:color w:val="auto"/>
          <w:szCs w:val="24"/>
          <w:highlight w:val="none"/>
          <w:u w:val="single"/>
          <w:shd w:val="clear" w:color="auto" w:fill="FFFFFF"/>
        </w:rPr>
        <w:t xml:space="preserve">  /  </w:t>
      </w:r>
      <w:r>
        <w:rPr>
          <w:rFonts w:hint="eastAsia" w:ascii="宋体" w:hAnsi="宋体" w:eastAsia="宋体" w:cs="宋体"/>
          <w:color w:val="auto"/>
          <w:szCs w:val="24"/>
          <w:highlight w:val="none"/>
          <w:shd w:val="clear" w:color="auto" w:fill="FFFFFF"/>
        </w:rPr>
        <w:t>在中国境内完成。</w:t>
      </w:r>
    </w:p>
    <w:p w14:paraId="126AF6B3">
      <w:pPr>
        <w:pStyle w:val="23"/>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2C86EBFF">
      <w:pPr>
        <w:pStyle w:val="23"/>
        <w:widowControl/>
        <w:spacing w:before="0" w:beforeAutospacing="0" w:after="0" w:afterAutospacing="0" w:line="360" w:lineRule="auto"/>
        <w:ind w:firstLine="42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4F186D9A">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77319039">
      <w:pPr>
        <w:tabs>
          <w:tab w:val="left" w:pos="4620"/>
        </w:tabs>
        <w:spacing w:line="360" w:lineRule="auto"/>
        <w:ind w:firstLine="4252" w:firstLineChars="1772"/>
        <w:rPr>
          <w:rFonts w:ascii="宋体" w:hAnsi="宋体" w:eastAsia="宋体" w:cs="宋体"/>
          <w:color w:val="auto"/>
          <w:sz w:val="24"/>
          <w:szCs w:val="24"/>
          <w:highlight w:val="none"/>
          <w:shd w:val="clear" w:color="auto" w:fill="FFFFFF"/>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4376CE65">
      <w:pPr>
        <w:tabs>
          <w:tab w:val="left" w:pos="4620"/>
        </w:tabs>
        <w:spacing w:line="360" w:lineRule="auto"/>
        <w:jc w:val="left"/>
        <w:rPr>
          <w:rFonts w:ascii="宋体" w:hAnsi="宋体" w:eastAsia="宋体"/>
          <w:bCs/>
          <w:color w:val="auto"/>
          <w:szCs w:val="24"/>
          <w:highlight w:val="none"/>
        </w:rPr>
      </w:pPr>
      <w:r>
        <w:rPr>
          <w:rFonts w:hint="eastAsia" w:ascii="宋体" w:hAnsi="宋体" w:eastAsia="宋体" w:cs="Times New Roman"/>
          <w:b/>
          <w:color w:val="auto"/>
          <w:szCs w:val="24"/>
          <w:highlight w:val="none"/>
        </w:rPr>
        <w:t>注：</w:t>
      </w:r>
    </w:p>
    <w:p w14:paraId="3FD8E3EA">
      <w:pPr>
        <w:tabs>
          <w:tab w:val="left" w:pos="4620"/>
        </w:tabs>
        <w:spacing w:line="360" w:lineRule="auto"/>
        <w:jc w:val="left"/>
        <w:rPr>
          <w:rFonts w:ascii="宋体" w:hAnsi="宋体" w:eastAsia="宋体"/>
          <w:bCs/>
          <w:color w:val="auto"/>
          <w:szCs w:val="21"/>
          <w:highlight w:val="none"/>
        </w:rPr>
      </w:pPr>
      <w:r>
        <w:rPr>
          <w:rFonts w:hint="eastAsia" w:ascii="宋体" w:hAnsi="宋体" w:eastAsia="宋体"/>
          <w:bCs/>
          <w:color w:val="auto"/>
          <w:szCs w:val="21"/>
          <w:highlight w:val="none"/>
        </w:rPr>
        <w:t>1.产品如有型号，请在“产品名称”栏一并填写。</w:t>
      </w:r>
    </w:p>
    <w:p w14:paraId="7EAC5F12">
      <w:pPr>
        <w:tabs>
          <w:tab w:val="left" w:pos="4620"/>
        </w:tabs>
        <w:spacing w:line="360" w:lineRule="auto"/>
        <w:jc w:val="left"/>
        <w:rPr>
          <w:rFonts w:ascii="宋体" w:hAnsi="宋体" w:eastAsia="宋体"/>
          <w:bCs/>
          <w:color w:val="auto"/>
          <w:szCs w:val="21"/>
          <w:highlight w:val="none"/>
        </w:rPr>
      </w:pPr>
      <w:r>
        <w:rPr>
          <w:rFonts w:hint="eastAsia" w:ascii="宋体" w:hAnsi="宋体" w:eastAsia="宋体"/>
          <w:bCs/>
          <w:color w:val="auto"/>
          <w:szCs w:val="21"/>
          <w:highlight w:val="none"/>
        </w:rPr>
        <w:t>2.生产厂名与厂址应与生产厂营业执照载明的相关信息保持一致。</w:t>
      </w:r>
    </w:p>
    <w:p w14:paraId="35C8384A">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3.上述声明函中标注</w:t>
      </w:r>
      <w:r>
        <w:rPr>
          <w:rFonts w:hint="eastAsia" w:ascii="宋体" w:hAnsi="宋体" w:eastAsia="宋体" w:cs="Times New Roman"/>
          <w:bCs/>
          <w:color w:val="auto"/>
          <w:szCs w:val="21"/>
          <w:highlight w:val="none"/>
          <w:u w:val="single"/>
        </w:rPr>
        <w:t xml:space="preserve">  /  </w:t>
      </w:r>
      <w:r>
        <w:rPr>
          <w:rFonts w:hint="eastAsia" w:ascii="宋体" w:hAnsi="宋体" w:eastAsia="宋体" w:cs="Times New Roman"/>
          <w:bCs/>
          <w:color w:val="auto"/>
          <w:szCs w:val="21"/>
          <w:highlight w:val="none"/>
        </w:rPr>
        <w:t>的，无需填写。</w:t>
      </w:r>
    </w:p>
    <w:p w14:paraId="5D24475F">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4.投标人应当结合“五、投标分项报价表-货物部分”相关信息进行填写。</w:t>
      </w:r>
    </w:p>
    <w:p w14:paraId="53D2F535">
      <w:pPr>
        <w:tabs>
          <w:tab w:val="left" w:pos="4620"/>
        </w:tabs>
        <w:spacing w:line="360" w:lineRule="auto"/>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15C918">
      <w:pPr>
        <w:tabs>
          <w:tab w:val="left" w:pos="4620"/>
        </w:tabs>
        <w:spacing w:line="360" w:lineRule="auto"/>
        <w:jc w:val="left"/>
        <w:rPr>
          <w:rFonts w:asciiTheme="minorEastAsia" w:hAnsiTheme="minorEastAsia" w:eastAsiaTheme="minorEastAsia"/>
          <w:b/>
          <w:color w:val="auto"/>
          <w:sz w:val="24"/>
          <w:highlight w:val="none"/>
        </w:rPr>
      </w:pPr>
    </w:p>
    <w:p w14:paraId="61D08B90">
      <w:pPr>
        <w:pStyle w:val="26"/>
        <w:ind w:firstLine="241"/>
        <w:rPr>
          <w:rFonts w:asciiTheme="minorEastAsia" w:hAnsiTheme="minorEastAsia" w:eastAsiaTheme="minorEastAsia"/>
          <w:b/>
          <w:color w:val="auto"/>
          <w:sz w:val="24"/>
          <w:highlight w:val="none"/>
          <w:lang w:val="en-US"/>
        </w:rPr>
      </w:pPr>
    </w:p>
    <w:p w14:paraId="1886F818">
      <w:pPr>
        <w:pStyle w:val="26"/>
        <w:ind w:firstLine="241"/>
        <w:rPr>
          <w:rFonts w:asciiTheme="minorEastAsia" w:hAnsiTheme="minorEastAsia" w:eastAsiaTheme="minorEastAsia"/>
          <w:b/>
          <w:color w:val="auto"/>
          <w:sz w:val="24"/>
          <w:highlight w:val="none"/>
          <w:lang w:val="en-US"/>
        </w:rPr>
      </w:pPr>
    </w:p>
    <w:p w14:paraId="0CE86FF6">
      <w:pPr>
        <w:pStyle w:val="26"/>
        <w:ind w:firstLine="241"/>
        <w:rPr>
          <w:rFonts w:asciiTheme="minorEastAsia" w:hAnsiTheme="minorEastAsia" w:eastAsiaTheme="minorEastAsia"/>
          <w:b/>
          <w:color w:val="auto"/>
          <w:sz w:val="24"/>
          <w:highlight w:val="none"/>
          <w:lang w:val="en-US"/>
        </w:rPr>
      </w:pPr>
    </w:p>
    <w:p w14:paraId="4C1BEF88">
      <w:pPr>
        <w:pStyle w:val="26"/>
        <w:ind w:firstLine="241"/>
        <w:rPr>
          <w:rFonts w:asciiTheme="minorEastAsia" w:hAnsiTheme="minorEastAsia" w:eastAsiaTheme="minorEastAsia"/>
          <w:b/>
          <w:color w:val="auto"/>
          <w:sz w:val="24"/>
          <w:highlight w:val="none"/>
          <w:lang w:val="en-US"/>
        </w:rPr>
      </w:pPr>
    </w:p>
    <w:p w14:paraId="66C112F7">
      <w:pPr>
        <w:pStyle w:val="26"/>
        <w:ind w:firstLine="241"/>
        <w:rPr>
          <w:rFonts w:asciiTheme="minorEastAsia" w:hAnsiTheme="minorEastAsia" w:eastAsiaTheme="minorEastAsia"/>
          <w:b/>
          <w:color w:val="auto"/>
          <w:sz w:val="24"/>
          <w:highlight w:val="none"/>
          <w:lang w:val="en-US"/>
        </w:rPr>
      </w:pPr>
    </w:p>
    <w:p w14:paraId="1801706A">
      <w:pPr>
        <w:pStyle w:val="26"/>
        <w:ind w:firstLine="241"/>
        <w:rPr>
          <w:rFonts w:asciiTheme="minorEastAsia" w:hAnsiTheme="minorEastAsia" w:eastAsiaTheme="minorEastAsia"/>
          <w:b/>
          <w:color w:val="auto"/>
          <w:sz w:val="24"/>
          <w:highlight w:val="none"/>
          <w:lang w:val="en-US"/>
        </w:rPr>
      </w:pPr>
    </w:p>
    <w:p w14:paraId="0A424E74">
      <w:pPr>
        <w:pStyle w:val="26"/>
        <w:ind w:firstLine="241"/>
        <w:rPr>
          <w:rFonts w:asciiTheme="minorEastAsia" w:hAnsiTheme="minorEastAsia" w:eastAsiaTheme="minorEastAsia"/>
          <w:b/>
          <w:color w:val="auto"/>
          <w:sz w:val="24"/>
          <w:highlight w:val="none"/>
          <w:lang w:val="en-US"/>
        </w:rPr>
      </w:pPr>
    </w:p>
    <w:p w14:paraId="2CC8779B">
      <w:pPr>
        <w:pStyle w:val="26"/>
        <w:ind w:firstLine="241"/>
        <w:rPr>
          <w:rFonts w:asciiTheme="minorEastAsia" w:hAnsiTheme="minorEastAsia" w:eastAsiaTheme="minorEastAsia"/>
          <w:b/>
          <w:color w:val="auto"/>
          <w:sz w:val="24"/>
          <w:highlight w:val="none"/>
          <w:lang w:val="en-US"/>
        </w:rPr>
      </w:pPr>
    </w:p>
    <w:p w14:paraId="21A14961">
      <w:pPr>
        <w:pStyle w:val="26"/>
        <w:ind w:firstLine="241"/>
        <w:rPr>
          <w:rFonts w:asciiTheme="minorEastAsia" w:hAnsiTheme="minorEastAsia" w:eastAsiaTheme="minorEastAsia"/>
          <w:b/>
          <w:color w:val="auto"/>
          <w:sz w:val="24"/>
          <w:highlight w:val="none"/>
          <w:lang w:val="en-US"/>
        </w:rPr>
      </w:pPr>
    </w:p>
    <w:p w14:paraId="4388E06F">
      <w:pPr>
        <w:pStyle w:val="26"/>
        <w:ind w:firstLine="241"/>
        <w:rPr>
          <w:rFonts w:asciiTheme="minorEastAsia" w:hAnsiTheme="minorEastAsia" w:eastAsiaTheme="minorEastAsia"/>
          <w:b/>
          <w:color w:val="auto"/>
          <w:sz w:val="24"/>
          <w:highlight w:val="none"/>
          <w:lang w:val="en-US"/>
        </w:rPr>
      </w:pPr>
    </w:p>
    <w:p w14:paraId="7516E620">
      <w:pPr>
        <w:pStyle w:val="26"/>
        <w:ind w:firstLine="241"/>
        <w:rPr>
          <w:rFonts w:asciiTheme="minorEastAsia" w:hAnsiTheme="minorEastAsia" w:eastAsiaTheme="minorEastAsia"/>
          <w:b/>
          <w:color w:val="auto"/>
          <w:sz w:val="24"/>
          <w:highlight w:val="none"/>
          <w:lang w:val="en-US"/>
        </w:rPr>
      </w:pPr>
    </w:p>
    <w:p w14:paraId="0A8757BC">
      <w:pPr>
        <w:pStyle w:val="26"/>
        <w:ind w:firstLine="241"/>
        <w:rPr>
          <w:rFonts w:asciiTheme="minorEastAsia" w:hAnsiTheme="minorEastAsia" w:eastAsiaTheme="minorEastAsia"/>
          <w:b/>
          <w:color w:val="auto"/>
          <w:sz w:val="24"/>
          <w:highlight w:val="none"/>
          <w:lang w:val="en-US"/>
        </w:rPr>
      </w:pPr>
    </w:p>
    <w:p w14:paraId="053D6F63">
      <w:pPr>
        <w:pStyle w:val="26"/>
        <w:ind w:firstLine="241"/>
        <w:rPr>
          <w:rFonts w:asciiTheme="minorEastAsia" w:hAnsiTheme="minorEastAsia" w:eastAsiaTheme="minorEastAsia"/>
          <w:b/>
          <w:color w:val="auto"/>
          <w:sz w:val="24"/>
          <w:highlight w:val="none"/>
          <w:lang w:val="en-US"/>
        </w:rPr>
      </w:pPr>
    </w:p>
    <w:p w14:paraId="20E6E343">
      <w:pPr>
        <w:pStyle w:val="26"/>
        <w:ind w:firstLine="241"/>
        <w:rPr>
          <w:rFonts w:asciiTheme="minorEastAsia" w:hAnsiTheme="minorEastAsia" w:eastAsiaTheme="minorEastAsia"/>
          <w:b/>
          <w:color w:val="auto"/>
          <w:sz w:val="24"/>
          <w:highlight w:val="none"/>
          <w:lang w:val="en-US"/>
        </w:rPr>
      </w:pPr>
    </w:p>
    <w:p w14:paraId="54A940F4">
      <w:pPr>
        <w:pStyle w:val="26"/>
        <w:ind w:firstLine="241"/>
        <w:rPr>
          <w:rFonts w:asciiTheme="minorEastAsia" w:hAnsiTheme="minorEastAsia" w:eastAsiaTheme="minorEastAsia"/>
          <w:b/>
          <w:color w:val="auto"/>
          <w:sz w:val="24"/>
          <w:highlight w:val="none"/>
          <w:lang w:val="en-US"/>
        </w:rPr>
      </w:pPr>
    </w:p>
    <w:p w14:paraId="7C2DB2A5">
      <w:pPr>
        <w:pStyle w:val="26"/>
        <w:ind w:firstLine="241"/>
        <w:rPr>
          <w:rFonts w:asciiTheme="minorEastAsia" w:hAnsiTheme="minorEastAsia" w:eastAsiaTheme="minorEastAsia"/>
          <w:b/>
          <w:color w:val="auto"/>
          <w:sz w:val="24"/>
          <w:highlight w:val="none"/>
          <w:lang w:val="en-US"/>
        </w:rPr>
      </w:pPr>
    </w:p>
    <w:p w14:paraId="002B5443">
      <w:pPr>
        <w:pStyle w:val="26"/>
        <w:ind w:firstLine="241"/>
        <w:rPr>
          <w:rFonts w:asciiTheme="minorEastAsia" w:hAnsiTheme="minorEastAsia" w:eastAsiaTheme="minorEastAsia"/>
          <w:b/>
          <w:color w:val="auto"/>
          <w:sz w:val="24"/>
          <w:highlight w:val="none"/>
          <w:lang w:val="en-US"/>
        </w:rPr>
      </w:pPr>
    </w:p>
    <w:p w14:paraId="194C4C9C">
      <w:pPr>
        <w:pStyle w:val="26"/>
        <w:ind w:firstLine="241"/>
        <w:rPr>
          <w:rFonts w:asciiTheme="minorEastAsia" w:hAnsiTheme="minorEastAsia" w:eastAsiaTheme="minorEastAsia"/>
          <w:b/>
          <w:color w:val="auto"/>
          <w:sz w:val="24"/>
          <w:highlight w:val="none"/>
          <w:lang w:val="en-US"/>
        </w:rPr>
      </w:pPr>
    </w:p>
    <w:p w14:paraId="1F23ADFA">
      <w:pPr>
        <w:pStyle w:val="26"/>
        <w:ind w:firstLine="241"/>
        <w:rPr>
          <w:rFonts w:asciiTheme="minorEastAsia" w:hAnsiTheme="minorEastAsia" w:eastAsiaTheme="minorEastAsia"/>
          <w:b/>
          <w:color w:val="auto"/>
          <w:sz w:val="24"/>
          <w:highlight w:val="none"/>
          <w:lang w:val="en-US"/>
        </w:rPr>
      </w:pPr>
    </w:p>
    <w:p w14:paraId="36D62598">
      <w:pPr>
        <w:pStyle w:val="26"/>
        <w:ind w:firstLine="241"/>
        <w:rPr>
          <w:rFonts w:asciiTheme="minorEastAsia" w:hAnsiTheme="minorEastAsia" w:eastAsiaTheme="minorEastAsia"/>
          <w:b/>
          <w:color w:val="auto"/>
          <w:sz w:val="24"/>
          <w:highlight w:val="none"/>
          <w:lang w:val="en-US"/>
        </w:rPr>
      </w:pPr>
    </w:p>
    <w:p w14:paraId="506D191A">
      <w:pPr>
        <w:pStyle w:val="26"/>
        <w:ind w:firstLine="241"/>
        <w:rPr>
          <w:rFonts w:asciiTheme="minorEastAsia" w:hAnsiTheme="minorEastAsia" w:eastAsiaTheme="minorEastAsia"/>
          <w:b/>
          <w:color w:val="auto"/>
          <w:sz w:val="24"/>
          <w:highlight w:val="none"/>
          <w:lang w:val="en-US"/>
        </w:rPr>
      </w:pPr>
    </w:p>
    <w:p w14:paraId="0468CEF8">
      <w:pPr>
        <w:pStyle w:val="26"/>
        <w:ind w:firstLine="241"/>
        <w:rPr>
          <w:rFonts w:asciiTheme="minorEastAsia" w:hAnsiTheme="minorEastAsia" w:eastAsiaTheme="minorEastAsia"/>
          <w:b/>
          <w:color w:val="auto"/>
          <w:sz w:val="24"/>
          <w:highlight w:val="none"/>
          <w:lang w:val="en-US"/>
        </w:rPr>
      </w:pPr>
    </w:p>
    <w:p w14:paraId="43D8AF60">
      <w:pPr>
        <w:pStyle w:val="26"/>
        <w:ind w:firstLine="241"/>
        <w:rPr>
          <w:rFonts w:asciiTheme="minorEastAsia" w:hAnsiTheme="minorEastAsia" w:eastAsiaTheme="minorEastAsia"/>
          <w:b/>
          <w:color w:val="auto"/>
          <w:sz w:val="24"/>
          <w:highlight w:val="none"/>
          <w:lang w:val="en-US"/>
        </w:rPr>
      </w:pPr>
    </w:p>
    <w:p w14:paraId="6ACCC0F3">
      <w:pPr>
        <w:pStyle w:val="26"/>
        <w:ind w:firstLine="241"/>
        <w:rPr>
          <w:rFonts w:asciiTheme="minorEastAsia" w:hAnsiTheme="minorEastAsia" w:eastAsiaTheme="minorEastAsia"/>
          <w:b/>
          <w:color w:val="auto"/>
          <w:sz w:val="24"/>
          <w:highlight w:val="none"/>
          <w:lang w:val="en-US"/>
        </w:rPr>
      </w:pPr>
    </w:p>
    <w:p w14:paraId="4C132AA1">
      <w:pPr>
        <w:pStyle w:val="26"/>
        <w:ind w:firstLine="241"/>
        <w:rPr>
          <w:rFonts w:asciiTheme="minorEastAsia" w:hAnsiTheme="minorEastAsia" w:eastAsiaTheme="minorEastAsia"/>
          <w:b/>
          <w:color w:val="auto"/>
          <w:sz w:val="24"/>
          <w:highlight w:val="none"/>
          <w:lang w:val="en-US"/>
        </w:rPr>
      </w:pPr>
    </w:p>
    <w:p w14:paraId="1657422D">
      <w:pPr>
        <w:pStyle w:val="26"/>
        <w:ind w:firstLine="241"/>
        <w:rPr>
          <w:rFonts w:asciiTheme="minorEastAsia" w:hAnsiTheme="minorEastAsia" w:eastAsiaTheme="minorEastAsia"/>
          <w:b/>
          <w:color w:val="auto"/>
          <w:sz w:val="24"/>
          <w:highlight w:val="none"/>
          <w:lang w:val="en-US"/>
        </w:rPr>
      </w:pPr>
    </w:p>
    <w:p w14:paraId="2C926A1A">
      <w:pPr>
        <w:pStyle w:val="26"/>
        <w:ind w:firstLine="241"/>
        <w:rPr>
          <w:rFonts w:asciiTheme="minorEastAsia" w:hAnsiTheme="minorEastAsia" w:eastAsiaTheme="minorEastAsia"/>
          <w:b/>
          <w:color w:val="auto"/>
          <w:sz w:val="24"/>
          <w:highlight w:val="none"/>
          <w:lang w:val="en-US"/>
        </w:rPr>
      </w:pPr>
    </w:p>
    <w:p w14:paraId="07FD324D">
      <w:pPr>
        <w:pStyle w:val="26"/>
        <w:ind w:firstLine="241"/>
        <w:rPr>
          <w:rFonts w:asciiTheme="minorEastAsia" w:hAnsiTheme="minorEastAsia" w:eastAsiaTheme="minorEastAsia"/>
          <w:b/>
          <w:color w:val="auto"/>
          <w:sz w:val="24"/>
          <w:highlight w:val="none"/>
          <w:lang w:val="en-US"/>
        </w:rPr>
      </w:pPr>
    </w:p>
    <w:p w14:paraId="177F790F">
      <w:pPr>
        <w:pStyle w:val="26"/>
        <w:ind w:firstLine="241"/>
        <w:rPr>
          <w:rFonts w:asciiTheme="minorEastAsia" w:hAnsiTheme="minorEastAsia" w:eastAsiaTheme="minorEastAsia"/>
          <w:b/>
          <w:color w:val="auto"/>
          <w:sz w:val="24"/>
          <w:highlight w:val="none"/>
          <w:lang w:val="en-US"/>
        </w:rPr>
      </w:pPr>
    </w:p>
    <w:p w14:paraId="1053FA10">
      <w:pPr>
        <w:pStyle w:val="26"/>
        <w:ind w:firstLine="0" w:firstLineChars="0"/>
        <w:rPr>
          <w:rFonts w:asciiTheme="minorEastAsia" w:hAnsiTheme="minorEastAsia" w:eastAsiaTheme="minorEastAsia"/>
          <w:b/>
          <w:color w:val="auto"/>
          <w:sz w:val="24"/>
          <w:highlight w:val="none"/>
          <w:lang w:val="en-US"/>
        </w:rPr>
      </w:pPr>
    </w:p>
    <w:p w14:paraId="00ACE17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九、</w:t>
      </w:r>
      <w:bookmarkEnd w:id="217"/>
      <w:bookmarkEnd w:id="218"/>
      <w:bookmarkEnd w:id="219"/>
      <w:r>
        <w:rPr>
          <w:rFonts w:hint="eastAsia" w:asciiTheme="minorEastAsia" w:hAnsiTheme="minorEastAsia" w:eastAsiaTheme="minorEastAsia"/>
          <w:b/>
          <w:color w:val="auto"/>
          <w:sz w:val="24"/>
          <w:highlight w:val="none"/>
        </w:rPr>
        <w:t>诚信履约承诺函</w:t>
      </w:r>
      <w:bookmarkEnd w:id="220"/>
      <w:bookmarkEnd w:id="221"/>
    </w:p>
    <w:p w14:paraId="0352B880">
      <w:pPr>
        <w:spacing w:line="360" w:lineRule="auto"/>
        <w:rPr>
          <w:rFonts w:asciiTheme="minorEastAsia" w:hAnsiTheme="minorEastAsia" w:eastAsiaTheme="minorEastAsia"/>
          <w:b/>
          <w:bCs/>
          <w:color w:val="auto"/>
          <w:sz w:val="24"/>
          <w:highlight w:val="none"/>
        </w:rPr>
      </w:pPr>
    </w:p>
    <w:p w14:paraId="177CBC4D">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750A4F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BD61BE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FF9E9B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7186E8E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FA1588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BCD396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B2138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8A3CDE">
      <w:pPr>
        <w:spacing w:line="360" w:lineRule="auto"/>
        <w:rPr>
          <w:rFonts w:asciiTheme="minorEastAsia" w:hAnsiTheme="minorEastAsia" w:eastAsiaTheme="minorEastAsia"/>
          <w:bCs/>
          <w:color w:val="auto"/>
          <w:sz w:val="24"/>
          <w:highlight w:val="none"/>
        </w:rPr>
      </w:pPr>
    </w:p>
    <w:p w14:paraId="264DEFCF">
      <w:pPr>
        <w:spacing w:line="360" w:lineRule="auto"/>
        <w:rPr>
          <w:rFonts w:asciiTheme="minorEastAsia" w:hAnsiTheme="minorEastAsia" w:eastAsiaTheme="minorEastAsia"/>
          <w:bCs/>
          <w:color w:val="auto"/>
          <w:sz w:val="24"/>
          <w:highlight w:val="none"/>
        </w:rPr>
      </w:pPr>
    </w:p>
    <w:p w14:paraId="16F5A5E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8EA504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15B671">
      <w:pPr>
        <w:rPr>
          <w:rFonts w:ascii="宋体" w:hAnsi="宋体" w:eastAsia="宋体" w:cs="Arial"/>
          <w:color w:val="auto"/>
          <w:sz w:val="24"/>
          <w:highlight w:val="none"/>
        </w:rPr>
      </w:pPr>
      <w:r>
        <w:rPr>
          <w:rFonts w:ascii="宋体" w:hAnsi="宋体" w:eastAsia="宋体" w:cs="Arial"/>
          <w:color w:val="auto"/>
          <w:sz w:val="24"/>
          <w:highlight w:val="none"/>
        </w:rPr>
        <w:br w:type="page"/>
      </w:r>
    </w:p>
    <w:p w14:paraId="5C04C4F2">
      <w:pPr>
        <w:spacing w:line="360" w:lineRule="auto"/>
        <w:jc w:val="center"/>
        <w:outlineLvl w:val="1"/>
        <w:rPr>
          <w:rFonts w:ascii="宋体" w:hAnsi="宋体" w:eastAsia="宋体"/>
          <w:b/>
          <w:color w:val="auto"/>
          <w:sz w:val="24"/>
          <w:szCs w:val="24"/>
          <w:highlight w:val="none"/>
        </w:rPr>
      </w:pPr>
      <w:r>
        <w:rPr>
          <w:rFonts w:hint="eastAsia" w:asciiTheme="minorEastAsia" w:hAnsiTheme="minorEastAsia" w:eastAsiaTheme="minorEastAsia"/>
          <w:b/>
          <w:color w:val="auto"/>
          <w:sz w:val="24"/>
          <w:highlight w:val="none"/>
        </w:rPr>
        <w:t>十、</w:t>
      </w:r>
      <w:r>
        <w:rPr>
          <w:rFonts w:hint="eastAsia" w:ascii="宋体" w:hAnsi="宋体" w:eastAsia="宋体" w:cs="宋体"/>
          <w:b/>
          <w:color w:val="auto"/>
          <w:sz w:val="24"/>
          <w:szCs w:val="24"/>
          <w:highlight w:val="none"/>
          <w:lang w:bidi="ar"/>
        </w:rPr>
        <w:t>诚信投标承诺书</w:t>
      </w:r>
    </w:p>
    <w:p w14:paraId="3E04651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49A6D70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20951AA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32CB8C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35B9C65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32FBEBB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058E0CE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592538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499A8EA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495F49C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679E181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370FA23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DCF131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3C1C1D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DA61C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089ADE7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385594C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638B749">
      <w:pPr>
        <w:spacing w:line="560" w:lineRule="exact"/>
        <w:jc w:val="right"/>
        <w:rPr>
          <w:rFonts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08DC3913">
      <w:pPr>
        <w:pStyle w:val="14"/>
        <w:ind w:left="1260"/>
        <w:rPr>
          <w:color w:val="auto"/>
          <w:highlight w:val="none"/>
        </w:rPr>
      </w:pPr>
    </w:p>
    <w:bookmarkEnd w:id="222"/>
    <w:p w14:paraId="0386414F">
      <w:pPr>
        <w:spacing w:line="360" w:lineRule="auto"/>
        <w:jc w:val="center"/>
        <w:outlineLvl w:val="1"/>
        <w:rPr>
          <w:rFonts w:asciiTheme="minorEastAsia" w:hAnsiTheme="minorEastAsia" w:eastAsiaTheme="minorEastAsia"/>
          <w:b/>
          <w:color w:val="auto"/>
          <w:sz w:val="24"/>
          <w:highlight w:val="none"/>
        </w:rPr>
      </w:pPr>
      <w:bookmarkStart w:id="223" w:name="_Toc2683"/>
      <w:bookmarkStart w:id="224" w:name="_Toc32633"/>
      <w:r>
        <w:rPr>
          <w:rFonts w:hint="eastAsia" w:asciiTheme="minorEastAsia" w:hAnsiTheme="minorEastAsia" w:eastAsiaTheme="minorEastAsia"/>
          <w:b/>
          <w:color w:val="auto"/>
          <w:sz w:val="24"/>
          <w:highlight w:val="none"/>
        </w:rPr>
        <w:t>十一、其他相关证明材料</w:t>
      </w:r>
      <w:bookmarkEnd w:id="223"/>
      <w:bookmarkEnd w:id="224"/>
    </w:p>
    <w:p w14:paraId="508418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9B1524">
      <w:pPr>
        <w:spacing w:line="360" w:lineRule="auto"/>
        <w:ind w:firstLine="480" w:firstLineChars="200"/>
        <w:rPr>
          <w:rFonts w:asciiTheme="minorEastAsia" w:hAnsiTheme="minorEastAsia" w:eastAsiaTheme="minorEastAsia"/>
          <w:color w:val="auto"/>
          <w:sz w:val="24"/>
          <w:highlight w:val="none"/>
        </w:rPr>
      </w:pPr>
    </w:p>
    <w:p w14:paraId="3686FA4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733CD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13454C6">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FA4E49B">
      <w:pPr>
        <w:spacing w:line="360" w:lineRule="auto"/>
        <w:jc w:val="center"/>
        <w:outlineLvl w:val="0"/>
        <w:rPr>
          <w:rFonts w:ascii="宋体" w:hAnsi="宋体" w:eastAsia="宋体"/>
          <w:b/>
          <w:bCs/>
          <w:color w:val="auto"/>
          <w:sz w:val="28"/>
          <w:highlight w:val="none"/>
        </w:rPr>
      </w:pPr>
      <w:bookmarkStart w:id="225" w:name="_Toc6435"/>
      <w:bookmarkStart w:id="226" w:name="_Toc18131"/>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5"/>
      <w:bookmarkEnd w:id="226"/>
    </w:p>
    <w:p w14:paraId="03E2DC64">
      <w:pPr>
        <w:spacing w:line="360" w:lineRule="auto"/>
        <w:jc w:val="center"/>
        <w:outlineLvl w:val="1"/>
        <w:rPr>
          <w:rFonts w:ascii="仿宋" w:hAnsi="仿宋" w:eastAsia="仿宋" w:cs="仿宋"/>
          <w:b/>
          <w:bCs/>
          <w:color w:val="auto"/>
          <w:sz w:val="32"/>
          <w:szCs w:val="44"/>
          <w:highlight w:val="none"/>
        </w:rPr>
      </w:pPr>
      <w:bookmarkStart w:id="227" w:name="_Toc27159"/>
      <w:bookmarkStart w:id="228" w:name="_Toc27489"/>
      <w:r>
        <w:rPr>
          <w:rFonts w:hint="eastAsia" w:ascii="仿宋" w:hAnsi="仿宋" w:eastAsia="仿宋" w:cs="仿宋"/>
          <w:b/>
          <w:bCs/>
          <w:color w:val="auto"/>
          <w:sz w:val="32"/>
          <w:szCs w:val="44"/>
          <w:highlight w:val="none"/>
        </w:rPr>
        <w:t>询问函范本</w:t>
      </w:r>
      <w:bookmarkEnd w:id="227"/>
      <w:bookmarkEnd w:id="228"/>
    </w:p>
    <w:p w14:paraId="312D8B3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B43BC17">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30938DC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7B2F9D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9" w:name="_Toc13899"/>
      <w:r>
        <w:rPr>
          <w:rFonts w:hint="eastAsia" w:cs="仿宋" w:asciiTheme="minorEastAsia" w:hAnsiTheme="minorEastAsia" w:eastAsiaTheme="minorEastAsia"/>
          <w:color w:val="auto"/>
          <w:sz w:val="24"/>
          <w:szCs w:val="24"/>
          <w:highlight w:val="none"/>
        </w:rPr>
        <w:t>一、(事项一)</w:t>
      </w:r>
      <w:bookmarkEnd w:id="229"/>
    </w:p>
    <w:p w14:paraId="1826775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6BCB86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0FABD3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E3A3F4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30" w:name="_Toc3352"/>
      <w:r>
        <w:rPr>
          <w:rFonts w:hint="eastAsia" w:cs="仿宋" w:asciiTheme="minorEastAsia" w:hAnsiTheme="minorEastAsia" w:eastAsiaTheme="minorEastAsia"/>
          <w:color w:val="auto"/>
          <w:sz w:val="24"/>
          <w:szCs w:val="24"/>
          <w:highlight w:val="none"/>
        </w:rPr>
        <w:t>二、(事项二)</w:t>
      </w:r>
      <w:bookmarkEnd w:id="230"/>
    </w:p>
    <w:p w14:paraId="6B9B2F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B8033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038E60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1DE2EE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3B9436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55AD1A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82ADA33">
      <w:pPr>
        <w:jc w:val="center"/>
        <w:outlineLvl w:val="1"/>
        <w:rPr>
          <w:rFonts w:ascii="仿宋" w:hAnsi="仿宋" w:eastAsia="仿宋" w:cs="仿宋"/>
          <w:b/>
          <w:bCs/>
          <w:color w:val="auto"/>
          <w:sz w:val="32"/>
          <w:szCs w:val="44"/>
          <w:highlight w:val="none"/>
        </w:rPr>
      </w:pPr>
      <w:bookmarkStart w:id="231" w:name="_Toc1575"/>
      <w:bookmarkStart w:id="232" w:name="_Toc3245"/>
      <w:r>
        <w:rPr>
          <w:rFonts w:hint="eastAsia" w:ascii="仿宋" w:hAnsi="仿宋" w:eastAsia="仿宋" w:cs="仿宋"/>
          <w:b/>
          <w:bCs/>
          <w:color w:val="auto"/>
          <w:sz w:val="32"/>
          <w:szCs w:val="44"/>
          <w:highlight w:val="none"/>
        </w:rPr>
        <w:t>质疑函范本</w:t>
      </w:r>
      <w:bookmarkEnd w:id="231"/>
      <w:bookmarkEnd w:id="232"/>
    </w:p>
    <w:p w14:paraId="7F01B622">
      <w:pPr>
        <w:adjustRightInd w:val="0"/>
        <w:snapToGrid w:val="0"/>
        <w:spacing w:before="312" w:beforeLines="100" w:line="360" w:lineRule="auto"/>
        <w:rPr>
          <w:rFonts w:cs="仿宋" w:asciiTheme="minorEastAsia" w:hAnsiTheme="minorEastAsia" w:eastAsiaTheme="minorEastAsia"/>
          <w:b/>
          <w:bCs/>
          <w:color w:val="auto"/>
          <w:sz w:val="24"/>
          <w:szCs w:val="24"/>
          <w:highlight w:val="none"/>
        </w:rPr>
      </w:pPr>
      <w:bookmarkStart w:id="233" w:name="_Toc21381"/>
      <w:r>
        <w:rPr>
          <w:rFonts w:hint="eastAsia" w:cs="仿宋" w:asciiTheme="minorEastAsia" w:hAnsiTheme="minorEastAsia" w:eastAsiaTheme="minorEastAsia"/>
          <w:b/>
          <w:bCs/>
          <w:color w:val="auto"/>
          <w:sz w:val="24"/>
          <w:szCs w:val="24"/>
          <w:highlight w:val="none"/>
        </w:rPr>
        <w:t>一、质疑供应商基本信息</w:t>
      </w:r>
      <w:bookmarkEnd w:id="233"/>
    </w:p>
    <w:p w14:paraId="7FB52D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4AD465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6701C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6152E9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5AA1D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A4A94F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A41A457">
      <w:pPr>
        <w:adjustRightInd w:val="0"/>
        <w:snapToGrid w:val="0"/>
        <w:spacing w:line="360" w:lineRule="auto"/>
        <w:rPr>
          <w:rFonts w:cs="仿宋" w:asciiTheme="minorEastAsia" w:hAnsiTheme="minorEastAsia" w:eastAsiaTheme="minorEastAsia"/>
          <w:b/>
          <w:bCs/>
          <w:color w:val="auto"/>
          <w:sz w:val="24"/>
          <w:szCs w:val="24"/>
          <w:highlight w:val="none"/>
        </w:rPr>
      </w:pPr>
      <w:bookmarkStart w:id="234" w:name="_Toc28415"/>
      <w:r>
        <w:rPr>
          <w:rFonts w:hint="eastAsia" w:cs="仿宋" w:asciiTheme="minorEastAsia" w:hAnsiTheme="minorEastAsia" w:eastAsiaTheme="minorEastAsia"/>
          <w:b/>
          <w:bCs/>
          <w:color w:val="auto"/>
          <w:sz w:val="24"/>
          <w:szCs w:val="24"/>
          <w:highlight w:val="none"/>
        </w:rPr>
        <w:t>二、质疑项目基本情况</w:t>
      </w:r>
      <w:bookmarkEnd w:id="234"/>
    </w:p>
    <w:p w14:paraId="734A8A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DC0807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D0D0B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86FD54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556407E">
      <w:pPr>
        <w:adjustRightInd w:val="0"/>
        <w:snapToGrid w:val="0"/>
        <w:spacing w:line="360" w:lineRule="auto"/>
        <w:rPr>
          <w:rFonts w:cs="仿宋" w:asciiTheme="minorEastAsia" w:hAnsiTheme="minorEastAsia" w:eastAsiaTheme="minorEastAsia"/>
          <w:b/>
          <w:bCs/>
          <w:color w:val="auto"/>
          <w:sz w:val="24"/>
          <w:szCs w:val="24"/>
          <w:highlight w:val="none"/>
        </w:rPr>
      </w:pPr>
      <w:bookmarkStart w:id="235" w:name="_Toc19014"/>
      <w:r>
        <w:rPr>
          <w:rFonts w:hint="eastAsia" w:cs="仿宋" w:asciiTheme="minorEastAsia" w:hAnsiTheme="minorEastAsia" w:eastAsiaTheme="minorEastAsia"/>
          <w:b/>
          <w:bCs/>
          <w:color w:val="auto"/>
          <w:sz w:val="24"/>
          <w:szCs w:val="24"/>
          <w:highlight w:val="none"/>
        </w:rPr>
        <w:t>三、质疑事项具体内容</w:t>
      </w:r>
      <w:bookmarkEnd w:id="235"/>
    </w:p>
    <w:p w14:paraId="78F4D59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3B4294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1A04D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DCFD6B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96DC6A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36BFF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14873A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90F2D">
      <w:pPr>
        <w:adjustRightInd w:val="0"/>
        <w:snapToGrid w:val="0"/>
        <w:spacing w:line="360" w:lineRule="auto"/>
        <w:rPr>
          <w:rFonts w:cs="仿宋" w:asciiTheme="minorEastAsia" w:hAnsiTheme="minorEastAsia" w:eastAsiaTheme="minorEastAsia"/>
          <w:b/>
          <w:bCs/>
          <w:color w:val="auto"/>
          <w:sz w:val="24"/>
          <w:szCs w:val="24"/>
          <w:highlight w:val="none"/>
        </w:rPr>
      </w:pPr>
      <w:bookmarkStart w:id="236" w:name="_Toc17919"/>
      <w:r>
        <w:rPr>
          <w:rFonts w:hint="eastAsia" w:cs="仿宋" w:asciiTheme="minorEastAsia" w:hAnsiTheme="minorEastAsia" w:eastAsiaTheme="minorEastAsia"/>
          <w:b/>
          <w:bCs/>
          <w:color w:val="auto"/>
          <w:sz w:val="24"/>
          <w:szCs w:val="24"/>
          <w:highlight w:val="none"/>
        </w:rPr>
        <w:t>四、与质疑事项相关的质疑请求</w:t>
      </w:r>
      <w:bookmarkEnd w:id="236"/>
    </w:p>
    <w:p w14:paraId="6C181ED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463204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9DB04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256528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A7C587">
      <w:pPr>
        <w:outlineLvl w:val="0"/>
        <w:rPr>
          <w:rFonts w:asciiTheme="minorEastAsia" w:hAnsiTheme="minorEastAsia" w:eastAsiaTheme="minorEastAsia"/>
          <w:b/>
          <w:color w:val="auto"/>
          <w:sz w:val="28"/>
          <w:szCs w:val="32"/>
          <w:highlight w:val="none"/>
        </w:rPr>
      </w:pPr>
      <w:bookmarkStart w:id="237" w:name="_Toc26836"/>
      <w:bookmarkStart w:id="238" w:name="_Toc9754"/>
      <w:r>
        <w:rPr>
          <w:rFonts w:hint="eastAsia" w:asciiTheme="minorEastAsia" w:hAnsiTheme="minorEastAsia" w:eastAsiaTheme="minorEastAsia"/>
          <w:b/>
          <w:color w:val="auto"/>
          <w:sz w:val="28"/>
          <w:szCs w:val="32"/>
          <w:highlight w:val="none"/>
        </w:rPr>
        <w:t>质疑函制作说明：</w:t>
      </w:r>
      <w:bookmarkEnd w:id="237"/>
      <w:bookmarkEnd w:id="238"/>
    </w:p>
    <w:p w14:paraId="73519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CC349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F63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25C08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FCF7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5A27E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5E7D95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7A89A808">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0E003B69">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39F3F26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5EA7294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4DE7EDD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39" w:name="OLE_LINK93"/>
      <w:bookmarkStart w:id="240" w:name="OLE_LINK92"/>
      <w:bookmarkStart w:id="241" w:name="OLE_LINK103"/>
      <w:bookmarkStart w:id="242" w:name="OLE_LINK91"/>
      <w:r>
        <w:rPr>
          <w:rFonts w:hint="eastAsia" w:ascii="仿宋_GB2312" w:hAnsi="宋体" w:eastAsia="仿宋_GB2312" w:cs="Times New Roman"/>
          <w:color w:val="auto"/>
          <w:sz w:val="28"/>
          <w:szCs w:val="28"/>
          <w:highlight w:val="none"/>
        </w:rPr>
        <w:t>投标人、法定代表人及其项目经理(建造师)</w:t>
      </w:r>
      <w:bookmarkEnd w:id="239"/>
      <w:bookmarkEnd w:id="240"/>
      <w:bookmarkEnd w:id="241"/>
      <w:bookmarkEnd w:id="242"/>
      <w:r>
        <w:rPr>
          <w:rFonts w:hint="eastAsia" w:ascii="仿宋_GB2312" w:hAnsi="宋体" w:eastAsia="仿宋_GB2312" w:cs="Times New Roman"/>
          <w:color w:val="auto"/>
          <w:sz w:val="28"/>
          <w:szCs w:val="28"/>
          <w:highlight w:val="none"/>
        </w:rPr>
        <w:t>以下失信行为：</w:t>
      </w:r>
    </w:p>
    <w:p w14:paraId="559C823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3" w:name="OLE_LINK94"/>
      <w:bookmarkStart w:id="244" w:name="OLE_LINK87"/>
      <w:bookmarkStart w:id="245" w:name="OLE_LINK86"/>
      <w:bookmarkStart w:id="246" w:name="OLE_LINK119"/>
      <w:r>
        <w:rPr>
          <w:rFonts w:hint="eastAsia" w:ascii="仿宋_GB2312" w:hAnsi="宋体" w:eastAsia="仿宋_GB2312" w:cs="Times New Roman"/>
          <w:color w:val="auto"/>
          <w:sz w:val="28"/>
          <w:szCs w:val="28"/>
          <w:highlight w:val="none"/>
        </w:rPr>
        <w:t>①被列入“失信被执行人”的;</w:t>
      </w:r>
    </w:p>
    <w:p w14:paraId="703D20E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47" w:name="OLE_LINK118"/>
      <w:bookmarkStart w:id="248" w:name="OLE_LINK115"/>
      <w:bookmarkStart w:id="249" w:name="OLE_LINK117"/>
      <w:bookmarkStart w:id="250" w:name="OLE_LINK116"/>
      <w:r>
        <w:rPr>
          <w:rFonts w:hint="eastAsia" w:ascii="仿宋_GB2312" w:hAnsi="宋体" w:eastAsia="仿宋_GB2312" w:cs="Times New Roman"/>
          <w:color w:val="auto"/>
          <w:sz w:val="28"/>
          <w:szCs w:val="28"/>
          <w:highlight w:val="none"/>
        </w:rPr>
        <w:t>“重大税收违法失信主体”</w:t>
      </w:r>
      <w:bookmarkEnd w:id="247"/>
      <w:bookmarkEnd w:id="248"/>
      <w:bookmarkEnd w:id="249"/>
      <w:bookmarkEnd w:id="250"/>
      <w:r>
        <w:rPr>
          <w:rFonts w:hint="eastAsia" w:ascii="仿宋_GB2312" w:hAnsi="宋体" w:eastAsia="仿宋_GB2312" w:cs="Times New Roman"/>
          <w:color w:val="auto"/>
          <w:sz w:val="28"/>
          <w:szCs w:val="28"/>
          <w:highlight w:val="none"/>
        </w:rPr>
        <w:t>的；</w:t>
      </w:r>
    </w:p>
    <w:p w14:paraId="7424D18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51" w:name="OLE_LINK85"/>
      <w:bookmarkStart w:id="252" w:name="OLE_LINK84"/>
      <w:r>
        <w:rPr>
          <w:rFonts w:hint="eastAsia" w:ascii="仿宋_GB2312" w:hAnsi="宋体" w:eastAsia="仿宋_GB2312" w:cs="Times New Roman"/>
          <w:color w:val="auto"/>
          <w:sz w:val="28"/>
          <w:szCs w:val="28"/>
          <w:highlight w:val="none"/>
        </w:rPr>
        <w:t>农民工工资失信联合惩戒对象</w:t>
      </w:r>
      <w:bookmarkEnd w:id="251"/>
      <w:bookmarkEnd w:id="252"/>
      <w:r>
        <w:rPr>
          <w:rFonts w:hint="eastAsia" w:ascii="仿宋_GB2312" w:hAnsi="宋体" w:eastAsia="仿宋_GB2312" w:cs="Times New Roman"/>
          <w:color w:val="auto"/>
          <w:sz w:val="28"/>
          <w:szCs w:val="28"/>
          <w:highlight w:val="none"/>
        </w:rPr>
        <w:t>名单”的；</w:t>
      </w:r>
    </w:p>
    <w:p w14:paraId="43861EB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0B5494F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43"/>
    <w:bookmarkEnd w:id="244"/>
    <w:bookmarkEnd w:id="245"/>
    <w:bookmarkEnd w:id="246"/>
    <w:p w14:paraId="46E39CB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53" w:name="OLE_LINK130"/>
      <w:r>
        <w:rPr>
          <w:rFonts w:hint="eastAsia" w:ascii="仿宋_GB2312" w:hAnsi="宋体" w:eastAsia="仿宋_GB2312" w:cs="Times New Roman"/>
          <w:color w:val="auto"/>
          <w:sz w:val="28"/>
          <w:szCs w:val="28"/>
          <w:highlight w:val="none"/>
        </w:rPr>
        <w:t>国家企业信用信息公示系统网站</w:t>
      </w:r>
      <w:bookmarkEnd w:id="25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54" w:name="OLE_LINK90"/>
      <w:bookmarkStart w:id="255" w:name="OLE_LINK89"/>
      <w:r>
        <w:rPr>
          <w:rStyle w:val="38"/>
          <w:rFonts w:hint="eastAsia" w:ascii="仿宋_GB2312" w:hAnsi="宋体" w:eastAsia="仿宋_GB2312" w:cs="Times New Roman"/>
          <w:color w:val="auto"/>
          <w:sz w:val="28"/>
          <w:szCs w:val="28"/>
          <w:highlight w:val="none"/>
        </w:rPr>
        <w:t>www.gsxt.gov.cn</w:t>
      </w:r>
      <w:bookmarkEnd w:id="254"/>
      <w:bookmarkEnd w:id="255"/>
      <w:r>
        <w:rPr>
          <w:rStyle w:val="38"/>
          <w:rFonts w:hint="eastAsia" w:ascii="仿宋_GB2312" w:hAnsi="宋体" w:eastAsia="仿宋_GB2312" w:cs="Times New Roman"/>
          <w:color w:val="auto"/>
          <w:sz w:val="28"/>
          <w:szCs w:val="28"/>
          <w:highlight w:val="none"/>
        </w:rPr>
        <w:t>）</w:t>
      </w:r>
      <w:r>
        <w:rPr>
          <w:rStyle w:val="38"/>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24FF581E">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56" w:name="OLE_LINK120"/>
      <w:bookmarkStart w:id="257" w:name="OLE_LINK121"/>
      <w:bookmarkStart w:id="258" w:name="OLE_LINK122"/>
      <w:r>
        <w:rPr>
          <w:rFonts w:hint="eastAsia" w:ascii="仿宋_GB2312" w:hAnsi="宋体" w:eastAsia="仿宋_GB2312" w:cs="Times New Roman"/>
          <w:color w:val="auto"/>
          <w:sz w:val="28"/>
          <w:szCs w:val="28"/>
          <w:highlight w:val="none"/>
        </w:rPr>
        <w:t>①</w:t>
      </w:r>
      <w:bookmarkStart w:id="259" w:name="OLE_LINK114"/>
      <w:bookmarkStart w:id="260" w:name="OLE_LINK113"/>
      <w:r>
        <w:rPr>
          <w:rFonts w:hint="eastAsia" w:ascii="仿宋_GB2312" w:hAnsi="宋体" w:eastAsia="仿宋_GB2312" w:cs="Times New Roman"/>
          <w:color w:val="auto"/>
          <w:sz w:val="28"/>
          <w:szCs w:val="28"/>
          <w:highlight w:val="none"/>
        </w:rPr>
        <w:t>被列入“经营异常名录”或者“严重违法失信名单”的</w:t>
      </w:r>
      <w:bookmarkEnd w:id="259"/>
      <w:bookmarkEnd w:id="260"/>
      <w:r>
        <w:rPr>
          <w:rFonts w:hint="eastAsia" w:ascii="仿宋_GB2312" w:hAnsi="宋体" w:eastAsia="仿宋_GB2312" w:cs="Times New Roman"/>
          <w:color w:val="auto"/>
          <w:sz w:val="28"/>
          <w:szCs w:val="28"/>
          <w:highlight w:val="none"/>
        </w:rPr>
        <w:t>。</w:t>
      </w:r>
      <w:bookmarkEnd w:id="256"/>
      <w:bookmarkEnd w:id="257"/>
      <w:bookmarkEnd w:id="258"/>
    </w:p>
    <w:p w14:paraId="72E44F9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BCF1646">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61" w:name="OLE_LINK124"/>
      <w:bookmarkStart w:id="262"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129645F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2A07A41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2300F5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63" w:name="OLE_LINK108"/>
      <w:bookmarkStart w:id="264"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63"/>
      <w:bookmarkEnd w:id="264"/>
      <w:r>
        <w:rPr>
          <w:rFonts w:hint="eastAsia" w:ascii="仿宋_GB2312" w:hAnsi="宋体" w:eastAsia="仿宋_GB2312" w:cs="Times New Roman"/>
          <w:color w:val="auto"/>
          <w:sz w:val="28"/>
          <w:szCs w:val="28"/>
          <w:highlight w:val="none"/>
        </w:rPr>
        <w:t>；</w:t>
      </w:r>
    </w:p>
    <w:p w14:paraId="08C9E4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1"/>
    <w:bookmarkEnd w:id="262"/>
    <w:p w14:paraId="44530FC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419057F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8"/>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598B68C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543EC5F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073EBA9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0C888BA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6D62F90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8F8A6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65" w:name="OLE_LINK102"/>
      <w:bookmarkStart w:id="266" w:name="OLE_LINK100"/>
      <w:bookmarkStart w:id="267" w:name="OLE_LINK101"/>
      <w:r>
        <w:rPr>
          <w:rFonts w:hint="eastAsia" w:ascii="仿宋_GB2312" w:hAnsi="宋体" w:eastAsia="仿宋_GB2312" w:cs="Times New Roman"/>
          <w:color w:val="auto"/>
          <w:sz w:val="28"/>
          <w:szCs w:val="28"/>
          <w:highlight w:val="none"/>
        </w:rPr>
        <w:t>被列入“经营异常名录”或者“严重违法失信名单”的</w:t>
      </w:r>
      <w:bookmarkEnd w:id="265"/>
      <w:bookmarkEnd w:id="266"/>
      <w:bookmarkEnd w:id="267"/>
      <w:r>
        <w:rPr>
          <w:rFonts w:hint="eastAsia" w:ascii="仿宋_GB2312" w:hAnsi="宋体" w:eastAsia="仿宋_GB2312" w:cs="Times New Roman"/>
          <w:color w:val="auto"/>
          <w:sz w:val="28"/>
          <w:szCs w:val="28"/>
          <w:highlight w:val="none"/>
        </w:rPr>
        <w:t>。</w:t>
      </w:r>
    </w:p>
    <w:p w14:paraId="46280DF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68" w:name="OLE_LINK96"/>
      <w:bookmarkStart w:id="269"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68"/>
      <w:bookmarkEnd w:id="269"/>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09AD787B">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70" w:name="OLE_LINK105"/>
      <w:bookmarkStart w:id="271" w:name="OLE_LINK106"/>
      <w:bookmarkStart w:id="272" w:name="OLE_LINK104"/>
      <w:r>
        <w:rPr>
          <w:rFonts w:hint="eastAsia" w:ascii="仿宋_GB2312" w:hAnsi="宋体" w:eastAsia="仿宋_GB2312" w:cs="Times New Roman"/>
          <w:color w:val="auto"/>
          <w:sz w:val="28"/>
          <w:szCs w:val="28"/>
          <w:highlight w:val="none"/>
        </w:rPr>
        <w:t>被列入“政府采购严重违法失信行为信息记录”的</w:t>
      </w:r>
      <w:bookmarkEnd w:id="270"/>
      <w:bookmarkEnd w:id="271"/>
      <w:bookmarkEnd w:id="272"/>
      <w:r>
        <w:rPr>
          <w:rFonts w:hint="eastAsia" w:ascii="仿宋_GB2312" w:hAnsi="宋体" w:eastAsia="仿宋_GB2312" w:cs="楷体"/>
          <w:color w:val="auto"/>
          <w:sz w:val="28"/>
          <w:szCs w:val="28"/>
          <w:highlight w:val="none"/>
        </w:rPr>
        <w:t>。</w:t>
      </w:r>
    </w:p>
    <w:p w14:paraId="5EF3CAC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49B7AB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2648CFC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5258736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6508D1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B416E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182D288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17790E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1A38973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80D4E22">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17B1039">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692A1214">
      <w:pPr>
        <w:wordWrap w:val="0"/>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E046C07">
      <w:pPr>
        <w:wordWrap w:val="0"/>
        <w:adjustRightInd w:val="0"/>
        <w:snapToGrid w:val="0"/>
        <w:spacing w:line="560" w:lineRule="exact"/>
        <w:ind w:firstLine="560" w:firstLineChars="200"/>
        <w:rPr>
          <w:rFonts w:ascii="仿宋_GB2312" w:hAnsi="宋体" w:eastAsia="仿宋_GB2312" w:cs="Times New Roman"/>
          <w:color w:val="auto"/>
          <w:sz w:val="28"/>
          <w:szCs w:val="28"/>
          <w:highlight w:val="none"/>
        </w:rPr>
      </w:pPr>
    </w:p>
    <w:p w14:paraId="5AB0F08E">
      <w:pPr>
        <w:ind w:right="-92" w:rightChars="-44"/>
        <w:rPr>
          <w:rFonts w:ascii="宋体" w:hAnsi="宋体" w:eastAsia="宋体" w:cs="宋体"/>
          <w:bCs/>
          <w:color w:val="auto"/>
          <w:szCs w:val="21"/>
          <w:highlight w:val="none"/>
        </w:rPr>
      </w:pPr>
    </w:p>
    <w:p w14:paraId="51095146">
      <w:pPr>
        <w:ind w:right="-92" w:rightChars="-44"/>
        <w:rPr>
          <w:rFonts w:ascii="宋体" w:hAnsi="宋体" w:eastAsia="宋体" w:cs="宋体"/>
          <w:bCs/>
          <w:color w:val="auto"/>
          <w:sz w:val="32"/>
          <w:szCs w:val="32"/>
          <w:highlight w:val="none"/>
        </w:rPr>
      </w:pPr>
    </w:p>
    <w:p w14:paraId="6D7FD487">
      <w:pPr>
        <w:ind w:right="-92" w:rightChars="-44"/>
        <w:rPr>
          <w:rFonts w:ascii="宋体" w:hAnsi="宋体" w:eastAsia="宋体" w:cs="宋体"/>
          <w:bCs/>
          <w:color w:val="auto"/>
          <w:sz w:val="32"/>
          <w:szCs w:val="32"/>
          <w:highlight w:val="none"/>
        </w:rPr>
      </w:pPr>
    </w:p>
    <w:p w14:paraId="5C0920AC">
      <w:pPr>
        <w:ind w:right="-92" w:rightChars="-44"/>
        <w:rPr>
          <w:rFonts w:ascii="宋体" w:hAnsi="宋体" w:eastAsia="宋体" w:cs="宋体"/>
          <w:bCs/>
          <w:color w:val="auto"/>
          <w:sz w:val="32"/>
          <w:szCs w:val="32"/>
          <w:highlight w:val="none"/>
        </w:rPr>
      </w:pPr>
    </w:p>
    <w:p w14:paraId="65375A66">
      <w:pPr>
        <w:ind w:right="-92" w:rightChars="-44"/>
        <w:rPr>
          <w:rFonts w:ascii="宋体" w:hAnsi="宋体" w:eastAsia="宋体" w:cs="宋体"/>
          <w:bCs/>
          <w:color w:val="auto"/>
          <w:sz w:val="32"/>
          <w:szCs w:val="32"/>
          <w:highlight w:val="none"/>
        </w:rPr>
      </w:pPr>
    </w:p>
    <w:p w14:paraId="1793D4D2">
      <w:pPr>
        <w:ind w:right="-92" w:rightChars="-44"/>
        <w:rPr>
          <w:rFonts w:ascii="宋体" w:hAnsi="宋体" w:eastAsia="宋体" w:cs="宋体"/>
          <w:bCs/>
          <w:color w:val="auto"/>
          <w:sz w:val="32"/>
          <w:szCs w:val="32"/>
          <w:highlight w:val="none"/>
        </w:rPr>
      </w:pPr>
    </w:p>
    <w:p w14:paraId="1D5846FF">
      <w:pPr>
        <w:ind w:right="-92" w:rightChars="-44"/>
        <w:rPr>
          <w:rFonts w:ascii="宋体" w:hAnsi="宋体" w:eastAsia="宋体" w:cs="宋体"/>
          <w:bCs/>
          <w:color w:val="auto"/>
          <w:sz w:val="32"/>
          <w:szCs w:val="32"/>
          <w:highlight w:val="none"/>
        </w:rPr>
      </w:pPr>
    </w:p>
    <w:p w14:paraId="5EA85BC8">
      <w:pPr>
        <w:ind w:right="-92" w:rightChars="-44"/>
        <w:rPr>
          <w:rFonts w:ascii="宋体" w:hAnsi="宋体" w:eastAsia="宋体" w:cs="宋体"/>
          <w:bCs/>
          <w:color w:val="auto"/>
          <w:sz w:val="32"/>
          <w:szCs w:val="32"/>
          <w:highlight w:val="none"/>
        </w:rPr>
      </w:pPr>
    </w:p>
    <w:p w14:paraId="7BD5FBDE">
      <w:pPr>
        <w:ind w:right="-92" w:rightChars="-44"/>
        <w:rPr>
          <w:rFonts w:ascii="宋体" w:hAnsi="宋体" w:eastAsia="宋体" w:cs="宋体"/>
          <w:bCs/>
          <w:color w:val="auto"/>
          <w:sz w:val="32"/>
          <w:szCs w:val="32"/>
          <w:highlight w:val="none"/>
        </w:rPr>
      </w:pPr>
    </w:p>
    <w:p w14:paraId="5B2C694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73" w:name="_Toc95223549"/>
      <w:bookmarkStart w:id="274" w:name="OLE_LINK31"/>
      <w:bookmarkStart w:id="275" w:name="OLE_LINK32"/>
      <w:bookmarkStart w:id="276" w:name="OLE_LINK41"/>
      <w:r>
        <w:rPr>
          <w:rFonts w:hint="eastAsia" w:ascii="黑体" w:hAnsi="黑体" w:eastAsia="黑体" w:cs="Times New Roman"/>
          <w:b/>
          <w:bCs/>
          <w:color w:val="auto"/>
          <w:kern w:val="44"/>
          <w:sz w:val="36"/>
          <w:szCs w:val="28"/>
          <w:highlight w:val="none"/>
        </w:rPr>
        <w:t xml:space="preserve">附件2 </w:t>
      </w:r>
      <w:bookmarkStart w:id="277" w:name="OLE_LINK74"/>
      <w:bookmarkStart w:id="278" w:name="OLE_LINK75"/>
      <w:r>
        <w:rPr>
          <w:rFonts w:hint="eastAsia" w:ascii="黑体" w:hAnsi="黑体" w:eastAsia="黑体" w:cs="Times New Roman"/>
          <w:b/>
          <w:bCs/>
          <w:color w:val="auto"/>
          <w:kern w:val="44"/>
          <w:sz w:val="36"/>
          <w:szCs w:val="28"/>
          <w:highlight w:val="none"/>
        </w:rPr>
        <w:t>“信用中国”查询的严重失信行为</w:t>
      </w:r>
      <w:bookmarkStart w:id="279" w:name="OLE_LINK76"/>
      <w:bookmarkStart w:id="280" w:name="OLE_LINK39"/>
      <w:bookmarkStart w:id="281" w:name="OLE_LINK40"/>
      <w:bookmarkStart w:id="282" w:name="OLE_LINK38"/>
      <w:r>
        <w:rPr>
          <w:rFonts w:hint="eastAsia" w:ascii="黑体" w:hAnsi="黑体" w:eastAsia="黑体" w:cs="Times New Roman"/>
          <w:b/>
          <w:bCs/>
          <w:color w:val="auto"/>
          <w:kern w:val="44"/>
          <w:sz w:val="36"/>
          <w:szCs w:val="28"/>
          <w:highlight w:val="none"/>
        </w:rPr>
        <w:t>类别及判定依据</w:t>
      </w:r>
      <w:bookmarkEnd w:id="273"/>
      <w:bookmarkEnd w:id="277"/>
      <w:bookmarkEnd w:id="278"/>
      <w:bookmarkEnd w:id="279"/>
      <w:bookmarkEnd w:id="280"/>
      <w:bookmarkEnd w:id="281"/>
      <w:bookmarkEnd w:id="282"/>
    </w:p>
    <w:bookmarkEnd w:id="274"/>
    <w:bookmarkEnd w:id="275"/>
    <w:bookmarkEnd w:id="276"/>
    <w:p w14:paraId="51CFF64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226E232">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18C0760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2A7D9B0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2FB222C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5FEC289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01DD367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1E7E58E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02482A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B6675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47A740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766295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3F005E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C3E8E31">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E19D01">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285119D7">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4A5904D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541BFE6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50FC96A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052B821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7129AF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6739D09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3004EFA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486B95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2446E7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64FECB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73399FA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4AF45F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31B6B9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5DFB8A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16079EA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83" w:name="OLE_LINK10"/>
      <w:bookmarkStart w:id="284" w:name="OLE_LINK9"/>
      <w:bookmarkStart w:id="285"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83"/>
      <w:bookmarkEnd w:id="284"/>
      <w:bookmarkEnd w:id="285"/>
      <w:r>
        <w:rPr>
          <w:rFonts w:hint="eastAsia" w:ascii="仿宋_GB2312" w:hAnsi="宋体" w:eastAsia="仿宋_GB2312" w:cs="Times New Roman"/>
          <w:b/>
          <w:color w:val="auto"/>
          <w:sz w:val="28"/>
          <w:szCs w:val="28"/>
          <w:highlight w:val="none"/>
        </w:rPr>
        <w:t>》、《</w:t>
      </w:r>
      <w:bookmarkStart w:id="286" w:name="OLE_LINK12"/>
      <w:bookmarkStart w:id="287" w:name="OLE_LINK11"/>
      <w:r>
        <w:rPr>
          <w:rFonts w:hint="eastAsia" w:ascii="仿宋_GB2312" w:hAnsi="宋体" w:eastAsia="仿宋_GB2312" w:cs="Times New Roman"/>
          <w:b/>
          <w:color w:val="auto"/>
          <w:sz w:val="28"/>
          <w:szCs w:val="28"/>
          <w:highlight w:val="none"/>
        </w:rPr>
        <w:t>企业环境信用评价办法（试行）</w:t>
      </w:r>
      <w:bookmarkEnd w:id="286"/>
      <w:bookmarkEnd w:id="287"/>
      <w:r>
        <w:rPr>
          <w:rFonts w:hint="eastAsia" w:ascii="仿宋_GB2312" w:hAnsi="宋体" w:eastAsia="仿宋_GB2312" w:cs="Times New Roman"/>
          <w:b/>
          <w:color w:val="auto"/>
          <w:sz w:val="28"/>
          <w:szCs w:val="28"/>
          <w:highlight w:val="none"/>
        </w:rPr>
        <w:t>》（环发〔2013〕150号）</w:t>
      </w:r>
    </w:p>
    <w:p w14:paraId="3D5D5204">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02040E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306631B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5B8DE68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DD10FC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857E7A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F5E530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50A3DBD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39362FC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6ED2FF1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F90F87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79992D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9A46F7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04543A9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2E5956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4575E1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6C05A3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6C50BD2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70745EB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B62C0D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568CC5A8">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718797CB">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79D737CF">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50850426">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19FCFAB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192A772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29C9A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17297471">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2C64E10D">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351A8CE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69D852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40A7C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514484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4C9D68F1">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8" w:name="OLE_LINK15"/>
      <w:bookmarkStart w:id="289"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88"/>
      <w:bookmarkEnd w:id="289"/>
      <w:r>
        <w:rPr>
          <w:rFonts w:hint="eastAsia" w:ascii="仿宋_GB2312" w:hAnsi="Calibri" w:eastAsia="仿宋_GB2312" w:cs="Times New Roman"/>
          <w:b/>
          <w:color w:val="auto"/>
          <w:sz w:val="28"/>
          <w:szCs w:val="28"/>
          <w:highlight w:val="none"/>
        </w:rPr>
        <w:t>》（发改财金〔2018〕1704号）</w:t>
      </w:r>
    </w:p>
    <w:p w14:paraId="4DCFB1FA">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33EBA826">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729E9BF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49D2044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8FA345E">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1B7AC33">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0E56074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5612394">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0" w:name="OLE_LINK18"/>
      <w:bookmarkStart w:id="291" w:name="OLE_LINK17"/>
      <w:r>
        <w:rPr>
          <w:rFonts w:hint="eastAsia" w:ascii="仿宋_GB2312" w:hAnsi="Calibri" w:eastAsia="仿宋_GB2312" w:cs="Times New Roman"/>
          <w:b/>
          <w:color w:val="auto"/>
          <w:sz w:val="28"/>
          <w:szCs w:val="28"/>
          <w:highlight w:val="none"/>
        </w:rPr>
        <w:t>建筑市场信用管理暂行办法</w:t>
      </w:r>
      <w:bookmarkEnd w:id="290"/>
      <w:bookmarkEnd w:id="291"/>
      <w:r>
        <w:rPr>
          <w:rFonts w:hint="eastAsia" w:ascii="仿宋_GB2312" w:hAnsi="Calibri" w:eastAsia="仿宋_GB2312" w:cs="Times New Roman"/>
          <w:b/>
          <w:color w:val="auto"/>
          <w:sz w:val="28"/>
          <w:szCs w:val="28"/>
          <w:highlight w:val="none"/>
        </w:rPr>
        <w:t>》（建市〔2017〕241号）</w:t>
      </w:r>
    </w:p>
    <w:p w14:paraId="4A9EABDF">
      <w:pPr>
        <w:adjustRightInd w:val="0"/>
        <w:snapToGrid w:val="0"/>
        <w:spacing w:line="560" w:lineRule="exact"/>
        <w:rPr>
          <w:rFonts w:ascii="仿宋_GB2312" w:hAnsi="宋体" w:eastAsia="仿宋_GB2312" w:cs="Times New Roman"/>
          <w:b/>
          <w:color w:val="auto"/>
          <w:sz w:val="28"/>
          <w:szCs w:val="28"/>
          <w:highlight w:val="none"/>
        </w:rPr>
      </w:pPr>
    </w:p>
    <w:p w14:paraId="44347250">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92" w:name="OLE_LINK19"/>
      <w:bookmarkStart w:id="293" w:name="OLE_LINK20"/>
      <w:r>
        <w:rPr>
          <w:rFonts w:hint="eastAsia" w:ascii="仿宋_GB2312" w:hAnsi="宋体" w:eastAsia="仿宋_GB2312" w:cs="Times New Roman"/>
          <w:b/>
          <w:color w:val="auto"/>
          <w:sz w:val="28"/>
          <w:szCs w:val="28"/>
          <w:highlight w:val="none"/>
        </w:rPr>
        <w:t>政府采购严重失信行为</w:t>
      </w:r>
      <w:bookmarkEnd w:id="292"/>
      <w:bookmarkEnd w:id="293"/>
    </w:p>
    <w:p w14:paraId="2B123AE9">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756AB9EF">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1A6BF5FF">
      <w:pPr>
        <w:adjustRightInd w:val="0"/>
        <w:snapToGrid w:val="0"/>
        <w:spacing w:line="560" w:lineRule="exact"/>
        <w:rPr>
          <w:rFonts w:ascii="仿宋_GB2312" w:hAnsi="宋体" w:eastAsia="仿宋_GB2312" w:cs="Times New Roman"/>
          <w:b/>
          <w:color w:val="auto"/>
          <w:sz w:val="28"/>
          <w:szCs w:val="28"/>
          <w:highlight w:val="none"/>
        </w:rPr>
      </w:pPr>
    </w:p>
    <w:p w14:paraId="3AC8E7F7">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4877CEA3">
      <w:pPr>
        <w:pStyle w:val="14"/>
        <w:ind w:left="1260"/>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888D">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843CC">
                          <w:pPr>
                            <w:pStyle w:val="19"/>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QVKs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Z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4EFSrKwIAAFUEAAAOAAAAAAAAAAEAIAAAAB8BAABkcnMvZTJvRG9jLnhtbFBLBQYAAAAABgAG&#10;AFkBAAC8BQAAAAA=&#10;">
              <v:fill on="f" focussize="0,0"/>
              <v:stroke on="f" weight="0.5pt"/>
              <v:imagedata o:title=""/>
              <o:lock v:ext="edit" aspectratio="f"/>
              <v:textbox inset="0mm,0mm,0mm,0mm" style="mso-fit-shape-to-text:t;">
                <w:txbxContent>
                  <w:p w14:paraId="08A843CC">
                    <w:pPr>
                      <w:pStyle w:val="19"/>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8126">
    <w:pPr>
      <w:pStyle w:val="20"/>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EA2A8"/>
    <w:multiLevelType w:val="singleLevel"/>
    <w:tmpl w:val="C54EA2A8"/>
    <w:lvl w:ilvl="0" w:tentative="0">
      <w:start w:val="1"/>
      <w:numFmt w:val="decimal"/>
      <w:pStyle w:val="8"/>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1772"/>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3A3B"/>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6C6"/>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2BF2"/>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5C7A"/>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D77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054EB"/>
    <w:rsid w:val="01E93A1B"/>
    <w:rsid w:val="0214602E"/>
    <w:rsid w:val="03486B27"/>
    <w:rsid w:val="03C2134C"/>
    <w:rsid w:val="040A094E"/>
    <w:rsid w:val="04D87C93"/>
    <w:rsid w:val="056F201D"/>
    <w:rsid w:val="05A21435"/>
    <w:rsid w:val="05B664D4"/>
    <w:rsid w:val="064B485A"/>
    <w:rsid w:val="068C65C4"/>
    <w:rsid w:val="07076C01"/>
    <w:rsid w:val="071C12AC"/>
    <w:rsid w:val="07A934B3"/>
    <w:rsid w:val="07EB6287"/>
    <w:rsid w:val="07FF38BF"/>
    <w:rsid w:val="0806421B"/>
    <w:rsid w:val="0980799C"/>
    <w:rsid w:val="09944B8E"/>
    <w:rsid w:val="0A6A18DB"/>
    <w:rsid w:val="0A7C412D"/>
    <w:rsid w:val="0A825391"/>
    <w:rsid w:val="0A975B48"/>
    <w:rsid w:val="0AE71698"/>
    <w:rsid w:val="0AEF3828"/>
    <w:rsid w:val="0B406381"/>
    <w:rsid w:val="0BB452AA"/>
    <w:rsid w:val="0BBB665B"/>
    <w:rsid w:val="0C1E733C"/>
    <w:rsid w:val="0E6F2305"/>
    <w:rsid w:val="0E9D59AD"/>
    <w:rsid w:val="0ED40186"/>
    <w:rsid w:val="0EEA6FC1"/>
    <w:rsid w:val="0F790928"/>
    <w:rsid w:val="104F3498"/>
    <w:rsid w:val="10CD72BB"/>
    <w:rsid w:val="12197477"/>
    <w:rsid w:val="131B5CD3"/>
    <w:rsid w:val="133E02C4"/>
    <w:rsid w:val="13776448"/>
    <w:rsid w:val="13C02CCD"/>
    <w:rsid w:val="14263231"/>
    <w:rsid w:val="1466407E"/>
    <w:rsid w:val="14834E28"/>
    <w:rsid w:val="148E7D65"/>
    <w:rsid w:val="15231BF9"/>
    <w:rsid w:val="15997A33"/>
    <w:rsid w:val="15C4546D"/>
    <w:rsid w:val="19DD2D01"/>
    <w:rsid w:val="1A064976"/>
    <w:rsid w:val="1A3B68AA"/>
    <w:rsid w:val="1A3E1C1E"/>
    <w:rsid w:val="1B6F4F40"/>
    <w:rsid w:val="1C141836"/>
    <w:rsid w:val="1C76537D"/>
    <w:rsid w:val="1CF17D9A"/>
    <w:rsid w:val="1D24052A"/>
    <w:rsid w:val="1D3931EE"/>
    <w:rsid w:val="1DEF28E6"/>
    <w:rsid w:val="1DF22353"/>
    <w:rsid w:val="1E6B6A14"/>
    <w:rsid w:val="1F6115C2"/>
    <w:rsid w:val="20550D9A"/>
    <w:rsid w:val="205545EA"/>
    <w:rsid w:val="218E2416"/>
    <w:rsid w:val="21B75E11"/>
    <w:rsid w:val="21C31F1F"/>
    <w:rsid w:val="21CC7627"/>
    <w:rsid w:val="226915FE"/>
    <w:rsid w:val="229273EC"/>
    <w:rsid w:val="230C3F3A"/>
    <w:rsid w:val="2375280B"/>
    <w:rsid w:val="23BC656D"/>
    <w:rsid w:val="241804A5"/>
    <w:rsid w:val="24B97929"/>
    <w:rsid w:val="24D632D7"/>
    <w:rsid w:val="2621364C"/>
    <w:rsid w:val="26BF38D3"/>
    <w:rsid w:val="271E248E"/>
    <w:rsid w:val="27323351"/>
    <w:rsid w:val="27D65DBA"/>
    <w:rsid w:val="285F40CA"/>
    <w:rsid w:val="286D0FD7"/>
    <w:rsid w:val="289E1AF0"/>
    <w:rsid w:val="28A22E75"/>
    <w:rsid w:val="28C01ECB"/>
    <w:rsid w:val="296138D0"/>
    <w:rsid w:val="29BF71E3"/>
    <w:rsid w:val="29D6387F"/>
    <w:rsid w:val="2A127B63"/>
    <w:rsid w:val="2A451A6C"/>
    <w:rsid w:val="2A990D4C"/>
    <w:rsid w:val="2AAA4765"/>
    <w:rsid w:val="2AC21606"/>
    <w:rsid w:val="2AD63D42"/>
    <w:rsid w:val="2B1E5D64"/>
    <w:rsid w:val="2B7E7608"/>
    <w:rsid w:val="2B7F04E9"/>
    <w:rsid w:val="2B8B554A"/>
    <w:rsid w:val="2CAB6572"/>
    <w:rsid w:val="2D3C35C7"/>
    <w:rsid w:val="2D496D68"/>
    <w:rsid w:val="2E7A48DE"/>
    <w:rsid w:val="2EBA5177"/>
    <w:rsid w:val="2EC41B6D"/>
    <w:rsid w:val="2EDC3ED8"/>
    <w:rsid w:val="2F104B00"/>
    <w:rsid w:val="2F6351B4"/>
    <w:rsid w:val="2F6D6FF2"/>
    <w:rsid w:val="2FC86126"/>
    <w:rsid w:val="2FCF199E"/>
    <w:rsid w:val="2FE34275"/>
    <w:rsid w:val="30483E83"/>
    <w:rsid w:val="30BF3991"/>
    <w:rsid w:val="30DD6F16"/>
    <w:rsid w:val="3111619A"/>
    <w:rsid w:val="319775DB"/>
    <w:rsid w:val="31B139DC"/>
    <w:rsid w:val="32497AF3"/>
    <w:rsid w:val="327A0EC0"/>
    <w:rsid w:val="343C0775"/>
    <w:rsid w:val="34993154"/>
    <w:rsid w:val="356C50EC"/>
    <w:rsid w:val="36137E45"/>
    <w:rsid w:val="36376E0A"/>
    <w:rsid w:val="3700166C"/>
    <w:rsid w:val="37985945"/>
    <w:rsid w:val="379A1012"/>
    <w:rsid w:val="38694EE9"/>
    <w:rsid w:val="38E069CE"/>
    <w:rsid w:val="3A6818FA"/>
    <w:rsid w:val="3B365CC9"/>
    <w:rsid w:val="3B677B08"/>
    <w:rsid w:val="3B9A7B88"/>
    <w:rsid w:val="3BA945C4"/>
    <w:rsid w:val="3D2C7AC8"/>
    <w:rsid w:val="3D855D12"/>
    <w:rsid w:val="3D8B42FF"/>
    <w:rsid w:val="3D9F5C7F"/>
    <w:rsid w:val="3DE86C4C"/>
    <w:rsid w:val="3DF36A6E"/>
    <w:rsid w:val="3E0C4997"/>
    <w:rsid w:val="3E9A66EC"/>
    <w:rsid w:val="3EBA1EE9"/>
    <w:rsid w:val="3F792F1E"/>
    <w:rsid w:val="3FC512A1"/>
    <w:rsid w:val="40552625"/>
    <w:rsid w:val="40824826"/>
    <w:rsid w:val="40901729"/>
    <w:rsid w:val="40E63923"/>
    <w:rsid w:val="40F44996"/>
    <w:rsid w:val="40FD6666"/>
    <w:rsid w:val="43A91E5B"/>
    <w:rsid w:val="449E0D39"/>
    <w:rsid w:val="45E32B26"/>
    <w:rsid w:val="463A3650"/>
    <w:rsid w:val="46461627"/>
    <w:rsid w:val="469F0116"/>
    <w:rsid w:val="47315BD2"/>
    <w:rsid w:val="475259B7"/>
    <w:rsid w:val="47F053B6"/>
    <w:rsid w:val="488302AE"/>
    <w:rsid w:val="48831CF9"/>
    <w:rsid w:val="49024C9C"/>
    <w:rsid w:val="49B1408D"/>
    <w:rsid w:val="4A121587"/>
    <w:rsid w:val="4A205A52"/>
    <w:rsid w:val="4A7D4FD2"/>
    <w:rsid w:val="4A913C9A"/>
    <w:rsid w:val="4B1F70AC"/>
    <w:rsid w:val="4B240F94"/>
    <w:rsid w:val="4B307F16"/>
    <w:rsid w:val="4C0832E5"/>
    <w:rsid w:val="4C27283E"/>
    <w:rsid w:val="4C3C565C"/>
    <w:rsid w:val="4C3E2B07"/>
    <w:rsid w:val="4C7C04B3"/>
    <w:rsid w:val="4CC254E6"/>
    <w:rsid w:val="4CCC79C7"/>
    <w:rsid w:val="4D2B7B96"/>
    <w:rsid w:val="4D7555C7"/>
    <w:rsid w:val="4EAE6DA0"/>
    <w:rsid w:val="4FE617D9"/>
    <w:rsid w:val="4FFA6D45"/>
    <w:rsid w:val="5016514B"/>
    <w:rsid w:val="506E11C5"/>
    <w:rsid w:val="50BD4DF3"/>
    <w:rsid w:val="50CD10A1"/>
    <w:rsid w:val="50FC1A26"/>
    <w:rsid w:val="51723664"/>
    <w:rsid w:val="51CB1C78"/>
    <w:rsid w:val="51D35A9F"/>
    <w:rsid w:val="51FD6A51"/>
    <w:rsid w:val="524644C3"/>
    <w:rsid w:val="526B680A"/>
    <w:rsid w:val="52836F71"/>
    <w:rsid w:val="52D26B02"/>
    <w:rsid w:val="541A5D30"/>
    <w:rsid w:val="557D01FC"/>
    <w:rsid w:val="55C1559C"/>
    <w:rsid w:val="55F068CD"/>
    <w:rsid w:val="56462CE4"/>
    <w:rsid w:val="566C3136"/>
    <w:rsid w:val="568D04F2"/>
    <w:rsid w:val="58D04AE7"/>
    <w:rsid w:val="5A526582"/>
    <w:rsid w:val="5A551748"/>
    <w:rsid w:val="5A5F5C77"/>
    <w:rsid w:val="5A711A0D"/>
    <w:rsid w:val="5B1613E4"/>
    <w:rsid w:val="5B50604C"/>
    <w:rsid w:val="5B78003B"/>
    <w:rsid w:val="5BA34735"/>
    <w:rsid w:val="5BC11A60"/>
    <w:rsid w:val="5BC63ECE"/>
    <w:rsid w:val="5C35556C"/>
    <w:rsid w:val="5C7A4D54"/>
    <w:rsid w:val="5CD23B73"/>
    <w:rsid w:val="5D7109D2"/>
    <w:rsid w:val="5E165DF3"/>
    <w:rsid w:val="5EDF21E5"/>
    <w:rsid w:val="5F00691E"/>
    <w:rsid w:val="5F127819"/>
    <w:rsid w:val="5FD0361E"/>
    <w:rsid w:val="5FD16DAD"/>
    <w:rsid w:val="60350ED3"/>
    <w:rsid w:val="60B72AEE"/>
    <w:rsid w:val="61025188"/>
    <w:rsid w:val="61057D5F"/>
    <w:rsid w:val="611759A9"/>
    <w:rsid w:val="611E1001"/>
    <w:rsid w:val="6126068F"/>
    <w:rsid w:val="614D4977"/>
    <w:rsid w:val="61C251E9"/>
    <w:rsid w:val="61FF6C8C"/>
    <w:rsid w:val="62FD1A73"/>
    <w:rsid w:val="63C60FC0"/>
    <w:rsid w:val="63FD0222"/>
    <w:rsid w:val="64074A55"/>
    <w:rsid w:val="64BA3D7A"/>
    <w:rsid w:val="64C556CB"/>
    <w:rsid w:val="64F179BC"/>
    <w:rsid w:val="65055B18"/>
    <w:rsid w:val="665704D3"/>
    <w:rsid w:val="667C67D7"/>
    <w:rsid w:val="67C065A4"/>
    <w:rsid w:val="67D359C9"/>
    <w:rsid w:val="68042537"/>
    <w:rsid w:val="68FE36DD"/>
    <w:rsid w:val="694E60FC"/>
    <w:rsid w:val="69E95A08"/>
    <w:rsid w:val="6A256904"/>
    <w:rsid w:val="6B656832"/>
    <w:rsid w:val="6BD66471"/>
    <w:rsid w:val="6C675CE6"/>
    <w:rsid w:val="6D41480A"/>
    <w:rsid w:val="6D4F4321"/>
    <w:rsid w:val="6D5A2261"/>
    <w:rsid w:val="6DF41B82"/>
    <w:rsid w:val="6DFF7360"/>
    <w:rsid w:val="6E7A5F73"/>
    <w:rsid w:val="6E873A42"/>
    <w:rsid w:val="6EE90F9D"/>
    <w:rsid w:val="6FD74228"/>
    <w:rsid w:val="7021106F"/>
    <w:rsid w:val="70B054D2"/>
    <w:rsid w:val="71633091"/>
    <w:rsid w:val="7199645D"/>
    <w:rsid w:val="71AF12E6"/>
    <w:rsid w:val="72734A09"/>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396538"/>
    <w:rsid w:val="7A9D05C5"/>
    <w:rsid w:val="7AF9279C"/>
    <w:rsid w:val="7CC51958"/>
    <w:rsid w:val="7CD53DF9"/>
    <w:rsid w:val="7D097C86"/>
    <w:rsid w:val="7DE653B4"/>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7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lang w:val="zh-CN"/>
    </w:rPr>
  </w:style>
  <w:style w:type="paragraph" w:styleId="7">
    <w:name w:val="toc 7"/>
    <w:basedOn w:val="1"/>
    <w:next w:val="1"/>
    <w:unhideWhenUsed/>
    <w:qFormat/>
    <w:uiPriority w:val="39"/>
    <w:pPr>
      <w:ind w:left="1260"/>
      <w:jc w:val="left"/>
    </w:pPr>
    <w:rPr>
      <w:rFonts w:ascii="Calibri" w:hAnsi="Calibri" w:cs="Calibri"/>
      <w:sz w:val="18"/>
      <w:szCs w:val="18"/>
    </w:rPr>
  </w:style>
  <w:style w:type="paragraph" w:styleId="8">
    <w:name w:val="List Number"/>
    <w:basedOn w:val="1"/>
    <w:semiHidden/>
    <w:unhideWhenUsed/>
    <w:qFormat/>
    <w:uiPriority w:val="99"/>
    <w:pPr>
      <w:numPr>
        <w:ilvl w:val="0"/>
        <w:numId w:val="1"/>
      </w:numPr>
    </w:p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6"/>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next w:val="7"/>
    <w:qFormat/>
    <w:uiPriority w:val="0"/>
    <w:pPr>
      <w:snapToGrid w:val="0"/>
    </w:pPr>
    <w:rPr>
      <w:rFonts w:ascii="Arial" w:hAnsi="Arial"/>
    </w:rPr>
  </w:style>
  <w:style w:type="paragraph" w:styleId="14">
    <w:name w:val="index 4"/>
    <w:basedOn w:val="1"/>
    <w:next w:val="1"/>
    <w:qFormat/>
    <w:uiPriority w:val="0"/>
    <w:pPr>
      <w:ind w:left="600" w:leftChars="600"/>
    </w:pPr>
    <w:rPr>
      <w:rFonts w:ascii="Times New Roman" w:hAnsi="Times New Roman" w:eastAsia="宋体" w:cs="Times New Roman"/>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5"/>
    <w:autoRedefine/>
    <w:qFormat/>
    <w:uiPriority w:val="99"/>
    <w:rPr>
      <w:rFonts w:ascii="宋体" w:hAnsi="Courier New" w:eastAsiaTheme="minorEastAsia" w:cstheme="minorBidi"/>
      <w:szCs w:val="22"/>
    </w:rPr>
  </w:style>
  <w:style w:type="paragraph" w:styleId="17">
    <w:name w:val="Date"/>
    <w:basedOn w:val="1"/>
    <w:next w:val="1"/>
    <w:link w:val="54"/>
    <w:autoRedefine/>
    <w:qFormat/>
    <w:uiPriority w:val="0"/>
    <w:rPr>
      <w:rFonts w:ascii="Arial" w:hAnsi="Arial" w:eastAsia="宋体" w:cs="Arial"/>
      <w:b/>
      <w:sz w:val="28"/>
    </w:rPr>
  </w:style>
  <w:style w:type="paragraph" w:styleId="18">
    <w:name w:val="Balloon Text"/>
    <w:basedOn w:val="1"/>
    <w:link w:val="61"/>
    <w:autoRedefine/>
    <w:semiHidden/>
    <w:unhideWhenUsed/>
    <w:qFormat/>
    <w:uiPriority w:val="99"/>
    <w:rPr>
      <w:sz w:val="18"/>
      <w:szCs w:val="18"/>
    </w:rPr>
  </w:style>
  <w:style w:type="paragraph" w:styleId="19">
    <w:name w:val="footer"/>
    <w:basedOn w:val="1"/>
    <w:link w:val="50"/>
    <w:autoRedefine/>
    <w:unhideWhenUsed/>
    <w:qFormat/>
    <w:uiPriority w:val="99"/>
    <w:pPr>
      <w:tabs>
        <w:tab w:val="center" w:pos="4153"/>
        <w:tab w:val="right" w:pos="8306"/>
      </w:tabs>
      <w:snapToGrid w:val="0"/>
      <w:jc w:val="left"/>
    </w:pPr>
    <w:rPr>
      <w:sz w:val="18"/>
      <w:szCs w:val="18"/>
    </w:rPr>
  </w:style>
  <w:style w:type="paragraph" w:styleId="20">
    <w:name w:val="header"/>
    <w:basedOn w:val="1"/>
    <w:link w:val="7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10"/>
    <w:next w:val="10"/>
    <w:link w:val="59"/>
    <w:autoRedefine/>
    <w:semiHidden/>
    <w:unhideWhenUsed/>
    <w:qFormat/>
    <w:uiPriority w:val="99"/>
    <w:rPr>
      <w:rFonts w:ascii="@仿宋_GB2312" w:hAnsi="@仿宋_GB2312" w:eastAsia="@仿宋_GB2312" w:cs="@仿宋_GB2312"/>
      <w:b/>
      <w:bCs/>
    </w:rPr>
  </w:style>
  <w:style w:type="paragraph" w:styleId="26">
    <w:name w:val="Body Text First Indent"/>
    <w:basedOn w:val="11"/>
    <w:autoRedefine/>
    <w:unhideWhenUsed/>
    <w:qFormat/>
    <w:uiPriority w:val="99"/>
    <w:pPr>
      <w:ind w:firstLine="420" w:firstLineChars="100"/>
    </w:pPr>
  </w:style>
  <w:style w:type="paragraph" w:styleId="27">
    <w:name w:val="Body Text First Indent 2"/>
    <w:basedOn w:val="12"/>
    <w:next w:val="1"/>
    <w:qFormat/>
    <w:uiPriority w:val="0"/>
    <w:pPr>
      <w:spacing w:line="360" w:lineRule="auto"/>
      <w:ind w:firstLine="200"/>
    </w:p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FollowedHyperlink"/>
    <w:basedOn w:val="30"/>
    <w:semiHidden/>
    <w:unhideWhenUsed/>
    <w:uiPriority w:val="99"/>
    <w:rPr>
      <w:color w:val="5C5C5C"/>
      <w:u w:val="none"/>
    </w:rPr>
  </w:style>
  <w:style w:type="character" w:styleId="33">
    <w:name w:val="Emphasis"/>
    <w:basedOn w:val="30"/>
    <w:qFormat/>
    <w:uiPriority w:val="0"/>
    <w:rPr>
      <w:b/>
      <w:bCs/>
    </w:rPr>
  </w:style>
  <w:style w:type="character" w:styleId="34">
    <w:name w:val="HTML Definition"/>
    <w:basedOn w:val="30"/>
    <w:semiHidden/>
    <w:unhideWhenUsed/>
    <w:uiPriority w:val="99"/>
  </w:style>
  <w:style w:type="character" w:styleId="35">
    <w:name w:val="HTML Typewriter"/>
    <w:basedOn w:val="30"/>
    <w:semiHidden/>
    <w:unhideWhenUsed/>
    <w:uiPriority w:val="99"/>
    <w:rPr>
      <w:rFonts w:hint="default" w:ascii="monospace" w:hAnsi="monospace" w:eastAsia="monospace" w:cs="monospace"/>
      <w:sz w:val="20"/>
    </w:rPr>
  </w:style>
  <w:style w:type="character" w:styleId="36">
    <w:name w:val="HTML Acronym"/>
    <w:basedOn w:val="30"/>
    <w:semiHidden/>
    <w:unhideWhenUsed/>
    <w:uiPriority w:val="99"/>
  </w:style>
  <w:style w:type="character" w:styleId="37">
    <w:name w:val="HTML Variable"/>
    <w:basedOn w:val="30"/>
    <w:semiHidden/>
    <w:unhideWhenUsed/>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semiHidden/>
    <w:unhideWhenUsed/>
    <w:uiPriority w:val="99"/>
  </w:style>
  <w:style w:type="character" w:styleId="42">
    <w:name w:val="HTML Keyboard"/>
    <w:basedOn w:val="30"/>
    <w:semiHidden/>
    <w:unhideWhenUsed/>
    <w:uiPriority w:val="99"/>
    <w:rPr>
      <w:rFonts w:ascii="monospace" w:hAnsi="monospace" w:eastAsia="monospace" w:cs="monospace"/>
      <w:color w:val="D6D6D6"/>
      <w:sz w:val="20"/>
    </w:rPr>
  </w:style>
  <w:style w:type="character" w:styleId="43">
    <w:name w:val="HTML Sample"/>
    <w:basedOn w:val="30"/>
    <w:semiHidden/>
    <w:unhideWhenUsed/>
    <w:uiPriority w:val="99"/>
    <w:rPr>
      <w:rFonts w:hint="default" w:ascii="monospace" w:hAnsi="monospace" w:eastAsia="monospace" w:cs="monospace"/>
    </w:rPr>
  </w:style>
  <w:style w:type="character" w:customStyle="1" w:styleId="44">
    <w:name w:val="fontstyle01"/>
    <w:basedOn w:val="30"/>
    <w:autoRedefine/>
    <w:qFormat/>
    <w:uiPriority w:val="0"/>
    <w:rPr>
      <w:rFonts w:hint="eastAsia" w:ascii="宋体" w:hAnsi="宋体" w:eastAsia="宋体"/>
      <w:color w:val="000000"/>
      <w:sz w:val="22"/>
      <w:szCs w:val="22"/>
    </w:rPr>
  </w:style>
  <w:style w:type="paragraph" w:customStyle="1" w:styleId="4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批注文字 字符"/>
    <w:link w:val="10"/>
    <w:autoRedefine/>
    <w:qFormat/>
    <w:uiPriority w:val="0"/>
    <w:rPr>
      <w:rFonts w:ascii="Arial" w:hAnsi="Arial" w:eastAsia="黑体" w:cs="Arial"/>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4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9">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脚 字符"/>
    <w:basedOn w:val="30"/>
    <w:link w:val="19"/>
    <w:autoRedefine/>
    <w:qFormat/>
    <w:uiPriority w:val="99"/>
    <w:rPr>
      <w:rFonts w:ascii="@仿宋_GB2312" w:hAnsi="@仿宋_GB2312" w:eastAsia="@仿宋_GB2312" w:cs="@仿宋_GB2312"/>
      <w:sz w:val="18"/>
      <w:szCs w:val="18"/>
    </w:rPr>
  </w:style>
  <w:style w:type="character" w:customStyle="1" w:styleId="51">
    <w:name w:val="标题 4 字符"/>
    <w:basedOn w:val="30"/>
    <w:autoRedefine/>
    <w:semiHidden/>
    <w:qFormat/>
    <w:uiPriority w:val="9"/>
    <w:rPr>
      <w:rFonts w:asciiTheme="majorHAnsi" w:hAnsiTheme="majorHAnsi" w:eastAsiaTheme="majorEastAsia" w:cstheme="majorBidi"/>
      <w:b/>
      <w:bCs/>
      <w:sz w:val="28"/>
      <w:szCs w:val="28"/>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styleId="53">
    <w:name w:val="List Paragraph"/>
    <w:basedOn w:val="1"/>
    <w:autoRedefine/>
    <w:qFormat/>
    <w:uiPriority w:val="34"/>
    <w:pPr>
      <w:ind w:firstLine="420" w:firstLineChars="200"/>
    </w:pPr>
  </w:style>
  <w:style w:type="character" w:customStyle="1" w:styleId="54">
    <w:name w:val="日期 字符1"/>
    <w:link w:val="17"/>
    <w:autoRedefine/>
    <w:qFormat/>
    <w:uiPriority w:val="0"/>
    <w:rPr>
      <w:rFonts w:ascii="Arial" w:hAnsi="Arial" w:eastAsia="宋体" w:cs="Arial"/>
      <w:b/>
      <w:sz w:val="28"/>
      <w:szCs w:val="20"/>
    </w:rPr>
  </w:style>
  <w:style w:type="character" w:customStyle="1" w:styleId="55">
    <w:name w:val="纯文本 字符"/>
    <w:link w:val="16"/>
    <w:autoRedefine/>
    <w:qFormat/>
    <w:uiPriority w:val="0"/>
    <w:rPr>
      <w:rFonts w:ascii="宋体" w:hAnsi="Courier New"/>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日期 字符"/>
    <w:basedOn w:val="30"/>
    <w:autoRedefine/>
    <w:semiHidden/>
    <w:qFormat/>
    <w:uiPriority w:val="99"/>
    <w:rPr>
      <w:rFonts w:ascii="@仿宋_GB2312" w:hAnsi="@仿宋_GB2312" w:eastAsia="@仿宋_GB2312" w:cs="@仿宋_GB2312"/>
      <w:szCs w:val="20"/>
    </w:rPr>
  </w:style>
  <w:style w:type="table" w:customStyle="1" w:styleId="58">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9">
    <w:name w:val="批注主题 字符"/>
    <w:basedOn w:val="46"/>
    <w:link w:val="25"/>
    <w:autoRedefine/>
    <w:semiHidden/>
    <w:qFormat/>
    <w:uiPriority w:val="99"/>
    <w:rPr>
      <w:rFonts w:ascii="@仿宋_GB2312" w:hAnsi="@仿宋_GB2312" w:eastAsia="@仿宋_GB2312" w:cs="@仿宋_GB2312"/>
      <w:b/>
      <w:bCs/>
      <w:szCs w:val="20"/>
    </w:rPr>
  </w:style>
  <w:style w:type="character" w:customStyle="1" w:styleId="60">
    <w:name w:val="标题 3 字符"/>
    <w:basedOn w:val="30"/>
    <w:link w:val="5"/>
    <w:autoRedefine/>
    <w:semiHidden/>
    <w:qFormat/>
    <w:uiPriority w:val="9"/>
    <w:rPr>
      <w:rFonts w:ascii="@仿宋_GB2312" w:hAnsi="@仿宋_GB2312" w:eastAsia="@仿宋_GB2312" w:cs="@仿宋_GB2312"/>
      <w:b/>
      <w:bCs/>
      <w:sz w:val="32"/>
      <w:szCs w:val="32"/>
    </w:rPr>
  </w:style>
  <w:style w:type="character" w:customStyle="1" w:styleId="61">
    <w:name w:val="批注框文本 字符"/>
    <w:basedOn w:val="30"/>
    <w:link w:val="18"/>
    <w:autoRedefine/>
    <w:semiHidden/>
    <w:qFormat/>
    <w:uiPriority w:val="99"/>
    <w:rPr>
      <w:rFonts w:ascii="@仿宋_GB2312" w:hAnsi="@仿宋_GB2312" w:eastAsia="@仿宋_GB2312" w:cs="@仿宋_GB2312"/>
      <w:sz w:val="18"/>
      <w:szCs w:val="18"/>
    </w:rPr>
  </w:style>
  <w:style w:type="paragraph" w:customStyle="1" w:styleId="62">
    <w:name w:val="Char Char Char Char Char Char Char1 Char"/>
    <w:basedOn w:val="1"/>
    <w:autoRedefine/>
    <w:qFormat/>
    <w:uiPriority w:val="0"/>
    <w:rPr>
      <w:rFonts w:ascii="Arial" w:hAnsi="Arial" w:eastAsia="宋体" w:cs="Arial"/>
      <w:sz w:val="24"/>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批注文字 Char"/>
    <w:basedOn w:val="30"/>
    <w:autoRedefine/>
    <w:semiHidden/>
    <w:qFormat/>
    <w:uiPriority w:val="99"/>
    <w:rPr>
      <w:rFonts w:ascii="@仿宋_GB2312" w:hAnsi="@仿宋_GB2312" w:eastAsia="@仿宋_GB2312" w:cs="@仿宋_GB2312"/>
      <w:szCs w:val="20"/>
    </w:rPr>
  </w:style>
  <w:style w:type="character" w:customStyle="1" w:styleId="65">
    <w:name w:val="纯文本 字符1"/>
    <w:basedOn w:val="30"/>
    <w:autoRedefine/>
    <w:semiHidden/>
    <w:qFormat/>
    <w:uiPriority w:val="99"/>
    <w:rPr>
      <w:rFonts w:hAnsi="Courier New" w:cs="Courier New" w:asciiTheme="minorEastAsia"/>
      <w:szCs w:val="20"/>
    </w:rPr>
  </w:style>
  <w:style w:type="character" w:customStyle="1" w:styleId="66">
    <w:name w:val="fontstyle21"/>
    <w:basedOn w:val="30"/>
    <w:autoRedefine/>
    <w:qFormat/>
    <w:uiPriority w:val="0"/>
    <w:rPr>
      <w:rFonts w:hint="default" w:ascii="TimesNewRomanPSMT" w:hAnsi="TimesNewRomanPSMT"/>
      <w:color w:val="000000"/>
      <w:sz w:val="22"/>
      <w:szCs w:val="22"/>
    </w:rPr>
  </w:style>
  <w:style w:type="character" w:customStyle="1" w:styleId="67">
    <w:name w:val="标题 4 字符1"/>
    <w:link w:val="6"/>
    <w:autoRedefine/>
    <w:qFormat/>
    <w:uiPriority w:val="0"/>
    <w:rPr>
      <w:rFonts w:ascii="@仿宋_GB2312" w:hAnsi="@仿宋_GB2312" w:eastAsia="@仿宋_GB2312" w:cs="@仿宋_GB2312"/>
      <w:b/>
      <w:bCs/>
      <w:sz w:val="28"/>
      <w:szCs w:val="28"/>
    </w:rPr>
  </w:style>
  <w:style w:type="table" w:customStyle="1" w:styleId="68">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列出段落1"/>
    <w:basedOn w:val="1"/>
    <w:autoRedefine/>
    <w:qFormat/>
    <w:uiPriority w:val="0"/>
    <w:pPr>
      <w:ind w:firstLine="420" w:firstLineChars="200"/>
    </w:pPr>
    <w:rPr>
      <w:szCs w:val="21"/>
    </w:rPr>
  </w:style>
  <w:style w:type="paragraph" w:customStyle="1" w:styleId="7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1">
    <w:name w:val="标题 1 字符"/>
    <w:basedOn w:val="30"/>
    <w:link w:val="3"/>
    <w:autoRedefine/>
    <w:qFormat/>
    <w:uiPriority w:val="9"/>
    <w:rPr>
      <w:rFonts w:ascii="@仿宋_GB2312" w:hAnsi="@仿宋_GB2312" w:eastAsia="@仿宋_GB2312" w:cs="@仿宋_GB2312"/>
      <w:b/>
      <w:bCs/>
      <w:kern w:val="44"/>
      <w:sz w:val="44"/>
      <w:szCs w:val="44"/>
    </w:rPr>
  </w:style>
  <w:style w:type="paragraph" w:customStyle="1" w:styleId="7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73">
    <w:name w:val="Table Text"/>
    <w:basedOn w:val="1"/>
    <w:autoRedefine/>
    <w:semiHidden/>
    <w:qFormat/>
    <w:uiPriority w:val="0"/>
    <w:rPr>
      <w:rFonts w:ascii="Arial" w:hAnsi="Arial" w:eastAsia="Arial" w:cs="Arial"/>
      <w:szCs w:val="21"/>
      <w:lang w:eastAsia="en-US"/>
    </w:rPr>
  </w:style>
  <w:style w:type="character" w:customStyle="1" w:styleId="74">
    <w:name w:val="标题 4 Char"/>
    <w:autoRedefine/>
    <w:qFormat/>
    <w:uiPriority w:val="0"/>
    <w:rPr>
      <w:rFonts w:ascii="Arial" w:hAnsi="Arial" w:eastAsia="Arial"/>
      <w:b/>
      <w:bCs/>
      <w:kern w:val="2"/>
      <w:sz w:val="28"/>
      <w:szCs w:val="28"/>
      <w:lang w:val="en-US" w:eastAsia="zh-CN" w:bidi="ar-SA"/>
    </w:rPr>
  </w:style>
  <w:style w:type="character" w:customStyle="1" w:styleId="75">
    <w:name w:val="页眉 字符"/>
    <w:basedOn w:val="30"/>
    <w:link w:val="20"/>
    <w:autoRedefine/>
    <w:qFormat/>
    <w:uiPriority w:val="99"/>
    <w:rPr>
      <w:rFonts w:ascii="@仿宋_GB2312" w:hAnsi="@仿宋_GB2312" w:eastAsia="@仿宋_GB2312" w:cs="@仿宋_GB2312"/>
      <w:sz w:val="18"/>
      <w:szCs w:val="18"/>
    </w:rPr>
  </w:style>
  <w:style w:type="character" w:customStyle="1" w:styleId="76">
    <w:name w:val="未处理的提及1"/>
    <w:basedOn w:val="30"/>
    <w:autoRedefine/>
    <w:semiHidden/>
    <w:unhideWhenUsed/>
    <w:qFormat/>
    <w:uiPriority w:val="99"/>
    <w:rPr>
      <w:color w:val="605E5C"/>
      <w:shd w:val="clear" w:color="auto" w:fill="E1DFDD"/>
    </w:rPr>
  </w:style>
  <w:style w:type="character" w:customStyle="1" w:styleId="77">
    <w:name w:val="hover"/>
    <w:basedOn w:val="30"/>
    <w:uiPriority w:val="0"/>
  </w:style>
  <w:style w:type="character" w:customStyle="1" w:styleId="78">
    <w:name w:val="hover1"/>
    <w:basedOn w:val="30"/>
    <w:uiPriority w:val="0"/>
    <w:rPr>
      <w:color w:val="2590EB"/>
    </w:rPr>
  </w:style>
  <w:style w:type="character" w:customStyle="1" w:styleId="79">
    <w:name w:val="hover2"/>
    <w:basedOn w:val="30"/>
    <w:uiPriority w:val="0"/>
    <w:rPr>
      <w:color w:val="2590EB"/>
    </w:rPr>
  </w:style>
  <w:style w:type="character" w:customStyle="1" w:styleId="80">
    <w:name w:val="hover3"/>
    <w:basedOn w:val="30"/>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2565</Words>
  <Characters>2955</Characters>
  <Lines>362</Lines>
  <Paragraphs>102</Paragraphs>
  <TotalTime>25</TotalTime>
  <ScaleCrop>false</ScaleCrop>
  <LinksUpToDate>false</LinksUpToDate>
  <CharactersWithSpaces>3068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2026-05-26T11:18:00Z</dcterms:created>
  <dc:creator>Administrator</dc:creator>
  <cp:lastModifiedBy>韦韦</cp:lastModifiedBy>
  <dcterms:modified xsi:type="dcterms:W3CDTF">2026-06-03T06:24:33Z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eyJoZGlkIjoiZmQ5MGI3YTdkMjVkZTZjM2ZjZTQ5YjMxYTJjZjRlOWEiLCJ1c2VySWQiOiIzNjE4MjQ5In0=</vt:lpwstr>
  </property>
  <property fmtid="{D5CDD505-2E9C-101B-9397-08002B2CF9AE}" pid="3" name="KSOProductBuildVer">
    <vt:lpwstr>2052-12.1.0.26375</vt:lpwstr>
  </property>
  <property fmtid="{D5CDD505-2E9C-101B-9397-08002B2CF9AE}" pid="4" name="ICV">
    <vt:lpwstr>E919E70131C147D69F342C6025EF27F5_12</vt:lpwstr>
  </property>
</Properties>
</file>