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1B2D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46BB6B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3132C0B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295EC8E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61D47ED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7AB5AB8F">
      <w:pPr>
        <w:widowControl/>
        <w:jc w:val="center"/>
        <w:rPr>
          <w:rFonts w:hint="eastAsia"/>
          <w:color w:val="auto"/>
          <w:highlight w:val="none"/>
        </w:rPr>
      </w:pPr>
      <w:r>
        <w:rPr>
          <w:rFonts w:hint="eastAsia" w:ascii="宋体" w:hAnsi="宋体" w:eastAsia="宋体" w:cs="宋体"/>
          <w:b/>
          <w:bCs/>
          <w:color w:val="auto"/>
          <w:kern w:val="0"/>
          <w:sz w:val="52"/>
          <w:szCs w:val="52"/>
          <w:highlight w:val="none"/>
          <w:lang w:bidi="ar"/>
        </w:rPr>
        <w:t>（</w:t>
      </w:r>
      <w:r>
        <w:rPr>
          <w:rFonts w:hint="eastAsia" w:ascii="宋体" w:hAnsi="宋体" w:eastAsia="宋体" w:cs="宋体"/>
          <w:b/>
          <w:bCs/>
          <w:color w:val="auto"/>
          <w:kern w:val="0"/>
          <w:sz w:val="52"/>
          <w:szCs w:val="52"/>
          <w:highlight w:val="none"/>
          <w:lang w:eastAsia="zh-CN" w:bidi="ar"/>
        </w:rPr>
        <w:t>202</w:t>
      </w:r>
      <w:r>
        <w:rPr>
          <w:rFonts w:hint="eastAsia" w:ascii="宋体" w:hAnsi="宋体" w:eastAsia="宋体" w:cs="宋体"/>
          <w:b/>
          <w:bCs/>
          <w:color w:val="auto"/>
          <w:kern w:val="0"/>
          <w:sz w:val="52"/>
          <w:szCs w:val="52"/>
          <w:highlight w:val="none"/>
          <w:lang w:val="en-US" w:eastAsia="zh-CN" w:bidi="ar"/>
        </w:rPr>
        <w:t>4</w:t>
      </w:r>
      <w:r>
        <w:rPr>
          <w:rFonts w:hint="eastAsia" w:ascii="宋体" w:hAnsi="宋体" w:eastAsia="宋体" w:cs="宋体"/>
          <w:b/>
          <w:bCs/>
          <w:color w:val="auto"/>
          <w:kern w:val="0"/>
          <w:sz w:val="52"/>
          <w:szCs w:val="52"/>
          <w:highlight w:val="none"/>
          <w:lang w:eastAsia="zh-CN" w:bidi="ar"/>
        </w:rPr>
        <w:t>年</w:t>
      </w:r>
      <w:r>
        <w:rPr>
          <w:rFonts w:hint="eastAsia" w:ascii="宋体" w:hAnsi="宋体" w:eastAsia="宋体" w:cs="宋体"/>
          <w:b/>
          <w:bCs/>
          <w:color w:val="auto"/>
          <w:kern w:val="0"/>
          <w:sz w:val="52"/>
          <w:szCs w:val="52"/>
          <w:highlight w:val="none"/>
          <w:lang w:bidi="ar"/>
        </w:rPr>
        <w:t>版）</w:t>
      </w:r>
    </w:p>
    <w:p w14:paraId="481551E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7A9A6A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C53099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9BEEB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ACD1C4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E64063B">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滁州市政务服务应用场景升级迭代项目</w:t>
      </w:r>
    </w:p>
    <w:p w14:paraId="4B64BD9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czsjcg202510-030</w:t>
      </w:r>
    </w:p>
    <w:p w14:paraId="7399057D">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滁州市数据资源管理局</w:t>
      </w:r>
    </w:p>
    <w:p w14:paraId="1B5127D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滁州市政府采购中心</w:t>
      </w:r>
    </w:p>
    <w:p w14:paraId="11DC720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8657E88">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eastAsia="zh-CN"/>
        </w:rPr>
        <w:t>2025</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u w:val="none"/>
          <w:lang w:eastAsia="zh-CN"/>
        </w:rPr>
        <w:t>年</w:t>
      </w:r>
      <w:r>
        <w:rPr>
          <w:rFonts w:hint="eastAsia" w:ascii="宋体" w:hAnsi="宋体" w:eastAsia="宋体"/>
          <w:b/>
          <w:color w:val="auto"/>
          <w:sz w:val="36"/>
          <w:highlight w:val="none"/>
          <w:u w:val="single"/>
          <w:lang w:val="en-US" w:eastAsia="zh-CN"/>
        </w:rPr>
        <w:t xml:space="preserve"> 10 </w:t>
      </w:r>
      <w:r>
        <w:rPr>
          <w:rFonts w:hint="eastAsia" w:ascii="宋体" w:hAnsi="宋体" w:eastAsia="宋体"/>
          <w:b/>
          <w:color w:val="auto"/>
          <w:sz w:val="36"/>
          <w:highlight w:val="none"/>
          <w:u w:val="none"/>
        </w:rPr>
        <w:t>月</w:t>
      </w:r>
      <w:r>
        <w:rPr>
          <w:rFonts w:ascii="宋体" w:hAnsi="宋体" w:eastAsia="宋体"/>
          <w:b/>
          <w:color w:val="auto"/>
          <w:sz w:val="36"/>
          <w:highlight w:val="none"/>
        </w:rPr>
        <w:br w:type="page"/>
      </w:r>
    </w:p>
    <w:p w14:paraId="4B380C8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0C8E4546">
      <w:pPr>
        <w:tabs>
          <w:tab w:val="left" w:pos="2410"/>
        </w:tabs>
        <w:autoSpaceDE w:val="0"/>
        <w:autoSpaceDN w:val="0"/>
        <w:adjustRightInd w:val="0"/>
        <w:snapToGrid w:val="0"/>
        <w:spacing w:line="6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C5186A0">
      <w:pPr>
        <w:pStyle w:val="25"/>
        <w:tabs>
          <w:tab w:val="right" w:leader="dot" w:pos="8306"/>
        </w:tabs>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投标邀请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p>
    <w:p w14:paraId="3317A0B7">
      <w:pPr>
        <w:pStyle w:val="25"/>
        <w:tabs>
          <w:tab w:val="right" w:leader="dot" w:pos="8306"/>
        </w:tabs>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p>
    <w:p w14:paraId="0E17119F">
      <w:pPr>
        <w:pStyle w:val="25"/>
        <w:tabs>
          <w:tab w:val="right" w:leader="dot" w:pos="8306"/>
        </w:tabs>
        <w:spacing w:line="6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4</w:t>
      </w:r>
    </w:p>
    <w:p w14:paraId="6CC10FEE">
      <w:pPr>
        <w:pStyle w:val="25"/>
        <w:tabs>
          <w:tab w:val="right" w:leader="dot" w:pos="8306"/>
        </w:tabs>
        <w:spacing w:line="6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评标方法和标准（综合评分法）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7</w:t>
      </w:r>
    </w:p>
    <w:p w14:paraId="5B96F429">
      <w:pPr>
        <w:pStyle w:val="25"/>
        <w:tabs>
          <w:tab w:val="right" w:leader="dot" w:pos="8306"/>
        </w:tabs>
        <w:spacing w:line="6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6</w:t>
      </w:r>
    </w:p>
    <w:p w14:paraId="603714B9">
      <w:pPr>
        <w:pStyle w:val="25"/>
        <w:tabs>
          <w:tab w:val="right" w:leader="dot" w:pos="8306"/>
        </w:tabs>
        <w:spacing w:line="6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"_Toc13555"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6</w:t>
      </w:r>
    </w:p>
    <w:p w14:paraId="24C345F8">
      <w:pPr>
        <w:pStyle w:val="25"/>
        <w:tabs>
          <w:tab w:val="right" w:leader="dot" w:pos="8306"/>
        </w:tabs>
        <w:spacing w:line="600" w:lineRule="exact"/>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w:t>
      </w:r>
      <w:r>
        <w:rPr>
          <w:rFonts w:hint="eastAsia" w:ascii="宋体" w:hAnsi="宋体" w:eastAsia="宋体" w:cs="宋体"/>
          <w:bCs/>
          <w:color w:val="auto"/>
          <w:sz w:val="24"/>
          <w:szCs w:val="24"/>
          <w:highlight w:val="none"/>
        </w:rPr>
        <w:t xml:space="preserve">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04</w:t>
      </w:r>
    </w:p>
    <w:p w14:paraId="6E24D79E">
      <w:pPr>
        <w:pStyle w:val="25"/>
        <w:tabs>
          <w:tab w:val="right" w:leader="dot" w:pos="8306"/>
        </w:tabs>
        <w:rPr>
          <w:rFonts w:hint="eastAsia" w:asciiTheme="minorEastAsia" w:hAnsiTheme="minorEastAsia"/>
          <w:b/>
          <w:color w:val="auto"/>
          <w:sz w:val="32"/>
          <w:highlight w:val="none"/>
        </w:rPr>
      </w:pPr>
      <w:r>
        <w:rPr>
          <w:rFonts w:hint="eastAsia" w:ascii="宋体" w:hAnsi="宋体" w:eastAsia="宋体" w:cs="宋体"/>
          <w:color w:val="auto"/>
          <w:szCs w:val="24"/>
          <w:highlight w:val="none"/>
        </w:rPr>
        <w:fldChar w:fldCharType="end"/>
      </w:r>
    </w:p>
    <w:p w14:paraId="62E29DF4">
      <w:pPr>
        <w:spacing w:line="360" w:lineRule="auto"/>
        <w:rPr>
          <w:rFonts w:hint="eastAsia" w:asciiTheme="minorEastAsia" w:hAnsiTheme="minorEastAsia" w:eastAsiaTheme="minorEastAsia"/>
          <w:b/>
          <w:color w:val="auto"/>
          <w:sz w:val="32"/>
          <w:highlight w:val="none"/>
        </w:rPr>
      </w:pPr>
    </w:p>
    <w:p w14:paraId="413FA792">
      <w:pPr>
        <w:spacing w:line="360" w:lineRule="auto"/>
        <w:jc w:val="center"/>
        <w:outlineLvl w:val="1"/>
        <w:rPr>
          <w:rFonts w:hint="eastAsia" w:asciiTheme="minorEastAsia" w:hAnsiTheme="minorEastAsia" w:eastAsiaTheme="minorEastAsia"/>
          <w:b/>
          <w:color w:val="auto"/>
          <w:sz w:val="28"/>
          <w:highlight w:val="none"/>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54740B4C">
      <w:pPr>
        <w:pStyle w:val="2"/>
        <w:pageBreakBefore w:val="0"/>
        <w:tabs>
          <w:tab w:val="left" w:pos="0"/>
          <w:tab w:val="left" w:pos="3165"/>
          <w:tab w:val="center" w:pos="4153"/>
        </w:tabs>
        <w:kinsoku/>
        <w:overflowPunct/>
        <w:topLinePunct w:val="0"/>
        <w:autoSpaceDE w:val="0"/>
        <w:autoSpaceDN w:val="0"/>
        <w:bidi w:val="0"/>
        <w:adjustRightInd w:val="0"/>
        <w:snapToGrid/>
        <w:spacing w:before="0" w:after="0" w:line="420" w:lineRule="exact"/>
        <w:jc w:val="center"/>
        <w:textAlignment w:val="auto"/>
        <w:rPr>
          <w:rFonts w:hint="eastAsia" w:asciiTheme="minorEastAsia" w:hAnsiTheme="minorEastAsia" w:eastAsiaTheme="minorEastAsia"/>
          <w:color w:val="auto"/>
          <w:sz w:val="28"/>
          <w:highlight w:val="none"/>
        </w:rPr>
      </w:pPr>
      <w:bookmarkStart w:id="1" w:name="_Toc32331"/>
      <w:r>
        <w:rPr>
          <w:rFonts w:hint="eastAsia" w:asciiTheme="minorEastAsia" w:hAnsiTheme="minorEastAsia" w:eastAsiaTheme="minorEastAsia"/>
          <w:color w:val="auto"/>
          <w:sz w:val="28"/>
          <w:highlight w:val="none"/>
        </w:rPr>
        <w:t xml:space="preserve">第一章 </w:t>
      </w:r>
      <w:r>
        <w:rPr>
          <w:rFonts w:asciiTheme="minorEastAsia" w:hAnsiTheme="minorEastAsia" w:eastAsiaTheme="minorEastAsia"/>
          <w:color w:val="auto"/>
          <w:sz w:val="28"/>
          <w:highlight w:val="none"/>
        </w:rPr>
        <w:t xml:space="preserve"> </w:t>
      </w:r>
      <w:bookmarkEnd w:id="1"/>
      <w:bookmarkStart w:id="2" w:name="_Toc28359002"/>
      <w:bookmarkStart w:id="3" w:name="_Toc35393621"/>
      <w:bookmarkStart w:id="4" w:name="_Toc28359079"/>
      <w:bookmarkStart w:id="5" w:name="_Toc35393790"/>
      <w:bookmarkStart w:id="6" w:name="_Hlk24379207"/>
      <w:r>
        <w:rPr>
          <w:rFonts w:asciiTheme="minorEastAsia" w:hAnsiTheme="minorEastAsia" w:eastAsiaTheme="minorEastAsia"/>
          <w:color w:val="auto"/>
          <w:sz w:val="28"/>
          <w:highlight w:val="none"/>
        </w:rPr>
        <w:t>投标邀请</w:t>
      </w:r>
    </w:p>
    <w:p w14:paraId="36AD3A61">
      <w:pPr>
        <w:keepNext/>
        <w:keepLines/>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CD993EC">
      <w:pPr>
        <w:keepNext/>
        <w:keepLines/>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滁州市政务服务应用场景升级迭代项目</w:t>
      </w:r>
      <w:r>
        <w:rPr>
          <w:rFonts w:hint="eastAsia" w:ascii="宋体" w:hAnsi="宋体" w:eastAsia="宋体" w:cs="宋体"/>
          <w:color w:val="auto"/>
          <w:sz w:val="24"/>
          <w:szCs w:val="24"/>
          <w:highlight w:val="none"/>
        </w:rPr>
        <w:t>的潜在供应商应在滁州市公共资源交易中心网（http：//ggzy.chuzhou.gov.cn/）获取招标文件，并于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08</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分（北京时间）前递交投标文件。</w:t>
      </w:r>
    </w:p>
    <w:p w14:paraId="3057043C">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2"/>
      <w:bookmarkEnd w:id="3"/>
      <w:bookmarkEnd w:id="4"/>
      <w:bookmarkEnd w:id="5"/>
    </w:p>
    <w:p w14:paraId="2D446D8B">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项目编号：czsjcg2025</w:t>
      </w:r>
      <w:r>
        <w:rPr>
          <w:rFonts w:hint="eastAsia" w:ascii="宋体" w:hAnsi="宋体" w:eastAsia="宋体" w:cs="宋体"/>
          <w:color w:val="auto"/>
          <w:sz w:val="24"/>
          <w:szCs w:val="24"/>
          <w:highlight w:val="none"/>
          <w:lang w:val="en-US" w:eastAsia="zh-CN"/>
        </w:rPr>
        <w:t>10-030</w:t>
      </w:r>
    </w:p>
    <w:p w14:paraId="7913F9CE">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6"/>
      <w:r>
        <w:rPr>
          <w:rFonts w:hint="eastAsia" w:ascii="宋体" w:hAnsi="宋体" w:eastAsia="宋体" w:cs="宋体"/>
          <w:color w:val="auto"/>
          <w:sz w:val="24"/>
          <w:szCs w:val="24"/>
          <w:highlight w:val="none"/>
          <w:lang w:eastAsia="zh-CN"/>
        </w:rPr>
        <w:t>滁州市政务服务应用场景升级迭代项目</w:t>
      </w:r>
    </w:p>
    <w:p w14:paraId="0B88A341">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1包别滁州市政务服务应用场景升级迭代项目软件服务预算金额3119000.00元；2包别</w:t>
      </w:r>
      <w:bookmarkStart w:id="7" w:name="OLE_LINK1"/>
      <w:r>
        <w:rPr>
          <w:rFonts w:hint="eastAsia" w:ascii="宋体" w:hAnsi="宋体" w:eastAsia="宋体" w:cs="宋体"/>
          <w:color w:val="auto"/>
          <w:sz w:val="24"/>
          <w:szCs w:val="24"/>
          <w:highlight w:val="none"/>
          <w:lang w:eastAsia="zh-CN"/>
        </w:rPr>
        <w:t>滁州市政务服务应用场景升级迭代项目</w:t>
      </w:r>
      <w:r>
        <w:rPr>
          <w:rFonts w:hint="eastAsia" w:ascii="宋体" w:hAnsi="宋体" w:eastAsia="宋体" w:cs="宋体"/>
          <w:color w:val="auto"/>
          <w:sz w:val="24"/>
          <w:szCs w:val="24"/>
          <w:highlight w:val="none"/>
          <w:lang w:val="en-US" w:eastAsia="zh-CN"/>
        </w:rPr>
        <w:t>监理及测试服务</w:t>
      </w:r>
      <w:bookmarkEnd w:id="7"/>
      <w:r>
        <w:rPr>
          <w:rFonts w:hint="eastAsia" w:ascii="宋体" w:hAnsi="宋体" w:eastAsia="宋体" w:cs="宋体"/>
          <w:color w:val="auto"/>
          <w:sz w:val="24"/>
          <w:szCs w:val="24"/>
          <w:highlight w:val="none"/>
          <w:lang w:val="en-US" w:eastAsia="zh-CN"/>
        </w:rPr>
        <w:t>预算金额81000.00元</w:t>
      </w:r>
    </w:p>
    <w:p w14:paraId="78C745D4">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最高限价：1包别3090000.00元；2包别81000.00元。投标报价高于最高限价的，其投标文件按无效投标处理。</w:t>
      </w:r>
    </w:p>
    <w:p w14:paraId="48D79C9F">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采购需求：1包别滁州市政务服务应用场景升级迭代项目软件服务；2包别滁州市政务服务应用场景升级迭代项目监理及测试服务。</w:t>
      </w:r>
    </w:p>
    <w:p w14:paraId="440CE9E8">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合同履行期限：1包别自签订合同之日起8个月内完成项目的交付；2包别自签订合同之日起至所监理项目验收合格结束。</w:t>
      </w:r>
    </w:p>
    <w:p w14:paraId="60ED2469">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5A87F70C">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8" w:name="_Toc28359003"/>
      <w:bookmarkStart w:id="9" w:name="_Toc35393791"/>
      <w:bookmarkStart w:id="10" w:name="_Toc35393622"/>
      <w:bookmarkStart w:id="11" w:name="_Toc28359080"/>
      <w:r>
        <w:rPr>
          <w:rFonts w:hint="eastAsia" w:ascii="宋体" w:hAnsi="宋体" w:eastAsia="宋体" w:cs="宋体"/>
          <w:b/>
          <w:bCs/>
          <w:color w:val="auto"/>
          <w:sz w:val="24"/>
          <w:szCs w:val="24"/>
          <w:highlight w:val="none"/>
        </w:rPr>
        <w:t>二、申请人的资格要求：</w:t>
      </w:r>
      <w:bookmarkEnd w:id="8"/>
      <w:bookmarkEnd w:id="9"/>
      <w:bookmarkEnd w:id="10"/>
      <w:bookmarkEnd w:id="11"/>
    </w:p>
    <w:p w14:paraId="0CBD848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2E1884C">
      <w:pPr>
        <w:pStyle w:val="28"/>
        <w:pageBreakBefore w:val="0"/>
        <w:kinsoku/>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宋体" w:hAnsi="宋体" w:eastAsia="宋体" w:cs="宋体"/>
          <w:color w:val="auto"/>
          <w:kern w:val="2"/>
          <w:szCs w:val="24"/>
          <w:highlight w:val="none"/>
          <w:lang w:eastAsia="zh-CN"/>
        </w:rPr>
      </w:pPr>
      <w:bookmarkStart w:id="12" w:name="_Toc28359004"/>
      <w:bookmarkStart w:id="13" w:name="_Toc28359081"/>
      <w:r>
        <w:rPr>
          <w:rFonts w:hint="eastAsia" w:ascii="宋体" w:hAnsi="宋体" w:eastAsia="宋体" w:cs="宋体"/>
          <w:color w:val="auto"/>
          <w:szCs w:val="24"/>
          <w:highlight w:val="none"/>
        </w:rPr>
        <w:t>2.落实政府采购政策需满足的资格要求：</w:t>
      </w:r>
      <w:r>
        <w:rPr>
          <w:rFonts w:hint="eastAsia" w:ascii="宋体" w:hAnsi="宋体" w:eastAsia="宋体" w:cs="宋体"/>
          <w:color w:val="auto"/>
          <w:kern w:val="2"/>
          <w:szCs w:val="24"/>
          <w:highlight w:val="none"/>
          <w:lang w:eastAsia="zh-CN"/>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7024734E">
      <w:pPr>
        <w:pStyle w:val="28"/>
        <w:pageBreakBefore w:val="0"/>
        <w:kinsoku/>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3.本项目的特定资格要求：</w:t>
      </w:r>
      <w:r>
        <w:rPr>
          <w:rFonts w:hint="eastAsia" w:ascii="宋体" w:hAnsi="宋体" w:eastAsia="宋体" w:cs="宋体"/>
          <w:color w:val="auto"/>
          <w:szCs w:val="24"/>
          <w:highlight w:val="none"/>
          <w:lang w:val="en-US" w:eastAsia="zh-CN"/>
        </w:rPr>
        <w:t>无；</w:t>
      </w:r>
    </w:p>
    <w:p w14:paraId="537EB0F5">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4.信誉要求：投标人不得存在以下情形：</w:t>
      </w:r>
    </w:p>
    <w:p w14:paraId="3D60955E">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bookmarkStart w:id="14" w:name="_Toc35393792"/>
      <w:bookmarkStart w:id="15" w:name="_Toc35393623"/>
      <w:r>
        <w:rPr>
          <w:rFonts w:hint="eastAsia" w:ascii="宋体" w:hAnsi="宋体" w:eastAsia="宋体" w:cs="宋体"/>
          <w:color w:val="auto"/>
          <w:sz w:val="24"/>
          <w:szCs w:val="24"/>
          <w:highlight w:val="none"/>
        </w:rPr>
        <w:t xml:space="preserve">①被列入“信用中国”网站“失信被执行人”的； </w:t>
      </w:r>
    </w:p>
    <w:p w14:paraId="2F5EFD38">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②被列入“信用中国”网站“重大税收违法失信主体”的； </w:t>
      </w:r>
    </w:p>
    <w:p w14:paraId="4220732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③被列入“信用中国”网站 “严重失信主体名单”的； </w:t>
      </w:r>
    </w:p>
    <w:p w14:paraId="224FAF8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④在“信用中国”网站上披露的仍在公示期的严重失信行为(具体行 为类别及判定依据见“信用中国”查询的严重失信行为类别及判定依据) 的</w:t>
      </w:r>
      <w:r>
        <w:rPr>
          <w:rFonts w:hint="eastAsia" w:ascii="宋体" w:hAnsi="宋体" w:eastAsia="宋体" w:cs="宋体"/>
          <w:color w:val="auto"/>
          <w:sz w:val="24"/>
          <w:szCs w:val="24"/>
          <w:highlight w:val="none"/>
          <w:lang w:eastAsia="zh-CN"/>
        </w:rPr>
        <w:t>；</w:t>
      </w:r>
    </w:p>
    <w:p w14:paraId="527AEBBF">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⑤被列入国家企业信用信息公示系统网站“经营异常名录”或者“严 重违法失信名单”的</w:t>
      </w:r>
      <w:r>
        <w:rPr>
          <w:rFonts w:hint="eastAsia" w:ascii="宋体" w:hAnsi="宋体" w:eastAsia="宋体" w:cs="宋体"/>
          <w:color w:val="auto"/>
          <w:sz w:val="24"/>
          <w:szCs w:val="24"/>
          <w:highlight w:val="none"/>
          <w:lang w:eastAsia="zh-CN"/>
        </w:rPr>
        <w:t>；</w:t>
      </w:r>
    </w:p>
    <w:p w14:paraId="0ED65E3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⑥被列入中国政府采购网站“政府采购严重违法失信行为信息记录” 的</w:t>
      </w:r>
      <w:r>
        <w:rPr>
          <w:rFonts w:hint="eastAsia" w:ascii="宋体" w:hAnsi="宋体" w:eastAsia="宋体" w:cs="宋体"/>
          <w:color w:val="auto"/>
          <w:sz w:val="24"/>
          <w:szCs w:val="24"/>
          <w:highlight w:val="none"/>
          <w:lang w:eastAsia="zh-CN"/>
        </w:rPr>
        <w:t>；</w:t>
      </w:r>
    </w:p>
    <w:p w14:paraId="6F5EEA73">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⑦前三年有行贿犯罪行为的单位和个人</w:t>
      </w:r>
      <w:r>
        <w:rPr>
          <w:rFonts w:hint="eastAsia" w:ascii="宋体" w:hAnsi="宋体" w:eastAsia="宋体" w:cs="宋体"/>
          <w:color w:val="auto"/>
          <w:sz w:val="24"/>
          <w:szCs w:val="24"/>
          <w:highlight w:val="none"/>
          <w:lang w:eastAsia="zh-CN"/>
        </w:rPr>
        <w:t>。</w:t>
      </w:r>
    </w:p>
    <w:p w14:paraId="5F8805DC">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5.投标人所属分公司、办事处等分支机构存在第4款信誉要求①-⑦项情形之一的，接受投标人参加本项目。</w:t>
      </w:r>
    </w:p>
    <w:p w14:paraId="18C65DE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备注：第4、5条按照“关于联合惩戒失信行为加强信用查询管理的通知”查询或承诺。</w:t>
      </w:r>
    </w:p>
    <w:p w14:paraId="07909FC1">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bookmarkEnd w:id="12"/>
      <w:bookmarkEnd w:id="13"/>
      <w:bookmarkEnd w:id="14"/>
      <w:bookmarkEnd w:id="15"/>
    </w:p>
    <w:p w14:paraId="0062449D">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2025年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日</w:t>
      </w:r>
      <w:r>
        <w:rPr>
          <w:rFonts w:hint="eastAsia" w:ascii="宋体" w:hAnsi="宋体" w:eastAsia="宋体" w:cs="宋体"/>
          <w:iCs/>
          <w:color w:val="auto"/>
          <w:sz w:val="24"/>
          <w:szCs w:val="24"/>
          <w:highlight w:val="none"/>
          <w:u w:val="single"/>
        </w:rPr>
        <w:t>（提供期限自本公告发布之日起不得少于5个工作日）</w:t>
      </w:r>
    </w:p>
    <w:p w14:paraId="2AD11C25">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36E932C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60D43232">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74382B05">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16" w:name="_Toc28359005"/>
      <w:bookmarkStart w:id="17" w:name="_Toc28359082"/>
      <w:bookmarkStart w:id="18" w:name="_Toc35393624"/>
      <w:bookmarkStart w:id="19" w:name="_Toc35393793"/>
      <w:r>
        <w:rPr>
          <w:rFonts w:hint="eastAsia" w:ascii="宋体" w:hAnsi="宋体" w:eastAsia="宋体" w:cs="宋体"/>
          <w:b/>
          <w:bCs/>
          <w:color w:val="auto"/>
          <w:sz w:val="24"/>
          <w:szCs w:val="24"/>
          <w:highlight w:val="none"/>
        </w:rPr>
        <w:t>四、提交投标文件</w:t>
      </w:r>
      <w:bookmarkEnd w:id="16"/>
      <w:bookmarkEnd w:id="17"/>
      <w:r>
        <w:rPr>
          <w:rFonts w:hint="eastAsia" w:ascii="宋体" w:hAnsi="宋体" w:eastAsia="宋体" w:cs="宋体"/>
          <w:b/>
          <w:bCs/>
          <w:color w:val="auto"/>
          <w:sz w:val="24"/>
          <w:szCs w:val="24"/>
          <w:highlight w:val="none"/>
        </w:rPr>
        <w:t>截止时间、开标时间和地点</w:t>
      </w:r>
      <w:bookmarkEnd w:id="18"/>
      <w:bookmarkEnd w:id="19"/>
    </w:p>
    <w:p w14:paraId="6B675900">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日</w:t>
      </w:r>
      <w:r>
        <w:rPr>
          <w:rFonts w:hint="eastAsia" w:ascii="宋体" w:hAnsi="宋体" w:eastAsia="宋体" w:cs="宋体"/>
          <w:bCs/>
          <w:color w:val="auto"/>
          <w:sz w:val="24"/>
          <w:szCs w:val="24"/>
          <w:highlight w:val="none"/>
          <w:u w:val="single"/>
        </w:rPr>
        <w:t>08点00分</w:t>
      </w:r>
      <w:r>
        <w:rPr>
          <w:rFonts w:hint="eastAsia" w:ascii="宋体" w:hAnsi="宋体" w:eastAsia="宋体" w:cs="宋体"/>
          <w:bCs/>
          <w:color w:val="auto"/>
          <w:sz w:val="24"/>
          <w:szCs w:val="24"/>
          <w:highlight w:val="none"/>
        </w:rPr>
        <w:t>（北京时间）</w:t>
      </w:r>
      <w:r>
        <w:rPr>
          <w:rFonts w:hint="eastAsia" w:ascii="宋体" w:hAnsi="宋体" w:eastAsia="宋体" w:cs="宋体"/>
          <w:iCs/>
          <w:color w:val="auto"/>
          <w:sz w:val="24"/>
          <w:szCs w:val="24"/>
          <w:highlight w:val="none"/>
          <w:u w:val="single"/>
        </w:rPr>
        <w:t>（自招标文件开始发出之日起至供应商提交投标文件截止之日止，不得少于20日）</w:t>
      </w:r>
    </w:p>
    <w:p w14:paraId="6B5275BC">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地点：滁州市公共资源交易平台电子交易系统</w:t>
      </w:r>
    </w:p>
    <w:p w14:paraId="5A57DBEA">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20" w:name="_Toc35393625"/>
      <w:bookmarkStart w:id="21" w:name="_Toc35393794"/>
      <w:bookmarkStart w:id="22" w:name="_Toc28359007"/>
      <w:bookmarkStart w:id="23" w:name="_Toc28359084"/>
      <w:r>
        <w:rPr>
          <w:rFonts w:hint="eastAsia" w:ascii="宋体" w:hAnsi="宋体" w:eastAsia="宋体" w:cs="宋体"/>
          <w:b/>
          <w:bCs/>
          <w:color w:val="auto"/>
          <w:sz w:val="24"/>
          <w:szCs w:val="24"/>
          <w:highlight w:val="none"/>
        </w:rPr>
        <w:t>五、公告期限</w:t>
      </w:r>
      <w:bookmarkEnd w:id="20"/>
      <w:bookmarkEnd w:id="21"/>
      <w:bookmarkEnd w:id="22"/>
      <w:bookmarkEnd w:id="23"/>
    </w:p>
    <w:p w14:paraId="31082A97">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2608EDA6">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六、投标保证金金额及缴纳账户</w:t>
      </w:r>
    </w:p>
    <w:p w14:paraId="31FE2860">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bookmarkStart w:id="24" w:name="_Toc35393626"/>
      <w:bookmarkStart w:id="25" w:name="_Toc35393795"/>
      <w:r>
        <w:rPr>
          <w:rFonts w:hint="eastAsia" w:ascii="宋体" w:hAnsi="宋体" w:eastAsia="宋体" w:cs="宋体"/>
          <w:color w:val="auto"/>
          <w:sz w:val="24"/>
          <w:szCs w:val="24"/>
          <w:highlight w:val="none"/>
        </w:rPr>
        <w:t>是否要求投标人提交投标保证金：不要求。</w:t>
      </w:r>
    </w:p>
    <w:p w14:paraId="0494780F">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bookmarkEnd w:id="24"/>
      <w:bookmarkEnd w:id="25"/>
    </w:p>
    <w:p w14:paraId="6B8F5FB1">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CA数字证书有关问题：安徽CA客服400-880-4959、0550-3019013（工作日），CFCA客服025-66085508、0550-3801669（工作日）；3.市场主体招标环节和投标环节系统使用问题：0512-58188516（8:00-21:00）、0550-3801701（工作日）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F1F19BC">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2.请投标人登录滁州市公共资源交易中心网站查看参加本项目的程序。（具体操作步骤和程序请参见服务指南&gt;交易须知&gt;投标人填写投标信息、下载文件及网上提问操作手册）。</w:t>
      </w:r>
    </w:p>
    <w:p w14:paraId="54939B4E">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67B0657D">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4C549004">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八、对本次招标提出询问，请按以下方式联系</w:t>
      </w:r>
    </w:p>
    <w:p w14:paraId="15C40ADB">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7C92CB6C">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滁州市数据资源管理局</w:t>
      </w:r>
    </w:p>
    <w:p w14:paraId="101FA83D">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安徽省滁州市龙蟠大道99号</w:t>
      </w:r>
    </w:p>
    <w:p w14:paraId="656577C3">
      <w:pPr>
        <w:pageBreakBefore w:val="0"/>
        <w:kinsoku/>
        <w:wordWrap w:val="0"/>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刘飞扬</w:t>
      </w:r>
    </w:p>
    <w:p w14:paraId="6EAA01E4">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yellow"/>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0550-3087035</w:t>
      </w:r>
    </w:p>
    <w:p w14:paraId="5B1D5973">
      <w:pPr>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71DA019">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val="en-US" w:eastAsia="zh-CN"/>
        </w:rPr>
        <w:t>滁州市政府采购中心</w:t>
      </w:r>
    </w:p>
    <w:p w14:paraId="15199D3A">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滁州市龙蟠大道109号房产大厦</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楼</w:t>
      </w:r>
    </w:p>
    <w:p w14:paraId="034DDC6A">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杨韦</w:t>
      </w:r>
    </w:p>
    <w:p w14:paraId="43F457A3">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0550-3519</w:t>
      </w:r>
      <w:r>
        <w:rPr>
          <w:rFonts w:hint="eastAsia" w:ascii="宋体" w:hAnsi="宋体" w:eastAsia="宋体" w:cs="宋体"/>
          <w:color w:val="auto"/>
          <w:sz w:val="24"/>
          <w:szCs w:val="24"/>
          <w:highlight w:val="none"/>
          <w:u w:val="single"/>
          <w:lang w:val="en-US" w:eastAsia="zh-CN"/>
        </w:rPr>
        <w:t>590、18005501210</w:t>
      </w:r>
    </w:p>
    <w:p w14:paraId="6BA9568D">
      <w:pPr>
        <w:pageBreakBefore w:val="0"/>
        <w:widowControl/>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3.政府采购监督管理部门信息</w:t>
      </w:r>
    </w:p>
    <w:p w14:paraId="289FB711">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滁州市公共资源交易监督管理局</w:t>
      </w:r>
    </w:p>
    <w:p w14:paraId="6CE91CA3">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滁州市龙蟠大道109号房产大厦</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楼</w:t>
      </w:r>
    </w:p>
    <w:p w14:paraId="242FAFB9">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0550-3801656</w:t>
      </w:r>
    </w:p>
    <w:p w14:paraId="3B45F1CC">
      <w:pPr>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0BB1BB04">
      <w:pPr>
        <w:spacing w:line="360" w:lineRule="auto"/>
        <w:jc w:val="center"/>
        <w:outlineLvl w:val="0"/>
        <w:rPr>
          <w:rFonts w:hint="eastAsia" w:asciiTheme="minorEastAsia" w:hAnsiTheme="minorEastAsia" w:eastAsiaTheme="minorEastAsia"/>
          <w:b/>
          <w:color w:val="auto"/>
          <w:sz w:val="28"/>
          <w:highlight w:val="none"/>
        </w:rPr>
      </w:pPr>
      <w:bookmarkStart w:id="26"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6"/>
    </w:p>
    <w:p w14:paraId="20822AC8">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jc w:val="center"/>
        <w:textAlignment w:val="auto"/>
        <w:outlineLvl w:val="1"/>
        <w:rPr>
          <w:rFonts w:hint="eastAsia" w:asciiTheme="minorEastAsia" w:hAnsiTheme="minorEastAsia" w:eastAsiaTheme="minorEastAsia"/>
          <w:b/>
          <w:color w:val="auto"/>
          <w:sz w:val="24"/>
          <w:highlight w:val="none"/>
        </w:rPr>
      </w:pPr>
      <w:bookmarkStart w:id="27" w:name="_Toc7178"/>
      <w:bookmarkStart w:id="28"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7"/>
      <w:bookmarkEnd w:id="28"/>
    </w:p>
    <w:p w14:paraId="305B837F">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33"/>
        <w:tblW w:w="6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945"/>
        <w:gridCol w:w="7685"/>
      </w:tblGrid>
      <w:tr w14:paraId="7B2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12914D55">
            <w:pPr>
              <w:pStyle w:val="54"/>
              <w:keepNext w:val="0"/>
              <w:keepLines w:val="0"/>
              <w:pageBreakBefore w:val="0"/>
              <w:widowControl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909" w:type="pct"/>
            <w:vAlign w:val="center"/>
          </w:tcPr>
          <w:p w14:paraId="00817C46">
            <w:pPr>
              <w:pStyle w:val="54"/>
              <w:keepNext w:val="0"/>
              <w:keepLines w:val="0"/>
              <w:pageBreakBefore w:val="0"/>
              <w:widowControl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592" w:type="pct"/>
            <w:vAlign w:val="center"/>
          </w:tcPr>
          <w:p w14:paraId="48AD6D47">
            <w:pPr>
              <w:pStyle w:val="54"/>
              <w:keepNext w:val="0"/>
              <w:keepLines w:val="0"/>
              <w:pageBreakBefore w:val="0"/>
              <w:widowControl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6A89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610CEBBC">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5.2</w:t>
            </w:r>
          </w:p>
        </w:tc>
        <w:tc>
          <w:tcPr>
            <w:tcW w:w="909" w:type="pct"/>
            <w:vAlign w:val="center"/>
          </w:tcPr>
          <w:p w14:paraId="43125DD7">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rPr>
              <w:t>现场考察或标前答疑会</w:t>
            </w:r>
          </w:p>
        </w:tc>
        <w:tc>
          <w:tcPr>
            <w:tcW w:w="3592" w:type="pct"/>
            <w:vAlign w:val="center"/>
          </w:tcPr>
          <w:p w14:paraId="37FD868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不组织或不召开</w:t>
            </w:r>
          </w:p>
          <w:p w14:paraId="040E06CC">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统一组织或统一召开</w:t>
            </w:r>
          </w:p>
          <w:p w14:paraId="484CD09D">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分</w:t>
            </w:r>
          </w:p>
          <w:p w14:paraId="60E4F0B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w:t>
            </w:r>
          </w:p>
          <w:p w14:paraId="5D32356B">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1FB2B578">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注：如投标人未参加采购人统一组织的现场考察或采购人统一召开的标前答疑会，视同放弃现场考察或标前答疑会，由此引起的一切责任由投标人自行承担。</w:t>
            </w:r>
          </w:p>
        </w:tc>
      </w:tr>
      <w:tr w14:paraId="3F79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1F37D3B8">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6.1</w:t>
            </w:r>
          </w:p>
        </w:tc>
        <w:tc>
          <w:tcPr>
            <w:tcW w:w="909" w:type="pct"/>
            <w:vAlign w:val="center"/>
          </w:tcPr>
          <w:p w14:paraId="0575A37E">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lang w:bidi="ar"/>
              </w:rPr>
              <w:t>网上询问截止时间</w:t>
            </w:r>
          </w:p>
        </w:tc>
        <w:tc>
          <w:tcPr>
            <w:tcW w:w="3592" w:type="pct"/>
            <w:vAlign w:val="center"/>
          </w:tcPr>
          <w:p w14:paraId="24FE06E6">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17</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p>
        </w:tc>
      </w:tr>
      <w:tr w14:paraId="500D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6BEBB8F5">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7.1</w:t>
            </w:r>
          </w:p>
        </w:tc>
        <w:tc>
          <w:tcPr>
            <w:tcW w:w="909" w:type="pct"/>
            <w:vAlign w:val="center"/>
          </w:tcPr>
          <w:p w14:paraId="03F2D033">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592" w:type="pct"/>
            <w:vAlign w:val="center"/>
          </w:tcPr>
          <w:p w14:paraId="73B8D42B">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szCs w:val="24"/>
                <w:highlight w:val="none"/>
              </w:rPr>
              <w:t>不</w:t>
            </w:r>
            <w:r>
              <w:rPr>
                <w:rFonts w:hint="eastAsia" w:ascii="宋体" w:hAnsi="宋体" w:eastAsia="宋体" w:cs="宋体"/>
                <w:bCs/>
                <w:color w:val="auto"/>
                <w:kern w:val="0"/>
                <w:sz w:val="24"/>
                <w:szCs w:val="24"/>
                <w:highlight w:val="none"/>
              </w:rPr>
              <w:t xml:space="preserve">分包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分</w:t>
            </w:r>
            <w:r>
              <w:rPr>
                <w:rFonts w:hint="eastAsia" w:ascii="宋体" w:hAnsi="宋体" w:eastAsia="宋体" w:cs="宋体"/>
                <w:b w:val="0"/>
                <w:color w:val="auto"/>
                <w:sz w:val="24"/>
                <w:szCs w:val="24"/>
                <w:highlight w:val="none"/>
                <w:lang w:val="en-US" w:eastAsia="zh-CN"/>
              </w:rPr>
              <w:t xml:space="preserve">为2个包别。1包别滁州市政务服务应用场景升级迭代项目软件服务预算金额3119000.00元；2包别滁州市政务服务应用场景升级迭代项目监理及测试服务预算金额81000.00元 </w:t>
            </w:r>
          </w:p>
        </w:tc>
      </w:tr>
      <w:tr w14:paraId="09B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98" w:type="pct"/>
            <w:vAlign w:val="center"/>
          </w:tcPr>
          <w:p w14:paraId="41D3B4D2">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10.1</w:t>
            </w:r>
          </w:p>
        </w:tc>
        <w:tc>
          <w:tcPr>
            <w:tcW w:w="909" w:type="pct"/>
            <w:vAlign w:val="center"/>
          </w:tcPr>
          <w:p w14:paraId="52C80276">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592" w:type="pct"/>
            <w:vAlign w:val="center"/>
          </w:tcPr>
          <w:p w14:paraId="04DB7AB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不收取</w:t>
            </w:r>
          </w:p>
        </w:tc>
      </w:tr>
      <w:tr w14:paraId="316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381DF667">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11.1</w:t>
            </w:r>
          </w:p>
        </w:tc>
        <w:tc>
          <w:tcPr>
            <w:tcW w:w="909" w:type="pct"/>
            <w:vAlign w:val="center"/>
          </w:tcPr>
          <w:p w14:paraId="25BEBE3C">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592" w:type="pct"/>
            <w:vAlign w:val="center"/>
          </w:tcPr>
          <w:p w14:paraId="5BDEC3FF">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90</w:t>
            </w:r>
            <w:r>
              <w:rPr>
                <w:rFonts w:hint="eastAsia" w:ascii="宋体" w:hAnsi="宋体" w:eastAsia="宋体" w:cs="宋体"/>
                <w:b w:val="0"/>
                <w:color w:val="auto"/>
                <w:sz w:val="24"/>
                <w:szCs w:val="24"/>
                <w:highlight w:val="none"/>
              </w:rPr>
              <w:t>日历日</w:t>
            </w:r>
          </w:p>
        </w:tc>
      </w:tr>
      <w:tr w14:paraId="008A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6F9542E2">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13.1</w:t>
            </w:r>
          </w:p>
        </w:tc>
        <w:tc>
          <w:tcPr>
            <w:tcW w:w="909" w:type="pct"/>
            <w:vAlign w:val="center"/>
          </w:tcPr>
          <w:p w14:paraId="1DE76B9B">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592" w:type="pct"/>
            <w:vAlign w:val="center"/>
          </w:tcPr>
          <w:p w14:paraId="32CD978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bCs/>
                <w:color w:val="auto"/>
                <w:kern w:val="0"/>
                <w:sz w:val="24"/>
                <w:szCs w:val="24"/>
                <w:highlight w:val="none"/>
              </w:rPr>
              <w:t>60分钟内（以本项目网上招投标系统解密倒计时为准）</w:t>
            </w:r>
          </w:p>
        </w:tc>
      </w:tr>
      <w:tr w14:paraId="1BAF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3AD02C02">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14.1</w:t>
            </w:r>
          </w:p>
        </w:tc>
        <w:tc>
          <w:tcPr>
            <w:tcW w:w="909" w:type="pct"/>
            <w:vAlign w:val="center"/>
          </w:tcPr>
          <w:p w14:paraId="3C220E2B">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592" w:type="pct"/>
            <w:vAlign w:val="center"/>
          </w:tcPr>
          <w:p w14:paraId="128616D2">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☑采购人审查</w:t>
            </w:r>
          </w:p>
          <w:p w14:paraId="2D14332B">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4CEE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30025410">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17.2</w:t>
            </w:r>
          </w:p>
        </w:tc>
        <w:tc>
          <w:tcPr>
            <w:tcW w:w="909" w:type="pct"/>
            <w:vAlign w:val="center"/>
          </w:tcPr>
          <w:p w14:paraId="44692162">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592" w:type="pct"/>
            <w:vAlign w:val="center"/>
          </w:tcPr>
          <w:p w14:paraId="031634E7">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3DC77808">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598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17BBB5C4">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17.3</w:t>
            </w:r>
          </w:p>
        </w:tc>
        <w:tc>
          <w:tcPr>
            <w:tcW w:w="909" w:type="pct"/>
            <w:vAlign w:val="center"/>
          </w:tcPr>
          <w:p w14:paraId="508F1DCF">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i/>
                <w:color w:val="auto"/>
                <w:sz w:val="24"/>
                <w:szCs w:val="24"/>
                <w:highlight w:val="none"/>
              </w:rPr>
            </w:pPr>
            <w:r>
              <w:rPr>
                <w:rFonts w:hint="eastAsia" w:ascii="宋体" w:hAnsi="宋体" w:eastAsia="宋体" w:cs="宋体"/>
                <w:b w:val="0"/>
                <w:color w:val="auto"/>
                <w:sz w:val="24"/>
                <w:szCs w:val="24"/>
                <w:highlight w:val="none"/>
              </w:rPr>
              <w:t>报价扣除</w:t>
            </w:r>
            <w:r>
              <w:rPr>
                <w:rFonts w:hint="eastAsia" w:ascii="宋体" w:hAnsi="宋体" w:eastAsia="宋体" w:cs="宋体"/>
                <w:b w:val="0"/>
                <w:i/>
                <w:color w:val="auto"/>
                <w:sz w:val="24"/>
                <w:szCs w:val="24"/>
                <w:highlight w:val="none"/>
              </w:rPr>
              <w:t>（非专门面向中小企业采购项目适用）</w:t>
            </w:r>
          </w:p>
        </w:tc>
        <w:tc>
          <w:tcPr>
            <w:tcW w:w="3592" w:type="pct"/>
            <w:vAlign w:val="center"/>
          </w:tcPr>
          <w:p w14:paraId="587E8CFA">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对小型和微型企业的价格给予10%的扣除后参与评审；其评审价=投标报价*90%</w:t>
            </w:r>
            <w:r>
              <w:rPr>
                <w:rFonts w:hint="eastAsia" w:ascii="宋体" w:hAnsi="宋体" w:eastAsia="宋体" w:cs="宋体"/>
                <w:b w:val="0"/>
                <w:color w:val="auto"/>
                <w:sz w:val="24"/>
                <w:szCs w:val="24"/>
                <w:highlight w:val="none"/>
              </w:rPr>
              <w:t>。</w:t>
            </w:r>
          </w:p>
          <w:p w14:paraId="774974A1">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single"/>
              </w:rPr>
              <w:t>同小型和微型企业</w:t>
            </w:r>
            <w:r>
              <w:rPr>
                <w:rFonts w:hint="eastAsia" w:ascii="宋体" w:hAnsi="宋体" w:eastAsia="宋体" w:cs="宋体"/>
                <w:b w:val="0"/>
                <w:color w:val="auto"/>
                <w:sz w:val="24"/>
                <w:szCs w:val="24"/>
                <w:highlight w:val="none"/>
              </w:rPr>
              <w:t>。</w:t>
            </w:r>
          </w:p>
          <w:p w14:paraId="1E94C681">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single"/>
              </w:rPr>
              <w:t>同小型和微型企业</w:t>
            </w:r>
            <w:r>
              <w:rPr>
                <w:rFonts w:hint="eastAsia" w:ascii="宋体" w:hAnsi="宋体" w:eastAsia="宋体" w:cs="宋体"/>
                <w:b w:val="0"/>
                <w:color w:val="auto"/>
                <w:sz w:val="24"/>
                <w:szCs w:val="24"/>
                <w:highlight w:val="none"/>
              </w:rPr>
              <w:t>。</w:t>
            </w:r>
          </w:p>
          <w:p w14:paraId="396EDDED">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p>
          <w:p w14:paraId="3F18002C">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w:t>
            </w:r>
          </w:p>
        </w:tc>
      </w:tr>
      <w:tr w14:paraId="0862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2D26F6F1">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21.1</w:t>
            </w:r>
          </w:p>
        </w:tc>
        <w:tc>
          <w:tcPr>
            <w:tcW w:w="909" w:type="pct"/>
            <w:vAlign w:val="center"/>
          </w:tcPr>
          <w:p w14:paraId="23F56A0C">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592" w:type="pct"/>
            <w:vAlign w:val="center"/>
          </w:tcPr>
          <w:p w14:paraId="439FE761">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评标委员会推荐3名中标候选人。</w:t>
            </w:r>
          </w:p>
        </w:tc>
      </w:tr>
      <w:tr w14:paraId="2341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0B4C0E90">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21.2</w:t>
            </w:r>
          </w:p>
        </w:tc>
        <w:tc>
          <w:tcPr>
            <w:tcW w:w="909" w:type="pct"/>
            <w:vAlign w:val="center"/>
          </w:tcPr>
          <w:p w14:paraId="12749799">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592" w:type="pct"/>
            <w:vAlign w:val="center"/>
          </w:tcPr>
          <w:p w14:paraId="0359213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E828F73">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418F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98" w:type="pct"/>
            <w:vAlign w:val="center"/>
          </w:tcPr>
          <w:p w14:paraId="45F5E263">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23.3</w:t>
            </w:r>
          </w:p>
        </w:tc>
        <w:tc>
          <w:tcPr>
            <w:tcW w:w="909" w:type="pct"/>
            <w:vAlign w:val="center"/>
          </w:tcPr>
          <w:p w14:paraId="1DD85A79">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随中标结果公告同时公告的内容</w:t>
            </w:r>
          </w:p>
        </w:tc>
        <w:tc>
          <w:tcPr>
            <w:tcW w:w="3592" w:type="pct"/>
            <w:vAlign w:val="center"/>
          </w:tcPr>
          <w:p w14:paraId="34234430">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（1）中小企业声明函</w:t>
            </w:r>
            <w:r>
              <w:rPr>
                <w:rFonts w:hint="eastAsia" w:ascii="宋体" w:hAnsi="宋体" w:eastAsia="宋体" w:cs="宋体"/>
                <w:b w:val="0"/>
                <w:i/>
                <w:iCs/>
                <w:color w:val="auto"/>
                <w:sz w:val="24"/>
                <w:szCs w:val="24"/>
                <w:highlight w:val="none"/>
              </w:rPr>
              <w:t>（如有）</w:t>
            </w:r>
            <w:r>
              <w:rPr>
                <w:rFonts w:hint="eastAsia" w:ascii="宋体" w:hAnsi="宋体" w:eastAsia="宋体" w:cs="宋体"/>
                <w:b w:val="0"/>
                <w:color w:val="auto"/>
                <w:sz w:val="24"/>
                <w:szCs w:val="24"/>
                <w:highlight w:val="none"/>
              </w:rPr>
              <w:t>；</w:t>
            </w:r>
          </w:p>
          <w:p w14:paraId="72480E2E">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i/>
                <w:color w:val="auto"/>
                <w:sz w:val="24"/>
                <w:szCs w:val="24"/>
                <w:highlight w:val="none"/>
              </w:rPr>
            </w:pPr>
            <w:r>
              <w:rPr>
                <w:rFonts w:hint="eastAsia" w:ascii="宋体" w:hAnsi="宋体" w:eastAsia="宋体" w:cs="宋体"/>
                <w:b w:val="0"/>
                <w:color w:val="auto"/>
                <w:sz w:val="24"/>
                <w:szCs w:val="24"/>
                <w:highlight w:val="none"/>
              </w:rPr>
              <w:t>（2）残疾人福利性单位声明函</w:t>
            </w:r>
            <w:r>
              <w:rPr>
                <w:rFonts w:hint="eastAsia" w:ascii="宋体" w:hAnsi="宋体" w:eastAsia="宋体" w:cs="宋体"/>
                <w:b w:val="0"/>
                <w:i/>
                <w:iCs/>
                <w:color w:val="auto"/>
                <w:sz w:val="24"/>
                <w:szCs w:val="24"/>
                <w:highlight w:val="none"/>
              </w:rPr>
              <w:t>（如有）</w:t>
            </w:r>
            <w:r>
              <w:rPr>
                <w:rFonts w:hint="eastAsia" w:ascii="宋体" w:hAnsi="宋体" w:eastAsia="宋体" w:cs="宋体"/>
                <w:b w:val="0"/>
                <w:color w:val="auto"/>
                <w:sz w:val="24"/>
                <w:szCs w:val="24"/>
                <w:highlight w:val="none"/>
              </w:rPr>
              <w:t>；</w:t>
            </w:r>
          </w:p>
          <w:p w14:paraId="217D84B0">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（3）中标（成交）供应商的评审总得分</w:t>
            </w:r>
            <w:r>
              <w:rPr>
                <w:rFonts w:hint="eastAsia" w:ascii="宋体" w:hAnsi="宋体" w:eastAsia="宋体" w:cs="宋体"/>
                <w:b w:val="0"/>
                <w:i/>
                <w:iCs/>
                <w:color w:val="auto"/>
                <w:sz w:val="24"/>
                <w:szCs w:val="24"/>
                <w:highlight w:val="none"/>
              </w:rPr>
              <w:t>。</w:t>
            </w:r>
          </w:p>
        </w:tc>
      </w:tr>
      <w:tr w14:paraId="5F45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5131D15D">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24.1</w:t>
            </w:r>
          </w:p>
        </w:tc>
        <w:tc>
          <w:tcPr>
            <w:tcW w:w="909" w:type="pct"/>
            <w:vAlign w:val="center"/>
          </w:tcPr>
          <w:p w14:paraId="1C6CF66A">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592" w:type="pct"/>
            <w:vAlign w:val="center"/>
          </w:tcPr>
          <w:p w14:paraId="0F0D654A">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3EB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483315E7">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25.1</w:t>
            </w:r>
          </w:p>
        </w:tc>
        <w:tc>
          <w:tcPr>
            <w:tcW w:w="909" w:type="pct"/>
            <w:vAlign w:val="center"/>
          </w:tcPr>
          <w:p w14:paraId="481A15B2">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592" w:type="pct"/>
            <w:vAlign w:val="center"/>
          </w:tcPr>
          <w:p w14:paraId="736E37FB">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5367335B">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02E9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shd w:val="clear" w:color="auto" w:fill="auto"/>
            <w:vAlign w:val="center"/>
          </w:tcPr>
          <w:p w14:paraId="06E25EFE">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rPr>
              <w:t>26.1</w:t>
            </w:r>
          </w:p>
        </w:tc>
        <w:tc>
          <w:tcPr>
            <w:tcW w:w="909" w:type="pct"/>
            <w:shd w:val="clear" w:color="auto" w:fill="auto"/>
            <w:vAlign w:val="center"/>
          </w:tcPr>
          <w:p w14:paraId="7A717424">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履约保证金</w:t>
            </w:r>
          </w:p>
        </w:tc>
        <w:tc>
          <w:tcPr>
            <w:tcW w:w="3592" w:type="pct"/>
            <w:shd w:val="clear" w:color="auto" w:fill="auto"/>
            <w:vAlign w:val="top"/>
          </w:tcPr>
          <w:p w14:paraId="67240DD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58B994B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1DA73304">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kern w:val="0"/>
                <w:sz w:val="24"/>
                <w:szCs w:val="24"/>
                <w:highlight w:val="none"/>
              </w:rPr>
              <w:t>%</w:t>
            </w:r>
          </w:p>
          <w:p w14:paraId="0EC6357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kern w:val="0"/>
                <w:sz w:val="24"/>
                <w:szCs w:val="24"/>
                <w:highlight w:val="none"/>
              </w:rPr>
              <w:t>元</w:t>
            </w:r>
          </w:p>
          <w:p w14:paraId="4B06655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7D852194">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保函</w:t>
            </w:r>
          </w:p>
          <w:p w14:paraId="436132C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kern w:val="0"/>
                <w:sz w:val="24"/>
                <w:szCs w:val="24"/>
                <w:highlight w:val="none"/>
              </w:rPr>
              <w:t xml:space="preserve">              </w:t>
            </w:r>
          </w:p>
          <w:p w14:paraId="06AEF5D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（4）收取账号：</w:t>
            </w:r>
            <w:r>
              <w:rPr>
                <w:rFonts w:hint="eastAsia" w:ascii="宋体" w:hAnsi="宋体" w:eastAsia="宋体" w:cs="宋体"/>
                <w:bCs/>
                <w:color w:val="auto"/>
                <w:sz w:val="24"/>
                <w:szCs w:val="24"/>
                <w:highlight w:val="none"/>
                <w:u w:val="single"/>
              </w:rPr>
              <w:t>/</w:t>
            </w:r>
          </w:p>
          <w:p w14:paraId="5C46EBF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w:t>
            </w:r>
            <w:r>
              <w:rPr>
                <w:rFonts w:hint="eastAsia" w:ascii="宋体" w:hAnsi="宋体" w:eastAsia="宋体" w:cs="宋体"/>
                <w:bCs/>
                <w:color w:val="auto"/>
                <w:sz w:val="24"/>
                <w:szCs w:val="24"/>
                <w:highlight w:val="none"/>
                <w:u w:val="single"/>
              </w:rPr>
              <w:t>/</w:t>
            </w:r>
          </w:p>
          <w:p w14:paraId="2345521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7DE35C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0B34C85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12C3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98" w:type="pct"/>
            <w:vAlign w:val="center"/>
          </w:tcPr>
          <w:p w14:paraId="3D8A95FE">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27.1</w:t>
            </w:r>
          </w:p>
        </w:tc>
        <w:tc>
          <w:tcPr>
            <w:tcW w:w="909" w:type="pct"/>
            <w:vAlign w:val="center"/>
          </w:tcPr>
          <w:p w14:paraId="66A708EF">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签订合同和合同公告时间</w:t>
            </w:r>
          </w:p>
        </w:tc>
        <w:tc>
          <w:tcPr>
            <w:tcW w:w="3592" w:type="pct"/>
          </w:tcPr>
          <w:p w14:paraId="20306454">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3606893">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646C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3DA2C031">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28.1</w:t>
            </w:r>
          </w:p>
        </w:tc>
        <w:tc>
          <w:tcPr>
            <w:tcW w:w="909" w:type="pct"/>
            <w:vAlign w:val="center"/>
          </w:tcPr>
          <w:p w14:paraId="1A6BD447">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代理费用</w:t>
            </w:r>
          </w:p>
        </w:tc>
        <w:tc>
          <w:tcPr>
            <w:tcW w:w="3592" w:type="pct"/>
            <w:vAlign w:val="center"/>
          </w:tcPr>
          <w:p w14:paraId="0AD861F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中标人</w:t>
            </w:r>
          </w:p>
          <w:p w14:paraId="661AD1F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转账</w:t>
            </w:r>
          </w:p>
          <w:p w14:paraId="66BABDC2">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color w:val="auto"/>
                <w:sz w:val="24"/>
                <w:szCs w:val="24"/>
                <w:highlight w:val="none"/>
              </w:rPr>
              <w:t>收费标准</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bCs w:val="0"/>
                <w:color w:val="auto"/>
                <w:kern w:val="2"/>
                <w:sz w:val="24"/>
                <w:szCs w:val="24"/>
                <w:highlight w:val="none"/>
                <w:u w:val="single"/>
                <w:lang w:val="en-US" w:eastAsia="zh-CN"/>
              </w:rPr>
              <w:t>参考计价格【2002】1980号文件规定的50%</w:t>
            </w:r>
            <w:r>
              <w:rPr>
                <w:rFonts w:hint="eastAsia" w:ascii="宋体" w:hAnsi="宋体" w:eastAsia="宋体" w:cs="宋体"/>
                <w:b w:val="0"/>
                <w:bCs w:val="0"/>
                <w:color w:val="auto"/>
                <w:kern w:val="2"/>
                <w:sz w:val="24"/>
                <w:szCs w:val="24"/>
                <w:highlight w:val="none"/>
                <w:u w:val="single"/>
              </w:rPr>
              <w:t>，以最高限价计算</w:t>
            </w:r>
            <w:r>
              <w:rPr>
                <w:rFonts w:hint="eastAsia" w:ascii="宋体" w:hAnsi="宋体" w:eastAsia="宋体" w:cs="宋体"/>
                <w:b w:val="0"/>
                <w:bCs w:val="0"/>
                <w:color w:val="auto"/>
                <w:kern w:val="2"/>
                <w:sz w:val="24"/>
                <w:szCs w:val="24"/>
                <w:highlight w:val="none"/>
                <w:u w:val="single"/>
                <w:lang w:eastAsia="zh-CN"/>
              </w:rPr>
              <w:t>。</w:t>
            </w:r>
          </w:p>
        </w:tc>
      </w:tr>
      <w:tr w14:paraId="621F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391B0713">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31.3</w:t>
            </w:r>
          </w:p>
        </w:tc>
        <w:tc>
          <w:tcPr>
            <w:tcW w:w="909" w:type="pct"/>
            <w:vAlign w:val="center"/>
          </w:tcPr>
          <w:p w14:paraId="4899A333">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592" w:type="pct"/>
            <w:vAlign w:val="center"/>
          </w:tcPr>
          <w:p w14:paraId="71425ACF">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bCs/>
                <w:color w:val="auto"/>
                <w:kern w:val="0"/>
                <w:sz w:val="24"/>
                <w:szCs w:val="24"/>
                <w:highlight w:val="none"/>
                <w:u w:val="single"/>
              </w:rPr>
            </w:pPr>
            <w:r>
              <w:rPr>
                <w:rFonts w:hint="eastAsia" w:ascii="宋体" w:hAnsi="宋体" w:eastAsia="宋体" w:cs="宋体"/>
                <w:color w:val="auto"/>
                <w:sz w:val="24"/>
                <w:szCs w:val="24"/>
                <w:highlight w:val="none"/>
              </w:rPr>
              <w:t>递交</w:t>
            </w:r>
            <w:r>
              <w:rPr>
                <w:rFonts w:hint="eastAsia" w:ascii="宋体" w:hAnsi="宋体" w:eastAsia="宋体" w:cs="宋体"/>
                <w:bCs/>
                <w:color w:val="auto"/>
                <w:sz w:val="24"/>
                <w:szCs w:val="24"/>
                <w:highlight w:val="none"/>
              </w:rPr>
              <w:t>方式：</w:t>
            </w:r>
            <w:r>
              <w:rPr>
                <w:rFonts w:hint="eastAsia" w:ascii="宋体" w:hAnsi="宋体" w:eastAsia="宋体" w:cs="宋体"/>
                <w:bCs/>
                <w:color w:val="auto"/>
                <w:kern w:val="0"/>
                <w:sz w:val="24"/>
                <w:szCs w:val="24"/>
                <w:highlight w:val="none"/>
                <w:u w:val="single"/>
              </w:rPr>
              <w:t>如投标人对招标文件有质疑，依据中华人民共和国财政部令第94号《政府采购质疑和投诉办法》规定提出质疑；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5FE9B75D">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u w:val="single"/>
                <w:lang w:eastAsia="zh-CN"/>
              </w:rPr>
              <w:t>滁州市数据资源管理局</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u w:val="single"/>
                <w:lang w:val="en-US" w:eastAsia="zh-CN"/>
              </w:rPr>
              <w:t>滁州市政府采购中心</w:t>
            </w:r>
          </w:p>
          <w:p w14:paraId="309DCB42">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lang w:val="en-US" w:eastAsia="zh-CN"/>
              </w:rPr>
              <w:t>0550-3087035、</w:t>
            </w:r>
            <w:r>
              <w:rPr>
                <w:rFonts w:hint="eastAsia" w:ascii="宋体" w:hAnsi="宋体" w:eastAsia="宋体" w:cs="宋体"/>
                <w:b w:val="0"/>
                <w:color w:val="auto"/>
                <w:sz w:val="24"/>
                <w:szCs w:val="24"/>
                <w:highlight w:val="none"/>
                <w:u w:val="single"/>
                <w:lang w:eastAsia="zh-CN"/>
              </w:rPr>
              <w:t>0550-35195</w:t>
            </w:r>
            <w:r>
              <w:rPr>
                <w:rFonts w:hint="eastAsia" w:ascii="宋体" w:hAnsi="宋体" w:eastAsia="宋体" w:cs="宋体"/>
                <w:b w:val="0"/>
                <w:color w:val="auto"/>
                <w:sz w:val="24"/>
                <w:szCs w:val="24"/>
                <w:highlight w:val="none"/>
                <w:u w:val="single"/>
                <w:lang w:val="en-US" w:eastAsia="zh-CN"/>
              </w:rPr>
              <w:t>90</w:t>
            </w:r>
          </w:p>
          <w:p w14:paraId="2FD49F2A">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24"/>
                <w:highlight w:val="none"/>
                <w:u w:val="single"/>
                <w:lang w:eastAsia="zh-CN"/>
              </w:rPr>
              <w:t>安徽省滁州市龙蟠大道99号</w:t>
            </w:r>
            <w:r>
              <w:rPr>
                <w:rFonts w:hint="eastAsia" w:ascii="宋体" w:hAnsi="宋体" w:eastAsia="宋体" w:cs="宋体"/>
                <w:b w:val="0"/>
                <w:bCs w:val="0"/>
                <w:color w:val="auto"/>
                <w:sz w:val="24"/>
                <w:szCs w:val="24"/>
                <w:highlight w:val="none"/>
                <w:u w:val="single"/>
              </w:rPr>
              <w:t>、滁州市龙蟠大道109号房产大厦</w:t>
            </w:r>
            <w:r>
              <w:rPr>
                <w:rFonts w:hint="eastAsia" w:ascii="宋体" w:hAnsi="宋体" w:eastAsia="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u w:val="single"/>
              </w:rPr>
              <w:t>楼</w:t>
            </w:r>
          </w:p>
        </w:tc>
      </w:tr>
      <w:tr w14:paraId="3A0F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8" w:type="pct"/>
            <w:vAlign w:val="center"/>
          </w:tcPr>
          <w:p w14:paraId="7B26B844">
            <w:pPr>
              <w:pStyle w:val="5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32</w:t>
            </w:r>
          </w:p>
        </w:tc>
        <w:tc>
          <w:tcPr>
            <w:tcW w:w="909" w:type="pct"/>
            <w:vAlign w:val="center"/>
          </w:tcPr>
          <w:p w14:paraId="35031F70">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3592" w:type="pct"/>
            <w:vAlign w:val="center"/>
          </w:tcPr>
          <w:p w14:paraId="56CB450D">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1.解释权：</w:t>
            </w:r>
          </w:p>
          <w:p w14:paraId="51B6AE0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35B3C1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A171A0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059AA8E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53E0A274">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60828C0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7491448D">
            <w:pPr>
              <w:pStyle w:val="54"/>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42B78CA2">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r>
              <w:rPr>
                <w:rFonts w:hint="eastAsia" w:ascii="宋体" w:hAnsi="宋体" w:eastAsia="宋体" w:cs="宋体"/>
                <w:bCs/>
                <w:color w:val="auto"/>
                <w:kern w:val="2"/>
                <w:sz w:val="24"/>
                <w:szCs w:val="24"/>
                <w:highlight w:val="none"/>
                <w:lang w:bidi="ar"/>
              </w:rPr>
              <w:t>部分可提供线下政采贷的金融机构：</w:t>
            </w:r>
          </w:p>
          <w:p w14:paraId="48AD9E5E">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市本级</w:t>
            </w:r>
          </w:p>
          <w:p w14:paraId="3EC667BA">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金融机构名称：兴业银行滁州分行</w:t>
            </w:r>
          </w:p>
          <w:p w14:paraId="55AE3215">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安徽省滁州市琅琊区丰乐大道1090号</w:t>
            </w:r>
          </w:p>
          <w:p w14:paraId="123ABD77">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lang w:bidi="ar"/>
              </w:rPr>
            </w:pPr>
            <w:r>
              <w:rPr>
                <w:rFonts w:hint="eastAsia" w:ascii="宋体" w:hAnsi="宋体" w:eastAsia="宋体" w:cs="宋体"/>
                <w:bCs/>
                <w:color w:val="auto"/>
                <w:kern w:val="2"/>
                <w:sz w:val="24"/>
                <w:szCs w:val="24"/>
                <w:highlight w:val="none"/>
                <w:lang w:bidi="ar"/>
              </w:rPr>
              <w:t>伏庚：17755080811</w:t>
            </w:r>
          </w:p>
          <w:p w14:paraId="510A4A8D">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5.特别提示：</w:t>
            </w:r>
          </w:p>
          <w:p w14:paraId="5C53C8EA">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（1）投标人应填写投标信息并下载招标文件，否则无法上传投标文件。</w:t>
            </w:r>
          </w:p>
          <w:p w14:paraId="3F483B91">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76A57982">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（3）如果过程中出现招标文件更改，应以最后发布的招标答疑澄清文件中的模板制作本项目最新投标文件。</w:t>
            </w:r>
          </w:p>
          <w:p w14:paraId="4E5E86A9">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 xml:space="preserve">（4）投标人应当用本单位CA数字证书制作投标文件，制作成功后进行投标文件上传。 </w:t>
            </w:r>
          </w:p>
          <w:p w14:paraId="64B8CF7E">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C9B990E">
            <w:pPr>
              <w:pStyle w:val="28"/>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（6）请投标人注意加密投标文件CA数字证书的有效期，不在有效期的CA数字证书无法解密投标文件。</w:t>
            </w:r>
          </w:p>
          <w:p w14:paraId="0C87078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（7）投标人投标MAC地址或投标人联系人或联系电话相同的，由评标委员会否决其投标，并报告监管部门作不良行为处理和进一步调查。</w:t>
            </w:r>
          </w:p>
          <w:p w14:paraId="36BA38E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（8）投标人单方面出现其他投标人材料的，由评标委员会否决其投标。</w:t>
            </w:r>
          </w:p>
          <w:p w14:paraId="4177C247">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0C31A8D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3089DD4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6.评标过程中的澄清、说明或补正：</w:t>
            </w:r>
          </w:p>
          <w:p w14:paraId="03F8032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37CCD5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D4CE1A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7.同义词语：</w:t>
            </w:r>
          </w:p>
          <w:p w14:paraId="00DF658B">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招标文件第六章投标文件格式、附件1“关于联合惩戒失信行为 加强信用查询管理的通知”等章节中 “招标人”、“供应商”，等同于“采购人”、“投标人”。</w:t>
            </w:r>
          </w:p>
          <w:p w14:paraId="72F72A36">
            <w:pPr>
              <w:pStyle w:val="5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lang w:bidi="ar"/>
              </w:rPr>
              <w:t>落实政府采购支持节能产品、环境标志产品政策。</w:t>
            </w:r>
          </w:p>
          <w:p w14:paraId="5A7A908F">
            <w:pPr>
              <w:pStyle w:val="5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rPr>
              <w:t>系统中提供的表格与</w:t>
            </w:r>
            <w:r>
              <w:rPr>
                <w:rFonts w:hint="eastAsia" w:ascii="宋体" w:hAnsi="宋体" w:eastAsia="宋体" w:cs="宋体"/>
                <w:b w:val="0"/>
                <w:color w:val="auto"/>
                <w:kern w:val="2"/>
                <w:sz w:val="24"/>
                <w:szCs w:val="24"/>
                <w:highlight w:val="none"/>
                <w:lang w:eastAsia="zh-CN"/>
              </w:rPr>
              <w:t>招标文件</w:t>
            </w:r>
            <w:r>
              <w:rPr>
                <w:rFonts w:hint="eastAsia" w:ascii="宋体" w:hAnsi="宋体" w:eastAsia="宋体" w:cs="宋体"/>
                <w:b w:val="0"/>
                <w:color w:val="auto"/>
                <w:kern w:val="2"/>
                <w:sz w:val="24"/>
                <w:szCs w:val="24"/>
                <w:highlight w:val="none"/>
              </w:rPr>
              <w:t>中不一致时，以</w:t>
            </w:r>
            <w:r>
              <w:rPr>
                <w:rFonts w:hint="eastAsia" w:ascii="宋体" w:hAnsi="宋体" w:eastAsia="宋体" w:cs="宋体"/>
                <w:b w:val="0"/>
                <w:color w:val="auto"/>
                <w:kern w:val="2"/>
                <w:sz w:val="24"/>
                <w:szCs w:val="24"/>
                <w:highlight w:val="none"/>
                <w:lang w:eastAsia="zh-CN"/>
              </w:rPr>
              <w:t>招标文件</w:t>
            </w:r>
            <w:r>
              <w:rPr>
                <w:rFonts w:hint="eastAsia" w:ascii="宋体" w:hAnsi="宋体" w:eastAsia="宋体" w:cs="宋体"/>
                <w:b w:val="0"/>
                <w:color w:val="auto"/>
                <w:kern w:val="2"/>
                <w:sz w:val="24"/>
                <w:szCs w:val="24"/>
                <w:highlight w:val="none"/>
              </w:rPr>
              <w:t>中提供的表格格式为准。</w:t>
            </w:r>
          </w:p>
        </w:tc>
      </w:tr>
    </w:tbl>
    <w:p w14:paraId="360379A7">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jc w:val="center"/>
        <w:textAlignment w:val="auto"/>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24882"/>
      <w:bookmarkStart w:id="30" w:name="_Toc9427"/>
      <w:r>
        <w:rPr>
          <w:rFonts w:hint="eastAsia" w:asciiTheme="minorEastAsia" w:hAnsiTheme="minorEastAsia" w:eastAsiaTheme="minorEastAsia"/>
          <w:b/>
          <w:color w:val="auto"/>
          <w:sz w:val="24"/>
          <w:highlight w:val="none"/>
        </w:rPr>
        <w:t>二、投标人须知正文</w:t>
      </w:r>
      <w:bookmarkEnd w:id="29"/>
      <w:bookmarkEnd w:id="30"/>
    </w:p>
    <w:p w14:paraId="32E1150A">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0AA3C80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53D276C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206A7D1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3A7A372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7C20F25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3B7D404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1.4.2以采购代理机构认可的方式获得了本项目的招标文件。</w:t>
      </w:r>
    </w:p>
    <w:p w14:paraId="3CBD14B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22435F2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29CB9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53DC257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01A0B5F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4E20B3E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10D7476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3620EAC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0C523B3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3C1B3CD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F72891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57B67657">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9C5DC3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583C68A7">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1E843C9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667E2325">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9641B1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1E0995C6">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38312C1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3D67325E">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7E90FDFF">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FC69FC5">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5A92A37E">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02C601B7">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72921B63">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DDA0DD2">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5C06E61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3C835B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5BC877CD">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1125861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5CBB4D6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5BCEA36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E57765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5EBFD91D">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4BE1D0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3A31E0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DE1FAF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bookmarkStart w:id="31"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31"/>
    <w:p w14:paraId="039653F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9C616D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3F4A836A">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743662A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78A1159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32" w:name="_Hlk11703583"/>
      <w:r>
        <w:rPr>
          <w:rFonts w:hint="eastAsia" w:ascii="宋体" w:hAnsi="宋体" w:eastAsia="宋体" w:cs="宋体"/>
          <w:color w:val="auto"/>
          <w:sz w:val="24"/>
          <w:highlight w:val="none"/>
        </w:rPr>
        <w:t>等。</w:t>
      </w:r>
    </w:p>
    <w:bookmarkEnd w:id="32"/>
    <w:p w14:paraId="6411A978">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064D2B68">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3D089688">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9.1投标人的报价应当包括满足本次招标全部采购需求。除招标文件另有规定外，所有投标均应以人民币报价。投标人的投标报价应遵守《中华人民共和国价格法》。</w:t>
      </w:r>
    </w:p>
    <w:p w14:paraId="41A55EC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767777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p>
    <w:p w14:paraId="5050AE4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F3404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2252C862">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4BC0BEC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7AD4BFBF">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52835D6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301D49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EAF376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F7AD483">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0C3C13C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4ADA4E6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29078B9">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51D2FB5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13.1开标时，</w:t>
      </w:r>
      <w:r>
        <w:rPr>
          <w:rFonts w:hint="eastAsia" w:ascii="宋体" w:hAnsi="宋体" w:eastAsia="宋体" w:cs="宋体"/>
          <w:color w:val="auto"/>
          <w:sz w:val="24"/>
          <w:szCs w:val="24"/>
          <w:highlight w:val="none"/>
        </w:rPr>
        <w:t>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投标文件进行解密。</w:t>
      </w:r>
    </w:p>
    <w:p w14:paraId="5E9CE20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13.2开标时，采购代理机构将通过网上开标系统公布开标结果，公布内容包括投标人名称、投标价格及招标文件规定的内容。</w:t>
      </w:r>
    </w:p>
    <w:p w14:paraId="5930F3B8">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13.3采购人或采购代理机构将对开标过程进行记录，并存档备查。</w:t>
      </w:r>
    </w:p>
    <w:p w14:paraId="2729FCF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4ED5F893">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7DA4FF8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3DE00B8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szCs w:val="24"/>
          <w:highlight w:val="none"/>
        </w:rPr>
      </w:pPr>
      <w:bookmarkStart w:id="33"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9B58D1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A93844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3"/>
    <w:p w14:paraId="07A8EBC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0AF662AC">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C74480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047B616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1C2D41C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67CA2F0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48330AE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FDB875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5D3BD38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747D194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1DE1CB5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3A98920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6E0C5F5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6942283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AE1FCB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0387E71">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1FA7C98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774B608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7585C62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4D2FA0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A6803D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ED69FA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EB32988">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4F59031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580944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6C86A44">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314875D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68481FB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6B0C08D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86D9B1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CC7024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41B48D1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FB1212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33DF7D05">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038E2D3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4B3AC8C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77CDEB4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1828366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5741DD2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FCF955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7952B7E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7E2A5B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0C6576B0">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55ADF52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0E606A4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1A71A1D9">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4484121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4235725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3D4ABF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187A86F0">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116853E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8B4D0C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7450CC1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3CBBC721">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280C884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9FBFEBE">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7773E66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FEBA175">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23.2自中标人确定之日起2个工作日内，采购代理机构将在安徽省政府采购网（www.ccgp-anhui.gov.cn）、滁州市公共资源交易中心网（http://ggzy.chuzhou.gov.cn /）上发布中标结果公告。</w:t>
      </w:r>
    </w:p>
    <w:p w14:paraId="12DEAE6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投标人须知前附表中约定进行公告的内容。中标公告期限为1个工作日。</w:t>
      </w:r>
    </w:p>
    <w:p w14:paraId="1707D793">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36F2926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2487323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21A0FF2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746896A2">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1A00382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2AF27FAE">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3E8B770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4B128A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3594FCEB">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7EC71C6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4D190C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20CF008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6834514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24401E8F">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0328114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19473F74">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bookmarkStart w:id="34" w:name="_Toc518923100"/>
      <w:bookmarkStart w:id="35" w:name="_Toc2583661"/>
      <w:r>
        <w:rPr>
          <w:rFonts w:hint="eastAsia" w:ascii="宋体" w:hAnsi="宋体" w:eastAsia="宋体" w:cs="宋体"/>
          <w:b/>
          <w:color w:val="auto"/>
          <w:sz w:val="24"/>
          <w:highlight w:val="none"/>
        </w:rPr>
        <w:t>29.廉洁自律规定</w:t>
      </w:r>
      <w:bookmarkEnd w:id="34"/>
      <w:bookmarkEnd w:id="35"/>
    </w:p>
    <w:p w14:paraId="42C72AA8">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0B650D8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56EF6F6A">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bookmarkStart w:id="36" w:name="_Toc2583662"/>
      <w:bookmarkStart w:id="37" w:name="_Toc518923101"/>
      <w:r>
        <w:rPr>
          <w:rFonts w:hint="eastAsia" w:ascii="宋体" w:hAnsi="宋体" w:eastAsia="宋体" w:cs="宋体"/>
          <w:b/>
          <w:color w:val="auto"/>
          <w:sz w:val="24"/>
          <w:highlight w:val="none"/>
        </w:rPr>
        <w:t>30.人员回避</w:t>
      </w:r>
      <w:bookmarkEnd w:id="36"/>
      <w:bookmarkEnd w:id="37"/>
    </w:p>
    <w:p w14:paraId="6ADCFA7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19BFD41">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4C7AF1E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7AF628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6E8D5E9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31.3采购代理机构质疑函接收部门、联系电话和通讯地址，见投标人须知前附表。</w:t>
      </w:r>
    </w:p>
    <w:p w14:paraId="4C1F3DD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28BF6A8D">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2E5599EA">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CAA2723">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F98FC7B">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6EA93E92">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4CA783F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95A9CA2">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1C4C62">
      <w:pPr>
        <w:numPr>
          <w:ilvl w:val="0"/>
          <w:numId w:val="2"/>
        </w:num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38" w:name="_Toc22605"/>
      <w:r>
        <w:rPr>
          <w:rFonts w:hint="eastAsia" w:asciiTheme="minorEastAsia" w:hAnsiTheme="minorEastAsia" w:eastAsiaTheme="minorEastAsia"/>
          <w:b/>
          <w:color w:val="auto"/>
          <w:sz w:val="28"/>
          <w:highlight w:val="none"/>
        </w:rPr>
        <w:t>采购需求</w:t>
      </w:r>
      <w:bookmarkEnd w:id="38"/>
    </w:p>
    <w:p w14:paraId="7DCDCA57">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0A7C367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1F2B87F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63C0FF1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提供所投产品须具有市场监管总局公布的《参与实施政府采购节能产品认证机构目录》中的认证机构出具的、处于有效期内的节能产品认证证书。</w:t>
      </w:r>
    </w:p>
    <w:p w14:paraId="162C156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920122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2B7F1549">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eastAsia" w:ascii="宋体" w:hAnsi="宋体" w:eastAsia="宋体" w:cs="宋体"/>
          <w:b/>
          <w:color w:val="auto"/>
          <w:sz w:val="24"/>
          <w:szCs w:val="18"/>
          <w:highlight w:val="none"/>
        </w:rPr>
      </w:pPr>
      <w:bookmarkStart w:id="39" w:name="_Toc4148"/>
      <w:bookmarkStart w:id="40" w:name="_Toc21798"/>
      <w:bookmarkStart w:id="41" w:name="_Hlk23621890"/>
      <w:bookmarkStart w:id="42" w:name="_Toc30824"/>
      <w:r>
        <w:rPr>
          <w:rFonts w:hint="eastAsia" w:ascii="宋体" w:hAnsi="宋体" w:eastAsia="宋体" w:cs="宋体"/>
          <w:b/>
          <w:color w:val="auto"/>
          <w:sz w:val="24"/>
          <w:szCs w:val="18"/>
          <w:highlight w:val="none"/>
        </w:rPr>
        <w:t>一、采购需求前附表</w:t>
      </w:r>
      <w:bookmarkEnd w:id="39"/>
      <w:bookmarkEnd w:id="40"/>
    </w:p>
    <w:bookmarkEnd w:id="41"/>
    <w:tbl>
      <w:tblPr>
        <w:tblStyle w:val="33"/>
        <w:tblW w:w="54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977"/>
        <w:gridCol w:w="6819"/>
      </w:tblGrid>
      <w:tr w14:paraId="7F83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4" w:type="pct"/>
            <w:vAlign w:val="center"/>
          </w:tcPr>
          <w:p w14:paraId="16DBB00A">
            <w:pPr>
              <w:pStyle w:val="55"/>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
                <w:color w:val="auto"/>
                <w:kern w:val="2"/>
                <w:highlight w:val="none"/>
              </w:rPr>
            </w:pPr>
            <w:bookmarkStart w:id="43" w:name="_Hlk16461016"/>
            <w:r>
              <w:rPr>
                <w:rFonts w:hint="eastAsia" w:ascii="宋体" w:hAnsi="宋体" w:eastAsia="宋体" w:cs="宋体"/>
                <w:b/>
                <w:color w:val="auto"/>
                <w:kern w:val="2"/>
                <w:highlight w:val="none"/>
              </w:rPr>
              <w:t>序号</w:t>
            </w:r>
          </w:p>
        </w:tc>
        <w:tc>
          <w:tcPr>
            <w:tcW w:w="1028" w:type="pct"/>
            <w:vAlign w:val="center"/>
          </w:tcPr>
          <w:p w14:paraId="75998D25">
            <w:pPr>
              <w:pStyle w:val="54"/>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46" w:type="pct"/>
            <w:vAlign w:val="center"/>
          </w:tcPr>
          <w:p w14:paraId="268D4670">
            <w:pPr>
              <w:pStyle w:val="54"/>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120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vAlign w:val="center"/>
          </w:tcPr>
          <w:p w14:paraId="1B5EDB85">
            <w:pPr>
              <w:pStyle w:val="55"/>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28" w:type="pct"/>
            <w:vAlign w:val="center"/>
          </w:tcPr>
          <w:p w14:paraId="0843A81F">
            <w:pPr>
              <w:pageBreakBefore w:val="0"/>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w:t>
            </w:r>
          </w:p>
        </w:tc>
        <w:tc>
          <w:tcPr>
            <w:tcW w:w="3546" w:type="pct"/>
            <w:vAlign w:val="center"/>
          </w:tcPr>
          <w:p w14:paraId="639B8F5A">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4"/>
                <w:highlight w:val="none"/>
                <w:u w:val="none"/>
                <w:lang w:val="en-US" w:eastAsia="zh-CN"/>
              </w:rPr>
              <w:t>合同签订生效并具备实施条件后，根据相关规定和资金情况，采购方支付给中标方合同总额40%-70%的项目预付款（预付款支付前，中标方须向采购方提供同等金额的见索即付保函）；项目经初步验收评审合格后，采购方支付给中标方合同总额的20%-50%初验款；项目经最终验收评审合格后，采购方支付给中标方合同剩余款。</w:t>
            </w:r>
          </w:p>
        </w:tc>
      </w:tr>
      <w:tr w14:paraId="49C1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4" w:type="pct"/>
            <w:vAlign w:val="center"/>
          </w:tcPr>
          <w:p w14:paraId="326D1AA3">
            <w:pPr>
              <w:pStyle w:val="55"/>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28" w:type="pct"/>
            <w:vAlign w:val="center"/>
          </w:tcPr>
          <w:p w14:paraId="1F32E438">
            <w:pPr>
              <w:pStyle w:val="54"/>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546" w:type="pct"/>
            <w:vAlign w:val="center"/>
          </w:tcPr>
          <w:p w14:paraId="1F1A643B">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滁州市内，采购人指定地点。</w:t>
            </w:r>
          </w:p>
        </w:tc>
      </w:tr>
      <w:tr w14:paraId="3CE8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4" w:type="pct"/>
            <w:vAlign w:val="center"/>
          </w:tcPr>
          <w:p w14:paraId="685E365D">
            <w:pPr>
              <w:pStyle w:val="55"/>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28" w:type="pct"/>
            <w:vAlign w:val="center"/>
          </w:tcPr>
          <w:p w14:paraId="5C1AA406">
            <w:pPr>
              <w:pStyle w:val="54"/>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546" w:type="pct"/>
            <w:vAlign w:val="center"/>
          </w:tcPr>
          <w:p w14:paraId="3F4F7EF9">
            <w:pPr>
              <w:pageBreakBefore w:val="0"/>
              <w:kinsoku/>
              <w:overflowPunct/>
              <w:topLinePunct w:val="0"/>
              <w:autoSpaceDE/>
              <w:autoSpaceDN/>
              <w:bidi w:val="0"/>
              <w:adjustRightInd/>
              <w:snapToGrid/>
              <w:spacing w:line="520" w:lineRule="exac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1包别自签订合同之日起8个月内完成项目的交付；</w:t>
            </w:r>
          </w:p>
          <w:p w14:paraId="0A9091DA">
            <w:pPr>
              <w:pageBreakBefore w:val="0"/>
              <w:kinsoku/>
              <w:overflowPunct/>
              <w:topLinePunct w:val="0"/>
              <w:autoSpaceDE/>
              <w:autoSpaceDN/>
              <w:bidi w:val="0"/>
              <w:adjustRightInd/>
              <w:snapToGrid/>
              <w:spacing w:line="520" w:lineRule="exac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2包别自签订合同之日起至所监理项目验收合格结束。</w:t>
            </w:r>
          </w:p>
        </w:tc>
      </w:tr>
      <w:tr w14:paraId="5C3E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4" w:type="pct"/>
            <w:vAlign w:val="center"/>
          </w:tcPr>
          <w:p w14:paraId="1BB178FA">
            <w:pPr>
              <w:pStyle w:val="55"/>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4</w:t>
            </w:r>
          </w:p>
        </w:tc>
        <w:tc>
          <w:tcPr>
            <w:tcW w:w="1028" w:type="pct"/>
            <w:vAlign w:val="center"/>
          </w:tcPr>
          <w:p w14:paraId="468C39FA">
            <w:pPr>
              <w:pStyle w:val="54"/>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546" w:type="pct"/>
            <w:vAlign w:val="center"/>
          </w:tcPr>
          <w:p w14:paraId="473F4EBB">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第1包</w:t>
            </w:r>
          </w:p>
          <w:p w14:paraId="59FFF2BD">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标的名称：滁州市政务服务应用场景升级迭代项目软件服务</w:t>
            </w:r>
          </w:p>
          <w:p w14:paraId="25658DFD">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所属行业：软件和信息技术服务业</w:t>
            </w:r>
          </w:p>
          <w:p w14:paraId="2688F780">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第2包</w:t>
            </w:r>
          </w:p>
          <w:p w14:paraId="4181D953">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标的名称：滁州市政务服务应用场景升级迭代项目监理及测试服务</w:t>
            </w:r>
          </w:p>
          <w:p w14:paraId="03948245">
            <w:pPr>
              <w:pStyle w:val="54"/>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所属行业：其他未列明行业</w:t>
            </w:r>
          </w:p>
        </w:tc>
      </w:tr>
      <w:bookmarkEnd w:id="43"/>
    </w:tbl>
    <w:p w14:paraId="1A630F3D">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default"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二、服务需求</w:t>
      </w:r>
    </w:p>
    <w:p w14:paraId="431AED15">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eastAsia" w:ascii="宋体" w:hAnsi="宋体" w:eastAsia="宋体" w:cs="宋体"/>
          <w:b/>
          <w:color w:val="auto"/>
          <w:sz w:val="28"/>
          <w:szCs w:val="20"/>
          <w:highlight w:val="none"/>
          <w:lang w:val="en-US" w:eastAsia="zh-CN"/>
        </w:rPr>
      </w:pPr>
      <w:r>
        <w:rPr>
          <w:rFonts w:hint="eastAsia" w:ascii="宋体" w:hAnsi="宋体" w:eastAsia="宋体" w:cs="宋体"/>
          <w:b/>
          <w:color w:val="auto"/>
          <w:sz w:val="28"/>
          <w:szCs w:val="20"/>
          <w:highlight w:val="none"/>
          <w:lang w:val="en-US" w:eastAsia="zh-CN"/>
        </w:rPr>
        <w:t>1包</w:t>
      </w:r>
    </w:p>
    <w:p w14:paraId="2FCFFCCD">
      <w:pPr>
        <w:keepNext w:val="0"/>
        <w:keepLines w:val="0"/>
        <w:pageBreakBefore w:val="0"/>
        <w:widowControl w:val="0"/>
        <w:numPr>
          <w:ilvl w:val="0"/>
          <w:numId w:val="0"/>
        </w:numPr>
        <w:tabs>
          <w:tab w:val="left" w:pos="323"/>
        </w:tabs>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1.采购内容</w:t>
      </w:r>
    </w:p>
    <w:p w14:paraId="34F2E9F1">
      <w:pPr>
        <w:keepNext w:val="0"/>
        <w:keepLines w:val="0"/>
        <w:pageBreakBefore w:val="0"/>
        <w:widowControl w:val="0"/>
        <w:numPr>
          <w:ilvl w:val="0"/>
          <w:numId w:val="0"/>
        </w:numPr>
        <w:tabs>
          <w:tab w:val="left" w:pos="323"/>
        </w:tabs>
        <w:kinsoku/>
        <w:wordWrap/>
        <w:overflowPunct/>
        <w:topLinePunct w:val="0"/>
        <w:autoSpaceDE/>
        <w:autoSpaceDN/>
        <w:bidi w:val="0"/>
        <w:adjustRightInd/>
        <w:snapToGrid/>
        <w:spacing w:line="520" w:lineRule="exact"/>
        <w:ind w:firstLine="480" w:firstLineChars="200"/>
        <w:jc w:val="left"/>
        <w:textAlignment w:val="auto"/>
        <w:outlineLvl w:val="1"/>
        <w:rPr>
          <w:rFonts w:hint="default"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滁州市政务服务应用场景升级迭代项目软件服务项目</w:t>
      </w:r>
    </w:p>
    <w:p w14:paraId="68955D70">
      <w:pPr>
        <w:keepNext w:val="0"/>
        <w:keepLines w:val="0"/>
        <w:pageBreakBefore w:val="0"/>
        <w:widowControl w:val="0"/>
        <w:numPr>
          <w:ilvl w:val="0"/>
          <w:numId w:val="0"/>
        </w:numPr>
        <w:tabs>
          <w:tab w:val="left" w:pos="323"/>
        </w:tabs>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2.采购预算</w:t>
      </w:r>
    </w:p>
    <w:p w14:paraId="75776C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3119000.00元</w:t>
      </w:r>
    </w:p>
    <w:p w14:paraId="7EE0D456">
      <w:pPr>
        <w:keepNext w:val="0"/>
        <w:keepLines w:val="0"/>
        <w:pageBreakBefore w:val="0"/>
        <w:widowControl w:val="0"/>
        <w:numPr>
          <w:ilvl w:val="0"/>
          <w:numId w:val="0"/>
        </w:numPr>
        <w:tabs>
          <w:tab w:val="left" w:pos="323"/>
        </w:tabs>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3.采购项目清单</w:t>
      </w:r>
    </w:p>
    <w:tbl>
      <w:tblPr>
        <w:tblStyle w:val="33"/>
        <w:tblW w:w="5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9"/>
        <w:gridCol w:w="2311"/>
        <w:gridCol w:w="7153"/>
      </w:tblGrid>
      <w:tr w14:paraId="548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shd w:val="clear" w:color="auto" w:fill="auto"/>
            <w:vAlign w:val="center"/>
          </w:tcPr>
          <w:p w14:paraId="18994528">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序号</w:t>
            </w:r>
          </w:p>
        </w:tc>
        <w:tc>
          <w:tcPr>
            <w:tcW w:w="1128" w:type="pct"/>
            <w:shd w:val="clear" w:color="auto" w:fill="auto"/>
            <w:vAlign w:val="center"/>
          </w:tcPr>
          <w:p w14:paraId="69D384CE">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系统名称</w:t>
            </w:r>
          </w:p>
        </w:tc>
        <w:tc>
          <w:tcPr>
            <w:tcW w:w="3491" w:type="pct"/>
            <w:shd w:val="clear" w:color="auto" w:fill="auto"/>
            <w:vAlign w:val="center"/>
          </w:tcPr>
          <w:p w14:paraId="7BA4045F">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功能描述</w:t>
            </w:r>
          </w:p>
        </w:tc>
      </w:tr>
      <w:tr w14:paraId="168D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380" w:type="pct"/>
            <w:shd w:val="clear" w:color="auto" w:fill="auto"/>
            <w:vAlign w:val="center"/>
          </w:tcPr>
          <w:p w14:paraId="4D8DCB1E">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1</w:t>
            </w:r>
          </w:p>
        </w:tc>
        <w:tc>
          <w:tcPr>
            <w:tcW w:w="4619" w:type="pct"/>
            <w:gridSpan w:val="2"/>
            <w:shd w:val="clear" w:color="auto" w:fill="auto"/>
            <w:vAlign w:val="center"/>
          </w:tcPr>
          <w:p w14:paraId="4A68CED9">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服务内容接入</w:t>
            </w:r>
          </w:p>
        </w:tc>
      </w:tr>
      <w:tr w14:paraId="0DEF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shd w:val="clear" w:color="auto" w:fill="auto"/>
            <w:vAlign w:val="center"/>
          </w:tcPr>
          <w:p w14:paraId="4621A037">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1.1</w:t>
            </w:r>
          </w:p>
        </w:tc>
        <w:tc>
          <w:tcPr>
            <w:tcW w:w="1128" w:type="pct"/>
            <w:shd w:val="clear" w:color="auto" w:fill="auto"/>
            <w:vAlign w:val="center"/>
          </w:tcPr>
          <w:p w14:paraId="3C1BFC87">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个人专属服务空间</w:t>
            </w:r>
          </w:p>
        </w:tc>
        <w:tc>
          <w:tcPr>
            <w:tcW w:w="3491" w:type="pct"/>
            <w:shd w:val="clear" w:color="auto" w:fill="auto"/>
            <w:vAlign w:val="center"/>
          </w:tcPr>
          <w:p w14:paraId="2EED66BB">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在安徽政务服务网滁州分厅升级完善个人专属空间功能。</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1、个人中心增加我的档案模块。使用皖事通扫码认证后查看个人档案，档案信息包括基本信息、家庭生活的户籍信息、社保、公积金信息、车辆信息、企业信息。</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2、政务网办事指南页面对接省统一预约平台进行办事预约，支持在我的预约中查看通过省统一预约平台预约的待处理和已处理数据。</w:t>
            </w:r>
          </w:p>
        </w:tc>
      </w:tr>
      <w:tr w14:paraId="5CD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shd w:val="clear" w:color="auto" w:fill="auto"/>
            <w:vAlign w:val="center"/>
          </w:tcPr>
          <w:p w14:paraId="0E35061B">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1.2</w:t>
            </w:r>
          </w:p>
        </w:tc>
        <w:tc>
          <w:tcPr>
            <w:tcW w:w="1128" w:type="pct"/>
            <w:shd w:val="clear" w:color="auto" w:fill="auto"/>
            <w:vAlign w:val="center"/>
          </w:tcPr>
          <w:p w14:paraId="270918B0">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场景化主题式服务</w:t>
            </w:r>
          </w:p>
        </w:tc>
        <w:tc>
          <w:tcPr>
            <w:tcW w:w="3491" w:type="pct"/>
            <w:shd w:val="clear" w:color="auto" w:fill="auto"/>
            <w:vAlign w:val="center"/>
          </w:tcPr>
          <w:p w14:paraId="1395FAE9">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根据国家、安徽省及滁州市政务服务相关工作要求，重点聚焦企业全经营周期及个人全生命周期各类重点领域及应用场景，依托“皖事通办”政务网PC端，本期项目计划新增“南京都市圈专题”，梳理并增加可办理的事项清单，本期计划完成不少于10个高频事项，实现与南京及都市圈其他城市政务服务平台的协同运作。</w:t>
            </w:r>
          </w:p>
        </w:tc>
      </w:tr>
      <w:tr w14:paraId="2736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380" w:type="pct"/>
            <w:shd w:val="clear" w:color="auto" w:fill="auto"/>
            <w:noWrap/>
            <w:vAlign w:val="center"/>
          </w:tcPr>
          <w:p w14:paraId="178F45A8">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2</w:t>
            </w:r>
          </w:p>
        </w:tc>
        <w:tc>
          <w:tcPr>
            <w:tcW w:w="1128" w:type="pct"/>
            <w:shd w:val="clear" w:color="auto" w:fill="auto"/>
            <w:noWrap/>
            <w:vAlign w:val="center"/>
          </w:tcPr>
          <w:p w14:paraId="1FA771C7">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皖事通能力提升</w:t>
            </w:r>
          </w:p>
        </w:tc>
        <w:tc>
          <w:tcPr>
            <w:tcW w:w="3491" w:type="pct"/>
            <w:shd w:val="clear" w:color="auto" w:fill="auto"/>
            <w:vAlign w:val="center"/>
          </w:tcPr>
          <w:p w14:paraId="7495F80C">
            <w:pPr>
              <w:keepNext w:val="0"/>
              <w:keepLines w:val="0"/>
              <w:pageBreakBefore w:val="0"/>
              <w:kinsoku/>
              <w:wordWrap/>
              <w:overflowPunct/>
              <w:topLinePunct w:val="0"/>
              <w:autoSpaceDE/>
              <w:autoSpaceDN/>
              <w:bidi w:val="0"/>
              <w:adjustRightInd/>
              <w:snapToGrid/>
              <w:spacing w:line="520" w:lineRule="exact"/>
              <w:jc w:val="both"/>
              <w:rPr>
                <w:rFonts w:hint="eastAsia" w:asciiTheme="majorEastAsia" w:hAnsiTheme="majorEastAsia" w:eastAsiaTheme="majorEastAsia" w:cstheme="majorEastAsia"/>
                <w:b/>
                <w:bCs/>
                <w:i w:val="0"/>
                <w:iCs w:val="0"/>
                <w:color w:val="auto"/>
                <w:sz w:val="24"/>
                <w:szCs w:val="24"/>
                <w:u w:val="none"/>
              </w:rPr>
            </w:pPr>
          </w:p>
        </w:tc>
      </w:tr>
      <w:tr w14:paraId="5A92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shd w:val="clear" w:color="auto" w:fill="auto"/>
            <w:noWrap/>
            <w:vAlign w:val="center"/>
          </w:tcPr>
          <w:p w14:paraId="550CBFAF">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2.1</w:t>
            </w:r>
          </w:p>
        </w:tc>
        <w:tc>
          <w:tcPr>
            <w:tcW w:w="1128" w:type="pct"/>
            <w:shd w:val="clear" w:color="auto" w:fill="auto"/>
            <w:noWrap/>
            <w:vAlign w:val="center"/>
          </w:tcPr>
          <w:p w14:paraId="1C1ADFA9">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个人证照过期提醒系统</w:t>
            </w:r>
          </w:p>
        </w:tc>
        <w:tc>
          <w:tcPr>
            <w:tcW w:w="3491" w:type="pct"/>
            <w:shd w:val="clear" w:color="auto" w:fill="auto"/>
            <w:vAlign w:val="center"/>
          </w:tcPr>
          <w:p w14:paraId="7EE664E7">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对现有到期提醒配置功能进行拓展，（基于地市证照库，到期规则配置、消息模板设计、皖事通服务、窗口检测模块）对皖事通发送消息提醒。</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1）到期提醒规则配置</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基于市级电子证照管理系统搭建证照到期提醒配置模块，配置到期提醒周期（提前30天、提前7天）、需到期提醒证照类型。按照证照类型、持证者姓名、持证者ID、颁发机构、有效期止查询证照是否过期、剩余天数。</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2）到期提醒授权</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对于用户首次使用证照提醒功能时，系统自动弹出授权确认页，得到获取用户信息的授权。</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3）证件到期提醒消息</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根据证照到期提醒规则，通过皖事通消息推送至对应持证人账户，提醒持证人及时换证。</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4）皖事通-到期证照提醒服务</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安徽码滁州场景建设证照到期提醒服务，主动检测并显示自己名下即将到期证件及引导需办理的事项，点击入口，可以跳转至已建设的微门户办事指南。</w:t>
            </w:r>
          </w:p>
        </w:tc>
      </w:tr>
      <w:tr w14:paraId="0B83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atLeast"/>
          <w:jc w:val="center"/>
        </w:trPr>
        <w:tc>
          <w:tcPr>
            <w:tcW w:w="380" w:type="pct"/>
            <w:shd w:val="clear" w:color="auto" w:fill="auto"/>
            <w:noWrap/>
            <w:vAlign w:val="center"/>
          </w:tcPr>
          <w:p w14:paraId="7C7001DA">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2.2</w:t>
            </w:r>
          </w:p>
        </w:tc>
        <w:tc>
          <w:tcPr>
            <w:tcW w:w="1128" w:type="pct"/>
            <w:shd w:val="clear" w:color="auto" w:fill="auto"/>
            <w:noWrap/>
            <w:vAlign w:val="center"/>
          </w:tcPr>
          <w:p w14:paraId="73A27C7A">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民生服务直达</w:t>
            </w:r>
          </w:p>
        </w:tc>
        <w:tc>
          <w:tcPr>
            <w:tcW w:w="3491" w:type="pct"/>
            <w:shd w:val="clear" w:color="auto" w:fill="auto"/>
            <w:vAlign w:val="top"/>
          </w:tcPr>
          <w:p w14:paraId="6CA4C794">
            <w:pPr>
              <w:pStyle w:val="1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为提升民生服务的精准性与便捷性，本项目新建民生直达服务系统。针对高龄津贴；失业保险金申领；重度残疾人护理补贴、离、退休公积金发放4类服务提供服务提醒功能，根据数据分析结果，推送提醒服务至本人或直系亲属或社区工作人员。</w:t>
            </w:r>
          </w:p>
          <w:p w14:paraId="7E6FEF4F">
            <w:pPr>
              <w:pStyle w:val="6"/>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left"/>
              <w:textAlignment w:val="auto"/>
              <w:rPr>
                <w:rFonts w:hint="default" w:asciiTheme="majorEastAsia" w:hAnsiTheme="majorEastAsia" w:eastAsiaTheme="majorEastAsia" w:cstheme="majorEastAsia"/>
                <w:b w:val="0"/>
                <w:bCs w:val="0"/>
                <w:i w:val="0"/>
                <w:iCs w:val="0"/>
                <w:color w:val="auto"/>
                <w:kern w:val="0"/>
                <w:sz w:val="24"/>
                <w:szCs w:val="24"/>
                <w:u w:val="none"/>
                <w:lang w:val="en-US" w:eastAsia="zh-CN" w:bidi="ar"/>
              </w:rPr>
            </w:pPr>
            <w:r>
              <w:rPr>
                <w:rFonts w:hint="eastAsia" w:asciiTheme="majorEastAsia" w:hAnsiTheme="majorEastAsia" w:eastAsiaTheme="majorEastAsia" w:cstheme="majorEastAsia"/>
                <w:b w:val="0"/>
                <w:bCs w:val="0"/>
                <w:i w:val="0"/>
                <w:iCs w:val="0"/>
                <w:color w:val="auto"/>
                <w:kern w:val="0"/>
                <w:sz w:val="24"/>
                <w:szCs w:val="24"/>
                <w:u w:val="none"/>
                <w:lang w:val="en-US" w:eastAsia="zh-CN" w:bidi="ar"/>
              </w:rPr>
              <w:t>1.服务内容包括高龄津贴服务、重度残疾人护理补贴服务、失业保险金申领服务、离、退休公积金发放服务。</w:t>
            </w:r>
          </w:p>
          <w:p w14:paraId="252444DB">
            <w:pPr>
              <w:pStyle w:val="6"/>
              <w:keepNext/>
              <w:keepLines/>
              <w:pageBreakBefore w:val="0"/>
              <w:widowControl w:val="0"/>
              <w:kinsoku/>
              <w:wordWrap/>
              <w:overflowPunct/>
              <w:topLinePunct w:val="0"/>
              <w:autoSpaceDE/>
              <w:autoSpaceDN/>
              <w:bidi w:val="0"/>
              <w:adjustRightInd/>
              <w:snapToGrid/>
              <w:spacing w:before="0" w:after="0" w:line="520" w:lineRule="exact"/>
              <w:jc w:val="left"/>
              <w:textAlignment w:val="auto"/>
              <w:rPr>
                <w:rFonts w:hint="default" w:asciiTheme="majorEastAsia" w:hAnsiTheme="majorEastAsia" w:eastAsiaTheme="majorEastAsia" w:cstheme="majorEastAsia"/>
                <w:b w:val="0"/>
                <w:bCs w:val="0"/>
                <w:i w:val="0"/>
                <w:iCs w:val="0"/>
                <w:color w:val="auto"/>
                <w:kern w:val="0"/>
                <w:sz w:val="24"/>
                <w:szCs w:val="24"/>
                <w:u w:val="none"/>
                <w:lang w:val="en-US" w:eastAsia="zh-CN" w:bidi="ar"/>
              </w:rPr>
            </w:pPr>
            <w:r>
              <w:rPr>
                <w:rFonts w:hint="eastAsia" w:asciiTheme="majorEastAsia" w:hAnsiTheme="majorEastAsia" w:eastAsiaTheme="majorEastAsia" w:cstheme="majorEastAsia"/>
                <w:b w:val="0"/>
                <w:bCs w:val="0"/>
                <w:i w:val="0"/>
                <w:iCs w:val="0"/>
                <w:color w:val="auto"/>
                <w:kern w:val="0"/>
                <w:sz w:val="24"/>
                <w:szCs w:val="24"/>
                <w:u w:val="none"/>
                <w:lang w:val="en-US" w:eastAsia="zh-CN" w:bidi="ar"/>
              </w:rPr>
              <w:t>2.民生直达中枢包括用户画像、服务场景、模型设计、提醒服务、调度中心、服务推送、数据追溯、系统管理。</w:t>
            </w:r>
          </w:p>
          <w:p w14:paraId="38CF6EA1">
            <w:pPr>
              <w:pStyle w:val="6"/>
              <w:keepNext/>
              <w:keepLines/>
              <w:pageBreakBefore w:val="0"/>
              <w:widowControl w:val="0"/>
              <w:kinsoku/>
              <w:wordWrap/>
              <w:overflowPunct/>
              <w:topLinePunct w:val="0"/>
              <w:autoSpaceDE/>
              <w:autoSpaceDN/>
              <w:bidi w:val="0"/>
              <w:adjustRightInd/>
              <w:snapToGrid/>
              <w:spacing w:before="0" w:after="0" w:line="520" w:lineRule="exact"/>
              <w:jc w:val="left"/>
              <w:textAlignment w:val="auto"/>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具体内容详见</w:t>
            </w:r>
            <w:r>
              <w:rPr>
                <w:rFonts w:hint="eastAsia" w:asciiTheme="minorEastAsia" w:hAnsiTheme="minorEastAsia" w:eastAsiaTheme="minorEastAsia" w:cstheme="minorEastAsia"/>
                <w:color w:val="auto"/>
                <w:sz w:val="24"/>
                <w:szCs w:val="24"/>
                <w:lang w:val="en-US" w:eastAsia="zh-CN"/>
              </w:rPr>
              <w:t>4.5.2.2</w:t>
            </w:r>
          </w:p>
        </w:tc>
      </w:tr>
      <w:tr w14:paraId="7152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380" w:type="pct"/>
            <w:shd w:val="clear" w:color="auto" w:fill="auto"/>
            <w:vAlign w:val="center"/>
          </w:tcPr>
          <w:p w14:paraId="4B7894D8">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3</w:t>
            </w:r>
          </w:p>
        </w:tc>
        <w:tc>
          <w:tcPr>
            <w:tcW w:w="4619" w:type="pct"/>
            <w:gridSpan w:val="2"/>
            <w:shd w:val="clear" w:color="auto" w:fill="auto"/>
            <w:vAlign w:val="center"/>
          </w:tcPr>
          <w:p w14:paraId="03C83BA2">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基础能力提升</w:t>
            </w:r>
          </w:p>
        </w:tc>
      </w:tr>
      <w:tr w14:paraId="19AE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shd w:val="clear" w:color="auto" w:fill="auto"/>
            <w:vAlign w:val="center"/>
          </w:tcPr>
          <w:p w14:paraId="6BCBBAE5">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3.1</w:t>
            </w:r>
          </w:p>
        </w:tc>
        <w:tc>
          <w:tcPr>
            <w:tcW w:w="1128" w:type="pct"/>
            <w:shd w:val="clear" w:color="auto" w:fill="auto"/>
            <w:vAlign w:val="center"/>
          </w:tcPr>
          <w:p w14:paraId="1CE99DB5">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智能化大厅业务系统升级改造</w:t>
            </w:r>
          </w:p>
        </w:tc>
        <w:tc>
          <w:tcPr>
            <w:tcW w:w="3491" w:type="pct"/>
            <w:shd w:val="clear" w:color="auto" w:fill="auto"/>
            <w:vAlign w:val="center"/>
          </w:tcPr>
          <w:p w14:paraId="4DD60F8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对大厅现有的排队叫号系统进行升级改造，实现社保卡取号、外国人永居证信息读取取号、安徽码取号、与安徽省预约平台对接、与政务服务大厅排队叫号相关信息数据对接功能。</w:t>
            </w:r>
          </w:p>
        </w:tc>
      </w:tr>
      <w:tr w14:paraId="13CF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restart"/>
            <w:shd w:val="clear" w:color="auto" w:fill="auto"/>
            <w:vAlign w:val="center"/>
          </w:tcPr>
          <w:p w14:paraId="0E504573">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3.2</w:t>
            </w:r>
          </w:p>
        </w:tc>
        <w:tc>
          <w:tcPr>
            <w:tcW w:w="1128" w:type="pct"/>
            <w:vMerge w:val="restart"/>
            <w:shd w:val="clear" w:color="auto" w:fill="FFFFFF"/>
            <w:vAlign w:val="center"/>
          </w:tcPr>
          <w:p w14:paraId="4F588A3C">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皖事通办预办系统</w:t>
            </w:r>
          </w:p>
        </w:tc>
        <w:tc>
          <w:tcPr>
            <w:tcW w:w="3491" w:type="pct"/>
            <w:shd w:val="clear" w:color="auto" w:fill="FFFFFF"/>
            <w:vAlign w:val="center"/>
          </w:tcPr>
          <w:p w14:paraId="4F273652">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预办助手。在皖事通·慧滁州APP开发预办助手应用，面向办事企业群众进行办事前准备工作。辅助群众在窗口办事前归集好事项办理材料、生成表单信息。</w:t>
            </w:r>
          </w:p>
        </w:tc>
      </w:tr>
      <w:tr w14:paraId="59B7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257B495F">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FFFFFF"/>
            <w:vAlign w:val="center"/>
          </w:tcPr>
          <w:p w14:paraId="1F11D78A">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p>
        </w:tc>
        <w:tc>
          <w:tcPr>
            <w:tcW w:w="3491" w:type="pct"/>
            <w:shd w:val="clear" w:color="auto" w:fill="FFFFFF"/>
            <w:vAlign w:val="center"/>
          </w:tcPr>
          <w:p w14:paraId="7D9B10C2">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业务预办。实现对用户上传材料的预审，并对接电子证照系统，通过电子证照带出服务，将授权的电子证照信息从服务中进行带出。用户选定办理事项后，支持对事项材料、表单材料进行统一归集，缩短群众窗口办理时间。</w:t>
            </w:r>
          </w:p>
        </w:tc>
      </w:tr>
      <w:tr w14:paraId="358C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52D42C47">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FFFFFF"/>
            <w:vAlign w:val="center"/>
          </w:tcPr>
          <w:p w14:paraId="537934A8">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p>
        </w:tc>
        <w:tc>
          <w:tcPr>
            <w:tcW w:w="3491" w:type="pct"/>
            <w:shd w:val="clear" w:color="auto" w:fill="FFFFFF"/>
            <w:vAlign w:val="center"/>
          </w:tcPr>
          <w:p w14:paraId="5220D7D5">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与全省通办系统对接。获取办事人预先准备的办事材料、表单信息，并回填至全省通办表单及办事材料内。</w:t>
            </w:r>
          </w:p>
        </w:tc>
      </w:tr>
      <w:tr w14:paraId="2B85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shd w:val="clear" w:color="auto" w:fill="auto"/>
            <w:vAlign w:val="center"/>
          </w:tcPr>
          <w:p w14:paraId="1B09D384">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3.3</w:t>
            </w:r>
          </w:p>
        </w:tc>
        <w:tc>
          <w:tcPr>
            <w:tcW w:w="1128" w:type="pct"/>
            <w:shd w:val="clear" w:color="auto" w:fill="FFFFFF"/>
            <w:vAlign w:val="center"/>
          </w:tcPr>
          <w:p w14:paraId="346804AF">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滁州产品供需平台</w:t>
            </w:r>
          </w:p>
        </w:tc>
        <w:tc>
          <w:tcPr>
            <w:tcW w:w="3491" w:type="pct"/>
            <w:shd w:val="clear" w:color="auto" w:fill="FFFFFF"/>
            <w:vAlign w:val="center"/>
          </w:tcPr>
          <w:p w14:paraId="32DF87FD">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按照“供、需、管（审）”，即企业申请发布产品、县级行业主管部门初审、市级行业主管部门终审三个维度进行平台开发，包含产品类别、供需类型、所属区域、供需信息（企业简介、产品介绍、需求意向、产品图片、联系方式）等展示内容。</w:t>
            </w:r>
          </w:p>
        </w:tc>
      </w:tr>
      <w:tr w14:paraId="1AEB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380" w:type="pct"/>
            <w:shd w:val="clear" w:color="auto" w:fill="auto"/>
            <w:vAlign w:val="center"/>
          </w:tcPr>
          <w:p w14:paraId="068781E5">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4</w:t>
            </w:r>
          </w:p>
        </w:tc>
        <w:tc>
          <w:tcPr>
            <w:tcW w:w="1128" w:type="pct"/>
            <w:shd w:val="clear" w:color="auto" w:fill="auto"/>
            <w:vAlign w:val="center"/>
          </w:tcPr>
          <w:p w14:paraId="67048A54">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b/>
                <w:bCs/>
                <w:i w:val="0"/>
                <w:iCs w:val="0"/>
                <w:color w:val="auto"/>
                <w:sz w:val="24"/>
                <w:szCs w:val="24"/>
                <w:u w:val="none"/>
              </w:rPr>
            </w:pPr>
            <w:r>
              <w:rPr>
                <w:rFonts w:hint="eastAsia" w:asciiTheme="majorEastAsia" w:hAnsiTheme="majorEastAsia" w:eastAsiaTheme="majorEastAsia" w:cstheme="majorEastAsia"/>
                <w:b/>
                <w:bCs/>
                <w:i w:val="0"/>
                <w:iCs w:val="0"/>
                <w:color w:val="auto"/>
                <w:kern w:val="0"/>
                <w:sz w:val="24"/>
                <w:szCs w:val="24"/>
                <w:u w:val="none"/>
                <w:lang w:val="en-US" w:eastAsia="zh-CN" w:bidi="ar"/>
              </w:rPr>
              <w:t>其他内容</w:t>
            </w:r>
          </w:p>
        </w:tc>
        <w:tc>
          <w:tcPr>
            <w:tcW w:w="3491" w:type="pct"/>
            <w:shd w:val="clear" w:color="auto" w:fill="auto"/>
            <w:vAlign w:val="center"/>
          </w:tcPr>
          <w:p w14:paraId="1570A112">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b/>
                <w:bCs/>
                <w:i w:val="0"/>
                <w:iCs w:val="0"/>
                <w:color w:val="auto"/>
                <w:sz w:val="24"/>
                <w:szCs w:val="24"/>
                <w:u w:val="none"/>
              </w:rPr>
            </w:pPr>
          </w:p>
        </w:tc>
      </w:tr>
      <w:tr w14:paraId="4F2A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shd w:val="clear" w:color="auto" w:fill="auto"/>
            <w:vAlign w:val="center"/>
          </w:tcPr>
          <w:p w14:paraId="5188392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4.1</w:t>
            </w:r>
          </w:p>
        </w:tc>
        <w:tc>
          <w:tcPr>
            <w:tcW w:w="1128" w:type="pct"/>
            <w:shd w:val="clear" w:color="auto" w:fill="auto"/>
            <w:vAlign w:val="center"/>
          </w:tcPr>
          <w:p w14:paraId="0DAFD7F0">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“高效办成一件事”实施服务</w:t>
            </w:r>
          </w:p>
        </w:tc>
        <w:tc>
          <w:tcPr>
            <w:tcW w:w="3491" w:type="pct"/>
            <w:shd w:val="clear" w:color="auto" w:fill="auto"/>
            <w:vAlign w:val="center"/>
          </w:tcPr>
          <w:p w14:paraId="3C408BF8">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 xml:space="preserve">根据国家、安徽省及滁州市政务服务相关工作要求，以企业群众“高效办成一件事”为目标，按照“一次告知、一表申请、一口受理、一网办理、统一发证”的标准，推动跨部门、跨层级、跨区域业务协同和业务流程革命性再造，整合重塑多个部门单事项的业务流程，依托“皖事通办”政务网PC端、“全省通办”窗口端、“皖事通”移动端各服务渠道，打造“高效办成一件事”一次办特色服务。服务内容包括2025年国务院、安徽省已印发的第一批30个和第二批17个“高效办成一件事”重点事项，以及项目建设周期内滁州市拟创新拓展的“高效办成一件事”重点事项。  </w:t>
            </w:r>
          </w:p>
        </w:tc>
      </w:tr>
      <w:tr w14:paraId="56D7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80" w:type="pct"/>
            <w:shd w:val="clear" w:color="auto" w:fill="auto"/>
            <w:vAlign w:val="center"/>
          </w:tcPr>
          <w:p w14:paraId="45C3229A">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4.2</w:t>
            </w:r>
          </w:p>
        </w:tc>
        <w:tc>
          <w:tcPr>
            <w:tcW w:w="1128" w:type="pct"/>
            <w:shd w:val="clear" w:color="auto" w:fill="auto"/>
            <w:vAlign w:val="center"/>
          </w:tcPr>
          <w:p w14:paraId="065EBDC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全省通办事项迁移</w:t>
            </w:r>
          </w:p>
        </w:tc>
        <w:tc>
          <w:tcPr>
            <w:tcW w:w="3491" w:type="pct"/>
            <w:shd w:val="clear" w:color="auto" w:fill="auto"/>
            <w:vAlign w:val="center"/>
          </w:tcPr>
          <w:p w14:paraId="756AFAB3">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将在滁州市政务服务运行系统中办理事项的关联组件、表单等有序迁移至业务中枢，实现组件共享和表单复用，促进市政务服务运行系统高效运转，包括：</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1、滁州市现有政务运行系统审批事项全量基于省业务中枢完成实施；</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2、基于中枢重新进行事项实施配置，包含表单绘制、服务接口开发等；</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3、本次包含滁州市政务服务事项的相关迁移工作（不少于500个）。</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随着政务服务数字化转型的深入推进，为打破信息孤岛，提升政务服务效率，滁州市决定将现有政务运行系统审批事项全量基于省业务中枢完成实施。通过将办理事项的关联组件、表单等有序迁移至业务中枢，实现组件共享和表单复用，推动市政务服务运行系统高效运转。本次项目聚焦市本级政务服务事项，计划完成不少于 500 个事项的相关迁移工作，旨在构建统一、规范、高效的政务服务体系，提升群众和企业办事体验。</w:t>
            </w:r>
          </w:p>
        </w:tc>
      </w:tr>
      <w:tr w14:paraId="7BC1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80" w:type="pct"/>
            <w:shd w:val="clear" w:color="auto" w:fill="auto"/>
            <w:vAlign w:val="center"/>
          </w:tcPr>
          <w:p w14:paraId="0CFA7350">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4.3</w:t>
            </w:r>
          </w:p>
        </w:tc>
        <w:tc>
          <w:tcPr>
            <w:tcW w:w="1128" w:type="pct"/>
            <w:shd w:val="clear" w:color="auto" w:fill="auto"/>
            <w:vAlign w:val="center"/>
          </w:tcPr>
          <w:p w14:paraId="14D35011">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电子云签服务</w:t>
            </w:r>
          </w:p>
        </w:tc>
        <w:tc>
          <w:tcPr>
            <w:tcW w:w="3491" w:type="pct"/>
            <w:shd w:val="clear" w:color="auto" w:fill="auto"/>
            <w:vAlign w:val="center"/>
          </w:tcPr>
          <w:p w14:paraId="01362A6C">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保障还清贷款一件事、企业开办、信用平台、信易贷、不动产登记、电子档案等业务场景的电子签名使用，支撑1年内的滁州市数据资源部门开展电子云签应用场景的对接、使用和服务。</w:t>
            </w:r>
          </w:p>
        </w:tc>
      </w:tr>
      <w:tr w14:paraId="3C27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restart"/>
            <w:shd w:val="clear" w:color="auto" w:fill="auto"/>
            <w:vAlign w:val="center"/>
          </w:tcPr>
          <w:p w14:paraId="25A3467B">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4.4</w:t>
            </w:r>
          </w:p>
        </w:tc>
        <w:tc>
          <w:tcPr>
            <w:tcW w:w="1128" w:type="pct"/>
            <w:vMerge w:val="restart"/>
            <w:shd w:val="clear" w:color="auto" w:fill="auto"/>
            <w:vAlign w:val="center"/>
          </w:tcPr>
          <w:p w14:paraId="0A967313">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支撑服务</w:t>
            </w:r>
          </w:p>
        </w:tc>
        <w:tc>
          <w:tcPr>
            <w:tcW w:w="3491" w:type="pct"/>
            <w:shd w:val="clear" w:color="auto" w:fill="auto"/>
            <w:vAlign w:val="center"/>
          </w:tcPr>
          <w:p w14:paraId="710807E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提供以下业务支撑服务：</w:t>
            </w:r>
          </w:p>
          <w:p w14:paraId="10C399D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1、政务服务中心大厅各业务窗口服务，含数据资源部门建设的系统调试、业务培训、技术支持等。</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2、市直部门“一站通”系统推广服务，含系统调试、业务培训、技术支持等。</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3、软件故障检测及处理。</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4、软件系统应用保障。</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5、日常技术支持服务。</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6、突发故障应急服务。</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7、日常业务培训服务。</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8、数据运营服务。</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9、按周、月出具相关数据分析和治理的报告。</w:t>
            </w:r>
          </w:p>
        </w:tc>
      </w:tr>
      <w:tr w14:paraId="3E13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01EC60F2">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28815669">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438A9683">
            <w:pPr>
              <w:keepNext w:val="0"/>
              <w:keepLines w:val="0"/>
              <w:pageBreakBefore w:val="0"/>
              <w:kinsoku/>
              <w:wordWrap/>
              <w:overflowPunct/>
              <w:topLinePunct w:val="0"/>
              <w:autoSpaceDE/>
              <w:autoSpaceDN/>
              <w:bidi w:val="0"/>
              <w:adjustRightInd/>
              <w:snapToGrid/>
              <w:spacing w:line="520" w:lineRule="exact"/>
              <w:ind w:firstLine="0" w:firstLineChars="0"/>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安全支撑服务。滁州市网上政务服务平台事项办理系统安全检查整改提升等服务，包含提供前端页面脱敏、HTTPS安全传输服务。（采购5年https证书）。</w:t>
            </w:r>
          </w:p>
        </w:tc>
      </w:tr>
      <w:tr w14:paraId="65E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restart"/>
            <w:shd w:val="clear" w:color="auto" w:fill="auto"/>
            <w:vAlign w:val="center"/>
          </w:tcPr>
          <w:p w14:paraId="4248834F">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4.5</w:t>
            </w:r>
          </w:p>
        </w:tc>
        <w:tc>
          <w:tcPr>
            <w:tcW w:w="1128" w:type="pct"/>
            <w:vMerge w:val="restart"/>
            <w:shd w:val="clear" w:color="auto" w:fill="auto"/>
            <w:vAlign w:val="center"/>
          </w:tcPr>
          <w:p w14:paraId="28DD451B">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一体化迁移</w:t>
            </w:r>
          </w:p>
        </w:tc>
        <w:tc>
          <w:tcPr>
            <w:tcW w:w="3491" w:type="pct"/>
            <w:shd w:val="clear" w:color="auto" w:fill="auto"/>
            <w:vAlign w:val="center"/>
          </w:tcPr>
          <w:p w14:paraId="43D89831">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还清贷款一件事系统（APP端+后台）”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6280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33A96B55">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5ECA3F06">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3FAB5247">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财政工资查询”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636F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6D0C1FC6">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21E355B0">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5EDA919A">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追思亭系统”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796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354D5A79">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287680CD">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050ABCAE">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反馈帮助系统（APP端+后台）”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7E82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166B0276">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6C78BC4D">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4D4C6371">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中考查分系统”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2BD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6845E409">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51D84EB8">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1052177F">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契税掌上办”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51B3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33A3CB47">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07180CFA">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0C6CA628">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智能大厅业务系统”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07B5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380" w:type="pct"/>
            <w:vMerge w:val="continue"/>
            <w:shd w:val="clear" w:color="auto" w:fill="auto"/>
            <w:vAlign w:val="center"/>
          </w:tcPr>
          <w:p w14:paraId="4F9E1491">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02E7DD4C">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0FC73FE1">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安徽省会计专业技术中级资格证书发放系统”系统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r w14:paraId="5CAE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80" w:type="pct"/>
            <w:vMerge w:val="continue"/>
            <w:shd w:val="clear" w:color="auto" w:fill="auto"/>
            <w:vAlign w:val="center"/>
          </w:tcPr>
          <w:p w14:paraId="2CFDF0AD">
            <w:pPr>
              <w:keepNext w:val="0"/>
              <w:keepLines w:val="0"/>
              <w:pageBreakBefore w:val="0"/>
              <w:kinsoku/>
              <w:wordWrap/>
              <w:overflowPunct/>
              <w:topLinePunct w:val="0"/>
              <w:autoSpaceDE/>
              <w:autoSpaceDN/>
              <w:bidi w:val="0"/>
              <w:adjustRightInd/>
              <w:snapToGrid/>
              <w:spacing w:line="520" w:lineRule="exact"/>
              <w:jc w:val="center"/>
              <w:rPr>
                <w:rFonts w:hint="eastAsia" w:asciiTheme="majorEastAsia" w:hAnsiTheme="majorEastAsia" w:eastAsiaTheme="majorEastAsia" w:cstheme="majorEastAsia"/>
                <w:i w:val="0"/>
                <w:iCs w:val="0"/>
                <w:color w:val="auto"/>
                <w:sz w:val="24"/>
                <w:szCs w:val="24"/>
                <w:u w:val="none"/>
              </w:rPr>
            </w:pPr>
          </w:p>
        </w:tc>
        <w:tc>
          <w:tcPr>
            <w:tcW w:w="1128" w:type="pct"/>
            <w:vMerge w:val="continue"/>
            <w:shd w:val="clear" w:color="auto" w:fill="auto"/>
            <w:vAlign w:val="center"/>
          </w:tcPr>
          <w:p w14:paraId="41666963">
            <w:pPr>
              <w:keepNext w:val="0"/>
              <w:keepLines w:val="0"/>
              <w:pageBreakBefore w:val="0"/>
              <w:kinsoku/>
              <w:wordWrap/>
              <w:overflowPunct/>
              <w:topLinePunct w:val="0"/>
              <w:autoSpaceDE/>
              <w:autoSpaceDN/>
              <w:bidi w:val="0"/>
              <w:adjustRightInd/>
              <w:snapToGrid/>
              <w:spacing w:line="520" w:lineRule="exact"/>
              <w:jc w:val="left"/>
              <w:rPr>
                <w:rFonts w:hint="eastAsia" w:asciiTheme="majorEastAsia" w:hAnsiTheme="majorEastAsia" w:eastAsiaTheme="majorEastAsia" w:cstheme="majorEastAsia"/>
                <w:i w:val="0"/>
                <w:iCs w:val="0"/>
                <w:color w:val="auto"/>
                <w:sz w:val="24"/>
                <w:szCs w:val="24"/>
                <w:u w:val="none"/>
              </w:rPr>
            </w:pPr>
          </w:p>
        </w:tc>
        <w:tc>
          <w:tcPr>
            <w:tcW w:w="3491" w:type="pct"/>
            <w:shd w:val="clear" w:color="auto" w:fill="auto"/>
            <w:vAlign w:val="center"/>
          </w:tcPr>
          <w:p w14:paraId="7F463C99">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center"/>
              <w:rPr>
                <w:rFonts w:hint="eastAsia" w:asciiTheme="majorEastAsia" w:hAnsiTheme="majorEastAsia" w:eastAsiaTheme="majorEastAsia" w:cstheme="majorEastAsia"/>
                <w:i w:val="0"/>
                <w:iCs w:val="0"/>
                <w:color w:val="auto"/>
                <w:sz w:val="24"/>
                <w:szCs w:val="24"/>
                <w:u w:val="none"/>
              </w:rPr>
            </w:pPr>
            <w:r>
              <w:rPr>
                <w:rFonts w:hint="eastAsia" w:asciiTheme="majorEastAsia" w:hAnsiTheme="majorEastAsia" w:eastAsiaTheme="majorEastAsia" w:cstheme="majorEastAsia"/>
                <w:i w:val="0"/>
                <w:iCs w:val="0"/>
                <w:color w:val="auto"/>
                <w:kern w:val="0"/>
                <w:sz w:val="24"/>
                <w:szCs w:val="24"/>
                <w:u w:val="none"/>
                <w:lang w:val="en-US" w:eastAsia="zh-CN" w:bidi="ar"/>
              </w:rPr>
              <w:t>针对“安徽省会计专业技术初级资格证书发放系统”系统按照《安徽省政务信息系统整合迁移至一体化数据基础平台工作方案》的要求，完成适配改造、迁移实施、测试认证、系统割接、试运行、上线发布等迁移流程。最后，通过用户访问入口切换的方式完成政务系统整合迁移至一体化平台。</w:t>
            </w:r>
          </w:p>
        </w:tc>
      </w:tr>
    </w:tbl>
    <w:p w14:paraId="7F64791A">
      <w:pPr>
        <w:keepNext w:val="0"/>
        <w:keepLines w:val="0"/>
        <w:pageBreakBefore w:val="0"/>
        <w:widowControl w:val="0"/>
        <w:numPr>
          <w:ilvl w:val="0"/>
          <w:numId w:val="0"/>
        </w:numPr>
        <w:tabs>
          <w:tab w:val="left" w:pos="323"/>
        </w:tabs>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 xml:space="preserve">4.技术要求 </w:t>
      </w:r>
    </w:p>
    <w:p w14:paraId="6E25D908">
      <w:pPr>
        <w:pStyle w:val="3"/>
        <w:keepNext/>
        <w:keepLines/>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4.1</w:t>
      </w:r>
      <w:r>
        <w:rPr>
          <w:rFonts w:hint="eastAsia" w:asciiTheme="minorEastAsia" w:hAnsiTheme="minorEastAsia" w:eastAsiaTheme="minorEastAsia" w:cstheme="minorEastAsia"/>
          <w:color w:val="auto"/>
          <w:sz w:val="24"/>
          <w:szCs w:val="24"/>
        </w:rPr>
        <w:t>建设背景</w:t>
      </w:r>
    </w:p>
    <w:p w14:paraId="0BCFAE4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多年来，国家层面持续高度重视全国一体化政务服务体系和数字政府建设工作，在多个文件中作出相应工作部署并提出明确工作要求。</w:t>
      </w:r>
    </w:p>
    <w:p w14:paraId="2B4BBBC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国务院办公厅2025年1月份印发了《“高效办成一件事”2025年度第一批重点事项清单》的通知，通知要求：各地区各部门要认真贯彻党中央、国务院关于优化政务服务、推动“高效办成一件事”的决策部署，在不断优化2024年度两批重点事项服务的基础上，统筹做好2025年度第一批重点事项清单实施工作，进一步促进政务服务标准化、规范化、便利化，持续提升企业和群众满意度、获得感。各地区要加强组织领导，围绕“高效办成一件事”合力攻坚，依托全国一体化政务服务平台强化有关业务系统集约整合和互联互通，不断完善线上线下服务，压茬推进重点事项落地见效。国务院有关部门要加强行业指导和数据共享支撑，推动涉及本行业本领域“一件事”标准统一、业务协同，及时解决各地区面临的难点堵点问题，在更多领域更大范围实现“高效办成一件事”。</w:t>
      </w:r>
    </w:p>
    <w:p w14:paraId="2972304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国务院办公厅2025年7月份印发了《关于健全“高效办成一件事”重点事项常态化推进机制的意见》，意见要求：提升线下办事服务能力。各地区要更好统筹线上与线下，因地制宜保留必要的线下服务渠道，推动重点事项进驻对应行使层级的政务服务大厅或适宜的公共服务场所，做好“一件事”服务导办。做好系统突发故障应急处置和人工兜底服务等工作。探索开展“人工智能+政务服务”。在确保安全的前提下稳妥有序推进人工智能大模型等新技术在政务服务领域应用，为企业和群众提供智能问答、智能引导、智能预填、智能帮办等服务，为工作人员提供智能辅助审批、智能分析等支撑。</w:t>
      </w:r>
    </w:p>
    <w:p w14:paraId="48F6EC75">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国务院关于进一步优化政务服务提升行政效能推动“高效办成一件事”的指导意见》（国发〔2024〕3号）文件指出坚持问题导向和目标导向相结合，从企业和群众视角出发，把“高效办成一件事”作为优化政务服务、提升行政效能的重要抓手，加强整体设计，推动模式创新，注重改革引领和数字赋能双轮驱动，统筹发展和安全，推动线上线下融合发展，实现办事方式多元化、办事流程最优化、办事材料最简化、办事成本最小化，最大限度利企便民。</w:t>
      </w:r>
    </w:p>
    <w:p w14:paraId="1A7DA78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结合我省政务发展现状，省级层面相继配套印发一系列政策指导文件。</w:t>
      </w:r>
    </w:p>
    <w:p w14:paraId="4FA09E5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徽省数据资源管理局印发的《2025年全省数据资源和政务服务管理工作要点》要求：深化“高效办成一件事”改革，统筹全省政务服务体系建设。以“高效办成一件事”改革推动“一网通办”服务更优质。围绕企业和个人两个全生命周期，累计完成科技成果转化家电、手机、汽车以旧换新，建设项目开工等60个“高效办成一件事”重点事项，推动高效办成“一件事”向“一类事”转变。提升“皖事通”“皖企通”服务能级。</w:t>
      </w:r>
    </w:p>
    <w:p w14:paraId="4AEFE63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滁州市数字滁州建设领导小组办公室印发的《2025年数字滁州建设工作要点》要求：推动“一网通办”服务更优质。围绕企业和个人全生命周期服务需求，全面实施科技成果转化、结婚落户、个人创业等60个“高效办成一件事”重点事项，推动高效办成“一件事”向“一类事”转变。按照“全省一单”目录清单，实现“高效办成一件事”关联事项、高频政务服务事项和重点领域事项三个全覆盖。深入推进长三角政务服务一体化，分类推进医保教育等领域公共服务便利共享，持续拓展“跨省通办”应用场景。</w:t>
      </w:r>
    </w:p>
    <w:p w14:paraId="71E9236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滁州市数据资源管理局印发的《2025年全市数据资源和政务服务管理工作要点》要求：1、推动“一网通办”服务更优质。围绕企业和个人全生命周期服务需求，全面实施结婚落户、科技成果转化、个人创业等60个“高效办成一件事”重点事项，推动高效办成“一件事”向“一类事”转变。2、推进全域服务升级，在构建政务服务新体系上当先锋争进位推动事项清单“场景化应用”。拓展“全省一单”，将事项材料、表单等关键要素进行标准化，推动政务服务事项标准化建设、同质化服务，实现“高效办成一件事”重点事项、高频事项和重点领域事项“全省一单”三个全覆盖。</w:t>
      </w:r>
    </w:p>
    <w:p w14:paraId="12829EC6">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4.2</w:t>
      </w:r>
      <w:r>
        <w:rPr>
          <w:rFonts w:hint="eastAsia" w:asciiTheme="minorEastAsia" w:hAnsiTheme="minorEastAsia" w:eastAsiaTheme="minorEastAsia" w:cstheme="minorEastAsia"/>
          <w:color w:val="auto"/>
          <w:sz w:val="24"/>
          <w:szCs w:val="24"/>
        </w:rPr>
        <w:t>建设目标</w:t>
      </w:r>
    </w:p>
    <w:p w14:paraId="45B4181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党中央、国务院和省政府、省政府相关工作部署，结合本地政务服务发展实际，充分利用滁州智慧政务前期建设成果，依托全省一体化数据基础平台的数据基础、技术工具和公共能力，聚焦便利企业和群众办事等政务运行类场景需求，进一步拓宽服务渠道，丰富服务内容。通过再造服务流程，创新服务模式，打造一批多跨协同的政务运行领域场景应用，进一步提升滁州市政府运行效能和政务服务质效，加快实现政务服务运行标准化、服务供给规范化、企业和群众办事便利化，持续优化我市政务服务营商环境。</w:t>
      </w:r>
    </w:p>
    <w:p w14:paraId="26DF7C60">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4.3</w:t>
      </w:r>
      <w:r>
        <w:rPr>
          <w:rFonts w:hint="eastAsia" w:asciiTheme="minorEastAsia" w:hAnsiTheme="minorEastAsia" w:eastAsiaTheme="minorEastAsia" w:cstheme="minorEastAsia"/>
          <w:color w:val="auto"/>
          <w:sz w:val="24"/>
          <w:szCs w:val="24"/>
        </w:rPr>
        <w:t>建设内容</w:t>
      </w:r>
    </w:p>
    <w:p w14:paraId="40B2034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本项目聚焦滁州市政务服务数字化升级，以定制软件开发为核心，通过多维度服务整合与技术优化，构建智能化政务服务体系，具体建设内容如下：</w:t>
      </w:r>
    </w:p>
    <w:p w14:paraId="733F41FB">
      <w:pPr>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服务内容优化</w:t>
      </w:r>
    </w:p>
    <w:p w14:paraId="4E35DC6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、个人专属服务空间</w:t>
      </w:r>
    </w:p>
    <w:p w14:paraId="01C021B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在个人中心增设“我的档案”模块，支持皖事通扫码认证，分类展示基本信息</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如</w:t>
      </w:r>
      <w:r>
        <w:rPr>
          <w:rFonts w:hint="eastAsia" w:asciiTheme="minorEastAsia" w:hAnsiTheme="minorEastAsia" w:eastAsiaTheme="minorEastAsia" w:cstheme="minorEastAsia"/>
          <w:color w:val="auto"/>
          <w:sz w:val="24"/>
          <w:szCs w:val="24"/>
        </w:rPr>
        <w:t>户籍、</w:t>
      </w:r>
      <w:r>
        <w:rPr>
          <w:rFonts w:hint="eastAsia" w:asciiTheme="minorEastAsia" w:hAnsiTheme="minorEastAsia" w:eastAsiaTheme="minorEastAsia" w:cstheme="minorEastAsia"/>
          <w:color w:val="auto"/>
          <w:sz w:val="24"/>
          <w:szCs w:val="24"/>
          <w:lang w:val="en-US" w:eastAsia="zh-CN"/>
        </w:rPr>
        <w:t>社保、公积金</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房产、</w:t>
      </w:r>
      <w:r>
        <w:rPr>
          <w:rFonts w:hint="eastAsia" w:asciiTheme="minorEastAsia" w:hAnsiTheme="minorEastAsia" w:eastAsiaTheme="minorEastAsia" w:cstheme="minorEastAsia"/>
          <w:color w:val="auto"/>
          <w:sz w:val="24"/>
          <w:szCs w:val="24"/>
        </w:rPr>
        <w:t>车辆、企业等信息，关键数据加粗标注。</w:t>
      </w:r>
    </w:p>
    <w:p w14:paraId="1EAEAC2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调整</w:t>
      </w:r>
      <w:r>
        <w:rPr>
          <w:rFonts w:hint="eastAsia" w:asciiTheme="minorEastAsia" w:hAnsiTheme="minorEastAsia" w:eastAsiaTheme="minorEastAsia" w:cstheme="minorEastAsia"/>
          <w:color w:val="auto"/>
          <w:sz w:val="24"/>
          <w:szCs w:val="24"/>
        </w:rPr>
        <w:t>预约功能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在办事指南页</w:t>
      </w:r>
      <w:r>
        <w:rPr>
          <w:rFonts w:hint="eastAsia" w:asciiTheme="minorEastAsia" w:hAnsiTheme="minorEastAsia" w:eastAsiaTheme="minorEastAsia" w:cstheme="minorEastAsia"/>
          <w:color w:val="auto"/>
          <w:sz w:val="24"/>
          <w:szCs w:val="24"/>
          <w:lang w:val="en-US" w:eastAsia="zh-CN"/>
        </w:rPr>
        <w:t>调整</w:t>
      </w:r>
      <w:r>
        <w:rPr>
          <w:rFonts w:hint="eastAsia" w:asciiTheme="minorEastAsia" w:hAnsiTheme="minorEastAsia" w:eastAsiaTheme="minorEastAsia" w:cstheme="minorEastAsia"/>
          <w:color w:val="auto"/>
          <w:sz w:val="24"/>
          <w:szCs w:val="24"/>
        </w:rPr>
        <w:t>“立即预约”按钮，使用皖事通扫码后进入到皖事通中调用办事预约应用进行预约。</w:t>
      </w:r>
      <w:r>
        <w:rPr>
          <w:rFonts w:hint="eastAsia" w:asciiTheme="minorEastAsia" w:hAnsiTheme="minorEastAsia" w:eastAsiaTheme="minorEastAsia" w:cstheme="minorEastAsia"/>
          <w:color w:val="auto"/>
          <w:sz w:val="24"/>
          <w:szCs w:val="24"/>
          <w:lang w:val="en-US" w:eastAsia="zh-CN"/>
        </w:rPr>
        <w:t>同时可以</w:t>
      </w:r>
      <w:r>
        <w:rPr>
          <w:rFonts w:hint="eastAsia" w:asciiTheme="minorEastAsia" w:hAnsiTheme="minorEastAsia" w:eastAsiaTheme="minorEastAsia" w:cstheme="minorEastAsia"/>
          <w:color w:val="auto"/>
          <w:sz w:val="24"/>
          <w:szCs w:val="24"/>
        </w:rPr>
        <w:t>展示待处理与已处理数据。</w:t>
      </w:r>
    </w:p>
    <w:p w14:paraId="474DF598">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、场景化主题服务</w:t>
      </w:r>
    </w:p>
    <w:p w14:paraId="2A7384D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新建</w:t>
      </w:r>
      <w:r>
        <w:rPr>
          <w:rFonts w:hint="eastAsia" w:asciiTheme="minorEastAsia" w:hAnsiTheme="minorEastAsia" w:eastAsiaTheme="minorEastAsia" w:cstheme="minorEastAsia"/>
          <w:color w:val="auto"/>
          <w:sz w:val="24"/>
          <w:szCs w:val="24"/>
        </w:rPr>
        <w:t>南京都市圈专题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梳理跨区域事项，支持与南京及都市圈城市平台互联互通。</w:t>
      </w:r>
    </w:p>
    <w:p w14:paraId="30B39181">
      <w:pPr>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二、皖事通能力提升</w:t>
      </w:r>
    </w:p>
    <w:p w14:paraId="05431E0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、个人证照过期提醒系统</w:t>
      </w:r>
    </w:p>
    <w:p w14:paraId="32F8503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自动关联用户个人档案中的各类证照信息（如身份证、驾驶证等五个个人证照），在证照有效期截止日期前60天、30天、7天，分阶段向用户发送过期提醒，提醒方式采用皖事通消息推送；将个人证照到期提醒服务应用入口集成至皖事通安徽码滁州市显著位置，方便用户快速访问。</w:t>
      </w:r>
    </w:p>
    <w:p w14:paraId="20F3D00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、民生服务直达</w:t>
      </w:r>
    </w:p>
    <w:p w14:paraId="35B3F98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动匹配：针对高龄津贴、失业保险金申领、离退休公积金发放、重度残疾人护理补贴4类服务，通过跨部门数据协同（公安、民政、卫健等）筛选符合条件用户，生成申领提醒给到本人、直系亲属、监护人或社区工作人员。</w:t>
      </w:r>
    </w:p>
    <w:p w14:paraId="2491E87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服务类型：高龄津贴自动筛选80周岁以上老人，重度残疾人护理补贴定位一、二级残疾人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离、退休人员，</w:t>
      </w:r>
      <w:r>
        <w:rPr>
          <w:rFonts w:hint="eastAsia" w:asciiTheme="minorEastAsia" w:hAnsiTheme="minorEastAsia" w:eastAsiaTheme="minorEastAsia" w:cstheme="minorEastAsia"/>
          <w:color w:val="auto"/>
          <w:sz w:val="24"/>
          <w:szCs w:val="24"/>
        </w:rPr>
        <w:t>失业人员。</w:t>
      </w:r>
    </w:p>
    <w:p w14:paraId="6541CF44">
      <w:pPr>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三、基础能力提升</w:t>
      </w:r>
    </w:p>
    <w:p w14:paraId="63D6FFF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、智能化大厅业务系统升级改造</w:t>
      </w:r>
    </w:p>
    <w:p w14:paraId="7B5A23E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实现</w:t>
      </w:r>
      <w:r>
        <w:rPr>
          <w:rFonts w:hint="eastAsia" w:asciiTheme="minorEastAsia" w:hAnsiTheme="minorEastAsia" w:eastAsiaTheme="minorEastAsia" w:cstheme="minorEastAsia"/>
          <w:color w:val="auto"/>
          <w:sz w:val="24"/>
          <w:szCs w:val="24"/>
        </w:rPr>
        <w:t>多方式取号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支持社保卡、外国人永居证、安徽码读取取号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平台对接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与安徽省预约平台同步预约信息，优先办理预约业务。</w:t>
      </w:r>
    </w:p>
    <w:p w14:paraId="6CD9DEDB">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、皖事通办预办系统</w:t>
      </w:r>
    </w:p>
    <w:p w14:paraId="155D4D0E">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rPr>
        <w:t>皖事通·慧滁州APP开发</w:t>
      </w:r>
      <w:r>
        <w:rPr>
          <w:rFonts w:hint="eastAsia" w:asciiTheme="minorEastAsia" w:hAnsiTheme="minorEastAsia" w:eastAsiaTheme="minorEastAsia" w:cstheme="minorEastAsia"/>
          <w:color w:val="auto"/>
          <w:sz w:val="24"/>
          <w:szCs w:val="24"/>
          <w:lang w:val="en-US" w:eastAsia="zh-CN"/>
        </w:rPr>
        <w:t>皖事通办</w:t>
      </w:r>
      <w:r>
        <w:rPr>
          <w:rFonts w:hint="eastAsia" w:asciiTheme="minorEastAsia" w:hAnsiTheme="minorEastAsia" w:eastAsiaTheme="minorEastAsia" w:cstheme="minorEastAsia"/>
          <w:color w:val="auto"/>
          <w:sz w:val="24"/>
          <w:szCs w:val="24"/>
        </w:rPr>
        <w:t>预办</w:t>
      </w:r>
      <w:r>
        <w:rPr>
          <w:rFonts w:hint="eastAsia" w:asciiTheme="minorEastAsia" w:hAnsiTheme="minorEastAsia" w:eastAsiaTheme="minorEastAsia" w:cstheme="minorEastAsia"/>
          <w:color w:val="auto"/>
          <w:sz w:val="24"/>
          <w:szCs w:val="24"/>
          <w:lang w:val="en-US" w:eastAsia="zh-CN"/>
        </w:rPr>
        <w:t>系统</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并与全省通办系统对接，辅助群众在窗口办事前归集好事项办理材料、生成表单信息，并打包共享至全省通办办事窗口，提高窗口办事效率</w:t>
      </w:r>
      <w:r>
        <w:rPr>
          <w:rFonts w:hint="eastAsia" w:asciiTheme="minorEastAsia" w:hAnsiTheme="minorEastAsia" w:eastAsiaTheme="minorEastAsia" w:cstheme="minorEastAsia"/>
          <w:color w:val="auto"/>
          <w:sz w:val="24"/>
          <w:szCs w:val="24"/>
        </w:rPr>
        <w:t>。</w:t>
      </w:r>
    </w:p>
    <w:p w14:paraId="345BBDC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、滁州产品供需平台</w:t>
      </w:r>
    </w:p>
    <w:p w14:paraId="3C427B7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按照“供、需、管（审）”，</w:t>
      </w:r>
      <w:r>
        <w:rPr>
          <w:rFonts w:hint="eastAsia" w:asciiTheme="minorEastAsia" w:hAnsiTheme="minorEastAsia" w:eastAsiaTheme="minorEastAsia" w:cstheme="minorEastAsia"/>
          <w:color w:val="auto"/>
          <w:sz w:val="24"/>
          <w:szCs w:val="24"/>
          <w:lang w:val="en-US" w:eastAsia="zh-CN"/>
        </w:rPr>
        <w:t>的要求，</w:t>
      </w:r>
      <w:r>
        <w:rPr>
          <w:rFonts w:hint="eastAsia" w:asciiTheme="minorEastAsia" w:hAnsiTheme="minorEastAsia" w:eastAsiaTheme="minorEastAsia" w:cstheme="minorEastAsia"/>
          <w:color w:val="auto"/>
          <w:sz w:val="24"/>
          <w:szCs w:val="24"/>
          <w:lang w:eastAsia="zh-CN"/>
        </w:rPr>
        <w:t>即企业申请发布产品、县级行业主管部门初审、市级行业主管部门终审三个维度</w:t>
      </w:r>
      <w:r>
        <w:rPr>
          <w:rFonts w:hint="eastAsia" w:asciiTheme="minorEastAsia" w:hAnsiTheme="minorEastAsia" w:eastAsiaTheme="minorEastAsia" w:cstheme="minorEastAsia"/>
          <w:color w:val="auto"/>
          <w:sz w:val="24"/>
          <w:szCs w:val="24"/>
          <w:lang w:val="en-US" w:eastAsia="zh-CN"/>
        </w:rPr>
        <w:t>搭建</w:t>
      </w:r>
      <w:r>
        <w:rPr>
          <w:rFonts w:hint="eastAsia" w:asciiTheme="minorEastAsia" w:hAnsiTheme="minorEastAsia" w:eastAsiaTheme="minorEastAsia" w:cstheme="minorEastAsia"/>
          <w:color w:val="auto"/>
          <w:sz w:val="24"/>
          <w:szCs w:val="24"/>
          <w:lang w:eastAsia="zh-CN"/>
        </w:rPr>
        <w:t>平台，</w:t>
      </w:r>
      <w:r>
        <w:rPr>
          <w:rFonts w:hint="eastAsia" w:asciiTheme="minorEastAsia" w:hAnsiTheme="minorEastAsia" w:eastAsiaTheme="minorEastAsia" w:cstheme="minorEastAsia"/>
          <w:color w:val="auto"/>
          <w:sz w:val="24"/>
          <w:szCs w:val="24"/>
          <w:lang w:val="en-US" w:eastAsia="zh-CN"/>
        </w:rPr>
        <w:t>同时对</w:t>
      </w:r>
      <w:r>
        <w:rPr>
          <w:rFonts w:hint="eastAsia" w:asciiTheme="minorEastAsia" w:hAnsiTheme="minorEastAsia" w:eastAsiaTheme="minorEastAsia" w:cstheme="minorEastAsia"/>
          <w:color w:val="auto"/>
          <w:sz w:val="24"/>
          <w:szCs w:val="24"/>
          <w:lang w:eastAsia="zh-CN"/>
        </w:rPr>
        <w:t>包含产品类别、供需类型、所属区域、供需信息等</w:t>
      </w:r>
      <w:r>
        <w:rPr>
          <w:rFonts w:hint="eastAsia" w:asciiTheme="minorEastAsia" w:hAnsiTheme="minorEastAsia" w:eastAsiaTheme="minorEastAsia" w:cstheme="minorEastAsia"/>
          <w:color w:val="auto"/>
          <w:sz w:val="24"/>
          <w:szCs w:val="24"/>
          <w:lang w:val="en-US" w:eastAsia="zh-CN"/>
        </w:rPr>
        <w:t>进行</w:t>
      </w:r>
      <w:r>
        <w:rPr>
          <w:rFonts w:hint="eastAsia" w:asciiTheme="minorEastAsia" w:hAnsiTheme="minorEastAsia" w:eastAsiaTheme="minorEastAsia" w:cstheme="minorEastAsia"/>
          <w:color w:val="auto"/>
          <w:sz w:val="24"/>
          <w:szCs w:val="24"/>
          <w:lang w:eastAsia="zh-CN"/>
        </w:rPr>
        <w:t>展示</w:t>
      </w:r>
      <w:r>
        <w:rPr>
          <w:rFonts w:hint="eastAsia" w:asciiTheme="minorEastAsia" w:hAnsiTheme="minorEastAsia" w:eastAsiaTheme="minorEastAsia" w:cstheme="minorEastAsia"/>
          <w:color w:val="auto"/>
          <w:sz w:val="24"/>
          <w:szCs w:val="24"/>
        </w:rPr>
        <w:t>。</w:t>
      </w:r>
    </w:p>
    <w:p w14:paraId="1FB9E3A5">
      <w:pPr>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四、其他建设内容</w:t>
      </w:r>
    </w:p>
    <w:p w14:paraId="6F0E788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、高效办成一件事</w:t>
      </w:r>
    </w:p>
    <w:p w14:paraId="55BAE57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总体目标落地：遵循“一次告知、一网办理”准则，整合</w:t>
      </w:r>
      <w:r>
        <w:rPr>
          <w:rFonts w:hint="eastAsia" w:asciiTheme="minorEastAsia" w:hAnsiTheme="minorEastAsia" w:eastAsiaTheme="minorEastAsia" w:cstheme="minorEastAsia"/>
          <w:color w:val="auto"/>
          <w:sz w:val="24"/>
          <w:szCs w:val="24"/>
          <w:lang w:val="en-US" w:eastAsia="zh-CN"/>
        </w:rPr>
        <w:t>2025年</w:t>
      </w:r>
      <w:r>
        <w:rPr>
          <w:rFonts w:hint="eastAsia" w:asciiTheme="minorEastAsia" w:hAnsiTheme="minorEastAsia" w:eastAsiaTheme="minorEastAsia" w:cstheme="minorEastAsia"/>
          <w:color w:val="auto"/>
          <w:sz w:val="24"/>
          <w:szCs w:val="24"/>
        </w:rPr>
        <w:t>国家及省级重点事项（</w:t>
      </w:r>
      <w:r>
        <w:rPr>
          <w:rFonts w:hint="eastAsia" w:asciiTheme="minorEastAsia" w:hAnsiTheme="minorEastAsia" w:eastAsiaTheme="minorEastAsia" w:cstheme="minorEastAsia"/>
          <w:color w:val="auto"/>
          <w:sz w:val="24"/>
          <w:szCs w:val="24"/>
          <w:lang w:val="en-US" w:eastAsia="zh-CN"/>
        </w:rPr>
        <w:t>包括</w:t>
      </w:r>
      <w:r>
        <w:rPr>
          <w:rFonts w:hint="eastAsia" w:asciiTheme="minorEastAsia" w:hAnsiTheme="minorEastAsia" w:eastAsiaTheme="minorEastAsia" w:cstheme="minorEastAsia"/>
          <w:color w:val="auto"/>
          <w:sz w:val="24"/>
          <w:szCs w:val="24"/>
        </w:rPr>
        <w:t>科技成果转化、新车上牌</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rPr>
        <w:t>），推动跨部门业务协同，实现“零跑腿”或“最多跑一次”。</w:t>
      </w:r>
    </w:p>
    <w:p w14:paraId="36458A1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实施内容推进</w:t>
      </w:r>
      <w:r>
        <w:rPr>
          <w:rFonts w:hint="eastAsia" w:asciiTheme="minorEastAsia" w:hAnsiTheme="minorEastAsia" w:eastAsiaTheme="minorEastAsia" w:cstheme="minorEastAsia"/>
          <w:color w:val="auto"/>
          <w:sz w:val="24"/>
          <w:szCs w:val="24"/>
          <w:lang w:val="en-US" w:eastAsia="zh-CN"/>
        </w:rPr>
        <w:t>包括以下：</w:t>
      </w:r>
    </w:p>
    <w:p w14:paraId="10E3254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推进重点事项落地：落实国务院、省政府发布的2025年第一批、第二批次“高效办成一件事”重点事项，包括</w:t>
      </w:r>
      <w:r>
        <w:rPr>
          <w:rFonts w:hint="eastAsia" w:asciiTheme="minorEastAsia" w:hAnsiTheme="minorEastAsia" w:eastAsiaTheme="minorEastAsia" w:cstheme="minorEastAsia"/>
          <w:color w:val="auto"/>
          <w:sz w:val="24"/>
          <w:szCs w:val="24"/>
          <w:lang w:val="en-US" w:eastAsia="zh-CN"/>
        </w:rPr>
        <w:t>新车上牌</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结婚落户、员工录用</w:t>
      </w:r>
      <w:r>
        <w:rPr>
          <w:rFonts w:hint="eastAsia" w:asciiTheme="minorEastAsia" w:hAnsiTheme="minorEastAsia" w:eastAsiaTheme="minorEastAsia" w:cstheme="minorEastAsia"/>
          <w:color w:val="auto"/>
          <w:sz w:val="24"/>
          <w:szCs w:val="24"/>
        </w:rPr>
        <w:t>及</w:t>
      </w:r>
      <w:r>
        <w:rPr>
          <w:rFonts w:hint="eastAsia" w:asciiTheme="minorEastAsia" w:hAnsiTheme="minorEastAsia" w:eastAsiaTheme="minorEastAsia" w:cstheme="minorEastAsia"/>
          <w:color w:val="auto"/>
          <w:sz w:val="24"/>
          <w:szCs w:val="24"/>
          <w:lang w:val="en-US" w:eastAsia="zh-CN"/>
        </w:rPr>
        <w:t>农机服务</w:t>
      </w:r>
      <w:r>
        <w:rPr>
          <w:rFonts w:hint="eastAsia" w:asciiTheme="minorEastAsia" w:hAnsiTheme="minorEastAsia" w:eastAsiaTheme="minorEastAsia" w:cstheme="minorEastAsia"/>
          <w:color w:val="auto"/>
          <w:sz w:val="24"/>
          <w:szCs w:val="24"/>
        </w:rPr>
        <w:t>等</w:t>
      </w:r>
      <w:r>
        <w:rPr>
          <w:rFonts w:hint="eastAsia" w:asciiTheme="minorEastAsia" w:hAnsiTheme="minorEastAsia" w:eastAsiaTheme="minorEastAsia" w:cstheme="minorEastAsia"/>
          <w:color w:val="auto"/>
          <w:sz w:val="24"/>
          <w:szCs w:val="24"/>
          <w:lang w:val="en-US" w:eastAsia="zh-CN"/>
        </w:rPr>
        <w:t>47</w:t>
      </w:r>
      <w:r>
        <w:rPr>
          <w:rFonts w:hint="eastAsia" w:asciiTheme="minorEastAsia" w:hAnsiTheme="minorEastAsia" w:eastAsiaTheme="minorEastAsia" w:cstheme="minorEastAsia"/>
          <w:color w:val="auto"/>
          <w:sz w:val="24"/>
          <w:szCs w:val="24"/>
        </w:rPr>
        <w:t>个“一件事”，积极做好滁州市承接的省级试点“一件事”落地见效；</w:t>
      </w:r>
    </w:p>
    <w:p w14:paraId="6E44D2D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地方特色拓展：结合滁州产业需求，梳理地方特色事项，推出定制化服务。</w:t>
      </w:r>
    </w:p>
    <w:p w14:paraId="43F9E3C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、全省通办事项迁移</w:t>
      </w:r>
    </w:p>
    <w:p w14:paraId="7326B9B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将滁州市不少于500个政务事项的组件、表单迁移至省业务中枢，完成表单绘制、接口开发及联调测试，实现组件共享与复用。</w:t>
      </w:r>
    </w:p>
    <w:p w14:paraId="5D22473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、电子云签服务拓展</w:t>
      </w:r>
    </w:p>
    <w:p w14:paraId="737034B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在还清贷款、企业开办、不动产登记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信用平台、信用贷、电子档案及</w:t>
      </w:r>
      <w:r>
        <w:rPr>
          <w:rFonts w:hint="eastAsia" w:asciiTheme="minorEastAsia" w:hAnsiTheme="minorEastAsia" w:eastAsiaTheme="minorEastAsia" w:cstheme="minorEastAsia"/>
          <w:color w:val="auto"/>
          <w:sz w:val="24"/>
          <w:szCs w:val="24"/>
        </w:rPr>
        <w:t>新</w:t>
      </w:r>
      <w:r>
        <w:rPr>
          <w:rFonts w:hint="eastAsia" w:asciiTheme="minorEastAsia" w:hAnsiTheme="minorEastAsia" w:eastAsiaTheme="minorEastAsia" w:cstheme="minorEastAsia"/>
          <w:color w:val="auto"/>
          <w:sz w:val="24"/>
          <w:szCs w:val="24"/>
          <w:lang w:val="en-US" w:eastAsia="zh-CN"/>
        </w:rPr>
        <w:t>拓展的</w:t>
      </w:r>
      <w:r>
        <w:rPr>
          <w:rFonts w:hint="eastAsia" w:asciiTheme="minorEastAsia" w:hAnsiTheme="minorEastAsia" w:eastAsiaTheme="minorEastAsia" w:cstheme="minorEastAsia"/>
          <w:color w:val="auto"/>
          <w:sz w:val="24"/>
          <w:szCs w:val="24"/>
        </w:rPr>
        <w:t>场景中应用电子签名，确保文件法律效力。</w:t>
      </w:r>
    </w:p>
    <w:p w14:paraId="4DF6790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、支撑服务</w:t>
      </w:r>
    </w:p>
    <w:p w14:paraId="5F7E256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业务支撑服务</w:t>
      </w:r>
    </w:p>
    <w:p w14:paraId="019F066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提供业务支撑服务，包括软件日常巡检和维护、软件故障检测及处理、</w:t>
      </w:r>
      <w:r>
        <w:rPr>
          <w:rFonts w:hint="eastAsia" w:asciiTheme="minorEastAsia" w:hAnsiTheme="minorEastAsia" w:eastAsiaTheme="minorEastAsia" w:cstheme="minorEastAsia"/>
          <w:color w:val="auto"/>
          <w:sz w:val="24"/>
          <w:szCs w:val="24"/>
        </w:rPr>
        <w:t>日常技术支持服务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突发故障应急服务</w:t>
      </w:r>
      <w:r>
        <w:rPr>
          <w:rFonts w:hint="eastAsia" w:asciiTheme="minorEastAsia" w:hAnsiTheme="minorEastAsia" w:eastAsiaTheme="minorEastAsia" w:cstheme="minorEastAsia"/>
          <w:color w:val="auto"/>
          <w:sz w:val="24"/>
          <w:szCs w:val="24"/>
          <w:lang w:val="en-US" w:eastAsia="zh-CN"/>
        </w:rPr>
        <w:t>等服务</w:t>
      </w:r>
      <w:r>
        <w:rPr>
          <w:rFonts w:hint="eastAsia" w:asciiTheme="minorEastAsia" w:hAnsiTheme="minorEastAsia" w:eastAsiaTheme="minorEastAsia" w:cstheme="minorEastAsia"/>
          <w:color w:val="auto"/>
          <w:sz w:val="24"/>
          <w:szCs w:val="24"/>
        </w:rPr>
        <w:t>。</w:t>
      </w:r>
    </w:p>
    <w:p w14:paraId="58F408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安全支撑服务</w:t>
      </w:r>
    </w:p>
    <w:p w14:paraId="1CFC169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数据传输：预估5年</w:t>
      </w:r>
      <w:r>
        <w:rPr>
          <w:rFonts w:hint="eastAsia" w:asciiTheme="minorEastAsia" w:hAnsiTheme="minorEastAsia" w:eastAsiaTheme="minorEastAsia" w:cstheme="minorEastAsia"/>
          <w:color w:val="auto"/>
          <w:sz w:val="24"/>
          <w:szCs w:val="24"/>
          <w:lang w:val="en-US" w:eastAsia="zh-CN"/>
        </w:rPr>
        <w:t>zhihuichuzhou二级域名</w:t>
      </w:r>
      <w:r>
        <w:rPr>
          <w:rFonts w:hint="eastAsia" w:asciiTheme="minorEastAsia" w:hAnsiTheme="minorEastAsia" w:eastAsiaTheme="minorEastAsia" w:cstheme="minorEastAsia"/>
          <w:color w:val="auto"/>
          <w:sz w:val="24"/>
          <w:szCs w:val="24"/>
        </w:rPr>
        <w:t>HTTPS协议需求并采购。</w:t>
      </w:r>
    </w:p>
    <w:p w14:paraId="2FA5FE7B">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前端脱敏：识别</w:t>
      </w:r>
      <w:r>
        <w:rPr>
          <w:rFonts w:hint="eastAsia" w:asciiTheme="minorEastAsia" w:hAnsiTheme="minorEastAsia" w:eastAsiaTheme="minorEastAsia" w:cstheme="minorEastAsia"/>
          <w:color w:val="auto"/>
          <w:sz w:val="24"/>
          <w:szCs w:val="24"/>
          <w:lang w:val="en-US" w:eastAsia="zh-CN"/>
        </w:rPr>
        <w:t>表单、</w:t>
      </w:r>
      <w:r>
        <w:rPr>
          <w:rFonts w:hint="eastAsia" w:asciiTheme="minorEastAsia" w:hAnsiTheme="minorEastAsia" w:eastAsiaTheme="minorEastAsia" w:cstheme="minorEastAsia"/>
          <w:color w:val="auto"/>
          <w:sz w:val="24"/>
          <w:szCs w:val="24"/>
        </w:rPr>
        <w:t>文本</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图片</w:t>
      </w:r>
      <w:r>
        <w:rPr>
          <w:rFonts w:hint="eastAsia" w:asciiTheme="minorEastAsia" w:hAnsiTheme="minorEastAsia" w:eastAsiaTheme="minorEastAsia" w:cstheme="minorEastAsia"/>
          <w:color w:val="auto"/>
          <w:sz w:val="24"/>
          <w:szCs w:val="24"/>
          <w:lang w:val="en-US" w:eastAsia="zh-CN"/>
        </w:rPr>
        <w:t>的敏感字段，对敏感信息展示的前端页面进行脱敏处理</w:t>
      </w:r>
      <w:r>
        <w:rPr>
          <w:rFonts w:hint="eastAsia" w:asciiTheme="minorEastAsia" w:hAnsiTheme="minorEastAsia" w:eastAsiaTheme="minorEastAsia" w:cstheme="minorEastAsia"/>
          <w:color w:val="auto"/>
          <w:sz w:val="24"/>
          <w:szCs w:val="24"/>
        </w:rPr>
        <w:t>。</w:t>
      </w:r>
    </w:p>
    <w:p w14:paraId="5E628EF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、“一体化”迁移</w:t>
      </w:r>
    </w:p>
    <w:p w14:paraId="63F84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针对1、还清贷款一件事系统（包含APP端+后台）；2、财政工资查询系统；3、追思亭系统；4、反馈帮助系统（包含APP端+后台）；5、中考查分系统；6、契税掌上办系统；7、智能化大厅业务系统；8、安徽省会计专业技术中级资格证书发放系统；9、安徽省会计专业技术初级资格证书发放系统，按照</w:t>
      </w:r>
      <w:r>
        <w:rPr>
          <w:rFonts w:hint="eastAsia" w:asciiTheme="minorEastAsia" w:hAnsiTheme="minorEastAsia" w:eastAsiaTheme="minorEastAsia" w:cstheme="minorEastAsia"/>
          <w:iCs/>
          <w:color w:val="auto"/>
          <w:sz w:val="24"/>
          <w:szCs w:val="24"/>
          <w:lang w:val="en-US" w:eastAsia="zh-CN"/>
        </w:rPr>
        <w:t>《安徽省政务信息系统整合迁移至一体化数据基础平台工作方案》的要求，完成迁移工作</w:t>
      </w:r>
      <w:r>
        <w:rPr>
          <w:rFonts w:hint="eastAsia" w:asciiTheme="minorEastAsia" w:hAnsiTheme="minorEastAsia" w:eastAsiaTheme="minorEastAsia" w:cstheme="minorEastAsia"/>
          <w:color w:val="auto"/>
          <w:sz w:val="24"/>
          <w:szCs w:val="24"/>
        </w:rPr>
        <w:t>。</w:t>
      </w:r>
    </w:p>
    <w:p w14:paraId="36B8F2D0">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4.4</w:t>
      </w:r>
      <w:r>
        <w:rPr>
          <w:rFonts w:hint="eastAsia" w:asciiTheme="minorEastAsia" w:hAnsiTheme="minorEastAsia" w:eastAsiaTheme="minorEastAsia" w:cstheme="minorEastAsia"/>
          <w:color w:val="auto"/>
          <w:sz w:val="24"/>
          <w:szCs w:val="24"/>
        </w:rPr>
        <w:t>系统性能及架构要求</w:t>
      </w:r>
    </w:p>
    <w:p w14:paraId="35871823">
      <w:pPr>
        <w:pStyle w:val="4"/>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4.4.1</w:t>
      </w:r>
      <w:r>
        <w:rPr>
          <w:rFonts w:hint="eastAsia" w:asciiTheme="minorEastAsia" w:hAnsiTheme="minorEastAsia" w:eastAsiaTheme="minorEastAsia" w:cstheme="minorEastAsia"/>
          <w:color w:val="auto"/>
          <w:sz w:val="24"/>
          <w:szCs w:val="24"/>
        </w:rPr>
        <w:t>总体性能要求</w:t>
      </w:r>
    </w:p>
    <w:p w14:paraId="25D6D438">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一、基本性能指标</w:t>
      </w:r>
    </w:p>
    <w:p w14:paraId="2CCAF89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●响应时间需求：常规页面平均打开速度2秒以内；登录操作平均速度2秒以内；修改类和提交类数据平均录入操作速度2秒以内。</w:t>
      </w:r>
    </w:p>
    <w:p w14:paraId="35DB779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●稳定性需求：系统在200个并发用户持续访问的压力下保持稳定运行7×24小时，事务成功率达99.9%。</w:t>
      </w:r>
    </w:p>
    <w:p w14:paraId="63C94F1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●扩展能力需求：系统架构支持横向扩展能力，可根据业务量的增长进行必要的节点扩展。</w:t>
      </w:r>
    </w:p>
    <w:p w14:paraId="54323A2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二、响应指标</w:t>
      </w:r>
    </w:p>
    <w:p w14:paraId="4D5C28E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●常规页面展示：在200个并发用户访问的情况下，页面平均加载时间小于等于2秒。</w:t>
      </w:r>
    </w:p>
    <w:p w14:paraId="78C1C265">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●提交类接口：在200个并发用户同时提交的情况下，请求的平均响应时间小于等于2秒。</w:t>
      </w:r>
    </w:p>
    <w:p w14:paraId="54028113">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●查询列表类接口：在200个并发用户同时查询的情况下，请求的平均响应时间小于等于3秒。</w:t>
      </w:r>
    </w:p>
    <w:p w14:paraId="7A47519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●统计分析类事务：请求的平均响应时间小于等于30秒。</w:t>
      </w:r>
    </w:p>
    <w:p w14:paraId="77CE310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三、稳定性指标</w:t>
      </w:r>
    </w:p>
    <w:p w14:paraId="2874799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●系统可用率≥99.9%。</w:t>
      </w:r>
    </w:p>
    <w:p w14:paraId="2EDE157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●系统故障平均间隔时间≥300天。</w:t>
      </w:r>
    </w:p>
    <w:p w14:paraId="393B9B8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●平均故障修复时间&lt;30分钟。</w:t>
      </w:r>
    </w:p>
    <w:p w14:paraId="0704C638">
      <w:pPr>
        <w:pStyle w:val="4"/>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4.4.2总体设计</w:t>
      </w:r>
      <w:r>
        <w:rPr>
          <w:rFonts w:hint="eastAsia" w:asciiTheme="minorEastAsia" w:hAnsiTheme="minorEastAsia" w:eastAsiaTheme="minorEastAsia" w:cstheme="minorEastAsia"/>
          <w:color w:val="auto"/>
          <w:sz w:val="24"/>
          <w:szCs w:val="24"/>
        </w:rPr>
        <w:t>要求</w:t>
      </w:r>
    </w:p>
    <w:p w14:paraId="6EE607D8">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4.4.2.1应用架构</w:t>
      </w:r>
      <w:r>
        <w:rPr>
          <w:rFonts w:hint="eastAsia" w:asciiTheme="minorEastAsia" w:hAnsiTheme="minorEastAsia" w:eastAsiaTheme="minorEastAsia" w:cstheme="minorEastAsia"/>
          <w:color w:val="auto"/>
          <w:sz w:val="24"/>
          <w:szCs w:val="24"/>
        </w:rPr>
        <w:t>要求</w:t>
      </w:r>
    </w:p>
    <w:p w14:paraId="72E2953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主要依托滁州市皖事通办前期建设成果，基于电子政务外网，整合政务服务数据，融通业务流和审批流，实现“群众办事更便捷、政府服务更高效”。结合云计算、移动互联网、大数据、人工智能等关键技术，将平台架构分为基础设施层、数据资源层、应用支撑层、业务应用层、用户服务层。</w:t>
      </w:r>
    </w:p>
    <w:p w14:paraId="7CD46DF9">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4.4.2.2技术</w:t>
      </w:r>
      <w:r>
        <w:rPr>
          <w:rFonts w:hint="eastAsia" w:asciiTheme="minorEastAsia" w:hAnsiTheme="minorEastAsia" w:eastAsiaTheme="minorEastAsia" w:cstheme="minorEastAsia"/>
          <w:color w:val="auto"/>
          <w:sz w:val="24"/>
          <w:szCs w:val="24"/>
        </w:rPr>
        <w:t>架构要求</w:t>
      </w:r>
    </w:p>
    <w:p w14:paraId="1F5767F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新建内容采用分层的技术架构，包括微服务、中间件、信创架构、Paas等。微服务技术中，采用主流的注册中心及配置中心Nacos、微服务网关、DNS、熔断限流框架，为微服务架构的应用提供全面的支撑。中间件方面，有常用的消息队列Kafka、RocketMQ，分布式协调组件ZooKeeper等，满足有使用需要的应用使用。信创架构使用平台的国产操作系统和国产芯片等，保障系统和网络安全。PaaS包含国产数据库、分布式数据库、开源数据库、消息中间件等，方便应用系统集成使用。</w:t>
      </w:r>
    </w:p>
    <w:p w14:paraId="6B2E28B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升级、迁移内容采用原有技术架构。</w:t>
      </w:r>
    </w:p>
    <w:p w14:paraId="26F0B56F">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4.4.2.3数据架构要求</w:t>
      </w:r>
    </w:p>
    <w:p w14:paraId="4CDD737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基于滁州市政务服务网现有基础进行升级改造及服务，不涉及存量数据治理。以数据工程及相关标准规范为指引，对新建系统的业务数据进行治理、入湖，形成政务服务数据池，对应用和数据分析应用形成支撑。</w:t>
      </w:r>
    </w:p>
    <w:p w14:paraId="7E5476EF">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w:t>
      </w:r>
      <w:r>
        <w:rPr>
          <w:rFonts w:hint="eastAsia" w:asciiTheme="minorEastAsia" w:hAnsiTheme="minorEastAsia" w:eastAsiaTheme="minorEastAsia" w:cstheme="minorEastAsia"/>
          <w:color w:val="auto"/>
          <w:sz w:val="24"/>
          <w:szCs w:val="24"/>
        </w:rPr>
        <w:t>系统功能要求</w:t>
      </w:r>
    </w:p>
    <w:p w14:paraId="0EC0C4D0">
      <w:pPr>
        <w:pStyle w:val="4"/>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4.5.1服务内容接入</w:t>
      </w:r>
    </w:p>
    <w:p w14:paraId="0557BCC5">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4.5.1.1</w:t>
      </w:r>
      <w:r>
        <w:rPr>
          <w:rFonts w:hint="eastAsia" w:asciiTheme="minorEastAsia" w:hAnsiTheme="minorEastAsia" w:eastAsiaTheme="minorEastAsia" w:cstheme="minorEastAsia"/>
          <w:color w:val="auto"/>
          <w:sz w:val="24"/>
          <w:szCs w:val="24"/>
        </w:rPr>
        <w:t xml:space="preserve">个人专属服务空间 </w:t>
      </w:r>
    </w:p>
    <w:p w14:paraId="4D983D1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为进一步提升安徽政务服务网滁州分厅用户体验，优化政务服务效能，现对个人专属空间功能进行升级完善，具体内容如下：</w:t>
      </w:r>
    </w:p>
    <w:p w14:paraId="1725C232">
      <w:pPr>
        <w:pStyle w:val="6"/>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4.5.1.1.1</w:t>
      </w:r>
      <w:r>
        <w:rPr>
          <w:rFonts w:hint="eastAsia" w:asciiTheme="minorEastAsia" w:hAnsiTheme="minorEastAsia" w:eastAsiaTheme="minorEastAsia" w:cstheme="minorEastAsia"/>
          <w:color w:val="auto"/>
          <w:sz w:val="24"/>
          <w:szCs w:val="24"/>
        </w:rPr>
        <w:t>个人中心新增我的档案模块（升级）</w:t>
      </w:r>
    </w:p>
    <w:p w14:paraId="31CE204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个人中心界面显著位置增设“我的档案”模块，采用简洁直观的UI设计，方便用户快速定位。用户进入该模块后，页面会提示使用皖事通·慧滁州APP进行扫码认证。扫码成功且身份核验通过后，系统将自动调取并展示全面的个人档案信息。</w:t>
      </w:r>
    </w:p>
    <w:p w14:paraId="7E422737">
      <w:pPr>
        <w:pStyle w:val="6"/>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4.5.1.1.2</w:t>
      </w:r>
      <w:r>
        <w:rPr>
          <w:rFonts w:hint="eastAsia" w:asciiTheme="minorEastAsia" w:hAnsiTheme="minorEastAsia" w:eastAsiaTheme="minorEastAsia" w:cstheme="minorEastAsia"/>
          <w:color w:val="auto"/>
          <w:sz w:val="24"/>
          <w:szCs w:val="24"/>
        </w:rPr>
        <w:t>政务网办事指南页面对接省统一预约平台（升级）</w:t>
      </w:r>
    </w:p>
    <w:p w14:paraId="7059C70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对安徽政务服务网滁州分厅所有政务事项的办事指南页面进行改造升级，实现与省统一预约平台的深度对接，为用户提供便捷的办事预约服务。</w:t>
      </w:r>
    </w:p>
    <w:p w14:paraId="167D508D">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4.5.1.2</w:t>
      </w:r>
      <w:r>
        <w:rPr>
          <w:rFonts w:hint="eastAsia" w:asciiTheme="minorEastAsia" w:hAnsiTheme="minorEastAsia" w:eastAsiaTheme="minorEastAsia" w:cstheme="minorEastAsia"/>
          <w:color w:val="auto"/>
          <w:sz w:val="24"/>
          <w:szCs w:val="24"/>
        </w:rPr>
        <w:t>场景化主题式服务（升级）</w:t>
      </w:r>
    </w:p>
    <w:p w14:paraId="115A3B3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滁州市积极推进政务服务数字化转型，构建覆盖企业全经营周期及个人全生命周期的政务服务体系。此次工作将紧密围绕企业开办、经营发展、注销退出，以及个人出生、教育、就业、医疗、养老等重点领域及应用场景，</w:t>
      </w:r>
      <w:r>
        <w:rPr>
          <w:rFonts w:hint="eastAsia" w:asciiTheme="minorEastAsia" w:hAnsiTheme="minorEastAsia" w:eastAsiaTheme="minorEastAsia" w:cstheme="minorEastAsia"/>
          <w:color w:val="auto"/>
          <w:sz w:val="24"/>
          <w:szCs w:val="24"/>
          <w:lang w:val="en-US" w:eastAsia="zh-CN"/>
        </w:rPr>
        <w:t>本期计划完成</w:t>
      </w:r>
      <w:r>
        <w:rPr>
          <w:rFonts w:hint="eastAsia" w:asciiTheme="minorEastAsia" w:hAnsiTheme="minorEastAsia" w:eastAsiaTheme="minorEastAsia" w:cstheme="minorEastAsia"/>
          <w:color w:val="auto"/>
          <w:sz w:val="24"/>
          <w:szCs w:val="24"/>
        </w:rPr>
        <w:t>不少于10个高频事项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依托“皖事通办”政务网PC端核心服务渠道，升级“皖事通办滁州分厅”（在导航栏扩展“南京都市圈专题”功能模块），全面整合政务服务资源，创新服务模式。</w:t>
      </w:r>
    </w:p>
    <w:p w14:paraId="60CBC596">
      <w:pPr>
        <w:pStyle w:val="4"/>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4.5.2</w:t>
      </w:r>
      <w:r>
        <w:rPr>
          <w:rFonts w:hint="eastAsia" w:asciiTheme="minorEastAsia" w:hAnsiTheme="minorEastAsia" w:eastAsiaTheme="minorEastAsia" w:cstheme="minorEastAsia"/>
          <w:color w:val="auto"/>
          <w:sz w:val="24"/>
          <w:szCs w:val="24"/>
        </w:rPr>
        <w:t>皖事通能力提升</w:t>
      </w:r>
    </w:p>
    <w:p w14:paraId="5865F73A">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4.5.2.1</w:t>
      </w:r>
      <w:r>
        <w:rPr>
          <w:rFonts w:hint="eastAsia" w:asciiTheme="minorEastAsia" w:hAnsiTheme="minorEastAsia" w:eastAsiaTheme="minorEastAsia" w:cstheme="minorEastAsia"/>
          <w:color w:val="auto"/>
          <w:sz w:val="24"/>
          <w:szCs w:val="24"/>
        </w:rPr>
        <w:t>个人证照过期提醒系统（新建）</w:t>
      </w:r>
    </w:p>
    <w:p w14:paraId="4F77E2D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该模块为新建内容，利用一体化进行开发，新建“个人证照过期提醒”系统。包括以下功能：个人证照到期提醒服务应用（</w:t>
      </w:r>
      <w:r>
        <w:rPr>
          <w:rFonts w:hint="eastAsia" w:asciiTheme="minorEastAsia" w:hAnsiTheme="minorEastAsia" w:eastAsiaTheme="minorEastAsia" w:cstheme="minorEastAsia"/>
          <w:color w:val="auto"/>
          <w:sz w:val="24"/>
          <w:szCs w:val="24"/>
          <w:lang w:val="en-US" w:eastAsia="zh-CN"/>
        </w:rPr>
        <w:t>发布皖事通·慧滁州APP</w:t>
      </w:r>
      <w:r>
        <w:rPr>
          <w:rFonts w:hint="eastAsia" w:asciiTheme="minorEastAsia" w:hAnsiTheme="minorEastAsia" w:eastAsiaTheme="minorEastAsia" w:cstheme="minorEastAsia"/>
          <w:color w:val="auto"/>
          <w:sz w:val="24"/>
          <w:szCs w:val="24"/>
        </w:rPr>
        <w:t>）、窗口检测子系统（发布皖政通PC端）、到期提醒规则配置子系统（发布皖政通PC端）。</w:t>
      </w:r>
    </w:p>
    <w:p w14:paraId="243ADC07">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项目依托市证照库，构建完善的证照到期提醒体系，涵盖到期规则配置、消息模板设计、皖事通服务优化以及窗口检测模块升级，实现皖事通消息精准发送提醒，打造高效便捷的证照到期检测平台，提升政务服务的智能化与人性化水平，方便群众及时办理证照业务，避免因证照过期带来不便。</w:t>
      </w:r>
    </w:p>
    <w:p w14:paraId="08BDB487">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4.5.2.2</w:t>
      </w:r>
      <w:r>
        <w:rPr>
          <w:rFonts w:hint="eastAsia" w:asciiTheme="minorEastAsia" w:hAnsiTheme="minorEastAsia" w:eastAsiaTheme="minorEastAsia" w:cstheme="minorEastAsia"/>
          <w:color w:val="auto"/>
          <w:sz w:val="24"/>
          <w:szCs w:val="24"/>
        </w:rPr>
        <w:t>民生服务直达（新建）</w:t>
      </w:r>
    </w:p>
    <w:p w14:paraId="37C3F30B">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为提升民生服务的精准性与便捷性，本项目新建民生直达服务系统。针对高龄津贴；失业保险金申领；重度残疾人护理补贴、离、退休公积金发放4类服务提供服务提醒功能，根据数据分析结果，推送提醒服务至本人或直系亲属或社区工作人员。具体如下</w:t>
      </w:r>
      <w:r>
        <w:rPr>
          <w:rFonts w:hint="eastAsia" w:asciiTheme="minorEastAsia" w:hAnsiTheme="minorEastAsia" w:eastAsiaTheme="minorEastAsia" w:cstheme="minorEastAsia"/>
          <w:color w:val="auto"/>
          <w:sz w:val="24"/>
          <w:szCs w:val="24"/>
          <w:lang w:eastAsia="zh-CN"/>
        </w:rPr>
        <w:t>：</w:t>
      </w:r>
    </w:p>
    <w:p w14:paraId="135BA94B">
      <w:pPr>
        <w:pStyle w:val="6"/>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4.5.2.2.1服务内容</w:t>
      </w:r>
    </w:p>
    <w:p w14:paraId="111EE3E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1.高龄津贴服务</w:t>
      </w:r>
    </w:p>
    <w:p w14:paraId="66E8AAC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通过数据分析模型，精准筛选出年满80周岁且健在、具有本市户籍的高龄老人群体。一旦识别成功，系统将在第一时间通过皖事通APP消息推送等多种渠道，向符合条件的老人及其家属发送高龄津贴申领提醒，</w:t>
      </w:r>
    </w:p>
    <w:p w14:paraId="3A7A24D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2.重度残疾人护理补贴服务</w:t>
      </w:r>
    </w:p>
    <w:p w14:paraId="1649DE3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依托已建设的大数据平台，获取获取残疾人等级评定数据、户籍及生存状态数据。通过数据筛选系统识别出符合条件的残疾人后，会立即生成补贴申领皖事通·慧滁州APP消息提醒给到本人或直系亲属。</w:t>
      </w:r>
    </w:p>
    <w:p w14:paraId="12F4F16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3.失业保险金申领服务</w:t>
      </w:r>
    </w:p>
    <w:p w14:paraId="06DEE09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依托已建设的大数据平台，获取社保缴纳数据、就业失业登记数据，利用数据分析技术，筛选出符合条件的失业人群，并推送申领提醒。</w:t>
      </w:r>
    </w:p>
    <w:p w14:paraId="3C6D18A3">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4.离、退休公积金发放服务</w:t>
      </w:r>
    </w:p>
    <w:p w14:paraId="2B28959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依托已建设的大数据平台，获取公积金数据、养老保险数据。利用数据分析技术，筛选出符合条件的离、退休人，系统针对这些离、退休人员，推送申领提醒。</w:t>
      </w:r>
    </w:p>
    <w:p w14:paraId="3D2C93CE">
      <w:pPr>
        <w:pStyle w:val="6"/>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4.5.2.2.2民生直达中枢</w:t>
      </w:r>
    </w:p>
    <w:p w14:paraId="04608775">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1.用户画像</w:t>
      </w:r>
    </w:p>
    <w:p w14:paraId="3C4DCE3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支持对个人的画像进行管理，包括画像分析、标签管理、数据管理。</w:t>
      </w:r>
    </w:p>
    <w:p w14:paraId="5641232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2.服务场景</w:t>
      </w:r>
    </w:p>
    <w:p w14:paraId="621A2EC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建立全市统一的服务场景目录，结合滁州本地情况编制服务清单，提供服务图谱关系维护和导入导出功能。</w:t>
      </w:r>
    </w:p>
    <w:p w14:paraId="0551099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3.模型设计</w:t>
      </w:r>
    </w:p>
    <w:p w14:paraId="21DE47A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根据服务梳理情况，提供服务实施过程中涉及的服务推荐等模型设计工具。</w:t>
      </w:r>
    </w:p>
    <w:p w14:paraId="40E8539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4.提醒服务</w:t>
      </w:r>
    </w:p>
    <w:p w14:paraId="0C26CFB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提醒内容包含政策名称、主要内容概述、申请条件及申请截止日期等关键信息。</w:t>
      </w:r>
    </w:p>
    <w:p w14:paraId="361EA90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5.调度中心</w:t>
      </w:r>
    </w:p>
    <w:p w14:paraId="135D0578">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调度中心提供各类任务的调度管理和运行监控。</w:t>
      </w:r>
    </w:p>
    <w:p w14:paraId="136A600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6.服务推送</w:t>
      </w:r>
    </w:p>
    <w:p w14:paraId="15B725AB">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支持设置主动服务的推送渠道、推送范围、推送时间。支持推送名单管理，同时支持批量导入符合条件的用户名单。支持查询历次服务推送信息。</w:t>
      </w:r>
    </w:p>
    <w:p w14:paraId="15275EE3">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7.数据追溯</w:t>
      </w:r>
    </w:p>
    <w:p w14:paraId="179B9873">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提供对服务推送数据的生成、推送、接收进行全程追溯。</w:t>
      </w:r>
    </w:p>
    <w:p w14:paraId="0FCD54DB">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8.系统管理</w:t>
      </w:r>
    </w:p>
    <w:p w14:paraId="2C64E38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系统管理提供对角色权限、系统日志、标准字典等管理。</w:t>
      </w:r>
    </w:p>
    <w:p w14:paraId="617AE249">
      <w:pPr>
        <w:pStyle w:val="4"/>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4.5.3基础能力提升</w:t>
      </w:r>
    </w:p>
    <w:p w14:paraId="0ACFDC3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依托原有环境，对现有的智能化大厅业务系统进行升级改造，新建皖事通办预办系统、产品供需平台。</w:t>
      </w:r>
    </w:p>
    <w:p w14:paraId="01201EB6">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4.5.3.1智能化大厅业务系统升级改造（升级）</w:t>
      </w:r>
    </w:p>
    <w:p w14:paraId="5A2778F7">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对大厅现有的智能化大厅业务系统进行升级改造，实现社保卡取号、外国人永居证信息读取取号、安徽码取号、与安徽省预约平台对接、政务服务大厅排队叫号系统对接。</w:t>
      </w:r>
    </w:p>
    <w:p w14:paraId="66C5E7B4">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4.5.3.2皖事通办预办系统（新建）</w:t>
      </w:r>
    </w:p>
    <w:p w14:paraId="52BC783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建设皖事通办预办系统，缩短用户填写材料时间。主要功能包括：</w:t>
      </w:r>
    </w:p>
    <w:p w14:paraId="6FCDF82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预办助手。在皖事通·慧滁州APP开发预办助手应用，面向办事企业群众进行办事前准备工作。辅助群众在窗口办事前归集好事项办理材料、生成表单信息。</w:t>
      </w:r>
    </w:p>
    <w:p w14:paraId="2911EF07">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业务预办。功能包括：材料预审、证照调用、预办共享。实现对用户上传材料的预审，并对接电子证照系统，通过电子证照带出服务，将授权的电子证照信息从服务中进行带出。用户选定办理事项后，支持对事项材料、表单材料进行统一归集，缩短群众窗口办理时间。</w:t>
      </w:r>
    </w:p>
    <w:p w14:paraId="5CF968D8">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与全省通办系统对接。获取办事人预先准备的办事材料、表单信息，并回填至全省通办表单及办事材料内。</w:t>
      </w:r>
    </w:p>
    <w:p w14:paraId="1201E1E8">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本项目完成不少于10个高频事项实施，对不少于10个高频事项进行业务梳理。</w:t>
      </w:r>
    </w:p>
    <w:p w14:paraId="0903CF43">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4.5.3.3滁州产品供需平台（新建）</w:t>
      </w:r>
    </w:p>
    <w:p w14:paraId="53F5999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按照“供、需、管（审）”，即企业申请发布产品、县级行业主管部门初审、市级行业主管部门终审三个维度进行平台开发，包含产品类别、供需类型、所属区域、供需信息（企业简介、产品介绍、需求意向、产品图片、联系方式）等展示内容。链接“亭好办”企业综合服务平台和“亭满意”企业诉求小程序。</w:t>
      </w:r>
    </w:p>
    <w:p w14:paraId="7E04FD38">
      <w:pPr>
        <w:pStyle w:val="4"/>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4.5.1其他方案</w:t>
      </w:r>
    </w:p>
    <w:p w14:paraId="0CAF12B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主要包括高效办成“一件事”、全省通办事项迁移等部署实施的内容。</w:t>
      </w:r>
    </w:p>
    <w:p w14:paraId="4A0BDCF9">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4.5.4.1高效办成“一件事”</w:t>
      </w:r>
    </w:p>
    <w:p w14:paraId="1281856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为深入贯彻落实国家、安徽省关于深化“放管服”改革、优化营商环境的决策部署，进一步提升滁州市政务服务效能，切实增强企业群众办事的便捷性与获得感，根据国家、安徽省及滁州市政务服务相关工作要求，以企业群众“高效办成一件事”为核心目标，滁州市全面推进政务服务流程再造与服务体系升级，全力打造优质高效的政务服务环境。</w:t>
      </w:r>
    </w:p>
    <w:p w14:paraId="72CEF11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服务内容包括：2025年国务院、安徽省已印发的第一批30个和印发的第二批17个“高效办成一件事”重点事项，以及项目建设周期内滁州市拟创新拓展的“高效办成一件事”重点事项。</w:t>
      </w:r>
    </w:p>
    <w:p w14:paraId="72F588A4">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4.5.4.2全省通办事项迁移</w:t>
      </w:r>
    </w:p>
    <w:p w14:paraId="7C56459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将在滁州市政务服务运行系统中办理事项的关联组件、表单等有序迁移至省业务中枢，实现组件共享和表单复用，促进市政务服务运行系统高效运转，包括：</w:t>
      </w:r>
    </w:p>
    <w:p w14:paraId="07B30E23">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1.滁州市现有政务运行系统审批事项基于省业务中枢完成实施；</w:t>
      </w:r>
    </w:p>
    <w:p w14:paraId="58F7387B">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2.基于中枢重新进行事项实施配置，包含表单绘制、服务接口开发等；</w:t>
      </w:r>
    </w:p>
    <w:p w14:paraId="55157C43">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3.本次包含滁州市政务服务事项的相关迁移工作（不少于500个）。</w:t>
      </w:r>
    </w:p>
    <w:p w14:paraId="48FB552F">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4.5.4.3电子云签服务</w:t>
      </w:r>
    </w:p>
    <w:p w14:paraId="0215795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保障还清贷款一件事、企业开办、信用平台、信易贷、不动产登记、电子档案等业务场景的电子签名延续使用，配合数据局对接各委办局电子应用新场景的对接及使用。包含1年服务。</w:t>
      </w:r>
    </w:p>
    <w:p w14:paraId="0A4D8364">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4.5.4.4支撑服务</w:t>
      </w:r>
    </w:p>
    <w:p w14:paraId="2B57A9D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一、业务支撑服务</w:t>
      </w:r>
    </w:p>
    <w:p w14:paraId="193EA73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本项目为政务服务整体平台（不含本次场景建设涉及系统）提供自合同签订至项目验收期间的业务支撑服务。</w:t>
      </w:r>
    </w:p>
    <w:p w14:paraId="2457298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二、安全支撑服务</w:t>
      </w:r>
    </w:p>
    <w:p w14:paraId="3C7C55A8">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滁州市网上政务服务平台事项办理系统安全检查整改提升等服务，包含提供数据传输安全、前端页面脱敏、5年</w:t>
      </w:r>
      <w:r>
        <w:rPr>
          <w:rFonts w:hint="eastAsia" w:asciiTheme="minorEastAsia" w:hAnsiTheme="minorEastAsia" w:eastAsiaTheme="minorEastAsia" w:cstheme="minorEastAsia"/>
          <w:color w:val="auto"/>
          <w:sz w:val="24"/>
          <w:szCs w:val="24"/>
        </w:rPr>
        <w:t>HTTPS安全</w:t>
      </w:r>
      <w:r>
        <w:rPr>
          <w:rFonts w:hint="eastAsia" w:asciiTheme="minorEastAsia" w:hAnsiTheme="minorEastAsia" w:eastAsiaTheme="minorEastAsia" w:cstheme="minorEastAsia"/>
          <w:color w:val="auto"/>
          <w:sz w:val="24"/>
          <w:szCs w:val="24"/>
          <w:lang w:val="en-US" w:eastAsia="zh-CN"/>
        </w:rPr>
        <w:t>传输</w:t>
      </w:r>
      <w:r>
        <w:rPr>
          <w:rFonts w:hint="eastAsia" w:asciiTheme="minorEastAsia" w:hAnsiTheme="minorEastAsia" w:eastAsiaTheme="minorEastAsia" w:cstheme="minorEastAsia"/>
          <w:color w:val="auto"/>
          <w:sz w:val="24"/>
          <w:szCs w:val="24"/>
        </w:rPr>
        <w:t>服务</w:t>
      </w:r>
      <w:r>
        <w:rPr>
          <w:rFonts w:hint="eastAsia" w:asciiTheme="minorEastAsia" w:hAnsiTheme="minorEastAsia" w:eastAsiaTheme="minorEastAsia" w:cstheme="minorEastAsia"/>
          <w:color w:val="auto"/>
          <w:sz w:val="24"/>
          <w:szCs w:val="24"/>
          <w:lang w:val="en-US" w:eastAsia="zh-CN"/>
        </w:rPr>
        <w:t>。</w:t>
      </w:r>
    </w:p>
    <w:p w14:paraId="062B6F84">
      <w:pPr>
        <w:pStyle w:val="5"/>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4.5.4.5“一体化”迁移（迁移）</w:t>
      </w:r>
    </w:p>
    <w:p w14:paraId="72DD845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为贯彻落实国家政务信息系统安全可靠和省委、省政府加快数字安徽建设及加强政务信息化项目统筹管理有关部署，深化项目建设新范式，推动全省政务信息系统整合迁移至一体化数据基础平台。针对1、还清贷款一件事系统（APP端+后台）；2、财政工资查询系统；3、追思亭系统；4、反馈帮助系统（APP端+后台）；5、中考查分系统；6、契税掌上办系统；7、智能化大厅业务系统；8、安徽省会计专业技术中级资格证书发放系统；9、安徽省会计专业技术初级资格证书发放系统，按照《安徽省政务信息系统整合迁移至一体化数据基础平台工作方案》的要求，完成适配改造、迁移实施、测试认证等迁移流程。最后，通过用户访问入口切换的方式完成政务系统整合迁移至一体化平台。</w:t>
      </w:r>
    </w:p>
    <w:p w14:paraId="4B653D9C">
      <w:pPr>
        <w:pStyle w:val="2"/>
        <w:keepNext/>
        <w:keepLines/>
        <w:pageBreakBefore w:val="0"/>
        <w:widowControl w:val="0"/>
        <w:kinsoku/>
        <w:wordWrap/>
        <w:overflowPunct/>
        <w:topLinePunct w:val="0"/>
        <w:autoSpaceDE/>
        <w:autoSpaceDN/>
        <w:bidi w:val="0"/>
        <w:adjustRightInd/>
        <w:snapToGrid/>
        <w:spacing w:before="95" w:beforeLines="30" w:after="95" w:afterLines="3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服务要求</w:t>
      </w:r>
    </w:p>
    <w:p w14:paraId="11D646B0">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项目工期要求</w:t>
      </w:r>
    </w:p>
    <w:p w14:paraId="2D75560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本项目要求自签订合同之日起8个月内完成项目的交付。</w:t>
      </w:r>
    </w:p>
    <w:p w14:paraId="489254DD">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5.2</w:t>
      </w:r>
      <w:r>
        <w:rPr>
          <w:rFonts w:hint="eastAsia" w:asciiTheme="minorEastAsia" w:hAnsiTheme="minorEastAsia" w:eastAsiaTheme="minorEastAsia" w:cstheme="minorEastAsia"/>
          <w:color w:val="auto"/>
          <w:sz w:val="24"/>
          <w:szCs w:val="24"/>
        </w:rPr>
        <w:t>项目人员要求</w:t>
      </w:r>
    </w:p>
    <w:p w14:paraId="7BE50D97">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要求自合同签订之日起，中标单位需要组建不少于7人的项目团队，确保4人现场驻场参与项目交付和实施工作。服务期内提供详细的项目实施团队人员安排，人员组成应包括：项目经理、需求分析人员、技术开发专家、信息安全专家、系统开发实施人员、系统测试人员等。在项目服务期内，项目组现场实施人员须协助业主方完成与相关单位的数据对接、事项梳理、沟通协调等建设工作。</w:t>
      </w:r>
    </w:p>
    <w:p w14:paraId="0A73597E">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5.3</w:t>
      </w:r>
      <w:r>
        <w:rPr>
          <w:rFonts w:hint="eastAsia" w:asciiTheme="minorEastAsia" w:hAnsiTheme="minorEastAsia" w:eastAsiaTheme="minorEastAsia" w:cstheme="minorEastAsia"/>
          <w:color w:val="auto"/>
          <w:sz w:val="24"/>
          <w:szCs w:val="24"/>
        </w:rPr>
        <w:t>项目培训要求</w:t>
      </w:r>
    </w:p>
    <w:p w14:paraId="65C70C9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中标单位负责对采购人相关部门及指定的用户进行培训。中标单位须根据项目实施的进度及时安排培训和授课。培训的主要内容应侧重于对系统的使用及系统的基本维护、 常见问题及解决办法等方面，并提供实践性的操作，使受训者熟悉系统设计的思路，掌握系统的操作和维护等。</w:t>
      </w:r>
    </w:p>
    <w:p w14:paraId="12365A2C">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5.4</w:t>
      </w:r>
      <w:r>
        <w:rPr>
          <w:rFonts w:hint="eastAsia" w:asciiTheme="minorEastAsia" w:hAnsiTheme="minorEastAsia" w:eastAsiaTheme="minorEastAsia" w:cstheme="minorEastAsia"/>
          <w:color w:val="auto"/>
          <w:sz w:val="24"/>
          <w:szCs w:val="24"/>
        </w:rPr>
        <w:t>项目维保要求</w:t>
      </w:r>
    </w:p>
    <w:p w14:paraId="6F9C7DC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中标单位须为本项目提供3年免费运维，运维期自项目终验之日起计算</w:t>
      </w:r>
      <w:r>
        <w:rPr>
          <w:rFonts w:hint="eastAsia" w:asciiTheme="minorEastAsia" w:hAnsiTheme="minorEastAsia" w:eastAsiaTheme="minorEastAsia" w:cstheme="minorEastAsia"/>
          <w:color w:val="auto"/>
          <w:sz w:val="24"/>
          <w:szCs w:val="24"/>
          <w:lang w:val="en-US" w:eastAsia="zh-CN"/>
        </w:rPr>
        <w:t>，由软件开发/中标单位提供，运维期内提供技术支持、维护等服务。超出免费运维期后，费用根据政策要求和业务需求合理测算。</w:t>
      </w:r>
    </w:p>
    <w:p w14:paraId="68C9699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运维期内主要服务内容如下：</w:t>
      </w:r>
    </w:p>
    <w:p w14:paraId="76241B4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（1）系统运行监测。</w:t>
      </w:r>
    </w:p>
    <w:p w14:paraId="6038577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对系统的运行情况进行监测，对各种服务的运行状态进行监测，及时发现并解决问题，确保系统正常运行。</w:t>
      </w:r>
    </w:p>
    <w:p w14:paraId="05F9905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（2）系统日常问题处理。</w:t>
      </w:r>
    </w:p>
    <w:p w14:paraId="2ECCB1B7">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对使用人员在使用系统过程中提出的问题进行收集整理，对于操作问题及时解答，系统功能问题及时做出相关处理，保证系统稳定运行。</w:t>
      </w:r>
    </w:p>
    <w:p w14:paraId="229FB95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（3）系统故障排除。</w:t>
      </w:r>
    </w:p>
    <w:p w14:paraId="124D0187">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在系统运行过程中，制定项目应急预案，提高应对系统在运行过程中出现的各种突发事件的应急处理能力，有效预防和最大程度地降低信息系统各类突发事件的危害和影响，保障信息系统安全、稳定运行。</w:t>
      </w:r>
    </w:p>
    <w:p w14:paraId="0E4FEDE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（4）定期巡检服务。</w:t>
      </w:r>
    </w:p>
    <w:p w14:paraId="61640B7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从技术角度对正在运行的服务范围内系统技术特征、故障隐患有一个全面的了解，以便根据业务发展需求和目前系统资源状况，制定合理、可行的系统扩容、改造、维护计划，提高系统运行的安全性。</w:t>
      </w:r>
    </w:p>
    <w:p w14:paraId="0A30D1D5">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（5）纠正性软件维护与预防性软件维护服务。</w:t>
      </w:r>
    </w:p>
    <w:p w14:paraId="774990C8">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运维期内提供纠正性软件维护与预防性软件维护服务，纠正系统运行过程中发现的问题和潜在故障。</w:t>
      </w:r>
    </w:p>
    <w:p w14:paraId="6298126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（6）异常数据处理服务。</w:t>
      </w:r>
    </w:p>
    <w:p w14:paraId="700C62B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对由于人员操作原因导致的异常数据进行处理；对由于系统异常导致的异常数据进行修正，保障系统业务数据质量。</w:t>
      </w:r>
    </w:p>
    <w:p w14:paraId="161D689A">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（7）数据库服务。</w:t>
      </w:r>
    </w:p>
    <w:p w14:paraId="72DEA8A1">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括对系统数据库的主要数据项进行检查和性能调优；对系统数据库的日志文件及垃圾数据进行安全清理，减少由于系统数据库的大小对查询速度造成的影响；对数据库完整性进行检查；定期对系统数据库进行备份，保障系统数据安全，防止数据因系统故障而丢失，并提供数据的恢复服务。</w:t>
      </w:r>
    </w:p>
    <w:p w14:paraId="3B69F559">
      <w:pPr>
        <w:pStyle w:val="3"/>
        <w:pageBreakBefore w:val="0"/>
        <w:widowControl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5.5</w:t>
      </w:r>
      <w:r>
        <w:rPr>
          <w:rFonts w:hint="eastAsia" w:asciiTheme="minorEastAsia" w:hAnsiTheme="minorEastAsia" w:eastAsiaTheme="minorEastAsia" w:cstheme="minorEastAsia"/>
          <w:color w:val="auto"/>
          <w:sz w:val="24"/>
          <w:szCs w:val="24"/>
        </w:rPr>
        <w:t>项目验收要求</w:t>
      </w:r>
    </w:p>
    <w:p w14:paraId="098DC1AB">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项目验收前，中标单位需配合测评单位完成本项目的软件测评工作。</w:t>
      </w:r>
    </w:p>
    <w:p w14:paraId="14CB8C2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标单位完成工作内容后向采购人提出验收申请，经采购人组织评审通过视为验收合格。采购人负责组织实施工程各阶段的验收工作，中标单位须协助采购人组织各承建商配合采购人完成各阶段验收工作的准备，包括但不限于：整理完成各类文档（电子、纸质）、准备验收环境、各类支撑工具。</w:t>
      </w:r>
    </w:p>
    <w:p w14:paraId="0136AADC">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中标单位对于工程各阶段的验收中发现的问题，组织各承建商提</w:t>
      </w:r>
      <w:r>
        <w:rPr>
          <w:rFonts w:hint="eastAsia" w:asciiTheme="minorEastAsia" w:hAnsiTheme="minorEastAsia" w:eastAsiaTheme="minorEastAsia" w:cstheme="minorEastAsia"/>
          <w:color w:val="auto"/>
          <w:sz w:val="24"/>
          <w:szCs w:val="24"/>
          <w:lang w:val="en-US" w:eastAsia="zh-CN"/>
        </w:rPr>
        <w:t>出有效解决办法和措施。中标单位对于工程各阶段验收中有关本期项目的内容提供电子和纸质两种介质的产出物，并保持版本一致，纸质的须经采购人和监理签字认可。</w:t>
      </w:r>
    </w:p>
    <w:p w14:paraId="358D6CD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中标单位提供的各类文档应内容完整、描述清晰、版本最新，各类方案要求实现目 标明确、工作措施得力、可操作性强、具有前瞻性。</w:t>
      </w:r>
    </w:p>
    <w:p w14:paraId="445BCC34">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default" w:ascii="宋体" w:hAnsi="宋体" w:eastAsia="宋体" w:cs="宋体"/>
          <w:b/>
          <w:color w:val="auto"/>
          <w:sz w:val="28"/>
          <w:szCs w:val="20"/>
          <w:highlight w:val="none"/>
          <w:lang w:val="en-US" w:eastAsia="zh-CN"/>
        </w:rPr>
      </w:pPr>
      <w:r>
        <w:rPr>
          <w:rFonts w:hint="eastAsia" w:ascii="宋体" w:hAnsi="宋体" w:eastAsia="宋体" w:cs="宋体"/>
          <w:b/>
          <w:color w:val="auto"/>
          <w:sz w:val="28"/>
          <w:szCs w:val="20"/>
          <w:highlight w:val="none"/>
          <w:lang w:val="en-US" w:eastAsia="zh-CN"/>
        </w:rPr>
        <w:t>6.其他要求</w:t>
      </w:r>
    </w:p>
    <w:p w14:paraId="2C58CF9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6.1项目采用安全可靠的软硬件产品。</w:t>
      </w:r>
    </w:p>
    <w:p w14:paraId="6B918D54">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6.2项目建设完成后所形成的项目成果(如设计文件、源 代码、测试文档、数据资源、数据接口、定制软件等)及相 关知识产权归项目建设单位(代政府管理)。软件开发商须 按照项目建设单位要求在项目竣工和运维期结束时分别移交 项目在开发和使用期间产生的成果资料。</w:t>
      </w:r>
    </w:p>
    <w:p w14:paraId="3DD7E966">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6.3软件开发商确保所提供的产品具有合法的知识产权， 如提供的产品因侵犯第三方的知识产权而引起的法律责任由 软件开发商承担，造成项目建设单位损失的，损失全部由软 件开发商承担。</w:t>
      </w:r>
    </w:p>
    <w:p w14:paraId="32BA9C52">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6.4政务信息系统应当充分依托电子政务网络资源、政务 云服务资源及其他可共享利用的基础设施资源，依托全省一 体化数据基础平台进行资源申请、组件复用、代码上传、数 据入湖、三端发布等全流程开发部署。软件开发商配合项目 建设单位完成数据架构梳理、目录编制、资源挂载、数据入 湖等数据工作。</w:t>
      </w:r>
    </w:p>
    <w:p w14:paraId="28DEF53F">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6.5项目建设单位对软件开发商提供的服务功能、性能、 安全情况进行测试或评估，软件开发商须无条件配合完成。</w:t>
      </w:r>
    </w:p>
    <w:p w14:paraId="72275F90">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6.6软件开发过程中，软件开发商不得随意撤换项目经理和主要技术人员，如要更换，必须提前书面征得项目建设单 位同意，并做好相关的移交工作。如项目建设单位要求软件发商更换项目经理和技术人员，软件开发商应按照项目建设单位要求进行更换。</w:t>
      </w:r>
    </w:p>
    <w:p w14:paraId="5FF1DEFE">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6.7软件开发商应认真履行保密义务，签订保密协议，未 征得项目建设单位同意，不得复制、泄露、销售在项目建设 过程中接触到的项目信息资料和技术成果。</w:t>
      </w:r>
    </w:p>
    <w:p w14:paraId="43849D8D">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6.8软件开发商维护期内应根据项目建设单位要求免费配合系统迁移一次。</w:t>
      </w:r>
    </w:p>
    <w:p w14:paraId="0F8139BE">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default" w:ascii="宋体" w:hAnsi="宋体" w:eastAsia="宋体" w:cs="宋体"/>
          <w:b/>
          <w:color w:val="auto"/>
          <w:sz w:val="28"/>
          <w:szCs w:val="20"/>
          <w:highlight w:val="none"/>
          <w:lang w:val="en-US" w:eastAsia="zh-CN"/>
        </w:rPr>
      </w:pPr>
      <w:r>
        <w:rPr>
          <w:rFonts w:hint="eastAsia" w:ascii="宋体" w:hAnsi="宋体" w:eastAsia="宋体" w:cs="宋体"/>
          <w:b/>
          <w:color w:val="auto"/>
          <w:sz w:val="28"/>
          <w:szCs w:val="20"/>
          <w:highlight w:val="none"/>
          <w:lang w:val="en-US" w:eastAsia="zh-CN"/>
        </w:rPr>
        <w:t>2包</w:t>
      </w:r>
    </w:p>
    <w:p w14:paraId="66AB922B">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1.采购内容  </w:t>
      </w:r>
    </w:p>
    <w:p w14:paraId="701DA227">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滁州市政务服务应用场景升级迭代项目监理及检测服务</w:t>
      </w:r>
    </w:p>
    <w:p w14:paraId="6C8D0E81">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2.采购预算</w:t>
      </w:r>
    </w:p>
    <w:p w14:paraId="129AFEB8">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81000.00元</w:t>
      </w:r>
    </w:p>
    <w:p w14:paraId="43607086">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3.项目概况</w:t>
      </w:r>
    </w:p>
    <w:p w14:paraId="7182CC75">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根据党中央、国务院和省政府、省政府相关工作部署，结合本地政务服务发展实际，充分利用滁州智慧政务前期建设成果，依托全省一体化数据基础平台的数据基础、技术工具和公共能力，聚焦便利企业和群众办事等政务运行类场景需求，进一步拓宽服务渠道，丰富服务内容。通过再造服务流程，创新服务模式，打造一批多跨协同的政务运行领域场景应用，进一步提升滁州市政府运行效能和政务服务质效，加快实现政务服务运行标准化、服务供给规范化、企业和群众办事便利化，持续优化我市政务服务营商环境</w:t>
      </w:r>
      <w:r>
        <w:rPr>
          <w:rFonts w:hint="eastAsia" w:ascii="宋体" w:hAnsi="宋体" w:eastAsia="宋体" w:cs="宋体"/>
          <w:color w:val="auto"/>
          <w:sz w:val="24"/>
          <w:szCs w:val="24"/>
          <w:highlight w:val="none"/>
        </w:rPr>
        <w:t>。</w:t>
      </w:r>
    </w:p>
    <w:p w14:paraId="5DC976EA">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4.建设内容</w:t>
      </w:r>
    </w:p>
    <w:p w14:paraId="51CA6C58">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滁州市政务服务应用场景升级迭代项目聚焦滁州市政务服务数字化升级，以定制软件开发为核心，通过多维度服务整合与技术优化，构建智能化政务服务体系，建设内容包括：服务内容接入、皖事通能力升级、基础能力提升、“高效办成一件事”实施服务、全省通办事项迁移、电子云签服务、支撑服务、一体化迁移等。</w:t>
      </w:r>
    </w:p>
    <w:p w14:paraId="14DB33E7">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20" w:lineRule="exact"/>
        <w:ind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5.总体服务内容</w:t>
      </w:r>
    </w:p>
    <w:tbl>
      <w:tblPr>
        <w:tblStyle w:val="33"/>
        <w:tblpPr w:leftFromText="180" w:rightFromText="180" w:vertAnchor="text" w:horzAnchor="page" w:tblpXSpec="center" w:tblpY="357"/>
        <w:tblOverlap w:val="never"/>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4084"/>
        <w:gridCol w:w="2310"/>
        <w:gridCol w:w="661"/>
        <w:gridCol w:w="679"/>
        <w:gridCol w:w="691"/>
      </w:tblGrid>
      <w:tr w14:paraId="0BB1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63" w:type="dxa"/>
            <w:noWrap w:val="0"/>
            <w:vAlign w:val="center"/>
          </w:tcPr>
          <w:p w14:paraId="63ECB0B1">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084" w:type="dxa"/>
            <w:noWrap w:val="0"/>
            <w:vAlign w:val="center"/>
          </w:tcPr>
          <w:p w14:paraId="59A3DA68">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2310" w:type="dxa"/>
            <w:noWrap w:val="0"/>
            <w:vAlign w:val="center"/>
          </w:tcPr>
          <w:p w14:paraId="4C154D93">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服务要求</w:t>
            </w:r>
          </w:p>
        </w:tc>
        <w:tc>
          <w:tcPr>
            <w:tcW w:w="661" w:type="dxa"/>
            <w:noWrap w:val="0"/>
            <w:vAlign w:val="center"/>
          </w:tcPr>
          <w:p w14:paraId="3B6200DB">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79" w:type="dxa"/>
            <w:noWrap w:val="0"/>
            <w:vAlign w:val="center"/>
          </w:tcPr>
          <w:p w14:paraId="4E78D3D2">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691" w:type="dxa"/>
            <w:noWrap w:val="0"/>
            <w:vAlign w:val="center"/>
          </w:tcPr>
          <w:p w14:paraId="539EC4A6">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037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noWrap w:val="0"/>
            <w:vAlign w:val="center"/>
          </w:tcPr>
          <w:p w14:paraId="292A41D6">
            <w:pPr>
              <w:keepNext w:val="0"/>
              <w:keepLines w:val="0"/>
              <w:pageBreakBefore w:val="0"/>
              <w:kinsoku/>
              <w:wordWrap/>
              <w:overflowPunct/>
              <w:topLinePunct w:val="0"/>
              <w:bidi w:val="0"/>
              <w:spacing w:line="52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84" w:type="dxa"/>
            <w:noWrap w:val="0"/>
            <w:vAlign w:val="center"/>
          </w:tcPr>
          <w:p w14:paraId="31CA9169">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滁州市政务服务应用场景升级迭代项目监理服务</w:t>
            </w:r>
          </w:p>
        </w:tc>
        <w:tc>
          <w:tcPr>
            <w:tcW w:w="2310" w:type="dxa"/>
            <w:noWrap w:val="0"/>
            <w:vAlign w:val="center"/>
          </w:tcPr>
          <w:p w14:paraId="114FE3A1">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需求说明</w:t>
            </w:r>
          </w:p>
        </w:tc>
        <w:tc>
          <w:tcPr>
            <w:tcW w:w="661" w:type="dxa"/>
            <w:noWrap w:val="0"/>
            <w:vAlign w:val="center"/>
          </w:tcPr>
          <w:p w14:paraId="3ED39676">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9" w:type="dxa"/>
            <w:noWrap w:val="0"/>
            <w:vAlign w:val="center"/>
          </w:tcPr>
          <w:p w14:paraId="45CCD991">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691" w:type="dxa"/>
            <w:noWrap w:val="0"/>
            <w:vAlign w:val="center"/>
          </w:tcPr>
          <w:p w14:paraId="5C801FFB">
            <w:pPr>
              <w:keepNext w:val="0"/>
              <w:keepLines w:val="0"/>
              <w:pageBreakBefore w:val="0"/>
              <w:kinsoku/>
              <w:wordWrap/>
              <w:overflowPunct/>
              <w:topLinePunct w:val="0"/>
              <w:bidi w:val="0"/>
              <w:spacing w:line="520" w:lineRule="exact"/>
              <w:ind w:firstLine="480" w:firstLineChars="200"/>
              <w:jc w:val="center"/>
              <w:textAlignment w:val="auto"/>
              <w:rPr>
                <w:rFonts w:hint="eastAsia" w:ascii="宋体" w:hAnsi="宋体" w:eastAsia="宋体" w:cs="宋体"/>
                <w:color w:val="auto"/>
                <w:sz w:val="24"/>
                <w:szCs w:val="24"/>
                <w:highlight w:val="none"/>
              </w:rPr>
            </w:pPr>
          </w:p>
        </w:tc>
      </w:tr>
      <w:tr w14:paraId="6F8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663" w:type="dxa"/>
            <w:noWrap w:val="0"/>
            <w:vAlign w:val="center"/>
          </w:tcPr>
          <w:p w14:paraId="1A9BDEAC">
            <w:pPr>
              <w:keepNext w:val="0"/>
              <w:keepLines w:val="0"/>
              <w:pageBreakBefore w:val="0"/>
              <w:kinsoku/>
              <w:wordWrap/>
              <w:overflowPunct/>
              <w:topLinePunct w:val="0"/>
              <w:bidi w:val="0"/>
              <w:spacing w:line="52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084" w:type="dxa"/>
            <w:noWrap w:val="0"/>
            <w:vAlign w:val="center"/>
          </w:tcPr>
          <w:p w14:paraId="6D07FA99">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滁州市政务服务应用场景升级迭代项目软件测评服务</w:t>
            </w:r>
          </w:p>
        </w:tc>
        <w:tc>
          <w:tcPr>
            <w:tcW w:w="2310" w:type="dxa"/>
            <w:noWrap w:val="0"/>
            <w:vAlign w:val="center"/>
          </w:tcPr>
          <w:p w14:paraId="2A94689F">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需求说明</w:t>
            </w:r>
          </w:p>
        </w:tc>
        <w:tc>
          <w:tcPr>
            <w:tcW w:w="661" w:type="dxa"/>
            <w:noWrap w:val="0"/>
            <w:vAlign w:val="center"/>
          </w:tcPr>
          <w:p w14:paraId="4C4EE387">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679" w:type="dxa"/>
            <w:noWrap w:val="0"/>
            <w:vAlign w:val="center"/>
          </w:tcPr>
          <w:p w14:paraId="5EC6CE1B">
            <w:pPr>
              <w:keepNext w:val="0"/>
              <w:keepLines w:val="0"/>
              <w:pageBreakBefore w:val="0"/>
              <w:kinsoku/>
              <w:wordWrap/>
              <w:overflowPunct/>
              <w:topLinePunct w:val="0"/>
              <w:bidi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w:t>
            </w:r>
          </w:p>
        </w:tc>
        <w:tc>
          <w:tcPr>
            <w:tcW w:w="691" w:type="dxa"/>
            <w:noWrap w:val="0"/>
            <w:vAlign w:val="center"/>
          </w:tcPr>
          <w:p w14:paraId="2D5FD439">
            <w:pPr>
              <w:keepNext w:val="0"/>
              <w:keepLines w:val="0"/>
              <w:pageBreakBefore w:val="0"/>
              <w:kinsoku/>
              <w:wordWrap/>
              <w:overflowPunct/>
              <w:topLinePunct w:val="0"/>
              <w:bidi w:val="0"/>
              <w:spacing w:line="520" w:lineRule="exact"/>
              <w:ind w:firstLine="480" w:firstLineChars="200"/>
              <w:jc w:val="center"/>
              <w:textAlignment w:val="auto"/>
              <w:rPr>
                <w:rFonts w:hint="eastAsia" w:ascii="宋体" w:hAnsi="宋体" w:eastAsia="宋体" w:cs="宋体"/>
                <w:color w:val="auto"/>
                <w:sz w:val="24"/>
                <w:szCs w:val="24"/>
                <w:highlight w:val="none"/>
              </w:rPr>
            </w:pPr>
          </w:p>
        </w:tc>
      </w:tr>
    </w:tbl>
    <w:p w14:paraId="3DBBDFD7">
      <w:pPr>
        <w:keepNext w:val="0"/>
        <w:keepLines w:val="0"/>
        <w:pageBreakBefore w:val="0"/>
        <w:kinsoku/>
        <w:wordWrap/>
        <w:overflowPunct/>
        <w:topLinePunct w:val="0"/>
        <w:bidi w:val="0"/>
        <w:spacing w:line="52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（一）监理服务要求</w:t>
      </w:r>
    </w:p>
    <w:p w14:paraId="7531847C">
      <w:pPr>
        <w:keepNext w:val="0"/>
        <w:keepLines w:val="0"/>
        <w:pageBreakBefore w:val="0"/>
        <w:kinsoku/>
        <w:wordWrap/>
        <w:overflowPunct/>
        <w:topLinePunct w:val="0"/>
        <w:bidi w:val="0"/>
        <w:spacing w:line="520" w:lineRule="exac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1、监理范围</w:t>
      </w:r>
    </w:p>
    <w:p w14:paraId="0321B386">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本项目要求对“</w:t>
      </w:r>
      <w:r>
        <w:rPr>
          <w:rFonts w:hint="eastAsia" w:ascii="宋体" w:hAnsi="宋体" w:eastAsia="宋体" w:cs="宋体"/>
          <w:color w:val="auto"/>
          <w:sz w:val="24"/>
          <w:szCs w:val="24"/>
          <w:lang w:val="en-US" w:eastAsia="zh-CN"/>
        </w:rPr>
        <w:t>滁州市政务服务应用场景升级迭代项目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建设</w:t>
      </w:r>
      <w:r>
        <w:rPr>
          <w:rFonts w:hint="eastAsia" w:ascii="宋体" w:hAnsi="宋体" w:eastAsia="宋体" w:cs="宋体"/>
          <w:color w:val="auto"/>
          <w:sz w:val="24"/>
          <w:szCs w:val="24"/>
          <w:highlight w:val="none"/>
        </w:rPr>
        <w:t>中所有业务软件平台和</w:t>
      </w:r>
      <w:r>
        <w:rPr>
          <w:rFonts w:hint="eastAsia" w:ascii="宋体" w:hAnsi="宋体" w:eastAsia="宋体" w:cs="宋体"/>
          <w:color w:val="auto"/>
          <w:sz w:val="24"/>
          <w:szCs w:val="24"/>
          <w:highlight w:val="none"/>
          <w:lang w:val="en-US" w:eastAsia="zh-CN"/>
        </w:rPr>
        <w:t>系统对接</w:t>
      </w:r>
      <w:r>
        <w:rPr>
          <w:rFonts w:hint="eastAsia" w:ascii="宋体" w:hAnsi="宋体" w:eastAsia="宋体" w:cs="宋体"/>
          <w:color w:val="auto"/>
          <w:sz w:val="24"/>
          <w:szCs w:val="24"/>
          <w:highlight w:val="none"/>
        </w:rPr>
        <w:t>的建设进行监理服务，包括采购人与项目承包人签订的合同文件规定的全部内容、合同补充条款增加的项目内容，以及设计变更包括的内容。</w:t>
      </w:r>
    </w:p>
    <w:p w14:paraId="1D13F4C2">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监理过程必须覆盖项目的系统实施、初验、试运行、项目终验等各个阶段，并要求对项目的质量、进度、投资、建设合同、文档、安全、知识产权保护等进行有效管理和控制。</w:t>
      </w:r>
    </w:p>
    <w:p w14:paraId="0148024C">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本招标文件规定的其他服务范围。</w:t>
      </w:r>
    </w:p>
    <w:p w14:paraId="0A3D4913">
      <w:pPr>
        <w:keepNext w:val="0"/>
        <w:keepLines w:val="0"/>
        <w:pageBreakBefore w:val="0"/>
        <w:kinsoku/>
        <w:wordWrap/>
        <w:overflowPunct/>
        <w:topLinePunct w:val="0"/>
        <w:bidi w:val="0"/>
        <w:spacing w:line="520" w:lineRule="exact"/>
        <w:ind w:firstLine="482" w:firstLineChars="200"/>
        <w:textAlignment w:val="auto"/>
        <w:outlineLvl w:val="2"/>
        <w:rPr>
          <w:rFonts w:hint="eastAsia" w:ascii="宋体" w:hAnsi="宋体" w:eastAsia="宋体" w:cs="宋体"/>
          <w:b/>
          <w:color w:val="auto"/>
          <w:sz w:val="24"/>
          <w:szCs w:val="24"/>
          <w:highlight w:val="none"/>
        </w:rPr>
      </w:pPr>
      <w:bookmarkStart w:id="44" w:name="_Toc148168716"/>
      <w:bookmarkStart w:id="45" w:name="_Toc108866296"/>
      <w:bookmarkStart w:id="46" w:name="_Toc122338446"/>
      <w:bookmarkStart w:id="47" w:name="_Toc176578720"/>
      <w:r>
        <w:rPr>
          <w:rFonts w:hint="eastAsia" w:ascii="宋体" w:hAnsi="宋体" w:eastAsia="宋体" w:cs="宋体"/>
          <w:b/>
          <w:color w:val="auto"/>
          <w:sz w:val="24"/>
          <w:szCs w:val="24"/>
          <w:highlight w:val="none"/>
        </w:rPr>
        <w:t>2、监理工作内容</w:t>
      </w:r>
      <w:bookmarkEnd w:id="44"/>
      <w:bookmarkEnd w:id="45"/>
      <w:bookmarkEnd w:id="46"/>
      <w:bookmarkEnd w:id="47"/>
    </w:p>
    <w:p w14:paraId="0B647CAB">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宋体"/>
          <w:color w:val="auto"/>
          <w:sz w:val="24"/>
          <w:szCs w:val="24"/>
          <w:highlight w:val="none"/>
        </w:rPr>
      </w:pPr>
      <w:bookmarkStart w:id="48" w:name="_Toc108866297"/>
      <w:r>
        <w:rPr>
          <w:rFonts w:hint="eastAsia" w:ascii="宋体" w:hAnsi="宋体" w:eastAsia="宋体" w:cs="宋体"/>
          <w:color w:val="auto"/>
          <w:sz w:val="24"/>
          <w:szCs w:val="24"/>
          <w:highlight w:val="none"/>
        </w:rPr>
        <w:t>监理公司要对项目实施时的关键点进行监理，而且要全方位地开展监理工作。项目施工监理内容包括应用软件开发、</w:t>
      </w:r>
      <w:r>
        <w:rPr>
          <w:rFonts w:hint="eastAsia" w:ascii="宋体" w:hAnsi="宋体" w:eastAsia="宋体" w:cs="宋体"/>
          <w:color w:val="auto"/>
          <w:sz w:val="24"/>
          <w:szCs w:val="24"/>
          <w:highlight w:val="none"/>
          <w:lang w:val="en-US" w:eastAsia="zh-CN"/>
        </w:rPr>
        <w:t>应用系统对接</w:t>
      </w:r>
      <w:r>
        <w:rPr>
          <w:rFonts w:hint="eastAsia" w:ascii="宋体" w:hAnsi="宋体" w:eastAsia="宋体" w:cs="宋体"/>
          <w:color w:val="auto"/>
          <w:sz w:val="24"/>
          <w:szCs w:val="24"/>
          <w:highlight w:val="none"/>
        </w:rPr>
        <w:t>、项目实施、竣工验收、效果评估、决算等全部监理工作，详细如下（本监理项目工作包括但不限于以下内容）：</w:t>
      </w:r>
    </w:p>
    <w:p w14:paraId="3F618063">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bookmarkStart w:id="49" w:name="_Toc176578721"/>
      <w:bookmarkStart w:id="50" w:name="_Toc122338447"/>
      <w:bookmarkStart w:id="51" w:name="_Toc148168717"/>
      <w:r>
        <w:rPr>
          <w:rFonts w:hint="eastAsia" w:ascii="宋体" w:hAnsi="宋体" w:eastAsia="宋体" w:cs="宋体"/>
          <w:b/>
          <w:color w:val="auto"/>
          <w:sz w:val="24"/>
          <w:szCs w:val="24"/>
          <w:highlight w:val="none"/>
        </w:rPr>
        <w:t>2.1质量控制</w:t>
      </w:r>
      <w:bookmarkEnd w:id="48"/>
      <w:bookmarkEnd w:id="49"/>
      <w:bookmarkEnd w:id="50"/>
      <w:bookmarkEnd w:id="51"/>
      <w:r>
        <w:rPr>
          <w:rFonts w:hint="eastAsia" w:ascii="宋体" w:hAnsi="宋体" w:eastAsia="宋体" w:cs="宋体"/>
          <w:b/>
          <w:color w:val="auto"/>
          <w:sz w:val="24"/>
          <w:szCs w:val="24"/>
          <w:highlight w:val="none"/>
        </w:rPr>
        <w:t>：</w:t>
      </w:r>
    </w:p>
    <w:p w14:paraId="1B9A0053">
      <w:pPr>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系统质量控制总体要求：</w:t>
      </w:r>
    </w:p>
    <w:p w14:paraId="4D0B3A23">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采取事前预防、事中控制、事后纠正的监理方式，依据国家法律、法规、标准以及项目合同、设计方案、监理规划、监理实施细则等文件控制项目总体工程质量；</w:t>
      </w:r>
    </w:p>
    <w:p w14:paraId="298BC098">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根据各项目的特点，制定包括验收标准，验收方法和质量控制措施在内的详细监理控制方案；</w:t>
      </w:r>
    </w:p>
    <w:p w14:paraId="08D17535">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编制重大质量问题的处理预案，包括系统建设过程中可能出现的重大质量问题的处理预案；</w:t>
      </w:r>
    </w:p>
    <w:p w14:paraId="41177193">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组织系统建设工程质量事故的原因调查、问题分析、问题评估、事故处理；</w:t>
      </w:r>
    </w:p>
    <w:p w14:paraId="04DDA5A3">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督促承建单位整改存在问题；</w:t>
      </w:r>
    </w:p>
    <w:p w14:paraId="645E66CE">
      <w:pPr>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(2)系统集成质量的控制：</w:t>
      </w:r>
    </w:p>
    <w:p w14:paraId="379A7BCE">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系统集成方案的审核和确认；</w:t>
      </w:r>
    </w:p>
    <w:p w14:paraId="7F11534B">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对采购的硬件设备的质量进行检验和验收；</w:t>
      </w:r>
    </w:p>
    <w:p w14:paraId="586735D2">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对设备安装、系统软件的安装调试进行监督、检查和验收；</w:t>
      </w:r>
    </w:p>
    <w:p w14:paraId="4C884AA3">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参与对系统集成的总体工程竣工验收和交接。</w:t>
      </w:r>
    </w:p>
    <w:p w14:paraId="0CD8BF9E">
      <w:pPr>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(3)系统质量保证检测：</w:t>
      </w:r>
    </w:p>
    <w:p w14:paraId="513F38A1">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本系统根据需要进行测试的，应从网络、设备、信息安全能方面进行专业性检验，评价系统是否满足系统设计指标及合同规定的要求，并出具具有法律效力的测试报告。</w:t>
      </w:r>
    </w:p>
    <w:p w14:paraId="2B821CFD">
      <w:pPr>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(4)系统安全质量控制：</w:t>
      </w:r>
    </w:p>
    <w:p w14:paraId="5FE4D9F7">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负责系统安全方案的审核和确认；</w:t>
      </w:r>
    </w:p>
    <w:p w14:paraId="0B064F3A">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对安全系统的采购、安装、调试、配置过程的监督。</w:t>
      </w:r>
    </w:p>
    <w:p w14:paraId="6EC4EBEB">
      <w:pPr>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(5)培训的质量控制：</w:t>
      </w:r>
    </w:p>
    <w:p w14:paraId="79BC1387">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审核确认承建商的培训计划；</w:t>
      </w:r>
    </w:p>
    <w:p w14:paraId="0BACFDC4">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监督承建商实施其培训计划，并征求用户的反馈意见；</w:t>
      </w:r>
    </w:p>
    <w:p w14:paraId="465E4E1F">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审核确认承建商的培训总结报告。</w:t>
      </w:r>
    </w:p>
    <w:p w14:paraId="114C14D5">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bookmarkStart w:id="52" w:name="_Toc108866298"/>
      <w:bookmarkStart w:id="53" w:name="_Toc148168718"/>
      <w:bookmarkStart w:id="54" w:name="_Toc122338448"/>
      <w:bookmarkStart w:id="55" w:name="_Toc176578722"/>
      <w:r>
        <w:rPr>
          <w:rFonts w:hint="eastAsia" w:ascii="宋体" w:hAnsi="宋体" w:eastAsia="宋体" w:cs="宋体"/>
          <w:b/>
          <w:color w:val="auto"/>
          <w:sz w:val="24"/>
          <w:szCs w:val="24"/>
          <w:highlight w:val="none"/>
        </w:rPr>
        <w:t>2.2进度控制</w:t>
      </w:r>
      <w:bookmarkEnd w:id="52"/>
      <w:bookmarkEnd w:id="53"/>
      <w:bookmarkEnd w:id="54"/>
      <w:bookmarkEnd w:id="55"/>
      <w:r>
        <w:rPr>
          <w:rFonts w:hint="eastAsia" w:ascii="宋体" w:hAnsi="宋体" w:eastAsia="宋体" w:cs="宋体"/>
          <w:b/>
          <w:color w:val="auto"/>
          <w:sz w:val="24"/>
          <w:szCs w:val="24"/>
          <w:highlight w:val="none"/>
        </w:rPr>
        <w:t>：</w:t>
      </w:r>
    </w:p>
    <w:p w14:paraId="146257EB">
      <w:pPr>
        <w:keepNext w:val="0"/>
        <w:keepLines w:val="0"/>
        <w:pageBreakBefore w:val="0"/>
        <w:tabs>
          <w:tab w:val="left" w:pos="1470"/>
        </w:tabs>
        <w:kinsoku/>
        <w:wordWrap/>
        <w:overflowPunct/>
        <w:topLinePunct w:val="0"/>
        <w:bidi w:val="0"/>
        <w:spacing w:line="520" w:lineRule="exact"/>
        <w:ind w:firstLine="480" w:firstLineChars="200"/>
        <w:textAlignment w:val="auto"/>
        <w:outlineLvl w:val="9"/>
        <w:rPr>
          <w:rFonts w:hint="eastAsia" w:ascii="宋体" w:hAnsi="宋体" w:eastAsia="宋体" w:cs="宋体"/>
          <w:color w:val="auto"/>
          <w:sz w:val="24"/>
          <w:szCs w:val="24"/>
          <w:highlight w:val="none"/>
        </w:rPr>
      </w:pPr>
      <w:bookmarkStart w:id="56" w:name="_Toc148168719"/>
      <w:bookmarkStart w:id="57" w:name="_Toc122338449"/>
      <w:bookmarkStart w:id="58" w:name="_Toc176578723"/>
      <w:bookmarkStart w:id="59" w:name="_Toc10886629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事前进度控制</w:t>
      </w:r>
    </w:p>
    <w:p w14:paraId="1BCC935B">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1)协助编制项目工作计划，分析项目内容及过程，对项目进度提出监理意见。</w:t>
      </w:r>
    </w:p>
    <w:p w14:paraId="1C30E22F">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2)对项目合同中涉及的产品和服务的提供时间做出说明，并对采购人的安排提出监理意见。</w:t>
      </w:r>
    </w:p>
    <w:p w14:paraId="31E7B0C4">
      <w:pPr>
        <w:keepNext w:val="0"/>
        <w:keepLines w:val="0"/>
        <w:pageBreakBefore w:val="0"/>
        <w:tabs>
          <w:tab w:val="left" w:pos="1470"/>
        </w:tabs>
        <w:kinsoku/>
        <w:wordWrap/>
        <w:overflowPunct/>
        <w:topLinePunct w:val="0"/>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事中进度控制</w:t>
      </w:r>
    </w:p>
    <w:p w14:paraId="519881FC">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1)审核承建方提交的项目进度计划的可行性、合理性、各阶段工作成果，签署监理审核意见。</w:t>
      </w:r>
    </w:p>
    <w:p w14:paraId="237CFB26">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2)根据项目进度计划，确定阶段性进度监督、控制的措施及方法，作为监理细则的内容。</w:t>
      </w:r>
    </w:p>
    <w:p w14:paraId="15C63D51">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3)督促承建方提交阶段性进度计划，审核阶段性进度计划合理性，签署审核意见。</w:t>
      </w:r>
    </w:p>
    <w:p w14:paraId="4002E078">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4)定期检查、记录项目的实际进度情况，确保实际进度与计划相一致。</w:t>
      </w:r>
    </w:p>
    <w:p w14:paraId="3DB1B13C">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5)发现项目未能按计划进行时，要求承建方调整或修改计划，采取必要措施加快开发进度，以使实际项目进度符合合同的要求。</w:t>
      </w:r>
    </w:p>
    <w:p w14:paraId="4006F327">
      <w:pPr>
        <w:keepNext w:val="0"/>
        <w:keepLines w:val="0"/>
        <w:pageBreakBefore w:val="0"/>
        <w:tabs>
          <w:tab w:val="left" w:pos="1470"/>
        </w:tabs>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6）当实施进度可能导致合同工期严重延误时，详细报告分析原因和提出对策，供采购人采取措施或做出决定。</w:t>
      </w:r>
    </w:p>
    <w:p w14:paraId="0719F1DD">
      <w:pPr>
        <w:keepNext w:val="0"/>
        <w:keepLines w:val="0"/>
        <w:pageBreakBefore w:val="0"/>
        <w:tabs>
          <w:tab w:val="left" w:pos="1470"/>
        </w:tabs>
        <w:kinsoku/>
        <w:wordWrap/>
        <w:overflowPunct/>
        <w:topLinePunct w:val="0"/>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事后进度控制</w:t>
      </w:r>
    </w:p>
    <w:p w14:paraId="771384BF">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对验收阶段进度安排提出监理意见。</w:t>
      </w:r>
    </w:p>
    <w:p w14:paraId="7DAE1BA8">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2.3投资控制</w:t>
      </w:r>
      <w:bookmarkEnd w:id="56"/>
      <w:bookmarkEnd w:id="57"/>
      <w:bookmarkEnd w:id="58"/>
      <w:bookmarkEnd w:id="59"/>
      <w:r>
        <w:rPr>
          <w:rFonts w:hint="eastAsia" w:ascii="宋体" w:hAnsi="宋体" w:eastAsia="宋体" w:cs="宋体"/>
          <w:b/>
          <w:color w:val="auto"/>
          <w:sz w:val="24"/>
          <w:szCs w:val="24"/>
          <w:highlight w:val="none"/>
        </w:rPr>
        <w:t>：</w:t>
      </w:r>
    </w:p>
    <w:p w14:paraId="53825647">
      <w:pPr>
        <w:pStyle w:val="115"/>
        <w:keepNext w:val="0"/>
        <w:keepLines w:val="0"/>
        <w:pageBreakBefore w:val="0"/>
        <w:kinsoku/>
        <w:wordWrap/>
        <w:overflowPunct/>
        <w:topLinePunct w:val="0"/>
        <w:bidi w:val="0"/>
        <w:spacing w:line="5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1、协助业主单位将付款进度与项目质量和形象的进度结合起来；动态管理跟踪项目建设成本，进行成本、费用控制和分析；严格控制和审查项目变更，核算成本和变化量；</w:t>
      </w:r>
    </w:p>
    <w:p w14:paraId="2BA522C6">
      <w:pPr>
        <w:pStyle w:val="115"/>
        <w:keepNext w:val="0"/>
        <w:keepLines w:val="0"/>
        <w:pageBreakBefore w:val="0"/>
        <w:kinsoku/>
        <w:wordWrap/>
        <w:overflowPunct/>
        <w:topLinePunct w:val="0"/>
        <w:bidi w:val="0"/>
        <w:spacing w:line="52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2、协助违约及索赔核查；</w:t>
      </w:r>
    </w:p>
    <w:p w14:paraId="3B4CB8B8">
      <w:pPr>
        <w:pStyle w:val="115"/>
        <w:keepNext w:val="0"/>
        <w:keepLines w:val="0"/>
        <w:pageBreakBefore w:val="0"/>
        <w:kinsoku/>
        <w:wordWrap/>
        <w:overflowPunct/>
        <w:topLinePunct w:val="0"/>
        <w:bidi w:val="0"/>
        <w:spacing w:line="5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3、负责项目决算初审工作，并及时将审核结果上报采购人。审核项目量清单及造价和项目竣工结算等。</w:t>
      </w:r>
    </w:p>
    <w:p w14:paraId="6A8AE17E">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bookmarkStart w:id="60" w:name="_Toc122338450"/>
      <w:bookmarkStart w:id="61" w:name="_Toc176578724"/>
      <w:bookmarkStart w:id="62" w:name="_Toc108866300"/>
      <w:bookmarkStart w:id="63" w:name="_Toc148168720"/>
      <w:r>
        <w:rPr>
          <w:rFonts w:hint="eastAsia" w:ascii="宋体" w:hAnsi="宋体" w:eastAsia="宋体" w:cs="宋体"/>
          <w:b/>
          <w:color w:val="auto"/>
          <w:sz w:val="24"/>
          <w:szCs w:val="24"/>
          <w:highlight w:val="none"/>
        </w:rPr>
        <w:t>2.4合同管理</w:t>
      </w:r>
      <w:bookmarkEnd w:id="60"/>
      <w:bookmarkEnd w:id="61"/>
      <w:bookmarkEnd w:id="62"/>
      <w:bookmarkEnd w:id="63"/>
      <w:r>
        <w:rPr>
          <w:rFonts w:hint="eastAsia" w:ascii="宋体" w:hAnsi="宋体" w:eastAsia="宋体" w:cs="宋体"/>
          <w:b/>
          <w:color w:val="auto"/>
          <w:sz w:val="24"/>
          <w:szCs w:val="24"/>
          <w:highlight w:val="none"/>
        </w:rPr>
        <w:t>：</w:t>
      </w:r>
    </w:p>
    <w:p w14:paraId="7F493DE9">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协助采购人与承建单位签订合同，在合同中要对工程质量目标提出明确的要求；</w:t>
      </w:r>
    </w:p>
    <w:p w14:paraId="353D07B3">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监督检查承建单位履行合同；</w:t>
      </w:r>
    </w:p>
    <w:p w14:paraId="269C88F7">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协助采购人处理建设项目实施的每个过程出现的违约、索赔、延期、分包、纠纷调解及仲裁等问题；</w:t>
      </w:r>
    </w:p>
    <w:p w14:paraId="37C65E40">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根据合同约定，审核承建商提交的支付申请；</w:t>
      </w:r>
    </w:p>
    <w:p w14:paraId="0CA766C0">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建立变更控制系统；对工程变更控制，明确界定项目变更的目标，防止变更范围的扩大化，加强变更风险以及变更效果的评估；任何变更都要得到三方（采购人、监理单位和承建单位）的书面确认。</w:t>
      </w:r>
    </w:p>
    <w:p w14:paraId="11B87F0F">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bookmarkStart w:id="64" w:name="_Toc108866301"/>
      <w:bookmarkStart w:id="65" w:name="_Toc148168721"/>
      <w:bookmarkStart w:id="66" w:name="_Toc122338451"/>
      <w:bookmarkStart w:id="67" w:name="_Toc176578725"/>
      <w:r>
        <w:rPr>
          <w:rFonts w:hint="eastAsia" w:ascii="宋体" w:hAnsi="宋体" w:eastAsia="宋体" w:cs="宋体"/>
          <w:b/>
          <w:color w:val="auto"/>
          <w:sz w:val="24"/>
          <w:szCs w:val="24"/>
          <w:highlight w:val="none"/>
        </w:rPr>
        <w:t>2.5信息管理</w:t>
      </w:r>
      <w:bookmarkEnd w:id="64"/>
      <w:bookmarkEnd w:id="65"/>
      <w:bookmarkEnd w:id="66"/>
      <w:bookmarkEnd w:id="67"/>
      <w:r>
        <w:rPr>
          <w:rFonts w:hint="eastAsia" w:ascii="宋体" w:hAnsi="宋体" w:eastAsia="宋体" w:cs="宋体"/>
          <w:b/>
          <w:color w:val="auto"/>
          <w:sz w:val="24"/>
          <w:szCs w:val="24"/>
          <w:highlight w:val="none"/>
        </w:rPr>
        <w:t>：</w:t>
      </w:r>
    </w:p>
    <w:p w14:paraId="23874959">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及时向采购人提交反映项目动态和监理工作情况的项目文档；</w:t>
      </w:r>
    </w:p>
    <w:p w14:paraId="21F11DBC">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建立全面、准确反映项目各阶段工程状况的图表、文档，收集、管理项目各类文档和资料；</w:t>
      </w:r>
    </w:p>
    <w:p w14:paraId="264CF576">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督促、检查施工方及时完成各阶段设备资料、工程技术资料的整理和归档工作，监理要确认各类资料必须符合国家规范格式；</w:t>
      </w:r>
    </w:p>
    <w:p w14:paraId="1C2C1041">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转发采购人发出的一切指示、通知和业务联系单；</w:t>
      </w:r>
    </w:p>
    <w:p w14:paraId="55A43A6F">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采用图表、统计技术或其他先进的管理方法，定期公布项目质量、进度、成本数据，就项目中存在或出现的问题向采购人、承建单位提出独立、公正、公平的意见建议或解决方案；</w:t>
      </w:r>
    </w:p>
    <w:p w14:paraId="35FC6F43">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当系统建设出现质量问题或严重偏离计划时，应及时向采购人报告，并提出对策建议，同时督促承建单位尽快采取措施。</w:t>
      </w:r>
    </w:p>
    <w:p w14:paraId="3AC0F244">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bookmarkStart w:id="68" w:name="_Toc108866302"/>
      <w:bookmarkStart w:id="69" w:name="_Toc148168722"/>
      <w:bookmarkStart w:id="70" w:name="_Toc122338452"/>
      <w:bookmarkStart w:id="71" w:name="_Toc176578726"/>
      <w:r>
        <w:rPr>
          <w:rFonts w:hint="eastAsia" w:ascii="宋体" w:hAnsi="宋体" w:eastAsia="宋体" w:cs="宋体"/>
          <w:b/>
          <w:color w:val="auto"/>
          <w:sz w:val="24"/>
          <w:szCs w:val="24"/>
          <w:highlight w:val="none"/>
        </w:rPr>
        <w:t>2.6组织协调</w:t>
      </w:r>
      <w:bookmarkEnd w:id="68"/>
      <w:bookmarkEnd w:id="69"/>
      <w:bookmarkEnd w:id="70"/>
      <w:bookmarkEnd w:id="71"/>
      <w:r>
        <w:rPr>
          <w:rFonts w:hint="eastAsia" w:ascii="宋体" w:hAnsi="宋体" w:eastAsia="宋体" w:cs="宋体"/>
          <w:b/>
          <w:color w:val="auto"/>
          <w:sz w:val="24"/>
          <w:szCs w:val="24"/>
          <w:highlight w:val="none"/>
        </w:rPr>
        <w:t>：</w:t>
      </w:r>
    </w:p>
    <w:p w14:paraId="5B7BC8CB">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确定承建单位的工作范围和职责；</w:t>
      </w:r>
    </w:p>
    <w:p w14:paraId="0B3E02F7">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监督各方履行职责，协调各方的工作关系；</w:t>
      </w:r>
    </w:p>
    <w:p w14:paraId="185710E6">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建立畅通的沟通平台和沟通渠道，采取有效措施使项目信息在有关各方之间保持顺畅流通，积极协调项目各方之间的关系，推动项目实施过程中问题的解决。</w:t>
      </w:r>
    </w:p>
    <w:p w14:paraId="63C4EC80">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bookmarkStart w:id="72" w:name="_Toc108866303"/>
      <w:r>
        <w:rPr>
          <w:rFonts w:hint="eastAsia" w:ascii="宋体" w:hAnsi="宋体" w:eastAsia="宋体" w:cs="宋体"/>
          <w:b/>
          <w:color w:val="auto"/>
          <w:sz w:val="24"/>
          <w:szCs w:val="24"/>
          <w:highlight w:val="none"/>
        </w:rPr>
        <w:t>2.7施工安全监督</w:t>
      </w:r>
      <w:bookmarkEnd w:id="72"/>
      <w:r>
        <w:rPr>
          <w:rFonts w:hint="eastAsia" w:ascii="宋体" w:hAnsi="宋体" w:eastAsia="宋体" w:cs="宋体"/>
          <w:b/>
          <w:color w:val="auto"/>
          <w:sz w:val="24"/>
          <w:szCs w:val="24"/>
          <w:highlight w:val="none"/>
        </w:rPr>
        <w:t>：</w:t>
      </w:r>
    </w:p>
    <w:p w14:paraId="0CF8D078">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检查督促承建单位建立、完善安全生产制度，负责项目建设施工过程中安全控制，防止出现安全事故；</w:t>
      </w:r>
    </w:p>
    <w:p w14:paraId="07AC9B6C">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负责项目建设施工过程中安全控制，防止出现安全事故；组织工程安全事故的调查与处理；</w:t>
      </w:r>
    </w:p>
    <w:p w14:paraId="45CF2679">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确立项目安全监督的工作目标。</w:t>
      </w:r>
      <w:bookmarkStart w:id="73" w:name="_Toc108866332"/>
      <w:bookmarkStart w:id="74" w:name="_Toc105239110"/>
    </w:p>
    <w:p w14:paraId="3C3EF5D7">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2.8项目知识产权的管理：</w:t>
      </w:r>
    </w:p>
    <w:p w14:paraId="749611BC">
      <w:pPr>
        <w:keepNext w:val="0"/>
        <w:keepLines w:val="0"/>
        <w:pageBreakBefore w:val="0"/>
        <w:widowControl/>
        <w:numPr>
          <w:ilvl w:val="0"/>
          <w:numId w:val="0"/>
        </w:numPr>
        <w:kinsoku/>
        <w:wordWrap/>
        <w:overflowPunct/>
        <w:topLinePunct w:val="0"/>
        <w:bidi w:val="0"/>
        <w:adjustRightInd w:val="0"/>
        <w:snapToGri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负责项目建设过程中所产生成果的知识产权保护，防止被非授权使用；</w:t>
      </w:r>
    </w:p>
    <w:p w14:paraId="4A92AB24">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负责项目建设过程中涉及知识产权的产品和系统的使用审核，保证不在本项目建设中出现违反知识产权的行为</w:t>
      </w:r>
    </w:p>
    <w:p w14:paraId="1590EEE8">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2.9项目的协调和组织</w:t>
      </w:r>
    </w:p>
    <w:p w14:paraId="6059EF5B">
      <w:pPr>
        <w:keepNext w:val="0"/>
        <w:keepLines w:val="0"/>
        <w:pageBreakBefore w:val="0"/>
        <w:widowControl/>
        <w:numPr>
          <w:ilvl w:val="0"/>
          <w:numId w:val="0"/>
        </w:numPr>
        <w:kinsoku/>
        <w:wordWrap/>
        <w:overflowPunct/>
        <w:topLinePunct w:val="0"/>
        <w:bidi w:val="0"/>
        <w:adjustRightInd w:val="0"/>
        <w:snapToGri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接受委托，负责协调项目所涉及的各单位之间的工作关系，并协调解决项目建设过程中的各类纠纷。</w:t>
      </w:r>
    </w:p>
    <w:p w14:paraId="6A1F5405">
      <w:pPr>
        <w:keepNext w:val="0"/>
        <w:keepLines w:val="0"/>
        <w:pageBreakBefore w:val="0"/>
        <w:widowControl/>
        <w:numPr>
          <w:ilvl w:val="0"/>
          <w:numId w:val="0"/>
        </w:numPr>
        <w:kinsoku/>
        <w:wordWrap/>
        <w:overflowPunct/>
        <w:topLinePunct w:val="0"/>
        <w:bidi w:val="0"/>
        <w:adjustRightInd w:val="0"/>
        <w:snapToGri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监理方应通过必要的会议制度来实施协调工作，主要包括项目例会、专题讨论会、专家评审会、问题通报会、监理协调会、监理交底会阶段工作总结会、阶段以及最终验收会和参与采购人单位组织的有关会议等。</w:t>
      </w:r>
    </w:p>
    <w:p w14:paraId="3921B96A">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移交及质保相关服务</w:t>
      </w:r>
    </w:p>
    <w:p w14:paraId="255288B3">
      <w:pPr>
        <w:keepNext w:val="0"/>
        <w:keepLines w:val="0"/>
        <w:pageBreakBefore w:val="0"/>
        <w:widowControl/>
        <w:numPr>
          <w:ilvl w:val="0"/>
          <w:numId w:val="0"/>
        </w:numPr>
        <w:kinsoku/>
        <w:wordWrap/>
        <w:overflowPunct/>
        <w:topLinePunct w:val="0"/>
        <w:bidi w:val="0"/>
        <w:adjustRightInd w:val="0"/>
        <w:snapToGri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组织施工单位做好验收、移交工作；</w:t>
      </w:r>
    </w:p>
    <w:p w14:paraId="58C9D0AA">
      <w:pPr>
        <w:keepNext w:val="0"/>
        <w:keepLines w:val="0"/>
        <w:pageBreakBefore w:val="0"/>
        <w:widowControl/>
        <w:numPr>
          <w:ilvl w:val="0"/>
          <w:numId w:val="0"/>
        </w:numPr>
        <w:kinsoku/>
        <w:wordWrap/>
        <w:overflowPunct/>
        <w:topLinePunct w:val="0"/>
        <w:bidi w:val="0"/>
        <w:adjustRightInd w:val="0"/>
        <w:snapToGri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须组织、督促施工单位做好整个质保期内相关维护工作。</w:t>
      </w:r>
    </w:p>
    <w:p w14:paraId="4A789D07">
      <w:pPr>
        <w:keepNext w:val="0"/>
        <w:keepLines w:val="0"/>
        <w:pageBreakBefore w:val="0"/>
        <w:kinsoku/>
        <w:wordWrap/>
        <w:overflowPunct/>
        <w:topLinePunct w:val="0"/>
        <w:bidi w:val="0"/>
        <w:spacing w:line="520" w:lineRule="exact"/>
        <w:ind w:firstLine="482" w:firstLineChars="200"/>
        <w:textAlignment w:val="auto"/>
        <w:outlineLvl w:val="2"/>
        <w:rPr>
          <w:rFonts w:hint="eastAsia" w:ascii="宋体" w:hAnsi="宋体" w:eastAsia="宋体" w:cs="宋体"/>
          <w:b/>
          <w:color w:val="auto"/>
          <w:sz w:val="24"/>
          <w:szCs w:val="24"/>
          <w:highlight w:val="none"/>
        </w:rPr>
      </w:pPr>
      <w:bookmarkStart w:id="75" w:name="_Toc122338465"/>
      <w:bookmarkStart w:id="76" w:name="_Toc176578735"/>
      <w:bookmarkStart w:id="77" w:name="_Toc148168732"/>
      <w:r>
        <w:rPr>
          <w:rFonts w:hint="eastAsia" w:ascii="宋体" w:hAnsi="宋体" w:eastAsia="宋体" w:cs="宋体"/>
          <w:b/>
          <w:color w:val="auto"/>
          <w:sz w:val="24"/>
          <w:szCs w:val="24"/>
          <w:highlight w:val="none"/>
        </w:rPr>
        <w:t>3、对监理单位的要求</w:t>
      </w:r>
      <w:bookmarkEnd w:id="73"/>
      <w:bookmarkEnd w:id="75"/>
      <w:bookmarkEnd w:id="76"/>
      <w:bookmarkEnd w:id="77"/>
    </w:p>
    <w:bookmarkEnd w:id="74"/>
    <w:p w14:paraId="162A59B0">
      <w:pPr>
        <w:keepNext w:val="0"/>
        <w:keepLines w:val="0"/>
        <w:pageBreakBefore w:val="0"/>
        <w:kinsoku/>
        <w:wordWrap/>
        <w:overflowPunct/>
        <w:topLinePunct w:val="0"/>
        <w:bidi w:val="0"/>
        <w:spacing w:line="520" w:lineRule="exact"/>
        <w:ind w:firstLine="482" w:firstLineChars="200"/>
        <w:textAlignment w:val="auto"/>
        <w:outlineLvl w:val="9"/>
        <w:rPr>
          <w:rFonts w:hint="eastAsia" w:ascii="宋体" w:hAnsi="宋体" w:eastAsia="宋体" w:cs="宋体"/>
          <w:b/>
          <w:color w:val="auto"/>
          <w:sz w:val="24"/>
          <w:szCs w:val="24"/>
          <w:highlight w:val="none"/>
        </w:rPr>
      </w:pPr>
      <w:bookmarkStart w:id="78" w:name="_Toc269676477"/>
      <w:bookmarkStart w:id="79" w:name="_Toc148168733"/>
      <w:bookmarkStart w:id="80" w:name="_Toc176578736"/>
      <w:bookmarkStart w:id="81" w:name="_Toc105239111"/>
      <w:bookmarkStart w:id="82" w:name="_Toc122338466"/>
      <w:bookmarkStart w:id="83" w:name="_Toc108866333"/>
      <w:r>
        <w:rPr>
          <w:rFonts w:hint="eastAsia" w:ascii="宋体" w:hAnsi="宋体" w:eastAsia="宋体" w:cs="宋体"/>
          <w:b/>
          <w:color w:val="auto"/>
          <w:sz w:val="24"/>
          <w:szCs w:val="24"/>
          <w:highlight w:val="none"/>
        </w:rPr>
        <w:t>3.1 监理机构的要求</w:t>
      </w:r>
      <w:bookmarkEnd w:id="78"/>
      <w:bookmarkEnd w:id="79"/>
      <w:bookmarkEnd w:id="80"/>
      <w:bookmarkEnd w:id="81"/>
      <w:bookmarkEnd w:id="82"/>
      <w:bookmarkEnd w:id="83"/>
    </w:p>
    <w:p w14:paraId="6DE0532B">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中标供应商应组建项目建设监理机构，该</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监理机构必须满足以下要求：</w:t>
      </w:r>
    </w:p>
    <w:p w14:paraId="485599B7">
      <w:pPr>
        <w:pStyle w:val="61"/>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本项目要求监理单位建立不少于</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人的专职监理机构，监理机构主要由以下人员组成：总监理工程师（负责人）、总监理工程师代表、专业监理工程师；派驻到现场的项目监理工程师不少于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实行总监理师负责制，同时成立项目监理委员会，对项目重大决策提出建议和意见（投标供应商应详细陈述该项目监理委员会的组织结构），按工程需要派驻相应的监理工程师进行项目监理，随时为采购人提供服务，投标供应商应保证参与该项目的监理工程师必须全职。</w:t>
      </w:r>
    </w:p>
    <w:p w14:paraId="0F6A9F43">
      <w:pPr>
        <w:pStyle w:val="61"/>
        <w:keepNext w:val="0"/>
        <w:keepLines w:val="0"/>
        <w:pageBreakBefore w:val="0"/>
        <w:numPr>
          <w:ilvl w:val="0"/>
          <w:numId w:val="0"/>
        </w:numPr>
        <w:kinsoku/>
        <w:wordWrap/>
        <w:overflowPunct/>
        <w:topLinePunct w:val="0"/>
        <w:bidi w:val="0"/>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监理机构人员</w:t>
      </w:r>
      <w:r>
        <w:rPr>
          <w:rFonts w:hint="eastAsia" w:ascii="宋体" w:hAnsi="宋体" w:eastAsia="宋体" w:cs="宋体"/>
          <w:color w:val="auto"/>
          <w:sz w:val="24"/>
          <w:szCs w:val="24"/>
          <w:highlight w:val="none"/>
        </w:rPr>
        <w:t>应符合以下要求：</w:t>
      </w:r>
    </w:p>
    <w:tbl>
      <w:tblPr>
        <w:tblStyle w:val="3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67"/>
        <w:gridCol w:w="2660"/>
        <w:gridCol w:w="3269"/>
      </w:tblGrid>
      <w:tr w14:paraId="4CDB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79CB04C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pacing w:val="20"/>
                <w:sz w:val="24"/>
                <w:szCs w:val="24"/>
                <w:highlight w:val="none"/>
              </w:rPr>
            </w:pPr>
            <w:r>
              <w:rPr>
                <w:rFonts w:hint="eastAsia" w:ascii="宋体" w:hAnsi="宋体" w:eastAsia="宋体" w:cs="宋体"/>
                <w:b/>
                <w:bCs/>
                <w:color w:val="auto"/>
                <w:spacing w:val="20"/>
                <w:sz w:val="24"/>
                <w:szCs w:val="24"/>
                <w:highlight w:val="none"/>
              </w:rPr>
              <w:t>执业资格</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5A8C64D">
            <w:pPr>
              <w:keepNext w:val="0"/>
              <w:keepLines w:val="0"/>
              <w:pageBreakBefore w:val="0"/>
              <w:kinsoku/>
              <w:wordWrap/>
              <w:overflowPunct/>
              <w:topLinePunct w:val="0"/>
              <w:autoSpaceDE/>
              <w:autoSpaceDN/>
              <w:bidi w:val="0"/>
              <w:adjustRightInd/>
              <w:snapToGrid/>
              <w:spacing w:line="520" w:lineRule="exact"/>
              <w:ind w:firstLine="482" w:firstLineChars="200"/>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岗位</w:t>
            </w:r>
          </w:p>
        </w:tc>
        <w:tc>
          <w:tcPr>
            <w:tcW w:w="2660" w:type="dxa"/>
            <w:tcBorders>
              <w:top w:val="single" w:color="auto" w:sz="4" w:space="0"/>
              <w:left w:val="single" w:color="auto" w:sz="4" w:space="0"/>
              <w:bottom w:val="single" w:color="auto" w:sz="4" w:space="0"/>
              <w:right w:val="single" w:color="auto" w:sz="4" w:space="0"/>
            </w:tcBorders>
            <w:noWrap w:val="0"/>
            <w:vAlign w:val="center"/>
          </w:tcPr>
          <w:p w14:paraId="7960D047">
            <w:pPr>
              <w:keepNext w:val="0"/>
              <w:keepLines w:val="0"/>
              <w:pageBreakBefore w:val="0"/>
              <w:kinsoku/>
              <w:wordWrap/>
              <w:overflowPunct/>
              <w:topLinePunct w:val="0"/>
              <w:autoSpaceDE/>
              <w:autoSpaceDN/>
              <w:bidi w:val="0"/>
              <w:adjustRightInd/>
              <w:snapToGrid/>
              <w:spacing w:line="520" w:lineRule="exact"/>
              <w:ind w:firstLine="482" w:firstLineChars="20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证书要求</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034DFE6">
            <w:pPr>
              <w:keepNext w:val="0"/>
              <w:keepLines w:val="0"/>
              <w:pageBreakBefore w:val="0"/>
              <w:kinsoku/>
              <w:wordWrap/>
              <w:overflowPunct/>
              <w:topLinePunct w:val="0"/>
              <w:autoSpaceDE/>
              <w:autoSpaceDN/>
              <w:bidi w:val="0"/>
              <w:adjustRightInd/>
              <w:snapToGrid/>
              <w:spacing w:line="520" w:lineRule="exact"/>
              <w:ind w:firstLine="482" w:firstLineChars="200"/>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人员配额</w:t>
            </w:r>
          </w:p>
        </w:tc>
      </w:tr>
      <w:tr w14:paraId="24B4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restart"/>
            <w:tcBorders>
              <w:top w:val="single" w:color="auto" w:sz="4" w:space="0"/>
              <w:left w:val="single" w:color="auto" w:sz="4" w:space="0"/>
              <w:right w:val="single" w:color="auto" w:sz="4" w:space="0"/>
            </w:tcBorders>
            <w:noWrap w:val="0"/>
            <w:vAlign w:val="center"/>
          </w:tcPr>
          <w:p w14:paraId="475F4EF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lang w:val="zh-CN"/>
              </w:rPr>
              <w:t>监理工程师</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3B248E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总监理工程师</w:t>
            </w:r>
          </w:p>
        </w:tc>
        <w:tc>
          <w:tcPr>
            <w:tcW w:w="2660" w:type="dxa"/>
            <w:tcBorders>
              <w:top w:val="single" w:color="auto" w:sz="4" w:space="0"/>
              <w:left w:val="single" w:color="auto" w:sz="4" w:space="0"/>
              <w:bottom w:val="single" w:color="auto" w:sz="4" w:space="0"/>
              <w:right w:val="single" w:color="auto" w:sz="4" w:space="0"/>
            </w:tcBorders>
            <w:noWrap w:val="0"/>
            <w:vAlign w:val="center"/>
          </w:tcPr>
          <w:p w14:paraId="3C5E4D2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信息系统监理师证书</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B2ABC9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1人（不允许外聘、返聘）</w:t>
            </w:r>
          </w:p>
        </w:tc>
      </w:tr>
      <w:tr w14:paraId="0C23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tcBorders>
              <w:left w:val="single" w:color="auto" w:sz="4" w:space="0"/>
              <w:right w:val="single" w:color="auto" w:sz="4" w:space="0"/>
            </w:tcBorders>
            <w:noWrap w:val="0"/>
            <w:vAlign w:val="center"/>
          </w:tcPr>
          <w:p w14:paraId="4D6E5CCB">
            <w:pPr>
              <w:keepNext w:val="0"/>
              <w:keepLines w:val="0"/>
              <w:pageBreakBefore w:val="0"/>
              <w:widowControl/>
              <w:kinsoku/>
              <w:wordWrap/>
              <w:overflowPunct/>
              <w:topLinePunct w:val="0"/>
              <w:autoSpaceDE/>
              <w:autoSpaceDN/>
              <w:bidi w:val="0"/>
              <w:adjustRightInd/>
              <w:snapToGrid/>
              <w:spacing w:line="520" w:lineRule="exact"/>
              <w:ind w:firstLine="480" w:firstLineChars="200"/>
              <w:jc w:val="center"/>
              <w:textAlignment w:val="auto"/>
              <w:rPr>
                <w:rFonts w:hint="eastAsia" w:ascii="宋体" w:hAnsi="宋体" w:eastAsia="宋体" w:cs="宋体"/>
                <w:color w:val="auto"/>
                <w:sz w:val="24"/>
                <w:szCs w:val="24"/>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A7B38E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总监理工程师代表</w:t>
            </w:r>
          </w:p>
        </w:tc>
        <w:tc>
          <w:tcPr>
            <w:tcW w:w="2660" w:type="dxa"/>
            <w:tcBorders>
              <w:top w:val="single" w:color="auto" w:sz="4" w:space="0"/>
              <w:left w:val="single" w:color="auto" w:sz="4" w:space="0"/>
              <w:bottom w:val="single" w:color="auto" w:sz="4" w:space="0"/>
              <w:right w:val="single" w:color="auto" w:sz="4" w:space="0"/>
            </w:tcBorders>
            <w:noWrap w:val="0"/>
            <w:vAlign w:val="center"/>
          </w:tcPr>
          <w:p w14:paraId="24AAE59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信息系统监理师证书</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451C6B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1人（不允许外聘、返聘）</w:t>
            </w:r>
          </w:p>
        </w:tc>
      </w:tr>
      <w:tr w14:paraId="4BC9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2" w:type="dxa"/>
            <w:vMerge w:val="continue"/>
            <w:tcBorders>
              <w:left w:val="single" w:color="auto" w:sz="4" w:space="0"/>
              <w:right w:val="single" w:color="auto" w:sz="4" w:space="0"/>
            </w:tcBorders>
            <w:noWrap w:val="0"/>
            <w:vAlign w:val="center"/>
          </w:tcPr>
          <w:p w14:paraId="11A145BE">
            <w:pPr>
              <w:keepNext w:val="0"/>
              <w:keepLines w:val="0"/>
              <w:pageBreakBefore w:val="0"/>
              <w:widowControl/>
              <w:kinsoku/>
              <w:wordWrap/>
              <w:overflowPunct/>
              <w:topLinePunct w:val="0"/>
              <w:autoSpaceDE/>
              <w:autoSpaceDN/>
              <w:bidi w:val="0"/>
              <w:adjustRightInd/>
              <w:snapToGrid/>
              <w:spacing w:line="520" w:lineRule="exact"/>
              <w:ind w:firstLine="480" w:firstLineChars="200"/>
              <w:jc w:val="center"/>
              <w:textAlignment w:val="auto"/>
              <w:rPr>
                <w:rFonts w:hint="eastAsia" w:ascii="宋体" w:hAnsi="宋体" w:eastAsia="宋体" w:cs="宋体"/>
                <w:color w:val="auto"/>
                <w:sz w:val="24"/>
                <w:szCs w:val="24"/>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9AAE61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专业监理工程师</w:t>
            </w:r>
          </w:p>
        </w:tc>
        <w:tc>
          <w:tcPr>
            <w:tcW w:w="2660" w:type="dxa"/>
            <w:tcBorders>
              <w:top w:val="single" w:color="auto" w:sz="4" w:space="0"/>
              <w:left w:val="single" w:color="auto" w:sz="4" w:space="0"/>
              <w:bottom w:val="single" w:color="auto" w:sz="4" w:space="0"/>
              <w:right w:val="single" w:color="auto" w:sz="4" w:space="0"/>
            </w:tcBorders>
            <w:noWrap w:val="0"/>
            <w:vAlign w:val="center"/>
          </w:tcPr>
          <w:p w14:paraId="58BEB8C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信息系统监理师证书</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10D70D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人（不允许外聘、返聘）</w:t>
            </w:r>
          </w:p>
        </w:tc>
      </w:tr>
      <w:tr w14:paraId="4612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289" w:type="dxa"/>
            <w:gridSpan w:val="3"/>
            <w:tcBorders>
              <w:top w:val="single" w:color="auto" w:sz="4" w:space="0"/>
              <w:left w:val="single" w:color="auto" w:sz="4" w:space="0"/>
              <w:bottom w:val="single" w:color="auto" w:sz="4" w:space="0"/>
              <w:right w:val="single" w:color="auto" w:sz="4" w:space="0"/>
            </w:tcBorders>
            <w:noWrap w:val="0"/>
            <w:vAlign w:val="center"/>
          </w:tcPr>
          <w:p w14:paraId="5A669ADF">
            <w:pPr>
              <w:keepNext w:val="0"/>
              <w:keepLines w:val="0"/>
              <w:pageBreakBefore w:val="0"/>
              <w:kinsoku/>
              <w:wordWrap/>
              <w:overflowPunct/>
              <w:topLinePunct w:val="0"/>
              <w:autoSpaceDE/>
              <w:autoSpaceDN/>
              <w:bidi w:val="0"/>
              <w:adjustRightInd/>
              <w:snapToGrid/>
              <w:spacing w:line="520" w:lineRule="exact"/>
              <w:ind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C843A4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lang w:val="zh-CN"/>
              </w:rPr>
              <w:t>人</w:t>
            </w:r>
          </w:p>
        </w:tc>
      </w:tr>
    </w:tbl>
    <w:p w14:paraId="652CF3B3">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建设监理要求以驻场监理为主要方式进行，且应具有长期的本地化服务以及后续维保监理服务能力，具有完备的本地化服务方案（投标供应商应详细陈述该本地化服务方案），具有必要的软硬件设备，应有必要的交通工具，保证能正常地开展工程监理工作。</w:t>
      </w:r>
    </w:p>
    <w:p w14:paraId="739BD779">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在采购人单位本身未提出更换的情况下，监理单位不得以任何理由提出更换总监理师和其它驻场的监理工程师。</w:t>
      </w:r>
      <w:bookmarkStart w:id="84" w:name="_Toc108866338"/>
      <w:r>
        <w:rPr>
          <w:rFonts w:hint="eastAsia" w:ascii="宋体" w:hAnsi="宋体" w:eastAsia="宋体" w:cs="宋体"/>
          <w:color w:val="auto"/>
          <w:sz w:val="24"/>
          <w:szCs w:val="24"/>
          <w:highlight w:val="none"/>
        </w:rPr>
        <w:t>采购人有权书面要求中标供应商撤换任何不称职的监理人员，更换人员必须具有与原人员相当或更高的资质和能力。</w:t>
      </w:r>
      <w:bookmarkEnd w:id="84"/>
    </w:p>
    <w:p w14:paraId="15202469">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监理公司在执行监理合同时建立项目监理机构，在完成合同约定的监理任务后方可解散，监理机构应严格按照合同履行监理责任；</w:t>
      </w:r>
    </w:p>
    <w:p w14:paraId="4F3224FE">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监理机构应根据项目的具体情况，配备满足监理工作需要的人员、设备和工具；</w:t>
      </w:r>
    </w:p>
    <w:p w14:paraId="61C432EA">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监理机构应遵守相应的监理工作制度，包括会议制度、监理文件制度、监理记录制度、工作报告制度等，保证监理工作协调有序的进行；</w:t>
      </w:r>
    </w:p>
    <w:p w14:paraId="3D337537">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监理机构应根据项目的实际情况编制项目监理大纲，确定项目监理机构的具体工作目标和任务，规定具体的监理工作制度、程序、方法和措施；</w:t>
      </w:r>
    </w:p>
    <w:p w14:paraId="5BD7C28F">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监理机构应编制项目监理实施方案，实施方案应符合项目监理大纲的要求，并应结合项目的特点，做到详细具体，可操作；</w:t>
      </w:r>
    </w:p>
    <w:p w14:paraId="096CE2F5">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监理机构应该在质量控制、投资控制、进度控制、信息管理、合同管理等几个方面对监理项目采取必要和完善的监督、控制和管理措施，保证监理项目能够按时、按质、按量竣工；</w:t>
      </w:r>
    </w:p>
    <w:p w14:paraId="64C198ED">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监理机构必须定时（每周）向采购人通报项目进展情况及项目实施过程中所遇到的问题。</w:t>
      </w:r>
    </w:p>
    <w:p w14:paraId="23767CEC">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本项目不接受联合投标，中标后不得转包。</w:t>
      </w:r>
      <w:bookmarkStart w:id="85" w:name="_Toc108866339"/>
      <w:bookmarkStart w:id="86" w:name="_Toc105239112"/>
    </w:p>
    <w:p w14:paraId="2997FE86">
      <w:pPr>
        <w:keepNext w:val="0"/>
        <w:keepLines w:val="0"/>
        <w:pageBreakBefore w:val="0"/>
        <w:widowControl w:val="0"/>
        <w:kinsoku/>
        <w:wordWrap/>
        <w:overflowPunct/>
        <w:topLinePunct w:val="0"/>
        <w:bidi w:val="0"/>
        <w:snapToGrid/>
        <w:spacing w:line="52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投标供应商须具备完成本项目所必需的仪器和检测设备，并提供拟在本项目使用的主要仪器、检测设备一览表。</w:t>
      </w:r>
    </w:p>
    <w:p w14:paraId="2B39AB0C">
      <w:pPr>
        <w:keepNext w:val="0"/>
        <w:keepLines w:val="0"/>
        <w:pageBreakBefore w:val="0"/>
        <w:widowControl w:val="0"/>
        <w:kinsoku/>
        <w:wordWrap/>
        <w:overflowPunct/>
        <w:topLinePunct w:val="0"/>
        <w:bidi w:val="0"/>
        <w:snapToGrid/>
        <w:spacing w:line="520" w:lineRule="exact"/>
        <w:ind w:lef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4、监理实施依据</w:t>
      </w:r>
    </w:p>
    <w:p w14:paraId="46E7F1BC">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项目监理应使用与本项目内容相关的下列最新版本的标准与规范：</w:t>
      </w:r>
    </w:p>
    <w:p w14:paraId="2881CCFF">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监理服务合同；</w:t>
      </w:r>
    </w:p>
    <w:p w14:paraId="45395BF5">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项目招标文件；</w:t>
      </w:r>
    </w:p>
    <w:p w14:paraId="44DFEFE7">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采购人与承建单位签订的施工合同；</w:t>
      </w:r>
    </w:p>
    <w:p w14:paraId="2293931E">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合同图纸及说明；</w:t>
      </w:r>
    </w:p>
    <w:p w14:paraId="400F2C17">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国家、项目所在地颁布的监理法规等；</w:t>
      </w:r>
    </w:p>
    <w:p w14:paraId="15495555">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采购人授予的其他权限。</w:t>
      </w:r>
    </w:p>
    <w:bookmarkEnd w:id="85"/>
    <w:bookmarkEnd w:id="86"/>
    <w:p w14:paraId="3775177D">
      <w:pPr>
        <w:keepNext w:val="0"/>
        <w:keepLines w:val="0"/>
        <w:pageBreakBefore w:val="0"/>
        <w:widowControl w:val="0"/>
        <w:kinsoku/>
        <w:wordWrap/>
        <w:overflowPunct/>
        <w:topLinePunct w:val="0"/>
        <w:bidi w:val="0"/>
        <w:snapToGrid/>
        <w:spacing w:line="520" w:lineRule="exact"/>
        <w:ind w:lef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5、监理责任</w:t>
      </w:r>
    </w:p>
    <w:p w14:paraId="11C30673">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监理公司有责任为建设单位提供项目顾问咨询意见，有义务帮助承建单位实现合同所规定的目标，公正维护各方的合法权益；</w:t>
      </w:r>
    </w:p>
    <w:p w14:paraId="4ACA1AE9">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在本合同期内及合同终止后，未征得建设单位同意，不得泄露与本项目有关的资料；</w:t>
      </w:r>
    </w:p>
    <w:p w14:paraId="09083891">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由于承建单位在项目实施中不符合项目规范和质量要求，监理公司要监督承建单位停工整改或返工。如承建单位人员工作不力，可提出调换有关人员；</w:t>
      </w:r>
    </w:p>
    <w:p w14:paraId="78B2A79F">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如果承建单位违反合同规定的质量要求和完工时限，监理公司应协助建设单位追究有关承建单位的责任；</w:t>
      </w:r>
    </w:p>
    <w:p w14:paraId="2FEE873E">
      <w:pPr>
        <w:pStyle w:val="61"/>
        <w:keepNext w:val="0"/>
        <w:keepLines w:val="0"/>
        <w:pageBreakBefore w:val="0"/>
        <w:widowControl w:val="0"/>
        <w:numPr>
          <w:ilvl w:val="0"/>
          <w:numId w:val="0"/>
        </w:numPr>
        <w:kinsoku/>
        <w:wordWrap/>
        <w:overflowPunct/>
        <w:topLinePunct w:val="0"/>
        <w:bidi w:val="0"/>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监理公司使用建设单位提供的设备和物品属建设单位所有，在监理工作完成或终止时，应将设备和剩余物品在合同规定的时间和方式移交给建设单位。</w:t>
      </w:r>
    </w:p>
    <w:p w14:paraId="256CB54B">
      <w:pPr>
        <w:keepNext w:val="0"/>
        <w:keepLines w:val="0"/>
        <w:pageBreakBefore w:val="0"/>
        <w:widowControl w:val="0"/>
        <w:kinsoku/>
        <w:wordWrap/>
        <w:overflowPunct/>
        <w:topLinePunct w:val="0"/>
        <w:bidi w:val="0"/>
        <w:snapToGrid/>
        <w:spacing w:line="520" w:lineRule="exact"/>
        <w:ind w:lef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6、监理服务的范围及期限</w:t>
      </w:r>
    </w:p>
    <w:p w14:paraId="593FF3EC">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(1)项目范围：采购人与项目承包人签订的合同文件规定的全部内容、合同补充条款增加的项目内容以及设计变更包括的内容。</w:t>
      </w:r>
    </w:p>
    <w:p w14:paraId="2143B2E3">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(2)工作范围包括项目实施监理、试运行期监理。</w:t>
      </w:r>
    </w:p>
    <w:p w14:paraId="0162EF52">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(3)监理服务期限至所监理项目验收合格结束。</w:t>
      </w:r>
    </w:p>
    <w:p w14:paraId="7405C2D1">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(4)本招标文件规定的其他服务范围。</w:t>
      </w:r>
    </w:p>
    <w:p w14:paraId="17284EF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软件测评服务要求</w:t>
      </w:r>
    </w:p>
    <w:p w14:paraId="025303BD">
      <w:pPr>
        <w:keepNext w:val="0"/>
        <w:keepLines w:val="0"/>
        <w:pageBreakBefore w:val="0"/>
        <w:widowControl w:val="0"/>
        <w:kinsoku/>
        <w:wordWrap/>
        <w:overflowPunct/>
        <w:topLinePunct w:val="0"/>
        <w:autoSpaceDE/>
        <w:autoSpaceDN/>
        <w:bidi w:val="0"/>
        <w:adjustRightInd/>
        <w:snapToGrid/>
        <w:spacing w:line="520" w:lineRule="exact"/>
        <w:ind w:firstLine="500" w:firstLineChars="200"/>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根据本项目</w:t>
      </w:r>
      <w:r>
        <w:rPr>
          <w:rFonts w:hint="eastAsia" w:ascii="宋体" w:hAnsi="宋体" w:eastAsia="宋体" w:cs="宋体"/>
          <w:color w:val="auto"/>
          <w:spacing w:val="5"/>
          <w:sz w:val="24"/>
          <w:szCs w:val="24"/>
          <w:highlight w:val="none"/>
        </w:rPr>
        <w:t>信息系统软件测评，</w:t>
      </w:r>
      <w:r>
        <w:rPr>
          <w:rFonts w:hint="eastAsia" w:ascii="宋体" w:hAnsi="宋体" w:eastAsia="宋体" w:cs="宋体"/>
          <w:color w:val="auto"/>
          <w:spacing w:val="5"/>
          <w:sz w:val="24"/>
          <w:szCs w:val="24"/>
          <w:highlight w:val="none"/>
          <w:lang w:val="en-US" w:eastAsia="zh-CN"/>
        </w:rPr>
        <w:t>要求</w:t>
      </w:r>
      <w:r>
        <w:rPr>
          <w:rFonts w:hint="eastAsia" w:ascii="宋体" w:hAnsi="宋体" w:eastAsia="宋体" w:cs="宋体"/>
          <w:color w:val="auto"/>
          <w:spacing w:val="5"/>
          <w:sz w:val="24"/>
          <w:szCs w:val="24"/>
          <w:highlight w:val="none"/>
        </w:rPr>
        <w:t>完成以下工作：</w:t>
      </w:r>
    </w:p>
    <w:p w14:paraId="21CCA41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1、测评依据</w:t>
      </w:r>
    </w:p>
    <w:p w14:paraId="1FDA310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软件</w:t>
      </w:r>
      <w:r>
        <w:rPr>
          <w:rFonts w:hint="eastAsia" w:ascii="宋体" w:hAnsi="宋体" w:eastAsia="宋体" w:cs="宋体"/>
          <w:color w:val="auto"/>
          <w:sz w:val="24"/>
          <w:szCs w:val="24"/>
          <w:highlight w:val="none"/>
          <w:lang w:val="en-US" w:eastAsia="zh-CN"/>
        </w:rPr>
        <w:t>测评</w:t>
      </w:r>
      <w:r>
        <w:rPr>
          <w:rFonts w:hint="eastAsia" w:ascii="宋体" w:hAnsi="宋体" w:eastAsia="宋体" w:cs="宋体"/>
          <w:color w:val="auto"/>
          <w:sz w:val="24"/>
          <w:szCs w:val="24"/>
          <w:highlight w:val="none"/>
        </w:rPr>
        <w:t>工作具体内容</w:t>
      </w:r>
      <w:r>
        <w:rPr>
          <w:rFonts w:hint="eastAsia" w:ascii="宋体" w:hAnsi="宋体" w:eastAsia="宋体" w:cs="宋体"/>
          <w:color w:val="auto"/>
          <w:spacing w:val="10"/>
          <w:sz w:val="24"/>
          <w:szCs w:val="24"/>
          <w:highlight w:val="none"/>
        </w:rPr>
        <w:t xml:space="preserve">依据 </w:t>
      </w:r>
      <w:r>
        <w:rPr>
          <w:rFonts w:hint="eastAsia" w:ascii="宋体" w:hAnsi="宋体" w:eastAsia="宋体" w:cs="宋体"/>
          <w:color w:val="auto"/>
          <w:sz w:val="24"/>
          <w:szCs w:val="24"/>
          <w:highlight w:val="none"/>
        </w:rPr>
        <w:t>GB</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25000.10-2016：《系统与软件工程 系统与软件质量要求和评价</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SQuaRE</w:t>
      </w:r>
      <w:r>
        <w:rPr>
          <w:rFonts w:hint="eastAsia" w:ascii="宋体" w:hAnsi="宋体" w:eastAsia="宋体" w:cs="宋体"/>
          <w:color w:val="auto"/>
          <w:spacing w:val="3"/>
          <w:sz w:val="24"/>
          <w:szCs w:val="24"/>
          <w:highlight w:val="none"/>
        </w:rPr>
        <w:t>)第10部分：系统与软件质量模型》、</w:t>
      </w:r>
      <w:r>
        <w:rPr>
          <w:rFonts w:hint="eastAsia" w:ascii="宋体" w:hAnsi="宋体" w:eastAsia="宋体" w:cs="宋体"/>
          <w:color w:val="auto"/>
          <w:sz w:val="24"/>
          <w:szCs w:val="24"/>
          <w:highlight w:val="none"/>
        </w:rPr>
        <w:t>GB</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T</w:t>
      </w:r>
      <w:r>
        <w:rPr>
          <w:rFonts w:hint="eastAsia" w:ascii="宋体" w:hAnsi="宋体" w:eastAsia="宋体" w:cs="宋体"/>
          <w:color w:val="auto"/>
          <w:spacing w:val="3"/>
          <w:sz w:val="24"/>
          <w:szCs w:val="24"/>
          <w:highlight w:val="none"/>
        </w:rPr>
        <w:t xml:space="preserve"> 25000.51-2016：《</w:t>
      </w:r>
      <w:r>
        <w:rPr>
          <w:rFonts w:hint="eastAsia" w:ascii="宋体" w:hAnsi="宋体" w:eastAsia="宋体" w:cs="宋体"/>
          <w:color w:val="auto"/>
          <w:spacing w:val="1"/>
          <w:sz w:val="24"/>
          <w:szCs w:val="24"/>
          <w:highlight w:val="none"/>
        </w:rPr>
        <w:t>系</w:t>
      </w:r>
      <w:r>
        <w:rPr>
          <w:rFonts w:hint="eastAsia" w:ascii="宋体" w:hAnsi="宋体" w:eastAsia="宋体" w:cs="宋体"/>
          <w:color w:val="auto"/>
          <w:sz w:val="24"/>
          <w:szCs w:val="24"/>
          <w:highlight w:val="none"/>
        </w:rPr>
        <w:t>统</w:t>
      </w:r>
      <w:r>
        <w:rPr>
          <w:rFonts w:hint="eastAsia" w:ascii="宋体" w:hAnsi="宋体" w:eastAsia="宋体" w:cs="宋体"/>
          <w:color w:val="auto"/>
          <w:spacing w:val="18"/>
          <w:sz w:val="24"/>
          <w:szCs w:val="24"/>
          <w:highlight w:val="none"/>
        </w:rPr>
        <w:t>与软</w:t>
      </w:r>
      <w:r>
        <w:rPr>
          <w:rFonts w:hint="eastAsia" w:ascii="宋体" w:hAnsi="宋体" w:eastAsia="宋体" w:cs="宋体"/>
          <w:color w:val="auto"/>
          <w:spacing w:val="9"/>
          <w:sz w:val="24"/>
          <w:szCs w:val="24"/>
          <w:highlight w:val="none"/>
        </w:rPr>
        <w:t>件工程 系统与软件质量要求和评价(</w:t>
      </w:r>
      <w:r>
        <w:rPr>
          <w:rFonts w:hint="eastAsia" w:ascii="宋体" w:hAnsi="宋体" w:eastAsia="宋体" w:cs="宋体"/>
          <w:color w:val="auto"/>
          <w:sz w:val="24"/>
          <w:szCs w:val="24"/>
          <w:highlight w:val="none"/>
        </w:rPr>
        <w:t>SQuaRE</w:t>
      </w:r>
      <w:r>
        <w:rPr>
          <w:rFonts w:hint="eastAsia" w:ascii="宋体" w:hAnsi="宋体" w:eastAsia="宋体" w:cs="宋体"/>
          <w:color w:val="auto"/>
          <w:spacing w:val="9"/>
          <w:sz w:val="24"/>
          <w:szCs w:val="24"/>
          <w:highlight w:val="none"/>
        </w:rPr>
        <w:t>)第51部分：就绪可用软</w:t>
      </w:r>
      <w:r>
        <w:rPr>
          <w:rFonts w:hint="eastAsia" w:ascii="宋体" w:hAnsi="宋体" w:eastAsia="宋体" w:cs="宋体"/>
          <w:color w:val="auto"/>
          <w:spacing w:val="20"/>
          <w:sz w:val="24"/>
          <w:szCs w:val="24"/>
          <w:highlight w:val="none"/>
        </w:rPr>
        <w:t>件</w:t>
      </w:r>
      <w:r>
        <w:rPr>
          <w:rFonts w:hint="eastAsia" w:ascii="宋体" w:hAnsi="宋体" w:eastAsia="宋体" w:cs="宋体"/>
          <w:color w:val="auto"/>
          <w:spacing w:val="12"/>
          <w:sz w:val="24"/>
          <w:szCs w:val="24"/>
          <w:highlight w:val="none"/>
        </w:rPr>
        <w:t>产</w:t>
      </w:r>
      <w:r>
        <w:rPr>
          <w:rFonts w:hint="eastAsia" w:ascii="宋体" w:hAnsi="宋体" w:eastAsia="宋体" w:cs="宋体"/>
          <w:color w:val="auto"/>
          <w:spacing w:val="10"/>
          <w:sz w:val="24"/>
          <w:szCs w:val="24"/>
          <w:highlight w:val="none"/>
        </w:rPr>
        <w:t>品(</w:t>
      </w:r>
      <w:r>
        <w:rPr>
          <w:rFonts w:hint="eastAsia" w:ascii="宋体" w:hAnsi="宋体" w:eastAsia="宋体" w:cs="宋体"/>
          <w:color w:val="auto"/>
          <w:sz w:val="24"/>
          <w:szCs w:val="24"/>
          <w:highlight w:val="none"/>
        </w:rPr>
        <w:t>RUSP</w:t>
      </w:r>
      <w:r>
        <w:rPr>
          <w:rFonts w:hint="eastAsia" w:ascii="宋体" w:hAnsi="宋体" w:eastAsia="宋体" w:cs="宋体"/>
          <w:color w:val="auto"/>
          <w:spacing w:val="10"/>
          <w:sz w:val="24"/>
          <w:szCs w:val="24"/>
          <w:highlight w:val="none"/>
        </w:rPr>
        <w:t>)的质量要求和测试细则》等国家相关标准文件要求</w:t>
      </w:r>
      <w:r>
        <w:rPr>
          <w:rFonts w:hint="eastAsia" w:ascii="宋体" w:hAnsi="宋体" w:eastAsia="宋体" w:cs="宋体"/>
          <w:color w:val="auto"/>
          <w:spacing w:val="10"/>
          <w:sz w:val="24"/>
          <w:szCs w:val="24"/>
          <w:highlight w:val="none"/>
          <w:lang w:eastAsia="zh-CN"/>
        </w:rPr>
        <w:t>。</w:t>
      </w:r>
    </w:p>
    <w:p w14:paraId="5A62AAA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2、质量要求</w:t>
      </w:r>
      <w:r>
        <w:rPr>
          <w:rFonts w:hint="eastAsia" w:ascii="宋体" w:hAnsi="宋体" w:eastAsia="宋体" w:cs="宋体"/>
          <w:color w:val="auto"/>
          <w:sz w:val="24"/>
          <w:szCs w:val="24"/>
          <w:highlight w:val="none"/>
          <w:lang w:val="en-US" w:eastAsia="zh-CN"/>
        </w:rPr>
        <w:t xml:space="preserve"> </w:t>
      </w:r>
    </w:p>
    <w:p w14:paraId="25998A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1）测试报告内容及数据应准确、完整、客观、公正； </w:t>
      </w:r>
    </w:p>
    <w:p w14:paraId="031346C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2）测试服务质量应符合评测规范中的相关要求，且技术评测结果及报告必须提交最终用户确认。 </w:t>
      </w:r>
    </w:p>
    <w:p w14:paraId="52C2C7D8">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3、测评任务</w:t>
      </w:r>
      <w:r>
        <w:rPr>
          <w:rFonts w:hint="eastAsia" w:ascii="宋体" w:hAnsi="宋体" w:eastAsia="宋体" w:cs="宋体"/>
          <w:color w:val="auto"/>
          <w:sz w:val="24"/>
          <w:szCs w:val="24"/>
          <w:highlight w:val="none"/>
          <w:lang w:val="en-US" w:eastAsia="zh-CN"/>
        </w:rPr>
        <w:t xml:space="preserve"> </w:t>
      </w:r>
    </w:p>
    <w:p w14:paraId="59C2345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围绕测评工作目标，中标人需完成的任务包括但不限于： </w:t>
      </w:r>
    </w:p>
    <w:p w14:paraId="0203CF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 编写测试方案，对项目测试内容进行阐述，并提出项目对应的测试通过准则及测试实施计划。 </w:t>
      </w:r>
    </w:p>
    <w:p w14:paraId="4D47B0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 开展基础的系统检测，提供测试和质量保证服务, 根据平台的需求及业务功能特点，对各数据进行检测，对标准进行较验及对应用系统各软件进行功能测试；根据平台对信息应用系统的性能的要求，对系统进行性能测试，验证系统的运行性能否满足预定指标，是否可提供稳定、可靠的服务。  </w:t>
      </w:r>
    </w:p>
    <w:p w14:paraId="61E8E9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完成项目的验收测试工作后，根据测试情况，出具验收评测报告。</w:t>
      </w:r>
    </w:p>
    <w:p w14:paraId="1C5B6D5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4、测评内容</w:t>
      </w:r>
    </w:p>
    <w:p w14:paraId="3D6CD3B1">
      <w:pPr>
        <w:keepNext w:val="0"/>
        <w:keepLines w:val="0"/>
        <w:pageBreakBefore w:val="0"/>
        <w:widowControl w:val="0"/>
        <w:kinsoku/>
        <w:wordWrap/>
        <w:overflowPunct/>
        <w:topLinePunct w:val="0"/>
        <w:autoSpaceDE/>
        <w:autoSpaceDN/>
        <w:bidi w:val="0"/>
        <w:adjustRightInd/>
        <w:snapToGrid/>
        <w:spacing w:line="52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在承建方完成组件开发、集成工作后，参照系统功能设计，根据软件开发模型的不同，采用符合实际的方法对系统进行系统测试，验证指定的需求是否已经满足； </w:t>
      </w:r>
    </w:p>
    <w:p w14:paraId="11A97CDD">
      <w:pPr>
        <w:keepNext w:val="0"/>
        <w:keepLines w:val="0"/>
        <w:pageBreakBefore w:val="0"/>
        <w:widowControl w:val="0"/>
        <w:kinsoku/>
        <w:wordWrap/>
        <w:overflowPunct/>
        <w:topLinePunct w:val="0"/>
        <w:autoSpaceDE/>
        <w:autoSpaceDN/>
        <w:bidi w:val="0"/>
        <w:adjustRightInd/>
        <w:snapToGrid/>
        <w:spacing w:line="52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总体开发完成后，进行验收测试，即确认提供的产品完全达到了预期的用途，对软件进行评价以证实它是否和软件需求相一致； </w:t>
      </w:r>
    </w:p>
    <w:p w14:paraId="06351E75">
      <w:pPr>
        <w:keepNext w:val="0"/>
        <w:keepLines w:val="0"/>
        <w:pageBreakBefore w:val="0"/>
        <w:widowControl w:val="0"/>
        <w:kinsoku/>
        <w:wordWrap/>
        <w:overflowPunct/>
        <w:topLinePunct w:val="0"/>
        <w:autoSpaceDE/>
        <w:autoSpaceDN/>
        <w:bidi w:val="0"/>
        <w:adjustRightInd/>
        <w:snapToGrid/>
        <w:spacing w:line="520" w:lineRule="exact"/>
        <w:ind w:firstLine="492" w:firstLineChars="200"/>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 xml:space="preserve">对于测试中发现的问题，承建方整改后，检测机构需要进行回归测试，在修改缺陷后验证是否有新的缺陷引入。 </w:t>
      </w:r>
    </w:p>
    <w:p w14:paraId="310A92F1">
      <w:pPr>
        <w:keepNext w:val="0"/>
        <w:keepLines w:val="0"/>
        <w:pageBreakBefore w:val="0"/>
        <w:widowControl w:val="0"/>
        <w:kinsoku/>
        <w:wordWrap/>
        <w:overflowPunct/>
        <w:topLinePunct w:val="0"/>
        <w:autoSpaceDE/>
        <w:autoSpaceDN/>
        <w:bidi w:val="0"/>
        <w:adjustRightInd/>
        <w:snapToGrid/>
        <w:spacing w:line="52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基于测试依据，测试内容可能包括但不限于功能测试、性能效率测试、信息安全测试、可移植性测试、易用性测试、可维护性测试、可靠性测试。</w:t>
      </w:r>
    </w:p>
    <w:p w14:paraId="3DE2E8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功能测试</w:t>
      </w:r>
    </w:p>
    <w:p w14:paraId="0616E5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功能评测要求中标人依据招标文件中的技术要求，并结合用户对系统建设平台建设的招标要求和整体功能，对系统涉及到的所有业务逻辑、功能逻辑、功能项的全覆盖评测。包含但不限于以下：</w:t>
      </w:r>
    </w:p>
    <w:p w14:paraId="29504B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适合性：系统为制定的任务和用户目标提供一组核实的功能的能力；</w:t>
      </w:r>
    </w:p>
    <w:p w14:paraId="57EBC32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准确性：系统提供具有所需精度的正确或相符的结果或效果的能力；</w:t>
      </w:r>
    </w:p>
    <w:p w14:paraId="11F4BBE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互操作性：系统与一个或更多的规定系统进行交互的能力；</w:t>
      </w:r>
    </w:p>
    <w:p w14:paraId="5F049C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一致性：系统功能及数据实现与用户文档相互符合的能力。</w:t>
      </w:r>
    </w:p>
    <w:p w14:paraId="036CA6A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性能效率</w:t>
      </w:r>
    </w:p>
    <w:p w14:paraId="645F20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测试要求中标人通过站在用户体验的角度，使用专业的负载生成设备，在性能模型的基础上验证系统是否能够达到用户提出的性能指标，是否符合用户文档中对系统设计时的性能关注点。在系统正常交互量及峰值交互量的情况下发现系统中存在的性能瓶颂，优化软件，最后达到优化系统的目的。包含但不限于以下内容：</w:t>
      </w:r>
    </w:p>
    <w:p w14:paraId="6EAD6F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并发数：选择典型业务，调研系统最大并发数据，进行并发测试。</w:t>
      </w:r>
    </w:p>
    <w:p w14:paraId="5CDE423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时间特性：在达到并发或吞吐量的指标后，系统还必须让最终用户能够及时完成他们的任务。响应时间为主要考核指标，响应时间=网络响应时间+应用处理时间</w:t>
      </w:r>
    </w:p>
    <w:p w14:paraId="3EA40E0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利用性：在规定条件下，软件产品执行其功能时，使用合适数量和类别的资源的能力吞吐量：对于交互式应用来说，吞吐量指标反映的是服务器承受的压力。在容量规划的测试中，吞吐量是一个重要关注的指标，因为它能够说明系统级别的负载能力；另外在性能调优的过程中，吞吐量指标也是重要的价值。</w:t>
      </w:r>
    </w:p>
    <w:p w14:paraId="209F87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根据项目涉及使用人员角色和权限不一，系统需要具有高性能，采购人按照系统平台建设相关要求，进行系统性能测试。</w:t>
      </w:r>
    </w:p>
    <w:p w14:paraId="2CB0F5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可靠性测试</w:t>
      </w:r>
    </w:p>
    <w:p w14:paraId="0DC6F6F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测试各业务系统在各种条件下使用时，系统各功能操作应具有一定的可靠性。可靠性测试应包括如下方面：</w:t>
      </w:r>
    </w:p>
    <w:p w14:paraId="50750A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成熟性：验证软件，避免由软件故障导致失效；</w:t>
      </w:r>
    </w:p>
    <w:p w14:paraId="5C36C59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容错性：在软件出现故障或者违反其指定接口、操作模式的情况下，验证软件维持规定的性能级别的能力。</w:t>
      </w:r>
    </w:p>
    <w:p w14:paraId="7363AC8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高可靠性指标参照国家、省相关评测标准和本项目系统平台建设招投标文件要求。</w:t>
      </w:r>
    </w:p>
    <w:p w14:paraId="1C6D5DE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易用性测试</w:t>
      </w:r>
    </w:p>
    <w:p w14:paraId="1EEDAE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对本项目开发的所有应用系统进行易用性方面的测试，测试系统各功能操作是否易于理解、易于操作。</w:t>
      </w:r>
    </w:p>
    <w:p w14:paraId="4D092F7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用性测试应检查软件以及软件执行过程中的界面、图形、文字、信息和标识是否容易理解，易用浏览，检查软件的输入、操作方式是否便捷、易用、易学，并验证软件和相关。标识、行业要求、双方合同在易用性方面的符合性。</w:t>
      </w:r>
    </w:p>
    <w:p w14:paraId="3029EF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（1）系统各功能模块，操作风格保持统一。</w:t>
      </w:r>
    </w:p>
    <w:p w14:paraId="1B79E4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（2）系统提示信息清晰完整，对用户使用有指导作用。</w:t>
      </w:r>
    </w:p>
    <w:p w14:paraId="3D92ADB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（3）快捷键定义应符合用户习惯，避免与Windows系统默认快捷键冲突。</w:t>
      </w:r>
    </w:p>
    <w:p w14:paraId="443E22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（4）系统日志输出应完整清晰，能够根据系统主要标识，通过日志定位系统问题。</w:t>
      </w:r>
    </w:p>
    <w:p w14:paraId="0B92A2B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（5）用户界面提示信息简单易懂，信息能够为用户提供指导，便于用户下一步操作。</w:t>
      </w:r>
    </w:p>
    <w:p w14:paraId="7C7658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（6）如出现致命问题，提示信息应显示详细，便于维护人员排查、解决问题。</w:t>
      </w:r>
    </w:p>
    <w:p w14:paraId="6E855A3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（7）系统代码应符合语言使用规范。</w:t>
      </w:r>
    </w:p>
    <w:p w14:paraId="7D8F50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可维护性</w:t>
      </w:r>
    </w:p>
    <w:p w14:paraId="13799BD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验证各系统可被修改的能力，修改可能包括纠正、改进或软件对环境、需求和功能规格说明变化的适应。</w:t>
      </w:r>
    </w:p>
    <w:p w14:paraId="6B2DFB8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验证软件具有的缺陷与失效原因诊断、修改、错误排除等方面的能力以及可扩展能力。</w:t>
      </w:r>
    </w:p>
    <w:p w14:paraId="163BF26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信息安全性测试</w:t>
      </w:r>
    </w:p>
    <w:p w14:paraId="56B6E3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验证并测试系统：</w:t>
      </w:r>
    </w:p>
    <w:p w14:paraId="33D893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（1）集中用户管理：系统用户在不同的业务系统有不同的角色定义，对应不同的功能权限，需构建相应的用户集中管理模式，实现用户统一身份和标识管理、统一认证及单点登录。</w:t>
      </w:r>
    </w:p>
    <w:p w14:paraId="57A760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（2）用户命名统一：实现用户命名统一，为用户集中管理及信息共享提供支撑。</w:t>
      </w:r>
    </w:p>
    <w:p w14:paraId="4EA566F4">
      <w:pPr>
        <w:pStyle w:val="25"/>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（3）身份认证：系统对不同岗位人员实行分级授权，对用户的访问权限实行有效的管理等安全性指标。</w:t>
      </w:r>
    </w:p>
    <w:p w14:paraId="4B667F60">
      <w:pPr>
        <w:keepNext w:val="0"/>
        <w:keepLines w:val="0"/>
        <w:pageBreakBefore w:val="0"/>
        <w:widowControl w:val="0"/>
        <w:kinsoku/>
        <w:wordWrap/>
        <w:overflowPunct/>
        <w:topLinePunct w:val="0"/>
        <w:bidi w:val="0"/>
        <w:snapToGrid/>
        <w:spacing w:line="520" w:lineRule="exact"/>
        <w:ind w:left="0" w:firstLine="482" w:firstLineChars="20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5、其他要求</w:t>
      </w:r>
    </w:p>
    <w:p w14:paraId="26E5EA61">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对项目所涉及的软件开发</w:t>
      </w:r>
      <w:r>
        <w:rPr>
          <w:rFonts w:hint="eastAsia" w:ascii="宋体" w:hAnsi="宋体" w:eastAsia="宋体" w:cs="宋体"/>
          <w:b w:val="0"/>
          <w:bCs w:val="0"/>
          <w:color w:val="auto"/>
          <w:sz w:val="24"/>
          <w:szCs w:val="24"/>
          <w:highlight w:val="none"/>
          <w:lang w:val="en-US" w:eastAsia="zh-CN"/>
        </w:rPr>
        <w:t>内容提供国家认可的第三方检测机构出具软件测试报告</w:t>
      </w:r>
      <w:r>
        <w:rPr>
          <w:rFonts w:hint="eastAsia" w:ascii="宋体" w:hAnsi="宋体" w:eastAsia="宋体" w:cs="宋体"/>
          <w:b w:val="0"/>
          <w:bCs w:val="0"/>
          <w:color w:val="auto"/>
          <w:sz w:val="24"/>
          <w:szCs w:val="24"/>
          <w:highlight w:val="none"/>
          <w:lang w:val="en-US"/>
        </w:rPr>
        <w:fldChar w:fldCharType="begin"/>
      </w:r>
      <w:r>
        <w:rPr>
          <w:rFonts w:hint="eastAsia" w:ascii="宋体" w:hAnsi="宋体" w:eastAsia="宋体" w:cs="宋体"/>
          <w:b w:val="0"/>
          <w:bCs w:val="0"/>
          <w:color w:val="auto"/>
          <w:sz w:val="24"/>
          <w:szCs w:val="24"/>
          <w:highlight w:val="none"/>
          <w:lang w:val="en-US"/>
        </w:rPr>
        <w:instrText xml:space="preserve"> HYPERLINK "http://www.baidu.com/baidu.php?url=060000KKXYb9K48fSdKbwSk6ox5OlFNIv8PSw0WIt-67aCaWVBmMgZNlkqYtsiYPCe-jos-Ewyw8k03t7WPxeQom1v5aGiFNZNUg5kzmxWK2ZBE0NIU8IamjWWbb9QZgTGk65B2n2sE6X1USfHV5qMv86LQXv3ZQILW16_84ZFKKXhgGI2UGxlFOTzOhjmyDa9ethIi6bGtJ4GuCOwYba_FMbF39.7D_NR2Ar5Od663rj6t8ZHfHZfWwKLkqEQa1Gk_Ed7hl55A-hpAooWeXyPvap7Q7erQKdkqEQGHTOKGmOZ1OBITxUzs8BCFBCnfGWJxXzeRzeoWeXgV3QhF__rrOR_HZHb_LeJer1-zTXNzI5QIJyAp7WIgvNed0.U1Yz0ZDqzrvtO_pq12B1qoexzrvtOoQBzVikJQWh0ZKGm1Ys0ZfqzrvtO_U0_82kJQWh0A-V5HczPfKM5yq-TZnk0ZNG5yF9pywdUAY0TA-b5Hb0mv-b5HDYn0KVIjYknjD4g1DsnHIxnW0dnNt1PW0k0AVG5H00TMfqP10d0AFG5HDdr7tznjwxPH010AdW5HDsnH-xnH0kPdtznjRkg100TgKGujYs0Z7Wpyfqn0KzuLw9u1Ys0A7B5HKxn0K-ThTqn0KsTjYs0A4vTjYsQW0snj0snj0s0AdYTjYs0AwbUL0qn0KzpWYs0Aw-IWdsmsKhIjYs0ZKC5H00ULnqn0KBI1Ykn0K8IjYs0ZPl5fK9TdqGuAnqTZnVuLG8TsKGuAnqiD4K0ZKCIZbq0Zw9ThI-IjY1nNt1nHFxr0KYIgnqPWRsP1TkrHD4njnYPHTYPHfdrfKzug7Y5HDvrHRkrHT4rHT1njm0Tv-b5y7bP1wWnWKWnj0snjwBrAf0mLPV5HFKn103nWIKnW9DfWFKnYc0mynqnfKsUWYs0Z7VIjYs0Z7VT1Ys0ZGY5H00UyPxuMFEUHYsg1Kxn7ts0Aw9UMNBuNqsUA78pyw15HKxn7tsg100TA7Ygvu_myTqn0Kbmv-b5H00ugwGujYVnfK9TLKWm1Ys0ZNspy4Wm1Ys0Z7VuWYs0AuWIgfqn0KGTvP_5H00mywhUA7M5HD0UAuW5H00uAPWujY0IZF9uARqPH6sPW0L0AFbpyfqwWIjrDmdwj-KnbwKn1b4PDuKPDmknRu7n1NAPjmLnWn0UvnqnfKBIjYs0Aq9IZTqn0KEIjYs0AqzTZfqnanscznsc10WnansQW0snj0snanscYwANansczYWna3snj0snj0Wni3snj0snj0Wnansc108nj0snj0sc10Wnans0AF9UhV9mvnqnansc10Wn0K3TLwd5Hc4PHDzrHmz0Z7xIWYsQWRzg108njKxna3sn7tsQWfzg108nj-xn7tsQW04g100mMPxTZFEuA-b5H00ThqGuhk9u1Ys0APv5fKGTdqWTADqn0KWTjYs0AN1IjYs0APzm1Y1PHckn0&amp;us=newvui&amp;xst=mWdAPYn3wWNDrRDzwDD1rHbYwbDYwWDkwbR1PRmYPWTzns715HDzPjb3rjc3nWczPWRdn16YPjmkg1czPNtk0gTqzrvtO_U0_82kJQWh0gDqzrvtO_pq12B1qoexzrvtOoQBzVikJQWh0gRqnWbdnHc4PWcKIjYkPWbdnHbLrHbL0ydk5H0an0cV0yPC5yuWgLKW0ykd5H0Kmv3qPWcsrHRknjwxnWPxUvNVgvwM0gFY5H0KPjDYnWnsnH03rf&amp;cegduid=nWbdnHc4PWc&amp;solutionId=4056715&amp;word=&amp;ck=6954.32.5.309.312.316.154.1313&amp;shh=www.baidu.com&amp;sht=62095104_23_oem_dg&amp;wd=" \t "https://www.baidu.com/_blank" </w:instrText>
      </w:r>
      <w:r>
        <w:rPr>
          <w:rFonts w:hint="eastAsia" w:ascii="宋体" w:hAnsi="宋体" w:eastAsia="宋体" w:cs="宋体"/>
          <w:b w:val="0"/>
          <w:bCs w:val="0"/>
          <w:color w:val="auto"/>
          <w:sz w:val="24"/>
          <w:szCs w:val="24"/>
          <w:highlight w:val="none"/>
          <w:lang w:val="en-US"/>
        </w:rPr>
        <w:fldChar w:fldCharType="separate"/>
      </w:r>
      <w:r>
        <w:rPr>
          <w:rFonts w:hint="eastAsia" w:ascii="宋体" w:hAnsi="宋体" w:eastAsia="宋体" w:cs="宋体"/>
          <w:b w:val="0"/>
          <w:bCs w:val="0"/>
          <w:color w:val="auto"/>
          <w:sz w:val="24"/>
          <w:szCs w:val="24"/>
          <w:highlight w:val="none"/>
          <w:lang w:val="en-US"/>
        </w:rPr>
        <w:t>（测试过程中应督促软件开发单位对问题项进行整改，直到测试结果通过为止）。</w:t>
      </w:r>
    </w:p>
    <w:p w14:paraId="6F22554C">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0" w:firstLine="480"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rPr>
        <w:fldChar w:fldCharType="end"/>
      </w:r>
      <w:r>
        <w:rPr>
          <w:rFonts w:hint="eastAsia" w:ascii="宋体" w:hAnsi="宋体" w:eastAsia="宋体" w:cs="宋体"/>
          <w:b/>
          <w:bCs/>
          <w:color w:val="auto"/>
          <w:sz w:val="24"/>
          <w:szCs w:val="24"/>
          <w:highlight w:val="none"/>
          <w:lang w:val="en-US" w:eastAsia="zh-CN"/>
        </w:rPr>
        <w:t>三、报价要求</w:t>
      </w:r>
      <w:bookmarkStart w:id="322" w:name="_GoBack"/>
      <w:bookmarkEnd w:id="322"/>
    </w:p>
    <w:p w14:paraId="24A9A0A9">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rPr>
        <w:t>投标人所报价格包含提供以上服务所需全部费用，投标人报价包含服务（货物）、利润、税金、政策性文件规定及合同包含的所有风险、责任、义务等，即为完成招标文件要求的服务（货物）内容所包含的一切应有费用。</w:t>
      </w:r>
    </w:p>
    <w:p w14:paraId="2EC1FE87">
      <w:pPr>
        <w:keepNext w:val="0"/>
        <w:keepLines w:val="0"/>
        <w:pageBreakBefore w:val="0"/>
        <w:widowControl w:val="0"/>
        <w:kinsoku/>
        <w:wordWrap/>
        <w:overflowPunct/>
        <w:topLinePunct w:val="0"/>
        <w:bidi w:val="0"/>
        <w:snapToGrid/>
        <w:spacing w:line="520" w:lineRule="exact"/>
        <w:ind w:lef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项目服务过程中所出现的任何遗漏，必须由中标人免费提供，采购人将不再支付任何费用，投标人须自行考虑投标风险。除非特别要求，该项目只允许有唯一方案、唯一报价，多方案、多报价的投标文件将不被接受。</w:t>
      </w:r>
    </w:p>
    <w:p w14:paraId="3052D8BC">
      <w:pPr>
        <w:keepNext w:val="0"/>
        <w:keepLines w:val="0"/>
        <w:pageBreakBefore w:val="0"/>
        <w:kinsoku/>
        <w:wordWrap/>
        <w:overflowPunct/>
        <w:topLinePunct w:val="0"/>
        <w:bidi w:val="0"/>
        <w:spacing w:line="520" w:lineRule="exact"/>
        <w:ind w:firstLine="482" w:firstLineChars="200"/>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br w:type="page"/>
      </w:r>
    </w:p>
    <w:p w14:paraId="16593E29">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42"/>
    </w:p>
    <w:p w14:paraId="2F62C23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Theme="minorEastAsia" w:hAnsiTheme="minorEastAsia" w:eastAsiaTheme="minorEastAsia"/>
          <w:b/>
          <w:color w:val="auto"/>
          <w:sz w:val="24"/>
          <w:highlight w:val="none"/>
        </w:rPr>
      </w:pPr>
      <w:bookmarkStart w:id="87" w:name="_Toc11823"/>
      <w:bookmarkStart w:id="88" w:name="_Toc4705"/>
      <w:r>
        <w:rPr>
          <w:rFonts w:hint="eastAsia" w:asciiTheme="minorEastAsia" w:hAnsiTheme="minorEastAsia" w:eastAsiaTheme="minorEastAsia"/>
          <w:b/>
          <w:color w:val="auto"/>
          <w:sz w:val="24"/>
          <w:highlight w:val="none"/>
        </w:rPr>
        <w:t>一、总则</w:t>
      </w:r>
      <w:bookmarkEnd w:id="87"/>
      <w:bookmarkEnd w:id="88"/>
    </w:p>
    <w:p w14:paraId="6B5B083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97490C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Theme="minorEastAsia" w:hAnsiTheme="minorEastAsia" w:eastAsiaTheme="minorEastAsia"/>
          <w:b/>
          <w:color w:val="auto"/>
          <w:sz w:val="24"/>
          <w:highlight w:val="none"/>
        </w:rPr>
      </w:pPr>
      <w:bookmarkStart w:id="89" w:name="_Toc31871"/>
      <w:bookmarkStart w:id="90" w:name="_Toc32410"/>
      <w:r>
        <w:rPr>
          <w:rFonts w:hint="eastAsia" w:asciiTheme="minorEastAsia" w:hAnsiTheme="minorEastAsia" w:eastAsiaTheme="minorEastAsia"/>
          <w:b/>
          <w:color w:val="auto"/>
          <w:sz w:val="24"/>
          <w:highlight w:val="none"/>
        </w:rPr>
        <w:t>二、评标方法</w:t>
      </w:r>
      <w:bookmarkEnd w:id="89"/>
      <w:bookmarkEnd w:id="90"/>
    </w:p>
    <w:p w14:paraId="5E09B96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33"/>
        <w:tblW w:w="56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706"/>
        <w:gridCol w:w="5040"/>
        <w:gridCol w:w="2340"/>
      </w:tblGrid>
      <w:tr w14:paraId="08D3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4"/>
            <w:tcBorders>
              <w:bottom w:val="single" w:color="auto" w:sz="4" w:space="0"/>
            </w:tcBorders>
            <w:vAlign w:val="center"/>
          </w:tcPr>
          <w:p w14:paraId="577655BB">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9AB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tcBorders>
              <w:bottom w:val="single" w:color="auto" w:sz="4" w:space="0"/>
            </w:tcBorders>
            <w:vAlign w:val="center"/>
          </w:tcPr>
          <w:p w14:paraId="47ED5446">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58" w:type="pct"/>
            <w:tcBorders>
              <w:bottom w:val="single" w:color="auto" w:sz="4" w:space="0"/>
            </w:tcBorders>
            <w:vAlign w:val="center"/>
          </w:tcPr>
          <w:p w14:paraId="529FACA4">
            <w:pPr>
              <w:pStyle w:val="55"/>
              <w:keepNext w:val="0"/>
              <w:keepLines w:val="0"/>
              <w:pageBreakBefore w:val="0"/>
              <w:pBdr>
                <w:bottom w:val="none" w:color="auto" w:sz="0" w:space="0"/>
              </w:pBdr>
              <w:tabs>
                <w:tab w:val="clear" w:pos="4153"/>
                <w:tab w:val="clear" w:pos="8306"/>
              </w:tabs>
              <w:kinsoku/>
              <w:overflowPunct/>
              <w:topLinePunct w:val="0"/>
              <w:autoSpaceDE/>
              <w:autoSpaceDN/>
              <w:bidi w:val="0"/>
              <w:snapToGrid w:val="0"/>
              <w:spacing w:line="520" w:lineRule="exact"/>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535" w:type="pct"/>
            <w:tcBorders>
              <w:bottom w:val="single" w:color="auto" w:sz="4" w:space="0"/>
            </w:tcBorders>
            <w:vAlign w:val="center"/>
          </w:tcPr>
          <w:p w14:paraId="21894A42">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审查内容</w:t>
            </w:r>
          </w:p>
        </w:tc>
        <w:tc>
          <w:tcPr>
            <w:tcW w:w="1176" w:type="pct"/>
            <w:tcBorders>
              <w:bottom w:val="single" w:color="auto" w:sz="4" w:space="0"/>
            </w:tcBorders>
            <w:vAlign w:val="center"/>
          </w:tcPr>
          <w:p w14:paraId="06D597B0">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1DC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30" w:type="pct"/>
            <w:tcBorders>
              <w:bottom w:val="single" w:color="auto" w:sz="4" w:space="0"/>
            </w:tcBorders>
            <w:vAlign w:val="center"/>
          </w:tcPr>
          <w:p w14:paraId="3914C98C">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58" w:type="pct"/>
            <w:tcBorders>
              <w:bottom w:val="single" w:color="auto" w:sz="4" w:space="0"/>
            </w:tcBorders>
            <w:vAlign w:val="center"/>
          </w:tcPr>
          <w:p w14:paraId="6967EBBC">
            <w:pPr>
              <w:keepNext w:val="0"/>
              <w:keepLines w:val="0"/>
              <w:pageBreakBefore w:val="0"/>
              <w:widowControl w:val="0"/>
              <w:kinsoku/>
              <w:wordWrap/>
              <w:overflowPunct/>
              <w:topLinePunct w:val="0"/>
              <w:autoSpaceDE/>
              <w:autoSpaceDN/>
              <w:bidi w:val="0"/>
              <w:adjustRightInd/>
              <w:snapToGrid/>
              <w:spacing w:line="520" w:lineRule="exact"/>
              <w:ind w:right="-11"/>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35" w:type="pct"/>
            <w:tcBorders>
              <w:bottom w:val="single" w:color="auto" w:sz="4" w:space="0"/>
            </w:tcBorders>
            <w:vAlign w:val="center"/>
          </w:tcPr>
          <w:p w14:paraId="6E5B8C17">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21B99E9">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319FEE4E">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55CB069">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7CC23DBE">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176" w:type="pct"/>
            <w:vAlign w:val="center"/>
          </w:tcPr>
          <w:p w14:paraId="228C07EF">
            <w:pPr>
              <w:keepNext w:val="0"/>
              <w:keepLines w:val="0"/>
              <w:pageBreakBefore w:val="0"/>
              <w:kinsoku/>
              <w:overflowPunct/>
              <w:topLinePunct w:val="0"/>
              <w:autoSpaceDE/>
              <w:autoSpaceDN/>
              <w:bidi w:val="0"/>
              <w:spacing w:line="520" w:lineRule="exact"/>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05C5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30" w:type="pct"/>
            <w:tcBorders>
              <w:bottom w:val="single" w:color="auto" w:sz="4" w:space="0"/>
            </w:tcBorders>
            <w:vAlign w:val="center"/>
          </w:tcPr>
          <w:p w14:paraId="4C25FF8C">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58" w:type="pct"/>
            <w:tcBorders>
              <w:bottom w:val="single" w:color="auto" w:sz="4" w:space="0"/>
            </w:tcBorders>
            <w:vAlign w:val="center"/>
          </w:tcPr>
          <w:p w14:paraId="675389F8">
            <w:pPr>
              <w:keepNext w:val="0"/>
              <w:keepLines w:val="0"/>
              <w:pageBreakBefore w:val="0"/>
              <w:kinsoku/>
              <w:overflowPunct/>
              <w:topLinePunct w:val="0"/>
              <w:autoSpaceDE/>
              <w:autoSpaceDN/>
              <w:bidi w:val="0"/>
              <w:spacing w:line="520" w:lineRule="exact"/>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535" w:type="pct"/>
            <w:tcBorders>
              <w:bottom w:val="single" w:color="auto" w:sz="4" w:space="0"/>
            </w:tcBorders>
            <w:vAlign w:val="center"/>
          </w:tcPr>
          <w:p w14:paraId="6079B9E0">
            <w:pPr>
              <w:keepNext w:val="0"/>
              <w:keepLines w:val="0"/>
              <w:pageBreakBefore w:val="0"/>
              <w:kinsoku/>
              <w:overflowPunct/>
              <w:topLinePunct w:val="0"/>
              <w:autoSpaceDE/>
              <w:autoSpaceDN/>
              <w:bidi w:val="0"/>
              <w:spacing w:line="520" w:lineRule="exact"/>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176" w:type="pct"/>
            <w:vAlign w:val="center"/>
          </w:tcPr>
          <w:p w14:paraId="0792547B">
            <w:pPr>
              <w:keepNext w:val="0"/>
              <w:keepLines w:val="0"/>
              <w:pageBreakBefore w:val="0"/>
              <w:kinsoku/>
              <w:overflowPunct/>
              <w:topLinePunct w:val="0"/>
              <w:autoSpaceDE/>
              <w:autoSpaceDN/>
              <w:bidi w:val="0"/>
              <w:spacing w:line="520" w:lineRule="exact"/>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0258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430" w:type="pct"/>
            <w:tcBorders>
              <w:bottom w:val="single" w:color="auto" w:sz="4" w:space="0"/>
            </w:tcBorders>
            <w:vAlign w:val="center"/>
          </w:tcPr>
          <w:p w14:paraId="56D1A766">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58" w:type="pct"/>
            <w:tcBorders>
              <w:bottom w:val="single" w:color="auto" w:sz="4" w:space="0"/>
            </w:tcBorders>
            <w:vAlign w:val="center"/>
          </w:tcPr>
          <w:p w14:paraId="3F07A874">
            <w:pPr>
              <w:keepNext w:val="0"/>
              <w:keepLines w:val="0"/>
              <w:pageBreakBefore w:val="0"/>
              <w:kinsoku/>
              <w:overflowPunct/>
              <w:topLinePunct w:val="0"/>
              <w:autoSpaceDE/>
              <w:autoSpaceDN/>
              <w:bidi w:val="0"/>
              <w:spacing w:line="520" w:lineRule="exact"/>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35" w:type="pct"/>
            <w:tcBorders>
              <w:bottom w:val="single" w:color="auto" w:sz="4" w:space="0"/>
            </w:tcBorders>
            <w:vAlign w:val="center"/>
          </w:tcPr>
          <w:p w14:paraId="17BA3F17">
            <w:pPr>
              <w:keepNext w:val="0"/>
              <w:keepLines w:val="0"/>
              <w:pageBreakBefore w:val="0"/>
              <w:kinsoku/>
              <w:overflowPunct/>
              <w:topLinePunct w:val="0"/>
              <w:autoSpaceDE/>
              <w:autoSpaceDN/>
              <w:bidi w:val="0"/>
              <w:spacing w:line="520" w:lineRule="exact"/>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76" w:type="pct"/>
            <w:tcBorders>
              <w:bottom w:val="single" w:color="auto" w:sz="4" w:space="0"/>
            </w:tcBorders>
            <w:vAlign w:val="center"/>
          </w:tcPr>
          <w:p w14:paraId="540C28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0258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tcBorders>
              <w:bottom w:val="single" w:color="auto" w:sz="4" w:space="0"/>
            </w:tcBorders>
            <w:vAlign w:val="center"/>
          </w:tcPr>
          <w:p w14:paraId="65DB2564">
            <w:pPr>
              <w:keepNext w:val="0"/>
              <w:keepLines w:val="0"/>
              <w:pageBreakBefore w:val="0"/>
              <w:kinsoku/>
              <w:overflowPunct/>
              <w:topLinePunct w:val="0"/>
              <w:autoSpaceDE/>
              <w:autoSpaceDN/>
              <w:bidi w:val="0"/>
              <w:spacing w:line="520" w:lineRule="exact"/>
              <w:ind w:right="-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858" w:type="pct"/>
            <w:tcBorders>
              <w:bottom w:val="single" w:color="auto" w:sz="4" w:space="0"/>
            </w:tcBorders>
            <w:vAlign w:val="center"/>
          </w:tcPr>
          <w:p w14:paraId="529FACC4">
            <w:pPr>
              <w:keepNext w:val="0"/>
              <w:keepLines w:val="0"/>
              <w:pageBreakBefore w:val="0"/>
              <w:kinsoku/>
              <w:overflowPunct/>
              <w:topLinePunct w:val="0"/>
              <w:autoSpaceDE/>
              <w:autoSpaceDN/>
              <w:bidi w:val="0"/>
              <w:spacing w:line="520" w:lineRule="exact"/>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w:t>
            </w:r>
          </w:p>
          <w:p w14:paraId="62B102B9">
            <w:pPr>
              <w:keepNext w:val="0"/>
              <w:keepLines w:val="0"/>
              <w:pageBreakBefore w:val="0"/>
              <w:kinsoku/>
              <w:overflowPunct/>
              <w:topLinePunct w:val="0"/>
              <w:autoSpaceDE/>
              <w:autoSpaceDN/>
              <w:bidi w:val="0"/>
              <w:spacing w:line="520" w:lineRule="exact"/>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2535" w:type="pct"/>
            <w:tcBorders>
              <w:bottom w:val="single" w:color="auto" w:sz="4" w:space="0"/>
            </w:tcBorders>
            <w:vAlign w:val="center"/>
          </w:tcPr>
          <w:p w14:paraId="36CF1821">
            <w:pPr>
              <w:keepNext w:val="0"/>
              <w:keepLines w:val="0"/>
              <w:pageBreakBefore w:val="0"/>
              <w:kinsoku/>
              <w:overflowPunct/>
              <w:topLinePunct w:val="0"/>
              <w:autoSpaceDE/>
              <w:autoSpaceDN/>
              <w:bidi w:val="0"/>
              <w:spacing w:line="52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如有，见第一章《招标</w:t>
            </w:r>
            <w:r>
              <w:rPr>
                <w:rFonts w:ascii="宋体" w:hAnsi="宋体" w:eastAsia="宋体" w:cs="宋体"/>
                <w:color w:val="auto"/>
                <w:spacing w:val="10"/>
                <w:sz w:val="24"/>
                <w:szCs w:val="24"/>
                <w:highlight w:val="none"/>
              </w:rPr>
              <w:t>邀请</w:t>
            </w:r>
            <w:r>
              <w:rPr>
                <w:rFonts w:hint="eastAsia" w:ascii="宋体" w:hAnsi="宋体" w:eastAsia="宋体" w:cs="宋体"/>
                <w:color w:val="auto"/>
                <w:sz w:val="24"/>
                <w:szCs w:val="24"/>
                <w:highlight w:val="none"/>
              </w:rPr>
              <w:t>》</w:t>
            </w:r>
          </w:p>
        </w:tc>
        <w:tc>
          <w:tcPr>
            <w:tcW w:w="1176" w:type="pct"/>
            <w:tcBorders>
              <w:bottom w:val="single" w:color="auto" w:sz="4" w:space="0"/>
            </w:tcBorders>
            <w:vAlign w:val="center"/>
          </w:tcPr>
          <w:p w14:paraId="18878EC1">
            <w:pPr>
              <w:keepNext w:val="0"/>
              <w:keepLines w:val="0"/>
              <w:pageBreakBefore w:val="0"/>
              <w:widowControl w:val="0"/>
              <w:kinsoku/>
              <w:wordWrap/>
              <w:overflowPunct/>
              <w:topLinePunct w:val="0"/>
              <w:autoSpaceDE/>
              <w:autoSpaceDN/>
              <w:bidi w:val="0"/>
              <w:adjustRightInd/>
              <w:snapToGrid/>
              <w:spacing w:line="48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提供材料扫描件 </w:t>
            </w:r>
          </w:p>
          <w:p w14:paraId="0977F1CE">
            <w:pPr>
              <w:keepNext w:val="0"/>
              <w:keepLines w:val="0"/>
              <w:pageBreakBefore w:val="0"/>
              <w:widowControl w:val="0"/>
              <w:kinsoku/>
              <w:wordWrap/>
              <w:overflowPunct/>
              <w:topLinePunct w:val="0"/>
              <w:autoSpaceDE/>
              <w:autoSpaceDN/>
              <w:bidi w:val="0"/>
              <w:adjustRightInd/>
              <w:snapToGrid/>
              <w:spacing w:line="48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或电子证照，应完 整的体现出材料 或电子证照全部内容。</w:t>
            </w:r>
          </w:p>
        </w:tc>
      </w:tr>
    </w:tbl>
    <w:p w14:paraId="2377C716">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83FB6EB">
      <w:pPr>
        <w:keepNext w:val="0"/>
        <w:keepLines w:val="0"/>
        <w:pageBreakBefore w:val="0"/>
        <w:kinsoku/>
        <w:overflowPunct/>
        <w:topLinePunct w:val="0"/>
        <w:autoSpaceDE/>
        <w:autoSpaceDN/>
        <w:bidi w:val="0"/>
        <w:spacing w:line="520" w:lineRule="exact"/>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4E61E709">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33"/>
        <w:tblW w:w="5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785"/>
        <w:gridCol w:w="3929"/>
        <w:gridCol w:w="3165"/>
      </w:tblGrid>
      <w:tr w14:paraId="5D13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FD42FB7">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5171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3" w:type="pct"/>
            <w:tcBorders>
              <w:bottom w:val="single" w:color="auto" w:sz="4" w:space="0"/>
            </w:tcBorders>
            <w:vAlign w:val="center"/>
          </w:tcPr>
          <w:p w14:paraId="79BFB85E">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14" w:type="pct"/>
            <w:tcBorders>
              <w:bottom w:val="single" w:color="auto" w:sz="4" w:space="0"/>
            </w:tcBorders>
            <w:vAlign w:val="center"/>
          </w:tcPr>
          <w:p w14:paraId="450FC74E">
            <w:pPr>
              <w:pStyle w:val="55"/>
              <w:keepNext w:val="0"/>
              <w:keepLines w:val="0"/>
              <w:pageBreakBefore w:val="0"/>
              <w:pBdr>
                <w:bottom w:val="none" w:color="auto" w:sz="0" w:space="0"/>
              </w:pBdr>
              <w:tabs>
                <w:tab w:val="clear" w:pos="4153"/>
                <w:tab w:val="clear" w:pos="8306"/>
              </w:tabs>
              <w:kinsoku/>
              <w:overflowPunct/>
              <w:topLinePunct w:val="0"/>
              <w:autoSpaceDE/>
              <w:autoSpaceDN/>
              <w:bidi w:val="0"/>
              <w:snapToGrid w:val="0"/>
              <w:spacing w:line="520" w:lineRule="exact"/>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2012" w:type="pct"/>
            <w:tcBorders>
              <w:bottom w:val="single" w:color="auto" w:sz="4" w:space="0"/>
            </w:tcBorders>
            <w:vAlign w:val="center"/>
          </w:tcPr>
          <w:p w14:paraId="6882BE63">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619" w:type="pct"/>
            <w:tcBorders>
              <w:bottom w:val="single" w:color="auto" w:sz="4" w:space="0"/>
            </w:tcBorders>
            <w:vAlign w:val="center"/>
          </w:tcPr>
          <w:p w14:paraId="2C92F561">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1281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54304D9A">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4" w:type="pct"/>
            <w:vAlign w:val="center"/>
          </w:tcPr>
          <w:p w14:paraId="0E5E54BA">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012" w:type="pct"/>
            <w:vAlign w:val="center"/>
          </w:tcPr>
          <w:p w14:paraId="7B5F3F3A">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19" w:type="pct"/>
            <w:vAlign w:val="center"/>
          </w:tcPr>
          <w:p w14:paraId="5911ADFA">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C85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4274D922">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4" w:type="pct"/>
            <w:vAlign w:val="center"/>
          </w:tcPr>
          <w:p w14:paraId="72695A52">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012" w:type="pct"/>
            <w:vAlign w:val="center"/>
          </w:tcPr>
          <w:p w14:paraId="37F45F78">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19" w:type="pct"/>
            <w:vAlign w:val="center"/>
          </w:tcPr>
          <w:p w14:paraId="6E0B7BBB">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C30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251044CF">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14" w:type="pct"/>
            <w:vAlign w:val="center"/>
          </w:tcPr>
          <w:p w14:paraId="33D774B9">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012" w:type="pct"/>
            <w:vAlign w:val="center"/>
          </w:tcPr>
          <w:p w14:paraId="315B30AA">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19" w:type="pct"/>
            <w:vAlign w:val="center"/>
          </w:tcPr>
          <w:p w14:paraId="5E04BB0E">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187A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66F7B8F3">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4" w:type="pct"/>
            <w:vAlign w:val="center"/>
          </w:tcPr>
          <w:p w14:paraId="25F15466">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012" w:type="pct"/>
            <w:vAlign w:val="center"/>
          </w:tcPr>
          <w:p w14:paraId="3589373A">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619" w:type="pct"/>
            <w:vAlign w:val="center"/>
          </w:tcPr>
          <w:p w14:paraId="3135BDDB">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51E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200391FE">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914" w:type="pct"/>
            <w:vAlign w:val="center"/>
          </w:tcPr>
          <w:p w14:paraId="7E3272C0">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012" w:type="pct"/>
            <w:vAlign w:val="center"/>
          </w:tcPr>
          <w:p w14:paraId="13DD8C9D">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符合招标文件采购需求中对付款方式、服务地点、服务期限等实质性要求</w:t>
            </w:r>
          </w:p>
        </w:tc>
        <w:tc>
          <w:tcPr>
            <w:tcW w:w="1619" w:type="pct"/>
            <w:vAlign w:val="center"/>
          </w:tcPr>
          <w:p w14:paraId="70007F05">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详见第六章投标文件格式。</w:t>
            </w:r>
          </w:p>
        </w:tc>
      </w:tr>
      <w:tr w14:paraId="7D83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36CF9C52">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914" w:type="pct"/>
            <w:shd w:val="clear" w:color="auto" w:fill="auto"/>
            <w:vAlign w:val="center"/>
          </w:tcPr>
          <w:p w14:paraId="32F40410">
            <w:pPr>
              <w:keepNext w:val="0"/>
              <w:keepLines w:val="0"/>
              <w:pageBreakBefore w:val="0"/>
              <w:kinsoku/>
              <w:overflowPunct/>
              <w:topLinePunct w:val="0"/>
              <w:autoSpaceDE/>
              <w:autoSpaceDN/>
              <w:bidi w:val="0"/>
              <w:spacing w:line="520" w:lineRule="exact"/>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8"/>
                <w:highlight w:val="none"/>
              </w:rPr>
              <w:t>技术响应情况</w:t>
            </w:r>
          </w:p>
        </w:tc>
        <w:tc>
          <w:tcPr>
            <w:tcW w:w="2012" w:type="pct"/>
            <w:shd w:val="clear" w:color="auto" w:fill="auto"/>
            <w:vAlign w:val="center"/>
          </w:tcPr>
          <w:p w14:paraId="403F2E0C">
            <w:pPr>
              <w:keepNext w:val="0"/>
              <w:keepLines w:val="0"/>
              <w:pageBreakBefore w:val="0"/>
              <w:kinsoku/>
              <w:overflowPunct/>
              <w:topLinePunct w:val="0"/>
              <w:autoSpaceDE/>
              <w:autoSpaceDN/>
              <w:bidi w:val="0"/>
              <w:spacing w:line="520" w:lineRule="exact"/>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8"/>
                <w:highlight w:val="none"/>
              </w:rPr>
              <w:t>符合招标文件采购需求中货物技术参数等实质性要求;具体详见评分办法</w:t>
            </w:r>
          </w:p>
        </w:tc>
        <w:tc>
          <w:tcPr>
            <w:tcW w:w="1619" w:type="pct"/>
            <w:shd w:val="clear" w:color="auto" w:fill="auto"/>
            <w:vAlign w:val="center"/>
          </w:tcPr>
          <w:p w14:paraId="4FBA53B1">
            <w:pPr>
              <w:keepNext w:val="0"/>
              <w:keepLines w:val="0"/>
              <w:pageBreakBefore w:val="0"/>
              <w:kinsoku/>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详见第六章投标文件格式。</w:t>
            </w:r>
          </w:p>
        </w:tc>
      </w:tr>
      <w:tr w14:paraId="682A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67BB5984">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14" w:type="pct"/>
            <w:vAlign w:val="center"/>
          </w:tcPr>
          <w:p w14:paraId="0C8D2C6B">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012" w:type="pct"/>
            <w:vAlign w:val="center"/>
          </w:tcPr>
          <w:p w14:paraId="01D83F35">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619" w:type="pct"/>
            <w:vAlign w:val="center"/>
          </w:tcPr>
          <w:p w14:paraId="081EAE63">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p>
        </w:tc>
      </w:tr>
    </w:tbl>
    <w:p w14:paraId="78128805">
      <w:pPr>
        <w:keepNext w:val="0"/>
        <w:keepLines w:val="0"/>
        <w:pageBreakBefore w:val="0"/>
        <w:kinsoku/>
        <w:overflowPunct/>
        <w:topLinePunct w:val="0"/>
        <w:autoSpaceDE/>
        <w:autoSpaceDN/>
        <w:bidi w:val="0"/>
        <w:spacing w:line="520" w:lineRule="exact"/>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B1078AE">
      <w:pPr>
        <w:keepNext w:val="0"/>
        <w:keepLines w:val="0"/>
        <w:pageBreakBefore w:val="0"/>
        <w:kinsoku/>
        <w:overflowPunct/>
        <w:topLinePunct w:val="0"/>
        <w:autoSpaceDE/>
        <w:autoSpaceDN/>
        <w:bidi w:val="0"/>
        <w:spacing w:line="520" w:lineRule="exact"/>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3207D13">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26F0F435">
      <w:pPr>
        <w:keepNext w:val="0"/>
        <w:keepLines w:val="0"/>
        <w:pageBreakBefore w:val="0"/>
        <w:kinsoku/>
        <w:overflowPunct/>
        <w:topLinePunct w:val="0"/>
        <w:autoSpaceDE/>
        <w:autoSpaceDN/>
        <w:bidi w:val="0"/>
        <w:spacing w:line="52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1包别：</w:t>
      </w:r>
    </w:p>
    <w:p w14:paraId="6583BF62">
      <w:pPr>
        <w:keepNext w:val="0"/>
        <w:keepLines w:val="0"/>
        <w:pageBreakBefore w:val="0"/>
        <w:kinsoku/>
        <w:overflowPunct/>
        <w:topLinePunct w:val="0"/>
        <w:autoSpaceDE/>
        <w:autoSpaceDN/>
        <w:bidi w:val="0"/>
        <w:spacing w:line="52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32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58</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33"/>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443"/>
        <w:gridCol w:w="6141"/>
        <w:gridCol w:w="1202"/>
      </w:tblGrid>
      <w:tr w14:paraId="0E67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14:paraId="675006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类别</w:t>
            </w:r>
          </w:p>
        </w:tc>
        <w:tc>
          <w:tcPr>
            <w:tcW w:w="726" w:type="pct"/>
            <w:tcBorders>
              <w:top w:val="single" w:color="auto" w:sz="4" w:space="0"/>
              <w:left w:val="single" w:color="auto" w:sz="4" w:space="0"/>
              <w:bottom w:val="single" w:color="auto" w:sz="4" w:space="0"/>
              <w:right w:val="single" w:color="auto" w:sz="4" w:space="0"/>
            </w:tcBorders>
            <w:vAlign w:val="center"/>
          </w:tcPr>
          <w:p w14:paraId="66A555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评分内容</w:t>
            </w:r>
          </w:p>
        </w:tc>
        <w:tc>
          <w:tcPr>
            <w:tcW w:w="3090" w:type="pct"/>
            <w:tcBorders>
              <w:top w:val="single" w:color="auto" w:sz="4" w:space="0"/>
              <w:left w:val="single" w:color="auto" w:sz="4" w:space="0"/>
              <w:bottom w:val="single" w:color="auto" w:sz="4" w:space="0"/>
              <w:right w:val="single" w:color="auto" w:sz="4" w:space="0"/>
            </w:tcBorders>
            <w:vAlign w:val="center"/>
          </w:tcPr>
          <w:p w14:paraId="125DE5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评分标准</w:t>
            </w:r>
          </w:p>
        </w:tc>
        <w:tc>
          <w:tcPr>
            <w:tcW w:w="604" w:type="pct"/>
            <w:tcBorders>
              <w:top w:val="single" w:color="auto" w:sz="4" w:space="0"/>
              <w:left w:val="single" w:color="auto" w:sz="4" w:space="0"/>
              <w:bottom w:val="single" w:color="auto" w:sz="4" w:space="0"/>
              <w:right w:val="single" w:color="auto" w:sz="4" w:space="0"/>
            </w:tcBorders>
            <w:vAlign w:val="center"/>
          </w:tcPr>
          <w:p w14:paraId="3BD9D7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分值范围</w:t>
            </w:r>
          </w:p>
        </w:tc>
      </w:tr>
      <w:tr w14:paraId="3C36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restart"/>
            <w:tcBorders>
              <w:top w:val="single" w:color="auto" w:sz="4" w:space="0"/>
              <w:left w:val="single" w:color="auto" w:sz="4" w:space="0"/>
              <w:right w:val="single" w:color="auto" w:sz="4" w:space="0"/>
            </w:tcBorders>
            <w:vAlign w:val="center"/>
          </w:tcPr>
          <w:p w14:paraId="0B9546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资信分</w:t>
            </w:r>
          </w:p>
          <w:p w14:paraId="5414AF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w:t>
            </w:r>
            <w:r>
              <w:rPr>
                <w:rFonts w:hint="eastAsia" w:asciiTheme="majorEastAsia" w:hAnsiTheme="majorEastAsia" w:eastAsiaTheme="majorEastAsia" w:cstheme="majorEastAsia"/>
                <w:b w:val="0"/>
                <w:bCs w:val="0"/>
                <w:color w:val="auto"/>
                <w:sz w:val="24"/>
                <w:szCs w:val="24"/>
                <w:highlight w:val="none"/>
                <w:lang w:val="en-US" w:eastAsia="zh-CN"/>
              </w:rPr>
              <w:t>32</w:t>
            </w:r>
            <w:r>
              <w:rPr>
                <w:rFonts w:hint="eastAsia" w:asciiTheme="majorEastAsia" w:hAnsiTheme="majorEastAsia" w:eastAsiaTheme="majorEastAsia" w:cstheme="majorEastAsia"/>
                <w:b w:val="0"/>
                <w:bCs w:val="0"/>
                <w:color w:val="auto"/>
                <w:sz w:val="24"/>
                <w:szCs w:val="24"/>
                <w:highlight w:val="none"/>
              </w:rPr>
              <w:t>分）</w:t>
            </w:r>
          </w:p>
        </w:tc>
        <w:tc>
          <w:tcPr>
            <w:tcW w:w="726" w:type="pct"/>
            <w:tcBorders>
              <w:top w:val="single" w:color="auto" w:sz="4" w:space="0"/>
              <w:left w:val="single" w:color="auto" w:sz="4" w:space="0"/>
              <w:bottom w:val="single" w:color="auto" w:sz="4" w:space="0"/>
              <w:right w:val="single" w:color="auto" w:sz="4" w:space="0"/>
            </w:tcBorders>
            <w:vAlign w:val="center"/>
          </w:tcPr>
          <w:p w14:paraId="7391A6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1.综合能力</w:t>
            </w:r>
          </w:p>
        </w:tc>
        <w:tc>
          <w:tcPr>
            <w:tcW w:w="3090" w:type="pct"/>
            <w:tcBorders>
              <w:top w:val="single" w:color="auto" w:sz="4" w:space="0"/>
              <w:left w:val="single" w:color="auto" w:sz="4" w:space="0"/>
              <w:bottom w:val="single" w:color="auto" w:sz="4" w:space="0"/>
              <w:right w:val="single" w:color="auto" w:sz="4" w:space="0"/>
            </w:tcBorders>
            <w:vAlign w:val="center"/>
          </w:tcPr>
          <w:p w14:paraId="64775D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lang w:val="en-US" w:eastAsia="zh-CN"/>
              </w:rPr>
              <w:t>投标人</w:t>
            </w:r>
            <w:r>
              <w:rPr>
                <w:rFonts w:hint="eastAsia" w:asciiTheme="majorEastAsia" w:hAnsiTheme="majorEastAsia" w:eastAsiaTheme="majorEastAsia" w:cstheme="majorEastAsia"/>
                <w:b w:val="0"/>
                <w:bCs w:val="0"/>
                <w:color w:val="auto"/>
                <w:sz w:val="24"/>
                <w:szCs w:val="24"/>
                <w:highlight w:val="none"/>
                <w:vertAlign w:val="baseline"/>
              </w:rPr>
              <w:t>具有本项目业务应用相关类别（政务服务运行管理、</w:t>
            </w:r>
            <w:r>
              <w:rPr>
                <w:rFonts w:hint="eastAsia" w:asciiTheme="majorEastAsia" w:hAnsiTheme="majorEastAsia" w:eastAsiaTheme="majorEastAsia" w:cstheme="majorEastAsia"/>
                <w:b w:val="0"/>
                <w:bCs w:val="0"/>
                <w:color w:val="auto"/>
                <w:sz w:val="24"/>
                <w:szCs w:val="24"/>
                <w:highlight w:val="none"/>
                <w:vertAlign w:val="baseline"/>
                <w:lang w:val="en-US" w:eastAsia="zh-CN"/>
              </w:rPr>
              <w:t>标签画像</w:t>
            </w:r>
            <w:r>
              <w:rPr>
                <w:rFonts w:hint="eastAsia" w:asciiTheme="majorEastAsia" w:hAnsiTheme="majorEastAsia" w:eastAsiaTheme="majorEastAsia" w:cstheme="majorEastAsia"/>
                <w:b w:val="0"/>
                <w:bCs w:val="0"/>
                <w:color w:val="auto"/>
                <w:sz w:val="24"/>
                <w:szCs w:val="24"/>
                <w:highlight w:val="none"/>
                <w:vertAlign w:val="baseline"/>
              </w:rPr>
              <w:t>、事项管理、全省通办、一件事一次办、</w:t>
            </w:r>
            <w:r>
              <w:rPr>
                <w:rFonts w:hint="eastAsia" w:asciiTheme="majorEastAsia" w:hAnsiTheme="majorEastAsia" w:eastAsiaTheme="majorEastAsia" w:cstheme="majorEastAsia"/>
                <w:b w:val="0"/>
                <w:bCs w:val="0"/>
                <w:color w:val="auto"/>
                <w:sz w:val="24"/>
                <w:szCs w:val="24"/>
                <w:highlight w:val="none"/>
                <w:vertAlign w:val="baseline"/>
                <w:lang w:val="en-US" w:eastAsia="zh-CN"/>
              </w:rPr>
              <w:t>知识图谱、</w:t>
            </w:r>
            <w:r>
              <w:rPr>
                <w:rFonts w:hint="eastAsia" w:asciiTheme="majorEastAsia" w:hAnsiTheme="majorEastAsia" w:eastAsiaTheme="majorEastAsia" w:cstheme="majorEastAsia"/>
                <w:b w:val="0"/>
                <w:bCs w:val="0"/>
                <w:color w:val="auto"/>
                <w:sz w:val="24"/>
                <w:szCs w:val="24"/>
                <w:highlight w:val="none"/>
                <w:vertAlign w:val="baseline"/>
              </w:rPr>
              <w:t>系统集成管理）的计算机软件著作权登记证书，每提供一个得</w:t>
            </w:r>
            <w:r>
              <w:rPr>
                <w:rFonts w:hint="eastAsia" w:asciiTheme="majorEastAsia" w:hAnsiTheme="majorEastAsia" w:eastAsiaTheme="majorEastAsia" w:cstheme="majorEastAsia"/>
                <w:b w:val="0"/>
                <w:bCs w:val="0"/>
                <w:color w:val="auto"/>
                <w:sz w:val="24"/>
                <w:szCs w:val="24"/>
                <w:highlight w:val="none"/>
                <w:vertAlign w:val="baseline"/>
                <w:lang w:val="en-US" w:eastAsia="zh-CN"/>
              </w:rPr>
              <w:t>2</w:t>
            </w:r>
            <w:r>
              <w:rPr>
                <w:rFonts w:hint="eastAsia" w:asciiTheme="majorEastAsia" w:hAnsiTheme="majorEastAsia" w:eastAsiaTheme="majorEastAsia" w:cstheme="majorEastAsia"/>
                <w:b w:val="0"/>
                <w:bCs w:val="0"/>
                <w:color w:val="auto"/>
                <w:sz w:val="24"/>
                <w:szCs w:val="24"/>
                <w:highlight w:val="none"/>
                <w:vertAlign w:val="baseline"/>
              </w:rPr>
              <w:t>分，本条最高得</w:t>
            </w:r>
            <w:r>
              <w:rPr>
                <w:rFonts w:hint="eastAsia" w:asciiTheme="majorEastAsia" w:hAnsiTheme="majorEastAsia" w:eastAsiaTheme="majorEastAsia" w:cstheme="majorEastAsia"/>
                <w:b w:val="0"/>
                <w:bCs w:val="0"/>
                <w:color w:val="auto"/>
                <w:sz w:val="24"/>
                <w:szCs w:val="24"/>
                <w:highlight w:val="none"/>
                <w:vertAlign w:val="baseline"/>
                <w:lang w:val="en-US" w:eastAsia="zh-CN"/>
              </w:rPr>
              <w:t>14</w:t>
            </w:r>
            <w:r>
              <w:rPr>
                <w:rFonts w:hint="eastAsia" w:asciiTheme="majorEastAsia" w:hAnsiTheme="majorEastAsia" w:eastAsiaTheme="majorEastAsia" w:cstheme="majorEastAsia"/>
                <w:b w:val="0"/>
                <w:bCs w:val="0"/>
                <w:color w:val="auto"/>
                <w:sz w:val="24"/>
                <w:szCs w:val="24"/>
                <w:highlight w:val="none"/>
                <w:vertAlign w:val="baseline"/>
              </w:rPr>
              <w:t>分。</w:t>
            </w:r>
          </w:p>
          <w:p w14:paraId="1BD92F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注：投标文件中提供以上证书的扫描件。</w:t>
            </w:r>
            <w:r>
              <w:rPr>
                <w:rFonts w:hint="eastAsia" w:asciiTheme="majorEastAsia" w:hAnsiTheme="majorEastAsia" w:eastAsiaTheme="majorEastAsia" w:cstheme="majorEastAsia"/>
                <w:b w:val="0"/>
                <w:bCs w:val="0"/>
                <w:color w:val="auto"/>
                <w:sz w:val="24"/>
                <w:szCs w:val="24"/>
                <w:highlight w:val="none"/>
                <w:vertAlign w:val="baseline"/>
                <w:lang w:val="en-US" w:eastAsia="zh-CN"/>
              </w:rPr>
              <w:t>证书单位名称与投标人名称一致。投标人所提供的软件著作权名称可以不完全一致，但著作权名称的意义相近或为同一类型的均予以认可。</w:t>
            </w:r>
          </w:p>
        </w:tc>
        <w:tc>
          <w:tcPr>
            <w:tcW w:w="604" w:type="pct"/>
            <w:tcBorders>
              <w:top w:val="single" w:color="auto" w:sz="4" w:space="0"/>
              <w:left w:val="single" w:color="auto" w:sz="4" w:space="0"/>
              <w:bottom w:val="single" w:color="auto" w:sz="4" w:space="0"/>
              <w:right w:val="single" w:color="auto" w:sz="4" w:space="0"/>
            </w:tcBorders>
            <w:vAlign w:val="center"/>
          </w:tcPr>
          <w:p w14:paraId="44DB6C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0-14分</w:t>
            </w:r>
          </w:p>
        </w:tc>
      </w:tr>
      <w:tr w14:paraId="4173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5EAD10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4C759BFB">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2.业绩</w:t>
            </w:r>
          </w:p>
        </w:tc>
        <w:tc>
          <w:tcPr>
            <w:tcW w:w="3090" w:type="pct"/>
            <w:tcBorders>
              <w:top w:val="single" w:color="auto" w:sz="4" w:space="0"/>
              <w:left w:val="single" w:color="auto" w:sz="4" w:space="0"/>
              <w:bottom w:val="single" w:color="auto" w:sz="4" w:space="0"/>
              <w:right w:val="single" w:color="auto" w:sz="4" w:space="0"/>
            </w:tcBorders>
            <w:vAlign w:val="top"/>
          </w:tcPr>
          <w:p w14:paraId="55F9D9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lang w:val="en-US" w:eastAsia="zh-CN"/>
              </w:rPr>
              <w:t>投标人</w:t>
            </w:r>
            <w:r>
              <w:rPr>
                <w:rFonts w:hint="eastAsia" w:asciiTheme="majorEastAsia" w:hAnsiTheme="majorEastAsia" w:eastAsiaTheme="majorEastAsia" w:cstheme="majorEastAsia"/>
                <w:b w:val="0"/>
                <w:bCs w:val="0"/>
                <w:color w:val="auto"/>
                <w:sz w:val="24"/>
                <w:szCs w:val="24"/>
                <w:highlight w:val="none"/>
                <w:vertAlign w:val="baseline"/>
              </w:rPr>
              <w:t>具有地市级及以上</w:t>
            </w:r>
            <w:r>
              <w:rPr>
                <w:rFonts w:hint="eastAsia" w:asciiTheme="majorEastAsia" w:hAnsiTheme="majorEastAsia" w:eastAsiaTheme="majorEastAsia" w:cstheme="majorEastAsia"/>
                <w:b w:val="0"/>
                <w:bCs w:val="0"/>
                <w:color w:val="auto"/>
                <w:sz w:val="24"/>
                <w:szCs w:val="24"/>
                <w:highlight w:val="none"/>
                <w:vertAlign w:val="baseline"/>
                <w:lang w:val="en-US" w:eastAsia="zh-CN"/>
              </w:rPr>
              <w:t>政务</w:t>
            </w:r>
            <w:r>
              <w:rPr>
                <w:rFonts w:hint="eastAsia" w:asciiTheme="majorEastAsia" w:hAnsiTheme="majorEastAsia" w:eastAsiaTheme="majorEastAsia" w:cstheme="majorEastAsia"/>
                <w:b w:val="0"/>
                <w:bCs w:val="0"/>
                <w:color w:val="auto"/>
                <w:sz w:val="24"/>
                <w:szCs w:val="24"/>
                <w:highlight w:val="none"/>
                <w:vertAlign w:val="baseline"/>
              </w:rPr>
              <w:t>信息化系统建设（或提升）项目业绩的，每有1个得2分，本条最高得4分</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5D8BBF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lang w:eastAsia="zh-CN"/>
              </w:rPr>
              <w:t>注：投标文件中提供以上业绩合同扫描件，合同内容需体现项目类型、建设内容等关键信息。</w:t>
            </w:r>
          </w:p>
          <w:p w14:paraId="4822AF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lang w:eastAsia="zh-CN"/>
              </w:rPr>
              <w:t>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604" w:type="pct"/>
            <w:tcBorders>
              <w:top w:val="single" w:color="auto" w:sz="4" w:space="0"/>
              <w:left w:val="single" w:color="auto" w:sz="4" w:space="0"/>
              <w:bottom w:val="single" w:color="auto" w:sz="4" w:space="0"/>
              <w:right w:val="single" w:color="auto" w:sz="4" w:space="0"/>
            </w:tcBorders>
            <w:vAlign w:val="center"/>
          </w:tcPr>
          <w:p w14:paraId="7986D2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0-4分</w:t>
            </w:r>
          </w:p>
        </w:tc>
      </w:tr>
      <w:tr w14:paraId="2D16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bottom w:val="single" w:color="auto" w:sz="4" w:space="0"/>
              <w:right w:val="single" w:color="auto" w:sz="4" w:space="0"/>
            </w:tcBorders>
            <w:vAlign w:val="center"/>
          </w:tcPr>
          <w:p w14:paraId="6EF12D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124535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3.人员配备</w:t>
            </w:r>
          </w:p>
        </w:tc>
        <w:tc>
          <w:tcPr>
            <w:tcW w:w="3090" w:type="pct"/>
            <w:tcBorders>
              <w:top w:val="single" w:color="auto" w:sz="4" w:space="0"/>
              <w:left w:val="single" w:color="auto" w:sz="4" w:space="0"/>
              <w:bottom w:val="single" w:color="auto" w:sz="4" w:space="0"/>
              <w:right w:val="single" w:color="auto" w:sz="4" w:space="0"/>
            </w:tcBorders>
            <w:vAlign w:val="top"/>
          </w:tcPr>
          <w:p w14:paraId="4FC56A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（1）拟派的技术开发负责人（1人，不可由信息安全负责人</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lang w:val="en-US" w:eastAsia="zh-CN"/>
              </w:rPr>
              <w:t>运维管理</w:t>
            </w:r>
            <w:r>
              <w:rPr>
                <w:rFonts w:hint="eastAsia" w:asciiTheme="majorEastAsia" w:hAnsiTheme="majorEastAsia" w:eastAsiaTheme="majorEastAsia" w:cstheme="majorEastAsia"/>
                <w:b w:val="0"/>
                <w:bCs w:val="0"/>
                <w:color w:val="auto"/>
                <w:sz w:val="24"/>
                <w:szCs w:val="24"/>
                <w:highlight w:val="none"/>
                <w:vertAlign w:val="baseline"/>
              </w:rPr>
              <w:t>负责人兼任）具有以下证书的，每提供1个得1分，满分3分</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34BC30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①人社部门颁发的信息化相关专业工程师（如电子、机电、自动化、通信等）高级职称证书</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2A95A8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②系统架构设计师证书（软考）</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118652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③系统分析师证书（软考）</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3151CFF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（2）拟派的信息安全负责人（1人，不可由技术开发负责人</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lang w:val="en-US" w:eastAsia="zh-CN"/>
              </w:rPr>
              <w:t>运维管理</w:t>
            </w:r>
            <w:r>
              <w:rPr>
                <w:rFonts w:hint="eastAsia" w:asciiTheme="majorEastAsia" w:hAnsiTheme="majorEastAsia" w:eastAsiaTheme="majorEastAsia" w:cstheme="majorEastAsia"/>
                <w:b w:val="0"/>
                <w:bCs w:val="0"/>
                <w:color w:val="auto"/>
                <w:sz w:val="24"/>
                <w:szCs w:val="24"/>
                <w:highlight w:val="none"/>
                <w:vertAlign w:val="baseline"/>
              </w:rPr>
              <w:t>负责人兼任）具有以下证书的，每提供1个得1分，满分3分；</w:t>
            </w:r>
          </w:p>
          <w:p w14:paraId="7D58CC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①人社部门颁发的信息化相关专业工程师（如电子、机电、自动化、通信等）高级职称证书</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0F3999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②注册信息安全工程师证书（CISE）</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1622CD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③注册渗透测试工程师证书（CISP-PTE）</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13741B60">
            <w:pPr>
              <w:keepNext w:val="0"/>
              <w:keepLines w:val="0"/>
              <w:widowControl w:val="0"/>
              <w:suppressLineNumbers w:val="0"/>
              <w:spacing w:line="520" w:lineRule="exact"/>
              <w:jc w:val="left"/>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rPr>
              <w:t>拟派的</w:t>
            </w:r>
            <w:r>
              <w:rPr>
                <w:rFonts w:hint="eastAsia" w:asciiTheme="majorEastAsia" w:hAnsiTheme="majorEastAsia" w:eastAsiaTheme="majorEastAsia" w:cstheme="majorEastAsia"/>
                <w:b w:val="0"/>
                <w:bCs w:val="0"/>
                <w:color w:val="auto"/>
                <w:sz w:val="24"/>
                <w:szCs w:val="24"/>
                <w:highlight w:val="none"/>
                <w:vertAlign w:val="baseline"/>
                <w:lang w:val="en-US" w:eastAsia="zh-CN"/>
              </w:rPr>
              <w:t>运维管理</w:t>
            </w:r>
            <w:r>
              <w:rPr>
                <w:rFonts w:hint="eastAsia" w:asciiTheme="majorEastAsia" w:hAnsiTheme="majorEastAsia" w:eastAsiaTheme="majorEastAsia" w:cstheme="majorEastAsia"/>
                <w:b w:val="0"/>
                <w:bCs w:val="0"/>
                <w:color w:val="auto"/>
                <w:sz w:val="24"/>
                <w:szCs w:val="24"/>
                <w:highlight w:val="none"/>
                <w:vertAlign w:val="baseline"/>
              </w:rPr>
              <w:t>负责人（1人，不可由技术开发负责人</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rPr>
              <w:t>信息安全负责人兼任）具有以下证书的，每提供1个得1分，满分3分；</w:t>
            </w:r>
          </w:p>
          <w:p w14:paraId="2A25A435">
            <w:pPr>
              <w:keepNext w:val="0"/>
              <w:keepLines w:val="0"/>
              <w:widowControl w:val="0"/>
              <w:suppressLineNumbers w:val="0"/>
              <w:spacing w:line="520" w:lineRule="exact"/>
              <w:jc w:val="left"/>
              <w:rPr>
                <w:rFonts w:hint="eastAsia" w:asciiTheme="majorEastAsia" w:hAnsiTheme="majorEastAsia" w:eastAsiaTheme="majorEastAsia" w:cstheme="majorEastAsia"/>
                <w:color w:val="auto"/>
                <w:kern w:val="2"/>
                <w:sz w:val="24"/>
                <w:szCs w:val="24"/>
                <w:highlight w:val="none"/>
                <w:lang w:val="en-US" w:eastAsia="zh-CN" w:bidi="ar"/>
              </w:rPr>
            </w:pPr>
            <w:r>
              <w:rPr>
                <w:rFonts w:hint="eastAsia" w:asciiTheme="majorEastAsia" w:hAnsiTheme="majorEastAsia" w:eastAsiaTheme="majorEastAsia" w:cstheme="majorEastAsia"/>
                <w:color w:val="auto"/>
                <w:kern w:val="2"/>
                <w:sz w:val="24"/>
                <w:szCs w:val="24"/>
                <w:highlight w:val="none"/>
                <w:lang w:val="en-US" w:eastAsia="zh-CN" w:bidi="ar"/>
              </w:rPr>
              <w:t>①人社部颁发的信息化相关专业工程师（如电子、机电、自动化、通信等）高级职称证书；</w:t>
            </w:r>
          </w:p>
          <w:p w14:paraId="565B565F">
            <w:pPr>
              <w:keepNext w:val="0"/>
              <w:keepLines w:val="0"/>
              <w:widowControl w:val="0"/>
              <w:suppressLineNumbers w:val="0"/>
              <w:spacing w:line="520" w:lineRule="exact"/>
              <w:jc w:val="left"/>
              <w:rPr>
                <w:rFonts w:hint="eastAsia" w:asciiTheme="majorEastAsia" w:hAnsiTheme="majorEastAsia" w:eastAsiaTheme="majorEastAsia" w:cstheme="majorEastAsia"/>
                <w:color w:val="auto"/>
                <w:kern w:val="2"/>
                <w:sz w:val="24"/>
                <w:szCs w:val="24"/>
                <w:highlight w:val="none"/>
                <w:lang w:val="en-US" w:eastAsia="zh-CN" w:bidi="ar"/>
              </w:rPr>
            </w:pPr>
            <w:r>
              <w:rPr>
                <w:rFonts w:hint="eastAsia" w:asciiTheme="majorEastAsia" w:hAnsiTheme="majorEastAsia" w:eastAsiaTheme="majorEastAsia" w:cstheme="majorEastAsia"/>
                <w:color w:val="auto"/>
                <w:kern w:val="2"/>
                <w:sz w:val="24"/>
                <w:szCs w:val="24"/>
                <w:highlight w:val="none"/>
                <w:lang w:val="en-US" w:eastAsia="zh-CN" w:bidi="ar"/>
              </w:rPr>
              <w:t>②系统规划与管理师证书（软考）；</w:t>
            </w:r>
          </w:p>
          <w:p w14:paraId="4D00BB7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color w:val="auto"/>
                <w:kern w:val="2"/>
                <w:sz w:val="24"/>
                <w:szCs w:val="24"/>
                <w:highlight w:val="none"/>
                <w:lang w:val="en-US" w:eastAsia="zh-CN" w:bidi="ar"/>
              </w:rPr>
              <w:t>③信息系统项目管理师（软考）。</w:t>
            </w:r>
          </w:p>
          <w:p w14:paraId="0F776B3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lang w:val="en-US" w:eastAsia="zh-CN"/>
              </w:rPr>
              <w:t>4</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rPr>
              <w:t>拟派的团队成员中（不含技术开发负责人、信息安全负责人</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lang w:val="en-US" w:eastAsia="zh-CN"/>
              </w:rPr>
              <w:t>运维管理</w:t>
            </w:r>
            <w:r>
              <w:rPr>
                <w:rFonts w:hint="eastAsia" w:asciiTheme="majorEastAsia" w:hAnsiTheme="majorEastAsia" w:eastAsiaTheme="majorEastAsia" w:cstheme="majorEastAsia"/>
                <w:b w:val="0"/>
                <w:bCs w:val="0"/>
                <w:color w:val="auto"/>
                <w:sz w:val="24"/>
                <w:szCs w:val="24"/>
                <w:highlight w:val="none"/>
                <w:vertAlign w:val="baseline"/>
                <w:lang w:eastAsia="zh-CN"/>
              </w:rPr>
              <w:t>负责人</w:t>
            </w:r>
            <w:r>
              <w:rPr>
                <w:rFonts w:hint="eastAsia" w:asciiTheme="majorEastAsia" w:hAnsiTheme="majorEastAsia" w:eastAsiaTheme="majorEastAsia" w:cstheme="majorEastAsia"/>
                <w:b w:val="0"/>
                <w:bCs w:val="0"/>
                <w:color w:val="auto"/>
                <w:sz w:val="24"/>
                <w:szCs w:val="24"/>
                <w:highlight w:val="none"/>
                <w:vertAlign w:val="baseline"/>
              </w:rPr>
              <w:t>）具有以下证书的，每提供1个得1分，满分5分（一人多证不重复计分）</w:t>
            </w:r>
          </w:p>
          <w:p w14:paraId="130CA55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①人社部门颁发的软考证书</w:t>
            </w:r>
            <w:r>
              <w:rPr>
                <w:rFonts w:hint="eastAsia" w:asciiTheme="majorEastAsia" w:hAnsiTheme="majorEastAsia" w:eastAsiaTheme="majorEastAsia" w:cstheme="majorEastAsia"/>
                <w:b w:val="0"/>
                <w:bCs w:val="0"/>
                <w:color w:val="auto"/>
                <w:sz w:val="24"/>
                <w:szCs w:val="24"/>
                <w:highlight w:val="none"/>
                <w:vertAlign w:val="baseline"/>
                <w:lang w:val="en-US" w:eastAsia="zh-CN"/>
              </w:rPr>
              <w:t>（</w:t>
            </w:r>
            <w:r>
              <w:rPr>
                <w:rFonts w:hint="eastAsia" w:asciiTheme="majorEastAsia" w:hAnsiTheme="majorEastAsia" w:eastAsiaTheme="majorEastAsia" w:cstheme="majorEastAsia"/>
                <w:b w:val="0"/>
                <w:bCs w:val="0"/>
                <w:color w:val="auto"/>
                <w:sz w:val="24"/>
                <w:szCs w:val="24"/>
                <w:highlight w:val="none"/>
                <w:vertAlign w:val="baseline"/>
                <w:lang w:eastAsia="zh-CN"/>
              </w:rPr>
              <w:t>软考指计算机技术与软件专业技术资格考试，</w:t>
            </w:r>
            <w:r>
              <w:rPr>
                <w:rFonts w:hint="eastAsia" w:asciiTheme="majorEastAsia" w:hAnsiTheme="majorEastAsia" w:eastAsiaTheme="majorEastAsia" w:cstheme="majorEastAsia"/>
                <w:b w:val="0"/>
                <w:bCs w:val="0"/>
                <w:color w:val="auto"/>
                <w:sz w:val="24"/>
                <w:szCs w:val="24"/>
                <w:highlight w:val="none"/>
                <w:vertAlign w:val="baseline"/>
                <w:lang w:val="en-US" w:eastAsia="zh-CN"/>
              </w:rPr>
              <w:t>软考证书指</w:t>
            </w:r>
            <w:r>
              <w:rPr>
                <w:rFonts w:hint="eastAsia" w:asciiTheme="majorEastAsia" w:hAnsiTheme="majorEastAsia" w:eastAsiaTheme="majorEastAsia" w:cstheme="majorEastAsia"/>
                <w:b w:val="0"/>
                <w:bCs w:val="0"/>
                <w:color w:val="auto"/>
                <w:sz w:val="24"/>
                <w:szCs w:val="24"/>
                <w:highlight w:val="none"/>
                <w:vertAlign w:val="baseline"/>
                <w:lang w:eastAsia="zh-CN"/>
              </w:rPr>
              <w:t>系统集成项目管理工程师、信息系统项目管理师、系统分析师、系统架构设计师、网络规划设计师、系统规划与管理师，</w:t>
            </w:r>
            <w:r>
              <w:rPr>
                <w:rFonts w:hint="eastAsia" w:asciiTheme="majorEastAsia" w:hAnsiTheme="majorEastAsia" w:eastAsiaTheme="majorEastAsia" w:cstheme="majorEastAsia"/>
                <w:b w:val="0"/>
                <w:bCs w:val="0"/>
                <w:color w:val="auto"/>
                <w:sz w:val="24"/>
                <w:szCs w:val="24"/>
                <w:highlight w:val="none"/>
                <w:vertAlign w:val="baseline"/>
                <w:lang w:val="en-US" w:eastAsia="zh-CN"/>
              </w:rPr>
              <w:t>提供任意一项证书即可</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0028F6B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②人社部门颁发的信息化相关专业工程师（如电子、计算机、自动化、通信等）中级或以上职称证书</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7F11C06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lang w:eastAsia="zh-CN"/>
              </w:rPr>
            </w:pPr>
            <w:r>
              <w:rPr>
                <w:rFonts w:hint="eastAsia" w:asciiTheme="majorEastAsia" w:hAnsiTheme="majorEastAsia" w:eastAsiaTheme="majorEastAsia" w:cstheme="majorEastAsia"/>
                <w:b w:val="0"/>
                <w:bCs w:val="0"/>
                <w:color w:val="auto"/>
                <w:sz w:val="24"/>
                <w:szCs w:val="24"/>
                <w:highlight w:val="none"/>
                <w:vertAlign w:val="baseline"/>
              </w:rPr>
              <w:t>③中国网络安全审查技术与认证中心颁发的信息安全保障人员认证证书（CISAW）</w:t>
            </w:r>
            <w:r>
              <w:rPr>
                <w:rFonts w:hint="eastAsia" w:asciiTheme="majorEastAsia" w:hAnsiTheme="majorEastAsia" w:eastAsiaTheme="majorEastAsia" w:cstheme="majorEastAsia"/>
                <w:b w:val="0"/>
                <w:bCs w:val="0"/>
                <w:color w:val="auto"/>
                <w:sz w:val="24"/>
                <w:szCs w:val="24"/>
                <w:highlight w:val="none"/>
                <w:vertAlign w:val="baseline"/>
                <w:lang w:eastAsia="zh-CN"/>
              </w:rPr>
              <w:t>。</w:t>
            </w:r>
          </w:p>
          <w:p w14:paraId="43B9B81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投标文件中同时提供以下证明材料：</w:t>
            </w:r>
          </w:p>
          <w:p w14:paraId="08E031E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1、上述人员有效身份证（含正反面）；</w:t>
            </w:r>
          </w:p>
          <w:p w14:paraId="00AF180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2、上述人员相关证书或证明材料扫描件；</w:t>
            </w:r>
          </w:p>
          <w:p w14:paraId="13AEEA3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3、上述人员须持有社保部门出具的本单位为其缴纳的投标前近三个月内任意一月的养老保险证明（含官网在线打印件，证明文件两个月内有效），或投标人提供承诺已为上述人员缴纳养老保险证明的承诺书（格式自拟）；</w:t>
            </w:r>
          </w:p>
        </w:tc>
        <w:tc>
          <w:tcPr>
            <w:tcW w:w="604" w:type="pct"/>
            <w:tcBorders>
              <w:top w:val="single" w:color="auto" w:sz="4" w:space="0"/>
              <w:left w:val="single" w:color="auto" w:sz="4" w:space="0"/>
              <w:bottom w:val="single" w:color="auto" w:sz="4" w:space="0"/>
              <w:right w:val="single" w:color="auto" w:sz="4" w:space="0"/>
            </w:tcBorders>
            <w:vAlign w:val="center"/>
          </w:tcPr>
          <w:p w14:paraId="068409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w:t>
            </w:r>
            <w:r>
              <w:rPr>
                <w:rFonts w:hint="eastAsia" w:asciiTheme="majorEastAsia" w:hAnsiTheme="majorEastAsia" w:eastAsiaTheme="majorEastAsia" w:cstheme="majorEastAsia"/>
                <w:b w:val="0"/>
                <w:bCs w:val="0"/>
                <w:color w:val="auto"/>
                <w:sz w:val="24"/>
                <w:szCs w:val="24"/>
                <w:highlight w:val="none"/>
                <w:vertAlign w:val="baseline"/>
                <w:lang w:val="en-US" w:eastAsia="zh-CN"/>
              </w:rPr>
              <w:t>14</w:t>
            </w:r>
            <w:r>
              <w:rPr>
                <w:rFonts w:hint="eastAsia" w:asciiTheme="majorEastAsia" w:hAnsiTheme="majorEastAsia" w:eastAsiaTheme="majorEastAsia" w:cstheme="majorEastAsia"/>
                <w:b w:val="0"/>
                <w:bCs w:val="0"/>
                <w:color w:val="auto"/>
                <w:sz w:val="24"/>
                <w:szCs w:val="24"/>
                <w:highlight w:val="none"/>
                <w:vertAlign w:val="baseline"/>
              </w:rPr>
              <w:t>分</w:t>
            </w:r>
          </w:p>
        </w:tc>
      </w:tr>
      <w:tr w14:paraId="6C9D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restart"/>
            <w:tcBorders>
              <w:top w:val="single" w:color="auto" w:sz="4" w:space="0"/>
              <w:left w:val="single" w:color="auto" w:sz="4" w:space="0"/>
              <w:right w:val="single" w:color="auto" w:sz="4" w:space="0"/>
            </w:tcBorders>
            <w:vAlign w:val="center"/>
          </w:tcPr>
          <w:p w14:paraId="66C252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lang w:val="en-US" w:eastAsia="zh-CN"/>
              </w:rPr>
              <w:t>技术</w:t>
            </w:r>
            <w:r>
              <w:rPr>
                <w:rFonts w:hint="eastAsia" w:asciiTheme="majorEastAsia" w:hAnsiTheme="majorEastAsia" w:eastAsiaTheme="majorEastAsia" w:cstheme="majorEastAsia"/>
                <w:b w:val="0"/>
                <w:bCs w:val="0"/>
                <w:color w:val="auto"/>
                <w:sz w:val="24"/>
                <w:szCs w:val="24"/>
                <w:highlight w:val="none"/>
              </w:rPr>
              <w:t>分</w:t>
            </w:r>
          </w:p>
          <w:p w14:paraId="6AA2AD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w:t>
            </w:r>
            <w:r>
              <w:rPr>
                <w:rFonts w:hint="eastAsia" w:asciiTheme="majorEastAsia" w:hAnsiTheme="majorEastAsia" w:eastAsiaTheme="majorEastAsia" w:cstheme="majorEastAsia"/>
                <w:b w:val="0"/>
                <w:bCs w:val="0"/>
                <w:color w:val="auto"/>
                <w:sz w:val="24"/>
                <w:szCs w:val="24"/>
                <w:highlight w:val="none"/>
                <w:lang w:val="en-US" w:eastAsia="zh-CN"/>
              </w:rPr>
              <w:t>58</w:t>
            </w:r>
            <w:r>
              <w:rPr>
                <w:rFonts w:hint="eastAsia" w:asciiTheme="majorEastAsia" w:hAnsiTheme="majorEastAsia" w:eastAsiaTheme="majorEastAsia" w:cstheme="majorEastAsia"/>
                <w:b w:val="0"/>
                <w:bCs w:val="0"/>
                <w:color w:val="auto"/>
                <w:sz w:val="24"/>
                <w:szCs w:val="24"/>
                <w:highlight w:val="none"/>
              </w:rPr>
              <w:t>分）</w:t>
            </w:r>
          </w:p>
        </w:tc>
        <w:tc>
          <w:tcPr>
            <w:tcW w:w="726" w:type="pct"/>
            <w:tcBorders>
              <w:top w:val="single" w:color="auto" w:sz="4" w:space="0"/>
              <w:left w:val="single" w:color="auto" w:sz="4" w:space="0"/>
              <w:bottom w:val="single" w:color="auto" w:sz="4" w:space="0"/>
              <w:right w:val="single" w:color="auto" w:sz="4" w:space="0"/>
            </w:tcBorders>
            <w:vAlign w:val="center"/>
          </w:tcPr>
          <w:p w14:paraId="58F674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1.背景、现状及存在的问题、需求分析</w:t>
            </w:r>
          </w:p>
        </w:tc>
        <w:tc>
          <w:tcPr>
            <w:tcW w:w="3090" w:type="pct"/>
            <w:tcBorders>
              <w:top w:val="single" w:color="auto" w:sz="4" w:space="0"/>
              <w:left w:val="single" w:color="auto" w:sz="4" w:space="0"/>
              <w:bottom w:val="single" w:color="auto" w:sz="4" w:space="0"/>
              <w:right w:val="single" w:color="auto" w:sz="4" w:space="0"/>
            </w:tcBorders>
            <w:vAlign w:val="top"/>
          </w:tcPr>
          <w:p w14:paraId="09A5799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根据有关法规、政策、标准及本项目特点，提出对本项目建设背景的理解，对现状及存在问题、业务需求的分析。评标委员会根据投标人提供的以上内容综合评分：</w:t>
            </w:r>
          </w:p>
          <w:p w14:paraId="7DD729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（1）结合本项目背景、现状及存在的问题、需求进行深入分析，全面、详实、可行性、针对性强得5分；</w:t>
            </w:r>
          </w:p>
          <w:p w14:paraId="4B7EE3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（2）对项目背景、现状、主要问题和需求有一定的分析阐述，较为清晰，无明显逻辑错误的得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分；</w:t>
            </w:r>
          </w:p>
          <w:p w14:paraId="02B66E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（3）仅针对背景、现状和问题、需求进行简单归纳梳理的，可行性、实用性、针对性有待改善的得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1</w:t>
            </w:r>
            <w:r>
              <w:rPr>
                <w:rFonts w:hint="eastAsia" w:asciiTheme="majorEastAsia" w:hAnsiTheme="majorEastAsia" w:eastAsiaTheme="majorEastAsia" w:cstheme="majorEastAsia"/>
                <w:b w:val="0"/>
                <w:bCs w:val="0"/>
                <w:color w:val="auto"/>
                <w:sz w:val="24"/>
                <w:szCs w:val="24"/>
                <w:highlight w:val="none"/>
                <w:vertAlign w:val="baseline"/>
              </w:rPr>
              <w:t>分；</w:t>
            </w:r>
          </w:p>
          <w:p w14:paraId="704A8F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（4）未提供不得分。</w:t>
            </w:r>
          </w:p>
        </w:tc>
        <w:tc>
          <w:tcPr>
            <w:tcW w:w="604" w:type="pct"/>
            <w:tcBorders>
              <w:top w:val="single" w:color="auto" w:sz="4" w:space="0"/>
              <w:left w:val="single" w:color="auto" w:sz="4" w:space="0"/>
              <w:bottom w:val="single" w:color="auto" w:sz="4" w:space="0"/>
              <w:right w:val="single" w:color="auto" w:sz="4" w:space="0"/>
            </w:tcBorders>
            <w:vAlign w:val="center"/>
          </w:tcPr>
          <w:p w14:paraId="42EEDF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0-5分</w:t>
            </w:r>
          </w:p>
        </w:tc>
      </w:tr>
      <w:tr w14:paraId="21DB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04159F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68FA58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2.总体设计</w:t>
            </w:r>
          </w:p>
        </w:tc>
        <w:tc>
          <w:tcPr>
            <w:tcW w:w="3090" w:type="pct"/>
            <w:tcBorders>
              <w:top w:val="single" w:color="auto" w:sz="4" w:space="0"/>
              <w:left w:val="single" w:color="auto" w:sz="4" w:space="0"/>
              <w:bottom w:val="single" w:color="auto" w:sz="4" w:space="0"/>
              <w:right w:val="single" w:color="auto" w:sz="4" w:space="0"/>
            </w:tcBorders>
            <w:vAlign w:val="top"/>
          </w:tcPr>
          <w:p w14:paraId="00631B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按照采购需求要求，考虑本次项目依托一体化架构，充分利旧复用一体化组件应用和环境基础进行架构设计。投标人应明确设计本项目的业务架构、应用架构、技术架构、数据架构、部署架构；</w:t>
            </w:r>
          </w:p>
          <w:p w14:paraId="56E89C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（1）充分考虑信息化基础现状及关联系统因素，设计清晰满足项目需求的得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5</w:t>
            </w:r>
            <w:r>
              <w:rPr>
                <w:rFonts w:hint="eastAsia" w:asciiTheme="majorEastAsia" w:hAnsiTheme="majorEastAsia" w:eastAsiaTheme="majorEastAsia" w:cstheme="majorEastAsia"/>
                <w:b w:val="0"/>
                <w:bCs w:val="0"/>
                <w:color w:val="auto"/>
                <w:sz w:val="24"/>
                <w:szCs w:val="24"/>
                <w:highlight w:val="none"/>
                <w:vertAlign w:val="baseline"/>
              </w:rPr>
              <w:t>分；</w:t>
            </w:r>
          </w:p>
          <w:p w14:paraId="17B5CA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（2）架构明确、符合建设需求，存在</w:t>
            </w:r>
            <w:r>
              <w:rPr>
                <w:rFonts w:hint="eastAsia" w:asciiTheme="majorEastAsia" w:hAnsiTheme="majorEastAsia" w:eastAsiaTheme="majorEastAsia" w:cstheme="majorEastAsia"/>
                <w:b w:val="0"/>
                <w:bCs w:val="0"/>
                <w:color w:val="auto"/>
                <w:sz w:val="24"/>
                <w:szCs w:val="24"/>
                <w:highlight w:val="none"/>
                <w:vertAlign w:val="baseline"/>
                <w:lang w:val="en-US" w:eastAsia="zh-CN"/>
              </w:rPr>
              <w:t>总体</w:t>
            </w:r>
            <w:r>
              <w:rPr>
                <w:rFonts w:hint="eastAsia" w:asciiTheme="majorEastAsia" w:hAnsiTheme="majorEastAsia" w:eastAsiaTheme="majorEastAsia" w:cstheme="majorEastAsia"/>
                <w:b w:val="0"/>
                <w:bCs w:val="0"/>
                <w:color w:val="auto"/>
                <w:sz w:val="24"/>
                <w:szCs w:val="24"/>
                <w:highlight w:val="none"/>
                <w:vertAlign w:val="baseline"/>
              </w:rPr>
              <w:t>设计缺失的，得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分；</w:t>
            </w:r>
          </w:p>
          <w:p w14:paraId="409C0D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（3）仅提供简单的系统框架结构，对于要求的</w:t>
            </w:r>
            <w:r>
              <w:rPr>
                <w:rFonts w:hint="eastAsia" w:asciiTheme="majorEastAsia" w:hAnsiTheme="majorEastAsia" w:eastAsiaTheme="majorEastAsia" w:cstheme="majorEastAsia"/>
                <w:b w:val="0"/>
                <w:bCs w:val="0"/>
                <w:color w:val="auto"/>
                <w:sz w:val="24"/>
                <w:szCs w:val="24"/>
                <w:highlight w:val="none"/>
                <w:vertAlign w:val="baseline"/>
                <w:lang w:val="en-US" w:eastAsia="zh-CN"/>
              </w:rPr>
              <w:t>总体</w:t>
            </w:r>
            <w:r>
              <w:rPr>
                <w:rFonts w:hint="eastAsia" w:asciiTheme="majorEastAsia" w:hAnsiTheme="majorEastAsia" w:eastAsiaTheme="majorEastAsia" w:cstheme="majorEastAsia"/>
                <w:b w:val="0"/>
                <w:bCs w:val="0"/>
                <w:color w:val="auto"/>
                <w:sz w:val="24"/>
                <w:szCs w:val="24"/>
                <w:highlight w:val="none"/>
                <w:vertAlign w:val="baseline"/>
              </w:rPr>
              <w:t>设计缺失超过2个及2个以上的，得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1</w:t>
            </w:r>
            <w:r>
              <w:rPr>
                <w:rFonts w:hint="eastAsia" w:asciiTheme="majorEastAsia" w:hAnsiTheme="majorEastAsia" w:eastAsiaTheme="majorEastAsia" w:cstheme="majorEastAsia"/>
                <w:b w:val="0"/>
                <w:bCs w:val="0"/>
                <w:color w:val="auto"/>
                <w:sz w:val="24"/>
                <w:szCs w:val="24"/>
                <w:highlight w:val="none"/>
                <w:vertAlign w:val="baseline"/>
              </w:rPr>
              <w:t>分；</w:t>
            </w:r>
          </w:p>
          <w:p w14:paraId="76C27D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（4）未提供不得分。</w:t>
            </w:r>
          </w:p>
        </w:tc>
        <w:tc>
          <w:tcPr>
            <w:tcW w:w="604" w:type="pct"/>
            <w:tcBorders>
              <w:top w:val="single" w:color="auto" w:sz="4" w:space="0"/>
              <w:left w:val="single" w:color="auto" w:sz="4" w:space="0"/>
              <w:bottom w:val="single" w:color="auto" w:sz="4" w:space="0"/>
              <w:right w:val="single" w:color="auto" w:sz="4" w:space="0"/>
            </w:tcBorders>
            <w:vAlign w:val="center"/>
          </w:tcPr>
          <w:p w14:paraId="14B70C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w:t>
            </w:r>
            <w:r>
              <w:rPr>
                <w:rFonts w:hint="eastAsia" w:asciiTheme="majorEastAsia" w:hAnsiTheme="majorEastAsia" w:eastAsiaTheme="majorEastAsia" w:cstheme="majorEastAsia"/>
                <w:b w:val="0"/>
                <w:bCs w:val="0"/>
                <w:color w:val="auto"/>
                <w:sz w:val="24"/>
                <w:szCs w:val="24"/>
                <w:highlight w:val="none"/>
                <w:vertAlign w:val="baseline"/>
                <w:lang w:val="en-US" w:eastAsia="zh-CN"/>
              </w:rPr>
              <w:t>5</w:t>
            </w:r>
            <w:r>
              <w:rPr>
                <w:rFonts w:hint="eastAsia" w:asciiTheme="majorEastAsia" w:hAnsiTheme="majorEastAsia" w:eastAsiaTheme="majorEastAsia" w:cstheme="majorEastAsia"/>
                <w:b w:val="0"/>
                <w:bCs w:val="0"/>
                <w:color w:val="auto"/>
                <w:sz w:val="24"/>
                <w:szCs w:val="24"/>
                <w:highlight w:val="none"/>
                <w:vertAlign w:val="baseline"/>
              </w:rPr>
              <w:t>分</w:t>
            </w:r>
          </w:p>
        </w:tc>
      </w:tr>
      <w:tr w14:paraId="010B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04DF6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78F773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3.技术方案设计：个人专属服务空间</w:t>
            </w:r>
          </w:p>
        </w:tc>
        <w:tc>
          <w:tcPr>
            <w:tcW w:w="3090" w:type="pct"/>
            <w:tcBorders>
              <w:top w:val="single" w:color="auto" w:sz="4" w:space="0"/>
              <w:left w:val="single" w:color="auto" w:sz="4" w:space="0"/>
              <w:bottom w:val="single" w:color="auto" w:sz="4" w:space="0"/>
              <w:right w:val="single" w:color="auto" w:sz="4" w:space="0"/>
            </w:tcBorders>
            <w:vAlign w:val="top"/>
          </w:tcPr>
          <w:p w14:paraId="42FD60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rPr>
              <w:t>个人专属服务空间</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rPr>
              <w:t>建设需求，并提供详细的技术方案。根据投标人提供的方案内容进行综合评审：</w:t>
            </w:r>
          </w:p>
          <w:p w14:paraId="524E4D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（1）方案思路清晰完整，设计合理、切实可行的，得3分；</w:t>
            </w:r>
          </w:p>
          <w:p w14:paraId="53ACDD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（2）方案合理、可行的，得2分；</w:t>
            </w:r>
          </w:p>
          <w:p w14:paraId="1675AF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30A394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6203DB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0-3分</w:t>
            </w:r>
          </w:p>
        </w:tc>
      </w:tr>
      <w:tr w14:paraId="5850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F89E5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1CFB3B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4.技术方案设计：场景化主题式服务</w:t>
            </w:r>
          </w:p>
        </w:tc>
        <w:tc>
          <w:tcPr>
            <w:tcW w:w="3090" w:type="pct"/>
            <w:tcBorders>
              <w:top w:val="single" w:color="auto" w:sz="4" w:space="0"/>
              <w:left w:val="single" w:color="auto" w:sz="4" w:space="0"/>
              <w:bottom w:val="single" w:color="auto" w:sz="4" w:space="0"/>
              <w:right w:val="single" w:color="auto" w:sz="4" w:space="0"/>
            </w:tcBorders>
            <w:vAlign w:val="top"/>
          </w:tcPr>
          <w:p w14:paraId="550FC9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投标人能够充分理解本项目中的“场景化主题式服务”应用建设需求，并提供详细的技术方案。根据投标人提供的方案内容进行综合评审：</w:t>
            </w:r>
          </w:p>
          <w:p w14:paraId="190FA46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（1）方案思路清晰完整，设计合理、切实可行的，得3分；</w:t>
            </w:r>
          </w:p>
          <w:p w14:paraId="761DEE9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（2）方案合理、可行的，得2分；</w:t>
            </w:r>
          </w:p>
          <w:p w14:paraId="1DF3AC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04B087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3A08C5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0-3分</w:t>
            </w:r>
          </w:p>
        </w:tc>
      </w:tr>
      <w:tr w14:paraId="3D08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1F901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7E60D5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5.技术方案设计：个人证照过期提醒</w:t>
            </w:r>
          </w:p>
        </w:tc>
        <w:tc>
          <w:tcPr>
            <w:tcW w:w="3090" w:type="pct"/>
            <w:tcBorders>
              <w:top w:val="single" w:color="auto" w:sz="4" w:space="0"/>
              <w:left w:val="single" w:color="auto" w:sz="4" w:space="0"/>
              <w:bottom w:val="single" w:color="auto" w:sz="4" w:space="0"/>
              <w:right w:val="single" w:color="auto" w:sz="4" w:space="0"/>
            </w:tcBorders>
            <w:vAlign w:val="top"/>
          </w:tcPr>
          <w:p w14:paraId="4CE20A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w:t>
            </w:r>
            <w:r>
              <w:rPr>
                <w:rFonts w:hint="eastAsia" w:asciiTheme="majorEastAsia" w:hAnsiTheme="majorEastAsia" w:eastAsiaTheme="majorEastAsia" w:cstheme="majorEastAsia"/>
                <w:b w:val="0"/>
                <w:bCs w:val="0"/>
                <w:color w:val="auto"/>
                <w:sz w:val="24"/>
                <w:szCs w:val="24"/>
                <w:highlight w:val="none"/>
                <w:vertAlign w:val="baseline"/>
                <w:lang w:eastAsia="zh-CN"/>
              </w:rPr>
              <w:t>“个人证照过期提醒”</w:t>
            </w:r>
            <w:r>
              <w:rPr>
                <w:rFonts w:hint="eastAsia" w:asciiTheme="majorEastAsia" w:hAnsiTheme="majorEastAsia" w:eastAsiaTheme="majorEastAsia" w:cstheme="majorEastAsia"/>
                <w:b w:val="0"/>
                <w:bCs w:val="0"/>
                <w:color w:val="auto"/>
                <w:sz w:val="24"/>
                <w:szCs w:val="24"/>
                <w:highlight w:val="none"/>
                <w:vertAlign w:val="baseline"/>
              </w:rPr>
              <w:t>建设需求，并提供详细的技术方案。根据投标人提供的方案内容进行综合评审：</w:t>
            </w:r>
          </w:p>
          <w:p w14:paraId="639796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（1）方案思路清晰完整，设计合理、切实可行的，得3分；</w:t>
            </w:r>
          </w:p>
          <w:p w14:paraId="2B7CA5D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（2）方案合理、可行的，得2分；</w:t>
            </w:r>
          </w:p>
          <w:p w14:paraId="0E68FB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02170A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48B8E0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0-3分</w:t>
            </w:r>
          </w:p>
        </w:tc>
      </w:tr>
      <w:tr w14:paraId="62F8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7BDAE8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3C7036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6.技术方案设计：民生服务直达</w:t>
            </w:r>
          </w:p>
        </w:tc>
        <w:tc>
          <w:tcPr>
            <w:tcW w:w="3090" w:type="pct"/>
            <w:tcBorders>
              <w:top w:val="single" w:color="auto" w:sz="4" w:space="0"/>
              <w:left w:val="single" w:color="auto" w:sz="4" w:space="0"/>
              <w:bottom w:val="single" w:color="auto" w:sz="4" w:space="0"/>
              <w:right w:val="single" w:color="auto" w:sz="4" w:space="0"/>
            </w:tcBorders>
            <w:vAlign w:val="top"/>
          </w:tcPr>
          <w:p w14:paraId="6903AE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w:t>
            </w:r>
            <w:r>
              <w:rPr>
                <w:rFonts w:hint="eastAsia" w:asciiTheme="majorEastAsia" w:hAnsiTheme="majorEastAsia" w:eastAsiaTheme="majorEastAsia" w:cstheme="majorEastAsia"/>
                <w:b w:val="0"/>
                <w:bCs w:val="0"/>
                <w:color w:val="auto"/>
                <w:sz w:val="24"/>
                <w:szCs w:val="24"/>
                <w:highlight w:val="none"/>
                <w:vertAlign w:val="baseline"/>
                <w:lang w:eastAsia="zh-CN"/>
              </w:rPr>
              <w:t>“民生服务直达”</w:t>
            </w:r>
            <w:r>
              <w:rPr>
                <w:rFonts w:hint="eastAsia" w:asciiTheme="majorEastAsia" w:hAnsiTheme="majorEastAsia" w:eastAsiaTheme="majorEastAsia" w:cstheme="majorEastAsia"/>
                <w:b w:val="0"/>
                <w:bCs w:val="0"/>
                <w:color w:val="auto"/>
                <w:sz w:val="24"/>
                <w:szCs w:val="24"/>
                <w:highlight w:val="none"/>
                <w:vertAlign w:val="baseline"/>
              </w:rPr>
              <w:t>建设需求，并提供详细的技术方案。根据投标人提供的方案内容进行综合评审：</w:t>
            </w:r>
          </w:p>
          <w:p w14:paraId="452BF8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5</w:t>
            </w:r>
            <w:r>
              <w:rPr>
                <w:rFonts w:hint="eastAsia" w:asciiTheme="majorEastAsia" w:hAnsiTheme="majorEastAsia" w:eastAsiaTheme="majorEastAsia" w:cstheme="majorEastAsia"/>
                <w:b w:val="0"/>
                <w:bCs w:val="0"/>
                <w:color w:val="auto"/>
                <w:sz w:val="24"/>
                <w:szCs w:val="24"/>
                <w:highlight w:val="none"/>
                <w:vertAlign w:val="baseline"/>
              </w:rPr>
              <w:t>分；</w:t>
            </w:r>
          </w:p>
          <w:p w14:paraId="33AEEF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分；</w:t>
            </w:r>
          </w:p>
          <w:p w14:paraId="000232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5C0D8D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3736F5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0-</w:t>
            </w:r>
            <w:r>
              <w:rPr>
                <w:rFonts w:hint="eastAsia" w:asciiTheme="majorEastAsia" w:hAnsiTheme="majorEastAsia" w:eastAsiaTheme="majorEastAsia" w:cstheme="majorEastAsia"/>
                <w:b w:val="0"/>
                <w:bCs w:val="0"/>
                <w:color w:val="auto"/>
                <w:sz w:val="24"/>
                <w:szCs w:val="24"/>
                <w:highlight w:val="none"/>
                <w:vertAlign w:val="baseline"/>
                <w:lang w:val="en-US" w:eastAsia="zh-CN"/>
              </w:rPr>
              <w:t>5</w:t>
            </w:r>
            <w:r>
              <w:rPr>
                <w:rFonts w:hint="eastAsia" w:asciiTheme="majorEastAsia" w:hAnsiTheme="majorEastAsia" w:eastAsiaTheme="majorEastAsia" w:cstheme="majorEastAsia"/>
                <w:b w:val="0"/>
                <w:bCs w:val="0"/>
                <w:color w:val="auto"/>
                <w:sz w:val="24"/>
                <w:szCs w:val="24"/>
                <w:highlight w:val="none"/>
                <w:vertAlign w:val="baseline"/>
              </w:rPr>
              <w:t>分</w:t>
            </w:r>
          </w:p>
        </w:tc>
      </w:tr>
      <w:tr w14:paraId="60CF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D2FB0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4E1B29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7.技术方案设计：智能化大厅业务系统升级改造</w:t>
            </w:r>
          </w:p>
        </w:tc>
        <w:tc>
          <w:tcPr>
            <w:tcW w:w="3090" w:type="pct"/>
            <w:tcBorders>
              <w:top w:val="single" w:color="auto" w:sz="4" w:space="0"/>
              <w:left w:val="single" w:color="auto" w:sz="4" w:space="0"/>
              <w:bottom w:val="single" w:color="auto" w:sz="4" w:space="0"/>
              <w:right w:val="single" w:color="auto" w:sz="4" w:space="0"/>
            </w:tcBorders>
            <w:vAlign w:val="top"/>
          </w:tcPr>
          <w:p w14:paraId="1A6AF3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w:t>
            </w:r>
            <w:r>
              <w:rPr>
                <w:rFonts w:hint="eastAsia" w:asciiTheme="majorEastAsia" w:hAnsiTheme="majorEastAsia" w:eastAsiaTheme="majorEastAsia" w:cstheme="majorEastAsia"/>
                <w:b w:val="0"/>
                <w:bCs w:val="0"/>
                <w:color w:val="auto"/>
                <w:sz w:val="24"/>
                <w:szCs w:val="24"/>
                <w:highlight w:val="none"/>
                <w:vertAlign w:val="baseline"/>
                <w:lang w:eastAsia="zh-CN"/>
              </w:rPr>
              <w:t>“智能化大厅业务系统升级改造”</w:t>
            </w:r>
            <w:r>
              <w:rPr>
                <w:rFonts w:hint="eastAsia" w:asciiTheme="majorEastAsia" w:hAnsiTheme="majorEastAsia" w:eastAsiaTheme="majorEastAsia" w:cstheme="majorEastAsia"/>
                <w:b w:val="0"/>
                <w:bCs w:val="0"/>
                <w:color w:val="auto"/>
                <w:sz w:val="24"/>
                <w:szCs w:val="24"/>
                <w:highlight w:val="none"/>
                <w:vertAlign w:val="baseline"/>
              </w:rPr>
              <w:t>建设需求，并提供详细的技术方案。根据投标人提供的方案内容进行综合评审：</w:t>
            </w:r>
          </w:p>
          <w:p w14:paraId="516AE15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（1）方案思路清晰完整，设计合理、切实可行的，得3分；</w:t>
            </w:r>
          </w:p>
          <w:p w14:paraId="38885B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（2）方案合理、可行的，得2分；</w:t>
            </w:r>
          </w:p>
          <w:p w14:paraId="0C9D8E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48020EF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046637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0-3分</w:t>
            </w:r>
          </w:p>
        </w:tc>
      </w:tr>
      <w:tr w14:paraId="46D4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0FED99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416C78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8.技术方案设计：皖事通办预办系统</w:t>
            </w:r>
          </w:p>
        </w:tc>
        <w:tc>
          <w:tcPr>
            <w:tcW w:w="3090" w:type="pct"/>
            <w:tcBorders>
              <w:top w:val="single" w:color="auto" w:sz="4" w:space="0"/>
              <w:left w:val="single" w:color="auto" w:sz="4" w:space="0"/>
              <w:bottom w:val="single" w:color="auto" w:sz="4" w:space="0"/>
              <w:right w:val="single" w:color="auto" w:sz="4" w:space="0"/>
            </w:tcBorders>
            <w:vAlign w:val="top"/>
          </w:tcPr>
          <w:p w14:paraId="0968CE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w:t>
            </w:r>
            <w:r>
              <w:rPr>
                <w:rFonts w:hint="eastAsia" w:asciiTheme="majorEastAsia" w:hAnsiTheme="majorEastAsia" w:eastAsiaTheme="majorEastAsia" w:cstheme="majorEastAsia"/>
                <w:b w:val="0"/>
                <w:bCs w:val="0"/>
                <w:color w:val="auto"/>
                <w:sz w:val="24"/>
                <w:szCs w:val="24"/>
                <w:highlight w:val="none"/>
                <w:vertAlign w:val="baseline"/>
                <w:lang w:eastAsia="zh-CN"/>
              </w:rPr>
              <w:t>“皖事通办预办系统”</w:t>
            </w:r>
            <w:r>
              <w:rPr>
                <w:rFonts w:hint="eastAsia" w:asciiTheme="majorEastAsia" w:hAnsiTheme="majorEastAsia" w:eastAsiaTheme="majorEastAsia" w:cstheme="majorEastAsia"/>
                <w:b w:val="0"/>
                <w:bCs w:val="0"/>
                <w:color w:val="auto"/>
                <w:sz w:val="24"/>
                <w:szCs w:val="24"/>
                <w:highlight w:val="none"/>
                <w:vertAlign w:val="baseline"/>
              </w:rPr>
              <w:t>建设需求，并提供详细的技术方案。根据投标人提供的方案内容进行综合评审：</w:t>
            </w:r>
          </w:p>
          <w:p w14:paraId="6E46E7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（1）方案思路清晰完整，设计合理、切实可行的，得3分；</w:t>
            </w:r>
          </w:p>
          <w:p w14:paraId="3475DE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（2）方案合理、可行的，得2分；</w:t>
            </w:r>
          </w:p>
          <w:p w14:paraId="5EFFB2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29AD229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56397C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0-3分</w:t>
            </w:r>
          </w:p>
        </w:tc>
      </w:tr>
      <w:tr w14:paraId="1F50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6CD201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2B2603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9.技术方案设计：滁州产品供需平台</w:t>
            </w:r>
          </w:p>
        </w:tc>
        <w:tc>
          <w:tcPr>
            <w:tcW w:w="3090" w:type="pct"/>
            <w:tcBorders>
              <w:top w:val="single" w:color="auto" w:sz="4" w:space="0"/>
              <w:left w:val="single" w:color="auto" w:sz="4" w:space="0"/>
              <w:bottom w:val="single" w:color="auto" w:sz="4" w:space="0"/>
              <w:right w:val="single" w:color="auto" w:sz="4" w:space="0"/>
            </w:tcBorders>
            <w:vAlign w:val="top"/>
          </w:tcPr>
          <w:p w14:paraId="546D12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w:t>
            </w:r>
            <w:r>
              <w:rPr>
                <w:rFonts w:hint="eastAsia" w:asciiTheme="majorEastAsia" w:hAnsiTheme="majorEastAsia" w:eastAsiaTheme="majorEastAsia" w:cstheme="majorEastAsia"/>
                <w:b w:val="0"/>
                <w:bCs w:val="0"/>
                <w:color w:val="auto"/>
                <w:sz w:val="24"/>
                <w:szCs w:val="24"/>
                <w:highlight w:val="none"/>
                <w:vertAlign w:val="baseline"/>
                <w:lang w:eastAsia="zh-CN"/>
              </w:rPr>
              <w:t>“滁州产品供需平台”</w:t>
            </w:r>
            <w:r>
              <w:rPr>
                <w:rFonts w:hint="eastAsia" w:asciiTheme="majorEastAsia" w:hAnsiTheme="majorEastAsia" w:eastAsiaTheme="majorEastAsia" w:cstheme="majorEastAsia"/>
                <w:b w:val="0"/>
                <w:bCs w:val="0"/>
                <w:color w:val="auto"/>
                <w:sz w:val="24"/>
                <w:szCs w:val="24"/>
                <w:highlight w:val="none"/>
                <w:vertAlign w:val="baseline"/>
              </w:rPr>
              <w:t>建设需求，并提供详细的技术方案。根据投标人提供的方案内容进行综合评审：</w:t>
            </w:r>
          </w:p>
          <w:p w14:paraId="6AF4AA0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（1）方案思路清晰完整，设计合理、切实可行的，得3分；</w:t>
            </w:r>
          </w:p>
          <w:p w14:paraId="286444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（2）方案合理、可行的，得2分；</w:t>
            </w:r>
          </w:p>
          <w:p w14:paraId="707D24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14B981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717800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vertAlign w:val="baseline"/>
              </w:rPr>
              <w:t>0-3分</w:t>
            </w:r>
          </w:p>
        </w:tc>
      </w:tr>
      <w:tr w14:paraId="5CEF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58773B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5CDCB5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1</w:t>
            </w:r>
            <w:r>
              <w:rPr>
                <w:rFonts w:hint="eastAsia" w:asciiTheme="majorEastAsia" w:hAnsiTheme="majorEastAsia" w:eastAsiaTheme="majorEastAsia" w:cstheme="majorEastAsia"/>
                <w:b w:val="0"/>
                <w:bCs w:val="0"/>
                <w:color w:val="auto"/>
                <w:sz w:val="24"/>
                <w:szCs w:val="24"/>
                <w:highlight w:val="none"/>
                <w:vertAlign w:val="baseline"/>
                <w:lang w:val="en-US" w:eastAsia="zh-CN"/>
              </w:rPr>
              <w:t>0</w:t>
            </w:r>
            <w:r>
              <w:rPr>
                <w:rFonts w:hint="eastAsia" w:asciiTheme="majorEastAsia" w:hAnsiTheme="majorEastAsia" w:eastAsiaTheme="majorEastAsia" w:cstheme="majorEastAsia"/>
                <w:b w:val="0"/>
                <w:bCs w:val="0"/>
                <w:color w:val="auto"/>
                <w:sz w:val="24"/>
                <w:szCs w:val="24"/>
                <w:highlight w:val="none"/>
                <w:vertAlign w:val="baseline"/>
              </w:rPr>
              <w:t>.</w:t>
            </w:r>
            <w:r>
              <w:rPr>
                <w:rFonts w:hint="eastAsia" w:asciiTheme="majorEastAsia" w:hAnsiTheme="majorEastAsia" w:eastAsiaTheme="majorEastAsia" w:cstheme="majorEastAsia"/>
                <w:b w:val="0"/>
                <w:bCs w:val="0"/>
                <w:color w:val="auto"/>
                <w:sz w:val="24"/>
                <w:szCs w:val="24"/>
                <w:highlight w:val="none"/>
                <w:vertAlign w:val="baseline"/>
                <w:lang w:val="en-US" w:eastAsia="zh-CN"/>
              </w:rPr>
              <w:t>技</w:t>
            </w:r>
            <w:r>
              <w:rPr>
                <w:rFonts w:hint="eastAsia" w:asciiTheme="majorEastAsia" w:hAnsiTheme="majorEastAsia" w:eastAsiaTheme="majorEastAsia" w:cstheme="majorEastAsia"/>
                <w:b w:val="0"/>
                <w:bCs w:val="0"/>
                <w:color w:val="auto"/>
                <w:sz w:val="24"/>
                <w:szCs w:val="24"/>
                <w:highlight w:val="none"/>
                <w:vertAlign w:val="baseline"/>
              </w:rPr>
              <w:t>术方案设计：一体化迁移</w:t>
            </w:r>
          </w:p>
        </w:tc>
        <w:tc>
          <w:tcPr>
            <w:tcW w:w="3090" w:type="pct"/>
            <w:tcBorders>
              <w:top w:val="single" w:color="auto" w:sz="4" w:space="0"/>
              <w:left w:val="single" w:color="auto" w:sz="4" w:space="0"/>
              <w:bottom w:val="single" w:color="auto" w:sz="4" w:space="0"/>
              <w:right w:val="single" w:color="auto" w:sz="4" w:space="0"/>
            </w:tcBorders>
            <w:vAlign w:val="top"/>
          </w:tcPr>
          <w:p w14:paraId="383FC1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rPr>
              <w:t>一体化迁移</w:t>
            </w:r>
            <w:r>
              <w:rPr>
                <w:rFonts w:hint="eastAsia" w:asciiTheme="majorEastAsia" w:hAnsiTheme="majorEastAsia" w:eastAsiaTheme="majorEastAsia" w:cstheme="majorEastAsia"/>
                <w:b w:val="0"/>
                <w:bCs w:val="0"/>
                <w:color w:val="auto"/>
                <w:sz w:val="24"/>
                <w:szCs w:val="24"/>
                <w:highlight w:val="none"/>
                <w:vertAlign w:val="baseline"/>
                <w:lang w:eastAsia="zh-CN"/>
              </w:rPr>
              <w:t>”</w:t>
            </w:r>
            <w:r>
              <w:rPr>
                <w:rFonts w:hint="eastAsia" w:asciiTheme="majorEastAsia" w:hAnsiTheme="majorEastAsia" w:eastAsiaTheme="majorEastAsia" w:cstheme="majorEastAsia"/>
                <w:b w:val="0"/>
                <w:bCs w:val="0"/>
                <w:color w:val="auto"/>
                <w:sz w:val="24"/>
                <w:szCs w:val="24"/>
                <w:highlight w:val="none"/>
                <w:vertAlign w:val="baseline"/>
              </w:rPr>
              <w:t>建设需求，并提供详细的技术方案。根据投标人提供的方案内容进行综合评审：</w:t>
            </w:r>
          </w:p>
          <w:p w14:paraId="188EB7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（1）方案思路清晰完整，设计合理、切实可行的，得3分；</w:t>
            </w:r>
          </w:p>
          <w:p w14:paraId="0A19BC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（2）方案合理、可行的，得2分；</w:t>
            </w:r>
          </w:p>
          <w:p w14:paraId="7D6989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（3）可操作性有待提升的，得1分；</w:t>
            </w:r>
          </w:p>
          <w:p w14:paraId="7D9B05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352D6E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0-3分</w:t>
            </w:r>
          </w:p>
        </w:tc>
      </w:tr>
      <w:tr w14:paraId="78D0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152CB9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77E5E5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lang w:val="en-US" w:eastAsia="zh-CN"/>
              </w:rPr>
              <w:t>11.实施内容：“高效办成一件事”实施服务、全省通办事项迁移</w:t>
            </w:r>
          </w:p>
        </w:tc>
        <w:tc>
          <w:tcPr>
            <w:tcW w:w="3090" w:type="pct"/>
            <w:tcBorders>
              <w:top w:val="single" w:color="auto" w:sz="4" w:space="0"/>
              <w:left w:val="single" w:color="auto" w:sz="4" w:space="0"/>
              <w:bottom w:val="single" w:color="auto" w:sz="4" w:space="0"/>
              <w:right w:val="single" w:color="auto" w:sz="4" w:space="0"/>
            </w:tcBorders>
            <w:vAlign w:val="top"/>
          </w:tcPr>
          <w:p w14:paraId="14BB05F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能够充分理解本项目中的“高效办成一件事”实施服务、全省通办事项迁移建设需求，并承诺按照要求完成：1、2025年国务院、安徽省已印发的第一批30个和印发的第二批17个“高效办成一件事”重点事项，以及项目建设周期内滁州市拟创新拓展的“高效办成一件事”重点事项。2、不少于500个的滁州市政务服务事项迁移工作。</w:t>
            </w:r>
          </w:p>
          <w:p w14:paraId="3BC2D581">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lang w:val="en-US" w:eastAsia="zh-CN"/>
              </w:rPr>
              <w:t>提供承诺及</w:t>
            </w:r>
            <w:r>
              <w:rPr>
                <w:rFonts w:hint="eastAsia" w:asciiTheme="majorEastAsia" w:hAnsiTheme="majorEastAsia" w:eastAsiaTheme="majorEastAsia" w:cstheme="majorEastAsia"/>
                <w:b w:val="0"/>
                <w:bCs w:val="0"/>
                <w:color w:val="auto"/>
                <w:sz w:val="24"/>
                <w:szCs w:val="24"/>
                <w:highlight w:val="none"/>
                <w:vertAlign w:val="baseline"/>
              </w:rPr>
              <w:t>2025年国务院、安徽省已印发的第一批30个和印发的第二批17个“高效办成一件事”重点事项</w:t>
            </w:r>
            <w:r>
              <w:rPr>
                <w:rFonts w:hint="eastAsia" w:asciiTheme="majorEastAsia" w:hAnsiTheme="majorEastAsia" w:eastAsiaTheme="majorEastAsia" w:cstheme="majorEastAsia"/>
                <w:b w:val="0"/>
                <w:bCs w:val="0"/>
                <w:color w:val="auto"/>
                <w:sz w:val="24"/>
                <w:szCs w:val="24"/>
                <w:highlight w:val="none"/>
                <w:vertAlign w:val="baseline"/>
                <w:lang w:val="en-US" w:eastAsia="zh-CN"/>
              </w:rPr>
              <w:t>清单的得2分</w:t>
            </w:r>
            <w:r>
              <w:rPr>
                <w:rFonts w:hint="eastAsia" w:asciiTheme="majorEastAsia" w:hAnsiTheme="majorEastAsia" w:eastAsiaTheme="majorEastAsia" w:cstheme="majorEastAsia"/>
                <w:b w:val="0"/>
                <w:bCs w:val="0"/>
                <w:color w:val="auto"/>
                <w:sz w:val="24"/>
                <w:szCs w:val="24"/>
                <w:highlight w:val="none"/>
                <w:vertAlign w:val="baseline"/>
              </w:rPr>
              <w:t>。</w:t>
            </w:r>
          </w:p>
          <w:p w14:paraId="3D8B1516">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lang w:val="en-US" w:eastAsia="zh-CN"/>
              </w:rPr>
              <w:t>未提供承诺及</w:t>
            </w:r>
            <w:r>
              <w:rPr>
                <w:rFonts w:hint="eastAsia" w:asciiTheme="majorEastAsia" w:hAnsiTheme="majorEastAsia" w:eastAsiaTheme="majorEastAsia" w:cstheme="majorEastAsia"/>
                <w:b w:val="0"/>
                <w:bCs w:val="0"/>
                <w:color w:val="auto"/>
                <w:sz w:val="24"/>
                <w:szCs w:val="24"/>
                <w:highlight w:val="none"/>
                <w:vertAlign w:val="baseline"/>
              </w:rPr>
              <w:t>2025年国务院、安徽省已印发的第一批30个和印发的第二批17个“高效办成一件事”重点事项</w:t>
            </w:r>
            <w:r>
              <w:rPr>
                <w:rFonts w:hint="eastAsia" w:asciiTheme="majorEastAsia" w:hAnsiTheme="majorEastAsia" w:eastAsiaTheme="majorEastAsia" w:cstheme="majorEastAsia"/>
                <w:b w:val="0"/>
                <w:bCs w:val="0"/>
                <w:color w:val="auto"/>
                <w:sz w:val="24"/>
                <w:szCs w:val="24"/>
                <w:highlight w:val="none"/>
                <w:vertAlign w:val="baseline"/>
                <w:lang w:val="en-US" w:eastAsia="zh-CN"/>
              </w:rPr>
              <w:t>清单的不得分</w:t>
            </w:r>
            <w:r>
              <w:rPr>
                <w:rFonts w:hint="eastAsia" w:asciiTheme="majorEastAsia" w:hAnsiTheme="majorEastAsia" w:eastAsiaTheme="majorEastAsia" w:cstheme="majorEastAsia"/>
                <w:b w:val="0"/>
                <w:bCs w:val="0"/>
                <w:color w:val="auto"/>
                <w:sz w:val="24"/>
                <w:szCs w:val="24"/>
                <w:highlight w:val="none"/>
                <w:vertAlign w:val="baseline"/>
              </w:rPr>
              <w:t>。</w:t>
            </w:r>
          </w:p>
        </w:tc>
        <w:tc>
          <w:tcPr>
            <w:tcW w:w="604" w:type="pct"/>
            <w:tcBorders>
              <w:top w:val="single" w:color="auto" w:sz="4" w:space="0"/>
              <w:left w:val="single" w:color="auto" w:sz="4" w:space="0"/>
              <w:bottom w:val="single" w:color="auto" w:sz="4" w:space="0"/>
              <w:right w:val="single" w:color="auto" w:sz="4" w:space="0"/>
            </w:tcBorders>
            <w:vAlign w:val="center"/>
          </w:tcPr>
          <w:p w14:paraId="39B00B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w:t>
            </w:r>
            <w:r>
              <w:rPr>
                <w:rFonts w:hint="eastAsia" w:asciiTheme="majorEastAsia" w:hAnsiTheme="majorEastAsia" w:eastAsiaTheme="majorEastAsia" w:cstheme="majorEastAsia"/>
                <w:b w:val="0"/>
                <w:bCs w:val="0"/>
                <w:color w:val="auto"/>
                <w:sz w:val="24"/>
                <w:szCs w:val="24"/>
                <w:highlight w:val="none"/>
                <w:vertAlign w:val="baseline"/>
                <w:lang w:val="en-US" w:eastAsia="zh-CN"/>
              </w:rPr>
              <w:t>2</w:t>
            </w:r>
            <w:r>
              <w:rPr>
                <w:rFonts w:hint="eastAsia" w:asciiTheme="majorEastAsia" w:hAnsiTheme="majorEastAsia" w:eastAsiaTheme="majorEastAsia" w:cstheme="majorEastAsia"/>
                <w:b w:val="0"/>
                <w:bCs w:val="0"/>
                <w:color w:val="auto"/>
                <w:sz w:val="24"/>
                <w:szCs w:val="24"/>
                <w:highlight w:val="none"/>
                <w:vertAlign w:val="baseline"/>
              </w:rPr>
              <w:t>分</w:t>
            </w:r>
          </w:p>
        </w:tc>
      </w:tr>
      <w:tr w14:paraId="4154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781635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21A362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1</w:t>
            </w:r>
            <w:r>
              <w:rPr>
                <w:rFonts w:hint="eastAsia" w:asciiTheme="majorEastAsia" w:hAnsiTheme="majorEastAsia" w:eastAsiaTheme="majorEastAsia" w:cstheme="majorEastAsia"/>
                <w:b w:val="0"/>
                <w:bCs w:val="0"/>
                <w:color w:val="auto"/>
                <w:sz w:val="24"/>
                <w:szCs w:val="24"/>
                <w:highlight w:val="none"/>
                <w:vertAlign w:val="baseline"/>
                <w:lang w:val="en-US" w:eastAsia="zh-CN"/>
              </w:rPr>
              <w:t>2</w:t>
            </w:r>
            <w:r>
              <w:rPr>
                <w:rFonts w:hint="eastAsia" w:asciiTheme="majorEastAsia" w:hAnsiTheme="majorEastAsia" w:eastAsiaTheme="majorEastAsia" w:cstheme="majorEastAsia"/>
                <w:b w:val="0"/>
                <w:bCs w:val="0"/>
                <w:color w:val="auto"/>
                <w:sz w:val="24"/>
                <w:szCs w:val="24"/>
                <w:highlight w:val="none"/>
                <w:vertAlign w:val="baseline"/>
              </w:rPr>
              <w:t>.项目实施管理</w:t>
            </w:r>
          </w:p>
        </w:tc>
        <w:tc>
          <w:tcPr>
            <w:tcW w:w="3090" w:type="pct"/>
            <w:tcBorders>
              <w:top w:val="single" w:color="auto" w:sz="4" w:space="0"/>
              <w:left w:val="single" w:color="auto" w:sz="4" w:space="0"/>
              <w:bottom w:val="single" w:color="auto" w:sz="4" w:space="0"/>
              <w:right w:val="single" w:color="auto" w:sz="4" w:space="0"/>
            </w:tcBorders>
            <w:vAlign w:val="top"/>
          </w:tcPr>
          <w:p w14:paraId="2D8F5A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投标人需针对本项目实施所涉及的团队管理、实施计划、风险管理、系统测试、验收、质量管理等内容来规划清晰、合理的实施管理方案：</w:t>
            </w:r>
          </w:p>
          <w:p w14:paraId="538C60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（1）方案思路清晰完整，管理完善、切实可行的得5分；</w:t>
            </w:r>
          </w:p>
          <w:p w14:paraId="3DFDC2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（2）方案内容完整、具有一定可行性的得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分；</w:t>
            </w:r>
          </w:p>
          <w:p w14:paraId="6F4CF3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（3）方案有待完善，操作性有待提升的得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1</w:t>
            </w:r>
            <w:r>
              <w:rPr>
                <w:rFonts w:hint="eastAsia" w:asciiTheme="majorEastAsia" w:hAnsiTheme="majorEastAsia" w:eastAsiaTheme="majorEastAsia" w:cstheme="majorEastAsia"/>
                <w:b w:val="0"/>
                <w:bCs w:val="0"/>
                <w:color w:val="auto"/>
                <w:sz w:val="24"/>
                <w:szCs w:val="24"/>
                <w:highlight w:val="none"/>
                <w:vertAlign w:val="baseline"/>
              </w:rPr>
              <w:t>分；</w:t>
            </w:r>
          </w:p>
          <w:p w14:paraId="257219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68BCF0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0-5分</w:t>
            </w:r>
          </w:p>
        </w:tc>
      </w:tr>
      <w:tr w14:paraId="78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5A5258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1543E9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1</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.售后服务方案</w:t>
            </w:r>
          </w:p>
        </w:tc>
        <w:tc>
          <w:tcPr>
            <w:tcW w:w="3090" w:type="pct"/>
            <w:tcBorders>
              <w:top w:val="single" w:color="auto" w:sz="4" w:space="0"/>
              <w:left w:val="single" w:color="auto" w:sz="4" w:space="0"/>
              <w:bottom w:val="single" w:color="auto" w:sz="4" w:space="0"/>
              <w:right w:val="single" w:color="auto" w:sz="4" w:space="0"/>
            </w:tcBorders>
            <w:vAlign w:val="top"/>
          </w:tcPr>
          <w:p w14:paraId="148041F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投标人对本项目售后服务所涉及的服务体系、服务流程、应急响应措施等方面来规划清晰、合理的售后服务方案：</w:t>
            </w:r>
          </w:p>
          <w:p w14:paraId="3F64A6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（1）售后服务方案思路清晰完整，方案完善、切实可行的得5分；</w:t>
            </w:r>
          </w:p>
          <w:p w14:paraId="259937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（2）方案内容完整、具有一定可行性的得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分；</w:t>
            </w:r>
          </w:p>
          <w:p w14:paraId="58C35CF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（3）方案有待完善，操作性有待提升的得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1</w:t>
            </w:r>
            <w:r>
              <w:rPr>
                <w:rFonts w:hint="eastAsia" w:asciiTheme="majorEastAsia" w:hAnsiTheme="majorEastAsia" w:eastAsiaTheme="majorEastAsia" w:cstheme="majorEastAsia"/>
                <w:b w:val="0"/>
                <w:bCs w:val="0"/>
                <w:color w:val="auto"/>
                <w:sz w:val="24"/>
                <w:szCs w:val="24"/>
                <w:highlight w:val="none"/>
                <w:vertAlign w:val="baseline"/>
              </w:rPr>
              <w:t>分；</w:t>
            </w:r>
          </w:p>
          <w:p w14:paraId="44E27E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（4）未提供方案不得分。</w:t>
            </w:r>
          </w:p>
        </w:tc>
        <w:tc>
          <w:tcPr>
            <w:tcW w:w="604" w:type="pct"/>
            <w:tcBorders>
              <w:top w:val="single" w:color="auto" w:sz="4" w:space="0"/>
              <w:left w:val="single" w:color="auto" w:sz="4" w:space="0"/>
              <w:bottom w:val="single" w:color="auto" w:sz="4" w:space="0"/>
              <w:right w:val="single" w:color="auto" w:sz="4" w:space="0"/>
            </w:tcBorders>
            <w:vAlign w:val="center"/>
          </w:tcPr>
          <w:p w14:paraId="5EBDAD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0-5分</w:t>
            </w:r>
          </w:p>
        </w:tc>
      </w:tr>
      <w:tr w14:paraId="7211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664AE8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780011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1</w:t>
            </w:r>
            <w:r>
              <w:rPr>
                <w:rFonts w:hint="eastAsia" w:asciiTheme="majorEastAsia" w:hAnsiTheme="majorEastAsia" w:eastAsiaTheme="majorEastAsia" w:cstheme="majorEastAsia"/>
                <w:b w:val="0"/>
                <w:bCs w:val="0"/>
                <w:color w:val="auto"/>
                <w:sz w:val="24"/>
                <w:szCs w:val="24"/>
                <w:highlight w:val="none"/>
                <w:vertAlign w:val="baseline"/>
                <w:lang w:val="en-US" w:eastAsia="zh-CN"/>
              </w:rPr>
              <w:t>4</w:t>
            </w:r>
            <w:r>
              <w:rPr>
                <w:rFonts w:hint="eastAsia" w:asciiTheme="majorEastAsia" w:hAnsiTheme="majorEastAsia" w:eastAsiaTheme="majorEastAsia" w:cstheme="majorEastAsia"/>
                <w:b w:val="0"/>
                <w:bCs w:val="0"/>
                <w:color w:val="auto"/>
                <w:sz w:val="24"/>
                <w:szCs w:val="24"/>
                <w:highlight w:val="none"/>
                <w:vertAlign w:val="baseline"/>
              </w:rPr>
              <w:t>.安全保障方案</w:t>
            </w:r>
          </w:p>
        </w:tc>
        <w:tc>
          <w:tcPr>
            <w:tcW w:w="3090" w:type="pct"/>
            <w:tcBorders>
              <w:top w:val="single" w:color="auto" w:sz="4" w:space="0"/>
              <w:left w:val="single" w:color="auto" w:sz="4" w:space="0"/>
              <w:bottom w:val="single" w:color="auto" w:sz="4" w:space="0"/>
              <w:right w:val="single" w:color="auto" w:sz="4" w:space="0"/>
            </w:tcBorders>
            <w:vAlign w:val="top"/>
          </w:tcPr>
          <w:p w14:paraId="376D4D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投标人针对本项目的安全保障制定方案，根据投标人提供的安全保障方案内容进行综合评审：</w:t>
            </w:r>
          </w:p>
          <w:p w14:paraId="0B7F678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（1）安全保障体系方案全面完整、针对性强、方案贴合项目需求，得5分；</w:t>
            </w:r>
          </w:p>
          <w:p w14:paraId="51C5CA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（2）有安全方案，满足项目需求，得</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分；</w:t>
            </w:r>
          </w:p>
          <w:p w14:paraId="2F9624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（3）有安全方案，但有待完善，得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1</w:t>
            </w:r>
            <w:r>
              <w:rPr>
                <w:rFonts w:hint="eastAsia" w:asciiTheme="majorEastAsia" w:hAnsiTheme="majorEastAsia" w:eastAsiaTheme="majorEastAsia" w:cstheme="majorEastAsia"/>
                <w:b w:val="0"/>
                <w:bCs w:val="0"/>
                <w:color w:val="auto"/>
                <w:sz w:val="24"/>
                <w:szCs w:val="24"/>
                <w:highlight w:val="none"/>
                <w:vertAlign w:val="baseline"/>
              </w:rPr>
              <w:t>分；</w:t>
            </w:r>
          </w:p>
          <w:p w14:paraId="755E3F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（4）未提供方案的不得分。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1F3613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0-5分</w:t>
            </w:r>
          </w:p>
        </w:tc>
      </w:tr>
      <w:tr w14:paraId="6CFC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bottom w:val="single" w:color="auto" w:sz="4" w:space="0"/>
              <w:right w:val="single" w:color="auto" w:sz="4" w:space="0"/>
            </w:tcBorders>
            <w:vAlign w:val="center"/>
          </w:tcPr>
          <w:p w14:paraId="1663CD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3B26A2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1</w:t>
            </w:r>
            <w:r>
              <w:rPr>
                <w:rFonts w:hint="eastAsia" w:asciiTheme="majorEastAsia" w:hAnsiTheme="majorEastAsia" w:eastAsiaTheme="majorEastAsia" w:cstheme="majorEastAsia"/>
                <w:b w:val="0"/>
                <w:bCs w:val="0"/>
                <w:color w:val="auto"/>
                <w:sz w:val="24"/>
                <w:szCs w:val="24"/>
                <w:highlight w:val="none"/>
                <w:vertAlign w:val="baseline"/>
                <w:lang w:val="en-US" w:eastAsia="zh-CN"/>
              </w:rPr>
              <w:t>5</w:t>
            </w:r>
            <w:r>
              <w:rPr>
                <w:rFonts w:hint="eastAsia" w:asciiTheme="majorEastAsia" w:hAnsiTheme="majorEastAsia" w:eastAsiaTheme="majorEastAsia" w:cstheme="majorEastAsia"/>
                <w:b w:val="0"/>
                <w:bCs w:val="0"/>
                <w:color w:val="auto"/>
                <w:sz w:val="24"/>
                <w:szCs w:val="24"/>
                <w:highlight w:val="none"/>
                <w:vertAlign w:val="baseline"/>
              </w:rPr>
              <w:t>.培训方案</w:t>
            </w:r>
          </w:p>
        </w:tc>
        <w:tc>
          <w:tcPr>
            <w:tcW w:w="3090" w:type="pct"/>
            <w:tcBorders>
              <w:top w:val="single" w:color="auto" w:sz="4" w:space="0"/>
              <w:left w:val="single" w:color="auto" w:sz="4" w:space="0"/>
              <w:bottom w:val="single" w:color="auto" w:sz="4" w:space="0"/>
              <w:right w:val="single" w:color="auto" w:sz="4" w:space="0"/>
            </w:tcBorders>
            <w:vAlign w:val="top"/>
          </w:tcPr>
          <w:p w14:paraId="43EBC8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投标人需针对本项目技术培训所涉及的培训目标、培训内容、培训方式等方面来规划清晰、合理的培训服务方案。根据投标人提供的培训服务方案内容进行综合评审：</w:t>
            </w:r>
          </w:p>
          <w:p w14:paraId="473AF8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（1）方案思路清晰完整，可行性、针对性强的得5分；</w:t>
            </w:r>
          </w:p>
          <w:p w14:paraId="6930F5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（2）方案规划清晰完整、具有可行性、针对性的得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3</w:t>
            </w:r>
            <w:r>
              <w:rPr>
                <w:rFonts w:hint="eastAsia" w:asciiTheme="majorEastAsia" w:hAnsiTheme="majorEastAsia" w:eastAsiaTheme="majorEastAsia" w:cstheme="majorEastAsia"/>
                <w:b w:val="0"/>
                <w:bCs w:val="0"/>
                <w:color w:val="auto"/>
                <w:sz w:val="24"/>
                <w:szCs w:val="24"/>
                <w:highlight w:val="none"/>
                <w:vertAlign w:val="baseline"/>
              </w:rPr>
              <w:t>分；</w:t>
            </w:r>
          </w:p>
          <w:p w14:paraId="018E4E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vertAlign w:val="baseline"/>
              </w:rPr>
            </w:pPr>
            <w:r>
              <w:rPr>
                <w:rFonts w:hint="eastAsia" w:asciiTheme="majorEastAsia" w:hAnsiTheme="majorEastAsia" w:eastAsiaTheme="majorEastAsia" w:cstheme="majorEastAsia"/>
                <w:b w:val="0"/>
                <w:bCs w:val="0"/>
                <w:color w:val="auto"/>
                <w:sz w:val="24"/>
                <w:szCs w:val="24"/>
                <w:highlight w:val="none"/>
                <w:vertAlign w:val="baseline"/>
              </w:rPr>
              <w:t>（3）方案理解有待提升，可行性、针对性有待提升的得</w:t>
            </w:r>
            <w:r>
              <w:rPr>
                <w:rFonts w:hint="eastAsia" w:asciiTheme="majorEastAsia" w:hAnsiTheme="majorEastAsia" w:eastAsiaTheme="majorEastAsia" w:cstheme="majorEastAsia"/>
                <w:b w:val="0"/>
                <w:bCs w:val="0"/>
                <w:color w:val="auto"/>
                <w:sz w:val="24"/>
                <w:szCs w:val="24"/>
                <w:highlight w:val="none"/>
                <w:vertAlign w:val="baseline"/>
                <w:lang w:val="en-US" w:eastAsia="zh-CN"/>
              </w:rPr>
              <w:t>1</w:t>
            </w:r>
            <w:r>
              <w:rPr>
                <w:rFonts w:hint="eastAsia" w:asciiTheme="majorEastAsia" w:hAnsiTheme="majorEastAsia" w:eastAsiaTheme="majorEastAsia" w:cstheme="majorEastAsia"/>
                <w:b w:val="0"/>
                <w:bCs w:val="0"/>
                <w:color w:val="auto"/>
                <w:sz w:val="24"/>
                <w:szCs w:val="24"/>
                <w:highlight w:val="none"/>
                <w:vertAlign w:val="baseline"/>
              </w:rPr>
              <w:t>分；</w:t>
            </w:r>
          </w:p>
          <w:p w14:paraId="0EDD7F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（4）未提供方案的不得分。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4DF582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kern w:val="2"/>
                <w:sz w:val="24"/>
                <w:szCs w:val="24"/>
                <w:highlight w:val="none"/>
                <w:vertAlign w:val="baseline"/>
                <w:lang w:val="en-US" w:eastAsia="zh-CN" w:bidi="ar-SA"/>
              </w:rPr>
            </w:pPr>
            <w:r>
              <w:rPr>
                <w:rFonts w:hint="eastAsia" w:asciiTheme="majorEastAsia" w:hAnsiTheme="majorEastAsia" w:eastAsiaTheme="majorEastAsia" w:cstheme="majorEastAsia"/>
                <w:b w:val="0"/>
                <w:bCs w:val="0"/>
                <w:color w:val="auto"/>
                <w:sz w:val="24"/>
                <w:szCs w:val="24"/>
                <w:highlight w:val="none"/>
                <w:vertAlign w:val="baseline"/>
              </w:rPr>
              <w:t>0-5分</w:t>
            </w:r>
          </w:p>
        </w:tc>
      </w:tr>
      <w:tr w14:paraId="5C64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14:paraId="25050E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价格分</w:t>
            </w:r>
          </w:p>
          <w:p w14:paraId="686588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w:t>
            </w:r>
            <w:r>
              <w:rPr>
                <w:rFonts w:hint="eastAsia" w:asciiTheme="majorEastAsia" w:hAnsiTheme="majorEastAsia" w:eastAsiaTheme="majorEastAsia" w:cstheme="majorEastAsia"/>
                <w:b w:val="0"/>
                <w:bCs w:val="0"/>
                <w:color w:val="auto"/>
                <w:sz w:val="24"/>
                <w:szCs w:val="24"/>
                <w:highlight w:val="none"/>
                <w:u w:val="single"/>
                <w:lang w:val="en-US" w:eastAsia="zh-CN"/>
              </w:rPr>
              <w:t>10</w:t>
            </w:r>
            <w:r>
              <w:rPr>
                <w:rFonts w:hint="eastAsia" w:asciiTheme="majorEastAsia" w:hAnsiTheme="majorEastAsia" w:eastAsiaTheme="majorEastAsia" w:cstheme="majorEastAsia"/>
                <w:b w:val="0"/>
                <w:bCs w:val="0"/>
                <w:color w:val="auto"/>
                <w:sz w:val="24"/>
                <w:szCs w:val="24"/>
                <w:highlight w:val="none"/>
              </w:rPr>
              <w:t>分）</w:t>
            </w:r>
          </w:p>
        </w:tc>
        <w:tc>
          <w:tcPr>
            <w:tcW w:w="4421" w:type="pct"/>
            <w:gridSpan w:val="3"/>
            <w:tcBorders>
              <w:top w:val="single" w:color="auto" w:sz="4" w:space="0"/>
              <w:left w:val="single" w:color="auto" w:sz="4" w:space="0"/>
              <w:bottom w:val="single" w:color="auto" w:sz="4" w:space="0"/>
              <w:right w:val="single" w:color="auto" w:sz="4" w:space="0"/>
            </w:tcBorders>
            <w:vAlign w:val="center"/>
          </w:tcPr>
          <w:p w14:paraId="0481A4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color w:val="auto"/>
                <w:sz w:val="24"/>
                <w:szCs w:val="24"/>
                <w:highlight w:val="none"/>
                <w:u w:val="single"/>
                <w:lang w:val="en-US" w:eastAsia="zh-CN"/>
              </w:rPr>
              <w:t>10</w:t>
            </w:r>
            <w:r>
              <w:rPr>
                <w:rFonts w:hint="eastAsia" w:asciiTheme="majorEastAsia" w:hAnsiTheme="majorEastAsia" w:eastAsiaTheme="majorEastAsia" w:cstheme="majorEastAsia"/>
                <w:b w:val="0"/>
                <w:bCs w:val="0"/>
                <w:color w:val="auto"/>
                <w:sz w:val="24"/>
                <w:szCs w:val="24"/>
                <w:highlight w:val="none"/>
              </w:rPr>
              <w:t>分。其他投标人的价格分统一按照下列公式计算：</w:t>
            </w:r>
          </w:p>
          <w:p w14:paraId="2149DF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投标报价得分＝（评标基准价/投标报价）×</w:t>
            </w:r>
            <w:r>
              <w:rPr>
                <w:rFonts w:hint="eastAsia" w:asciiTheme="majorEastAsia" w:hAnsiTheme="majorEastAsia" w:eastAsiaTheme="majorEastAsia" w:cstheme="majorEastAsia"/>
                <w:b w:val="0"/>
                <w:bCs w:val="0"/>
                <w:color w:val="auto"/>
                <w:sz w:val="24"/>
                <w:szCs w:val="24"/>
                <w:highlight w:val="none"/>
                <w:lang w:val="en-US" w:eastAsia="zh-CN"/>
              </w:rPr>
              <w:t>10</w:t>
            </w:r>
            <w:r>
              <w:rPr>
                <w:rFonts w:hint="eastAsia" w:asciiTheme="majorEastAsia" w:hAnsiTheme="majorEastAsia" w:eastAsiaTheme="majorEastAsia" w:cstheme="majorEastAsia"/>
                <w:b w:val="0"/>
                <w:bCs w:val="0"/>
                <w:color w:val="auto"/>
                <w:sz w:val="24"/>
                <w:szCs w:val="24"/>
                <w:highlight w:val="none"/>
              </w:rPr>
              <w:t>％×100</w:t>
            </w:r>
          </w:p>
        </w:tc>
      </w:tr>
    </w:tbl>
    <w:p w14:paraId="0C85A5FE">
      <w:pPr>
        <w:keepNext w:val="0"/>
        <w:keepLines w:val="0"/>
        <w:pageBreakBefore w:val="0"/>
        <w:kinsoku/>
        <w:overflowPunct/>
        <w:topLinePunct w:val="0"/>
        <w:autoSpaceDE/>
        <w:autoSpaceDN/>
        <w:bidi w:val="0"/>
        <w:spacing w:line="52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2包别：</w:t>
      </w:r>
    </w:p>
    <w:p w14:paraId="7A01F585">
      <w:pPr>
        <w:keepNext w:val="0"/>
        <w:keepLines w:val="0"/>
        <w:pageBreakBefore w:val="0"/>
        <w:kinsoku/>
        <w:overflowPunct/>
        <w:topLinePunct w:val="0"/>
        <w:autoSpaceDE/>
        <w:autoSpaceDN/>
        <w:bidi w:val="0"/>
        <w:spacing w:line="52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40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33"/>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443"/>
        <w:gridCol w:w="6141"/>
        <w:gridCol w:w="1202"/>
      </w:tblGrid>
      <w:tr w14:paraId="5AFF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14:paraId="1572AF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类别</w:t>
            </w:r>
          </w:p>
        </w:tc>
        <w:tc>
          <w:tcPr>
            <w:tcW w:w="726" w:type="pct"/>
            <w:tcBorders>
              <w:top w:val="single" w:color="auto" w:sz="4" w:space="0"/>
              <w:left w:val="single" w:color="auto" w:sz="4" w:space="0"/>
              <w:bottom w:val="single" w:color="auto" w:sz="4" w:space="0"/>
              <w:right w:val="single" w:color="auto" w:sz="4" w:space="0"/>
            </w:tcBorders>
            <w:vAlign w:val="center"/>
          </w:tcPr>
          <w:p w14:paraId="423290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评分内容</w:t>
            </w:r>
          </w:p>
        </w:tc>
        <w:tc>
          <w:tcPr>
            <w:tcW w:w="3090" w:type="pct"/>
            <w:tcBorders>
              <w:top w:val="single" w:color="auto" w:sz="4" w:space="0"/>
              <w:left w:val="single" w:color="auto" w:sz="4" w:space="0"/>
              <w:bottom w:val="single" w:color="auto" w:sz="4" w:space="0"/>
              <w:right w:val="single" w:color="auto" w:sz="4" w:space="0"/>
            </w:tcBorders>
            <w:vAlign w:val="center"/>
          </w:tcPr>
          <w:p w14:paraId="4B3B76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评分标准</w:t>
            </w:r>
          </w:p>
        </w:tc>
        <w:tc>
          <w:tcPr>
            <w:tcW w:w="604" w:type="pct"/>
            <w:tcBorders>
              <w:top w:val="single" w:color="auto" w:sz="4" w:space="0"/>
              <w:left w:val="single" w:color="auto" w:sz="4" w:space="0"/>
              <w:bottom w:val="single" w:color="auto" w:sz="4" w:space="0"/>
              <w:right w:val="single" w:color="auto" w:sz="4" w:space="0"/>
            </w:tcBorders>
            <w:vAlign w:val="center"/>
          </w:tcPr>
          <w:p w14:paraId="714E87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分值范围</w:t>
            </w:r>
          </w:p>
        </w:tc>
      </w:tr>
      <w:tr w14:paraId="46D0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restart"/>
            <w:tcBorders>
              <w:top w:val="single" w:color="auto" w:sz="4" w:space="0"/>
              <w:left w:val="single" w:color="auto" w:sz="4" w:space="0"/>
              <w:right w:val="single" w:color="auto" w:sz="4" w:space="0"/>
            </w:tcBorders>
            <w:vAlign w:val="center"/>
          </w:tcPr>
          <w:p w14:paraId="657DAD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资信分</w:t>
            </w:r>
          </w:p>
          <w:p w14:paraId="1EA32E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40</w:t>
            </w:r>
            <w:r>
              <w:rPr>
                <w:rFonts w:hint="eastAsia" w:asciiTheme="minorEastAsia" w:hAnsiTheme="minorEastAsia" w:eastAsiaTheme="minorEastAsia" w:cstheme="minorEastAsia"/>
                <w:b w:val="0"/>
                <w:bCs w:val="0"/>
                <w:color w:val="auto"/>
                <w:sz w:val="24"/>
                <w:szCs w:val="24"/>
                <w:highlight w:val="none"/>
              </w:rPr>
              <w:t>分）</w:t>
            </w:r>
          </w:p>
        </w:tc>
        <w:tc>
          <w:tcPr>
            <w:tcW w:w="726" w:type="pct"/>
            <w:tcBorders>
              <w:top w:val="single" w:color="auto" w:sz="4" w:space="0"/>
              <w:left w:val="single" w:color="auto" w:sz="4" w:space="0"/>
              <w:bottom w:val="single" w:color="auto" w:sz="4" w:space="0"/>
              <w:right w:val="single" w:color="auto" w:sz="4" w:space="0"/>
            </w:tcBorders>
            <w:vAlign w:val="center"/>
          </w:tcPr>
          <w:p w14:paraId="175DB0D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业绩</w:t>
            </w:r>
          </w:p>
        </w:tc>
        <w:tc>
          <w:tcPr>
            <w:tcW w:w="3090" w:type="pct"/>
            <w:tcBorders>
              <w:top w:val="single" w:color="auto" w:sz="4" w:space="0"/>
              <w:left w:val="single" w:color="auto" w:sz="4" w:space="0"/>
              <w:bottom w:val="single" w:color="auto" w:sz="4" w:space="0"/>
              <w:right w:val="single" w:color="auto" w:sz="4" w:space="0"/>
            </w:tcBorders>
            <w:vAlign w:val="center"/>
          </w:tcPr>
          <w:p w14:paraId="2F870BD2">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r>
              <w:rPr>
                <w:rFonts w:hint="eastAsia" w:asciiTheme="minorEastAsia" w:hAnsiTheme="minorEastAsia" w:eastAsiaTheme="minorEastAsia" w:cstheme="minorEastAsia"/>
                <w:color w:val="auto"/>
                <w:kern w:val="0"/>
                <w:sz w:val="24"/>
                <w:szCs w:val="24"/>
                <w:highlight w:val="none"/>
                <w:lang w:val="en-US" w:eastAsia="zh-CN"/>
              </w:rPr>
              <w:t>22</w:t>
            </w:r>
            <w:r>
              <w:rPr>
                <w:rFonts w:hint="eastAsia" w:asciiTheme="minorEastAsia" w:hAnsiTheme="minorEastAsia" w:eastAsiaTheme="minorEastAsia" w:cstheme="minorEastAsia"/>
                <w:color w:val="auto"/>
                <w:kern w:val="0"/>
                <w:sz w:val="24"/>
                <w:szCs w:val="24"/>
                <w:highlight w:val="none"/>
              </w:rPr>
              <w:t>年1月1日至今（以合同签订时间为准），</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承担过信息化项目监理的，</w:t>
            </w:r>
            <w:r>
              <w:rPr>
                <w:rFonts w:hint="eastAsia" w:asciiTheme="minorEastAsia" w:hAnsiTheme="minorEastAsia" w:eastAsiaTheme="minorEastAsia" w:cstheme="minorEastAsia"/>
                <w:color w:val="auto"/>
                <w:kern w:val="0"/>
                <w:sz w:val="24"/>
                <w:szCs w:val="24"/>
                <w:highlight w:val="none"/>
                <w:lang w:val="en-US" w:eastAsia="zh-CN"/>
              </w:rPr>
              <w:t>每有1个得2分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本条最高得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w:t>
            </w:r>
          </w:p>
          <w:p w14:paraId="7870BA18">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提供合同扫描件，扫描件应能辨识</w:t>
            </w:r>
            <w:r>
              <w:rPr>
                <w:rFonts w:hint="eastAsia" w:asciiTheme="minorEastAsia" w:hAnsiTheme="minorEastAsia" w:eastAsiaTheme="minorEastAsia" w:cstheme="minorEastAsia"/>
                <w:b/>
                <w:bCs/>
                <w:color w:val="auto"/>
                <w:sz w:val="24"/>
                <w:szCs w:val="24"/>
                <w:highlight w:val="none"/>
                <w:lang w:val="en-US" w:eastAsia="zh-CN"/>
              </w:rPr>
              <w:t>甲乙</w:t>
            </w:r>
            <w:r>
              <w:rPr>
                <w:rFonts w:hint="eastAsia" w:asciiTheme="minorEastAsia" w:hAnsiTheme="minorEastAsia" w:eastAsiaTheme="minorEastAsia" w:cstheme="minorEastAsia"/>
                <w:b/>
                <w:bCs/>
                <w:color w:val="auto"/>
                <w:sz w:val="24"/>
                <w:szCs w:val="24"/>
                <w:highlight w:val="none"/>
              </w:rPr>
              <w:t>双方公章、签订时间</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类型</w:t>
            </w:r>
            <w:r>
              <w:rPr>
                <w:rFonts w:hint="eastAsia" w:asciiTheme="minorEastAsia" w:hAnsiTheme="minorEastAsia" w:eastAsiaTheme="minorEastAsia" w:cstheme="minorEastAsia"/>
                <w:b/>
                <w:bCs/>
                <w:color w:val="auto"/>
                <w:sz w:val="24"/>
                <w:szCs w:val="24"/>
                <w:highlight w:val="none"/>
              </w:rPr>
              <w:t>等</w:t>
            </w:r>
            <w:r>
              <w:rPr>
                <w:rFonts w:hint="eastAsia" w:asciiTheme="minorEastAsia" w:hAnsiTheme="minorEastAsia" w:eastAsiaTheme="minorEastAsia" w:cstheme="minorEastAsia"/>
                <w:b/>
                <w:bCs/>
                <w:color w:val="auto"/>
                <w:sz w:val="24"/>
                <w:szCs w:val="24"/>
                <w:highlight w:val="none"/>
                <w:lang w:val="en-US" w:eastAsia="zh-CN"/>
              </w:rPr>
              <w:t>关键信息</w:t>
            </w:r>
            <w:r>
              <w:rPr>
                <w:rFonts w:hint="eastAsia" w:asciiTheme="minorEastAsia" w:hAnsiTheme="minorEastAsia" w:eastAsiaTheme="minorEastAsia" w:cstheme="minorEastAsia"/>
                <w:b/>
                <w:bCs/>
                <w:color w:val="auto"/>
                <w:sz w:val="24"/>
                <w:szCs w:val="24"/>
                <w:highlight w:val="none"/>
              </w:rPr>
              <w:t>，否则不得分</w:t>
            </w:r>
            <w:r>
              <w:rPr>
                <w:rFonts w:hint="eastAsia" w:asciiTheme="minorEastAsia" w:hAnsiTheme="minorEastAsia" w:eastAsiaTheme="minorEastAsia" w:cstheme="minorEastAsia"/>
                <w:b/>
                <w:bCs/>
                <w:color w:val="auto"/>
                <w:sz w:val="24"/>
                <w:szCs w:val="24"/>
                <w:highlight w:val="none"/>
                <w:lang w:eastAsia="zh-CN"/>
              </w:rPr>
              <w:t>。</w:t>
            </w:r>
          </w:p>
        </w:tc>
        <w:tc>
          <w:tcPr>
            <w:tcW w:w="604" w:type="pct"/>
            <w:tcBorders>
              <w:top w:val="single" w:color="auto" w:sz="4" w:space="0"/>
              <w:left w:val="single" w:color="auto" w:sz="4" w:space="0"/>
              <w:bottom w:val="single" w:color="auto" w:sz="4" w:space="0"/>
              <w:right w:val="single" w:color="auto" w:sz="4" w:space="0"/>
            </w:tcBorders>
            <w:vAlign w:val="center"/>
          </w:tcPr>
          <w:p w14:paraId="40F910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0-4分</w:t>
            </w:r>
          </w:p>
        </w:tc>
      </w:tr>
      <w:tr w14:paraId="69E1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72FE5D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0DB1AB2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人员配备</w:t>
            </w:r>
          </w:p>
        </w:tc>
        <w:tc>
          <w:tcPr>
            <w:tcW w:w="3090" w:type="pct"/>
            <w:tcBorders>
              <w:top w:val="single" w:color="auto" w:sz="4" w:space="0"/>
              <w:left w:val="single" w:color="auto" w:sz="4" w:space="0"/>
              <w:bottom w:val="single" w:color="auto" w:sz="4" w:space="0"/>
              <w:right w:val="single" w:color="auto" w:sz="4" w:space="0"/>
            </w:tcBorders>
            <w:vAlign w:val="center"/>
          </w:tcPr>
          <w:p w14:paraId="307F78F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eastAsia="zh-CN" w:bidi="ar-SA"/>
              </w:rPr>
              <w:t>1、</w:t>
            </w:r>
            <w:r>
              <w:rPr>
                <w:rFonts w:hint="eastAsia" w:asciiTheme="minorEastAsia" w:hAnsiTheme="minorEastAsia" w:eastAsiaTheme="minorEastAsia" w:cstheme="minorEastAsia"/>
                <w:color w:val="auto"/>
                <w:kern w:val="0"/>
                <w:sz w:val="24"/>
                <w:szCs w:val="24"/>
                <w:highlight w:val="none"/>
                <w:lang w:val="zh-CN"/>
              </w:rPr>
              <w:t>总监理工程师（</w:t>
            </w:r>
            <w:r>
              <w:rPr>
                <w:rFonts w:hint="eastAsia" w:asciiTheme="minorEastAsia" w:hAnsiTheme="minorEastAsia" w:eastAsiaTheme="minorEastAsia" w:cstheme="minorEastAsia"/>
                <w:color w:val="auto"/>
                <w:kern w:val="0"/>
                <w:sz w:val="24"/>
                <w:szCs w:val="24"/>
                <w:highlight w:val="none"/>
                <w:lang w:val="en-US" w:eastAsia="zh-CN"/>
              </w:rPr>
              <w:t>8分，仅限定1人</w:t>
            </w:r>
            <w:r>
              <w:rPr>
                <w:rFonts w:hint="eastAsia" w:asciiTheme="minorEastAsia" w:hAnsiTheme="minorEastAsia" w:eastAsiaTheme="minorEastAsia" w:cstheme="minorEastAsia"/>
                <w:color w:val="auto"/>
                <w:kern w:val="0"/>
                <w:sz w:val="24"/>
                <w:szCs w:val="24"/>
                <w:highlight w:val="none"/>
                <w:lang w:val="zh-CN"/>
              </w:rPr>
              <w:t>）：</w:t>
            </w:r>
          </w:p>
          <w:p w14:paraId="50D36273">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（1）具有信息系统项目管理师证书；</w:t>
            </w:r>
          </w:p>
          <w:p w14:paraId="6CBDF865">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具有注册信息安全专业人员（CISP）证书；</w:t>
            </w:r>
          </w:p>
          <w:p w14:paraId="103AA5B8">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具有</w:t>
            </w:r>
            <w:r>
              <w:rPr>
                <w:rFonts w:hint="eastAsia" w:ascii="宋体" w:hAnsi="宋体" w:eastAsia="宋体" w:cs="宋体"/>
                <w:color w:val="auto"/>
                <w:kern w:val="0"/>
                <w:sz w:val="24"/>
                <w:szCs w:val="24"/>
                <w:highlight w:val="none"/>
                <w:lang w:val="en-US" w:eastAsia="zh-CN"/>
              </w:rPr>
              <w:t>注册网络安全渗透评估专业人员(NSATP-A)证书；</w:t>
            </w:r>
          </w:p>
          <w:p w14:paraId="7E6A25F1">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color w:val="auto"/>
                <w:highlight w:val="none"/>
              </w:rPr>
            </w:pPr>
            <w:r>
              <w:rPr>
                <w:rFonts w:hint="eastAsia" w:asciiTheme="minorEastAsia" w:hAnsiTheme="minorEastAsia" w:eastAsiaTheme="minorEastAsia" w:cstheme="minorEastAsia"/>
                <w:color w:val="auto"/>
                <w:kern w:val="0"/>
                <w:sz w:val="24"/>
                <w:szCs w:val="24"/>
                <w:highlight w:val="none"/>
                <w:lang w:val="en-US" w:eastAsia="zh-CN"/>
              </w:rPr>
              <w:t>（4）具有</w:t>
            </w:r>
            <w:r>
              <w:rPr>
                <w:rFonts w:hint="eastAsia" w:asciiTheme="minorEastAsia" w:hAnsiTheme="minorEastAsia" w:eastAsiaTheme="minorEastAsia" w:cstheme="minorEastAsia"/>
                <w:color w:val="auto"/>
                <w:spacing w:val="-2"/>
                <w:sz w:val="24"/>
                <w:szCs w:val="24"/>
                <w:highlight w:val="none"/>
              </w:rPr>
              <w:t>注册信息系统审计师（CISP-A）</w:t>
            </w:r>
            <w:r>
              <w:rPr>
                <w:rFonts w:hint="eastAsia" w:asciiTheme="minorEastAsia" w:hAnsiTheme="minorEastAsia" w:eastAsiaTheme="minorEastAsia" w:cstheme="minorEastAsia"/>
                <w:color w:val="auto"/>
                <w:kern w:val="0"/>
                <w:sz w:val="24"/>
                <w:szCs w:val="24"/>
                <w:highlight w:val="none"/>
                <w:lang w:val="en-US" w:eastAsia="zh-CN"/>
              </w:rPr>
              <w:t>。</w:t>
            </w:r>
          </w:p>
          <w:p w14:paraId="608403FC">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以上证书每有1个得2分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本条</w:t>
            </w:r>
            <w:r>
              <w:rPr>
                <w:rFonts w:hint="eastAsia" w:asciiTheme="minorEastAsia" w:hAnsiTheme="minorEastAsia" w:eastAsiaTheme="minorEastAsia" w:cstheme="minorEastAsia"/>
                <w:color w:val="auto"/>
                <w:kern w:val="0"/>
                <w:sz w:val="24"/>
                <w:szCs w:val="24"/>
                <w:highlight w:val="none"/>
              </w:rPr>
              <w:t>最高得</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w:t>
            </w:r>
          </w:p>
          <w:p w14:paraId="63D64B1C">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2、总监理工程师代表（6分，仅限定1人）：</w:t>
            </w:r>
          </w:p>
          <w:p w14:paraId="1EC20E72">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（1）具有信息系统项目管理师证书；</w:t>
            </w:r>
          </w:p>
          <w:p w14:paraId="6097CB35">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（2）具有软件评测师证书；</w:t>
            </w:r>
          </w:p>
          <w:p w14:paraId="3ED578BA">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（3）具有网络安全等级测评师证书。</w:t>
            </w:r>
          </w:p>
          <w:p w14:paraId="6CAE3D5E">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以上证书每有1个得2分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本条</w:t>
            </w:r>
            <w:r>
              <w:rPr>
                <w:rFonts w:hint="eastAsia" w:asciiTheme="minorEastAsia" w:hAnsiTheme="minorEastAsia" w:eastAsiaTheme="minorEastAsia" w:cstheme="minorEastAsia"/>
                <w:color w:val="auto"/>
                <w:kern w:val="0"/>
                <w:sz w:val="24"/>
                <w:szCs w:val="24"/>
                <w:highlight w:val="none"/>
              </w:rPr>
              <w:t>最高得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w:t>
            </w:r>
          </w:p>
          <w:p w14:paraId="15D08B17">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3、拟配备专业监理工程师</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rPr>
              <w:t>8分</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rPr>
              <w:t>：</w:t>
            </w:r>
          </w:p>
          <w:p w14:paraId="67E617BD">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（1）具有软件评测师证书；</w:t>
            </w:r>
          </w:p>
          <w:p w14:paraId="515AD793">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（2）具有IT服务项目经理；</w:t>
            </w:r>
          </w:p>
          <w:p w14:paraId="2E081B98">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（3）具有注册信息安全专业人员（CISP）证书；</w:t>
            </w:r>
          </w:p>
          <w:p w14:paraId="7F84EFC5">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（4）具有IT服务工程师证书。</w:t>
            </w:r>
          </w:p>
          <w:p w14:paraId="1E8BBA32">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以上证书每有1个得2分，本条最高</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w:t>
            </w:r>
          </w:p>
          <w:p w14:paraId="4E5AB8DB">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同时</w:t>
            </w:r>
            <w:r>
              <w:rPr>
                <w:rFonts w:hint="eastAsia" w:asciiTheme="minorEastAsia" w:hAnsiTheme="minorEastAsia" w:eastAsiaTheme="minorEastAsia" w:cstheme="minorEastAsia"/>
                <w:b/>
                <w:bCs/>
                <w:color w:val="auto"/>
                <w:kern w:val="0"/>
                <w:sz w:val="24"/>
                <w:szCs w:val="24"/>
                <w:highlight w:val="none"/>
              </w:rPr>
              <w:t>提供</w:t>
            </w:r>
            <w:r>
              <w:rPr>
                <w:rFonts w:hint="eastAsia" w:asciiTheme="minorEastAsia" w:hAnsiTheme="minorEastAsia" w:eastAsiaTheme="minorEastAsia" w:cstheme="minorEastAsia"/>
                <w:b/>
                <w:bCs/>
                <w:color w:val="auto"/>
                <w:kern w:val="0"/>
                <w:sz w:val="24"/>
                <w:szCs w:val="24"/>
                <w:highlight w:val="none"/>
                <w:lang w:val="en-US" w:eastAsia="zh-CN"/>
              </w:rPr>
              <w:t>以下材料：</w:t>
            </w:r>
          </w:p>
          <w:p w14:paraId="12F2AE72">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b/>
                <w:bCs/>
                <w:color w:val="auto"/>
                <w:kern w:val="0"/>
                <w:sz w:val="24"/>
                <w:szCs w:val="24"/>
                <w:highlight w:val="none"/>
              </w:rPr>
              <w:t>证书原件扫描</w:t>
            </w:r>
            <w:r>
              <w:rPr>
                <w:rFonts w:hint="eastAsia" w:asciiTheme="minorEastAsia" w:hAnsiTheme="minorEastAsia" w:eastAsiaTheme="minorEastAsia" w:cstheme="minorEastAsia"/>
                <w:b/>
                <w:bCs/>
                <w:color w:val="auto"/>
                <w:kern w:val="0"/>
                <w:sz w:val="24"/>
                <w:szCs w:val="24"/>
                <w:highlight w:val="none"/>
                <w:lang w:val="en-US" w:eastAsia="zh-CN"/>
              </w:rPr>
              <w:t>件</w:t>
            </w:r>
          </w:p>
          <w:p w14:paraId="21E7EB80">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b/>
                <w:bCs/>
                <w:color w:val="auto"/>
                <w:kern w:val="0"/>
                <w:sz w:val="24"/>
                <w:szCs w:val="24"/>
                <w:highlight w:val="none"/>
              </w:rPr>
              <w:t>社保部门出具的供应商为其缴纳的投标前</w:t>
            </w:r>
            <w:r>
              <w:rPr>
                <w:rFonts w:hint="eastAsia" w:asciiTheme="minorEastAsia" w:hAnsiTheme="minorEastAsia" w:eastAsiaTheme="minorEastAsia" w:cstheme="minorEastAsia"/>
                <w:b/>
                <w:bCs/>
                <w:color w:val="auto"/>
                <w:kern w:val="0"/>
                <w:sz w:val="24"/>
                <w:szCs w:val="24"/>
                <w:highlight w:val="none"/>
                <w:lang w:val="en-US" w:eastAsia="zh-CN"/>
              </w:rPr>
              <w:t>三</w:t>
            </w:r>
            <w:r>
              <w:rPr>
                <w:rFonts w:hint="eastAsia" w:asciiTheme="minorEastAsia" w:hAnsiTheme="minorEastAsia" w:eastAsiaTheme="minorEastAsia" w:cstheme="minorEastAsia"/>
                <w:b/>
                <w:bCs/>
                <w:color w:val="auto"/>
                <w:kern w:val="0"/>
                <w:sz w:val="24"/>
                <w:szCs w:val="24"/>
                <w:highlight w:val="none"/>
              </w:rPr>
              <w:t>个月中任意一个月的养老保险证明（含官网在线打印件，证明文件两个月内有效）或供应商承诺已为上述人员缴纳开标截止日前</w:t>
            </w:r>
            <w:r>
              <w:rPr>
                <w:rFonts w:hint="eastAsia" w:asciiTheme="minorEastAsia" w:hAnsiTheme="minorEastAsia" w:eastAsiaTheme="minorEastAsia" w:cstheme="minorEastAsia"/>
                <w:b/>
                <w:bCs/>
                <w:color w:val="auto"/>
                <w:kern w:val="0"/>
                <w:sz w:val="24"/>
                <w:szCs w:val="24"/>
                <w:highlight w:val="none"/>
                <w:lang w:val="en-US" w:eastAsia="zh-CN"/>
              </w:rPr>
              <w:t>三</w:t>
            </w:r>
            <w:r>
              <w:rPr>
                <w:rFonts w:hint="eastAsia" w:asciiTheme="minorEastAsia" w:hAnsiTheme="minorEastAsia" w:eastAsiaTheme="minorEastAsia" w:cstheme="minorEastAsia"/>
                <w:b/>
                <w:bCs/>
                <w:color w:val="auto"/>
                <w:kern w:val="0"/>
                <w:sz w:val="24"/>
                <w:szCs w:val="24"/>
                <w:highlight w:val="none"/>
              </w:rPr>
              <w:t>个月中任意一个月的养老保险（承诺格式自拟），投标人是事业单位的，暂未缴纳养老保险的，须由其主管部门出具证明。</w:t>
            </w:r>
          </w:p>
        </w:tc>
        <w:tc>
          <w:tcPr>
            <w:tcW w:w="604" w:type="pct"/>
            <w:tcBorders>
              <w:top w:val="single" w:color="auto" w:sz="4" w:space="0"/>
              <w:left w:val="single" w:color="auto" w:sz="4" w:space="0"/>
              <w:bottom w:val="single" w:color="auto" w:sz="4" w:space="0"/>
              <w:right w:val="single" w:color="auto" w:sz="4" w:space="0"/>
            </w:tcBorders>
            <w:vAlign w:val="center"/>
          </w:tcPr>
          <w:p w14:paraId="39E76F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0-22分</w:t>
            </w:r>
          </w:p>
        </w:tc>
      </w:tr>
      <w:tr w14:paraId="7D16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bottom w:val="single" w:color="auto" w:sz="4" w:space="0"/>
              <w:right w:val="single" w:color="auto" w:sz="4" w:space="0"/>
            </w:tcBorders>
            <w:vAlign w:val="center"/>
          </w:tcPr>
          <w:p w14:paraId="66CFC1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316B09F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监理及软测工具</w:t>
            </w:r>
          </w:p>
        </w:tc>
        <w:tc>
          <w:tcPr>
            <w:tcW w:w="3090" w:type="pct"/>
            <w:tcBorders>
              <w:top w:val="single" w:color="auto" w:sz="4" w:space="0"/>
              <w:left w:val="single" w:color="auto" w:sz="4" w:space="0"/>
              <w:bottom w:val="single" w:color="auto" w:sz="4" w:space="0"/>
              <w:right w:val="single" w:color="auto" w:sz="4" w:space="0"/>
            </w:tcBorders>
            <w:vAlign w:val="center"/>
          </w:tcPr>
          <w:p w14:paraId="4A8263E1">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lang w:val="en-US" w:eastAsia="zh-CN"/>
              </w:rPr>
              <w:t>具有软件质量保证与测试管理系统类、网络安全防入侵检测系统类、测量数据分析管理软件类、软件安全性测评报告生成系统类、软件测试需求管理系统类、网络安全风险评估态势感知系统类、</w:t>
            </w:r>
            <w:r>
              <w:rPr>
                <w:rFonts w:hint="eastAsia" w:asciiTheme="minorEastAsia" w:hAnsiTheme="minorEastAsia" w:eastAsiaTheme="minorEastAsia" w:cstheme="minorEastAsia"/>
                <w:i w:val="0"/>
                <w:iCs w:val="0"/>
                <w:caps w:val="0"/>
                <w:color w:val="auto"/>
                <w:spacing w:val="0"/>
                <w:kern w:val="0"/>
                <w:sz w:val="24"/>
                <w:szCs w:val="24"/>
                <w:highlight w:val="none"/>
                <w:shd w:val="clear" w:fill="auto"/>
              </w:rPr>
              <w:t>自动化网络安全漏洞检测管理系统</w:t>
            </w:r>
            <w:r>
              <w:rPr>
                <w:rFonts w:hint="eastAsia" w:asciiTheme="minorEastAsia" w:hAnsiTheme="minorEastAsia" w:eastAsiaTheme="minorEastAsia" w:cstheme="minorEastAsia"/>
                <w:i w:val="0"/>
                <w:iCs w:val="0"/>
                <w:caps w:val="0"/>
                <w:color w:val="auto"/>
                <w:spacing w:val="0"/>
                <w:kern w:val="0"/>
                <w:sz w:val="24"/>
                <w:szCs w:val="24"/>
                <w:highlight w:val="none"/>
                <w:shd w:val="clear" w:fill="auto"/>
                <w:lang w:val="en-US" w:eastAsia="zh-CN"/>
              </w:rPr>
              <w:t>类</w:t>
            </w:r>
            <w:r>
              <w:rPr>
                <w:rFonts w:hint="eastAsia" w:asciiTheme="minorEastAsia" w:hAnsiTheme="minorEastAsia" w:eastAsiaTheme="minorEastAsia" w:cstheme="minorEastAsia"/>
                <w:color w:val="auto"/>
                <w:kern w:val="0"/>
                <w:sz w:val="24"/>
                <w:szCs w:val="24"/>
                <w:highlight w:val="none"/>
                <w:lang w:val="en-US" w:eastAsia="zh-CN"/>
              </w:rPr>
              <w:t>等工具用于项目监理及软测工作，每具有一项得2分，</w:t>
            </w:r>
            <w:r>
              <w:rPr>
                <w:rFonts w:hint="eastAsia" w:asciiTheme="minorEastAsia" w:hAnsiTheme="minorEastAsia" w:eastAsiaTheme="minorEastAsia" w:cstheme="minorEastAsia"/>
                <w:color w:val="auto"/>
                <w:sz w:val="24"/>
                <w:szCs w:val="24"/>
                <w:highlight w:val="none"/>
                <w:lang w:val="en-US" w:eastAsia="zh-CN"/>
              </w:rPr>
              <w:t>本条最高得</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w:t>
            </w:r>
          </w:p>
          <w:p w14:paraId="1AC3BE1C">
            <w:pPr>
              <w:pStyle w:val="3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注：</w:t>
            </w:r>
          </w:p>
          <w:p w14:paraId="41A60D4D">
            <w:pPr>
              <w:pStyle w:val="3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（1）如为自行开发软件，投标文件中提供上述相应计算机软件著作权登记证书扫描件，计算机软件著作权人须为投标人；</w:t>
            </w:r>
          </w:p>
          <w:p w14:paraId="5F84C5C3">
            <w:pPr>
              <w:keepNext w:val="0"/>
              <w:keepLines w:val="0"/>
              <w:pageBreakBefore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rPr>
              <w:t>（2）如为购买软件，投标文件中提供对应的软件购买合同（或购买发票）关键页扫描件</w:t>
            </w:r>
            <w:r>
              <w:rPr>
                <w:rFonts w:hint="eastAsia" w:asciiTheme="minorEastAsia" w:hAnsiTheme="minorEastAsia" w:eastAsiaTheme="minorEastAsia" w:cstheme="minorEastAsia"/>
                <w:b/>
                <w:bCs/>
                <w:color w:val="auto"/>
                <w:kern w:val="0"/>
                <w:sz w:val="24"/>
                <w:szCs w:val="24"/>
                <w:highlight w:val="none"/>
                <w:lang w:val="en-US" w:eastAsia="zh-CN"/>
              </w:rPr>
              <w:t>。</w:t>
            </w:r>
          </w:p>
        </w:tc>
        <w:tc>
          <w:tcPr>
            <w:tcW w:w="604" w:type="pct"/>
            <w:tcBorders>
              <w:top w:val="single" w:color="auto" w:sz="4" w:space="0"/>
              <w:left w:val="single" w:color="auto" w:sz="4" w:space="0"/>
              <w:bottom w:val="single" w:color="auto" w:sz="4" w:space="0"/>
              <w:right w:val="single" w:color="auto" w:sz="4" w:space="0"/>
            </w:tcBorders>
            <w:vAlign w:val="center"/>
          </w:tcPr>
          <w:p w14:paraId="50E1789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0-14分</w:t>
            </w:r>
          </w:p>
        </w:tc>
      </w:tr>
      <w:tr w14:paraId="7CAD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restart"/>
            <w:tcBorders>
              <w:top w:val="single" w:color="auto" w:sz="4" w:space="0"/>
              <w:left w:val="single" w:color="auto" w:sz="4" w:space="0"/>
              <w:right w:val="single" w:color="auto" w:sz="4" w:space="0"/>
            </w:tcBorders>
            <w:vAlign w:val="center"/>
          </w:tcPr>
          <w:p w14:paraId="6B915E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技术</w:t>
            </w:r>
            <w:r>
              <w:rPr>
                <w:rFonts w:hint="eastAsia" w:asciiTheme="minorEastAsia" w:hAnsiTheme="minorEastAsia" w:eastAsiaTheme="minorEastAsia" w:cstheme="minorEastAsia"/>
                <w:b w:val="0"/>
                <w:bCs w:val="0"/>
                <w:color w:val="auto"/>
                <w:sz w:val="24"/>
                <w:szCs w:val="24"/>
                <w:highlight w:val="none"/>
              </w:rPr>
              <w:t>分</w:t>
            </w:r>
          </w:p>
          <w:p w14:paraId="7FB6C7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50</w:t>
            </w:r>
            <w:r>
              <w:rPr>
                <w:rFonts w:hint="eastAsia" w:asciiTheme="minorEastAsia" w:hAnsiTheme="minorEastAsia" w:eastAsiaTheme="minorEastAsia" w:cstheme="minorEastAsia"/>
                <w:b w:val="0"/>
                <w:bCs w:val="0"/>
                <w:color w:val="auto"/>
                <w:sz w:val="24"/>
                <w:szCs w:val="24"/>
                <w:highlight w:val="none"/>
              </w:rPr>
              <w:t>分）</w:t>
            </w:r>
          </w:p>
        </w:tc>
        <w:tc>
          <w:tcPr>
            <w:tcW w:w="726" w:type="pct"/>
            <w:tcBorders>
              <w:top w:val="single" w:color="auto" w:sz="4" w:space="0"/>
              <w:left w:val="single" w:color="auto" w:sz="4" w:space="0"/>
              <w:bottom w:val="single" w:color="auto" w:sz="4" w:space="0"/>
              <w:right w:val="single" w:color="auto" w:sz="4" w:space="0"/>
            </w:tcBorders>
            <w:vAlign w:val="center"/>
          </w:tcPr>
          <w:p w14:paraId="3A08DA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监理大纲1</w:t>
            </w:r>
          </w:p>
        </w:tc>
        <w:tc>
          <w:tcPr>
            <w:tcW w:w="3090" w:type="pct"/>
            <w:tcBorders>
              <w:top w:val="single" w:color="auto" w:sz="4" w:space="0"/>
              <w:left w:val="single" w:color="auto" w:sz="4" w:space="0"/>
              <w:bottom w:val="single" w:color="auto" w:sz="4" w:space="0"/>
              <w:right w:val="single" w:color="auto" w:sz="4" w:space="0"/>
            </w:tcBorders>
            <w:vAlign w:val="top"/>
          </w:tcPr>
          <w:p w14:paraId="6F1AF045">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根据监理大纲中包含的质量控制措施符合采购需求的程度，项目目标、范围、任务和依据明确，具体的情况包括监理工作措施及工具等内容情况。</w:t>
            </w:r>
          </w:p>
          <w:p w14:paraId="766C37A8">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（1）质量保障能力强、质量的日常管理完善、对各个环节的保障措施能够分析透彻、安全措施完善能满足采购需求的得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p w14:paraId="2869F34A">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（2）质量保障能力较强、质量的日常管理完善、对各个环节的保障措施能够分析透彻、安全措施完善，但出现了不适用本项目特性的内容的得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p>
          <w:p w14:paraId="42247C3A">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（3）质量保障能力、质量的日常管理、对各个环节的保障措施、安全措施等缺项或关键点缺失的得</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w:t>
            </w:r>
          </w:p>
          <w:p w14:paraId="76012CEF">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35B3FD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0-5分</w:t>
            </w:r>
          </w:p>
        </w:tc>
      </w:tr>
      <w:tr w14:paraId="7FCB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615089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35438C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监理大纲2</w:t>
            </w:r>
          </w:p>
        </w:tc>
        <w:tc>
          <w:tcPr>
            <w:tcW w:w="3090" w:type="pct"/>
            <w:tcBorders>
              <w:top w:val="single" w:color="auto" w:sz="4" w:space="0"/>
              <w:left w:val="single" w:color="auto" w:sz="4" w:space="0"/>
              <w:bottom w:val="single" w:color="auto" w:sz="4" w:space="0"/>
              <w:right w:val="single" w:color="auto" w:sz="4" w:space="0"/>
            </w:tcBorders>
            <w:vAlign w:val="top"/>
          </w:tcPr>
          <w:p w14:paraId="792225C5">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根据监理大纲中包含的进度控制措施符合采购需求的程度，项目目标、范围、任务和依据明确，具体的情况包括监理工作措施及工具等内容情况。</w:t>
            </w:r>
          </w:p>
          <w:p w14:paraId="31737753">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（1）进度控制措施详细、工具齐全，对各个环节的保障措施能够分析透彻、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完善能满足采购需求的得5分；</w:t>
            </w:r>
          </w:p>
          <w:p w14:paraId="4FD3DEB9">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（2）进度控制措施及工具满足本项目需求，对各个环节的保障措施能够分析透彻、</w:t>
            </w:r>
            <w:r>
              <w:rPr>
                <w:rFonts w:hint="eastAsia" w:asciiTheme="minorEastAsia" w:hAnsiTheme="minorEastAsia" w:eastAsiaTheme="minorEastAsia" w:cstheme="minorEastAsia"/>
                <w:color w:val="auto"/>
                <w:kern w:val="0"/>
                <w:sz w:val="24"/>
                <w:szCs w:val="24"/>
                <w:highlight w:val="none"/>
                <w:lang w:eastAsia="zh-CN"/>
              </w:rPr>
              <w:t>工作措施</w:t>
            </w:r>
            <w:r>
              <w:rPr>
                <w:rFonts w:hint="eastAsia" w:asciiTheme="minorEastAsia" w:hAnsiTheme="minorEastAsia" w:eastAsiaTheme="minorEastAsia" w:cstheme="minorEastAsia"/>
                <w:color w:val="auto"/>
                <w:kern w:val="0"/>
                <w:sz w:val="24"/>
                <w:szCs w:val="24"/>
                <w:highlight w:val="none"/>
              </w:rPr>
              <w:t>完善，但出现了不适用本项目特性的内容的得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p>
          <w:p w14:paraId="081C8000">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（3）进度控制措施及工具满足项目需求，对各个环节的保障措施、</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等缺项或关键点缺失的得</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rPr>
              <w:t>分；</w:t>
            </w:r>
          </w:p>
          <w:p w14:paraId="4D22F6E5">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0"/>
                <w:sz w:val="24"/>
                <w:szCs w:val="24"/>
                <w:highlight w:val="none"/>
              </w:rPr>
              <w:t>（4）未提供的不得分。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03A390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0-5分</w:t>
            </w:r>
          </w:p>
        </w:tc>
      </w:tr>
      <w:tr w14:paraId="499E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468900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273EFD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监理大纲3</w:t>
            </w:r>
          </w:p>
        </w:tc>
        <w:tc>
          <w:tcPr>
            <w:tcW w:w="3090" w:type="pct"/>
            <w:tcBorders>
              <w:top w:val="single" w:color="auto" w:sz="4" w:space="0"/>
              <w:left w:val="single" w:color="auto" w:sz="4" w:space="0"/>
              <w:bottom w:val="single" w:color="auto" w:sz="4" w:space="0"/>
              <w:right w:val="single" w:color="auto" w:sz="4" w:space="0"/>
            </w:tcBorders>
            <w:vAlign w:val="top"/>
          </w:tcPr>
          <w:p w14:paraId="59F68F23">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根据监理大纲中包含的投资控制措施符合采购需求的程度，项目目标、范围、任务和依据明确，具体的情况包括监理工作措施及工具等内容情况。</w:t>
            </w:r>
          </w:p>
          <w:p w14:paraId="27C1FAE5">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（1）投资控制措施详细、工具齐全，对各个环节的保障措施能够分析透彻、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完善能满足采购需求的得5分；</w:t>
            </w:r>
          </w:p>
          <w:p w14:paraId="326C9638">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（2）投资控制措施及工具满足本项目需求，对各个环节的保障措施能够分析透彻、</w:t>
            </w:r>
            <w:r>
              <w:rPr>
                <w:rFonts w:hint="eastAsia" w:asciiTheme="minorEastAsia" w:hAnsiTheme="minorEastAsia" w:eastAsiaTheme="minorEastAsia" w:cstheme="minorEastAsia"/>
                <w:color w:val="auto"/>
                <w:kern w:val="0"/>
                <w:sz w:val="24"/>
                <w:szCs w:val="24"/>
                <w:highlight w:val="none"/>
                <w:lang w:eastAsia="zh-CN"/>
              </w:rPr>
              <w:t>工作措施</w:t>
            </w:r>
            <w:r>
              <w:rPr>
                <w:rFonts w:hint="eastAsia" w:asciiTheme="minorEastAsia" w:hAnsiTheme="minorEastAsia" w:eastAsiaTheme="minorEastAsia" w:cstheme="minorEastAsia"/>
                <w:color w:val="auto"/>
                <w:kern w:val="0"/>
                <w:sz w:val="24"/>
                <w:szCs w:val="24"/>
                <w:highlight w:val="none"/>
              </w:rPr>
              <w:t>完善，但出现了不适用本项目特性的内容的得</w:t>
            </w:r>
            <w:r>
              <w:rPr>
                <w:rFonts w:hint="eastAsia" w:asciiTheme="minorEastAsia" w:hAnsiTheme="minorEastAsia" w:eastAsiaTheme="minorEastAsia" w:cstheme="minorEastAsia"/>
                <w:color w:val="auto"/>
                <w:kern w:val="0"/>
                <w:sz w:val="24"/>
                <w:szCs w:val="24"/>
                <w:highlight w:val="none"/>
                <w:lang w:eastAsia="zh-CN"/>
              </w:rPr>
              <w:t>3</w:t>
            </w:r>
            <w:r>
              <w:rPr>
                <w:rFonts w:hint="eastAsia" w:asciiTheme="minorEastAsia" w:hAnsiTheme="minorEastAsia" w:eastAsiaTheme="minorEastAsia" w:cstheme="minorEastAsia"/>
                <w:color w:val="auto"/>
                <w:kern w:val="0"/>
                <w:sz w:val="24"/>
                <w:szCs w:val="24"/>
                <w:highlight w:val="none"/>
              </w:rPr>
              <w:t>分；</w:t>
            </w:r>
          </w:p>
          <w:p w14:paraId="22F767B5">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（3）投资控制措施及工具满足项目需求，对各个环节的保障措施、</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等缺项或关键点缺失的得</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rPr>
              <w:t>分；</w:t>
            </w:r>
          </w:p>
          <w:p w14:paraId="1AE875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0"/>
                <w:sz w:val="24"/>
                <w:szCs w:val="24"/>
                <w:highlight w:val="none"/>
              </w:rPr>
              <w:t>（4）未提供的不得分。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7A7A77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0-5分</w:t>
            </w:r>
          </w:p>
        </w:tc>
      </w:tr>
      <w:tr w14:paraId="04D9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A9FE6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575ADA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监理大纲4</w:t>
            </w:r>
          </w:p>
        </w:tc>
        <w:tc>
          <w:tcPr>
            <w:tcW w:w="3090" w:type="pct"/>
            <w:tcBorders>
              <w:top w:val="single" w:color="auto" w:sz="4" w:space="0"/>
              <w:left w:val="single" w:color="auto" w:sz="4" w:space="0"/>
              <w:bottom w:val="single" w:color="auto" w:sz="4" w:space="0"/>
              <w:right w:val="single" w:color="auto" w:sz="4" w:space="0"/>
            </w:tcBorders>
            <w:vAlign w:val="center"/>
          </w:tcPr>
          <w:p w14:paraId="27E973AD">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根据监理大纲中包含的变更控制措施符合采购需求的程度，项目目标、范围、任务和依据明确，具体的情况，包括监理工作措施及工具等内容情况。</w:t>
            </w:r>
          </w:p>
          <w:p w14:paraId="213DE8D6">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（1）变更控制措施详细、工具齐全，对各个环节的保障措施能够分析透彻、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完善能满足采购需求的得5分；</w:t>
            </w:r>
          </w:p>
          <w:p w14:paraId="70690975">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（2）变更控制措施及工具满足本项目需求，对各个环节的保障措施能够分析透彻、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完善，但出现了不适用本项目特性的内容的得</w:t>
            </w:r>
            <w:r>
              <w:rPr>
                <w:rFonts w:hint="eastAsia" w:asciiTheme="minorEastAsia" w:hAnsiTheme="minorEastAsia" w:eastAsiaTheme="minorEastAsia" w:cstheme="minorEastAsia"/>
                <w:color w:val="auto"/>
                <w:kern w:val="0"/>
                <w:sz w:val="24"/>
                <w:szCs w:val="24"/>
                <w:highlight w:val="none"/>
                <w:lang w:eastAsia="zh-CN"/>
              </w:rPr>
              <w:t>3</w:t>
            </w:r>
            <w:r>
              <w:rPr>
                <w:rFonts w:hint="eastAsia" w:asciiTheme="minorEastAsia" w:hAnsiTheme="minorEastAsia" w:eastAsiaTheme="minorEastAsia" w:cstheme="minorEastAsia"/>
                <w:color w:val="auto"/>
                <w:kern w:val="0"/>
                <w:sz w:val="24"/>
                <w:szCs w:val="24"/>
                <w:highlight w:val="none"/>
              </w:rPr>
              <w:t>分；</w:t>
            </w:r>
          </w:p>
          <w:p w14:paraId="3285880D">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（3）变更控制措施有偏差、工具有欠缺，对各个环节的保障措施、</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等缺项或关键点缺失的得</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rPr>
              <w:t>分；</w:t>
            </w:r>
          </w:p>
          <w:p w14:paraId="3F5F339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297F3A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0-5分</w:t>
            </w:r>
          </w:p>
        </w:tc>
      </w:tr>
      <w:tr w14:paraId="58B3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C67D6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3C6B94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监理大纲5</w:t>
            </w:r>
          </w:p>
        </w:tc>
        <w:tc>
          <w:tcPr>
            <w:tcW w:w="3090" w:type="pct"/>
            <w:tcBorders>
              <w:top w:val="single" w:color="auto" w:sz="4" w:space="0"/>
              <w:left w:val="single" w:color="auto" w:sz="4" w:space="0"/>
              <w:bottom w:val="single" w:color="auto" w:sz="4" w:space="0"/>
              <w:right w:val="single" w:color="auto" w:sz="4" w:space="0"/>
            </w:tcBorders>
            <w:vAlign w:val="center"/>
          </w:tcPr>
          <w:p w14:paraId="66427837">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根据监理大纲中包含的合同管理等措施符合采购需求的程度，项目目标、范围、任务和依据明确，具体的情况，包括监理工作措施及工具等内容情况。</w:t>
            </w:r>
          </w:p>
          <w:p w14:paraId="085E17AF">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（1）合同管理等措施详细、工具齐全，对各个环节的保障措施能够分析透彻、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完善能满足采购需求的得5分；</w:t>
            </w:r>
          </w:p>
          <w:p w14:paraId="059311C3">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（2）合同管理等措施及工具满足本项目需求，对各个环节的保障措施能够分析透彻、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完善，但出现了不适用本项目特性的内容的得</w:t>
            </w:r>
            <w:r>
              <w:rPr>
                <w:rFonts w:hint="eastAsia" w:asciiTheme="minorEastAsia" w:hAnsiTheme="minorEastAsia" w:eastAsiaTheme="minorEastAsia" w:cstheme="minorEastAsia"/>
                <w:color w:val="auto"/>
                <w:kern w:val="0"/>
                <w:sz w:val="24"/>
                <w:szCs w:val="24"/>
                <w:highlight w:val="none"/>
                <w:lang w:eastAsia="zh-CN"/>
              </w:rPr>
              <w:t>3</w:t>
            </w:r>
            <w:r>
              <w:rPr>
                <w:rFonts w:hint="eastAsia" w:asciiTheme="minorEastAsia" w:hAnsiTheme="minorEastAsia" w:eastAsiaTheme="minorEastAsia" w:cstheme="minorEastAsia"/>
                <w:color w:val="auto"/>
                <w:kern w:val="0"/>
                <w:sz w:val="24"/>
                <w:szCs w:val="24"/>
                <w:highlight w:val="none"/>
              </w:rPr>
              <w:t>分；</w:t>
            </w:r>
          </w:p>
          <w:p w14:paraId="5EA27A61">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（3）合同管理等措施有偏差、工具有欠缺，对各个环节的保障措施、</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等缺项或关键点缺失的得</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rPr>
              <w:t>分；</w:t>
            </w:r>
          </w:p>
          <w:p w14:paraId="24E8BE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13CDDDC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0-5分</w:t>
            </w:r>
          </w:p>
        </w:tc>
      </w:tr>
      <w:tr w14:paraId="6389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6FE74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053340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监理大纲6</w:t>
            </w:r>
          </w:p>
        </w:tc>
        <w:tc>
          <w:tcPr>
            <w:tcW w:w="3090" w:type="pct"/>
            <w:tcBorders>
              <w:top w:val="single" w:color="auto" w:sz="4" w:space="0"/>
              <w:left w:val="single" w:color="auto" w:sz="4" w:space="0"/>
              <w:bottom w:val="single" w:color="auto" w:sz="4" w:space="0"/>
              <w:right w:val="single" w:color="auto" w:sz="4" w:space="0"/>
            </w:tcBorders>
            <w:vAlign w:val="center"/>
          </w:tcPr>
          <w:p w14:paraId="3CC28CC8">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根据监理大纲中包含的信息及文档管理措施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工作协调措施</w:t>
            </w:r>
            <w:r>
              <w:rPr>
                <w:rFonts w:hint="eastAsia" w:asciiTheme="minorEastAsia" w:hAnsiTheme="minorEastAsia" w:eastAsiaTheme="minorEastAsia" w:cstheme="minorEastAsia"/>
                <w:color w:val="auto"/>
                <w:kern w:val="0"/>
                <w:sz w:val="24"/>
                <w:szCs w:val="24"/>
                <w:highlight w:val="none"/>
              </w:rPr>
              <w:t>符合采购需求的程度，项目目标、范围、任务和依据明确，具体的情况，包括监理工作措施及工具等内容情况。</w:t>
            </w:r>
          </w:p>
          <w:p w14:paraId="17C8F6AC">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（1）信息及文档管理措施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工作协调措施</w:t>
            </w:r>
            <w:r>
              <w:rPr>
                <w:rFonts w:hint="eastAsia" w:asciiTheme="minorEastAsia" w:hAnsiTheme="minorEastAsia" w:eastAsiaTheme="minorEastAsia" w:cstheme="minorEastAsia"/>
                <w:color w:val="auto"/>
                <w:kern w:val="0"/>
                <w:sz w:val="24"/>
                <w:szCs w:val="24"/>
                <w:highlight w:val="none"/>
              </w:rPr>
              <w:t>详细、工具齐全，对各个环节的保障措施能够分析透彻、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完善能满足采购需求的得5分；</w:t>
            </w:r>
          </w:p>
          <w:p w14:paraId="35744A34">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（2）信息及文档管理措施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工作协调措施</w:t>
            </w:r>
            <w:r>
              <w:rPr>
                <w:rFonts w:hint="eastAsia" w:asciiTheme="minorEastAsia" w:hAnsiTheme="minorEastAsia" w:eastAsiaTheme="minorEastAsia" w:cstheme="minorEastAsia"/>
                <w:color w:val="auto"/>
                <w:kern w:val="0"/>
                <w:sz w:val="24"/>
                <w:szCs w:val="24"/>
                <w:highlight w:val="none"/>
              </w:rPr>
              <w:t>及工具满足本项目需求，对各个环节的保障措施能够分析透彻、</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完善，但出现了不适用本项目特性的内容的得</w:t>
            </w:r>
            <w:r>
              <w:rPr>
                <w:rFonts w:hint="eastAsia" w:asciiTheme="minorEastAsia" w:hAnsiTheme="minorEastAsia" w:eastAsiaTheme="minorEastAsia" w:cstheme="minorEastAsia"/>
                <w:color w:val="auto"/>
                <w:kern w:val="0"/>
                <w:sz w:val="24"/>
                <w:szCs w:val="24"/>
                <w:highlight w:val="none"/>
                <w:lang w:eastAsia="zh-CN"/>
              </w:rPr>
              <w:t>3</w:t>
            </w:r>
            <w:r>
              <w:rPr>
                <w:rFonts w:hint="eastAsia" w:asciiTheme="minorEastAsia" w:hAnsiTheme="minorEastAsia" w:eastAsiaTheme="minorEastAsia" w:cstheme="minorEastAsia"/>
                <w:color w:val="auto"/>
                <w:kern w:val="0"/>
                <w:sz w:val="24"/>
                <w:szCs w:val="24"/>
                <w:highlight w:val="none"/>
              </w:rPr>
              <w:t>分；</w:t>
            </w:r>
          </w:p>
          <w:p w14:paraId="33390263">
            <w:pPr>
              <w:widowControl/>
              <w:spacing w:line="5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（3）信息及文档管理措施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工作协调措施</w:t>
            </w:r>
            <w:r>
              <w:rPr>
                <w:rFonts w:hint="eastAsia" w:asciiTheme="minorEastAsia" w:hAnsiTheme="minorEastAsia" w:eastAsiaTheme="minorEastAsia" w:cstheme="minorEastAsia"/>
                <w:color w:val="auto"/>
                <w:kern w:val="0"/>
                <w:sz w:val="24"/>
                <w:szCs w:val="24"/>
                <w:highlight w:val="none"/>
              </w:rPr>
              <w:t>有偏差、工具有欠缺，对各个环节的保障措施、</w:t>
            </w:r>
            <w:r>
              <w:rPr>
                <w:rFonts w:hint="eastAsia" w:asciiTheme="minorEastAsia" w:hAnsiTheme="minorEastAsia" w:eastAsiaTheme="minorEastAsia" w:cstheme="minorEastAsia"/>
                <w:color w:val="auto"/>
                <w:kern w:val="0"/>
                <w:sz w:val="24"/>
                <w:szCs w:val="24"/>
                <w:highlight w:val="none"/>
                <w:lang w:val="en-US" w:eastAsia="zh-CN"/>
              </w:rPr>
              <w:t>工作措施</w:t>
            </w:r>
            <w:r>
              <w:rPr>
                <w:rFonts w:hint="eastAsia" w:asciiTheme="minorEastAsia" w:hAnsiTheme="minorEastAsia" w:eastAsiaTheme="minorEastAsia" w:cstheme="minorEastAsia"/>
                <w:color w:val="auto"/>
                <w:kern w:val="0"/>
                <w:sz w:val="24"/>
                <w:szCs w:val="24"/>
                <w:highlight w:val="none"/>
              </w:rPr>
              <w:t>等缺项或关键点缺失的得</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rPr>
              <w:t>分；</w:t>
            </w:r>
          </w:p>
          <w:p w14:paraId="4CA4915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71AD0E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0-5分</w:t>
            </w:r>
          </w:p>
        </w:tc>
      </w:tr>
      <w:tr w14:paraId="0419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064F32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4662CA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服务方案</w:t>
            </w:r>
          </w:p>
        </w:tc>
        <w:tc>
          <w:tcPr>
            <w:tcW w:w="3090" w:type="pct"/>
            <w:tcBorders>
              <w:top w:val="single" w:color="auto" w:sz="4" w:space="0"/>
              <w:left w:val="single" w:color="auto" w:sz="4" w:space="0"/>
              <w:bottom w:val="single" w:color="auto" w:sz="4" w:space="0"/>
              <w:right w:val="single" w:color="auto" w:sz="4" w:space="0"/>
            </w:tcBorders>
            <w:vAlign w:val="top"/>
          </w:tcPr>
          <w:p w14:paraId="7C57D01C">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投标人提供的服务方案，应包括对项目建设背景情况理解，项目建设内容重、难点分析及相关措施，评标委员会进行综合评审：</w:t>
            </w:r>
          </w:p>
          <w:p w14:paraId="3ED51979">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投标人对项目建设背景情况理解透彻，有完整的工作描述，对重难点把握清晰，完全满足项目采购需求的得 5分；</w:t>
            </w:r>
          </w:p>
          <w:p w14:paraId="1B892131">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投标人对项目建设背景情况理解清楚，有较完整的工作描述，对重难点把握较清晰，无明显逻辑漏洞、科学原理或常识错误的情形的得3分；</w:t>
            </w:r>
          </w:p>
          <w:p w14:paraId="5ABBF5EA">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投标人对项目建设背景情况理解混乱欠缺，且出现非专门针对本项目特性内容、有待完善的得1 分；</w:t>
            </w:r>
          </w:p>
          <w:p w14:paraId="0EDFE2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）未提供的不得分</w:t>
            </w:r>
            <w:r>
              <w:rPr>
                <w:rFonts w:hint="eastAsia" w:asciiTheme="minorEastAsia" w:hAnsiTheme="minorEastAsia" w:eastAsiaTheme="minorEastAsia" w:cstheme="minorEastAsia"/>
                <w:color w:val="auto"/>
                <w:kern w:val="0"/>
                <w:sz w:val="24"/>
                <w:szCs w:val="24"/>
                <w:highlight w:val="none"/>
                <w:lang w:val="en-US" w:eastAsia="zh-CN"/>
              </w:rPr>
              <w:t>。</w:t>
            </w:r>
          </w:p>
        </w:tc>
        <w:tc>
          <w:tcPr>
            <w:tcW w:w="604" w:type="pct"/>
            <w:tcBorders>
              <w:top w:val="single" w:color="auto" w:sz="4" w:space="0"/>
              <w:left w:val="single" w:color="auto" w:sz="4" w:space="0"/>
              <w:bottom w:val="single" w:color="auto" w:sz="4" w:space="0"/>
              <w:right w:val="single" w:color="auto" w:sz="4" w:space="0"/>
            </w:tcBorders>
            <w:vAlign w:val="center"/>
          </w:tcPr>
          <w:p w14:paraId="4B56A2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0-5分</w:t>
            </w:r>
          </w:p>
        </w:tc>
      </w:tr>
      <w:tr w14:paraId="7253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267104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2636800B">
            <w:pPr>
              <w:spacing w:line="520" w:lineRule="exact"/>
              <w:jc w:val="center"/>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软件测评方案</w:t>
            </w:r>
          </w:p>
        </w:tc>
        <w:tc>
          <w:tcPr>
            <w:tcW w:w="3090" w:type="pct"/>
            <w:tcBorders>
              <w:top w:val="single" w:color="auto" w:sz="4" w:space="0"/>
              <w:left w:val="single" w:color="auto" w:sz="4" w:space="0"/>
              <w:bottom w:val="single" w:color="auto" w:sz="4" w:space="0"/>
              <w:right w:val="single" w:color="auto" w:sz="4" w:space="0"/>
            </w:tcBorders>
            <w:vAlign w:val="center"/>
          </w:tcPr>
          <w:p w14:paraId="53D81611">
            <w:pPr>
              <w:widowControl/>
              <w:kinsoku/>
              <w:autoSpaceDE/>
              <w:autoSpaceDN/>
              <w:adjustRightInd/>
              <w:snapToGrid/>
              <w:spacing w:line="520" w:lineRule="exact"/>
              <w:jc w:val="left"/>
              <w:textAlignment w:val="auto"/>
              <w:rPr>
                <w:rFonts w:hint="eastAsia" w:asciiTheme="minorEastAsia" w:hAnsiTheme="minorEastAsia" w:eastAsiaTheme="minorEastAsia" w:cstheme="minorEastAsia"/>
                <w:bCs w:val="0"/>
                <w:color w:val="auto"/>
                <w:kern w:val="0"/>
                <w:sz w:val="24"/>
                <w:szCs w:val="24"/>
                <w:highlight w:val="none"/>
              </w:rPr>
            </w:pPr>
            <w:r>
              <w:rPr>
                <w:rFonts w:hint="eastAsia" w:asciiTheme="minorEastAsia" w:hAnsiTheme="minorEastAsia" w:eastAsiaTheme="minorEastAsia" w:cstheme="minorEastAsia"/>
                <w:bCs w:val="0"/>
                <w:color w:val="auto"/>
                <w:kern w:val="0"/>
                <w:sz w:val="24"/>
                <w:szCs w:val="24"/>
                <w:highlight w:val="none"/>
                <w:lang w:val="en-US" w:eastAsia="zh-CN"/>
              </w:rPr>
              <w:t>根据投标人</w:t>
            </w:r>
            <w:r>
              <w:rPr>
                <w:rFonts w:hint="eastAsia" w:asciiTheme="minorEastAsia" w:hAnsiTheme="minorEastAsia" w:eastAsiaTheme="minorEastAsia" w:cstheme="minorEastAsia"/>
                <w:bCs w:val="0"/>
                <w:color w:val="auto"/>
                <w:kern w:val="0"/>
                <w:sz w:val="24"/>
                <w:szCs w:val="24"/>
                <w:highlight w:val="none"/>
              </w:rPr>
              <w:t>提供的测试服务方案进行综合评审：</w:t>
            </w:r>
          </w:p>
          <w:p w14:paraId="0C3EBA30">
            <w:pPr>
              <w:widowControl/>
              <w:kinsoku/>
              <w:autoSpaceDE/>
              <w:autoSpaceDN/>
              <w:adjustRightInd/>
              <w:snapToGrid/>
              <w:spacing w:line="520" w:lineRule="exact"/>
              <w:jc w:val="left"/>
              <w:textAlignment w:val="auto"/>
              <w:rPr>
                <w:rFonts w:hint="eastAsia" w:asciiTheme="minorEastAsia" w:hAnsiTheme="minorEastAsia" w:eastAsiaTheme="minorEastAsia" w:cstheme="minorEastAsia"/>
                <w:bCs w:val="0"/>
                <w:color w:val="auto"/>
                <w:kern w:val="0"/>
                <w:sz w:val="24"/>
                <w:szCs w:val="24"/>
                <w:highlight w:val="none"/>
              </w:rPr>
            </w:pPr>
            <w:r>
              <w:rPr>
                <w:rFonts w:hint="eastAsia" w:asciiTheme="minorEastAsia" w:hAnsiTheme="minorEastAsia" w:eastAsiaTheme="minorEastAsia" w:cstheme="minorEastAsia"/>
                <w:bCs w:val="0"/>
                <w:color w:val="auto"/>
                <w:kern w:val="0"/>
                <w:sz w:val="24"/>
                <w:szCs w:val="24"/>
                <w:highlight w:val="none"/>
              </w:rPr>
              <w:t>（1）投标人针对本项目制定软件测评方案，详细全面、可行的，得5分；</w:t>
            </w:r>
          </w:p>
          <w:p w14:paraId="17635DEB">
            <w:pPr>
              <w:widowControl/>
              <w:kinsoku/>
              <w:autoSpaceDE/>
              <w:autoSpaceDN/>
              <w:adjustRightInd/>
              <w:snapToGrid/>
              <w:spacing w:line="520" w:lineRule="exact"/>
              <w:jc w:val="left"/>
              <w:textAlignment w:val="auto"/>
              <w:rPr>
                <w:rFonts w:hint="eastAsia" w:asciiTheme="minorEastAsia" w:hAnsiTheme="minorEastAsia" w:eastAsiaTheme="minorEastAsia" w:cstheme="minorEastAsia"/>
                <w:bCs w:val="0"/>
                <w:color w:val="auto"/>
                <w:kern w:val="0"/>
                <w:sz w:val="24"/>
                <w:szCs w:val="24"/>
                <w:highlight w:val="none"/>
              </w:rPr>
            </w:pPr>
            <w:r>
              <w:rPr>
                <w:rFonts w:hint="eastAsia" w:asciiTheme="minorEastAsia" w:hAnsiTheme="minorEastAsia" w:eastAsiaTheme="minorEastAsia" w:cstheme="minorEastAsia"/>
                <w:bCs w:val="0"/>
                <w:color w:val="auto"/>
                <w:kern w:val="0"/>
                <w:sz w:val="24"/>
                <w:szCs w:val="24"/>
                <w:highlight w:val="none"/>
              </w:rPr>
              <w:t>（2）提出的方案较全面、有针对行，基本可行但方案不全面的得3分；</w:t>
            </w:r>
          </w:p>
          <w:p w14:paraId="6CDD346A">
            <w:pPr>
              <w:widowControl/>
              <w:kinsoku/>
              <w:autoSpaceDE/>
              <w:autoSpaceDN/>
              <w:adjustRightInd/>
              <w:snapToGrid/>
              <w:spacing w:line="520" w:lineRule="exact"/>
              <w:jc w:val="left"/>
              <w:textAlignment w:val="auto"/>
              <w:rPr>
                <w:rFonts w:hint="eastAsia" w:asciiTheme="minorEastAsia" w:hAnsiTheme="minorEastAsia" w:eastAsiaTheme="minorEastAsia" w:cstheme="minorEastAsia"/>
                <w:bCs w:val="0"/>
                <w:color w:val="auto"/>
                <w:kern w:val="0"/>
                <w:sz w:val="24"/>
                <w:szCs w:val="24"/>
                <w:highlight w:val="none"/>
              </w:rPr>
            </w:pPr>
            <w:r>
              <w:rPr>
                <w:rFonts w:hint="eastAsia" w:asciiTheme="minorEastAsia" w:hAnsiTheme="minorEastAsia" w:eastAsiaTheme="minorEastAsia" w:cstheme="minorEastAsia"/>
                <w:bCs w:val="0"/>
                <w:color w:val="auto"/>
                <w:kern w:val="0"/>
                <w:sz w:val="24"/>
                <w:szCs w:val="24"/>
                <w:highlight w:val="none"/>
              </w:rPr>
              <w:t>（3）方案基本可行但出现非专门针对本项目特性内容、有待完善的得1分。</w:t>
            </w:r>
          </w:p>
          <w:p w14:paraId="03443329">
            <w:pPr>
              <w:widowControl/>
              <w:autoSpaceDE/>
              <w:autoSpaceDN/>
              <w:adjustRightInd/>
              <w:spacing w:line="520" w:lineRule="exact"/>
              <w:jc w:val="left"/>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kern w:val="0"/>
                <w:sz w:val="24"/>
                <w:szCs w:val="24"/>
                <w:highlight w:val="none"/>
              </w:rPr>
              <w:t>（4）未提供的不得分。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2D5514F1">
            <w:pPr>
              <w:ind w:firstLine="240" w:firstLineChars="100"/>
              <w:jc w:val="center"/>
              <w:rPr>
                <w:rFonts w:hint="eastAsia" w:ascii="宋体" w:hAnsi="宋体" w:eastAsia="宋体" w:cstheme="minorEastAsia"/>
                <w:color w:val="auto"/>
                <w:kern w:val="2"/>
                <w:sz w:val="18"/>
                <w:szCs w:val="18"/>
                <w:highlight w:val="none"/>
                <w:lang w:val="en-US" w:eastAsia="zh-CN" w:bidi="ar-SA"/>
              </w:rPr>
            </w:pPr>
            <w:r>
              <w:rPr>
                <w:rFonts w:ascii="宋体" w:hAnsi="宋体" w:eastAsia="宋体" w:cs="宋体"/>
                <w:b w:val="0"/>
                <w:bCs w:val="0"/>
                <w:color w:val="auto"/>
                <w:sz w:val="24"/>
                <w:szCs w:val="24"/>
                <w:highlight w:val="none"/>
              </w:rPr>
              <w:t>0-5分</w:t>
            </w:r>
          </w:p>
        </w:tc>
      </w:tr>
      <w:tr w14:paraId="2D7E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1D5722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34EFF2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安全方案</w:t>
            </w:r>
          </w:p>
        </w:tc>
        <w:tc>
          <w:tcPr>
            <w:tcW w:w="3090" w:type="pct"/>
            <w:tcBorders>
              <w:top w:val="single" w:color="auto" w:sz="4" w:space="0"/>
              <w:left w:val="single" w:color="auto" w:sz="4" w:space="0"/>
              <w:bottom w:val="single" w:color="auto" w:sz="4" w:space="0"/>
              <w:right w:val="single" w:color="auto" w:sz="4" w:space="0"/>
            </w:tcBorders>
            <w:vAlign w:val="top"/>
          </w:tcPr>
          <w:p w14:paraId="6B3FD5EF">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提供</w:t>
            </w:r>
            <w:r>
              <w:rPr>
                <w:rFonts w:hint="eastAsia" w:asciiTheme="minorEastAsia" w:hAnsiTheme="minorEastAsia" w:eastAsiaTheme="minorEastAsia" w:cstheme="minorEastAsia"/>
                <w:color w:val="auto"/>
                <w:kern w:val="0"/>
                <w:sz w:val="24"/>
                <w:szCs w:val="24"/>
                <w:highlight w:val="none"/>
                <w:lang w:val="en-US" w:eastAsia="zh-CN"/>
              </w:rPr>
              <w:t>安全</w:t>
            </w:r>
            <w:r>
              <w:rPr>
                <w:rFonts w:hint="eastAsia" w:asciiTheme="minorEastAsia" w:hAnsiTheme="minorEastAsia" w:eastAsiaTheme="minorEastAsia" w:cstheme="minorEastAsia"/>
                <w:color w:val="auto"/>
                <w:kern w:val="0"/>
                <w:sz w:val="24"/>
                <w:szCs w:val="24"/>
                <w:highlight w:val="none"/>
              </w:rPr>
              <w:t>方案（</w:t>
            </w:r>
            <w:r>
              <w:rPr>
                <w:rFonts w:hint="eastAsia" w:asciiTheme="minorEastAsia" w:hAnsiTheme="minorEastAsia" w:eastAsiaTheme="minorEastAsia" w:cstheme="minorEastAsia"/>
                <w:color w:val="auto"/>
                <w:kern w:val="0"/>
                <w:sz w:val="24"/>
                <w:szCs w:val="24"/>
                <w:highlight w:val="none"/>
                <w:lang w:val="en-US" w:eastAsia="zh-CN"/>
              </w:rPr>
              <w:t>包括但不限于</w:t>
            </w:r>
            <w:r>
              <w:rPr>
                <w:rFonts w:hint="eastAsia" w:asciiTheme="minorEastAsia" w:hAnsiTheme="minorEastAsia" w:eastAsiaTheme="minorEastAsia" w:cstheme="minorEastAsia"/>
                <w:color w:val="auto"/>
                <w:kern w:val="0"/>
                <w:sz w:val="24"/>
                <w:szCs w:val="24"/>
                <w:highlight w:val="none"/>
              </w:rPr>
              <w:t>理解项目建设</w:t>
            </w:r>
            <w:r>
              <w:rPr>
                <w:rFonts w:hint="eastAsia" w:asciiTheme="minorEastAsia" w:hAnsiTheme="minorEastAsia" w:eastAsiaTheme="minorEastAsia" w:cstheme="minorEastAsia"/>
                <w:color w:val="auto"/>
                <w:kern w:val="0"/>
                <w:sz w:val="24"/>
                <w:szCs w:val="24"/>
                <w:highlight w:val="none"/>
                <w:lang w:val="en-US" w:eastAsia="zh-CN"/>
              </w:rPr>
              <w:t>安全风险分析、安全风险措施、方法、工具</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w:t>
            </w:r>
          </w:p>
          <w:p w14:paraId="7738E452">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对项目建设背景情况理解透彻，</w:t>
            </w:r>
            <w:r>
              <w:rPr>
                <w:rFonts w:hint="eastAsia" w:asciiTheme="minorEastAsia" w:hAnsiTheme="minorEastAsia" w:eastAsiaTheme="minorEastAsia" w:cstheme="minorEastAsia"/>
                <w:color w:val="auto"/>
                <w:kern w:val="0"/>
                <w:sz w:val="24"/>
                <w:szCs w:val="24"/>
                <w:highlight w:val="none"/>
                <w:lang w:val="en-US" w:eastAsia="zh-CN"/>
              </w:rPr>
              <w:t>对过程中可能出现的安全问题分析全面且有明确的处理方案</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对</w:t>
            </w:r>
            <w:r>
              <w:rPr>
                <w:rFonts w:hint="eastAsia" w:asciiTheme="minorEastAsia" w:hAnsiTheme="minorEastAsia" w:eastAsiaTheme="minorEastAsia" w:cstheme="minorEastAsia"/>
                <w:color w:val="auto"/>
                <w:kern w:val="0"/>
                <w:sz w:val="24"/>
                <w:szCs w:val="24"/>
                <w:highlight w:val="none"/>
              </w:rPr>
              <w:t>重难点把握到位且利于项目实施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完全满足项目采购需求</w:t>
            </w:r>
            <w:r>
              <w:rPr>
                <w:rFonts w:hint="eastAsia" w:asciiTheme="minorEastAsia" w:hAnsiTheme="minorEastAsia" w:eastAsiaTheme="minorEastAsia" w:cstheme="minorEastAsia"/>
                <w:color w:val="auto"/>
                <w:kern w:val="0"/>
                <w:sz w:val="24"/>
                <w:szCs w:val="24"/>
                <w:highlight w:val="none"/>
              </w:rPr>
              <w:t>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p w14:paraId="2B49FEC3">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对项目建设背景情况理解</w:t>
            </w:r>
            <w:r>
              <w:rPr>
                <w:rFonts w:hint="eastAsia" w:asciiTheme="minorEastAsia" w:hAnsiTheme="minorEastAsia" w:eastAsiaTheme="minorEastAsia" w:cstheme="minorEastAsia"/>
                <w:color w:val="auto"/>
                <w:kern w:val="0"/>
                <w:sz w:val="24"/>
                <w:szCs w:val="24"/>
                <w:highlight w:val="none"/>
                <w:lang w:val="en-US" w:eastAsia="zh-CN"/>
              </w:rPr>
              <w:t>较</w:t>
            </w:r>
            <w:r>
              <w:rPr>
                <w:rFonts w:hint="eastAsia" w:asciiTheme="minorEastAsia" w:hAnsiTheme="minorEastAsia" w:eastAsiaTheme="minorEastAsia" w:cstheme="minorEastAsia"/>
                <w:color w:val="auto"/>
                <w:kern w:val="0"/>
                <w:sz w:val="24"/>
                <w:szCs w:val="24"/>
                <w:highlight w:val="none"/>
              </w:rPr>
              <w:t>清楚，</w:t>
            </w:r>
            <w:r>
              <w:rPr>
                <w:rFonts w:hint="eastAsia" w:asciiTheme="minorEastAsia" w:hAnsiTheme="minorEastAsia" w:eastAsiaTheme="minorEastAsia" w:cstheme="minorEastAsia"/>
                <w:color w:val="auto"/>
                <w:kern w:val="0"/>
                <w:sz w:val="24"/>
                <w:szCs w:val="24"/>
                <w:highlight w:val="none"/>
                <w:lang w:val="en-US" w:eastAsia="zh-CN"/>
              </w:rPr>
              <w:t>无明显逻辑漏洞、科学原理或常识错误的情形的</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p>
          <w:p w14:paraId="2C79FBCA">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对项目建设背景情况理解、混乱欠缺，且出现非专门针对本项目特性内容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有待完善得1分</w:t>
            </w:r>
            <w:r>
              <w:rPr>
                <w:rFonts w:hint="eastAsia" w:asciiTheme="minorEastAsia" w:hAnsiTheme="minorEastAsia" w:eastAsiaTheme="minorEastAsia" w:cstheme="minorEastAsia"/>
                <w:color w:val="auto"/>
                <w:kern w:val="0"/>
                <w:sz w:val="24"/>
                <w:szCs w:val="24"/>
                <w:highlight w:val="none"/>
              </w:rPr>
              <w:t>；</w:t>
            </w:r>
          </w:p>
          <w:p w14:paraId="040B452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（4）未提供的不得分。</w:t>
            </w:r>
          </w:p>
        </w:tc>
        <w:tc>
          <w:tcPr>
            <w:tcW w:w="604" w:type="pct"/>
            <w:tcBorders>
              <w:top w:val="single" w:color="auto" w:sz="4" w:space="0"/>
              <w:left w:val="single" w:color="auto" w:sz="4" w:space="0"/>
              <w:bottom w:val="single" w:color="auto" w:sz="4" w:space="0"/>
              <w:right w:val="single" w:color="auto" w:sz="4" w:space="0"/>
            </w:tcBorders>
            <w:vAlign w:val="center"/>
          </w:tcPr>
          <w:p w14:paraId="48F449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0-5分</w:t>
            </w:r>
          </w:p>
        </w:tc>
      </w:tr>
      <w:tr w14:paraId="6656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vMerge w:val="continue"/>
            <w:tcBorders>
              <w:left w:val="single" w:color="auto" w:sz="4" w:space="0"/>
              <w:right w:val="single" w:color="auto" w:sz="4" w:space="0"/>
            </w:tcBorders>
            <w:vAlign w:val="center"/>
          </w:tcPr>
          <w:p w14:paraId="6AB6E5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0B0FBA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培训方案</w:t>
            </w:r>
          </w:p>
        </w:tc>
        <w:tc>
          <w:tcPr>
            <w:tcW w:w="3090" w:type="pct"/>
            <w:tcBorders>
              <w:top w:val="single" w:color="auto" w:sz="4" w:space="0"/>
              <w:left w:val="single" w:color="auto" w:sz="4" w:space="0"/>
              <w:bottom w:val="single" w:color="auto" w:sz="4" w:space="0"/>
              <w:right w:val="single" w:color="auto" w:sz="4" w:space="0"/>
            </w:tcBorders>
            <w:vAlign w:val="top"/>
          </w:tcPr>
          <w:p w14:paraId="65B1345F">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lang w:val="en-US" w:eastAsia="zh-CN"/>
              </w:rPr>
              <w:t>应提供针对性的培训计划和培训内容，评标委员会进行综合评审：</w:t>
            </w:r>
          </w:p>
          <w:p w14:paraId="5CED61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（1）方案科学合理、可行性强，</w:t>
            </w:r>
            <w:r>
              <w:rPr>
                <w:rFonts w:hint="eastAsia" w:asciiTheme="minorEastAsia" w:hAnsiTheme="minorEastAsia" w:eastAsiaTheme="minorEastAsia" w:cstheme="minorEastAsia"/>
                <w:color w:val="auto"/>
                <w:kern w:val="0"/>
                <w:sz w:val="24"/>
                <w:szCs w:val="24"/>
                <w:highlight w:val="none"/>
                <w:lang w:val="en-US" w:eastAsia="zh-CN"/>
              </w:rPr>
              <w:t>培训</w:t>
            </w:r>
            <w:r>
              <w:rPr>
                <w:rFonts w:hint="eastAsia" w:asciiTheme="minorEastAsia" w:hAnsiTheme="minorEastAsia" w:eastAsiaTheme="minorEastAsia" w:cstheme="minorEastAsia"/>
                <w:color w:val="auto"/>
                <w:kern w:val="0"/>
                <w:sz w:val="24"/>
                <w:szCs w:val="24"/>
                <w:highlight w:val="none"/>
              </w:rPr>
              <w:t>流程步骤清晰，完全满足项目采购需求</w:t>
            </w:r>
            <w:r>
              <w:rPr>
                <w:rFonts w:hint="eastAsia" w:asciiTheme="minorEastAsia" w:hAnsiTheme="minorEastAsia" w:eastAsiaTheme="minorEastAsia" w:cstheme="minorEastAsia"/>
                <w:color w:val="auto"/>
                <w:kern w:val="0"/>
                <w:sz w:val="24"/>
                <w:szCs w:val="24"/>
                <w:highlight w:val="none"/>
                <w:lang w:val="en-US" w:eastAsia="zh-CN"/>
              </w:rPr>
              <w:t>的得5</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（2）方案可行性较强，</w:t>
            </w:r>
            <w:r>
              <w:rPr>
                <w:rFonts w:hint="eastAsia" w:asciiTheme="minorEastAsia" w:hAnsiTheme="minorEastAsia" w:eastAsiaTheme="minorEastAsia" w:cstheme="minorEastAsia"/>
                <w:color w:val="auto"/>
                <w:kern w:val="0"/>
                <w:sz w:val="24"/>
                <w:szCs w:val="24"/>
                <w:highlight w:val="none"/>
                <w:lang w:val="en-US" w:eastAsia="zh-CN"/>
              </w:rPr>
              <w:t>培训</w:t>
            </w:r>
            <w:r>
              <w:rPr>
                <w:rFonts w:hint="eastAsia" w:asciiTheme="minorEastAsia" w:hAnsiTheme="minorEastAsia" w:eastAsiaTheme="minorEastAsia" w:cstheme="minorEastAsia"/>
                <w:color w:val="auto"/>
                <w:kern w:val="0"/>
                <w:sz w:val="24"/>
                <w:szCs w:val="24"/>
                <w:highlight w:val="none"/>
              </w:rPr>
              <w:t>流程步骤较为清晰，无明显逻辑错误的得的得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（3）方案</w:t>
            </w:r>
            <w:r>
              <w:rPr>
                <w:rFonts w:hint="eastAsia" w:asciiTheme="minorEastAsia" w:hAnsiTheme="minorEastAsia" w:eastAsiaTheme="minorEastAsia" w:cstheme="minorEastAsia"/>
                <w:color w:val="auto"/>
                <w:kern w:val="0"/>
                <w:sz w:val="24"/>
                <w:szCs w:val="24"/>
                <w:highlight w:val="none"/>
                <w:lang w:val="en-US" w:eastAsia="zh-CN"/>
              </w:rPr>
              <w:t>内容简单，培训服务混乱欠缺</w:t>
            </w:r>
            <w:r>
              <w:rPr>
                <w:rFonts w:hint="eastAsia" w:asciiTheme="minorEastAsia" w:hAnsiTheme="minorEastAsia" w:eastAsiaTheme="minorEastAsia" w:cstheme="minorEastAsia"/>
                <w:color w:val="auto"/>
                <w:kern w:val="0"/>
                <w:sz w:val="24"/>
                <w:szCs w:val="24"/>
                <w:highlight w:val="none"/>
              </w:rPr>
              <w:t>，待完善的</w:t>
            </w:r>
            <w:r>
              <w:rPr>
                <w:rFonts w:hint="eastAsia" w:asciiTheme="minorEastAsia" w:hAnsiTheme="minorEastAsia" w:eastAsiaTheme="minorEastAsia" w:cstheme="minorEastAsia"/>
                <w:color w:val="auto"/>
                <w:kern w:val="0"/>
                <w:sz w:val="24"/>
                <w:szCs w:val="24"/>
                <w:highlight w:val="none"/>
                <w:lang w:val="en-US" w:eastAsia="zh-CN"/>
              </w:rPr>
              <w:t>得1</w:t>
            </w:r>
            <w:r>
              <w:rPr>
                <w:rFonts w:hint="eastAsia" w:asciiTheme="minorEastAsia" w:hAnsiTheme="minorEastAsia" w:eastAsiaTheme="minorEastAsia" w:cstheme="minorEastAsia"/>
                <w:color w:val="auto"/>
                <w:kern w:val="0"/>
                <w:sz w:val="24"/>
                <w:szCs w:val="24"/>
                <w:highlight w:val="none"/>
              </w:rPr>
              <w:t>分；</w:t>
            </w:r>
          </w:p>
        </w:tc>
        <w:tc>
          <w:tcPr>
            <w:tcW w:w="604" w:type="pct"/>
            <w:tcBorders>
              <w:top w:val="single" w:color="auto" w:sz="4" w:space="0"/>
              <w:left w:val="single" w:color="auto" w:sz="4" w:space="0"/>
              <w:bottom w:val="single" w:color="auto" w:sz="4" w:space="0"/>
              <w:right w:val="single" w:color="auto" w:sz="4" w:space="0"/>
            </w:tcBorders>
            <w:vAlign w:val="center"/>
          </w:tcPr>
          <w:p w14:paraId="37DA61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0-5分</w:t>
            </w:r>
          </w:p>
        </w:tc>
      </w:tr>
      <w:tr w14:paraId="4D58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14:paraId="625C31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价格分</w:t>
            </w:r>
          </w:p>
          <w:p w14:paraId="3AC3E8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single"/>
                <w:lang w:val="en-US" w:eastAsia="zh-CN"/>
              </w:rPr>
              <w:t>10</w:t>
            </w:r>
            <w:r>
              <w:rPr>
                <w:rFonts w:hint="eastAsia" w:asciiTheme="minorEastAsia" w:hAnsiTheme="minorEastAsia" w:eastAsiaTheme="minorEastAsia" w:cstheme="minorEastAsia"/>
                <w:b w:val="0"/>
                <w:bCs w:val="0"/>
                <w:color w:val="auto"/>
                <w:sz w:val="24"/>
                <w:szCs w:val="24"/>
                <w:highlight w:val="none"/>
              </w:rPr>
              <w:t>分）</w:t>
            </w:r>
          </w:p>
        </w:tc>
        <w:tc>
          <w:tcPr>
            <w:tcW w:w="4421" w:type="pct"/>
            <w:gridSpan w:val="3"/>
            <w:tcBorders>
              <w:top w:val="single" w:color="auto" w:sz="4" w:space="0"/>
              <w:left w:val="single" w:color="auto" w:sz="4" w:space="0"/>
              <w:bottom w:val="single" w:color="auto" w:sz="4" w:space="0"/>
              <w:right w:val="single" w:color="auto" w:sz="4" w:space="0"/>
            </w:tcBorders>
            <w:vAlign w:val="center"/>
          </w:tcPr>
          <w:p w14:paraId="1B702ED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stheme="minorEastAsia"/>
                <w:b w:val="0"/>
                <w:bCs w:val="0"/>
                <w:color w:val="auto"/>
                <w:sz w:val="24"/>
                <w:szCs w:val="24"/>
                <w:highlight w:val="none"/>
                <w:u w:val="single"/>
                <w:lang w:val="en-US" w:eastAsia="zh-CN"/>
              </w:rPr>
              <w:t>10</w:t>
            </w:r>
            <w:r>
              <w:rPr>
                <w:rFonts w:hint="eastAsia" w:asciiTheme="minorEastAsia" w:hAnsiTheme="minorEastAsia" w:eastAsiaTheme="minorEastAsia" w:cstheme="minorEastAsia"/>
                <w:b w:val="0"/>
                <w:bCs w:val="0"/>
                <w:color w:val="auto"/>
                <w:sz w:val="24"/>
                <w:szCs w:val="24"/>
                <w:highlight w:val="none"/>
              </w:rPr>
              <w:t>分。其他投标人的价格分统一按照下列公式计算：</w:t>
            </w:r>
          </w:p>
          <w:p w14:paraId="3C3DDF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投标报价得分＝（评标基准价/投标报价）×</w:t>
            </w: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val="0"/>
                <w:bCs w:val="0"/>
                <w:color w:val="auto"/>
                <w:sz w:val="24"/>
                <w:szCs w:val="24"/>
                <w:highlight w:val="none"/>
              </w:rPr>
              <w:t>％×100</w:t>
            </w:r>
          </w:p>
        </w:tc>
      </w:tr>
    </w:tbl>
    <w:p w14:paraId="5C8B442F">
      <w:pPr>
        <w:keepNext w:val="0"/>
        <w:keepLines w:val="0"/>
        <w:pageBreakBefore w:val="0"/>
        <w:kinsoku/>
        <w:overflowPunct/>
        <w:topLinePunct w:val="0"/>
        <w:autoSpaceDE/>
        <w:autoSpaceDN/>
        <w:bidi w:val="0"/>
        <w:spacing w:line="52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BC6162D">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44E81BC">
      <w:pPr>
        <w:keepNext w:val="0"/>
        <w:keepLines w:val="0"/>
        <w:pageBreakBefore w:val="0"/>
        <w:kinsoku/>
        <w:overflowPunct/>
        <w:topLinePunct w:val="0"/>
        <w:autoSpaceDE/>
        <w:autoSpaceDN/>
        <w:bidi w:val="0"/>
        <w:spacing w:line="520" w:lineRule="exact"/>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2A223672">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三、无效投标条款</w:t>
      </w:r>
    </w:p>
    <w:p w14:paraId="64668BDD">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3A619D1C">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150E96C9">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57EB958D">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4E181E7E">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04B34B89">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5C58DD71">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5CBADD2B">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3735135B">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0BAD6647">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26147512">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519856F9">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7BCB0A67">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00F1AC6D">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1FF7D883">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6A0470B4">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576115DC">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(13)其它情形，经评标委员会委提出按无效投标处理，并经公共资源交易监督部门核准的；</w:t>
      </w:r>
    </w:p>
    <w:p w14:paraId="2D8CEC6F">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15547777">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24EF77C7">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(16)招标文件规定的其它无效投标情形。</w:t>
      </w:r>
    </w:p>
    <w:p w14:paraId="2E1CA94D">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78A9598F">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(1)投标文件签字、盖章不全，经评标委员会一致认定对开评标内容有实质性影响并经公共资源交易监督部门核准的；</w:t>
      </w:r>
    </w:p>
    <w:p w14:paraId="351491C7">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 经公共资源交易监督部门核准的；</w:t>
      </w:r>
    </w:p>
    <w:p w14:paraId="3956AB2E">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1E740411">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0C453B1E">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70331D6B">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63792553">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(7)其它情形，经评标委员会委提出按无效投标处理，并经公共资源交易监督部门核准的；</w:t>
      </w:r>
    </w:p>
    <w:p w14:paraId="7F402376">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65CD8F67">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5ED8EB3B">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2A714A43">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46D3F1D5">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0A0FB248">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792BBBB5">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031AF2C3">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570CB342">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(6)其它情形，经评标委员会委提出按无效投标处理，并经公共资源交易监督部门核准的；</w:t>
      </w:r>
    </w:p>
    <w:p w14:paraId="6B1055FF">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r>
        <w:rPr>
          <w:rFonts w:asciiTheme="minorEastAsia" w:hAnsiTheme="minorEastAsia" w:eastAsiaTheme="minorEastAsia"/>
          <w:color w:val="auto"/>
          <w:sz w:val="24"/>
          <w:highlight w:val="none"/>
        </w:rPr>
        <w:br w:type="page"/>
      </w:r>
    </w:p>
    <w:p w14:paraId="27660E24">
      <w:pPr>
        <w:spacing w:line="360" w:lineRule="auto"/>
        <w:jc w:val="center"/>
        <w:outlineLvl w:val="0"/>
        <w:rPr>
          <w:rFonts w:hint="eastAsia" w:asciiTheme="minorEastAsia" w:hAnsiTheme="minorEastAsia" w:eastAsiaTheme="minorEastAsia"/>
          <w:b/>
          <w:color w:val="auto"/>
          <w:sz w:val="28"/>
          <w:highlight w:val="none"/>
        </w:rPr>
      </w:pPr>
      <w:bookmarkStart w:id="91"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91"/>
    </w:p>
    <w:p w14:paraId="26D3076B">
      <w:pPr>
        <w:spacing w:line="480" w:lineRule="auto"/>
        <w:jc w:val="center"/>
        <w:rPr>
          <w:rFonts w:hint="eastAsia" w:cs="Times New Roman" w:asciiTheme="minorEastAsia" w:hAnsiTheme="minorEastAsia" w:eastAsiaTheme="minorEastAsia"/>
          <w:b/>
          <w:color w:val="auto"/>
          <w:sz w:val="28"/>
          <w:szCs w:val="28"/>
          <w:highlight w:val="none"/>
        </w:rPr>
      </w:pPr>
      <w:bookmarkStart w:id="92" w:name="_Toc331685784"/>
    </w:p>
    <w:p w14:paraId="6D252DE9">
      <w:pPr>
        <w:spacing w:line="480" w:lineRule="auto"/>
        <w:jc w:val="center"/>
        <w:rPr>
          <w:rFonts w:hint="eastAsia" w:cs="Times New Roman" w:asciiTheme="minorEastAsia" w:hAnsiTheme="minorEastAsia" w:eastAsiaTheme="minorEastAsia"/>
          <w:b/>
          <w:color w:val="auto"/>
          <w:sz w:val="28"/>
          <w:szCs w:val="28"/>
          <w:highlight w:val="none"/>
        </w:rPr>
      </w:pPr>
    </w:p>
    <w:p w14:paraId="43587BB9">
      <w:pPr>
        <w:pStyle w:val="13"/>
        <w:rPr>
          <w:rFonts w:hint="eastAsia"/>
          <w:color w:val="auto"/>
          <w:highlight w:val="none"/>
        </w:rPr>
      </w:pPr>
    </w:p>
    <w:p w14:paraId="28CBE6AD">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93"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93"/>
    </w:p>
    <w:p w14:paraId="52C403B9">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94" w:name="_Toc8560"/>
      <w:r>
        <w:rPr>
          <w:rFonts w:hint="eastAsia" w:cs="Times New Roman" w:asciiTheme="minorEastAsia" w:hAnsiTheme="minorEastAsia" w:eastAsiaTheme="minorEastAsia"/>
          <w:b/>
          <w:color w:val="auto"/>
          <w:sz w:val="28"/>
          <w:szCs w:val="28"/>
          <w:highlight w:val="none"/>
        </w:rPr>
        <w:t>（服务类）</w:t>
      </w:r>
      <w:bookmarkEnd w:id="94"/>
    </w:p>
    <w:p w14:paraId="23317FE6">
      <w:pPr>
        <w:spacing w:line="480" w:lineRule="auto"/>
        <w:jc w:val="center"/>
        <w:rPr>
          <w:rFonts w:hint="eastAsia" w:cs="Times New Roman" w:asciiTheme="minorEastAsia" w:hAnsiTheme="minorEastAsia" w:eastAsiaTheme="minorEastAsia"/>
          <w:b/>
          <w:color w:val="auto"/>
          <w:sz w:val="24"/>
          <w:szCs w:val="24"/>
          <w:highlight w:val="none"/>
        </w:rPr>
      </w:pPr>
    </w:p>
    <w:p w14:paraId="586023DA">
      <w:pPr>
        <w:spacing w:line="480" w:lineRule="auto"/>
        <w:jc w:val="center"/>
        <w:rPr>
          <w:rFonts w:hint="eastAsia" w:cs="Times New Roman" w:asciiTheme="minorEastAsia" w:hAnsiTheme="minorEastAsia" w:eastAsiaTheme="minorEastAsia"/>
          <w:b/>
          <w:color w:val="auto"/>
          <w:sz w:val="24"/>
          <w:szCs w:val="24"/>
          <w:highlight w:val="none"/>
        </w:rPr>
      </w:pPr>
    </w:p>
    <w:p w14:paraId="40F12525">
      <w:pPr>
        <w:spacing w:line="480" w:lineRule="auto"/>
        <w:jc w:val="center"/>
        <w:rPr>
          <w:rFonts w:hint="eastAsia" w:cs="Times New Roman" w:asciiTheme="minorEastAsia" w:hAnsiTheme="minorEastAsia" w:eastAsiaTheme="minorEastAsia"/>
          <w:b/>
          <w:color w:val="auto"/>
          <w:sz w:val="24"/>
          <w:szCs w:val="24"/>
          <w:highlight w:val="none"/>
        </w:rPr>
      </w:pPr>
    </w:p>
    <w:p w14:paraId="18AD1777">
      <w:pPr>
        <w:spacing w:line="360" w:lineRule="auto"/>
        <w:jc w:val="center"/>
        <w:outlineLvl w:val="1"/>
        <w:rPr>
          <w:rFonts w:hint="eastAsia" w:asciiTheme="minorEastAsia" w:hAnsiTheme="minorEastAsia" w:eastAsiaTheme="minorEastAsia"/>
          <w:b/>
          <w:color w:val="auto"/>
          <w:sz w:val="24"/>
          <w:highlight w:val="none"/>
        </w:rPr>
      </w:pPr>
      <w:bookmarkStart w:id="95" w:name="_Toc2449"/>
      <w:r>
        <w:rPr>
          <w:rFonts w:hint="eastAsia" w:asciiTheme="minorEastAsia" w:hAnsiTheme="minorEastAsia" w:eastAsiaTheme="minorEastAsia"/>
          <w:b/>
          <w:color w:val="auto"/>
          <w:sz w:val="24"/>
          <w:highlight w:val="none"/>
        </w:rPr>
        <w:t>第一部分 合同书</w:t>
      </w:r>
      <w:bookmarkEnd w:id="95"/>
    </w:p>
    <w:p w14:paraId="3DC3850B">
      <w:pPr>
        <w:spacing w:line="480" w:lineRule="auto"/>
        <w:jc w:val="center"/>
        <w:rPr>
          <w:rFonts w:hint="eastAsia" w:cs="Times New Roman" w:asciiTheme="minorEastAsia" w:hAnsiTheme="minorEastAsia" w:eastAsiaTheme="minorEastAsia"/>
          <w:b/>
          <w:color w:val="auto"/>
          <w:sz w:val="24"/>
          <w:szCs w:val="24"/>
          <w:highlight w:val="none"/>
        </w:rPr>
      </w:pPr>
    </w:p>
    <w:p w14:paraId="34DA9E45">
      <w:pPr>
        <w:spacing w:line="480" w:lineRule="auto"/>
        <w:jc w:val="center"/>
        <w:rPr>
          <w:rFonts w:hint="eastAsia" w:cs="Times New Roman" w:asciiTheme="minorEastAsia" w:hAnsiTheme="minorEastAsia" w:eastAsiaTheme="minorEastAsia"/>
          <w:b/>
          <w:color w:val="auto"/>
          <w:sz w:val="24"/>
          <w:szCs w:val="24"/>
          <w:highlight w:val="none"/>
        </w:rPr>
      </w:pPr>
    </w:p>
    <w:p w14:paraId="2EF012FF">
      <w:pPr>
        <w:pStyle w:val="13"/>
        <w:rPr>
          <w:rFonts w:hint="eastAsia"/>
          <w:color w:val="auto"/>
          <w:highlight w:val="none"/>
        </w:rPr>
      </w:pPr>
    </w:p>
    <w:p w14:paraId="66032A39">
      <w:pPr>
        <w:pStyle w:val="13"/>
        <w:rPr>
          <w:rFonts w:hint="eastAsia"/>
          <w:color w:val="auto"/>
          <w:highlight w:val="none"/>
        </w:rPr>
      </w:pPr>
    </w:p>
    <w:p w14:paraId="2A48A5D3">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滁州市政务服务应用场景升级迭代项目</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52CF523F">
      <w:pPr>
        <w:spacing w:before="120" w:line="480" w:lineRule="auto"/>
        <w:ind w:left="960"/>
        <w:rPr>
          <w:rFonts w:hint="default"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项目编号：</w:t>
      </w:r>
    </w:p>
    <w:p w14:paraId="69FA31B2">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lang w:eastAsia="zh-CN"/>
        </w:rPr>
        <w:t>滁州市数据资源管理局</w:t>
      </w:r>
      <w:r>
        <w:rPr>
          <w:rFonts w:hint="eastAsia" w:cs="Times New Roman" w:asciiTheme="minorEastAsia" w:hAnsiTheme="minorEastAsia" w:eastAsiaTheme="minorEastAsia"/>
          <w:color w:val="auto"/>
          <w:sz w:val="24"/>
          <w:szCs w:val="24"/>
          <w:highlight w:val="none"/>
          <w:u w:val="single"/>
        </w:rPr>
        <w:t xml:space="preserve"> </w:t>
      </w:r>
    </w:p>
    <w:p w14:paraId="4FF5A18E">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44328FEE">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lang w:eastAsia="zh-CN"/>
        </w:rPr>
        <w:t>滁州市数据资源管理局</w:t>
      </w:r>
      <w:r>
        <w:rPr>
          <w:rFonts w:hint="eastAsia" w:cs="Times New Roman" w:asciiTheme="minorEastAsia" w:hAnsiTheme="minorEastAsia" w:eastAsiaTheme="minorEastAsia"/>
          <w:color w:val="auto"/>
          <w:sz w:val="24"/>
          <w:szCs w:val="24"/>
          <w:highlight w:val="none"/>
          <w:u w:val="single"/>
        </w:rPr>
        <w:t xml:space="preserve"> </w:t>
      </w:r>
    </w:p>
    <w:p w14:paraId="5118370B">
      <w:pPr>
        <w:spacing w:before="120" w:line="480" w:lineRule="auto"/>
        <w:ind w:firstLine="960" w:firstLineChars="400"/>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bookmarkEnd w:id="92"/>
    <w:p w14:paraId="2FB52E78">
      <w:pPr>
        <w:rPr>
          <w:rFonts w:hint="eastAsia" w:asciiTheme="minorEastAsia" w:hAnsiTheme="minorEastAsia" w:eastAsiaTheme="minorEastAsia"/>
          <w:color w:val="auto"/>
          <w:sz w:val="24"/>
          <w:highlight w:val="none"/>
          <w:u w:val="single"/>
          <w:lang w:eastAsia="zh-CN"/>
        </w:rPr>
      </w:pPr>
      <w:bookmarkStart w:id="96" w:name="_Toc13555"/>
      <w:r>
        <w:rPr>
          <w:rFonts w:hint="eastAsia" w:asciiTheme="minorEastAsia" w:hAnsiTheme="minorEastAsia" w:eastAsiaTheme="minorEastAsia"/>
          <w:color w:val="auto"/>
          <w:sz w:val="24"/>
          <w:highlight w:val="none"/>
          <w:u w:val="single"/>
          <w:lang w:eastAsia="zh-CN"/>
        </w:rPr>
        <w:br w:type="page"/>
      </w:r>
    </w:p>
    <w:p w14:paraId="71DAC878">
      <w:pPr>
        <w:keepNext w:val="0"/>
        <w:keepLines w:val="0"/>
        <w:pageBreakBefore w:val="0"/>
        <w:kinsoku/>
        <w:wordWrap/>
        <w:overflowPunct/>
        <w:topLinePunct w:val="0"/>
        <w:bidi w:val="0"/>
        <w:snapToGrid/>
        <w:spacing w:line="5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eastAsia="zh-CN"/>
        </w:rPr>
        <w:t>滁州市数据资源管理局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 xml:space="preserve">）通过 </w:t>
      </w:r>
      <w:r>
        <w:rPr>
          <w:rFonts w:hint="eastAsia" w:asciiTheme="minorEastAsia" w:hAnsiTheme="minorEastAsia" w:eastAsiaTheme="minorEastAsia"/>
          <w:color w:val="auto"/>
          <w:sz w:val="24"/>
          <w:highlight w:val="none"/>
          <w:u w:val="single"/>
          <w:lang w:val="en-US" w:eastAsia="zh-CN"/>
        </w:rPr>
        <w:t>滁州市政府采购中心</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）为本项目中标人，现按照采购文件确定的事项签订本合同。</w:t>
      </w:r>
    </w:p>
    <w:p w14:paraId="10DECF0A">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AC0DB2F">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97" w:name="_Toc24059"/>
      <w:bookmarkStart w:id="98" w:name="_Toc2232"/>
      <w:bookmarkStart w:id="99" w:name="_Toc302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97"/>
      <w:bookmarkEnd w:id="98"/>
      <w:bookmarkEnd w:id="99"/>
    </w:p>
    <w:p w14:paraId="68718ADE">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C920F33">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7D06E618">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F5D4D32">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335DC3F2">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8B0A342">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r>
        <w:rPr>
          <w:rFonts w:hint="eastAsia" w:cs="Times New Roman" w:asciiTheme="minorEastAsia" w:hAnsiTheme="minorEastAsia" w:eastAsiaTheme="minorEastAsia"/>
          <w:color w:val="auto"/>
          <w:sz w:val="24"/>
          <w:szCs w:val="24"/>
          <w:highlight w:val="none"/>
          <w:lang w:val="en-US" w:eastAsia="zh-CN"/>
        </w:rPr>
        <w:t>建设方案等）</w:t>
      </w:r>
      <w:r>
        <w:rPr>
          <w:rFonts w:hint="eastAsia" w:cs="Times New Roman" w:asciiTheme="minorEastAsia" w:hAnsiTheme="minorEastAsia" w:eastAsiaTheme="minorEastAsia"/>
          <w:color w:val="auto"/>
          <w:sz w:val="24"/>
          <w:szCs w:val="24"/>
          <w:highlight w:val="none"/>
          <w:lang w:val="zh-CN"/>
        </w:rPr>
        <w:t>。</w:t>
      </w:r>
    </w:p>
    <w:p w14:paraId="574F3E5A">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00" w:name="_Toc18585"/>
      <w:bookmarkStart w:id="101" w:name="_Toc6311"/>
      <w:bookmarkStart w:id="102" w:name="_Toc6773"/>
      <w:bookmarkStart w:id="103" w:name="_Toc2918"/>
      <w:bookmarkStart w:id="104" w:name="_Toc22185"/>
      <w:r>
        <w:rPr>
          <w:rFonts w:hint="eastAsia" w:cs="Times New Roman" w:asciiTheme="minorEastAsia" w:hAnsiTheme="minorEastAsia" w:eastAsiaTheme="minorEastAsia"/>
          <w:b/>
          <w:bCs/>
          <w:color w:val="auto"/>
          <w:sz w:val="24"/>
          <w:szCs w:val="24"/>
          <w:highlight w:val="none"/>
          <w:lang w:val="zh-CN"/>
        </w:rPr>
        <w:t xml:space="preserve">1.2 </w:t>
      </w:r>
      <w:bookmarkEnd w:id="100"/>
      <w:bookmarkEnd w:id="101"/>
      <w:bookmarkEnd w:id="102"/>
      <w:bookmarkEnd w:id="103"/>
      <w:bookmarkEnd w:id="104"/>
      <w:r>
        <w:rPr>
          <w:rFonts w:hint="eastAsia" w:cs="Times New Roman" w:asciiTheme="minorEastAsia" w:hAnsiTheme="minorEastAsia" w:eastAsiaTheme="minorEastAsia"/>
          <w:b/>
          <w:bCs/>
          <w:color w:val="auto"/>
          <w:sz w:val="24"/>
          <w:szCs w:val="24"/>
          <w:highlight w:val="none"/>
          <w:lang w:val="zh-CN"/>
        </w:rPr>
        <w:t>服务</w:t>
      </w:r>
    </w:p>
    <w:p w14:paraId="3502109E">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eastAsia="zh-CN"/>
        </w:rPr>
        <w:t>滁州市政务服务应用场景升级迭代项目</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6B67BCB6">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highlight w:val="none"/>
          <w:u w:val="single"/>
        </w:rPr>
        <w:t>招标文件第三章采购需求全部内容</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4D13176C">
      <w:pPr>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ascii="宋体" w:hAnsi="宋体" w:eastAsia="宋体" w:cs="宋体"/>
          <w:color w:val="auto"/>
          <w:sz w:val="24"/>
          <w:highlight w:val="none"/>
          <w:u w:val="single"/>
          <w:lang w:val="en-US" w:eastAsia="zh-CN"/>
        </w:rPr>
        <w:t>达到合同要求的标准</w:t>
      </w:r>
      <w:r>
        <w:rPr>
          <w:rFonts w:hint="eastAsia" w:cs="Times New Roman" w:asciiTheme="minorEastAsia" w:hAnsiTheme="minorEastAsia" w:eastAsiaTheme="minorEastAsia"/>
          <w:color w:val="auto"/>
          <w:sz w:val="24"/>
          <w:szCs w:val="24"/>
          <w:highlight w:val="none"/>
        </w:rPr>
        <w:t>。</w:t>
      </w:r>
    </w:p>
    <w:p w14:paraId="55D8D31E">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05" w:name="_Toc21631"/>
      <w:bookmarkStart w:id="106" w:name="_Toc21551"/>
      <w:bookmarkStart w:id="107"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105"/>
      <w:bookmarkEnd w:id="106"/>
      <w:bookmarkEnd w:id="107"/>
    </w:p>
    <w:p w14:paraId="55AAC3E2">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p>
    <w:p w14:paraId="7463A24A">
      <w:pPr>
        <w:spacing w:line="360" w:lineRule="auto"/>
        <w:ind w:firstLine="435"/>
        <w:rPr>
          <w:rFonts w:cs="Times New Roman" w:asciiTheme="minorEastAsia" w:hAnsiTheme="minorEastAsia" w:eastAsiaTheme="minorEastAsia"/>
          <w:color w:val="auto"/>
          <w:sz w:val="24"/>
          <w:szCs w:val="24"/>
          <w:u w:val="single"/>
        </w:rPr>
      </w:pPr>
      <w:bookmarkStart w:id="108" w:name="_Toc10340"/>
      <w:bookmarkStart w:id="109" w:name="_Toc1814"/>
      <w:bookmarkStart w:id="110" w:name="_Toc22618"/>
      <w:r>
        <w:rPr>
          <w:rFonts w:cs="Times New Roman" w:asciiTheme="minorEastAsia" w:hAnsiTheme="minorEastAsia" w:eastAsiaTheme="minorEastAsia"/>
          <w:color w:val="auto"/>
          <w:sz w:val="24"/>
          <w:szCs w:val="24"/>
        </w:rPr>
        <w:t>分项价格：</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087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E01DE39">
            <w:pPr>
              <w:jc w:val="center"/>
              <w:rPr>
                <w:rFonts w:cs="Times New Roman" w:asciiTheme="minorEastAsia" w:hAnsiTheme="minorEastAsia" w:eastAsiaTheme="minorEastAsia"/>
                <w:color w:val="auto"/>
                <w:sz w:val="24"/>
                <w:szCs w:val="24"/>
                <w:lang w:val="zh-CN"/>
              </w:rPr>
            </w:pPr>
            <w:r>
              <w:rPr>
                <w:rFonts w:cs="Times New Roman" w:asciiTheme="minorEastAsia" w:hAnsiTheme="minorEastAsia" w:eastAsiaTheme="minorEastAsia"/>
                <w:color w:val="auto"/>
                <w:sz w:val="24"/>
                <w:szCs w:val="24"/>
                <w:lang w:val="zh-CN"/>
              </w:rPr>
              <w:t>序号</w:t>
            </w:r>
          </w:p>
        </w:tc>
        <w:tc>
          <w:tcPr>
            <w:tcW w:w="4316" w:type="dxa"/>
            <w:vAlign w:val="center"/>
          </w:tcPr>
          <w:p w14:paraId="42981E90">
            <w:pPr>
              <w:ind w:firstLine="200"/>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分项名称</w:t>
            </w:r>
          </w:p>
        </w:tc>
        <w:tc>
          <w:tcPr>
            <w:tcW w:w="3237" w:type="dxa"/>
            <w:gridSpan w:val="2"/>
            <w:vAlign w:val="center"/>
          </w:tcPr>
          <w:p w14:paraId="773002EF">
            <w:pPr>
              <w:jc w:val="center"/>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分项价格</w:t>
            </w:r>
          </w:p>
        </w:tc>
      </w:tr>
      <w:tr w14:paraId="644C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E6ECA2">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w:t>
            </w:r>
          </w:p>
        </w:tc>
        <w:tc>
          <w:tcPr>
            <w:tcW w:w="4316" w:type="dxa"/>
            <w:vAlign w:val="center"/>
          </w:tcPr>
          <w:p w14:paraId="26FF81E5">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2ED4B4CC">
            <w:pPr>
              <w:ind w:firstLine="200"/>
              <w:jc w:val="center"/>
              <w:rPr>
                <w:rFonts w:cs="Times New Roman" w:asciiTheme="minorEastAsia" w:hAnsiTheme="minorEastAsia" w:eastAsiaTheme="minorEastAsia"/>
                <w:color w:val="auto"/>
                <w:sz w:val="24"/>
                <w:szCs w:val="24"/>
              </w:rPr>
            </w:pPr>
          </w:p>
        </w:tc>
      </w:tr>
      <w:tr w14:paraId="64C4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9B1754">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2</w:t>
            </w:r>
          </w:p>
        </w:tc>
        <w:tc>
          <w:tcPr>
            <w:tcW w:w="4316" w:type="dxa"/>
            <w:vAlign w:val="center"/>
          </w:tcPr>
          <w:p w14:paraId="2AD13443">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2C1C8854">
            <w:pPr>
              <w:ind w:firstLine="200"/>
              <w:jc w:val="center"/>
              <w:rPr>
                <w:rFonts w:cs="Times New Roman" w:asciiTheme="minorEastAsia" w:hAnsiTheme="minorEastAsia" w:eastAsiaTheme="minorEastAsia"/>
                <w:color w:val="auto"/>
                <w:sz w:val="24"/>
                <w:szCs w:val="24"/>
              </w:rPr>
            </w:pPr>
          </w:p>
        </w:tc>
      </w:tr>
      <w:tr w14:paraId="45D7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21E882B">
            <w:pPr>
              <w:jc w:val="center"/>
              <w:rPr>
                <w:rFonts w:cs="Times New Roman" w:asciiTheme="minorEastAsia" w:hAnsiTheme="minorEastAsia" w:eastAsiaTheme="minorEastAsia"/>
                <w:color w:val="auto"/>
                <w:sz w:val="24"/>
                <w:szCs w:val="24"/>
                <w:lang w:val="zh-CN"/>
              </w:rPr>
            </w:pPr>
            <w:r>
              <w:rPr>
                <w:rFonts w:cs="Times New Roman" w:asciiTheme="minorEastAsia" w:hAnsiTheme="minorEastAsia" w:eastAsiaTheme="minorEastAsia"/>
                <w:color w:val="auto"/>
                <w:sz w:val="24"/>
                <w:szCs w:val="24"/>
                <w:lang w:val="zh-CN"/>
              </w:rPr>
              <w:t>3</w:t>
            </w:r>
          </w:p>
        </w:tc>
        <w:tc>
          <w:tcPr>
            <w:tcW w:w="4316" w:type="dxa"/>
            <w:vAlign w:val="center"/>
          </w:tcPr>
          <w:p w14:paraId="09F6D3A6">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1DBD30BD">
            <w:pPr>
              <w:ind w:firstLine="200"/>
              <w:jc w:val="center"/>
              <w:rPr>
                <w:rFonts w:cs="Times New Roman" w:asciiTheme="minorEastAsia" w:hAnsiTheme="minorEastAsia" w:eastAsiaTheme="minorEastAsia"/>
                <w:color w:val="auto"/>
                <w:sz w:val="24"/>
                <w:szCs w:val="24"/>
              </w:rPr>
            </w:pPr>
          </w:p>
        </w:tc>
      </w:tr>
      <w:tr w14:paraId="56E0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0902131">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w:t>
            </w:r>
          </w:p>
        </w:tc>
        <w:tc>
          <w:tcPr>
            <w:tcW w:w="4316" w:type="dxa"/>
            <w:vAlign w:val="center"/>
          </w:tcPr>
          <w:p w14:paraId="74999F37">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427B9DD3">
            <w:pPr>
              <w:ind w:firstLine="200"/>
              <w:jc w:val="center"/>
              <w:rPr>
                <w:rFonts w:cs="Times New Roman" w:asciiTheme="minorEastAsia" w:hAnsiTheme="minorEastAsia" w:eastAsiaTheme="minorEastAsia"/>
                <w:color w:val="auto"/>
                <w:sz w:val="24"/>
                <w:szCs w:val="24"/>
              </w:rPr>
            </w:pPr>
          </w:p>
        </w:tc>
      </w:tr>
      <w:tr w14:paraId="2EA0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35FFF18">
            <w:pPr>
              <w:ind w:firstLine="200"/>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总价</w:t>
            </w:r>
          </w:p>
        </w:tc>
        <w:tc>
          <w:tcPr>
            <w:tcW w:w="3237" w:type="dxa"/>
            <w:gridSpan w:val="2"/>
            <w:vAlign w:val="center"/>
          </w:tcPr>
          <w:p w14:paraId="192FF33E">
            <w:pPr>
              <w:ind w:firstLine="200"/>
              <w:jc w:val="center"/>
              <w:rPr>
                <w:rFonts w:cs="Times New Roman" w:asciiTheme="minorEastAsia" w:hAnsiTheme="minorEastAsia" w:eastAsiaTheme="minorEastAsia"/>
                <w:color w:val="auto"/>
                <w:sz w:val="24"/>
                <w:szCs w:val="24"/>
              </w:rPr>
            </w:pPr>
          </w:p>
        </w:tc>
      </w:tr>
    </w:tbl>
    <w:p w14:paraId="768AF4F4">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108"/>
      <w:bookmarkEnd w:id="109"/>
      <w:bookmarkEnd w:id="110"/>
    </w:p>
    <w:p w14:paraId="107C56C4">
      <w:pPr>
        <w:keepNext w:val="0"/>
        <w:keepLines w:val="0"/>
        <w:pageBreakBefore w:val="0"/>
        <w:kinsoku/>
        <w:wordWrap/>
        <w:overflowPunct/>
        <w:topLinePunct w:val="0"/>
        <w:bidi w:val="0"/>
        <w:snapToGrid/>
        <w:spacing w:line="52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ascii="宋体" w:hAnsi="宋体" w:eastAsia="宋体" w:cs="宋体"/>
          <w:color w:val="auto"/>
          <w:sz w:val="24"/>
          <w:szCs w:val="24"/>
          <w:highlight w:val="none"/>
          <w:u w:val="single"/>
          <w:lang w:val="en-US" w:eastAsia="zh-CN"/>
        </w:rPr>
        <w:t>合同签订生效并具备实施条件后，根据相关规定和资金情况，采购方支付给中标方合同总额40%-70%的项目预付款（预付款支付前，中标方须向采购方提供同等金额的见索即付保函）；项目经初步验收评审合格后，采购方支付给中标方合同总额的20%-50%初验款；项目经最终验收评审合格后，采购方支付给中标方合同剩余款。</w:t>
      </w:r>
    </w:p>
    <w:p w14:paraId="535D4890">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bookmarkStart w:id="111" w:name="OLE_LINK8"/>
      <w:r>
        <w:rPr>
          <w:rFonts w:hint="eastAsia" w:ascii="宋体" w:hAnsi="宋体" w:eastAsia="宋体" w:cs="宋体"/>
          <w:color w:val="auto"/>
          <w:sz w:val="24"/>
          <w:szCs w:val="24"/>
          <w:highlight w:val="none"/>
          <w:u w:val="single"/>
        </w:rPr>
        <w:t>开具符合要求的发票</w:t>
      </w:r>
      <w:r>
        <w:rPr>
          <w:rFonts w:hint="eastAsia" w:cs="Times New Roman" w:asciiTheme="minorEastAsia" w:hAnsiTheme="minorEastAsia" w:eastAsiaTheme="minorEastAsia"/>
          <w:color w:val="auto"/>
          <w:sz w:val="24"/>
          <w:szCs w:val="24"/>
          <w:highlight w:val="none"/>
        </w:rPr>
        <w:t>。</w:t>
      </w:r>
      <w:bookmarkEnd w:id="111"/>
    </w:p>
    <w:p w14:paraId="4ABD023F">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12" w:name="_Toc32071"/>
      <w:bookmarkStart w:id="113" w:name="_Toc19304"/>
      <w:bookmarkStart w:id="114" w:name="_Toc2846"/>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112"/>
      <w:bookmarkEnd w:id="113"/>
      <w:bookmarkEnd w:id="114"/>
    </w:p>
    <w:p w14:paraId="2A740877">
      <w:pPr>
        <w:keepNext w:val="0"/>
        <w:keepLines w:val="0"/>
        <w:pageBreakBefore w:val="0"/>
        <w:kinsoku/>
        <w:wordWrap/>
        <w:overflowPunct/>
        <w:topLinePunct w:val="0"/>
        <w:bidi w:val="0"/>
        <w:snapToGrid/>
        <w:spacing w:line="52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1包别自签订合同之日起8个月内完成项目的交付；2包别自签订合同之日起至所监理项目验收合格结束。</w:t>
      </w:r>
      <w:r>
        <w:rPr>
          <w:rFonts w:hint="eastAsia" w:ascii="宋体" w:hAnsi="宋体" w:eastAsia="宋体" w:cs="宋体"/>
          <w:color w:val="auto"/>
          <w:sz w:val="24"/>
          <w:szCs w:val="24"/>
          <w:highlight w:val="none"/>
          <w:u w:val="single"/>
          <w:lang w:val="en-US" w:eastAsia="zh-CN"/>
        </w:rPr>
        <w:t xml:space="preserve"> </w:t>
      </w:r>
    </w:p>
    <w:p w14:paraId="7905AC24">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滁州市内，采购人指定地点 </w:t>
      </w:r>
    </w:p>
    <w:p w14:paraId="7099DB69">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甲方指定方式</w:t>
      </w:r>
      <w:r>
        <w:rPr>
          <w:rFonts w:hint="eastAsia" w:cs="Times New Roman" w:asciiTheme="minorEastAsia" w:hAnsiTheme="minorEastAsia" w:eastAsiaTheme="minorEastAsia"/>
          <w:color w:val="auto"/>
          <w:sz w:val="24"/>
          <w:szCs w:val="24"/>
          <w:highlight w:val="none"/>
        </w:rPr>
        <w:t>。</w:t>
      </w:r>
    </w:p>
    <w:p w14:paraId="345D7078">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15" w:name="_Toc21423"/>
      <w:bookmarkStart w:id="116" w:name="_Toc19554"/>
      <w:bookmarkStart w:id="117" w:name="_Toc27250"/>
      <w:r>
        <w:rPr>
          <w:rFonts w:hint="eastAsia" w:cs="Times New Roman" w:asciiTheme="minorEastAsia" w:hAnsiTheme="minorEastAsia" w:eastAsiaTheme="minorEastAsia"/>
          <w:b/>
          <w:bCs/>
          <w:color w:val="auto"/>
          <w:sz w:val="24"/>
          <w:szCs w:val="24"/>
          <w:highlight w:val="none"/>
          <w:lang w:val="zh-CN"/>
        </w:rPr>
        <w:t>1.6 违约责任</w:t>
      </w:r>
      <w:bookmarkEnd w:id="115"/>
      <w:bookmarkEnd w:id="116"/>
      <w:bookmarkEnd w:id="117"/>
    </w:p>
    <w:p w14:paraId="7E0397F6">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除不可抗力外，如果乙方没有按照本合同约定的期限、地点和方式履行，那么甲方可要求乙方支付违约金，违约金按每迟延履行一日的应提供而未提供服务价格的0.1 %计算，最高限额为本合同总价的10%；迟延履行的违约金计算数额达到前述最高限额之日起，甲方有权在要求乙方支付违约金的同时，书面通知乙方解除本合同；</w:t>
      </w:r>
    </w:p>
    <w:p w14:paraId="20FB1319">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除不可抗力外，如果甲方没有按照本合同约定的付款方式付款，那么乙方可要求甲方支付违约金，违约金按每迟延付款一日的应付而未付款的0.1 %计算，最高限额为本合同总价的10%；迟延付款的违约金计算数额达到前述最高限额之日起，乙方有权在要求甲方支付违约金的同时，书面通知甲方解除本合同；</w:t>
      </w:r>
    </w:p>
    <w:p w14:paraId="0340BF46">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1E3961">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7F0C6A8">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A94882">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3745C44">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1DBF0C38">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18" w:name="_Toc28375"/>
      <w:bookmarkStart w:id="119" w:name="_Toc16021"/>
      <w:bookmarkStart w:id="120" w:name="_Toc15583"/>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118"/>
      <w:bookmarkEnd w:id="119"/>
      <w:bookmarkEnd w:id="120"/>
    </w:p>
    <w:p w14:paraId="6AD51E7C">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7DDA2E5B">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（1）将争议提交</w:t>
      </w:r>
      <w:r>
        <w:rPr>
          <w:rFonts w:hint="eastAsia" w:cs="Times New Roman" w:asciiTheme="minorEastAsia" w:hAnsiTheme="minorEastAsia" w:eastAsiaTheme="minorEastAsia"/>
          <w:color w:val="auto"/>
          <w:sz w:val="24"/>
          <w:szCs w:val="24"/>
          <w:highlight w:val="none"/>
          <w:u w:val="single"/>
        </w:rPr>
        <w:t xml:space="preserve">  滁州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31BF013A">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（2）向</w:t>
      </w:r>
      <w:r>
        <w:rPr>
          <w:rFonts w:hint="eastAsia" w:cs="Times New Roman" w:asciiTheme="minorEastAsia" w:hAnsiTheme="minorEastAsia" w:eastAsiaTheme="minorEastAsia"/>
          <w:color w:val="auto"/>
          <w:sz w:val="24"/>
          <w:szCs w:val="24"/>
          <w:highlight w:val="none"/>
          <w:u w:val="single"/>
        </w:rPr>
        <w:t xml:space="preserve">  甲方（采购人） </w:t>
      </w:r>
      <w:r>
        <w:rPr>
          <w:rFonts w:hint="eastAsia" w:cs="Times New Roman" w:asciiTheme="minorEastAsia" w:hAnsiTheme="minorEastAsia" w:eastAsiaTheme="minorEastAsia"/>
          <w:color w:val="auto"/>
          <w:sz w:val="24"/>
          <w:szCs w:val="24"/>
          <w:highlight w:val="none"/>
        </w:rPr>
        <w:t>人民法院起诉。</w:t>
      </w:r>
    </w:p>
    <w:p w14:paraId="5D8F982C">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21" w:name="_Toc11173"/>
      <w:bookmarkStart w:id="122" w:name="_Toc15322"/>
      <w:bookmarkStart w:id="123" w:name="_Toc7245"/>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121"/>
      <w:bookmarkEnd w:id="122"/>
      <w:bookmarkEnd w:id="123"/>
    </w:p>
    <w:p w14:paraId="7971E51A">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409208CA">
      <w:pPr>
        <w:keepNext w:val="0"/>
        <w:keepLines w:val="0"/>
        <w:pageBreakBefore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57B817D7">
      <w:pPr>
        <w:keepNext w:val="0"/>
        <w:keepLines w:val="0"/>
        <w:pageBreakBefore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123CC6F7">
      <w:pPr>
        <w:keepNext w:val="0"/>
        <w:keepLines w:val="0"/>
        <w:pageBreakBefore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328001EC">
      <w:pPr>
        <w:keepNext w:val="0"/>
        <w:keepLines w:val="0"/>
        <w:pageBreakBefore w:val="0"/>
        <w:widowControl/>
        <w:kinsoku/>
        <w:wordWrap/>
        <w:overflowPunct/>
        <w:topLinePunct w:val="0"/>
        <w:bidi w:val="0"/>
        <w:snapToGrid/>
        <w:spacing w:line="520" w:lineRule="exact"/>
        <w:jc w:val="left"/>
        <w:textAlignment w:val="auto"/>
        <w:rPr>
          <w:rFonts w:hint="eastAsia" w:cs="Times New Roman" w:asciiTheme="minorEastAsia" w:hAnsiTheme="minorEastAsia" w:eastAsiaTheme="minorEastAsia"/>
          <w:bCs/>
          <w:color w:val="auto"/>
          <w:sz w:val="24"/>
          <w:szCs w:val="24"/>
          <w:highlight w:val="none"/>
        </w:rPr>
      </w:pPr>
      <w:bookmarkStart w:id="124"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02B3BDB2">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125" w:name="_Hlk110099149"/>
      <w:r>
        <w:rPr>
          <w:rFonts w:hint="eastAsia" w:ascii="宋体" w:hAnsi="宋体" w:eastAsia="宋体"/>
          <w:color w:val="auto"/>
          <w:sz w:val="24"/>
          <w:szCs w:val="24"/>
          <w:highlight w:val="none"/>
        </w:rPr>
        <w:t>乙方账户信息</w:t>
      </w:r>
    </w:p>
    <w:p w14:paraId="552F978B">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1A23F1CF">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3F044D5">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125"/>
    <w:p w14:paraId="1B79CB31">
      <w:pPr>
        <w:widowControl/>
        <w:spacing w:line="440" w:lineRule="exact"/>
        <w:jc w:val="left"/>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9D06100">
      <w:pPr>
        <w:spacing w:line="440" w:lineRule="exact"/>
        <w:jc w:val="center"/>
        <w:outlineLvl w:val="1"/>
        <w:rPr>
          <w:rFonts w:hint="eastAsia" w:asciiTheme="minorEastAsia" w:hAnsiTheme="minorEastAsia" w:eastAsiaTheme="minorEastAsia"/>
          <w:b/>
          <w:color w:val="auto"/>
          <w:sz w:val="24"/>
          <w:highlight w:val="none"/>
        </w:rPr>
      </w:pPr>
      <w:bookmarkStart w:id="126"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124"/>
      <w:bookmarkEnd w:id="126"/>
    </w:p>
    <w:p w14:paraId="5F0675BF">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27" w:name="_Ref467378404"/>
      <w:bookmarkStart w:id="128" w:name="_Ref467379225"/>
      <w:bookmarkStart w:id="129" w:name="_Toc259093669"/>
      <w:bookmarkStart w:id="130" w:name="_Ref467379109"/>
      <w:bookmarkStart w:id="131" w:name="_Ref467379205"/>
      <w:bookmarkStart w:id="132" w:name="_Ref467378463"/>
      <w:bookmarkStart w:id="133" w:name="_Ref467379101"/>
      <w:bookmarkStart w:id="134" w:name="_Toc279701240"/>
      <w:bookmarkStart w:id="135" w:name="_Ref467379094"/>
      <w:bookmarkStart w:id="136" w:name="_Toc16917"/>
      <w:bookmarkStart w:id="137" w:name="_Toc487900349"/>
      <w:bookmarkStart w:id="138" w:name="_Ref467379195"/>
      <w:bookmarkStart w:id="139" w:name="_Ref467379214"/>
      <w:bookmarkStart w:id="140" w:name="_Toc28763"/>
      <w:bookmarkStart w:id="141" w:name="_Toc19614"/>
      <w:bookmarkStart w:id="142" w:name="_Ref467378499"/>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2F2837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4ACA29D1">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BF187A6">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461A6CA2">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3CAC02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43"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43"/>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2362758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44"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44"/>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A762D99">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45"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45"/>
    </w:p>
    <w:p w14:paraId="52825CAE">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46" w:name="_Toc13336"/>
      <w:bookmarkStart w:id="147" w:name="_Toc27635"/>
      <w:bookmarkStart w:id="148" w:name="_Toc487900350"/>
      <w:bookmarkStart w:id="149" w:name="_Toc259093670"/>
      <w:bookmarkStart w:id="150" w:name="_Toc32504"/>
      <w:bookmarkStart w:id="151" w:name="_Toc27970124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46"/>
      <w:bookmarkEnd w:id="147"/>
      <w:bookmarkEnd w:id="148"/>
      <w:bookmarkEnd w:id="149"/>
      <w:bookmarkEnd w:id="150"/>
      <w:bookmarkEnd w:id="151"/>
    </w:p>
    <w:p w14:paraId="2E9A5E0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4D15C720">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52" w:name="_Toc31634"/>
      <w:bookmarkStart w:id="153" w:name="_Toc27853"/>
      <w:bookmarkStart w:id="154" w:name="_Toc9829"/>
      <w:bookmarkStart w:id="155" w:name="_Toc259093671"/>
      <w:bookmarkStart w:id="156" w:name="_Toc487900351"/>
      <w:bookmarkStart w:id="157" w:name="_Toc279701242"/>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52"/>
      <w:bookmarkEnd w:id="153"/>
      <w:bookmarkEnd w:id="154"/>
      <w:bookmarkEnd w:id="155"/>
      <w:bookmarkEnd w:id="156"/>
      <w:bookmarkEnd w:id="157"/>
    </w:p>
    <w:p w14:paraId="237A5973">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0FD4D28D">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58" w:name="_Ref467379527"/>
      <w:bookmarkStart w:id="159" w:name="_Ref467379536"/>
      <w:bookmarkStart w:id="160" w:name="_Toc259093674"/>
      <w:bookmarkStart w:id="161" w:name="_Toc279701245"/>
      <w:bookmarkStart w:id="162" w:name="_Ref467378591"/>
      <w:bookmarkStart w:id="163" w:name="_Ref467378541"/>
      <w:bookmarkStart w:id="164" w:name="_Toc487900354"/>
      <w:bookmarkStart w:id="165" w:name="_Ref467379542"/>
      <w:bookmarkStart w:id="166" w:name="_Toc30272"/>
      <w:bookmarkStart w:id="167" w:name="_Toc19074"/>
      <w:bookmarkStart w:id="168" w:name="_Toc26182"/>
      <w:r>
        <w:rPr>
          <w:rFonts w:hint="eastAsia" w:cs="Times New Roman" w:asciiTheme="minorEastAsia" w:hAnsiTheme="minorEastAsia" w:eastAsiaTheme="minorEastAsia"/>
          <w:b/>
          <w:bCs/>
          <w:color w:val="auto"/>
          <w:sz w:val="24"/>
          <w:szCs w:val="24"/>
          <w:highlight w:val="none"/>
          <w:lang w:val="zh-CN"/>
        </w:rPr>
        <w:t>2.</w:t>
      </w:r>
      <w:bookmarkEnd w:id="158"/>
      <w:bookmarkEnd w:id="159"/>
      <w:bookmarkEnd w:id="160"/>
      <w:bookmarkEnd w:id="161"/>
      <w:bookmarkEnd w:id="162"/>
      <w:bookmarkEnd w:id="163"/>
      <w:bookmarkEnd w:id="164"/>
      <w:bookmarkEnd w:id="165"/>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66"/>
      <w:bookmarkEnd w:id="167"/>
      <w:bookmarkEnd w:id="168"/>
    </w:p>
    <w:p w14:paraId="39C6C29C">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69" w:name="_Toc186431854"/>
      <w:bookmarkStart w:id="170" w:name="_Toc259093676"/>
      <w:bookmarkStart w:id="171" w:name="_Ref467379793"/>
      <w:bookmarkStart w:id="172" w:name="_Toc279701247"/>
      <w:bookmarkStart w:id="173" w:name="_Ref467379807"/>
      <w:bookmarkStart w:id="174" w:name="_Toc48790035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BB71353">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69"/>
      <w:bookmarkStart w:id="175" w:name="_Toc186431855"/>
      <w:r>
        <w:rPr>
          <w:rFonts w:hint="eastAsia" w:cs="Times New Roman" w:asciiTheme="minorEastAsia" w:hAnsiTheme="minorEastAsia" w:eastAsiaTheme="minorEastAsia"/>
          <w:color w:val="auto"/>
          <w:sz w:val="24"/>
          <w:szCs w:val="24"/>
          <w:highlight w:val="none"/>
        </w:rPr>
        <w:t>。</w:t>
      </w:r>
    </w:p>
    <w:bookmarkEnd w:id="175"/>
    <w:p w14:paraId="13DD69EF">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76" w:name="_Toc19219"/>
      <w:bookmarkStart w:id="177" w:name="_Toc7836"/>
      <w:bookmarkStart w:id="178"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70"/>
      <w:bookmarkEnd w:id="171"/>
      <w:bookmarkEnd w:id="172"/>
      <w:bookmarkEnd w:id="173"/>
      <w:bookmarkEnd w:id="174"/>
      <w:bookmarkEnd w:id="176"/>
      <w:bookmarkEnd w:id="177"/>
      <w:bookmarkEnd w:id="178"/>
    </w:p>
    <w:p w14:paraId="539E9519">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5975D917">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79" w:name="_Toc279701248"/>
      <w:bookmarkStart w:id="180" w:name="_Ref467379852"/>
      <w:bookmarkStart w:id="181" w:name="_Ref467379923"/>
      <w:bookmarkStart w:id="182" w:name="_Toc487900358"/>
      <w:bookmarkStart w:id="183" w:name="_Ref467379863"/>
      <w:bookmarkStart w:id="184" w:name="_Toc259093677"/>
      <w:bookmarkStart w:id="185" w:name="_Toc3225"/>
      <w:bookmarkStart w:id="186" w:name="_Toc774"/>
      <w:bookmarkStart w:id="187" w:name="_Toc1611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79"/>
      <w:bookmarkEnd w:id="180"/>
      <w:bookmarkEnd w:id="181"/>
      <w:bookmarkEnd w:id="182"/>
      <w:bookmarkEnd w:id="183"/>
      <w:bookmarkEnd w:id="184"/>
      <w:r>
        <w:rPr>
          <w:rFonts w:cs="Times New Roman" w:asciiTheme="minorEastAsia" w:hAnsiTheme="minorEastAsia" w:eastAsiaTheme="minorEastAsia"/>
          <w:b/>
          <w:bCs/>
          <w:color w:val="auto"/>
          <w:sz w:val="24"/>
          <w:szCs w:val="24"/>
          <w:highlight w:val="none"/>
          <w:lang w:val="zh-CN"/>
        </w:rPr>
        <w:t>和保密义务</w:t>
      </w:r>
      <w:bookmarkEnd w:id="185"/>
      <w:bookmarkEnd w:id="186"/>
      <w:bookmarkEnd w:id="187"/>
    </w:p>
    <w:p w14:paraId="4126EF05">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32FAEEE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411201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408B1E3C">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88" w:name="_Toc7860"/>
      <w:r>
        <w:rPr>
          <w:rFonts w:cs="Times New Roman" w:asciiTheme="minorEastAsia" w:hAnsiTheme="minorEastAsia" w:eastAsiaTheme="minorEastAsia"/>
          <w:b/>
          <w:bCs/>
          <w:color w:val="auto"/>
          <w:sz w:val="24"/>
          <w:szCs w:val="24"/>
          <w:highlight w:val="none"/>
          <w:lang w:val="zh-CN"/>
        </w:rPr>
        <w:t>2.7 质量保证</w:t>
      </w:r>
      <w:bookmarkEnd w:id="188"/>
    </w:p>
    <w:p w14:paraId="78044765">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2B2AFA82">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267FFD9">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189" w:name="_Toc22267"/>
      <w:r>
        <w:rPr>
          <w:rFonts w:hint="eastAsia" w:cs="Times New Roman" w:asciiTheme="minorEastAsia" w:hAnsiTheme="minorEastAsia" w:eastAsiaTheme="minorEastAsia"/>
          <w:b/>
          <w:color w:val="auto"/>
          <w:sz w:val="24"/>
          <w:szCs w:val="24"/>
          <w:highlight w:val="none"/>
        </w:rPr>
        <w:t>2.8 延迟履行</w:t>
      </w:r>
      <w:bookmarkEnd w:id="189"/>
    </w:p>
    <w:p w14:paraId="647FA3F7">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712B5C92">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90" w:name="_Toc7502"/>
      <w:bookmarkStart w:id="191" w:name="_Toc487900364"/>
      <w:bookmarkStart w:id="192" w:name="_Ref467378121"/>
      <w:bookmarkStart w:id="193" w:name="_Toc279701254"/>
      <w:bookmarkStart w:id="194" w:name="_Toc259093683"/>
      <w:r>
        <w:rPr>
          <w:rFonts w:cs="Times New Roman" w:asciiTheme="minorEastAsia" w:hAnsiTheme="minorEastAsia" w:eastAsiaTheme="minorEastAsia"/>
          <w:b/>
          <w:bCs/>
          <w:color w:val="auto"/>
          <w:sz w:val="24"/>
          <w:szCs w:val="24"/>
          <w:highlight w:val="none"/>
          <w:lang w:val="zh-CN"/>
        </w:rPr>
        <w:t>2.9 合同变更</w:t>
      </w:r>
      <w:bookmarkEnd w:id="190"/>
    </w:p>
    <w:p w14:paraId="56D5D3BB">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1605ABD8">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95" w:name="_Toc259093688"/>
      <w:bookmarkStart w:id="196" w:name="_Toc279701259"/>
      <w:bookmarkStart w:id="197" w:name="_Toc487900369"/>
    </w:p>
    <w:p w14:paraId="4D6D9309">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98" w:name="_Toc22955"/>
      <w:bookmarkStart w:id="199" w:name="_Toc15237"/>
      <w:bookmarkStart w:id="200" w:name="_Toc103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95"/>
      <w:bookmarkEnd w:id="196"/>
      <w:bookmarkEnd w:id="197"/>
      <w:r>
        <w:rPr>
          <w:rFonts w:cs="Times New Roman" w:asciiTheme="minorEastAsia" w:hAnsiTheme="minorEastAsia" w:eastAsiaTheme="minorEastAsia"/>
          <w:b/>
          <w:bCs/>
          <w:color w:val="auto"/>
          <w:sz w:val="24"/>
          <w:szCs w:val="24"/>
          <w:highlight w:val="none"/>
          <w:lang w:val="zh-CN"/>
        </w:rPr>
        <w:t>和分包</w:t>
      </w:r>
      <w:bookmarkEnd w:id="198"/>
      <w:bookmarkEnd w:id="199"/>
      <w:bookmarkEnd w:id="200"/>
    </w:p>
    <w:p w14:paraId="7C91221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4064D4E8">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201" w:name="_Toc14066"/>
      <w:bookmarkStart w:id="202" w:name="_Toc13566"/>
      <w:bookmarkStart w:id="203"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201"/>
      <w:bookmarkEnd w:id="202"/>
      <w:bookmarkEnd w:id="203"/>
    </w:p>
    <w:p w14:paraId="7645B610">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20A32B7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713504C2">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09FBE409">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28D52F5A">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204" w:name="_Toc259093684"/>
      <w:bookmarkStart w:id="205" w:name="_Toc6969"/>
      <w:bookmarkStart w:id="206" w:name="_Toc279701255"/>
      <w:bookmarkStart w:id="207" w:name="_Toc689"/>
      <w:bookmarkStart w:id="208" w:name="_Toc487900365"/>
      <w:bookmarkStart w:id="209"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204"/>
      <w:bookmarkEnd w:id="205"/>
      <w:bookmarkEnd w:id="206"/>
      <w:bookmarkEnd w:id="207"/>
      <w:bookmarkEnd w:id="208"/>
      <w:bookmarkEnd w:id="209"/>
    </w:p>
    <w:p w14:paraId="138A5A7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474680B0">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210" w:name="_Toc487900368"/>
      <w:bookmarkStart w:id="211" w:name="_Toc8298"/>
      <w:bookmarkStart w:id="212" w:name="_Toc259093687"/>
      <w:bookmarkStart w:id="213" w:name="_Toc7102"/>
      <w:bookmarkStart w:id="214" w:name="_Toc279701258"/>
      <w:bookmarkStart w:id="215" w:name="_Toc1695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210"/>
      <w:bookmarkEnd w:id="211"/>
      <w:bookmarkEnd w:id="212"/>
      <w:bookmarkEnd w:id="213"/>
      <w:bookmarkEnd w:id="214"/>
      <w:bookmarkEnd w:id="215"/>
    </w:p>
    <w:p w14:paraId="4F461B60">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2DD2EF1E">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216" w:name="_Toc6134"/>
      <w:bookmarkStart w:id="217" w:name="_Toc15387"/>
      <w:bookmarkStart w:id="218"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216"/>
      <w:bookmarkEnd w:id="217"/>
      <w:bookmarkEnd w:id="218"/>
    </w:p>
    <w:p w14:paraId="6197B9D7">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73D9C716">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6B817FA">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219" w:name="_Toc6596"/>
      <w:bookmarkStart w:id="220" w:name="_Toc1125"/>
      <w:bookmarkStart w:id="221" w:name="_Toc145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219"/>
      <w:bookmarkEnd w:id="220"/>
      <w:bookmarkEnd w:id="221"/>
    </w:p>
    <w:p w14:paraId="04BF411C">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05D5A0D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FF223B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91"/>
    <w:bookmarkEnd w:id="192"/>
    <w:bookmarkEnd w:id="193"/>
    <w:bookmarkEnd w:id="194"/>
    <w:p w14:paraId="7800E4D2">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rPr>
      </w:pPr>
      <w:bookmarkStart w:id="222" w:name="_Toc279701263"/>
      <w:bookmarkStart w:id="223" w:name="_Toc18567"/>
      <w:bookmarkStart w:id="224" w:name="_Toc259093692"/>
      <w:bookmarkStart w:id="225" w:name="_Toc12773"/>
      <w:bookmarkStart w:id="226" w:name="_Toc487900373"/>
      <w:bookmarkStart w:id="227" w:name="_Toc10330"/>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222"/>
      <w:bookmarkEnd w:id="223"/>
      <w:bookmarkEnd w:id="224"/>
      <w:bookmarkEnd w:id="225"/>
      <w:bookmarkEnd w:id="226"/>
      <w:bookmarkEnd w:id="227"/>
    </w:p>
    <w:p w14:paraId="6B02B51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305F6AB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339CD709">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228" w:name="_Toc279701264"/>
      <w:bookmarkStart w:id="229" w:name="_Toc3148"/>
      <w:bookmarkStart w:id="230" w:name="_Toc12004"/>
      <w:bookmarkStart w:id="231" w:name="_Toc259093693"/>
      <w:bookmarkStart w:id="232" w:name="_Toc16673"/>
      <w:bookmarkStart w:id="233"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228"/>
      <w:bookmarkEnd w:id="229"/>
      <w:bookmarkEnd w:id="230"/>
      <w:bookmarkEnd w:id="231"/>
      <w:bookmarkEnd w:id="232"/>
    </w:p>
    <w:p w14:paraId="0E3113FE">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44D7542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36C6BB71">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233"/>
    <w:p w14:paraId="49E8DA84">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234" w:name="_Toc14001"/>
      <w:bookmarkStart w:id="235" w:name="_Toc19890"/>
      <w:bookmarkStart w:id="236"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234"/>
      <w:bookmarkEnd w:id="235"/>
      <w:bookmarkEnd w:id="236"/>
    </w:p>
    <w:p w14:paraId="28F21E1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57799CEE">
      <w:pPr>
        <w:spacing w:line="440" w:lineRule="exact"/>
        <w:jc w:val="center"/>
        <w:outlineLvl w:val="1"/>
        <w:rPr>
          <w:rFonts w:hint="eastAsia"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237"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37"/>
    </w:p>
    <w:p w14:paraId="271E17B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3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06F1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E67F2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03FB22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63CF5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7E782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2.5</w:t>
            </w:r>
          </w:p>
          <w:p w14:paraId="2BF075D1">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tc>
        <w:tc>
          <w:tcPr>
            <w:tcW w:w="7568" w:type="dxa"/>
            <w:vAlign w:val="center"/>
          </w:tcPr>
          <w:p w14:paraId="424AE0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highlight w:val="none"/>
              </w:rPr>
            </w:pPr>
            <w:r>
              <w:rPr>
                <w:rFonts w:hint="eastAsia" w:cs="Times New Roman" w:asciiTheme="minorEastAsia" w:hAnsiTheme="minorEastAsia" w:eastAsiaTheme="minorEastAsia"/>
                <w:color w:val="auto"/>
                <w:sz w:val="24"/>
                <w:szCs w:val="24"/>
                <w:highlight w:val="none"/>
                <w:lang w:val="en-US" w:eastAsia="zh-CN"/>
              </w:rPr>
              <w:t>合同签订生效并具备实施条件后，根据相关规定和资金情况，采购方支付给中标方合同总额40%-70%的项目预付款（预付款支付前，中标方须向采购方提供同等金额的见索即付保函）；项目经初步验收评审合格后，采购方支付给中标方合同总额的20%-50%初验款；项目经最终验收评审合格后，采购方支付给中标方合同剩余款。</w:t>
            </w:r>
          </w:p>
        </w:tc>
      </w:tr>
      <w:tr w14:paraId="76A0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75C9A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2.11.3</w:t>
            </w:r>
          </w:p>
        </w:tc>
        <w:tc>
          <w:tcPr>
            <w:tcW w:w="7568" w:type="dxa"/>
            <w:vAlign w:val="center"/>
          </w:tcPr>
          <w:p w14:paraId="227059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w:t>
            </w:r>
            <w:r>
              <w:rPr>
                <w:rFonts w:hint="eastAsia" w:cs="Times New Roman" w:asciiTheme="minorEastAsia" w:hAnsiTheme="minorEastAsia" w:eastAsiaTheme="minorEastAsia"/>
                <w:color w:val="auto"/>
                <w:sz w:val="24"/>
                <w:szCs w:val="24"/>
                <w:highlight w:val="none"/>
                <w:lang w:val="en-US" w:eastAsia="zh-CN"/>
              </w:rPr>
              <w:t>15</w:t>
            </w:r>
            <w:r>
              <w:rPr>
                <w:rFonts w:hint="eastAsia" w:cs="Times New Roman" w:asciiTheme="minorEastAsia" w:hAnsiTheme="minorEastAsia" w:eastAsiaTheme="minorEastAsia"/>
                <w:color w:val="auto"/>
                <w:sz w:val="24"/>
                <w:szCs w:val="24"/>
                <w:highlight w:val="none"/>
              </w:rPr>
              <w:t>个工作日内以书面形式变更合同</w:t>
            </w:r>
          </w:p>
        </w:tc>
      </w:tr>
      <w:tr w14:paraId="1E22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92754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2.11.4</w:t>
            </w:r>
          </w:p>
        </w:tc>
        <w:tc>
          <w:tcPr>
            <w:tcW w:w="7568" w:type="dxa"/>
            <w:vAlign w:val="center"/>
          </w:tcPr>
          <w:p w14:paraId="053339B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受不可抗力影响的一方在不可抗力发生后，应在不可抗力发生的</w:t>
            </w: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个工作日内以书面形式通知对方当事人，并在</w:t>
            </w: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个工作日内，将有关部门出具的证明文件送达对方当事人</w:t>
            </w:r>
          </w:p>
        </w:tc>
      </w:tr>
      <w:tr w14:paraId="02956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ACA1E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2.17</w:t>
            </w:r>
          </w:p>
        </w:tc>
        <w:tc>
          <w:tcPr>
            <w:tcW w:w="7568" w:type="dxa"/>
            <w:vAlign w:val="center"/>
          </w:tcPr>
          <w:p w14:paraId="0E132E5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4358E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79E92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5A820A2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（签订合同时可补充）</w:t>
            </w:r>
          </w:p>
        </w:tc>
      </w:tr>
      <w:tr w14:paraId="43C46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7DE1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5D9E0AD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p>
        </w:tc>
      </w:tr>
      <w:tr w14:paraId="2DF31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EDFD2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6AB2CB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p>
        </w:tc>
      </w:tr>
      <w:tr w14:paraId="2A2DB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E20121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40F400D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p>
        </w:tc>
      </w:tr>
    </w:tbl>
    <w:p w14:paraId="6DB717E2">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7EA7F30">
      <w:pPr>
        <w:numPr>
          <w:ilvl w:val="0"/>
          <w:numId w:val="4"/>
        </w:num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投标文件格式</w:t>
      </w:r>
      <w:bookmarkEnd w:id="96"/>
    </w:p>
    <w:p w14:paraId="0E7B3A4B">
      <w:pPr>
        <w:spacing w:line="900" w:lineRule="exact"/>
        <w:jc w:val="center"/>
        <w:rPr>
          <w:rFonts w:hint="eastAsia" w:asciiTheme="minorEastAsia" w:hAnsiTheme="minorEastAsia" w:eastAsiaTheme="minorEastAsia"/>
          <w:b/>
          <w:color w:val="auto"/>
          <w:sz w:val="72"/>
          <w:highlight w:val="none"/>
        </w:rPr>
      </w:pPr>
    </w:p>
    <w:p w14:paraId="3670575E">
      <w:pPr>
        <w:spacing w:line="900" w:lineRule="exact"/>
        <w:jc w:val="center"/>
        <w:outlineLvl w:val="1"/>
        <w:rPr>
          <w:rFonts w:hint="eastAsia" w:asciiTheme="minorEastAsia" w:hAnsiTheme="minorEastAsia" w:eastAsiaTheme="minorEastAsia"/>
          <w:b/>
          <w:color w:val="auto"/>
          <w:sz w:val="72"/>
          <w:highlight w:val="none"/>
        </w:rPr>
      </w:pPr>
      <w:bookmarkStart w:id="238" w:name="_Toc5119"/>
      <w:r>
        <w:rPr>
          <w:rFonts w:hint="eastAsia" w:asciiTheme="minorEastAsia" w:hAnsiTheme="minorEastAsia" w:eastAsiaTheme="minorEastAsia"/>
          <w:b/>
          <w:color w:val="auto"/>
          <w:sz w:val="72"/>
          <w:highlight w:val="none"/>
        </w:rPr>
        <w:t>投</w:t>
      </w:r>
      <w:bookmarkEnd w:id="238"/>
    </w:p>
    <w:p w14:paraId="5A2D1250">
      <w:pPr>
        <w:spacing w:line="900" w:lineRule="exact"/>
        <w:jc w:val="center"/>
        <w:rPr>
          <w:rFonts w:hint="eastAsia" w:asciiTheme="minorEastAsia" w:hAnsiTheme="minorEastAsia" w:eastAsiaTheme="minorEastAsia"/>
          <w:b/>
          <w:color w:val="auto"/>
          <w:sz w:val="72"/>
          <w:highlight w:val="none"/>
        </w:rPr>
      </w:pPr>
    </w:p>
    <w:p w14:paraId="7D2C1B83">
      <w:pPr>
        <w:spacing w:line="900" w:lineRule="exact"/>
        <w:jc w:val="center"/>
        <w:outlineLvl w:val="1"/>
        <w:rPr>
          <w:rFonts w:hint="eastAsia" w:asciiTheme="minorEastAsia" w:hAnsiTheme="minorEastAsia" w:eastAsiaTheme="minorEastAsia"/>
          <w:b/>
          <w:color w:val="auto"/>
          <w:sz w:val="72"/>
          <w:highlight w:val="none"/>
        </w:rPr>
      </w:pPr>
      <w:bookmarkStart w:id="239" w:name="_Toc4782"/>
      <w:r>
        <w:rPr>
          <w:rFonts w:hint="eastAsia" w:asciiTheme="minorEastAsia" w:hAnsiTheme="minorEastAsia" w:eastAsiaTheme="minorEastAsia"/>
          <w:b/>
          <w:color w:val="auto"/>
          <w:sz w:val="72"/>
          <w:highlight w:val="none"/>
        </w:rPr>
        <w:t>标</w:t>
      </w:r>
      <w:bookmarkEnd w:id="239"/>
    </w:p>
    <w:p w14:paraId="2D45BBC8">
      <w:pPr>
        <w:spacing w:line="900" w:lineRule="exact"/>
        <w:jc w:val="center"/>
        <w:rPr>
          <w:rFonts w:hint="eastAsia" w:asciiTheme="minorEastAsia" w:hAnsiTheme="minorEastAsia" w:eastAsiaTheme="minorEastAsia"/>
          <w:b/>
          <w:color w:val="auto"/>
          <w:sz w:val="72"/>
          <w:highlight w:val="none"/>
        </w:rPr>
      </w:pPr>
    </w:p>
    <w:p w14:paraId="7FB56EB4">
      <w:pPr>
        <w:spacing w:line="900" w:lineRule="exact"/>
        <w:jc w:val="center"/>
        <w:outlineLvl w:val="1"/>
        <w:rPr>
          <w:rFonts w:hint="eastAsia" w:asciiTheme="minorEastAsia" w:hAnsiTheme="minorEastAsia" w:eastAsiaTheme="minorEastAsia"/>
          <w:b/>
          <w:color w:val="auto"/>
          <w:sz w:val="72"/>
          <w:highlight w:val="none"/>
        </w:rPr>
      </w:pPr>
      <w:bookmarkStart w:id="240" w:name="_Toc19607"/>
      <w:r>
        <w:rPr>
          <w:rFonts w:hint="eastAsia" w:asciiTheme="minorEastAsia" w:hAnsiTheme="minorEastAsia" w:eastAsiaTheme="minorEastAsia"/>
          <w:b/>
          <w:color w:val="auto"/>
          <w:sz w:val="72"/>
          <w:highlight w:val="none"/>
        </w:rPr>
        <w:t>文</w:t>
      </w:r>
      <w:bookmarkEnd w:id="240"/>
    </w:p>
    <w:p w14:paraId="3E430B45">
      <w:pPr>
        <w:spacing w:line="900" w:lineRule="exact"/>
        <w:jc w:val="center"/>
        <w:rPr>
          <w:rFonts w:hint="eastAsia" w:asciiTheme="minorEastAsia" w:hAnsiTheme="minorEastAsia" w:eastAsiaTheme="minorEastAsia"/>
          <w:b/>
          <w:color w:val="auto"/>
          <w:sz w:val="72"/>
          <w:highlight w:val="none"/>
        </w:rPr>
      </w:pPr>
    </w:p>
    <w:p w14:paraId="1A54478B">
      <w:pPr>
        <w:jc w:val="center"/>
        <w:outlineLvl w:val="1"/>
        <w:rPr>
          <w:rFonts w:hint="eastAsia" w:asciiTheme="minorEastAsia" w:hAnsiTheme="minorEastAsia" w:eastAsiaTheme="minorEastAsia"/>
          <w:b/>
          <w:color w:val="auto"/>
          <w:sz w:val="72"/>
          <w:highlight w:val="none"/>
        </w:rPr>
      </w:pPr>
      <w:bookmarkStart w:id="241" w:name="_Toc8365"/>
      <w:r>
        <w:rPr>
          <w:rFonts w:hint="eastAsia" w:asciiTheme="minorEastAsia" w:hAnsiTheme="minorEastAsia" w:eastAsiaTheme="minorEastAsia"/>
          <w:b/>
          <w:color w:val="auto"/>
          <w:sz w:val="72"/>
          <w:highlight w:val="none"/>
        </w:rPr>
        <w:t>件</w:t>
      </w:r>
      <w:bookmarkEnd w:id="241"/>
    </w:p>
    <w:p w14:paraId="625B8747">
      <w:pPr>
        <w:spacing w:after="156" w:afterLines="50"/>
        <w:jc w:val="center"/>
        <w:rPr>
          <w:rFonts w:hint="eastAsia" w:asciiTheme="minorEastAsia" w:hAnsiTheme="minorEastAsia" w:eastAsiaTheme="minorEastAsia"/>
          <w:b/>
          <w:color w:val="auto"/>
          <w:sz w:val="32"/>
          <w:szCs w:val="32"/>
          <w:highlight w:val="none"/>
        </w:rPr>
      </w:pPr>
      <w:bookmarkStart w:id="242" w:name="_Toc32506"/>
    </w:p>
    <w:p w14:paraId="11B6C715">
      <w:pPr>
        <w:spacing w:after="156" w:afterLines="50"/>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p>
    <w:bookmarkEnd w:id="242"/>
    <w:p w14:paraId="7F69429B">
      <w:pPr>
        <w:spacing w:before="156" w:beforeLines="50" w:after="156" w:afterLines="50"/>
        <w:jc w:val="center"/>
        <w:rPr>
          <w:rFonts w:hint="eastAsia" w:asciiTheme="minorEastAsia" w:hAnsiTheme="minorEastAsia" w:eastAsiaTheme="minorEastAsia"/>
          <w:b/>
          <w:color w:val="auto"/>
          <w:sz w:val="32"/>
          <w:szCs w:val="32"/>
          <w:highlight w:val="none"/>
        </w:rPr>
      </w:pPr>
    </w:p>
    <w:p w14:paraId="261DB347">
      <w:pPr>
        <w:spacing w:after="156" w:afterLines="50" w:line="500" w:lineRule="exact"/>
        <w:jc w:val="both"/>
        <w:rPr>
          <w:rFonts w:hint="eastAsia" w:asciiTheme="minorEastAsia" w:hAnsiTheme="minorEastAsia" w:eastAsiaTheme="minorEastAsia"/>
          <w:b/>
          <w:color w:val="auto"/>
          <w:sz w:val="28"/>
          <w:szCs w:val="28"/>
          <w:highlight w:val="none"/>
        </w:rPr>
      </w:pPr>
    </w:p>
    <w:p w14:paraId="0223F950">
      <w:pPr>
        <w:tabs>
          <w:tab w:val="left" w:pos="2410"/>
        </w:tabs>
        <w:autoSpaceDE w:val="0"/>
        <w:autoSpaceDN w:val="0"/>
        <w:adjustRightInd w:val="0"/>
        <w:snapToGrid w:val="0"/>
        <w:spacing w:line="360" w:lineRule="auto"/>
        <w:ind w:firstLine="1928" w:firstLineChars="6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27EFD118">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38466F0B">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A30FB86">
      <w:pPr>
        <w:spacing w:after="156" w:afterLines="50" w:line="500" w:lineRule="exact"/>
        <w:jc w:val="center"/>
        <w:outlineLvl w:val="1"/>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43" w:name="_Toc19687"/>
      <w:bookmarkStart w:id="244"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43"/>
      <w:bookmarkEnd w:id="244"/>
    </w:p>
    <w:p w14:paraId="420FC731">
      <w:pPr>
        <w:rPr>
          <w:rFonts w:hint="eastAsia" w:ascii="宋体" w:hAnsi="宋体" w:eastAsia="宋体" w:cs="宋体"/>
          <w:b/>
          <w:color w:val="auto"/>
          <w:sz w:val="28"/>
          <w:szCs w:val="28"/>
          <w:highlight w:val="none"/>
          <w:lang w:bidi="ar"/>
        </w:rPr>
      </w:pPr>
      <w:bookmarkStart w:id="245" w:name="_Toc17986"/>
      <w:bookmarkStart w:id="246" w:name="_Toc28960"/>
      <w:r>
        <w:rPr>
          <w:rFonts w:hint="eastAsia" w:ascii="宋体" w:hAnsi="宋体" w:eastAsia="宋体" w:cs="宋体"/>
          <w:b/>
          <w:color w:val="auto"/>
          <w:sz w:val="28"/>
          <w:szCs w:val="28"/>
          <w:highlight w:val="none"/>
          <w:lang w:bidi="ar"/>
        </w:rPr>
        <w:br w:type="page"/>
      </w:r>
    </w:p>
    <w:p w14:paraId="1AC7A7A8">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一、资信证明格式文件</w:t>
      </w:r>
    </w:p>
    <w:p w14:paraId="6A4947D3">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D190F6F">
      <w:pPr>
        <w:rPr>
          <w:rFonts w:hint="eastAsia" w:ascii="宋体" w:hAnsi="宋体" w:eastAsia="宋体" w:cs="宋体"/>
          <w:b/>
          <w:color w:val="auto"/>
          <w:sz w:val="44"/>
          <w:szCs w:val="44"/>
          <w:highlight w:val="none"/>
          <w:lang w:bidi="ar"/>
        </w:rPr>
      </w:pPr>
      <w:r>
        <w:rPr>
          <w:rFonts w:hint="eastAsia" w:ascii="黑体" w:hAnsi="宋体" w:eastAsia="黑体" w:cs="黑体"/>
          <w:color w:val="auto"/>
          <w:sz w:val="20"/>
          <w:highlight w:val="none"/>
          <w:lang w:bidi="ar"/>
        </w:rPr>
        <w:t xml:space="preserve"> </w:t>
      </w:r>
    </w:p>
    <w:p w14:paraId="5A4554C8">
      <w:pPr>
        <w:jc w:val="center"/>
        <w:rPr>
          <w:rFonts w:hint="eastAsia" w:ascii="宋体" w:hAnsi="宋体" w:eastAsia="宋体" w:cs="宋体"/>
          <w:b/>
          <w:color w:val="auto"/>
          <w:sz w:val="44"/>
          <w:szCs w:val="44"/>
          <w:highlight w:val="none"/>
          <w:lang w:bidi="ar"/>
        </w:rPr>
      </w:pPr>
    </w:p>
    <w:p w14:paraId="43E0855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资信证明文件</w:t>
      </w:r>
    </w:p>
    <w:p w14:paraId="4BDAE2BF">
      <w:pPr>
        <w:jc w:val="center"/>
        <w:rPr>
          <w:rFonts w:hint="eastAsia" w:ascii="宋体" w:hAnsi="宋体" w:eastAsia="宋体" w:cs="宋体"/>
          <w:color w:val="auto"/>
          <w:sz w:val="32"/>
          <w:szCs w:val="32"/>
          <w:highlight w:val="none"/>
          <w:lang w:bidi="ar"/>
        </w:rPr>
      </w:pPr>
    </w:p>
    <w:p w14:paraId="63C3EA6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（投标文件一）</w:t>
      </w:r>
    </w:p>
    <w:p w14:paraId="78290F60">
      <w:pPr>
        <w:jc w:val="center"/>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lang w:bidi="ar"/>
        </w:rPr>
        <w:t xml:space="preserve"> </w:t>
      </w:r>
    </w:p>
    <w:p w14:paraId="7B9DE68E">
      <w:pPr>
        <w:jc w:val="center"/>
        <w:rPr>
          <w:rFonts w:hint="eastAsia" w:ascii="宋体" w:hAnsi="宋体" w:eastAsia="宋体" w:cs="宋体"/>
          <w:color w:val="auto"/>
          <w:sz w:val="32"/>
          <w:szCs w:val="32"/>
          <w:highlight w:val="none"/>
          <w:u w:val="single"/>
          <w:lang w:bidi="ar"/>
        </w:rPr>
      </w:pPr>
    </w:p>
    <w:p w14:paraId="09B9E6B8">
      <w:pPr>
        <w:spacing w:after="156" w:afterLines="50"/>
        <w:jc w:val="center"/>
        <w:rPr>
          <w:rFonts w:hint="eastAsia" w:asciiTheme="minorEastAsia" w:hAnsiTheme="minorEastAsia" w:eastAsiaTheme="minorEastAsia"/>
          <w:b/>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p>
    <w:p w14:paraId="7A3B9235">
      <w:pPr>
        <w:jc w:val="both"/>
        <w:rPr>
          <w:rFonts w:hint="eastAsia" w:ascii="宋体" w:hAnsi="宋体" w:eastAsia="宋体" w:cs="宋体"/>
          <w:color w:val="auto"/>
          <w:sz w:val="28"/>
          <w:szCs w:val="28"/>
          <w:highlight w:val="none"/>
          <w:lang w:bidi="ar"/>
        </w:rPr>
      </w:pPr>
    </w:p>
    <w:p w14:paraId="0A8DB138">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143B2D4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42FE123">
      <w:pPr>
        <w:rPr>
          <w:rFonts w:hint="eastAsia" w:ascii="宋体" w:hAnsi="宋体" w:eastAsia="宋体" w:cs="宋体"/>
          <w:color w:val="auto"/>
          <w:sz w:val="28"/>
          <w:szCs w:val="28"/>
          <w:highlight w:val="none"/>
          <w:lang w:bidi="ar"/>
        </w:rPr>
      </w:pPr>
    </w:p>
    <w:p w14:paraId="04C000D2">
      <w:pPr>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 xml:space="preserve"> </w:t>
      </w:r>
    </w:p>
    <w:p w14:paraId="18C3B90D">
      <w:pPr>
        <w:rPr>
          <w:rFonts w:hint="eastAsia" w:ascii="宋体" w:hAnsi="宋体" w:eastAsia="宋体" w:cs="宋体"/>
          <w:color w:val="auto"/>
          <w:sz w:val="28"/>
          <w:szCs w:val="28"/>
          <w:highlight w:val="none"/>
          <w:lang w:bidi="ar"/>
        </w:rPr>
      </w:pPr>
    </w:p>
    <w:p w14:paraId="4A03CCF1">
      <w:pPr>
        <w:rPr>
          <w:rFonts w:hint="eastAsia" w:ascii="宋体" w:hAnsi="宋体" w:eastAsia="宋体" w:cs="宋体"/>
          <w:color w:val="auto"/>
          <w:sz w:val="28"/>
          <w:szCs w:val="28"/>
          <w:highlight w:val="none"/>
          <w:lang w:bidi="ar"/>
        </w:rPr>
      </w:pPr>
    </w:p>
    <w:p w14:paraId="4E8042C7">
      <w:pPr>
        <w:rPr>
          <w:rFonts w:hint="eastAsia" w:ascii="宋体" w:hAnsi="宋体" w:eastAsia="宋体" w:cs="宋体"/>
          <w:color w:val="auto"/>
          <w:sz w:val="28"/>
          <w:szCs w:val="28"/>
          <w:highlight w:val="none"/>
          <w:lang w:bidi="ar"/>
        </w:rPr>
      </w:pPr>
    </w:p>
    <w:p w14:paraId="5E6A46BF">
      <w:pPr>
        <w:jc w:val="center"/>
        <w:rPr>
          <w:rFonts w:hint="eastAsia" w:ascii="宋体" w:hAnsi="宋体" w:eastAsia="宋体" w:cs="宋体"/>
          <w:color w:val="auto"/>
          <w:sz w:val="28"/>
          <w:szCs w:val="28"/>
          <w:highlight w:val="none"/>
          <w:lang w:bidi="ar"/>
        </w:rPr>
      </w:pPr>
    </w:p>
    <w:p w14:paraId="128AF5C5">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88E75F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2D2C0C4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72C5949C">
      <w:pPr>
        <w:spacing w:line="400" w:lineRule="exact"/>
        <w:ind w:firstLine="4130" w:firstLineChars="935"/>
        <w:rPr>
          <w:rFonts w:hint="eastAsia" w:ascii="宋体" w:hAnsi="宋体" w:eastAsia="宋体" w:cs="宋体"/>
          <w:b/>
          <w:color w:val="auto"/>
          <w:sz w:val="36"/>
          <w:szCs w:val="36"/>
          <w:highlight w:val="none"/>
          <w:lang w:bidi="ar"/>
        </w:rPr>
      </w:pPr>
      <w:r>
        <w:rPr>
          <w:rFonts w:hint="eastAsia" w:ascii="宋体" w:hAnsi="宋体" w:eastAsia="宋体" w:cs="宋体"/>
          <w:b/>
          <w:color w:val="auto"/>
          <w:sz w:val="44"/>
          <w:szCs w:val="44"/>
          <w:highlight w:val="none"/>
          <w:lang w:bidi="ar"/>
        </w:rPr>
        <w:t xml:space="preserve"> </w:t>
      </w:r>
    </w:p>
    <w:p w14:paraId="62221F4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lang w:bidi="ar"/>
        </w:rPr>
        <w:t>目   录</w:t>
      </w:r>
    </w:p>
    <w:p w14:paraId="5BDDBECA">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340359FA">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（1）投标人资格声明书（格式见附件）；</w:t>
      </w:r>
    </w:p>
    <w:p w14:paraId="47669707">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（2）授权书（格式见附件）；   </w:t>
      </w:r>
    </w:p>
    <w:p w14:paraId="7DE11BD5">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（3）投标人为企业（包括合伙企业）的，应提供有效的“营业执照”；</w:t>
      </w:r>
    </w:p>
    <w:p w14:paraId="6BDE6853">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投标人为事业单位的，应提供有效的“事业单位法人证书”；</w:t>
      </w:r>
    </w:p>
    <w:p w14:paraId="3FB8E0BC">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投标人是非企业机构的，应提供有效的“执业许可证”、“登记证书”等证明文件；</w:t>
      </w:r>
    </w:p>
    <w:p w14:paraId="0385B607">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投标人是个体工商户的，应提供有效的“个体工商户营业执照”；</w:t>
      </w:r>
    </w:p>
    <w:p w14:paraId="5D2ECB8E">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投标人是自然人的，应提供有效的自然人身份证明；</w:t>
      </w:r>
    </w:p>
    <w:p w14:paraId="40B088A2">
      <w:pPr>
        <w:numPr>
          <w:ilvl w:val="0"/>
          <w:numId w:val="0"/>
        </w:numPr>
        <w:spacing w:line="360" w:lineRule="auto"/>
        <w:ind w:left="630" w:leftChars="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诚信投标承诺书（格式见附件）；</w:t>
      </w:r>
    </w:p>
    <w:p w14:paraId="3A2270F9">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eastAsia="zh-CN" w:bidi="ar"/>
        </w:rPr>
        <w:t>）招标文件中要求的资信评审和资信评分的支持资料；</w:t>
      </w:r>
    </w:p>
    <w:p w14:paraId="21F7370D">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eastAsia="zh-CN" w:bidi="ar"/>
        </w:rPr>
        <w:t>）其他（如有）。</w:t>
      </w:r>
    </w:p>
    <w:p w14:paraId="59AB078A">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br w:type="page"/>
      </w:r>
    </w:p>
    <w:p w14:paraId="27B661C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（1）投标人资格声明书</w:t>
      </w:r>
    </w:p>
    <w:p w14:paraId="6A1BBD09">
      <w:pPr>
        <w:pStyle w:val="28"/>
        <w:spacing w:before="0" w:beforeAutospacing="0" w:after="0" w:afterAutospacing="0" w:line="360" w:lineRule="auto"/>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2308A7D8">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52AAF65">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46E88066">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3FC4481F">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B6A5640">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4D886C">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56D6CADD">
      <w:pPr>
        <w:widowControl/>
        <w:autoSpaceDE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7EF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71D5794A">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46F58F58">
            <w:pPr>
              <w:pStyle w:val="28"/>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79764B75">
            <w:pPr>
              <w:pStyle w:val="28"/>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0137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A02289B">
            <w:pPr>
              <w:pStyle w:val="28"/>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7A04EA2D">
            <w:pPr>
              <w:pStyle w:val="28"/>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45B5AE98">
            <w:pPr>
              <w:pStyle w:val="28"/>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6384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44B04281">
            <w:pPr>
              <w:pStyle w:val="28"/>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50E705F3">
            <w:pPr>
              <w:pStyle w:val="28"/>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0C621284">
            <w:pPr>
              <w:pStyle w:val="28"/>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6E87915">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2779DB5A">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1A71D98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0200F320">
      <w:pPr>
        <w:pStyle w:val="28"/>
        <w:spacing w:before="0" w:after="120" w:afterAutospacing="0"/>
        <w:jc w:val="both"/>
        <w:rPr>
          <w:rFonts w:hint="eastAsia" w:ascii="宋体" w:hAnsi="宋体" w:eastAsia="宋体" w:cs="宋体"/>
          <w:color w:val="auto"/>
          <w:szCs w:val="24"/>
          <w:highlight w:val="none"/>
        </w:rPr>
      </w:pPr>
    </w:p>
    <w:p w14:paraId="3BD5D4CF">
      <w:pPr>
        <w:spacing w:line="360" w:lineRule="auto"/>
        <w:jc w:val="center"/>
        <w:outlineLvl w:val="1"/>
        <w:rPr>
          <w:rFonts w:hint="eastAsia" w:asciiTheme="minorEastAsia" w:hAnsiTheme="minorEastAsia" w:eastAsiaTheme="minorEastAsia"/>
          <w:b/>
          <w:color w:val="auto"/>
          <w:sz w:val="24"/>
          <w:highlight w:val="none"/>
        </w:rPr>
      </w:pPr>
    </w:p>
    <w:p w14:paraId="5648DDC2">
      <w:pPr>
        <w:spacing w:line="360" w:lineRule="auto"/>
        <w:jc w:val="center"/>
        <w:outlineLvl w:val="1"/>
        <w:rPr>
          <w:rFonts w:hint="eastAsia" w:asciiTheme="minorEastAsia" w:hAnsiTheme="minorEastAsia" w:eastAsiaTheme="minorEastAsia"/>
          <w:b/>
          <w:color w:val="auto"/>
          <w:sz w:val="24"/>
          <w:highlight w:val="none"/>
        </w:rPr>
      </w:pPr>
    </w:p>
    <w:p w14:paraId="57E5FA03">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8F4905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（2）授权书</w:t>
      </w:r>
    </w:p>
    <w:p w14:paraId="0453B3B1">
      <w:pPr>
        <w:pStyle w:val="28"/>
        <w:snapToGrid w:val="0"/>
        <w:spacing w:before="0" w:beforeAutospacing="0" w:after="0" w:afterAutospacing="0" w:line="360" w:lineRule="auto"/>
        <w:ind w:firstLine="480" w:firstLineChars="200"/>
        <w:rPr>
          <w:rFonts w:hint="eastAsia" w:ascii="宋体" w:hAnsi="宋体" w:eastAsia="宋体"/>
          <w:color w:val="auto"/>
          <w:kern w:val="2"/>
          <w:szCs w:val="24"/>
          <w:highlight w:val="none"/>
        </w:rPr>
      </w:pPr>
    </w:p>
    <w:p w14:paraId="2800B246">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17C66">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19772E9D">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授权代表身份证明扫描件：</w:t>
      </w:r>
    </w:p>
    <w:p w14:paraId="2C12150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5F975F30">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FFF39DD">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139415AC">
      <w:pPr>
        <w:spacing w:line="360" w:lineRule="auto"/>
        <w:ind w:firstLine="435"/>
        <w:rPr>
          <w:rFonts w:hint="eastAsia" w:hAnsi="宋体" w:eastAsia="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（请填写手机号码）</w:t>
      </w:r>
    </w:p>
    <w:p w14:paraId="1ACC84B2">
      <w:pPr>
        <w:spacing w:line="360" w:lineRule="auto"/>
        <w:ind w:firstLine="435"/>
        <w:rPr>
          <w:rFonts w:hint="eastAsia" w:hAnsi="宋体" w:eastAsia="宋体"/>
          <w:color w:val="auto"/>
          <w:sz w:val="24"/>
          <w:szCs w:val="24"/>
          <w:highlight w:val="none"/>
        </w:rPr>
      </w:pPr>
      <w:r>
        <w:rPr>
          <w:rFonts w:hAnsi="宋体" w:eastAsia="宋体"/>
          <w:color w:val="auto"/>
          <w:sz w:val="24"/>
          <w:szCs w:val="24"/>
          <w:highlight w:val="none"/>
          <w:lang w:bidi="ar"/>
        </w:rPr>
        <w:t xml:space="preserve"> </w:t>
      </w:r>
    </w:p>
    <w:p w14:paraId="14CB9CC3">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特此声明。</w:t>
      </w:r>
    </w:p>
    <w:p w14:paraId="06C4863D">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1F7444B">
      <w:pPr>
        <w:spacing w:line="360" w:lineRule="auto"/>
        <w:ind w:firstLine="435"/>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502F970C">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b/>
          <w:bCs/>
          <w:color w:val="auto"/>
          <w:sz w:val="24"/>
          <w:szCs w:val="24"/>
          <w:highlight w:val="none"/>
          <w:u w:val="single"/>
          <w:lang w:bidi="ar"/>
        </w:rPr>
        <w:t xml:space="preserve">                    </w:t>
      </w:r>
    </w:p>
    <w:p w14:paraId="5BF201D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773D4B78">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17CDB178">
      <w:pPr>
        <w:spacing w:line="36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注：</w:t>
      </w:r>
    </w:p>
    <w:p w14:paraId="28548A05">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1.本项目只允许有唯一的投标人授权代表，提供身份证明扫描件；</w:t>
      </w:r>
    </w:p>
    <w:p w14:paraId="06A6194F">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2.法定代表人参加投标的无需提供授权书，提供身份证明扫描件。</w:t>
      </w:r>
    </w:p>
    <w:p w14:paraId="6AE9F6DF">
      <w:pPr>
        <w:spacing w:line="360" w:lineRule="auto"/>
        <w:jc w:val="center"/>
        <w:outlineLvl w:val="1"/>
        <w:rPr>
          <w:rFonts w:hint="eastAsia" w:asciiTheme="minorEastAsia" w:hAnsiTheme="minorEastAsia" w:eastAsiaTheme="minorEastAsia"/>
          <w:b/>
          <w:color w:val="auto"/>
          <w:sz w:val="24"/>
          <w:highlight w:val="none"/>
        </w:rPr>
      </w:pPr>
    </w:p>
    <w:p w14:paraId="56D36AF8">
      <w:pPr>
        <w:spacing w:line="360" w:lineRule="auto"/>
        <w:jc w:val="center"/>
        <w:outlineLvl w:val="1"/>
        <w:rPr>
          <w:rFonts w:hint="eastAsia" w:asciiTheme="minorEastAsia" w:hAnsiTheme="minorEastAsia" w:eastAsiaTheme="minorEastAsia"/>
          <w:b/>
          <w:color w:val="auto"/>
          <w:sz w:val="24"/>
          <w:highlight w:val="none"/>
        </w:rPr>
      </w:pPr>
    </w:p>
    <w:p w14:paraId="3A981EE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61E81E4">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（3）诚信投标承诺书</w:t>
      </w:r>
    </w:p>
    <w:p w14:paraId="0C7463F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4F4F364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2DF029E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586232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54FAFC9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66A3E9E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7193CA14">
      <w:pPr>
        <w:spacing w:line="500" w:lineRule="exact"/>
        <w:ind w:firstLine="420" w:firstLineChars="200"/>
        <w:rPr>
          <w:rFonts w:hint="eastAsia" w:ascii="宋体" w:hAnsi="宋体" w:eastAsia="宋体" w:cs="宋体"/>
          <w:color w:val="auto"/>
          <w:szCs w:val="21"/>
          <w:highlight w:val="yellow"/>
          <w:lang w:bidi="ar"/>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（企业名称） 或</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（企业名称）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法定代表人或拟派项目经理（负责人）</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327AB4F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七</w:t>
      </w:r>
      <w:r>
        <w:rPr>
          <w:rFonts w:hint="eastAsia" w:ascii="宋体" w:hAnsi="宋体" w:eastAsia="宋体" w:cs="宋体"/>
          <w:color w:val="auto"/>
          <w:szCs w:val="21"/>
          <w:highlight w:val="none"/>
          <w:lang w:bidi="ar"/>
        </w:rPr>
        <w:t>、严格遵守开标现场纪律，服从监管人员管理；</w:t>
      </w:r>
    </w:p>
    <w:p w14:paraId="1CFE542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八</w:t>
      </w:r>
      <w:r>
        <w:rPr>
          <w:rFonts w:hint="eastAsia" w:ascii="宋体" w:hAnsi="宋体" w:eastAsia="宋体" w:cs="宋体"/>
          <w:color w:val="auto"/>
          <w:szCs w:val="21"/>
          <w:highlight w:val="none"/>
          <w:lang w:bidi="ar"/>
        </w:rPr>
        <w:t>、保证中标后不转包，若有分包征得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3158B92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九</w:t>
      </w:r>
      <w:r>
        <w:rPr>
          <w:rFonts w:hint="eastAsia" w:ascii="宋体" w:hAnsi="宋体" w:eastAsia="宋体" w:cs="宋体"/>
          <w:color w:val="auto"/>
          <w:szCs w:val="21"/>
          <w:highlight w:val="none"/>
          <w:lang w:bidi="ar"/>
        </w:rPr>
        <w:t>、保证中标之后，按照投标文件要求提供相关后续服务；</w:t>
      </w:r>
    </w:p>
    <w:p w14:paraId="3D3859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5630320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w:t>
      </w:r>
      <w:r>
        <w:rPr>
          <w:rFonts w:hint="eastAsia" w:ascii="宋体" w:hAnsi="宋体" w:eastAsia="宋体" w:cs="宋体"/>
          <w:color w:val="auto"/>
          <w:szCs w:val="21"/>
          <w:highlight w:val="none"/>
          <w:lang w:val="en-US" w:eastAsia="zh-CN" w:bidi="ar"/>
        </w:rPr>
        <w:t>一</w:t>
      </w:r>
      <w:r>
        <w:rPr>
          <w:rFonts w:hint="eastAsia" w:ascii="宋体" w:hAnsi="宋体" w:eastAsia="宋体" w:cs="宋体"/>
          <w:color w:val="auto"/>
          <w:szCs w:val="21"/>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EC71E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28D779C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C28F6F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2EF121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4C5DF0E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3023E3E">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792765B4">
      <w:pPr>
        <w:spacing w:line="360" w:lineRule="auto"/>
        <w:jc w:val="center"/>
        <w:outlineLvl w:val="1"/>
        <w:rPr>
          <w:rFonts w:hint="eastAsia" w:asciiTheme="minorEastAsia" w:hAnsiTheme="minorEastAsia" w:eastAsiaTheme="minorEastAsia"/>
          <w:b/>
          <w:color w:val="auto"/>
          <w:sz w:val="24"/>
          <w:highlight w:val="none"/>
        </w:rPr>
      </w:pPr>
    </w:p>
    <w:p w14:paraId="36629C91">
      <w:pPr>
        <w:spacing w:line="360" w:lineRule="auto"/>
        <w:jc w:val="center"/>
        <w:outlineLvl w:val="1"/>
        <w:rPr>
          <w:rFonts w:hint="eastAsia" w:asciiTheme="minorEastAsia" w:hAnsiTheme="minorEastAsia" w:eastAsiaTheme="minorEastAsia"/>
          <w:b/>
          <w:color w:val="auto"/>
          <w:sz w:val="24"/>
          <w:highlight w:val="none"/>
        </w:rPr>
      </w:pPr>
    </w:p>
    <w:p w14:paraId="1053019A">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bookmarkStart w:id="247" w:name="_Toc11594"/>
      <w:bookmarkStart w:id="248" w:name="_Toc9864"/>
    </w:p>
    <w:p w14:paraId="1FB73D47">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77AB73D4">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2F2430E5">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30691DD6">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17AE1F2B">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5B70D8E6">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10F1981D">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1F728211">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6F8C7A12">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59298164">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76808506">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bookmarkEnd w:id="247"/>
    <w:bookmarkEnd w:id="248"/>
    <w:p w14:paraId="5C32EEBB">
      <w:pPr>
        <w:jc w:val="both"/>
        <w:rPr>
          <w:rFonts w:hint="eastAsia" w:asciiTheme="minorEastAsia" w:hAnsiTheme="minorEastAsia" w:eastAsiaTheme="minorEastAsia"/>
          <w:b/>
          <w:color w:val="auto"/>
          <w:sz w:val="24"/>
          <w:highlight w:val="none"/>
        </w:rPr>
      </w:pPr>
    </w:p>
    <w:p w14:paraId="29D690C4">
      <w:pPr>
        <w:jc w:val="center"/>
        <w:rPr>
          <w:rFonts w:hint="eastAsia" w:asciiTheme="minorEastAsia" w:hAnsiTheme="minorEastAsia" w:eastAsiaTheme="minorEastAsia"/>
          <w:b/>
          <w:color w:val="auto"/>
          <w:sz w:val="24"/>
          <w:highlight w:val="none"/>
        </w:rPr>
      </w:pPr>
    </w:p>
    <w:p w14:paraId="218908E3">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）其他相关证明材料</w:t>
      </w:r>
    </w:p>
    <w:p w14:paraId="34B97B26">
      <w:pPr>
        <w:spacing w:line="360" w:lineRule="auto"/>
        <w:ind w:firstLine="435"/>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466BF4EE">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03C395B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二、技术标格式文件</w:t>
      </w:r>
    </w:p>
    <w:p w14:paraId="295FEBDF">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B5497AC">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5DD2FC54">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68133F05">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技术标</w:t>
      </w:r>
    </w:p>
    <w:p w14:paraId="448CC0E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（投标文件二）</w:t>
      </w:r>
    </w:p>
    <w:p w14:paraId="1CC33447">
      <w:pPr>
        <w:jc w:val="center"/>
        <w:rPr>
          <w:rFonts w:hint="eastAsia" w:ascii="宋体" w:hAnsi="宋体" w:eastAsia="宋体" w:cs="宋体"/>
          <w:color w:val="auto"/>
          <w:sz w:val="32"/>
          <w:szCs w:val="32"/>
          <w:highlight w:val="none"/>
          <w:u w:val="single"/>
        </w:rPr>
      </w:pPr>
    </w:p>
    <w:p w14:paraId="21295AA6">
      <w:pPr>
        <w:spacing w:after="156" w:afterLines="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p>
    <w:p w14:paraId="1C6EFB5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EF0AA63">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059DDA0C">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FD4551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56EE270">
      <w:pPr>
        <w:jc w:val="center"/>
        <w:rPr>
          <w:rFonts w:hint="eastAsia" w:ascii="宋体" w:hAnsi="宋体" w:eastAsia="宋体" w:cs="宋体"/>
          <w:color w:val="auto"/>
          <w:sz w:val="28"/>
          <w:szCs w:val="28"/>
          <w:highlight w:val="none"/>
        </w:rPr>
      </w:pPr>
    </w:p>
    <w:p w14:paraId="7563E15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50A043D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1EB582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B8C713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753ADD9">
      <w:pPr>
        <w:autoSpaceDE w:val="0"/>
        <w:spacing w:line="360" w:lineRule="auto"/>
        <w:jc w:val="center"/>
        <w:rPr>
          <w:rFonts w:hint="eastAsia" w:ascii="宋体" w:hAnsi="宋体" w:eastAsia="宋体" w:cs="宋体"/>
          <w:color w:val="auto"/>
          <w:sz w:val="28"/>
          <w:szCs w:val="28"/>
          <w:highlight w:val="none"/>
          <w:lang w:bidi="ar"/>
        </w:rPr>
      </w:pPr>
    </w:p>
    <w:p w14:paraId="444A1D34">
      <w:pPr>
        <w:autoSpaceDE w:val="0"/>
        <w:spacing w:line="360" w:lineRule="auto"/>
        <w:jc w:val="center"/>
        <w:rPr>
          <w:rFonts w:hint="eastAsia" w:ascii="宋体" w:hAnsi="宋体" w:eastAsia="宋体" w:cs="宋体"/>
          <w:color w:val="auto"/>
          <w:sz w:val="28"/>
          <w:szCs w:val="28"/>
          <w:highlight w:val="none"/>
          <w:lang w:bidi="ar"/>
        </w:rPr>
      </w:pPr>
    </w:p>
    <w:p w14:paraId="47CEAA65">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4DA1E6CD">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14C598A">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76CE6D31">
      <w:pPr>
        <w:spacing w:line="360" w:lineRule="auto"/>
        <w:jc w:val="center"/>
        <w:outlineLvl w:val="1"/>
        <w:rPr>
          <w:rFonts w:hint="eastAsia" w:asciiTheme="minorEastAsia" w:hAnsiTheme="minorEastAsia" w:eastAsiaTheme="minorEastAsia"/>
          <w:b/>
          <w:color w:val="auto"/>
          <w:sz w:val="24"/>
          <w:highlight w:val="none"/>
        </w:rPr>
      </w:pPr>
    </w:p>
    <w:p w14:paraId="2EA97B1B">
      <w:pPr>
        <w:spacing w:line="360" w:lineRule="auto"/>
        <w:jc w:val="center"/>
        <w:outlineLvl w:val="1"/>
        <w:rPr>
          <w:rFonts w:hint="eastAsia" w:asciiTheme="minorEastAsia" w:hAnsiTheme="minorEastAsia" w:eastAsiaTheme="minorEastAsia"/>
          <w:b/>
          <w:color w:val="auto"/>
          <w:sz w:val="24"/>
          <w:highlight w:val="none"/>
        </w:rPr>
      </w:pPr>
    </w:p>
    <w:p w14:paraId="666092D8">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2CF13416">
      <w:pPr>
        <w:spacing w:line="400" w:lineRule="exact"/>
        <w:ind w:firstLine="3744" w:firstLineChars="103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 xml:space="preserve"> </w:t>
      </w:r>
    </w:p>
    <w:p w14:paraId="07DF2062">
      <w:pPr>
        <w:spacing w:line="400" w:lineRule="exact"/>
        <w:ind w:firstLine="480" w:firstLineChars="200"/>
        <w:rPr>
          <w:rFonts w:hint="eastAsia" w:ascii="宋体" w:hAnsi="宋体" w:eastAsia="宋体" w:cs="宋体"/>
          <w:bCs/>
          <w:color w:val="auto"/>
          <w:sz w:val="24"/>
          <w:szCs w:val="24"/>
          <w:highlight w:val="none"/>
          <w:lang w:bidi="ar"/>
        </w:rPr>
      </w:pP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bCs/>
          <w:color w:val="auto"/>
          <w:sz w:val="24"/>
          <w:szCs w:val="24"/>
          <w:highlight w:val="none"/>
          <w:lang w:bidi="ar"/>
        </w:rPr>
        <w:t>1）投标响应表（格式见附件）；</w:t>
      </w:r>
    </w:p>
    <w:p w14:paraId="36455BEA">
      <w:pPr>
        <w:spacing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（2）诚信履约承诺函（格式见附件）；</w:t>
      </w:r>
    </w:p>
    <w:p w14:paraId="5A90D782">
      <w:pPr>
        <w:spacing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（3）招标文件中要求的技术标评审及技术标评分的支持资料；</w:t>
      </w:r>
    </w:p>
    <w:p w14:paraId="78D91189">
      <w:pPr>
        <w:spacing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（4）其他（如有）。</w:t>
      </w:r>
    </w:p>
    <w:p w14:paraId="6BAD4034">
      <w:pPr>
        <w:spacing w:line="400" w:lineRule="exact"/>
        <w:ind w:firstLine="480" w:firstLineChars="200"/>
        <w:rPr>
          <w:rFonts w:hint="eastAsia" w:ascii="宋体" w:hAnsi="宋体" w:eastAsia="宋体" w:cs="宋体"/>
          <w:bCs/>
          <w:color w:val="auto"/>
          <w:sz w:val="24"/>
          <w:szCs w:val="24"/>
          <w:highlight w:val="none"/>
          <w:lang w:bidi="ar"/>
        </w:rPr>
      </w:pPr>
    </w:p>
    <w:p w14:paraId="0839D034">
      <w:pPr>
        <w:spacing w:line="360" w:lineRule="auto"/>
        <w:jc w:val="center"/>
        <w:outlineLvl w:val="1"/>
        <w:rPr>
          <w:rFonts w:hint="eastAsia" w:asciiTheme="minorEastAsia" w:hAnsiTheme="minorEastAsia" w:eastAsiaTheme="minorEastAsia"/>
          <w:b/>
          <w:color w:val="auto"/>
          <w:sz w:val="24"/>
          <w:highlight w:val="none"/>
        </w:rPr>
      </w:pPr>
    </w:p>
    <w:p w14:paraId="06B3BD82">
      <w:pPr>
        <w:spacing w:line="360" w:lineRule="auto"/>
        <w:jc w:val="center"/>
        <w:outlineLvl w:val="1"/>
        <w:rPr>
          <w:rFonts w:hint="eastAsia" w:asciiTheme="minorEastAsia" w:hAnsiTheme="minorEastAsia" w:eastAsiaTheme="minorEastAsia"/>
          <w:b/>
          <w:color w:val="auto"/>
          <w:sz w:val="24"/>
          <w:highlight w:val="none"/>
        </w:rPr>
      </w:pPr>
    </w:p>
    <w:p w14:paraId="2CC5601E">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4CA43A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（1）投标响应表</w:t>
      </w:r>
    </w:p>
    <w:p w14:paraId="2DAB5B3E">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w:t>
      </w:r>
      <w:r>
        <w:rPr>
          <w:rFonts w:hint="eastAsia" w:ascii="宋体" w:hAnsi="宋体" w:eastAsia="宋体"/>
          <w:b/>
          <w:color w:val="auto"/>
          <w:sz w:val="24"/>
          <w:szCs w:val="24"/>
          <w:highlight w:val="none"/>
          <w:lang w:bidi="ar"/>
        </w:rPr>
        <w:t>.1</w:t>
      </w:r>
      <w:r>
        <w:rPr>
          <w:rFonts w:hint="eastAsia" w:ascii="宋体" w:hAnsi="宋体" w:eastAsia="宋体" w:cs="宋体"/>
          <w:b/>
          <w:color w:val="auto"/>
          <w:sz w:val="24"/>
          <w:szCs w:val="24"/>
          <w:highlight w:val="none"/>
          <w:lang w:bidi="ar"/>
        </w:rPr>
        <w:t>商务响应表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92"/>
        <w:gridCol w:w="2596"/>
        <w:gridCol w:w="2676"/>
        <w:gridCol w:w="842"/>
      </w:tblGrid>
      <w:tr w14:paraId="1CE2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6C58243">
            <w:pPr>
              <w:pStyle w:val="28"/>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7296FD02">
            <w:pPr>
              <w:pStyle w:val="28"/>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57AF3C8">
            <w:pPr>
              <w:pStyle w:val="28"/>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57B60457">
            <w:pPr>
              <w:pStyle w:val="28"/>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139FE8F">
            <w:pPr>
              <w:pStyle w:val="28"/>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0D0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3FFA4A2F">
            <w:pPr>
              <w:jc w:val="center"/>
              <w:rPr>
                <w:rFonts w:hint="eastAsia" w:ascii="宋体" w:hAnsi="宋体" w:eastAsia="宋体"/>
                <w:color w:val="auto"/>
                <w:sz w:val="24"/>
                <w:szCs w:val="24"/>
                <w:highlight w:val="none"/>
              </w:rPr>
            </w:pPr>
            <w:r>
              <w:rPr>
                <w:rFonts w:asciiTheme="minorEastAsia" w:hAnsiTheme="minorEastAsia" w:eastAsiaTheme="minorEastAsia"/>
                <w:color w:val="auto"/>
                <w:sz w:val="24"/>
                <w:highlight w:val="none"/>
              </w:rPr>
              <w:t>1</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172D4F30">
            <w:pPr>
              <w:jc w:val="center"/>
              <w:rPr>
                <w:rFonts w:hint="eastAsia" w:ascii="宋体" w:hAnsi="宋体" w:eastAsia="宋体"/>
                <w:color w:val="auto"/>
                <w:sz w:val="24"/>
                <w:szCs w:val="24"/>
                <w:highlight w:val="none"/>
              </w:rPr>
            </w:pPr>
            <w:r>
              <w:rPr>
                <w:rFonts w:asciiTheme="minorEastAsia" w:hAnsiTheme="minorEastAsia" w:eastAsiaTheme="minorEastAsia"/>
                <w:color w:val="auto"/>
                <w:sz w:val="24"/>
                <w:highlight w:val="none"/>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1D80F0C">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0C2F03A">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56B4C18">
            <w:pPr>
              <w:jc w:val="center"/>
              <w:rPr>
                <w:rFonts w:hint="eastAsia" w:ascii="宋体" w:hAnsi="宋体" w:eastAsia="宋体"/>
                <w:color w:val="auto"/>
                <w:sz w:val="24"/>
                <w:szCs w:val="24"/>
                <w:highlight w:val="none"/>
              </w:rPr>
            </w:pPr>
          </w:p>
        </w:tc>
      </w:tr>
      <w:tr w14:paraId="776A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0B77B782">
            <w:pPr>
              <w:jc w:val="center"/>
              <w:rPr>
                <w:rFonts w:hint="eastAsia" w:ascii="宋体" w:hAnsi="宋体" w:eastAsia="宋体"/>
                <w:color w:val="auto"/>
                <w:sz w:val="24"/>
                <w:szCs w:val="24"/>
                <w:highlight w:val="none"/>
              </w:rPr>
            </w:pPr>
            <w:r>
              <w:rPr>
                <w:rFonts w:hint="eastAsia" w:asciiTheme="minorEastAsia" w:hAnsiTheme="minorEastAsia" w:eastAsiaTheme="minorEastAsia"/>
                <w:color w:val="auto"/>
                <w:sz w:val="24"/>
                <w:highlight w:val="none"/>
              </w:rPr>
              <w:t>2</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59FEFCC5">
            <w:pPr>
              <w:jc w:val="center"/>
              <w:rPr>
                <w:rFonts w:hint="eastAsia" w:ascii="宋体" w:hAnsi="宋体" w:eastAsia="宋体"/>
                <w:color w:val="auto"/>
                <w:sz w:val="24"/>
                <w:szCs w:val="24"/>
                <w:highlight w:val="none"/>
              </w:rPr>
            </w:pPr>
            <w:r>
              <w:rPr>
                <w:rFonts w:hint="eastAsia" w:ascii="宋体" w:hAnsi="宋体" w:eastAsia="宋体"/>
                <w:color w:val="auto"/>
                <w:sz w:val="24"/>
                <w:highlight w:val="none"/>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D9408A0">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01B5039E">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F0FD624">
            <w:pPr>
              <w:jc w:val="center"/>
              <w:rPr>
                <w:rFonts w:hint="eastAsia" w:ascii="宋体" w:hAnsi="宋体" w:eastAsia="宋体"/>
                <w:color w:val="auto"/>
                <w:sz w:val="24"/>
                <w:szCs w:val="24"/>
                <w:highlight w:val="none"/>
              </w:rPr>
            </w:pPr>
          </w:p>
        </w:tc>
      </w:tr>
      <w:tr w14:paraId="3DC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6EA76B3A">
            <w:pPr>
              <w:jc w:val="center"/>
              <w:rPr>
                <w:rFonts w:hint="eastAsia" w:ascii="宋体" w:hAnsi="宋体" w:eastAsia="宋体"/>
                <w:color w:val="auto"/>
                <w:sz w:val="24"/>
                <w:szCs w:val="24"/>
                <w:highlight w:val="none"/>
              </w:rPr>
            </w:pPr>
            <w:r>
              <w:rPr>
                <w:rFonts w:hint="eastAsia" w:asciiTheme="minorEastAsia" w:hAnsiTheme="minorEastAsia" w:eastAsiaTheme="minorEastAsia"/>
                <w:color w:val="auto"/>
                <w:sz w:val="24"/>
                <w:highlight w:val="none"/>
              </w:rPr>
              <w:t>3</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76622D29">
            <w:pPr>
              <w:jc w:val="center"/>
              <w:rPr>
                <w:rFonts w:hint="eastAsia" w:ascii="宋体" w:hAnsi="宋体" w:eastAsia="宋体"/>
                <w:color w:val="auto"/>
                <w:sz w:val="24"/>
                <w:szCs w:val="24"/>
                <w:highlight w:val="none"/>
              </w:rPr>
            </w:pPr>
            <w:r>
              <w:rPr>
                <w:rFonts w:hint="eastAsia" w:ascii="宋体" w:hAnsi="宋体" w:eastAsia="宋体"/>
                <w:color w:val="auto"/>
                <w:sz w:val="24"/>
                <w:highlight w:val="none"/>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778E4696">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0D464BA1">
            <w:pPr>
              <w:pStyle w:val="28"/>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74F90D3">
            <w:pPr>
              <w:jc w:val="center"/>
              <w:rPr>
                <w:rFonts w:hint="eastAsia" w:ascii="宋体" w:hAnsi="宋体" w:eastAsia="宋体"/>
                <w:color w:val="auto"/>
                <w:sz w:val="24"/>
                <w:szCs w:val="24"/>
                <w:highlight w:val="none"/>
              </w:rPr>
            </w:pPr>
          </w:p>
        </w:tc>
      </w:tr>
      <w:tr w14:paraId="63F5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58C12233">
            <w:pPr>
              <w:jc w:val="center"/>
              <w:rPr>
                <w:rFonts w:hint="eastAsia" w:ascii="宋体" w:hAnsi="宋体" w:eastAsia="宋体"/>
                <w:color w:val="auto"/>
                <w:sz w:val="24"/>
                <w:szCs w:val="24"/>
                <w:highlight w:val="none"/>
              </w:rPr>
            </w:pPr>
            <w:r>
              <w:rPr>
                <w:rFonts w:hint="eastAsia" w:asciiTheme="minorEastAsia" w:hAnsiTheme="minorEastAsia" w:eastAsiaTheme="minorEastAsia"/>
                <w:color w:val="auto"/>
                <w:sz w:val="24"/>
                <w:highlight w:val="none"/>
              </w:rPr>
              <w:t>4</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6DBF75BA">
            <w:pPr>
              <w:jc w:val="center"/>
              <w:rPr>
                <w:rFonts w:hint="eastAsia" w:ascii="宋体" w:hAnsi="宋体" w:eastAsia="宋体"/>
                <w:color w:val="auto"/>
                <w:sz w:val="24"/>
                <w:szCs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EC667AA">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82A4085">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6C67CCB">
            <w:pPr>
              <w:jc w:val="center"/>
              <w:rPr>
                <w:rFonts w:hint="eastAsia" w:ascii="宋体" w:hAnsi="宋体" w:eastAsia="宋体"/>
                <w:color w:val="auto"/>
                <w:sz w:val="24"/>
                <w:szCs w:val="24"/>
                <w:highlight w:val="none"/>
              </w:rPr>
            </w:pPr>
          </w:p>
        </w:tc>
      </w:tr>
      <w:tr w14:paraId="6804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AE576DA">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75C91FAC">
            <w:pPr>
              <w:jc w:val="center"/>
              <w:rPr>
                <w:rFonts w:hint="eastAsia" w:ascii="宋体" w:hAnsi="宋体" w:eastAsia="宋体"/>
                <w:color w:val="auto"/>
                <w:sz w:val="24"/>
                <w:szCs w:val="24"/>
                <w:highlight w:val="none"/>
              </w:rPr>
            </w:pP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EA60729">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62F2785E">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4509F82">
            <w:pPr>
              <w:jc w:val="center"/>
              <w:rPr>
                <w:rFonts w:hint="eastAsia" w:ascii="宋体" w:hAnsi="宋体" w:eastAsia="宋体"/>
                <w:color w:val="auto"/>
                <w:sz w:val="24"/>
                <w:szCs w:val="24"/>
                <w:highlight w:val="none"/>
              </w:rPr>
            </w:pPr>
          </w:p>
        </w:tc>
      </w:tr>
    </w:tbl>
    <w:p w14:paraId="228974B1">
      <w:pPr>
        <w:spacing w:line="360" w:lineRule="auto"/>
        <w:ind w:firstLine="4800" w:firstLineChars="2000"/>
        <w:rPr>
          <w:rFonts w:hint="eastAsia" w:ascii="宋体" w:hAnsi="宋体" w:eastAsia="宋体" w:cs="宋体"/>
          <w:color w:val="auto"/>
          <w:sz w:val="24"/>
          <w:szCs w:val="24"/>
          <w:highlight w:val="none"/>
          <w:lang w:bidi="ar"/>
        </w:rPr>
      </w:pPr>
    </w:p>
    <w:p w14:paraId="3D20C64D">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7BA6D1FD">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1F69A32B">
      <w:pPr>
        <w:spacing w:line="360" w:lineRule="auto"/>
        <w:jc w:val="center"/>
        <w:outlineLvl w:val="1"/>
        <w:rPr>
          <w:rFonts w:hint="eastAsia" w:asciiTheme="minorEastAsia" w:hAnsiTheme="minorEastAsia" w:eastAsiaTheme="minorEastAsia"/>
          <w:b/>
          <w:color w:val="auto"/>
          <w:sz w:val="24"/>
          <w:highlight w:val="none"/>
        </w:rPr>
      </w:pPr>
    </w:p>
    <w:p w14:paraId="660F6354">
      <w:pPr>
        <w:spacing w:line="360" w:lineRule="auto"/>
        <w:jc w:val="center"/>
        <w:outlineLvl w:val="1"/>
        <w:rPr>
          <w:rFonts w:hint="eastAsia" w:asciiTheme="minorEastAsia" w:hAnsiTheme="minorEastAsia" w:eastAsiaTheme="minorEastAsia"/>
          <w:b/>
          <w:color w:val="auto"/>
          <w:sz w:val="24"/>
          <w:highlight w:val="none"/>
        </w:rPr>
      </w:pPr>
    </w:p>
    <w:p w14:paraId="363661C2">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54E9A04E">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（2）诚信履约承诺函</w:t>
      </w:r>
    </w:p>
    <w:p w14:paraId="6BC1E50E">
      <w:pPr>
        <w:spacing w:line="360" w:lineRule="auto"/>
        <w:rPr>
          <w:rFonts w:hint="eastAsia" w:ascii="宋体" w:hAnsi="宋体" w:eastAsia="宋体"/>
          <w:b/>
          <w:bCs/>
          <w:color w:val="auto"/>
          <w:sz w:val="24"/>
          <w:szCs w:val="24"/>
          <w:highlight w:val="none"/>
        </w:rPr>
      </w:pPr>
    </w:p>
    <w:p w14:paraId="3EB6B8E5">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8095D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34D854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54AD41D1">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78358F4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6B59FFF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723FEE44">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00E87B6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9D897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本承诺声明：</w:t>
      </w:r>
      <w:r>
        <w:rPr>
          <w:rFonts w:hint="eastAsia" w:ascii="宋体" w:hAnsi="宋体" w:eastAsia="宋体" w:cs="宋体"/>
          <w:bCs/>
          <w:color w:val="auto"/>
          <w:sz w:val="24"/>
          <w:szCs w:val="24"/>
          <w:highlight w:val="none"/>
          <w:u w:val="single"/>
          <w:lang w:bidi="ar"/>
        </w:rPr>
        <w:t xml:space="preserve">                   （投标人名称）</w:t>
      </w:r>
      <w:r>
        <w:rPr>
          <w:rFonts w:hint="eastAsia" w:ascii="宋体" w:hAnsi="宋体" w:eastAsia="宋体" w:cs="宋体"/>
          <w:bCs/>
          <w:color w:val="auto"/>
          <w:sz w:val="24"/>
          <w:szCs w:val="24"/>
          <w:highlight w:val="none"/>
          <w:lang w:bidi="ar"/>
        </w:rPr>
        <w:t>对本招标文件的相关要求完全响应</w:t>
      </w:r>
      <w:r>
        <w:rPr>
          <w:rFonts w:hint="eastAsia" w:asciiTheme="minorEastAsia" w:hAnsiTheme="minorEastAsia" w:eastAsiaTheme="minorEastAsia"/>
          <w:bCs/>
          <w:color w:val="auto"/>
          <w:sz w:val="24"/>
          <w:highlight w:val="none"/>
        </w:rPr>
        <w:t>。配备人员数量</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设备</w:t>
      </w:r>
      <w:r>
        <w:rPr>
          <w:rFonts w:hint="eastAsia" w:asciiTheme="minorEastAsia" w:hAnsiTheme="minorEastAsia" w:eastAsiaTheme="minorEastAsia"/>
          <w:bCs/>
          <w:color w:val="auto"/>
          <w:sz w:val="24"/>
          <w:highlight w:val="none"/>
          <w:lang w:val="en-US" w:eastAsia="zh-CN"/>
        </w:rPr>
        <w:t>数量和采购生产资料数量均</w:t>
      </w:r>
      <w:r>
        <w:rPr>
          <w:rFonts w:hint="eastAsia" w:asciiTheme="minorEastAsia" w:hAnsiTheme="minorEastAsia" w:eastAsiaTheme="minorEastAsia"/>
          <w:bCs/>
          <w:color w:val="auto"/>
          <w:sz w:val="24"/>
          <w:highlight w:val="none"/>
        </w:rPr>
        <w:t>不低于采购需求的要求。若有幸中标将严格按照以上承诺进行服务。</w:t>
      </w:r>
    </w:p>
    <w:p w14:paraId="622629DF">
      <w:pPr>
        <w:spacing w:line="360" w:lineRule="auto"/>
        <w:ind w:firstLine="4320" w:firstLineChars="1800"/>
        <w:rPr>
          <w:rFonts w:hint="eastAsia" w:ascii="宋体" w:hAnsi="宋体" w:eastAsia="宋体" w:cs="宋体"/>
          <w:bCs/>
          <w:color w:val="auto"/>
          <w:sz w:val="24"/>
          <w:szCs w:val="24"/>
          <w:highlight w:val="none"/>
          <w:lang w:bidi="ar"/>
        </w:rPr>
      </w:pPr>
    </w:p>
    <w:p w14:paraId="44CC167B">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56CEEA6B">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60C72D98">
      <w:pPr>
        <w:spacing w:line="360" w:lineRule="auto"/>
        <w:jc w:val="center"/>
        <w:outlineLvl w:val="1"/>
        <w:rPr>
          <w:rFonts w:hint="eastAsia" w:asciiTheme="minorEastAsia" w:hAnsiTheme="minorEastAsia" w:eastAsiaTheme="minorEastAsia"/>
          <w:b/>
          <w:color w:val="auto"/>
          <w:sz w:val="24"/>
          <w:highlight w:val="none"/>
        </w:rPr>
      </w:pPr>
    </w:p>
    <w:p w14:paraId="162F2BDF">
      <w:pPr>
        <w:spacing w:line="360" w:lineRule="auto"/>
        <w:jc w:val="center"/>
        <w:outlineLvl w:val="1"/>
        <w:rPr>
          <w:rFonts w:hint="eastAsia" w:asciiTheme="minorEastAsia" w:hAnsiTheme="minorEastAsia" w:eastAsiaTheme="minorEastAsia"/>
          <w:b/>
          <w:color w:val="auto"/>
          <w:sz w:val="24"/>
          <w:highlight w:val="none"/>
        </w:rPr>
      </w:pPr>
    </w:p>
    <w:p w14:paraId="51F68BAF">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168FE25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三、商务标格式文件</w:t>
      </w:r>
    </w:p>
    <w:p w14:paraId="1AE792EF">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EDED9CC">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B5C9C98">
      <w:pPr>
        <w:jc w:val="center"/>
        <w:rPr>
          <w:rFonts w:hint="eastAsia" w:ascii="宋体" w:hAnsi="宋体" w:eastAsia="宋体" w:cs="宋体"/>
          <w:b/>
          <w:color w:val="auto"/>
          <w:sz w:val="44"/>
          <w:szCs w:val="44"/>
          <w:highlight w:val="none"/>
        </w:rPr>
      </w:pPr>
    </w:p>
    <w:p w14:paraId="636B731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6C77484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商务标</w:t>
      </w:r>
    </w:p>
    <w:p w14:paraId="7D3EF2C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（投标文件三）</w:t>
      </w:r>
    </w:p>
    <w:p w14:paraId="27BEDC5F">
      <w:pPr>
        <w:jc w:val="center"/>
        <w:rPr>
          <w:rFonts w:hint="eastAsia" w:ascii="宋体" w:hAnsi="宋体" w:eastAsia="宋体" w:cs="宋体"/>
          <w:color w:val="auto"/>
          <w:sz w:val="32"/>
          <w:szCs w:val="32"/>
          <w:highlight w:val="none"/>
          <w:u w:val="single"/>
        </w:rPr>
      </w:pPr>
    </w:p>
    <w:p w14:paraId="17044DF4">
      <w:pPr>
        <w:spacing w:after="156" w:afterLines="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p>
    <w:p w14:paraId="49574A0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D7EB863">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6507407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9934CED">
      <w:pPr>
        <w:rPr>
          <w:rFonts w:hint="eastAsia" w:ascii="宋体" w:hAnsi="宋体" w:eastAsia="宋体" w:cs="宋体"/>
          <w:color w:val="auto"/>
          <w:sz w:val="28"/>
          <w:szCs w:val="28"/>
          <w:highlight w:val="none"/>
        </w:rPr>
      </w:pPr>
    </w:p>
    <w:p w14:paraId="5F0B1D8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860463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507B857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BFB8D81">
      <w:pPr>
        <w:jc w:val="center"/>
        <w:rPr>
          <w:rFonts w:hint="eastAsia" w:ascii="宋体" w:hAnsi="宋体" w:eastAsia="宋体" w:cs="宋体"/>
          <w:color w:val="auto"/>
          <w:sz w:val="28"/>
          <w:szCs w:val="28"/>
          <w:highlight w:val="none"/>
          <w:lang w:bidi="ar"/>
        </w:rPr>
      </w:pPr>
    </w:p>
    <w:p w14:paraId="2F6DC561">
      <w:pPr>
        <w:jc w:val="center"/>
        <w:rPr>
          <w:rFonts w:hint="eastAsia" w:ascii="宋体" w:hAnsi="宋体" w:eastAsia="宋体" w:cs="宋体"/>
          <w:color w:val="auto"/>
          <w:sz w:val="28"/>
          <w:szCs w:val="28"/>
          <w:highlight w:val="none"/>
        </w:rPr>
      </w:pPr>
    </w:p>
    <w:p w14:paraId="5CB648B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766A480">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7BA3C9E4">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6AB65996">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68E4B6C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C0A38A2">
      <w:pPr>
        <w:spacing w:line="400" w:lineRule="exact"/>
        <w:ind w:firstLine="3379" w:firstLineChars="935"/>
        <w:jc w:val="left"/>
        <w:rPr>
          <w:rFonts w:hint="eastAsia" w:ascii="宋体" w:hAnsi="宋体" w:eastAsia="宋体" w:cs="宋体"/>
          <w:b/>
          <w:color w:val="auto"/>
          <w:sz w:val="36"/>
          <w:szCs w:val="36"/>
          <w:highlight w:val="none"/>
          <w:lang w:bidi="ar"/>
        </w:rPr>
      </w:pPr>
    </w:p>
    <w:p w14:paraId="1FE03D7B">
      <w:pPr>
        <w:spacing w:line="400" w:lineRule="exact"/>
        <w:ind w:firstLine="3379" w:firstLineChars="935"/>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7A0FAB80">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719F629F">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（1）开标一览表（格式见附件）；</w:t>
      </w:r>
    </w:p>
    <w:p w14:paraId="5B471AB8">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（2）投标函（格式见附件）；</w:t>
      </w:r>
    </w:p>
    <w:p w14:paraId="2835181A">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（3）中小企业声明函，残疾人福利性企业（格式见附件）（如是）；</w:t>
      </w:r>
    </w:p>
    <w:p w14:paraId="6210213A">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）省级以上监狱管理局、戒毒管理局（含新疆生产建设兵团）出具的属于监狱企业的证明（如是）；</w:t>
      </w:r>
    </w:p>
    <w:p w14:paraId="1EF6729B">
      <w:pPr>
        <w:spacing w:line="440" w:lineRule="exact"/>
        <w:ind w:firstLine="480" w:firstLineChars="200"/>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5）投标分项报价表（格式见附件）；</w:t>
      </w:r>
    </w:p>
    <w:p w14:paraId="055CF2CF">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招标文件商务评审中要求提供的其他相关资料；</w:t>
      </w:r>
    </w:p>
    <w:p w14:paraId="45F3EBE3">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）其他（如有）。</w:t>
      </w:r>
    </w:p>
    <w:p w14:paraId="2A76FDC3">
      <w:pPr>
        <w:spacing w:line="440" w:lineRule="exact"/>
        <w:ind w:left="420"/>
        <w:rPr>
          <w:rFonts w:hint="eastAsia" w:ascii="宋体" w:hAnsi="宋体" w:eastAsia="宋体" w:cs="宋体"/>
          <w:color w:val="auto"/>
          <w:szCs w:val="21"/>
          <w:highlight w:val="none"/>
          <w:lang w:bidi="ar"/>
        </w:rPr>
      </w:pPr>
    </w:p>
    <w:p w14:paraId="2480FC83">
      <w:pPr>
        <w:spacing w:line="360" w:lineRule="auto"/>
        <w:jc w:val="center"/>
        <w:outlineLvl w:val="1"/>
        <w:rPr>
          <w:rFonts w:hint="eastAsia" w:asciiTheme="minorEastAsia" w:hAnsiTheme="minorEastAsia" w:eastAsiaTheme="minorEastAsia"/>
          <w:b/>
          <w:color w:val="auto"/>
          <w:sz w:val="24"/>
          <w:highlight w:val="none"/>
        </w:rPr>
      </w:pPr>
    </w:p>
    <w:p w14:paraId="69CCD758">
      <w:pPr>
        <w:spacing w:line="360" w:lineRule="auto"/>
        <w:ind w:firstLine="482" w:firstLineChars="200"/>
        <w:rPr>
          <w:rFonts w:hint="eastAsia" w:ascii="宋体" w:hAnsi="宋体" w:eastAsia="宋体" w:cs="宋体"/>
          <w:color w:val="auto"/>
          <w:szCs w:val="21"/>
          <w:highlight w:val="none"/>
        </w:rPr>
      </w:pPr>
      <w:r>
        <w:rPr>
          <w:rFonts w:hint="eastAsia" w:asciiTheme="minorEastAsia" w:hAnsiTheme="minorEastAsia" w:eastAsiaTheme="minorEastAsia"/>
          <w:b/>
          <w:color w:val="auto"/>
          <w:sz w:val="24"/>
          <w:highlight w:val="none"/>
        </w:rPr>
        <w:br w:type="page"/>
      </w:r>
    </w:p>
    <w:p w14:paraId="003D1937">
      <w:pPr>
        <w:rPr>
          <w:rFonts w:hint="eastAsia" w:asciiTheme="minorEastAsia" w:hAnsiTheme="minorEastAsia" w:eastAsiaTheme="minorEastAsia"/>
          <w:b/>
          <w:color w:val="auto"/>
          <w:sz w:val="24"/>
          <w:highlight w:val="none"/>
        </w:rPr>
      </w:pPr>
    </w:p>
    <w:p w14:paraId="102AB5B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（1）开标一览表</w:t>
      </w:r>
      <w:bookmarkEnd w:id="245"/>
      <w:bookmarkEnd w:id="246"/>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6461"/>
      </w:tblGrid>
      <w:tr w14:paraId="2D3A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352" w:type="pct"/>
            <w:tcBorders>
              <w:top w:val="single" w:color="auto" w:sz="4" w:space="0"/>
              <w:bottom w:val="single" w:color="auto" w:sz="4" w:space="0"/>
              <w:right w:val="single" w:color="auto" w:sz="4" w:space="0"/>
            </w:tcBorders>
            <w:vAlign w:val="center"/>
          </w:tcPr>
          <w:p w14:paraId="386E2B8F">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A4C0AF0">
            <w:pPr>
              <w:spacing w:line="360" w:lineRule="exact"/>
              <w:jc w:val="center"/>
              <w:rPr>
                <w:rFonts w:hint="eastAsia" w:asciiTheme="minorEastAsia" w:hAnsiTheme="minorEastAsia" w:eastAsiaTheme="minorEastAsia"/>
                <w:bCs/>
                <w:color w:val="auto"/>
                <w:sz w:val="24"/>
                <w:highlight w:val="none"/>
                <w:u w:val="single"/>
              </w:rPr>
            </w:pPr>
          </w:p>
        </w:tc>
      </w:tr>
      <w:tr w14:paraId="3631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352" w:type="pct"/>
            <w:tcBorders>
              <w:top w:val="nil"/>
            </w:tcBorders>
            <w:vAlign w:val="center"/>
          </w:tcPr>
          <w:p w14:paraId="46194F58">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2CD75B27">
            <w:pPr>
              <w:spacing w:line="360" w:lineRule="auto"/>
              <w:rPr>
                <w:rFonts w:hint="eastAsia" w:asciiTheme="minorEastAsia" w:hAnsiTheme="minorEastAsia" w:eastAsiaTheme="minorEastAsia"/>
                <w:color w:val="auto"/>
                <w:sz w:val="24"/>
                <w:highlight w:val="none"/>
              </w:rPr>
            </w:pPr>
          </w:p>
        </w:tc>
      </w:tr>
      <w:tr w14:paraId="4F13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352" w:type="pct"/>
            <w:tcBorders>
              <w:top w:val="nil"/>
            </w:tcBorders>
            <w:vAlign w:val="center"/>
          </w:tcPr>
          <w:p w14:paraId="7A0281A7">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14C75301">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rPr>
              <w:t>包</w:t>
            </w:r>
          </w:p>
        </w:tc>
      </w:tr>
      <w:tr w14:paraId="120E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1352" w:type="pct"/>
            <w:tcBorders>
              <w:top w:val="nil"/>
            </w:tcBorders>
            <w:vAlign w:val="center"/>
          </w:tcPr>
          <w:p w14:paraId="774151A6">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343E0908">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C7D3F41">
            <w:pPr>
              <w:keepNext w:val="0"/>
              <w:keepLines w:val="0"/>
              <w:pageBreakBefore w:val="0"/>
              <w:widowControl w:val="0"/>
              <w:kinsoku/>
              <w:wordWrap/>
              <w:overflowPunct/>
              <w:topLinePunct w:val="0"/>
              <w:autoSpaceDE/>
              <w:autoSpaceDN/>
              <w:bidi w:val="0"/>
              <w:adjustRightInd/>
              <w:spacing w:line="480" w:lineRule="auto"/>
              <w:ind w:right="-670"/>
              <w:textAlignment w:val="auto"/>
              <w:rPr>
                <w:rFonts w:hint="default"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1E7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098AFE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344FD49D">
            <w:pPr>
              <w:spacing w:line="360" w:lineRule="auto"/>
              <w:jc w:val="left"/>
              <w:rPr>
                <w:rFonts w:hint="eastAsia" w:asciiTheme="minorEastAsia" w:hAnsiTheme="minorEastAsia" w:eastAsiaTheme="minorEastAsia"/>
                <w:color w:val="auto"/>
                <w:sz w:val="24"/>
                <w:szCs w:val="28"/>
                <w:highlight w:val="none"/>
                <w:lang w:val="en-US" w:eastAsia="zh-CN"/>
              </w:rPr>
            </w:pPr>
          </w:p>
        </w:tc>
      </w:tr>
    </w:tbl>
    <w:p w14:paraId="57F57D98">
      <w:pPr>
        <w:spacing w:line="360" w:lineRule="auto"/>
        <w:ind w:firstLine="4800" w:firstLineChars="2000"/>
        <w:rPr>
          <w:rFonts w:hint="eastAsia" w:ascii="宋体" w:hAnsi="宋体" w:eastAsia="宋体"/>
          <w:color w:val="auto"/>
          <w:sz w:val="24"/>
          <w:highlight w:val="none"/>
        </w:rPr>
      </w:pPr>
    </w:p>
    <w:p w14:paraId="27060A56">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0C37D8E">
      <w:pPr>
        <w:tabs>
          <w:tab w:val="left" w:pos="630"/>
        </w:tabs>
        <w:spacing w:line="360" w:lineRule="auto"/>
        <w:ind w:firstLine="4800" w:firstLineChars="2000"/>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011DDBB">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093DCA1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B5AA30B">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6F34AB5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28E83C3C">
      <w:pPr>
        <w:spacing w:line="360" w:lineRule="auto"/>
        <w:jc w:val="center"/>
        <w:outlineLvl w:val="1"/>
        <w:rPr>
          <w:rFonts w:hint="eastAsia" w:asciiTheme="minorEastAsia" w:hAnsiTheme="minorEastAsia" w:eastAsiaTheme="minorEastAsia"/>
          <w:b/>
          <w:color w:val="auto"/>
          <w:sz w:val="24"/>
          <w:highlight w:val="none"/>
        </w:rPr>
      </w:pPr>
      <w:bookmarkStart w:id="249" w:name="_Toc6120"/>
      <w:bookmarkStart w:id="250" w:name="_Toc6441"/>
      <w:r>
        <w:rPr>
          <w:rFonts w:hint="eastAsia" w:asciiTheme="minorEastAsia" w:hAnsiTheme="minorEastAsia" w:eastAsiaTheme="minorEastAsia"/>
          <w:b/>
          <w:color w:val="auto"/>
          <w:sz w:val="24"/>
          <w:highlight w:val="none"/>
        </w:rPr>
        <w:t>（2）投标函</w:t>
      </w:r>
      <w:bookmarkEnd w:id="249"/>
      <w:bookmarkEnd w:id="250"/>
    </w:p>
    <w:p w14:paraId="592CD301">
      <w:pPr>
        <w:pStyle w:val="21"/>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10527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94FF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6E5CB1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20B625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2C978B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910A771">
      <w:pPr>
        <w:spacing w:line="360" w:lineRule="auto"/>
        <w:ind w:firstLine="4800" w:firstLineChars="2000"/>
        <w:rPr>
          <w:rFonts w:hint="eastAsia" w:ascii="宋体" w:hAnsi="宋体" w:eastAsia="宋体"/>
          <w:color w:val="auto"/>
          <w:sz w:val="24"/>
          <w:highlight w:val="none"/>
        </w:rPr>
      </w:pPr>
    </w:p>
    <w:p w14:paraId="6534A110">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21D272FB">
      <w:pPr>
        <w:spacing w:line="360" w:lineRule="auto"/>
        <w:jc w:val="center"/>
        <w:outlineLvl w:val="1"/>
        <w:rPr>
          <w:rFonts w:hint="eastAsia" w:asciiTheme="minorEastAsia" w:hAnsiTheme="minorEastAsia" w:eastAsiaTheme="minorEastAsia"/>
          <w:b/>
          <w:color w:val="auto"/>
          <w:sz w:val="24"/>
          <w:highlight w:val="none"/>
        </w:rPr>
      </w:pPr>
    </w:p>
    <w:p w14:paraId="6CC47B92">
      <w:pPr>
        <w:numPr>
          <w:ilvl w:val="0"/>
          <w:numId w:val="0"/>
        </w:numPr>
        <w:jc w:val="cente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3）投标分项报价表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3231"/>
        <w:gridCol w:w="1410"/>
        <w:gridCol w:w="1764"/>
        <w:gridCol w:w="1630"/>
      </w:tblGrid>
      <w:tr w14:paraId="476D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3" w:hRule="atLeast"/>
          <w:jc w:val="center"/>
        </w:trPr>
        <w:tc>
          <w:tcPr>
            <w:tcW w:w="464" w:type="pct"/>
            <w:vAlign w:val="center"/>
          </w:tcPr>
          <w:p w14:paraId="3E01E6A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6172C46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328D243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2F7B4FA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2A02827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471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12B28F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0327AE11">
            <w:pPr>
              <w:jc w:val="center"/>
              <w:rPr>
                <w:rFonts w:asciiTheme="minorEastAsia" w:hAnsiTheme="minorEastAsia" w:eastAsiaTheme="minorEastAsia"/>
                <w:color w:val="auto"/>
                <w:sz w:val="24"/>
                <w:highlight w:val="none"/>
              </w:rPr>
            </w:pPr>
          </w:p>
        </w:tc>
        <w:tc>
          <w:tcPr>
            <w:tcW w:w="796" w:type="pct"/>
            <w:vAlign w:val="center"/>
          </w:tcPr>
          <w:p w14:paraId="4045A297">
            <w:pPr>
              <w:jc w:val="center"/>
              <w:rPr>
                <w:rFonts w:asciiTheme="minorEastAsia" w:hAnsiTheme="minorEastAsia" w:eastAsiaTheme="minorEastAsia"/>
                <w:color w:val="auto"/>
                <w:sz w:val="24"/>
                <w:highlight w:val="none"/>
              </w:rPr>
            </w:pPr>
          </w:p>
        </w:tc>
        <w:tc>
          <w:tcPr>
            <w:tcW w:w="995" w:type="pct"/>
            <w:vAlign w:val="center"/>
          </w:tcPr>
          <w:p w14:paraId="3BF3DD48">
            <w:pPr>
              <w:jc w:val="center"/>
              <w:rPr>
                <w:rFonts w:asciiTheme="minorEastAsia" w:hAnsiTheme="minorEastAsia" w:eastAsiaTheme="minorEastAsia"/>
                <w:color w:val="auto"/>
                <w:sz w:val="24"/>
                <w:highlight w:val="none"/>
              </w:rPr>
            </w:pPr>
          </w:p>
        </w:tc>
        <w:tc>
          <w:tcPr>
            <w:tcW w:w="920" w:type="pct"/>
            <w:vAlign w:val="center"/>
          </w:tcPr>
          <w:p w14:paraId="7CEE11D8">
            <w:pPr>
              <w:jc w:val="center"/>
              <w:rPr>
                <w:rFonts w:asciiTheme="minorEastAsia" w:hAnsiTheme="minorEastAsia" w:eastAsiaTheme="minorEastAsia"/>
                <w:color w:val="auto"/>
                <w:sz w:val="24"/>
                <w:highlight w:val="none"/>
              </w:rPr>
            </w:pPr>
          </w:p>
        </w:tc>
      </w:tr>
      <w:tr w14:paraId="4447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67B941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76DEFB24">
            <w:pPr>
              <w:jc w:val="center"/>
              <w:rPr>
                <w:rFonts w:asciiTheme="minorEastAsia" w:hAnsiTheme="minorEastAsia" w:eastAsiaTheme="minorEastAsia"/>
                <w:color w:val="auto"/>
                <w:sz w:val="24"/>
                <w:highlight w:val="none"/>
              </w:rPr>
            </w:pPr>
          </w:p>
        </w:tc>
        <w:tc>
          <w:tcPr>
            <w:tcW w:w="796" w:type="pct"/>
            <w:vAlign w:val="center"/>
          </w:tcPr>
          <w:p w14:paraId="6384301F">
            <w:pPr>
              <w:jc w:val="center"/>
              <w:rPr>
                <w:rFonts w:asciiTheme="minorEastAsia" w:hAnsiTheme="minorEastAsia" w:eastAsiaTheme="minorEastAsia"/>
                <w:color w:val="auto"/>
                <w:sz w:val="24"/>
                <w:highlight w:val="none"/>
              </w:rPr>
            </w:pPr>
          </w:p>
        </w:tc>
        <w:tc>
          <w:tcPr>
            <w:tcW w:w="995" w:type="pct"/>
            <w:vAlign w:val="center"/>
          </w:tcPr>
          <w:p w14:paraId="2F638F26">
            <w:pPr>
              <w:jc w:val="center"/>
              <w:rPr>
                <w:rFonts w:asciiTheme="minorEastAsia" w:hAnsiTheme="minorEastAsia" w:eastAsiaTheme="minorEastAsia"/>
                <w:color w:val="auto"/>
                <w:sz w:val="24"/>
                <w:highlight w:val="none"/>
              </w:rPr>
            </w:pPr>
          </w:p>
        </w:tc>
        <w:tc>
          <w:tcPr>
            <w:tcW w:w="920" w:type="pct"/>
            <w:vAlign w:val="center"/>
          </w:tcPr>
          <w:p w14:paraId="1EE88E1C">
            <w:pPr>
              <w:jc w:val="center"/>
              <w:rPr>
                <w:rFonts w:asciiTheme="minorEastAsia" w:hAnsiTheme="minorEastAsia" w:eastAsiaTheme="minorEastAsia"/>
                <w:color w:val="auto"/>
                <w:sz w:val="24"/>
                <w:highlight w:val="none"/>
              </w:rPr>
            </w:pPr>
          </w:p>
        </w:tc>
      </w:tr>
      <w:tr w14:paraId="1FA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E8558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44526CB3">
            <w:pPr>
              <w:jc w:val="center"/>
              <w:rPr>
                <w:rFonts w:asciiTheme="minorEastAsia" w:hAnsiTheme="minorEastAsia" w:eastAsiaTheme="minorEastAsia"/>
                <w:color w:val="auto"/>
                <w:sz w:val="24"/>
                <w:highlight w:val="none"/>
              </w:rPr>
            </w:pPr>
          </w:p>
        </w:tc>
        <w:tc>
          <w:tcPr>
            <w:tcW w:w="796" w:type="pct"/>
            <w:vAlign w:val="center"/>
          </w:tcPr>
          <w:p w14:paraId="704DBBE4">
            <w:pPr>
              <w:jc w:val="center"/>
              <w:rPr>
                <w:rFonts w:asciiTheme="minorEastAsia" w:hAnsiTheme="minorEastAsia" w:eastAsiaTheme="minorEastAsia"/>
                <w:color w:val="auto"/>
                <w:sz w:val="24"/>
                <w:highlight w:val="none"/>
              </w:rPr>
            </w:pPr>
          </w:p>
        </w:tc>
        <w:tc>
          <w:tcPr>
            <w:tcW w:w="995" w:type="pct"/>
            <w:vAlign w:val="center"/>
          </w:tcPr>
          <w:p w14:paraId="7C796EA8">
            <w:pPr>
              <w:jc w:val="center"/>
              <w:rPr>
                <w:rFonts w:asciiTheme="minorEastAsia" w:hAnsiTheme="minorEastAsia" w:eastAsiaTheme="minorEastAsia"/>
                <w:color w:val="auto"/>
                <w:sz w:val="24"/>
                <w:highlight w:val="none"/>
              </w:rPr>
            </w:pPr>
          </w:p>
        </w:tc>
        <w:tc>
          <w:tcPr>
            <w:tcW w:w="920" w:type="pct"/>
            <w:vAlign w:val="center"/>
          </w:tcPr>
          <w:p w14:paraId="079BE90E">
            <w:pPr>
              <w:jc w:val="center"/>
              <w:rPr>
                <w:rFonts w:asciiTheme="minorEastAsia" w:hAnsiTheme="minorEastAsia" w:eastAsiaTheme="minorEastAsia"/>
                <w:color w:val="auto"/>
                <w:sz w:val="24"/>
                <w:highlight w:val="none"/>
              </w:rPr>
            </w:pPr>
          </w:p>
        </w:tc>
      </w:tr>
      <w:tr w14:paraId="1C5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4411420">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3E568D77">
            <w:pPr>
              <w:jc w:val="center"/>
              <w:rPr>
                <w:rFonts w:asciiTheme="minorEastAsia" w:hAnsiTheme="minorEastAsia" w:eastAsiaTheme="minorEastAsia"/>
                <w:color w:val="auto"/>
                <w:sz w:val="24"/>
                <w:highlight w:val="none"/>
              </w:rPr>
            </w:pPr>
          </w:p>
        </w:tc>
        <w:tc>
          <w:tcPr>
            <w:tcW w:w="796" w:type="pct"/>
            <w:vAlign w:val="center"/>
          </w:tcPr>
          <w:p w14:paraId="619B714D">
            <w:pPr>
              <w:jc w:val="center"/>
              <w:rPr>
                <w:rFonts w:asciiTheme="minorEastAsia" w:hAnsiTheme="minorEastAsia" w:eastAsiaTheme="minorEastAsia"/>
                <w:color w:val="auto"/>
                <w:sz w:val="24"/>
                <w:highlight w:val="none"/>
              </w:rPr>
            </w:pPr>
          </w:p>
        </w:tc>
        <w:tc>
          <w:tcPr>
            <w:tcW w:w="995" w:type="pct"/>
            <w:vAlign w:val="center"/>
          </w:tcPr>
          <w:p w14:paraId="44D3DBC7">
            <w:pPr>
              <w:jc w:val="center"/>
              <w:rPr>
                <w:rFonts w:asciiTheme="minorEastAsia" w:hAnsiTheme="minorEastAsia" w:eastAsiaTheme="minorEastAsia"/>
                <w:color w:val="auto"/>
                <w:sz w:val="24"/>
                <w:highlight w:val="none"/>
              </w:rPr>
            </w:pPr>
          </w:p>
        </w:tc>
        <w:tc>
          <w:tcPr>
            <w:tcW w:w="920" w:type="pct"/>
            <w:vAlign w:val="center"/>
          </w:tcPr>
          <w:p w14:paraId="3D3A924F">
            <w:pPr>
              <w:jc w:val="center"/>
              <w:rPr>
                <w:rFonts w:asciiTheme="minorEastAsia" w:hAnsiTheme="minorEastAsia" w:eastAsiaTheme="minorEastAsia"/>
                <w:color w:val="auto"/>
                <w:sz w:val="24"/>
                <w:highlight w:val="none"/>
              </w:rPr>
            </w:pPr>
          </w:p>
        </w:tc>
      </w:tr>
      <w:tr w14:paraId="02B1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E476E38">
            <w:pPr>
              <w:jc w:val="center"/>
              <w:rPr>
                <w:rFonts w:asciiTheme="minorEastAsia" w:hAnsiTheme="minorEastAsia" w:eastAsiaTheme="minorEastAsia"/>
                <w:color w:val="auto"/>
                <w:sz w:val="24"/>
                <w:highlight w:val="none"/>
              </w:rPr>
            </w:pPr>
          </w:p>
        </w:tc>
        <w:tc>
          <w:tcPr>
            <w:tcW w:w="1824" w:type="pct"/>
            <w:vAlign w:val="center"/>
          </w:tcPr>
          <w:p w14:paraId="3B3497EA">
            <w:pPr>
              <w:pStyle w:val="62"/>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2C515EC4">
            <w:pPr>
              <w:jc w:val="center"/>
              <w:rPr>
                <w:rFonts w:asciiTheme="minorEastAsia" w:hAnsiTheme="minorEastAsia" w:eastAsiaTheme="minorEastAsia"/>
                <w:color w:val="auto"/>
                <w:sz w:val="24"/>
                <w:highlight w:val="none"/>
              </w:rPr>
            </w:pPr>
          </w:p>
        </w:tc>
        <w:tc>
          <w:tcPr>
            <w:tcW w:w="995" w:type="pct"/>
            <w:vAlign w:val="center"/>
          </w:tcPr>
          <w:p w14:paraId="789AA12C">
            <w:pPr>
              <w:jc w:val="center"/>
              <w:rPr>
                <w:rFonts w:asciiTheme="minorEastAsia" w:hAnsiTheme="minorEastAsia" w:eastAsiaTheme="minorEastAsia"/>
                <w:color w:val="auto"/>
                <w:sz w:val="24"/>
                <w:highlight w:val="none"/>
              </w:rPr>
            </w:pPr>
          </w:p>
        </w:tc>
        <w:tc>
          <w:tcPr>
            <w:tcW w:w="920" w:type="pct"/>
            <w:vAlign w:val="center"/>
          </w:tcPr>
          <w:p w14:paraId="20F4AB16">
            <w:pPr>
              <w:jc w:val="center"/>
              <w:rPr>
                <w:rFonts w:asciiTheme="minorEastAsia" w:hAnsiTheme="minorEastAsia" w:eastAsiaTheme="minorEastAsia"/>
                <w:color w:val="auto"/>
                <w:sz w:val="24"/>
                <w:highlight w:val="none"/>
              </w:rPr>
            </w:pPr>
          </w:p>
        </w:tc>
      </w:tr>
      <w:tr w14:paraId="589B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7EA97B8">
            <w:pPr>
              <w:jc w:val="center"/>
              <w:rPr>
                <w:rFonts w:asciiTheme="minorEastAsia" w:hAnsiTheme="minorEastAsia" w:eastAsiaTheme="minorEastAsia"/>
                <w:color w:val="auto"/>
                <w:sz w:val="24"/>
                <w:highlight w:val="none"/>
              </w:rPr>
            </w:pPr>
          </w:p>
        </w:tc>
        <w:tc>
          <w:tcPr>
            <w:tcW w:w="1824" w:type="pct"/>
            <w:vAlign w:val="center"/>
          </w:tcPr>
          <w:p w14:paraId="22330CB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1B9AA653">
            <w:pPr>
              <w:jc w:val="center"/>
              <w:rPr>
                <w:rFonts w:asciiTheme="minorEastAsia" w:hAnsiTheme="minorEastAsia" w:eastAsiaTheme="minorEastAsia"/>
                <w:color w:val="auto"/>
                <w:sz w:val="24"/>
                <w:highlight w:val="none"/>
              </w:rPr>
            </w:pPr>
          </w:p>
        </w:tc>
        <w:tc>
          <w:tcPr>
            <w:tcW w:w="995" w:type="pct"/>
            <w:vAlign w:val="center"/>
          </w:tcPr>
          <w:p w14:paraId="5FF4DE1A">
            <w:pPr>
              <w:jc w:val="center"/>
              <w:rPr>
                <w:rFonts w:asciiTheme="minorEastAsia" w:hAnsiTheme="minorEastAsia" w:eastAsiaTheme="minorEastAsia"/>
                <w:color w:val="auto"/>
                <w:sz w:val="24"/>
                <w:highlight w:val="none"/>
              </w:rPr>
            </w:pPr>
          </w:p>
        </w:tc>
        <w:tc>
          <w:tcPr>
            <w:tcW w:w="920" w:type="pct"/>
            <w:vAlign w:val="center"/>
          </w:tcPr>
          <w:p w14:paraId="3099B47E">
            <w:pPr>
              <w:jc w:val="center"/>
              <w:rPr>
                <w:rFonts w:asciiTheme="minorEastAsia" w:hAnsiTheme="minorEastAsia" w:eastAsiaTheme="minorEastAsia"/>
                <w:color w:val="auto"/>
                <w:sz w:val="24"/>
                <w:highlight w:val="none"/>
              </w:rPr>
            </w:pPr>
          </w:p>
        </w:tc>
      </w:tr>
      <w:tr w14:paraId="0437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194BA5CA">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379193D7">
            <w:pPr>
              <w:jc w:val="center"/>
              <w:rPr>
                <w:rFonts w:asciiTheme="minorEastAsia" w:hAnsiTheme="minorEastAsia" w:eastAsiaTheme="minorEastAsia"/>
                <w:color w:val="auto"/>
                <w:sz w:val="24"/>
                <w:highlight w:val="none"/>
              </w:rPr>
            </w:pPr>
          </w:p>
        </w:tc>
      </w:tr>
    </w:tbl>
    <w:p w14:paraId="4E752A6E">
      <w:pPr>
        <w:spacing w:line="360" w:lineRule="auto"/>
        <w:ind w:firstLine="4800" w:firstLineChars="2000"/>
        <w:rPr>
          <w:rFonts w:hint="eastAsia" w:ascii="宋体" w:hAnsi="宋体" w:eastAsia="宋体"/>
          <w:color w:val="auto"/>
          <w:sz w:val="24"/>
          <w:highlight w:val="none"/>
        </w:rPr>
      </w:pPr>
    </w:p>
    <w:p w14:paraId="1EE0083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4C2A6CB">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948420C">
      <w:pPr>
        <w:adjustRightInd w:val="0"/>
        <w:snapToGrid w:val="0"/>
        <w:spacing w:line="360" w:lineRule="auto"/>
        <w:rPr>
          <w:rFonts w:hint="eastAsia" w:asciiTheme="minorEastAsia" w:hAnsiTheme="minorEastAsia" w:eastAsiaTheme="minorEastAsia"/>
          <w:b/>
          <w:bCs/>
          <w:color w:val="auto"/>
          <w:sz w:val="24"/>
          <w:szCs w:val="28"/>
          <w:highlight w:val="none"/>
        </w:rPr>
      </w:pPr>
    </w:p>
    <w:p w14:paraId="75EBF1EA">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231441B7">
      <w:pPr>
        <w:spacing w:line="360" w:lineRule="auto"/>
        <w:ind w:firstLine="435"/>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65F1AFF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148D788">
      <w:pPr>
        <w:keepNext w:val="0"/>
        <w:keepLines w:val="0"/>
        <w:pageBreakBefore w:val="0"/>
        <w:widowControl w:val="0"/>
        <w:kinsoku/>
        <w:wordWrap/>
        <w:overflowPunct/>
        <w:topLinePunct w:val="0"/>
        <w:autoSpaceDN/>
        <w:bidi w:val="0"/>
        <w:adjustRightInd/>
        <w:snapToGrid/>
        <w:spacing w:beforeAutospacing="0" w:line="240" w:lineRule="auto"/>
        <w:jc w:val="center"/>
        <w:textAlignment w:val="auto"/>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）中小企业声明函</w:t>
      </w:r>
    </w:p>
    <w:p w14:paraId="5DB3A032">
      <w:pPr>
        <w:pStyle w:val="28"/>
        <w:keepNext w:val="0"/>
        <w:keepLines w:val="0"/>
        <w:pageBreakBefore w:val="0"/>
        <w:widowControl w:val="0"/>
        <w:suppressLineNumbers w:val="0"/>
        <w:kinsoku/>
        <w:wordWrap/>
        <w:overflowPunct/>
        <w:topLinePunct w:val="0"/>
        <w:autoSpaceDE w:val="0"/>
        <w:autoSpaceDN/>
        <w:bidi w:val="0"/>
        <w:adjustRightInd/>
        <w:snapToGrid/>
        <w:spacing w:before="0" w:beforeAutospacing="0" w:after="120" w:afterAutospacing="0" w:line="240" w:lineRule="auto"/>
        <w:ind w:left="0" w:right="0"/>
        <w:jc w:val="center"/>
        <w:textAlignment w:val="auto"/>
        <w:rPr>
          <w:rFonts w:hint="eastAsia" w:ascii="宋体" w:hAnsi="宋体" w:eastAsia="宋体" w:cs="@微软简标宋"/>
          <w:b w:val="0"/>
          <w:i/>
          <w:iCs w:val="0"/>
          <w:color w:val="auto"/>
          <w:kern w:val="2"/>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b w:val="0"/>
          <w:i/>
          <w:iCs w:val="0"/>
          <w:color w:val="auto"/>
          <w:kern w:val="2"/>
          <w:sz w:val="24"/>
          <w:szCs w:val="24"/>
          <w:highlight w:val="none"/>
          <w:lang w:val="en-US" w:eastAsia="zh-CN" w:bidi="ar"/>
        </w:rPr>
        <w:t>（非中小企业投标，不需此件，请删去“中小企业声明函”）</w:t>
      </w:r>
    </w:p>
    <w:p w14:paraId="3B2084E7">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672D418">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6C3977F">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FC055B2">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8EF93DA">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F44A7E2">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199B4C8">
      <w:pPr>
        <w:spacing w:line="360" w:lineRule="auto"/>
        <w:ind w:firstLine="4228" w:firstLineChars="176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69E8068">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BE0ED97">
      <w:pPr>
        <w:spacing w:line="360" w:lineRule="auto"/>
        <w:jc w:val="left"/>
        <w:rPr>
          <w:rFonts w:hint="eastAsia" w:ascii="宋体" w:hAnsi="宋体" w:eastAsia="宋体"/>
          <w:b/>
          <w:color w:val="auto"/>
          <w:szCs w:val="21"/>
          <w:highlight w:val="none"/>
        </w:rPr>
      </w:pPr>
      <w:r>
        <w:rPr>
          <w:rFonts w:hint="eastAsia" w:ascii="宋体" w:hAnsi="宋体" w:eastAsia="宋体" w:cs="宋体"/>
          <w:b/>
          <w:color w:val="auto"/>
          <w:szCs w:val="21"/>
          <w:highlight w:val="none"/>
          <w:lang w:bidi="ar"/>
        </w:rPr>
        <w:t>注：</w:t>
      </w:r>
    </w:p>
    <w:p w14:paraId="39967608">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bidi="ar"/>
        </w:rPr>
        <w:t>1.从业人员、营业收入、资产总额填报上一年数据，无上一年数据的新成立企业可不填报。</w:t>
      </w:r>
    </w:p>
    <w:p w14:paraId="657837F7">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44C1DD18">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3.上述“</w:t>
      </w:r>
      <w:r>
        <w:rPr>
          <w:rFonts w:hint="eastAsia" w:ascii="宋体" w:hAnsi="宋体" w:eastAsia="宋体" w:cs="宋体"/>
          <w:b/>
          <w:bCs/>
          <w:color w:val="auto"/>
          <w:szCs w:val="21"/>
          <w:highlight w:val="none"/>
          <w:u w:val="single"/>
          <w:lang w:bidi="ar"/>
        </w:rPr>
        <w:t>标的名称</w:t>
      </w:r>
      <w:r>
        <w:rPr>
          <w:rFonts w:hint="eastAsia" w:ascii="宋体" w:hAnsi="宋体" w:eastAsia="宋体" w:cs="宋体"/>
          <w:b/>
          <w:bCs/>
          <w:color w:val="auto"/>
          <w:szCs w:val="21"/>
          <w:highlight w:val="none"/>
          <w:lang w:bidi="ar"/>
        </w:rPr>
        <w:t>”，详见第三章采购需求中明确的“货物名称”。</w:t>
      </w:r>
    </w:p>
    <w:p w14:paraId="0EBB17A2">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4.上述“</w:t>
      </w:r>
      <w:r>
        <w:rPr>
          <w:rFonts w:hint="eastAsia" w:ascii="宋体" w:hAnsi="宋体" w:eastAsia="宋体" w:cs="宋体"/>
          <w:b/>
          <w:bCs/>
          <w:color w:val="auto"/>
          <w:szCs w:val="21"/>
          <w:highlight w:val="none"/>
          <w:u w:val="single"/>
          <w:lang w:bidi="ar"/>
        </w:rPr>
        <w:t>采购文件中明确的所属行业</w:t>
      </w:r>
      <w:r>
        <w:rPr>
          <w:rFonts w:hint="eastAsia" w:ascii="宋体" w:hAnsi="宋体" w:eastAsia="宋体" w:cs="宋体"/>
          <w:b/>
          <w:bCs/>
          <w:color w:val="auto"/>
          <w:szCs w:val="21"/>
          <w:highlight w:val="none"/>
          <w:lang w:bidi="ar"/>
        </w:rPr>
        <w:t>”，详见第三章采购需求中明确的“所属行业”。</w:t>
      </w:r>
    </w:p>
    <w:p w14:paraId="65ADA688">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5．填写示例：</w:t>
      </w:r>
      <w:r>
        <w:rPr>
          <w:rFonts w:hint="eastAsia" w:ascii="宋体" w:hAnsi="宋体" w:eastAsia="宋体" w:cs="宋体"/>
          <w:b/>
          <w:bCs/>
          <w:color w:val="auto"/>
          <w:szCs w:val="21"/>
          <w:highlight w:val="none"/>
          <w:u w:val="single"/>
          <w:lang w:bidi="ar"/>
        </w:rPr>
        <w:t>某设备</w:t>
      </w:r>
      <w:r>
        <w:rPr>
          <w:rFonts w:hint="eastAsia" w:ascii="宋体" w:hAnsi="宋体" w:eastAsia="宋体" w:cs="宋体"/>
          <w:b/>
          <w:bCs/>
          <w:color w:val="auto"/>
          <w:szCs w:val="21"/>
          <w:highlight w:val="none"/>
          <w:lang w:bidi="ar"/>
        </w:rPr>
        <w:t>，属于</w:t>
      </w:r>
      <w:r>
        <w:rPr>
          <w:rFonts w:hint="eastAsia" w:ascii="宋体" w:hAnsi="宋体" w:eastAsia="宋体" w:cs="宋体"/>
          <w:b/>
          <w:bCs/>
          <w:color w:val="auto"/>
          <w:szCs w:val="21"/>
          <w:highlight w:val="none"/>
          <w:u w:val="single"/>
          <w:lang w:bidi="ar"/>
        </w:rPr>
        <w:t>（填写第三章采购需求中对应货物的“所属行业”，如工业）</w:t>
      </w:r>
      <w:r>
        <w:rPr>
          <w:rFonts w:hint="eastAsia" w:ascii="宋体" w:hAnsi="宋体" w:eastAsia="宋体" w:cs="宋体"/>
          <w:b/>
          <w:bCs/>
          <w:color w:val="auto"/>
          <w:szCs w:val="21"/>
          <w:highlight w:val="none"/>
          <w:lang w:bidi="ar"/>
        </w:rPr>
        <w:t>行业；承接企业为</w:t>
      </w:r>
      <w:r>
        <w:rPr>
          <w:rFonts w:hint="eastAsia" w:ascii="宋体" w:hAnsi="宋体" w:eastAsia="宋体" w:cs="宋体"/>
          <w:b/>
          <w:bCs/>
          <w:color w:val="auto"/>
          <w:szCs w:val="21"/>
          <w:highlight w:val="none"/>
          <w:u w:val="single"/>
          <w:lang w:bidi="ar"/>
        </w:rPr>
        <w:t>某企业</w:t>
      </w:r>
      <w:r>
        <w:rPr>
          <w:rFonts w:hint="eastAsia" w:ascii="宋体" w:hAnsi="宋体" w:eastAsia="宋体" w:cs="宋体"/>
          <w:b/>
          <w:bCs/>
          <w:color w:val="auto"/>
          <w:szCs w:val="21"/>
          <w:highlight w:val="none"/>
          <w:lang w:bidi="ar"/>
        </w:rPr>
        <w:t>，从业人员</w:t>
      </w:r>
      <w:r>
        <w:rPr>
          <w:rFonts w:hint="eastAsia" w:ascii="宋体" w:hAnsi="宋体" w:eastAsia="宋体" w:cs="宋体"/>
          <w:b/>
          <w:bCs/>
          <w:color w:val="auto"/>
          <w:szCs w:val="21"/>
          <w:highlight w:val="none"/>
          <w:u w:val="single"/>
          <w:lang w:bidi="ar"/>
        </w:rPr>
        <w:t>100</w:t>
      </w:r>
      <w:r>
        <w:rPr>
          <w:rFonts w:hint="eastAsia" w:ascii="宋体" w:hAnsi="宋体" w:eastAsia="宋体" w:cs="宋体"/>
          <w:b/>
          <w:bCs/>
          <w:color w:val="auto"/>
          <w:szCs w:val="21"/>
          <w:highlight w:val="none"/>
          <w:lang w:bidi="ar"/>
        </w:rPr>
        <w:t>人，营业收入为</w:t>
      </w:r>
      <w:r>
        <w:rPr>
          <w:rFonts w:hint="eastAsia" w:ascii="宋体" w:hAnsi="宋体" w:eastAsia="宋体" w:cs="宋体"/>
          <w:b/>
          <w:bCs/>
          <w:color w:val="auto"/>
          <w:szCs w:val="21"/>
          <w:highlight w:val="none"/>
          <w:u w:val="single"/>
          <w:lang w:bidi="ar"/>
        </w:rPr>
        <w:t>10000</w:t>
      </w:r>
      <w:r>
        <w:rPr>
          <w:rFonts w:hint="eastAsia" w:ascii="宋体" w:hAnsi="宋体" w:eastAsia="宋体" w:cs="宋体"/>
          <w:b/>
          <w:bCs/>
          <w:color w:val="auto"/>
          <w:szCs w:val="21"/>
          <w:highlight w:val="none"/>
          <w:lang w:bidi="ar"/>
        </w:rPr>
        <w:t>万元，资产总额为</w:t>
      </w:r>
      <w:r>
        <w:rPr>
          <w:rFonts w:hint="eastAsia" w:ascii="宋体" w:hAnsi="宋体" w:eastAsia="宋体" w:cs="宋体"/>
          <w:b/>
          <w:bCs/>
          <w:color w:val="auto"/>
          <w:szCs w:val="21"/>
          <w:highlight w:val="none"/>
          <w:u w:val="single"/>
          <w:lang w:bidi="ar"/>
        </w:rPr>
        <w:t>5000</w:t>
      </w:r>
      <w:r>
        <w:rPr>
          <w:rFonts w:hint="eastAsia" w:ascii="宋体" w:hAnsi="宋体" w:eastAsia="宋体" w:cs="宋体"/>
          <w:b/>
          <w:bCs/>
          <w:color w:val="auto"/>
          <w:szCs w:val="21"/>
          <w:highlight w:val="none"/>
          <w:lang w:bidi="ar"/>
        </w:rPr>
        <w:t>万元，属于</w:t>
      </w:r>
      <w:r>
        <w:rPr>
          <w:rFonts w:hint="eastAsia" w:ascii="宋体" w:hAnsi="宋体" w:eastAsia="宋体" w:cs="宋体"/>
          <w:b/>
          <w:bCs/>
          <w:color w:val="auto"/>
          <w:szCs w:val="21"/>
          <w:highlight w:val="none"/>
          <w:u w:val="single"/>
          <w:lang w:bidi="ar"/>
        </w:rPr>
        <w:t>小型</w:t>
      </w:r>
      <w:r>
        <w:rPr>
          <w:rFonts w:hint="eastAsia" w:ascii="宋体" w:hAnsi="宋体" w:eastAsia="宋体" w:cs="宋体"/>
          <w:b/>
          <w:bCs/>
          <w:color w:val="auto"/>
          <w:szCs w:val="21"/>
          <w:highlight w:val="none"/>
          <w:lang w:bidi="ar"/>
        </w:rPr>
        <w:t>企业[投标人自行登录工业和信息化部官网进行中小企业规模类型自测（查询网址https://www.miit.gov.cn/）]。</w:t>
      </w:r>
    </w:p>
    <w:p w14:paraId="4827FAFE">
      <w:pPr>
        <w:spacing w:line="360" w:lineRule="auto"/>
        <w:jc w:val="center"/>
        <w:outlineLvl w:val="1"/>
        <w:rPr>
          <w:rFonts w:hint="eastAsia" w:asciiTheme="minorEastAsia" w:hAnsiTheme="minorEastAsia" w:eastAsiaTheme="minorEastAsia"/>
          <w:b/>
          <w:color w:val="auto"/>
          <w:sz w:val="24"/>
          <w:highlight w:val="none"/>
        </w:rPr>
      </w:pPr>
    </w:p>
    <w:p w14:paraId="0F6238C9">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）残疾人福利性单位声明函</w:t>
      </w:r>
    </w:p>
    <w:p w14:paraId="102B336F">
      <w:pPr>
        <w:pStyle w:val="28"/>
        <w:autoSpaceDE w:val="0"/>
        <w:spacing w:before="0" w:after="120" w:afterAutospacing="0" w:line="360" w:lineRule="auto"/>
        <w:jc w:val="center"/>
        <w:rPr>
          <w:rFonts w:hint="eastAsia" w:ascii="宋体" w:hAnsi="宋体" w:eastAsia="宋体" w:cs="@微软简标宋"/>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7F2B6162">
      <w:pPr>
        <w:spacing w:line="360" w:lineRule="auto"/>
        <w:ind w:firstLine="435"/>
        <w:rPr>
          <w:rFonts w:hint="eastAsia"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lang w:bidi="ar"/>
        </w:rPr>
        <w:t>本单位</w:t>
      </w:r>
      <w:r>
        <w:rPr>
          <w:rFonts w:hint="eastAsia" w:ascii="宋体" w:hAnsi="宋体" w:eastAsia="宋体" w:cs="宋体"/>
          <w:color w:val="auto"/>
          <w:sz w:val="24"/>
          <w:szCs w:val="24"/>
          <w:highlight w:val="none"/>
          <w:lang w:bidi="ar"/>
        </w:rPr>
        <w:t>郑重</w:t>
      </w:r>
      <w:r>
        <w:rPr>
          <w:rFonts w:hint="eastAsia" w:ascii="宋体" w:hAnsi="宋体" w:eastAsia="宋体" w:cs="宋体"/>
          <w:color w:val="auto"/>
          <w:spacing w:val="6"/>
          <w:sz w:val="24"/>
          <w:szCs w:val="24"/>
          <w:highlight w:val="none"/>
          <w:lang w:bidi="ar"/>
        </w:rPr>
        <w:t>声明，根据《财政部</w:t>
      </w:r>
      <w:r>
        <w:rPr>
          <w:rFonts w:hint="eastAsia" w:ascii="宋体" w:hAnsi="宋体" w:eastAsia="宋体"/>
          <w:color w:val="auto"/>
          <w:spacing w:val="6"/>
          <w:sz w:val="24"/>
          <w:szCs w:val="24"/>
          <w:highlight w:val="none"/>
          <w:lang w:bidi="ar"/>
        </w:rPr>
        <w:t xml:space="preserve"> </w:t>
      </w:r>
      <w:r>
        <w:rPr>
          <w:rFonts w:hint="eastAsia" w:ascii="宋体" w:hAnsi="宋体" w:eastAsia="宋体" w:cs="宋体"/>
          <w:color w:val="auto"/>
          <w:spacing w:val="6"/>
          <w:sz w:val="24"/>
          <w:szCs w:val="24"/>
          <w:highlight w:val="none"/>
          <w:lang w:bidi="ar"/>
        </w:rPr>
        <w:t>民政部</w:t>
      </w:r>
      <w:r>
        <w:rPr>
          <w:rFonts w:hint="eastAsia" w:ascii="宋体" w:hAnsi="宋体" w:eastAsia="宋体"/>
          <w:color w:val="auto"/>
          <w:spacing w:val="6"/>
          <w:sz w:val="24"/>
          <w:szCs w:val="24"/>
          <w:highlight w:val="none"/>
          <w:lang w:bidi="ar"/>
        </w:rPr>
        <w:t xml:space="preserve"> </w:t>
      </w:r>
      <w:r>
        <w:rPr>
          <w:rFonts w:hint="eastAsia" w:ascii="宋体" w:hAnsi="宋体" w:eastAsia="宋体" w:cs="宋体"/>
          <w:color w:val="auto"/>
          <w:spacing w:val="6"/>
          <w:sz w:val="24"/>
          <w:szCs w:val="24"/>
          <w:highlight w:val="none"/>
          <w:lang w:bidi="ar"/>
        </w:rPr>
        <w:t>中国残疾人联合会关于促进残疾人就业政府采购政策的通知》（财库</w:t>
      </w:r>
      <w:r>
        <w:rPr>
          <w:rFonts w:hint="eastAsia" w:ascii="宋体" w:hAnsi="宋体" w:eastAsia="宋体" w:cs="宋体"/>
          <w:color w:val="auto"/>
          <w:sz w:val="24"/>
          <w:szCs w:val="24"/>
          <w:highlight w:val="none"/>
          <w:lang w:bidi="ar"/>
        </w:rPr>
        <w:t>〔2017〕141</w:t>
      </w:r>
      <w:r>
        <w:rPr>
          <w:rFonts w:hint="eastAsia" w:ascii="宋体" w:hAnsi="宋体" w:eastAsia="宋体" w:cs="宋体"/>
          <w:color w:val="auto"/>
          <w:spacing w:val="6"/>
          <w:sz w:val="24"/>
          <w:szCs w:val="24"/>
          <w:highlight w:val="none"/>
          <w:lang w:bidi="ar"/>
        </w:rPr>
        <w:t>号）的规定，本单位为</w:t>
      </w:r>
      <w:r>
        <w:rPr>
          <w:rFonts w:hint="eastAsia" w:ascii="宋体" w:hAnsi="宋体" w:eastAsia="宋体" w:cs="宋体"/>
          <w:bCs/>
          <w:color w:val="auto"/>
          <w:sz w:val="24"/>
          <w:szCs w:val="24"/>
          <w:highlight w:val="none"/>
          <w:lang w:bidi="ar"/>
        </w:rPr>
        <w:t>符合</w:t>
      </w:r>
      <w:r>
        <w:rPr>
          <w:rFonts w:hint="eastAsia" w:ascii="宋体" w:hAnsi="宋体" w:eastAsia="宋体" w:cs="宋体"/>
          <w:color w:val="auto"/>
          <w:spacing w:val="6"/>
          <w:sz w:val="24"/>
          <w:szCs w:val="24"/>
          <w:highlight w:val="none"/>
          <w:lang w:bidi="ar"/>
        </w:rPr>
        <w:t>条件的残疾人福利性单位，且本单位参加</w:t>
      </w:r>
      <w:r>
        <w:rPr>
          <w:rFonts w:hint="eastAsia" w:ascii="宋体" w:hAnsi="宋体" w:eastAsia="宋体"/>
          <w:color w:val="auto"/>
          <w:spacing w:val="6"/>
          <w:sz w:val="24"/>
          <w:szCs w:val="24"/>
          <w:highlight w:val="none"/>
          <w:u w:val="single"/>
          <w:lang w:bidi="ar"/>
        </w:rPr>
        <w:t xml:space="preserve">      </w:t>
      </w:r>
      <w:r>
        <w:rPr>
          <w:rFonts w:hint="eastAsia" w:ascii="宋体" w:hAnsi="宋体" w:eastAsia="宋体" w:cs="宋体"/>
          <w:color w:val="auto"/>
          <w:spacing w:val="6"/>
          <w:sz w:val="24"/>
          <w:szCs w:val="24"/>
          <w:highlight w:val="none"/>
          <w:lang w:bidi="ar"/>
        </w:rPr>
        <w:t>单位的</w:t>
      </w:r>
      <w:r>
        <w:rPr>
          <w:rFonts w:hint="eastAsia" w:ascii="宋体" w:hAnsi="宋体" w:eastAsia="宋体"/>
          <w:color w:val="auto"/>
          <w:spacing w:val="6"/>
          <w:sz w:val="24"/>
          <w:szCs w:val="24"/>
          <w:highlight w:val="none"/>
          <w:u w:val="single"/>
          <w:lang w:bidi="ar"/>
        </w:rPr>
        <w:t xml:space="preserve">      </w:t>
      </w:r>
      <w:r>
        <w:rPr>
          <w:rFonts w:hint="eastAsia" w:ascii="宋体" w:hAnsi="宋体" w:eastAsia="宋体" w:cs="宋体"/>
          <w:color w:val="auto"/>
          <w:spacing w:val="6"/>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24CCA320">
      <w:pPr>
        <w:spacing w:line="360" w:lineRule="auto"/>
        <w:ind w:firstLine="435"/>
        <w:rPr>
          <w:rFonts w:hint="eastAsia"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lang w:bidi="ar"/>
        </w:rPr>
        <w:t>本单位对上述声明的真实性负责。如有虚假，将依法承担相应责任。</w:t>
      </w:r>
    </w:p>
    <w:p w14:paraId="2A624927">
      <w:pPr>
        <w:spacing w:line="360" w:lineRule="auto"/>
        <w:ind w:firstLine="4228" w:firstLineChars="176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7AF0C358">
      <w:pPr>
        <w:spacing w:line="360" w:lineRule="auto"/>
        <w:ind w:firstLine="4228" w:firstLineChars="176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F31ED8A">
      <w:pPr>
        <w:spacing w:line="360" w:lineRule="auto"/>
        <w:ind w:firstLine="4228" w:firstLineChars="176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75E998F1">
      <w:pPr>
        <w:spacing w:line="360" w:lineRule="auto"/>
        <w:ind w:firstLine="4252" w:firstLineChars="177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FC75266">
      <w:pPr>
        <w:spacing w:line="360" w:lineRule="auto"/>
        <w:jc w:val="center"/>
        <w:outlineLvl w:val="1"/>
        <w:rPr>
          <w:rFonts w:hint="eastAsia" w:asciiTheme="minorEastAsia" w:hAnsiTheme="minorEastAsia" w:eastAsiaTheme="minorEastAsia"/>
          <w:b/>
          <w:color w:val="auto"/>
          <w:sz w:val="24"/>
          <w:highlight w:val="none"/>
        </w:rPr>
      </w:pPr>
    </w:p>
    <w:p w14:paraId="577181D9">
      <w:pPr>
        <w:spacing w:line="360" w:lineRule="auto"/>
        <w:jc w:val="center"/>
        <w:outlineLvl w:val="1"/>
        <w:rPr>
          <w:rFonts w:hint="eastAsia" w:asciiTheme="minorEastAsia" w:hAnsiTheme="minorEastAsia" w:eastAsiaTheme="minorEastAsia"/>
          <w:b/>
          <w:color w:val="auto"/>
          <w:sz w:val="24"/>
          <w:highlight w:val="none"/>
        </w:rPr>
      </w:pPr>
    </w:p>
    <w:p w14:paraId="45DD4A8C">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6</w:t>
      </w:r>
      <w:r>
        <w:rPr>
          <w:rFonts w:hint="eastAsia" w:asciiTheme="minorEastAsia" w:hAnsiTheme="minorEastAsia" w:eastAsiaTheme="minorEastAsia"/>
          <w:b/>
          <w:color w:val="auto"/>
          <w:sz w:val="24"/>
          <w:highlight w:val="none"/>
        </w:rPr>
        <w:t>）其他相关证明材料</w:t>
      </w:r>
    </w:p>
    <w:p w14:paraId="47862E01">
      <w:pPr>
        <w:spacing w:line="360" w:lineRule="auto"/>
        <w:ind w:firstLine="435"/>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79C4A0BC">
      <w:pPr>
        <w:spacing w:line="360" w:lineRule="auto"/>
        <w:ind w:firstLine="435"/>
        <w:rPr>
          <w:rFonts w:hint="eastAsia" w:asciiTheme="minorEastAsia" w:hAnsiTheme="minorEastAsia" w:eastAsiaTheme="minorEastAsia"/>
          <w:color w:val="auto"/>
          <w:sz w:val="24"/>
          <w:highlight w:val="none"/>
        </w:rPr>
      </w:pPr>
    </w:p>
    <w:p w14:paraId="360234A1">
      <w:pPr>
        <w:widowControl/>
        <w:jc w:val="left"/>
        <w:rPr>
          <w:rFonts w:hint="eastAsia" w:ascii="宋体" w:hAnsi="宋体" w:eastAsia="宋体"/>
          <w:bCs/>
          <w:color w:val="auto"/>
          <w:sz w:val="24"/>
          <w:highlight w:val="none"/>
        </w:rPr>
      </w:pPr>
      <w:r>
        <w:rPr>
          <w:rFonts w:ascii="宋体" w:hAnsi="宋体" w:eastAsia="宋体"/>
          <w:bCs/>
          <w:color w:val="auto"/>
          <w:sz w:val="24"/>
          <w:highlight w:val="none"/>
        </w:rPr>
        <w:br w:type="page"/>
      </w:r>
    </w:p>
    <w:p w14:paraId="6E988275">
      <w:pPr>
        <w:spacing w:line="360" w:lineRule="auto"/>
        <w:jc w:val="center"/>
        <w:outlineLvl w:val="0"/>
        <w:rPr>
          <w:rFonts w:hint="eastAsia" w:ascii="宋体" w:hAnsi="宋体" w:eastAsia="宋体"/>
          <w:b/>
          <w:bCs/>
          <w:color w:val="auto"/>
          <w:sz w:val="28"/>
          <w:highlight w:val="none"/>
        </w:rPr>
      </w:pPr>
      <w:bookmarkStart w:id="251" w:name="_Toc6435"/>
      <w:bookmarkStart w:id="252" w:name="_Toc2081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51"/>
      <w:bookmarkEnd w:id="252"/>
    </w:p>
    <w:p w14:paraId="72B76CFB">
      <w:pPr>
        <w:spacing w:line="360" w:lineRule="auto"/>
        <w:jc w:val="center"/>
        <w:outlineLvl w:val="1"/>
        <w:rPr>
          <w:rFonts w:hint="eastAsia" w:ascii="仿宋" w:hAnsi="仿宋" w:eastAsia="仿宋" w:cs="仿宋"/>
          <w:b/>
          <w:bCs/>
          <w:color w:val="auto"/>
          <w:sz w:val="32"/>
          <w:szCs w:val="44"/>
          <w:highlight w:val="none"/>
        </w:rPr>
      </w:pPr>
      <w:bookmarkStart w:id="253" w:name="_Toc6955"/>
      <w:bookmarkStart w:id="254" w:name="_Toc27159"/>
      <w:r>
        <w:rPr>
          <w:rFonts w:hint="eastAsia" w:ascii="仿宋" w:hAnsi="仿宋" w:eastAsia="仿宋" w:cs="仿宋"/>
          <w:b/>
          <w:bCs/>
          <w:color w:val="auto"/>
          <w:sz w:val="32"/>
          <w:szCs w:val="44"/>
          <w:highlight w:val="none"/>
        </w:rPr>
        <w:t>询问函范本</w:t>
      </w:r>
      <w:bookmarkEnd w:id="253"/>
      <w:bookmarkEnd w:id="254"/>
    </w:p>
    <w:p w14:paraId="41D94597">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3662100">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0B97E624">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E024C12">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255" w:name="_Toc13899"/>
      <w:r>
        <w:rPr>
          <w:rFonts w:hint="eastAsia" w:cs="仿宋" w:asciiTheme="minorEastAsia" w:hAnsiTheme="minorEastAsia" w:eastAsiaTheme="minorEastAsia"/>
          <w:color w:val="auto"/>
          <w:sz w:val="24"/>
          <w:szCs w:val="24"/>
          <w:highlight w:val="none"/>
        </w:rPr>
        <w:t>一、(事项一)</w:t>
      </w:r>
      <w:bookmarkEnd w:id="255"/>
    </w:p>
    <w:p w14:paraId="51404B2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060AA8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8E812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F57933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256" w:name="_Toc3352"/>
      <w:r>
        <w:rPr>
          <w:rFonts w:hint="eastAsia" w:cs="仿宋" w:asciiTheme="minorEastAsia" w:hAnsiTheme="minorEastAsia" w:eastAsiaTheme="minorEastAsia"/>
          <w:color w:val="auto"/>
          <w:sz w:val="24"/>
          <w:szCs w:val="24"/>
          <w:highlight w:val="none"/>
        </w:rPr>
        <w:t>二、(事项二)</w:t>
      </w:r>
      <w:bookmarkEnd w:id="256"/>
    </w:p>
    <w:p w14:paraId="609912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B1764B2">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28A5CA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D0D63D8">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7854A85">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4274BDC">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1BD27BA">
      <w:pPr>
        <w:jc w:val="center"/>
        <w:outlineLvl w:val="1"/>
        <w:rPr>
          <w:rFonts w:hint="eastAsia" w:ascii="仿宋" w:hAnsi="仿宋" w:eastAsia="仿宋" w:cs="仿宋"/>
          <w:b/>
          <w:bCs/>
          <w:color w:val="auto"/>
          <w:sz w:val="32"/>
          <w:szCs w:val="44"/>
          <w:highlight w:val="none"/>
        </w:rPr>
      </w:pPr>
      <w:bookmarkStart w:id="257" w:name="_Toc857"/>
      <w:bookmarkStart w:id="258" w:name="_Toc1575"/>
      <w:r>
        <w:rPr>
          <w:rFonts w:hint="eastAsia" w:ascii="仿宋" w:hAnsi="仿宋" w:eastAsia="仿宋" w:cs="仿宋"/>
          <w:b/>
          <w:bCs/>
          <w:color w:val="auto"/>
          <w:sz w:val="32"/>
          <w:szCs w:val="44"/>
          <w:highlight w:val="none"/>
        </w:rPr>
        <w:t>质疑函范本</w:t>
      </w:r>
      <w:bookmarkEnd w:id="257"/>
      <w:bookmarkEnd w:id="258"/>
    </w:p>
    <w:p w14:paraId="6866F4AA">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259" w:name="_Toc21381"/>
      <w:r>
        <w:rPr>
          <w:rFonts w:hint="eastAsia" w:cs="仿宋" w:asciiTheme="minorEastAsia" w:hAnsiTheme="minorEastAsia" w:eastAsiaTheme="minorEastAsia"/>
          <w:b/>
          <w:bCs/>
          <w:color w:val="auto"/>
          <w:sz w:val="24"/>
          <w:szCs w:val="24"/>
          <w:highlight w:val="none"/>
        </w:rPr>
        <w:t>一、质疑供应商基本信息</w:t>
      </w:r>
      <w:bookmarkEnd w:id="259"/>
    </w:p>
    <w:p w14:paraId="2949046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04C51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DD5375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BF0EF2">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664BEE30">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187752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F3C3DC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60" w:name="_Toc28415"/>
      <w:r>
        <w:rPr>
          <w:rFonts w:hint="eastAsia" w:cs="仿宋" w:asciiTheme="minorEastAsia" w:hAnsiTheme="minorEastAsia" w:eastAsiaTheme="minorEastAsia"/>
          <w:b/>
          <w:bCs/>
          <w:color w:val="auto"/>
          <w:sz w:val="24"/>
          <w:szCs w:val="24"/>
          <w:highlight w:val="none"/>
        </w:rPr>
        <w:t>二、质疑项目基本情况</w:t>
      </w:r>
      <w:bookmarkEnd w:id="260"/>
    </w:p>
    <w:p w14:paraId="08FFF78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BEA650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BCDADA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BE33867">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2B07CB">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61" w:name="_Toc19014"/>
      <w:r>
        <w:rPr>
          <w:rFonts w:hint="eastAsia" w:cs="仿宋" w:asciiTheme="minorEastAsia" w:hAnsiTheme="minorEastAsia" w:eastAsiaTheme="minorEastAsia"/>
          <w:b/>
          <w:bCs/>
          <w:color w:val="auto"/>
          <w:sz w:val="24"/>
          <w:szCs w:val="24"/>
          <w:highlight w:val="none"/>
        </w:rPr>
        <w:t>三、质疑事项具体内容</w:t>
      </w:r>
      <w:bookmarkEnd w:id="261"/>
    </w:p>
    <w:p w14:paraId="0941F31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186E8C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C429A3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D4783E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38A5D8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1793CAD">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1D0D7E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4490F22">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62" w:name="_Toc17919"/>
      <w:r>
        <w:rPr>
          <w:rFonts w:hint="eastAsia" w:cs="仿宋" w:asciiTheme="minorEastAsia" w:hAnsiTheme="minorEastAsia" w:eastAsiaTheme="minorEastAsia"/>
          <w:b/>
          <w:bCs/>
          <w:color w:val="auto"/>
          <w:sz w:val="24"/>
          <w:szCs w:val="24"/>
          <w:highlight w:val="none"/>
        </w:rPr>
        <w:t>四、与质疑事项相关的质疑请求</w:t>
      </w:r>
      <w:bookmarkEnd w:id="262"/>
    </w:p>
    <w:p w14:paraId="7F17B7A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D30AE8F">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E41406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5D4E606">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BBC81DE">
      <w:pPr>
        <w:outlineLvl w:val="0"/>
        <w:rPr>
          <w:rFonts w:hint="eastAsia" w:asciiTheme="minorEastAsia" w:hAnsiTheme="minorEastAsia" w:eastAsiaTheme="minorEastAsia"/>
          <w:b/>
          <w:color w:val="auto"/>
          <w:sz w:val="28"/>
          <w:szCs w:val="32"/>
          <w:highlight w:val="none"/>
        </w:rPr>
      </w:pPr>
      <w:bookmarkStart w:id="263" w:name="_Toc22239"/>
      <w:bookmarkStart w:id="264" w:name="_Toc9754"/>
      <w:r>
        <w:rPr>
          <w:rFonts w:hint="eastAsia" w:asciiTheme="minorEastAsia" w:hAnsiTheme="minorEastAsia" w:eastAsiaTheme="minorEastAsia"/>
          <w:b/>
          <w:color w:val="auto"/>
          <w:sz w:val="28"/>
          <w:szCs w:val="32"/>
          <w:highlight w:val="none"/>
        </w:rPr>
        <w:t>质疑函制作说明：</w:t>
      </w:r>
      <w:bookmarkEnd w:id="263"/>
      <w:bookmarkEnd w:id="264"/>
    </w:p>
    <w:p w14:paraId="5733A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79E1C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82C04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FCF0FC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CCC5E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58922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0FD392D">
      <w:pPr>
        <w:keepNext/>
        <w:keepLines/>
        <w:spacing w:before="200" w:after="200" w:line="600" w:lineRule="exact"/>
        <w:outlineLvl w:val="0"/>
        <w:rPr>
          <w:rFonts w:ascii="黑体" w:hAnsi="黑体" w:eastAsia="黑体"/>
          <w:b/>
          <w:bCs/>
          <w:color w:val="auto"/>
          <w:kern w:val="44"/>
          <w:sz w:val="28"/>
          <w:szCs w:val="28"/>
        </w:rPr>
      </w:pPr>
      <w:r>
        <w:rPr>
          <w:rFonts w:hint="eastAsia" w:asciiTheme="minorEastAsia" w:hAnsiTheme="minorEastAsia" w:eastAsiaTheme="minorEastAsia"/>
          <w:color w:val="auto"/>
          <w:sz w:val="24"/>
          <w:highlight w:val="none"/>
        </w:rPr>
        <w:br w:type="page"/>
      </w:r>
      <w:bookmarkStart w:id="265" w:name="OLE_LINK7"/>
      <w:bookmarkStart w:id="266" w:name="OLE_LINK24"/>
      <w:bookmarkStart w:id="267" w:name="OLE_LINK25"/>
      <w:r>
        <w:rPr>
          <w:rFonts w:hint="eastAsia" w:ascii="黑体" w:hAnsi="黑体" w:eastAsia="黑体"/>
          <w:b/>
          <w:bCs/>
          <w:color w:val="auto"/>
          <w:kern w:val="44"/>
          <w:sz w:val="36"/>
          <w:szCs w:val="28"/>
        </w:rPr>
        <w:t>附件1 关于联合惩戒失信行为加强信用查询管理的通知</w:t>
      </w:r>
    </w:p>
    <w:bookmarkEnd w:id="265"/>
    <w:p w14:paraId="09EF48F4">
      <w:pPr>
        <w:adjustRightInd w:val="0"/>
        <w:snapToGrid w:val="0"/>
        <w:spacing w:line="560" w:lineRule="exact"/>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一、失信行为联合惩戒的范围和查询渠道</w:t>
      </w:r>
    </w:p>
    <w:p w14:paraId="7491ED24">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在我市公共资源交易活动中对存在下列失信行为的投标人、法定代表人及其项目经理（建造师）实施联合惩戒，禁止参与我市公共资源交易活动。</w:t>
      </w:r>
    </w:p>
    <w:p w14:paraId="2A72B21C">
      <w:pPr>
        <w:adjustRightInd w:val="0"/>
        <w:snapToGrid w:val="0"/>
        <w:spacing w:line="560" w:lineRule="exact"/>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（一）工程建设项目</w:t>
      </w:r>
    </w:p>
    <w:bookmarkEnd w:id="266"/>
    <w:bookmarkEnd w:id="267"/>
    <w:p w14:paraId="5BBE0F6F">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1、“信用中国”网站（www.creditchina.gov.cn）查询</w:t>
      </w:r>
      <w:bookmarkStart w:id="268" w:name="OLE_LINK103"/>
      <w:bookmarkStart w:id="269" w:name="OLE_LINK93"/>
      <w:bookmarkStart w:id="270" w:name="OLE_LINK92"/>
      <w:bookmarkStart w:id="271" w:name="OLE_LINK91"/>
      <w:r>
        <w:rPr>
          <w:rFonts w:hint="eastAsia" w:ascii="仿宋_GB2312" w:hAnsi="宋体" w:eastAsia="仿宋_GB2312"/>
          <w:color w:val="auto"/>
          <w:sz w:val="28"/>
          <w:szCs w:val="28"/>
        </w:rPr>
        <w:t>投标人、法定代表人及其项目经理(建造师)</w:t>
      </w:r>
      <w:bookmarkEnd w:id="268"/>
      <w:bookmarkEnd w:id="269"/>
      <w:bookmarkEnd w:id="270"/>
      <w:bookmarkEnd w:id="271"/>
      <w:r>
        <w:rPr>
          <w:rFonts w:hint="eastAsia" w:ascii="仿宋_GB2312" w:hAnsi="宋体" w:eastAsia="仿宋_GB2312"/>
          <w:color w:val="auto"/>
          <w:sz w:val="28"/>
          <w:szCs w:val="28"/>
        </w:rPr>
        <w:t>以下失信行为：</w:t>
      </w:r>
    </w:p>
    <w:p w14:paraId="31633A37">
      <w:pPr>
        <w:adjustRightInd w:val="0"/>
        <w:snapToGrid w:val="0"/>
        <w:spacing w:line="560" w:lineRule="exact"/>
        <w:ind w:firstLine="560" w:firstLineChars="200"/>
        <w:rPr>
          <w:rFonts w:hint="eastAsia" w:ascii="仿宋_GB2312" w:hAnsi="宋体" w:eastAsia="仿宋_GB2312"/>
          <w:color w:val="auto"/>
          <w:sz w:val="28"/>
          <w:szCs w:val="28"/>
        </w:rPr>
      </w:pPr>
      <w:bookmarkStart w:id="272" w:name="OLE_LINK94"/>
      <w:bookmarkStart w:id="273" w:name="OLE_LINK86"/>
      <w:bookmarkStart w:id="274" w:name="OLE_LINK119"/>
      <w:bookmarkStart w:id="275" w:name="OLE_LINK87"/>
      <w:r>
        <w:rPr>
          <w:rFonts w:hint="eastAsia" w:ascii="仿宋_GB2312" w:hAnsi="宋体" w:eastAsia="仿宋_GB2312"/>
          <w:color w:val="auto"/>
          <w:sz w:val="28"/>
          <w:szCs w:val="28"/>
        </w:rPr>
        <w:t>①被列入“失信被执行人”的;</w:t>
      </w:r>
    </w:p>
    <w:p w14:paraId="6064C3D9">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②被列入</w:t>
      </w:r>
      <w:bookmarkStart w:id="276" w:name="OLE_LINK115"/>
      <w:bookmarkStart w:id="277" w:name="OLE_LINK116"/>
      <w:bookmarkStart w:id="278" w:name="OLE_LINK118"/>
      <w:bookmarkStart w:id="279" w:name="OLE_LINK117"/>
      <w:r>
        <w:rPr>
          <w:rFonts w:hint="eastAsia" w:ascii="仿宋_GB2312" w:hAnsi="宋体" w:eastAsia="仿宋_GB2312"/>
          <w:color w:val="auto"/>
          <w:sz w:val="28"/>
          <w:szCs w:val="28"/>
        </w:rPr>
        <w:t>“重大税收违法失信主体”</w:t>
      </w:r>
      <w:bookmarkEnd w:id="276"/>
      <w:bookmarkEnd w:id="277"/>
      <w:bookmarkEnd w:id="278"/>
      <w:bookmarkEnd w:id="279"/>
      <w:r>
        <w:rPr>
          <w:rFonts w:hint="eastAsia" w:ascii="仿宋_GB2312" w:hAnsi="宋体" w:eastAsia="仿宋_GB2312"/>
          <w:color w:val="auto"/>
          <w:sz w:val="28"/>
          <w:szCs w:val="28"/>
        </w:rPr>
        <w:t>的；</w:t>
      </w:r>
    </w:p>
    <w:p w14:paraId="3428A5D1">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③被列入“拖欠</w:t>
      </w:r>
      <w:bookmarkStart w:id="280" w:name="OLE_LINK85"/>
      <w:bookmarkStart w:id="281" w:name="OLE_LINK84"/>
      <w:r>
        <w:rPr>
          <w:rFonts w:hint="eastAsia" w:ascii="仿宋_GB2312" w:hAnsi="宋体" w:eastAsia="仿宋_GB2312"/>
          <w:color w:val="auto"/>
          <w:sz w:val="28"/>
          <w:szCs w:val="28"/>
        </w:rPr>
        <w:t>农民工工资失信联合惩戒对象</w:t>
      </w:r>
      <w:bookmarkEnd w:id="280"/>
      <w:bookmarkEnd w:id="281"/>
      <w:r>
        <w:rPr>
          <w:rFonts w:hint="eastAsia" w:ascii="仿宋_GB2312" w:hAnsi="宋体" w:eastAsia="仿宋_GB2312"/>
          <w:color w:val="auto"/>
          <w:sz w:val="28"/>
          <w:szCs w:val="28"/>
        </w:rPr>
        <w:t>名单”的；</w:t>
      </w:r>
    </w:p>
    <w:p w14:paraId="29D385A6">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④被列入 “严重失信主体名单”的；</w:t>
      </w:r>
    </w:p>
    <w:p w14:paraId="4E6348A5">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⑤在“信用中国”网站上披露的仍在公示期的严重失信行为(具体行为类别及判定依据见附件2)的。</w:t>
      </w:r>
    </w:p>
    <w:bookmarkEnd w:id="272"/>
    <w:bookmarkEnd w:id="273"/>
    <w:bookmarkEnd w:id="274"/>
    <w:bookmarkEnd w:id="275"/>
    <w:p w14:paraId="0A5D7CC0">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w:t>
      </w:r>
      <w:bookmarkStart w:id="282" w:name="OLE_LINK130"/>
      <w:r>
        <w:rPr>
          <w:rFonts w:hint="eastAsia" w:ascii="仿宋_GB2312" w:hAnsi="宋体" w:eastAsia="仿宋_GB2312"/>
          <w:color w:val="auto"/>
          <w:sz w:val="28"/>
          <w:szCs w:val="28"/>
        </w:rPr>
        <w:t>国家企业信用信息公示系统网站</w:t>
      </w:r>
      <w:bookmarkEnd w:id="282"/>
      <w:r>
        <w:rPr>
          <w:rFonts w:hint="eastAsia" w:ascii="仿宋_GB2312" w:hAnsi="宋体" w:eastAsia="仿宋_GB2312"/>
          <w:color w:val="auto"/>
          <w:sz w:val="28"/>
          <w:szCs w:val="28"/>
        </w:rPr>
        <w:t>（</w:t>
      </w:r>
      <w:r>
        <w:rPr>
          <w:color w:val="auto"/>
        </w:rPr>
        <w:fldChar w:fldCharType="begin"/>
      </w:r>
      <w:r>
        <w:rPr>
          <w:color w:val="auto"/>
        </w:rPr>
        <w:instrText xml:space="preserve"> HYPERLINK "http://www.gsxt.gov.cn</w:instrText>
      </w:r>
      <w:r>
        <w:rPr>
          <w:rFonts w:hint="eastAsia"/>
          <w:color w:val="auto"/>
        </w:rPr>
        <w:instrText xml:space="preserve">）查询</w:instrText>
      </w:r>
      <w:r>
        <w:rPr>
          <w:color w:val="auto"/>
        </w:rPr>
        <w:instrText xml:space="preserve">" </w:instrText>
      </w:r>
      <w:r>
        <w:rPr>
          <w:color w:val="auto"/>
        </w:rPr>
        <w:fldChar w:fldCharType="separate"/>
      </w:r>
      <w:bookmarkStart w:id="283" w:name="OLE_LINK89"/>
      <w:bookmarkStart w:id="284" w:name="OLE_LINK90"/>
      <w:r>
        <w:rPr>
          <w:rStyle w:val="43"/>
          <w:rFonts w:hint="eastAsia" w:ascii="仿宋_GB2312" w:hAnsi="宋体" w:eastAsia="仿宋_GB2312"/>
          <w:color w:val="auto"/>
          <w:sz w:val="28"/>
          <w:szCs w:val="28"/>
        </w:rPr>
        <w:t>www.gsxt.gov.cn</w:t>
      </w:r>
      <w:bookmarkEnd w:id="283"/>
      <w:bookmarkEnd w:id="284"/>
      <w:r>
        <w:rPr>
          <w:rStyle w:val="43"/>
          <w:rFonts w:hint="eastAsia" w:ascii="仿宋_GB2312" w:hAnsi="宋体" w:eastAsia="仿宋_GB2312"/>
          <w:color w:val="auto"/>
          <w:sz w:val="28"/>
          <w:szCs w:val="28"/>
        </w:rPr>
        <w:t>）</w:t>
      </w:r>
      <w:r>
        <w:rPr>
          <w:color w:val="auto"/>
        </w:rPr>
        <w:fldChar w:fldCharType="end"/>
      </w:r>
      <w:r>
        <w:rPr>
          <w:rFonts w:hint="eastAsia" w:ascii="仿宋_GB2312" w:hAnsi="宋体" w:eastAsia="仿宋_GB2312"/>
          <w:color w:val="auto"/>
          <w:sz w:val="28"/>
          <w:szCs w:val="28"/>
        </w:rPr>
        <w:t>查询投标人以下失信行为：</w:t>
      </w:r>
    </w:p>
    <w:p w14:paraId="7F23B9C7">
      <w:pPr>
        <w:adjustRightInd w:val="0"/>
        <w:snapToGrid w:val="0"/>
        <w:spacing w:line="560" w:lineRule="exact"/>
        <w:ind w:firstLine="560" w:firstLineChars="200"/>
        <w:rPr>
          <w:rFonts w:hint="eastAsia" w:ascii="仿宋_GB2312" w:hAnsi="宋体" w:eastAsia="仿宋_GB2312"/>
          <w:color w:val="auto"/>
          <w:sz w:val="28"/>
          <w:szCs w:val="28"/>
        </w:rPr>
      </w:pPr>
      <w:bookmarkStart w:id="285" w:name="OLE_LINK120"/>
      <w:bookmarkStart w:id="286" w:name="OLE_LINK121"/>
      <w:bookmarkStart w:id="287" w:name="OLE_LINK122"/>
      <w:r>
        <w:rPr>
          <w:rFonts w:hint="eastAsia" w:ascii="仿宋_GB2312" w:hAnsi="宋体" w:eastAsia="仿宋_GB2312"/>
          <w:color w:val="auto"/>
          <w:sz w:val="28"/>
          <w:szCs w:val="28"/>
        </w:rPr>
        <w:t>①被列入“经营异常名录”或者“严重违法失信名单”的。</w:t>
      </w:r>
      <w:bookmarkEnd w:id="285"/>
      <w:bookmarkEnd w:id="286"/>
      <w:bookmarkEnd w:id="287"/>
    </w:p>
    <w:p w14:paraId="7F451E43">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3、由</w:t>
      </w:r>
      <w:r>
        <w:rPr>
          <w:rFonts w:hint="eastAsia" w:ascii="仿宋_GB2312" w:hAnsi="宋体" w:eastAsia="仿宋_GB2312"/>
          <w:color w:val="auto"/>
          <w:kern w:val="0"/>
          <w:sz w:val="28"/>
          <w:szCs w:val="28"/>
        </w:rPr>
        <w:t>投标人、法定代表人及其项目经理(建造师)</w:t>
      </w:r>
      <w:r>
        <w:rPr>
          <w:rFonts w:hint="eastAsia" w:ascii="仿宋_GB2312" w:hAnsi="宋体" w:eastAsia="仿宋_GB2312"/>
          <w:color w:val="auto"/>
          <w:sz w:val="28"/>
          <w:szCs w:val="28"/>
        </w:rPr>
        <w:t>进行承诺，不进行现场网上信用查询的失信行为：</w:t>
      </w:r>
    </w:p>
    <w:p w14:paraId="5A1C823B">
      <w:pPr>
        <w:adjustRightInd w:val="0"/>
        <w:snapToGrid w:val="0"/>
        <w:spacing w:line="560" w:lineRule="exact"/>
        <w:ind w:firstLine="560" w:firstLineChars="200"/>
        <w:rPr>
          <w:rFonts w:hint="eastAsia" w:ascii="仿宋_GB2312" w:hAnsi="宋体" w:eastAsia="仿宋_GB2312" w:cs="楷体"/>
          <w:color w:val="auto"/>
          <w:sz w:val="28"/>
          <w:szCs w:val="28"/>
        </w:rPr>
      </w:pPr>
      <w:bookmarkStart w:id="288" w:name="OLE_LINK124"/>
      <w:bookmarkStart w:id="289" w:name="OLE_LINK123"/>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p>
    <w:p w14:paraId="231D8390">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②被滁州市县两级公管部门取消在一定期限内的投标资格且在取消期限内的；</w:t>
      </w:r>
    </w:p>
    <w:p w14:paraId="2FB7E820">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③被滁州市县两级各行业主管部门取消在一定期限内的投标资格且在取消期限内的；</w:t>
      </w:r>
    </w:p>
    <w:p w14:paraId="6E85F77C">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④因拖欠农民工工资被</w:t>
      </w:r>
      <w:bookmarkStart w:id="290" w:name="OLE_LINK107"/>
      <w:bookmarkStart w:id="291" w:name="OLE_LINK108"/>
      <w:r>
        <w:rPr>
          <w:rFonts w:hint="eastAsia" w:ascii="仿宋_GB2312" w:hAnsi="宋体" w:eastAsia="仿宋_GB2312"/>
          <w:color w:val="auto"/>
          <w:sz w:val="28"/>
          <w:szCs w:val="28"/>
        </w:rPr>
        <w:t>县级及以上有关行政主管部门限制投标资格且在限制期限内的</w:t>
      </w:r>
      <w:bookmarkEnd w:id="290"/>
      <w:bookmarkEnd w:id="291"/>
      <w:r>
        <w:rPr>
          <w:rFonts w:hint="eastAsia" w:ascii="仿宋_GB2312" w:hAnsi="宋体" w:eastAsia="仿宋_GB2312"/>
          <w:color w:val="auto"/>
          <w:sz w:val="28"/>
          <w:szCs w:val="28"/>
        </w:rPr>
        <w:t>；</w:t>
      </w:r>
    </w:p>
    <w:p w14:paraId="79502ED6">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88"/>
    <w:bookmarkEnd w:id="289"/>
    <w:p w14:paraId="358F610D">
      <w:pPr>
        <w:adjustRightInd w:val="0"/>
        <w:snapToGrid w:val="0"/>
        <w:spacing w:line="560" w:lineRule="exact"/>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（二）政府采购项目</w:t>
      </w:r>
    </w:p>
    <w:p w14:paraId="6DF8673D">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1、“信用中国”网站</w:t>
      </w:r>
      <w:r>
        <w:rPr>
          <w:rFonts w:hint="eastAsia" w:ascii="仿宋" w:hAnsi="仿宋" w:eastAsia="仿宋"/>
          <w:color w:val="auto"/>
          <w:sz w:val="28"/>
          <w:szCs w:val="28"/>
        </w:rPr>
        <w:t>（</w:t>
      </w:r>
      <w:r>
        <w:rPr>
          <w:rStyle w:val="43"/>
          <w:rFonts w:hint="eastAsia" w:ascii="仿宋" w:hAnsi="仿宋" w:eastAsia="仿宋"/>
          <w:color w:val="auto"/>
          <w:sz w:val="28"/>
          <w:szCs w:val="28"/>
        </w:rPr>
        <w:t>www.creditchina.gov.cn</w:t>
      </w:r>
      <w:r>
        <w:rPr>
          <w:rFonts w:hint="eastAsia" w:ascii="仿宋" w:hAnsi="仿宋" w:eastAsia="仿宋"/>
          <w:color w:val="auto"/>
          <w:sz w:val="28"/>
          <w:szCs w:val="28"/>
        </w:rPr>
        <w:t>）</w:t>
      </w:r>
      <w:r>
        <w:rPr>
          <w:rFonts w:hint="eastAsia" w:ascii="仿宋_GB2312" w:hAnsi="宋体" w:eastAsia="仿宋_GB2312"/>
          <w:color w:val="auto"/>
          <w:sz w:val="28"/>
          <w:szCs w:val="28"/>
        </w:rPr>
        <w:t>查询供应商、法定代表人及其项目负责人以下失信行为：</w:t>
      </w:r>
    </w:p>
    <w:p w14:paraId="6E5FFC0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①被列入“失信被执行人”的;</w:t>
      </w:r>
    </w:p>
    <w:p w14:paraId="4C27756B">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②被列入“重大税收违法失信主体”的；</w:t>
      </w:r>
    </w:p>
    <w:p w14:paraId="3610941F">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③被列入 “严重失信主体名单”的；</w:t>
      </w:r>
    </w:p>
    <w:p w14:paraId="460AF409">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④在“信用中国”网站上披露的仍在公示期的严重失信行为(具体行为类别及判定依据见附件2)的。</w:t>
      </w:r>
    </w:p>
    <w:p w14:paraId="2C860A14">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2、国家企业信用信息公示系统网站</w:t>
      </w:r>
      <w:r>
        <w:rPr>
          <w:rFonts w:hint="eastAsia" w:ascii="仿宋" w:hAnsi="仿宋" w:eastAsia="仿宋"/>
          <w:color w:val="auto"/>
          <w:sz w:val="28"/>
          <w:szCs w:val="28"/>
        </w:rPr>
        <w:t>（</w:t>
      </w:r>
      <w:r>
        <w:rPr>
          <w:color w:val="auto"/>
        </w:rPr>
        <w:fldChar w:fldCharType="begin"/>
      </w:r>
      <w:r>
        <w:rPr>
          <w:color w:val="auto"/>
        </w:rPr>
        <w:instrText xml:space="preserve"> HYPERLINK "http://www.gsxt.gov.cn</w:instrText>
      </w:r>
      <w:r>
        <w:rPr>
          <w:rFonts w:hint="eastAsia"/>
          <w:color w:val="auto"/>
        </w:rPr>
        <w:instrText xml:space="preserve">）查询</w:instrText>
      </w:r>
      <w:r>
        <w:rPr>
          <w:color w:val="auto"/>
        </w:rPr>
        <w:instrText xml:space="preserve">" </w:instrText>
      </w:r>
      <w:r>
        <w:rPr>
          <w:color w:val="auto"/>
        </w:rPr>
        <w:fldChar w:fldCharType="separate"/>
      </w:r>
      <w:r>
        <w:rPr>
          <w:rStyle w:val="43"/>
          <w:rFonts w:hint="eastAsia" w:ascii="仿宋" w:hAnsi="仿宋" w:eastAsia="仿宋"/>
          <w:color w:val="auto"/>
          <w:sz w:val="28"/>
          <w:szCs w:val="28"/>
        </w:rPr>
        <w:t>www.gsxt.gov.cn）</w:t>
      </w:r>
      <w:r>
        <w:rPr>
          <w:color w:val="auto"/>
        </w:rPr>
        <w:fldChar w:fldCharType="end"/>
      </w:r>
      <w:r>
        <w:rPr>
          <w:rFonts w:hint="eastAsia" w:ascii="仿宋_GB2312" w:hAnsi="宋体" w:eastAsia="仿宋_GB2312"/>
          <w:color w:val="auto"/>
          <w:sz w:val="28"/>
          <w:szCs w:val="28"/>
        </w:rPr>
        <w:t>查询供应商以下失信行为：</w:t>
      </w:r>
    </w:p>
    <w:p w14:paraId="3FA2CB05">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①</w:t>
      </w:r>
      <w:bookmarkStart w:id="292" w:name="OLE_LINK102"/>
      <w:bookmarkStart w:id="293" w:name="OLE_LINK101"/>
      <w:bookmarkStart w:id="294" w:name="OLE_LINK100"/>
      <w:r>
        <w:rPr>
          <w:rFonts w:hint="eastAsia" w:ascii="仿宋_GB2312" w:hAnsi="宋体" w:eastAsia="仿宋_GB2312"/>
          <w:color w:val="auto"/>
          <w:sz w:val="28"/>
          <w:szCs w:val="28"/>
        </w:rPr>
        <w:t>被列入“经营异常名录”或者“严重违法失信名单”的</w:t>
      </w:r>
      <w:bookmarkEnd w:id="292"/>
      <w:bookmarkEnd w:id="293"/>
      <w:bookmarkEnd w:id="294"/>
      <w:r>
        <w:rPr>
          <w:rFonts w:hint="eastAsia" w:ascii="仿宋_GB2312" w:hAnsi="宋体" w:eastAsia="仿宋_GB2312"/>
          <w:color w:val="auto"/>
          <w:sz w:val="28"/>
          <w:szCs w:val="28"/>
        </w:rPr>
        <w:t>。</w:t>
      </w:r>
    </w:p>
    <w:p w14:paraId="7E0433B2">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3、中国政府采购网站</w:t>
      </w:r>
      <w:r>
        <w:rPr>
          <w:rFonts w:hint="eastAsia" w:ascii="仿宋" w:hAnsi="仿宋" w:eastAsia="仿宋"/>
          <w:color w:val="auto"/>
          <w:sz w:val="28"/>
          <w:szCs w:val="28"/>
        </w:rPr>
        <w:t>（</w:t>
      </w:r>
      <w:bookmarkStart w:id="295" w:name="OLE_LINK96"/>
      <w:bookmarkStart w:id="296" w:name="OLE_LINK95"/>
      <w:r>
        <w:rPr>
          <w:rFonts w:ascii="仿宋" w:hAnsi="仿宋" w:eastAsia="仿宋"/>
          <w:color w:val="auto"/>
          <w:sz w:val="28"/>
          <w:szCs w:val="28"/>
        </w:rPr>
        <w:fldChar w:fldCharType="begin"/>
      </w:r>
      <w:r>
        <w:rPr>
          <w:rFonts w:ascii="仿宋" w:hAnsi="仿宋" w:eastAsia="仿宋"/>
          <w:color w:val="auto"/>
          <w:sz w:val="28"/>
          <w:szCs w:val="28"/>
        </w:rPr>
        <w:instrText xml:space="preserve"> HYPERLINK "http://www.ccgp.gov.cn" </w:instrText>
      </w:r>
      <w:r>
        <w:rPr>
          <w:rFonts w:ascii="仿宋" w:hAnsi="仿宋" w:eastAsia="仿宋"/>
          <w:color w:val="auto"/>
          <w:sz w:val="28"/>
          <w:szCs w:val="28"/>
        </w:rPr>
        <w:fldChar w:fldCharType="separate"/>
      </w:r>
      <w:r>
        <w:rPr>
          <w:rStyle w:val="43"/>
          <w:rFonts w:hint="eastAsia" w:ascii="仿宋" w:hAnsi="仿宋" w:eastAsia="仿宋"/>
          <w:color w:val="auto"/>
          <w:sz w:val="28"/>
          <w:szCs w:val="28"/>
        </w:rPr>
        <w:t>www.ccgp.gov.cn</w:t>
      </w:r>
      <w:r>
        <w:rPr>
          <w:rFonts w:ascii="仿宋" w:hAnsi="仿宋" w:eastAsia="仿宋"/>
          <w:color w:val="auto"/>
          <w:sz w:val="28"/>
          <w:szCs w:val="28"/>
        </w:rPr>
        <w:fldChar w:fldCharType="end"/>
      </w:r>
      <w:bookmarkEnd w:id="295"/>
      <w:bookmarkEnd w:id="296"/>
      <w:r>
        <w:rPr>
          <w:rFonts w:hint="eastAsia" w:ascii="仿宋" w:hAnsi="仿宋" w:eastAsia="仿宋"/>
          <w:color w:val="auto"/>
          <w:sz w:val="28"/>
          <w:szCs w:val="28"/>
        </w:rPr>
        <w:t>）</w:t>
      </w:r>
      <w:r>
        <w:rPr>
          <w:rFonts w:hint="eastAsia" w:ascii="仿宋_GB2312" w:hAnsi="宋体" w:eastAsia="仿宋_GB2312"/>
          <w:color w:val="auto"/>
          <w:sz w:val="28"/>
          <w:szCs w:val="28"/>
        </w:rPr>
        <w:t>查询以下失信行为：</w:t>
      </w:r>
    </w:p>
    <w:p w14:paraId="1F660FCD">
      <w:pPr>
        <w:adjustRightInd w:val="0"/>
        <w:snapToGrid w:val="0"/>
        <w:spacing w:line="560" w:lineRule="exact"/>
        <w:ind w:firstLine="560" w:firstLineChars="200"/>
        <w:rPr>
          <w:rFonts w:hint="eastAsia" w:ascii="仿宋_GB2312" w:hAnsi="宋体" w:eastAsia="仿宋_GB2312" w:cs="楷体"/>
          <w:color w:val="auto"/>
          <w:sz w:val="28"/>
          <w:szCs w:val="28"/>
        </w:rPr>
      </w:pPr>
      <w:r>
        <w:rPr>
          <w:rFonts w:hint="eastAsia" w:ascii="仿宋_GB2312" w:hAnsi="宋体" w:eastAsia="仿宋_GB2312"/>
          <w:color w:val="auto"/>
          <w:sz w:val="28"/>
          <w:szCs w:val="28"/>
        </w:rPr>
        <w:t>①</w:t>
      </w:r>
      <w:bookmarkStart w:id="297" w:name="OLE_LINK106"/>
      <w:bookmarkStart w:id="298" w:name="OLE_LINK105"/>
      <w:bookmarkStart w:id="299" w:name="OLE_LINK104"/>
      <w:r>
        <w:rPr>
          <w:rFonts w:hint="eastAsia" w:ascii="仿宋_GB2312" w:hAnsi="宋体" w:eastAsia="仿宋_GB2312"/>
          <w:color w:val="auto"/>
          <w:sz w:val="28"/>
          <w:szCs w:val="28"/>
        </w:rPr>
        <w:t>被列入“政府采购严重违法失信行为信息记录”的</w:t>
      </w:r>
      <w:bookmarkEnd w:id="297"/>
      <w:bookmarkEnd w:id="298"/>
      <w:bookmarkEnd w:id="299"/>
      <w:r>
        <w:rPr>
          <w:rFonts w:hint="eastAsia" w:ascii="仿宋_GB2312" w:hAnsi="宋体" w:eastAsia="仿宋_GB2312" w:cs="楷体"/>
          <w:color w:val="auto"/>
          <w:sz w:val="28"/>
          <w:szCs w:val="28"/>
        </w:rPr>
        <w:t>。</w:t>
      </w:r>
    </w:p>
    <w:p w14:paraId="4C94D05A">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4、由竞争主体进行承诺，不进行现场网上信用查询的失信行为：</w:t>
      </w:r>
    </w:p>
    <w:p w14:paraId="60CCB87D">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r>
        <w:rPr>
          <w:rFonts w:hint="eastAsia" w:ascii="仿宋_GB2312" w:hAnsi="宋体" w:eastAsia="仿宋_GB2312"/>
          <w:color w:val="auto"/>
          <w:sz w:val="28"/>
          <w:szCs w:val="28"/>
        </w:rPr>
        <w:t>。</w:t>
      </w:r>
    </w:p>
    <w:p w14:paraId="4EF74D3C">
      <w:pPr>
        <w:adjustRightInd w:val="0"/>
        <w:snapToGrid w:val="0"/>
        <w:spacing w:line="560" w:lineRule="exact"/>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二、在开评标活动中的查询程序</w:t>
      </w:r>
    </w:p>
    <w:p w14:paraId="1ADEC79E">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50755D1">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556BD2F">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3、项目单位及其委托的代理机构应当做好信用查询结果截图和记录留存。</w:t>
      </w:r>
    </w:p>
    <w:p w14:paraId="40888E11">
      <w:pPr>
        <w:adjustRightInd w:val="0"/>
        <w:snapToGrid w:val="0"/>
        <w:spacing w:line="560" w:lineRule="exact"/>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三、相关要求</w:t>
      </w:r>
    </w:p>
    <w:p w14:paraId="0F3D9FF1">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68856F8D">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08A278">
      <w:pPr>
        <w:wordWrap w:val="0"/>
        <w:adjustRightInd w:val="0"/>
        <w:snapToGrid w:val="0"/>
        <w:spacing w:line="560" w:lineRule="exact"/>
        <w:ind w:firstLine="560" w:firstLineChars="200"/>
        <w:rPr>
          <w:rFonts w:hint="eastAsia"/>
          <w:color w:val="auto"/>
        </w:rPr>
      </w:pPr>
      <w:r>
        <w:rPr>
          <w:rFonts w:hint="eastAsia" w:ascii="仿宋_GB2312" w:hAnsi="宋体" w:eastAsia="仿宋_GB2312"/>
          <w:color w:val="auto"/>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rPr>
        <w:fldChar w:fldCharType="begin"/>
      </w:r>
      <w:r>
        <w:rPr>
          <w:color w:val="auto"/>
        </w:rPr>
        <w:instrText xml:space="preserve"> HYPERLINK "https://credit.ah.gov.cn/xinyong-fuwu/xvbahv/index.html" </w:instrText>
      </w:r>
      <w:r>
        <w:rPr>
          <w:color w:val="auto"/>
        </w:rPr>
        <w:fldChar w:fldCharType="separate"/>
      </w:r>
      <w:r>
        <w:rPr>
          <w:rStyle w:val="43"/>
          <w:rFonts w:hint="eastAsia" w:ascii="仿宋_GB2312" w:hAnsi="宋体" w:eastAsia="仿宋_GB2312"/>
          <w:color w:val="auto"/>
          <w:sz w:val="28"/>
          <w:szCs w:val="28"/>
        </w:rPr>
        <w:t>https://credit.ah.gov.cn/xinyong-fuwu/xvbahv/index.html</w:t>
      </w:r>
      <w:r>
        <w:rPr>
          <w:color w:val="auto"/>
        </w:rPr>
        <w:fldChar w:fldCharType="end"/>
      </w:r>
      <w:r>
        <w:rPr>
          <w:rFonts w:hint="eastAsia" w:ascii="仿宋_GB2312" w:hAnsi="宋体" w:eastAsia="仿宋_GB2312"/>
          <w:color w:val="auto"/>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64DBC1A">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2、“信用中国”查询的严重失信行为判定依据为各行业主管部门下发的联合惩戒文件中规定的行为（按附件2执行）。</w:t>
      </w:r>
    </w:p>
    <w:p w14:paraId="08DD519F">
      <w:pPr>
        <w:adjustRightInd w:val="0"/>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3、资格预审的项目以递交资格预审申请文件截止时间查询为准；资格后审的项目以递交投标文件截止时间查询为准。</w:t>
      </w:r>
    </w:p>
    <w:p w14:paraId="1F54F98A">
      <w:pPr>
        <w:ind w:right="960"/>
        <w:rPr>
          <w:rFonts w:hint="eastAsia" w:ascii="仿宋" w:hAnsi="仿宋" w:eastAsia="仿宋"/>
          <w:color w:val="auto"/>
          <w:sz w:val="32"/>
          <w:szCs w:val="32"/>
        </w:rPr>
      </w:pPr>
    </w:p>
    <w:p w14:paraId="65694503">
      <w:pPr>
        <w:ind w:right="960"/>
        <w:rPr>
          <w:rFonts w:hint="eastAsia" w:ascii="仿宋" w:hAnsi="仿宋" w:eastAsia="仿宋"/>
          <w:color w:val="auto"/>
          <w:sz w:val="32"/>
          <w:szCs w:val="32"/>
        </w:rPr>
      </w:pPr>
    </w:p>
    <w:p w14:paraId="5C10B31A">
      <w:pPr>
        <w:ind w:right="960"/>
        <w:rPr>
          <w:rFonts w:hint="eastAsia" w:ascii="仿宋" w:hAnsi="仿宋" w:eastAsia="仿宋"/>
          <w:color w:val="auto"/>
          <w:sz w:val="32"/>
          <w:szCs w:val="32"/>
        </w:rPr>
      </w:pPr>
    </w:p>
    <w:p w14:paraId="4ED7F3C0">
      <w:pPr>
        <w:ind w:right="960"/>
        <w:rPr>
          <w:rFonts w:hint="eastAsia" w:ascii="仿宋" w:hAnsi="仿宋" w:eastAsia="仿宋"/>
          <w:color w:val="auto"/>
          <w:sz w:val="32"/>
          <w:szCs w:val="32"/>
        </w:rPr>
      </w:pPr>
    </w:p>
    <w:p w14:paraId="0AA6AE41">
      <w:pPr>
        <w:ind w:right="960"/>
        <w:rPr>
          <w:rFonts w:hint="eastAsia" w:ascii="仿宋" w:hAnsi="仿宋" w:eastAsia="仿宋"/>
          <w:color w:val="auto"/>
          <w:sz w:val="32"/>
          <w:szCs w:val="32"/>
        </w:rPr>
      </w:pPr>
    </w:p>
    <w:p w14:paraId="78BDC27E">
      <w:pPr>
        <w:ind w:right="960"/>
        <w:rPr>
          <w:rFonts w:hint="eastAsia" w:ascii="仿宋" w:hAnsi="仿宋" w:eastAsia="仿宋"/>
          <w:color w:val="auto"/>
          <w:sz w:val="32"/>
          <w:szCs w:val="32"/>
        </w:rPr>
      </w:pPr>
    </w:p>
    <w:p w14:paraId="5D47F892">
      <w:pPr>
        <w:ind w:right="960"/>
        <w:rPr>
          <w:rFonts w:hint="eastAsia" w:ascii="仿宋" w:hAnsi="仿宋" w:eastAsia="仿宋"/>
          <w:color w:val="auto"/>
          <w:sz w:val="32"/>
          <w:szCs w:val="32"/>
        </w:rPr>
      </w:pPr>
    </w:p>
    <w:p w14:paraId="4535D000">
      <w:pPr>
        <w:ind w:right="960"/>
        <w:rPr>
          <w:rFonts w:hint="eastAsia" w:ascii="仿宋" w:hAnsi="仿宋" w:eastAsia="仿宋"/>
          <w:color w:val="auto"/>
          <w:sz w:val="32"/>
          <w:szCs w:val="32"/>
        </w:rPr>
      </w:pPr>
    </w:p>
    <w:p w14:paraId="7AEC937D">
      <w:pPr>
        <w:pStyle w:val="32"/>
        <w:rPr>
          <w:rFonts w:hint="eastAsia"/>
          <w:color w:val="auto"/>
        </w:rPr>
      </w:pPr>
    </w:p>
    <w:p w14:paraId="4B23403B">
      <w:pPr>
        <w:rPr>
          <w:rFonts w:hint="eastAsia"/>
          <w:color w:val="auto"/>
        </w:rPr>
      </w:pPr>
    </w:p>
    <w:p w14:paraId="1088A673">
      <w:pPr>
        <w:pStyle w:val="32"/>
        <w:rPr>
          <w:rFonts w:hint="eastAsia"/>
          <w:color w:val="auto"/>
        </w:rPr>
      </w:pPr>
    </w:p>
    <w:p w14:paraId="62E33479">
      <w:pPr>
        <w:rPr>
          <w:rFonts w:hint="eastAsia"/>
          <w:color w:val="auto"/>
        </w:rPr>
      </w:pPr>
    </w:p>
    <w:p w14:paraId="37FA5FDC">
      <w:pPr>
        <w:pStyle w:val="32"/>
        <w:rPr>
          <w:rFonts w:hint="eastAsia"/>
          <w:color w:val="auto"/>
        </w:rPr>
      </w:pPr>
    </w:p>
    <w:p w14:paraId="51DA8943">
      <w:pPr>
        <w:rPr>
          <w:rFonts w:hint="eastAsia"/>
          <w:color w:val="auto"/>
        </w:rPr>
      </w:pPr>
    </w:p>
    <w:p w14:paraId="6D57FC8B">
      <w:pPr>
        <w:ind w:right="960"/>
        <w:rPr>
          <w:rFonts w:hint="eastAsia" w:ascii="仿宋" w:hAnsi="仿宋" w:eastAsia="仿宋"/>
          <w:color w:val="auto"/>
          <w:sz w:val="32"/>
          <w:szCs w:val="32"/>
        </w:rPr>
      </w:pPr>
    </w:p>
    <w:p w14:paraId="444E3F6E">
      <w:pPr>
        <w:keepNext/>
        <w:keepLines/>
        <w:spacing w:before="200" w:after="200" w:line="600" w:lineRule="exact"/>
        <w:outlineLvl w:val="0"/>
        <w:rPr>
          <w:rFonts w:hint="eastAsia" w:ascii="黑体" w:hAnsi="黑体" w:eastAsia="黑体"/>
          <w:b/>
          <w:bCs/>
          <w:color w:val="auto"/>
          <w:kern w:val="44"/>
          <w:sz w:val="36"/>
          <w:szCs w:val="28"/>
        </w:rPr>
      </w:pPr>
      <w:bookmarkStart w:id="300" w:name="_Toc95223549"/>
      <w:bookmarkStart w:id="301" w:name="OLE_LINK31"/>
      <w:bookmarkStart w:id="302" w:name="OLE_LINK41"/>
      <w:bookmarkStart w:id="303" w:name="OLE_LINK32"/>
      <w:r>
        <w:rPr>
          <w:rFonts w:hint="eastAsia" w:ascii="黑体" w:hAnsi="黑体" w:eastAsia="黑体"/>
          <w:b/>
          <w:bCs/>
          <w:color w:val="auto"/>
          <w:kern w:val="44"/>
          <w:sz w:val="36"/>
          <w:szCs w:val="28"/>
        </w:rPr>
        <w:t xml:space="preserve">附件2 </w:t>
      </w:r>
      <w:bookmarkStart w:id="304" w:name="OLE_LINK74"/>
      <w:bookmarkStart w:id="305" w:name="OLE_LINK75"/>
      <w:r>
        <w:rPr>
          <w:rFonts w:hint="eastAsia" w:ascii="黑体" w:hAnsi="黑体" w:eastAsia="黑体"/>
          <w:b/>
          <w:bCs/>
          <w:color w:val="auto"/>
          <w:kern w:val="44"/>
          <w:sz w:val="36"/>
          <w:szCs w:val="28"/>
        </w:rPr>
        <w:t>“信用中国”查询的严重失信行为</w:t>
      </w:r>
      <w:bookmarkStart w:id="306" w:name="OLE_LINK38"/>
      <w:bookmarkStart w:id="307" w:name="OLE_LINK76"/>
      <w:bookmarkStart w:id="308" w:name="OLE_LINK39"/>
      <w:bookmarkStart w:id="309" w:name="OLE_LINK40"/>
      <w:r>
        <w:rPr>
          <w:rFonts w:hint="eastAsia" w:ascii="黑体" w:hAnsi="黑体" w:eastAsia="黑体"/>
          <w:b/>
          <w:bCs/>
          <w:color w:val="auto"/>
          <w:kern w:val="44"/>
          <w:sz w:val="36"/>
          <w:szCs w:val="28"/>
        </w:rPr>
        <w:t>类别及判定依据</w:t>
      </w:r>
      <w:bookmarkEnd w:id="300"/>
      <w:bookmarkEnd w:id="304"/>
      <w:bookmarkEnd w:id="305"/>
      <w:bookmarkEnd w:id="306"/>
      <w:bookmarkEnd w:id="307"/>
      <w:bookmarkEnd w:id="308"/>
      <w:bookmarkEnd w:id="309"/>
    </w:p>
    <w:bookmarkEnd w:id="301"/>
    <w:bookmarkEnd w:id="302"/>
    <w:bookmarkEnd w:id="303"/>
    <w:p w14:paraId="4EEFE16F">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32"/>
          <w:szCs w:val="32"/>
        </w:rPr>
        <w:t>“</w:t>
      </w:r>
      <w:r>
        <w:rPr>
          <w:rFonts w:hint="eastAsia" w:ascii="仿宋_GB2312" w:hAnsi="宋体" w:eastAsia="仿宋_GB2312"/>
          <w:color w:val="auto"/>
          <w:sz w:val="28"/>
          <w:szCs w:val="28"/>
        </w:rPr>
        <w:t>信用中国”查询的严重失信行为判定依据为各行业主管部门下发的联合惩戒文件中规定的行为。下面将部分类别的严重失信行为列举如下：</w:t>
      </w:r>
    </w:p>
    <w:p w14:paraId="42112165">
      <w:pPr>
        <w:adjustRightInd w:val="0"/>
        <w:snapToGrid w:val="0"/>
        <w:spacing w:line="560" w:lineRule="exact"/>
        <w:ind w:firstLine="645"/>
        <w:jc w:val="left"/>
        <w:rPr>
          <w:rFonts w:hint="eastAsia" w:ascii="仿宋_GB2312" w:hAnsi="宋体" w:eastAsia="仿宋_GB2312"/>
          <w:b/>
          <w:color w:val="auto"/>
          <w:sz w:val="28"/>
          <w:szCs w:val="28"/>
        </w:rPr>
      </w:pPr>
      <w:r>
        <w:rPr>
          <w:rFonts w:hint="eastAsia" w:ascii="仿宋_GB2312" w:hAnsi="宋体" w:eastAsia="仿宋_GB2312"/>
          <w:b/>
          <w:color w:val="auto"/>
          <w:sz w:val="28"/>
          <w:szCs w:val="28"/>
        </w:rPr>
        <w:t>一、安全生产领域严重失信行为：</w:t>
      </w:r>
    </w:p>
    <w:p w14:paraId="4426B5EC">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（一）下列发生生产安全事故的生产经营单位及其有关人员应当列入严重失信主体名单：</w:t>
      </w:r>
    </w:p>
    <w:p w14:paraId="4CCE8B52">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1、发生特别重大、重大生产安全事故的生产经营单位及其主要负责人，以及经调查认定对该事故发生负有责任，应当列入名单的其他单位和人员；</w:t>
      </w:r>
    </w:p>
    <w:p w14:paraId="3C421B8F">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2、12个月内累计发生2起以上较大生产安全事故的生产经营单位及其主要负责人；</w:t>
      </w:r>
    </w:p>
    <w:p w14:paraId="3A7979C5">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3、发生生产安全事故，情节特别严重、影响特别恶劣，依照《中华人民共和国安全生产法》第一百一十四条的规定被处以罚款数额2倍以上5倍以下罚款的生产经营单位及其主要负责人；</w:t>
      </w:r>
    </w:p>
    <w:p w14:paraId="772D0F39">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4、瞒报、谎报生产安全事故的生产经营单位及其有关责任人员；</w:t>
      </w:r>
    </w:p>
    <w:p w14:paraId="46A1ADC2">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5、发生生产安全事故后，不立即组织抢救或者在事故调查处理期间擅离职守或者逃匿的生产经营单位主要负责人。</w:t>
      </w:r>
    </w:p>
    <w:p w14:paraId="2E2A0BCA">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（二）下列未发生生产安全事故，但因安全生产违法行为，受到行政处罚的生产经营单位或者机构及其有关人员，应当列入严重失信主体名单：</w:t>
      </w:r>
    </w:p>
    <w:p w14:paraId="6CF3A15D">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1、未依法取得安全生产相关许可或者许可被暂扣、吊销期间从事相关生产经营活动的生产经营单位及其主要负责人；</w:t>
      </w:r>
    </w:p>
    <w:p w14:paraId="6C6B6B7C">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2、承担安全评价、认证、检测、检验职责的机构及其直接责任人员租借资质、挂靠、出具虚假报告或者证书的；</w:t>
      </w:r>
    </w:p>
    <w:p w14:paraId="79AFF9DA">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3、在应急管理部门作出行政处罚后，有执行能力拒不执行或者逃避执行的生产经营单位及其主要负责人；</w:t>
      </w:r>
    </w:p>
    <w:p w14:paraId="76A813B0">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4、其他违反安全生产法律法规受到行政处罚，且性质恶劣、情节严重的。</w:t>
      </w:r>
    </w:p>
    <w:p w14:paraId="7481AF83">
      <w:pPr>
        <w:adjustRightInd w:val="0"/>
        <w:snapToGrid w:val="0"/>
        <w:spacing w:line="560" w:lineRule="exact"/>
        <w:ind w:firstLine="645"/>
        <w:jc w:val="left"/>
        <w:rPr>
          <w:rFonts w:hint="eastAsia" w:ascii="仿宋_GB2312" w:hAnsi="Calibri" w:eastAsia="仿宋_GB2312"/>
          <w:b/>
          <w:color w:val="auto"/>
          <w:sz w:val="28"/>
          <w:szCs w:val="28"/>
        </w:rPr>
      </w:pPr>
      <w:r>
        <w:rPr>
          <w:rFonts w:hint="eastAsia" w:ascii="仿宋_GB2312" w:hAnsi="宋体" w:eastAsia="仿宋_GB2312"/>
          <w:b/>
          <w:color w:val="auto"/>
          <w:sz w:val="28"/>
          <w:szCs w:val="28"/>
        </w:rPr>
        <w:t>依据：《安全生产严重失信主体名单管理办法》</w:t>
      </w:r>
      <w:r>
        <w:rPr>
          <w:rFonts w:hint="eastAsia" w:ascii="仿宋_GB2312" w:hAnsi="Calibri" w:eastAsia="仿宋_GB2312"/>
          <w:b/>
          <w:color w:val="auto"/>
          <w:sz w:val="28"/>
          <w:szCs w:val="28"/>
        </w:rPr>
        <w:t>（2023年8月8日应急管理部令第11号）</w:t>
      </w:r>
    </w:p>
    <w:p w14:paraId="07E7CB86">
      <w:pPr>
        <w:adjustRightInd w:val="0"/>
        <w:snapToGrid w:val="0"/>
        <w:spacing w:line="560" w:lineRule="exact"/>
        <w:ind w:firstLine="645"/>
        <w:jc w:val="left"/>
        <w:rPr>
          <w:rFonts w:hint="eastAsia" w:ascii="仿宋_GB2312" w:hAnsi="宋体" w:eastAsia="仿宋_GB2312"/>
          <w:b/>
          <w:color w:val="auto"/>
          <w:sz w:val="28"/>
          <w:szCs w:val="28"/>
        </w:rPr>
      </w:pPr>
    </w:p>
    <w:p w14:paraId="3ADA3BB0">
      <w:pPr>
        <w:adjustRightInd w:val="0"/>
        <w:snapToGrid w:val="0"/>
        <w:spacing w:line="560" w:lineRule="exact"/>
        <w:ind w:firstLine="645"/>
        <w:jc w:val="left"/>
        <w:rPr>
          <w:rFonts w:hint="eastAsia" w:ascii="仿宋_GB2312" w:hAnsi="宋体" w:eastAsia="仿宋_GB2312"/>
          <w:b/>
          <w:color w:val="auto"/>
          <w:sz w:val="28"/>
          <w:szCs w:val="28"/>
        </w:rPr>
      </w:pPr>
      <w:r>
        <w:rPr>
          <w:rFonts w:hint="eastAsia" w:ascii="仿宋_GB2312" w:hAnsi="宋体" w:eastAsia="仿宋_GB2312"/>
          <w:b/>
          <w:color w:val="auto"/>
          <w:sz w:val="28"/>
          <w:szCs w:val="28"/>
        </w:rPr>
        <w:t>二、环境保护领域严重失信行为：</w:t>
      </w:r>
    </w:p>
    <w:p w14:paraId="0B9981A0">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（一）因为环境违法构成</w:t>
      </w:r>
      <w:r>
        <w:rPr>
          <w:color w:val="auto"/>
        </w:rPr>
        <w:fldChar w:fldCharType="begin"/>
      </w:r>
      <w:r>
        <w:rPr>
          <w:color w:val="auto"/>
        </w:rPr>
        <w:instrText xml:space="preserve"> HYPERLINK "https://baike.sogou.com/m/fullLemma?lid=10403954&amp;g_ut=3" \t "https://baike.sogou.com/m/_blank" </w:instrText>
      </w:r>
      <w:r>
        <w:rPr>
          <w:color w:val="auto"/>
        </w:rPr>
        <w:fldChar w:fldCharType="separate"/>
      </w:r>
      <w:r>
        <w:rPr>
          <w:rStyle w:val="43"/>
          <w:rFonts w:hint="eastAsia" w:ascii="仿宋_GB2312" w:hAnsi="宋体" w:eastAsia="仿宋_GB2312"/>
          <w:color w:val="auto"/>
          <w:sz w:val="28"/>
          <w:szCs w:val="28"/>
        </w:rPr>
        <w:t>环境犯罪</w:t>
      </w:r>
      <w:r>
        <w:rPr>
          <w:color w:val="auto"/>
        </w:rPr>
        <w:fldChar w:fldCharType="end"/>
      </w:r>
      <w:r>
        <w:rPr>
          <w:rFonts w:hint="eastAsia" w:ascii="仿宋_GB2312" w:hAnsi="宋体" w:eastAsia="仿宋_GB2312"/>
          <w:color w:val="auto"/>
          <w:sz w:val="28"/>
          <w:szCs w:val="28"/>
        </w:rPr>
        <w:t>的；</w:t>
      </w:r>
    </w:p>
    <w:p w14:paraId="448A6870">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（二）</w:t>
      </w:r>
      <w:r>
        <w:rPr>
          <w:color w:val="auto"/>
        </w:rPr>
        <w:fldChar w:fldCharType="begin"/>
      </w:r>
      <w:r>
        <w:rPr>
          <w:color w:val="auto"/>
        </w:rPr>
        <w:instrText xml:space="preserve"> HYPERLINK "https://baike.sogou.com/m/fullLemma?lid=76033123&amp;g_ut=3" \t "https://baike.sogou.com/m/_blank" </w:instrText>
      </w:r>
      <w:r>
        <w:rPr>
          <w:color w:val="auto"/>
        </w:rPr>
        <w:fldChar w:fldCharType="separate"/>
      </w:r>
      <w:r>
        <w:rPr>
          <w:rStyle w:val="43"/>
          <w:rFonts w:hint="eastAsia" w:ascii="仿宋_GB2312" w:hAnsi="宋体" w:eastAsia="仿宋_GB2312"/>
          <w:color w:val="auto"/>
          <w:sz w:val="28"/>
          <w:szCs w:val="28"/>
        </w:rPr>
        <w:t>建设项目环境影响评价</w:t>
      </w:r>
      <w:r>
        <w:rPr>
          <w:color w:val="auto"/>
        </w:rPr>
        <w:fldChar w:fldCharType="end"/>
      </w:r>
      <w:r>
        <w:rPr>
          <w:rFonts w:hint="eastAsia" w:ascii="仿宋_GB2312" w:hAnsi="宋体" w:eastAsia="仿宋_GB2312"/>
          <w:color w:val="auto"/>
          <w:sz w:val="28"/>
          <w:szCs w:val="28"/>
        </w:rPr>
        <w:t>文件未按规定通过审批，擅自开工建设的；</w:t>
      </w:r>
    </w:p>
    <w:p w14:paraId="028C87B5">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（三）建设项目环保设施未建成、环保措施未落实、未通过</w:t>
      </w:r>
      <w:r>
        <w:rPr>
          <w:color w:val="auto"/>
        </w:rPr>
        <w:fldChar w:fldCharType="begin"/>
      </w:r>
      <w:r>
        <w:rPr>
          <w:color w:val="auto"/>
        </w:rPr>
        <w:instrText xml:space="preserve"> HYPERLINK "https://baike.sogou.com/m/fullLemma?lid=6470550&amp;g_ut=3" \t "https://baike.sogou.com/m/_blank" </w:instrText>
      </w:r>
      <w:r>
        <w:rPr>
          <w:color w:val="auto"/>
        </w:rPr>
        <w:fldChar w:fldCharType="separate"/>
      </w:r>
      <w:r>
        <w:rPr>
          <w:rStyle w:val="43"/>
          <w:rFonts w:hint="eastAsia" w:ascii="仿宋_GB2312" w:hAnsi="宋体" w:eastAsia="仿宋_GB2312"/>
          <w:color w:val="auto"/>
          <w:sz w:val="28"/>
          <w:szCs w:val="28"/>
        </w:rPr>
        <w:t>竣工环保验收</w:t>
      </w:r>
      <w:r>
        <w:rPr>
          <w:color w:val="auto"/>
        </w:rPr>
        <w:fldChar w:fldCharType="end"/>
      </w:r>
      <w:r>
        <w:rPr>
          <w:rFonts w:hint="eastAsia" w:ascii="仿宋_GB2312" w:hAnsi="宋体" w:eastAsia="仿宋_GB2312"/>
          <w:color w:val="auto"/>
          <w:sz w:val="28"/>
          <w:szCs w:val="28"/>
        </w:rPr>
        <w:t>或者验收不合格，主体工程正式投入生产或者使用的；</w:t>
      </w:r>
    </w:p>
    <w:p w14:paraId="0B8BA3F8">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（四）建设项目性质、规模、地点、采用的生产工艺或者防治污染、防止生态破坏的措施发生重大变动，未重新报批环境影响评价文件，擅自投入生产或者使用的；</w:t>
      </w:r>
    </w:p>
    <w:p w14:paraId="4B62EF85">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（五）主要污染物排放总量超过控制指标的；</w:t>
      </w:r>
    </w:p>
    <w:p w14:paraId="3B154661">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（六）私设暗管或者利用</w:t>
      </w:r>
      <w:r>
        <w:rPr>
          <w:color w:val="auto"/>
        </w:rPr>
        <w:fldChar w:fldCharType="begin"/>
      </w:r>
      <w:r>
        <w:rPr>
          <w:color w:val="auto"/>
        </w:rPr>
        <w:instrText xml:space="preserve"> HYPERLINK "https://baike.sogou.com/m/fullLemma?lid=41657319&amp;g_ut=3" \t "https://baike.sogou.com/m/_blank" </w:instrText>
      </w:r>
      <w:r>
        <w:rPr>
          <w:color w:val="auto"/>
        </w:rPr>
        <w:fldChar w:fldCharType="separate"/>
      </w:r>
      <w:r>
        <w:rPr>
          <w:rStyle w:val="43"/>
          <w:rFonts w:hint="eastAsia" w:ascii="仿宋_GB2312" w:hAnsi="宋体" w:eastAsia="仿宋_GB2312"/>
          <w:color w:val="auto"/>
          <w:sz w:val="28"/>
          <w:szCs w:val="28"/>
        </w:rPr>
        <w:t>渗井</w:t>
      </w:r>
      <w:r>
        <w:rPr>
          <w:color w:val="auto"/>
        </w:rPr>
        <w:fldChar w:fldCharType="end"/>
      </w:r>
      <w:r>
        <w:rPr>
          <w:rFonts w:hint="eastAsia" w:ascii="仿宋_GB2312" w:hAnsi="宋体" w:eastAsia="仿宋_GB2312"/>
          <w:color w:val="auto"/>
          <w:sz w:val="28"/>
          <w:szCs w:val="28"/>
        </w:rPr>
        <w:t>、渗坑、裂隙、溶洞等排放、倾倒、处置水污染物，或者通过私设旁路排放</w:t>
      </w:r>
      <w:r>
        <w:rPr>
          <w:color w:val="auto"/>
        </w:rPr>
        <w:fldChar w:fldCharType="begin"/>
      </w:r>
      <w:r>
        <w:rPr>
          <w:color w:val="auto"/>
        </w:rPr>
        <w:instrText xml:space="preserve"> HYPERLINK "https://baike.sogou.com/m/fullLemma?lid=7758328&amp;g_ut=3" \t "https://baike.sogou.com/m/_blank" </w:instrText>
      </w:r>
      <w:r>
        <w:rPr>
          <w:color w:val="auto"/>
        </w:rPr>
        <w:fldChar w:fldCharType="separate"/>
      </w:r>
      <w:r>
        <w:rPr>
          <w:rStyle w:val="43"/>
          <w:rFonts w:hint="eastAsia" w:ascii="仿宋_GB2312" w:hAnsi="宋体" w:eastAsia="仿宋_GB2312"/>
          <w:color w:val="auto"/>
          <w:sz w:val="28"/>
          <w:szCs w:val="28"/>
        </w:rPr>
        <w:t>大气污染物</w:t>
      </w:r>
      <w:r>
        <w:rPr>
          <w:color w:val="auto"/>
        </w:rPr>
        <w:fldChar w:fldCharType="end"/>
      </w:r>
      <w:r>
        <w:rPr>
          <w:rFonts w:hint="eastAsia" w:ascii="仿宋_GB2312" w:hAnsi="宋体" w:eastAsia="仿宋_GB2312"/>
          <w:color w:val="auto"/>
          <w:sz w:val="28"/>
          <w:szCs w:val="28"/>
        </w:rPr>
        <w:t>的；</w:t>
      </w:r>
    </w:p>
    <w:p w14:paraId="144373DD">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（七）非法排放、倾倒、处置危险废物，或者向无</w:t>
      </w:r>
      <w:r>
        <w:rPr>
          <w:color w:val="auto"/>
        </w:rPr>
        <w:fldChar w:fldCharType="begin"/>
      </w:r>
      <w:r>
        <w:rPr>
          <w:color w:val="auto"/>
        </w:rPr>
        <w:instrText xml:space="preserve"> HYPERLINK "https://baike.sogou.com/m/fullLemma?lid=5923292&amp;g_ut=3" \t "https://baike.sogou.com/m/_blank" </w:instrText>
      </w:r>
      <w:r>
        <w:rPr>
          <w:color w:val="auto"/>
        </w:rPr>
        <w:fldChar w:fldCharType="separate"/>
      </w:r>
      <w:r>
        <w:rPr>
          <w:rStyle w:val="43"/>
          <w:rFonts w:hint="eastAsia" w:ascii="仿宋_GB2312" w:hAnsi="宋体" w:eastAsia="仿宋_GB2312"/>
          <w:color w:val="auto"/>
          <w:sz w:val="28"/>
          <w:szCs w:val="28"/>
        </w:rPr>
        <w:t>经营许可证</w:t>
      </w:r>
      <w:r>
        <w:rPr>
          <w:color w:val="auto"/>
        </w:rPr>
        <w:fldChar w:fldCharType="end"/>
      </w:r>
      <w:r>
        <w:rPr>
          <w:rFonts w:hint="eastAsia" w:ascii="仿宋_GB2312" w:hAnsi="宋体" w:eastAsia="仿宋_GB2312"/>
          <w:color w:val="auto"/>
          <w:sz w:val="28"/>
          <w:szCs w:val="28"/>
        </w:rPr>
        <w:t>或者超出经营许可范围的单位或个人提供或者委托其收集、贮存、利用、处置危险废物的；</w:t>
      </w:r>
    </w:p>
    <w:p w14:paraId="0D301E24">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（八）</w:t>
      </w:r>
      <w:r>
        <w:rPr>
          <w:color w:val="auto"/>
        </w:rPr>
        <w:fldChar w:fldCharType="begin"/>
      </w:r>
      <w:r>
        <w:rPr>
          <w:color w:val="auto"/>
        </w:rPr>
        <w:instrText xml:space="preserve"> HYPERLINK "https://baike.sogou.com/m/fullLemma?lid=167759803&amp;g_ut=3" \t "https://baike.sogou.com/m/_blank" </w:instrText>
      </w:r>
      <w:r>
        <w:rPr>
          <w:color w:val="auto"/>
        </w:rPr>
        <w:fldChar w:fldCharType="separate"/>
      </w:r>
      <w:r>
        <w:rPr>
          <w:rStyle w:val="43"/>
          <w:rFonts w:hint="eastAsia" w:ascii="仿宋_GB2312" w:hAnsi="宋体" w:eastAsia="仿宋_GB2312"/>
          <w:color w:val="auto"/>
          <w:sz w:val="28"/>
          <w:szCs w:val="28"/>
        </w:rPr>
        <w:t>环境违法行为</w:t>
      </w:r>
      <w:r>
        <w:rPr>
          <w:color w:val="auto"/>
        </w:rPr>
        <w:fldChar w:fldCharType="end"/>
      </w:r>
      <w:r>
        <w:rPr>
          <w:rFonts w:hint="eastAsia" w:ascii="仿宋_GB2312" w:hAnsi="宋体" w:eastAsia="仿宋_GB2312"/>
          <w:color w:val="auto"/>
          <w:sz w:val="28"/>
          <w:szCs w:val="28"/>
        </w:rPr>
        <w:t>造成集中式生活饮用水水源取水中断的；</w:t>
      </w:r>
    </w:p>
    <w:p w14:paraId="1F1FF3A6">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（九）环境违法行为对生活饮用水水源保护区、自然保护区、</w:t>
      </w:r>
      <w:r>
        <w:rPr>
          <w:color w:val="auto"/>
        </w:rPr>
        <w:fldChar w:fldCharType="begin"/>
      </w:r>
      <w:r>
        <w:rPr>
          <w:color w:val="auto"/>
        </w:rPr>
        <w:instrText xml:space="preserve"> HYPERLINK "https://baike.sogou.com/m/fullLemma?lid=155199213&amp;g_ut=3" \t "https://baike.sogou.com/m/_blank" </w:instrText>
      </w:r>
      <w:r>
        <w:rPr>
          <w:color w:val="auto"/>
        </w:rPr>
        <w:fldChar w:fldCharType="separate"/>
      </w:r>
      <w:r>
        <w:rPr>
          <w:rStyle w:val="43"/>
          <w:rFonts w:hint="eastAsia" w:ascii="仿宋_GB2312" w:hAnsi="宋体" w:eastAsia="仿宋_GB2312"/>
          <w:color w:val="auto"/>
          <w:sz w:val="28"/>
          <w:szCs w:val="28"/>
        </w:rPr>
        <w:t>国家重点生态功能区</w:t>
      </w:r>
      <w:r>
        <w:rPr>
          <w:color w:val="auto"/>
        </w:rPr>
        <w:fldChar w:fldCharType="end"/>
      </w:r>
      <w:r>
        <w:rPr>
          <w:rFonts w:hint="eastAsia" w:ascii="仿宋_GB2312" w:hAnsi="宋体" w:eastAsia="仿宋_GB2312"/>
          <w:color w:val="auto"/>
          <w:sz w:val="28"/>
          <w:szCs w:val="28"/>
        </w:rPr>
        <w:t>、风景名胜区、居住功能区、</w:t>
      </w:r>
      <w:r>
        <w:rPr>
          <w:color w:val="auto"/>
        </w:rPr>
        <w:fldChar w:fldCharType="begin"/>
      </w:r>
      <w:r>
        <w:rPr>
          <w:color w:val="auto"/>
        </w:rPr>
        <w:instrText xml:space="preserve"> HYPERLINK "https://baike.sogou.com/m/fullLemma?lid=7757164&amp;g_ut=3" \t "https://baike.sogou.com/m/_blank" </w:instrText>
      </w:r>
      <w:r>
        <w:rPr>
          <w:color w:val="auto"/>
        </w:rPr>
        <w:fldChar w:fldCharType="separate"/>
      </w:r>
      <w:r>
        <w:rPr>
          <w:rStyle w:val="43"/>
          <w:rFonts w:hint="eastAsia" w:ascii="仿宋_GB2312" w:hAnsi="宋体" w:eastAsia="仿宋_GB2312"/>
          <w:color w:val="auto"/>
          <w:sz w:val="28"/>
          <w:szCs w:val="28"/>
        </w:rPr>
        <w:t>基本农田保护区</w:t>
      </w:r>
      <w:r>
        <w:rPr>
          <w:color w:val="auto"/>
        </w:rPr>
        <w:fldChar w:fldCharType="end"/>
      </w:r>
      <w:r>
        <w:rPr>
          <w:rFonts w:hint="eastAsia" w:ascii="仿宋_GB2312" w:hAnsi="宋体" w:eastAsia="仿宋_GB2312"/>
          <w:color w:val="auto"/>
          <w:sz w:val="28"/>
          <w:szCs w:val="28"/>
        </w:rPr>
        <w:t>等环境敏感区造成重大不利影响的；</w:t>
      </w:r>
    </w:p>
    <w:p w14:paraId="1E30A47D">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（十）违法从事自然资源开发、交通基础设施建设，以及其他开发建设活动，造成严重生态破坏的；</w:t>
      </w:r>
    </w:p>
    <w:p w14:paraId="38AEB38E">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（十一）发生较大及以上突发环境事件的；</w:t>
      </w:r>
    </w:p>
    <w:p w14:paraId="291F8055">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（十二）被环保部门挂牌督办，整改逾期未完成的；</w:t>
      </w:r>
    </w:p>
    <w:p w14:paraId="5546FEDC">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（十三）以暴力、威胁等方式拒绝、阻挠环保部门工作人员现场检查的；</w:t>
      </w:r>
    </w:p>
    <w:p w14:paraId="6F3EDD50">
      <w:pPr>
        <w:adjustRightInd w:val="0"/>
        <w:snapToGrid w:val="0"/>
        <w:spacing w:line="560" w:lineRule="exact"/>
        <w:ind w:firstLine="645"/>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（十四）违反重污染天气应急预案有关规定，对重污染天气响应不力的。</w:t>
      </w:r>
    </w:p>
    <w:p w14:paraId="1107D1B0">
      <w:pPr>
        <w:adjustRightInd w:val="0"/>
        <w:snapToGrid w:val="0"/>
        <w:spacing w:line="560" w:lineRule="exact"/>
        <w:ind w:firstLine="645"/>
        <w:jc w:val="left"/>
        <w:rPr>
          <w:rFonts w:hint="eastAsia" w:ascii="仿宋_GB2312" w:hAnsi="宋体" w:eastAsia="仿宋_GB2312"/>
          <w:b/>
          <w:color w:val="auto"/>
          <w:sz w:val="28"/>
          <w:szCs w:val="28"/>
        </w:rPr>
      </w:pPr>
      <w:r>
        <w:rPr>
          <w:rFonts w:hint="eastAsia" w:ascii="仿宋_GB2312" w:hAnsi="宋体" w:eastAsia="仿宋_GB2312"/>
          <w:b/>
          <w:color w:val="auto"/>
          <w:sz w:val="28"/>
          <w:szCs w:val="28"/>
        </w:rPr>
        <w:t>依据：《</w:t>
      </w:r>
      <w:bookmarkStart w:id="310" w:name="OLE_LINK9"/>
      <w:bookmarkStart w:id="311" w:name="OLE_LINK10"/>
      <w:r>
        <w:rPr>
          <w:rFonts w:hint="eastAsia" w:ascii="仿宋_GB2312" w:hAnsi="宋体" w:eastAsia="仿宋_GB2312"/>
          <w:b/>
          <w:color w:val="auto"/>
          <w:sz w:val="28"/>
          <w:szCs w:val="28"/>
        </w:rPr>
        <w:t>关于对环境保护领域失信生产经营单位及其有关人员开展联合惩戒的合作备忘录</w:t>
      </w:r>
      <w:bookmarkEnd w:id="310"/>
      <w:bookmarkEnd w:id="311"/>
      <w:r>
        <w:rPr>
          <w:rFonts w:hint="eastAsia" w:ascii="仿宋_GB2312" w:hAnsi="宋体" w:eastAsia="仿宋_GB2312"/>
          <w:b/>
          <w:color w:val="auto"/>
          <w:sz w:val="28"/>
          <w:szCs w:val="28"/>
        </w:rPr>
        <w:t>》、《</w:t>
      </w:r>
      <w:bookmarkStart w:id="312" w:name="OLE_LINK11"/>
      <w:bookmarkStart w:id="313" w:name="OLE_LINK12"/>
      <w:r>
        <w:rPr>
          <w:rFonts w:hint="eastAsia" w:ascii="仿宋_GB2312" w:hAnsi="宋体" w:eastAsia="仿宋_GB2312"/>
          <w:b/>
          <w:color w:val="auto"/>
          <w:sz w:val="28"/>
          <w:szCs w:val="28"/>
        </w:rPr>
        <w:t>企业环境信用评价办法（试行）</w:t>
      </w:r>
      <w:bookmarkEnd w:id="312"/>
      <w:bookmarkEnd w:id="313"/>
      <w:r>
        <w:rPr>
          <w:rFonts w:hint="eastAsia" w:ascii="仿宋_GB2312" w:hAnsi="宋体" w:eastAsia="仿宋_GB2312"/>
          <w:b/>
          <w:color w:val="auto"/>
          <w:sz w:val="28"/>
          <w:szCs w:val="28"/>
        </w:rPr>
        <w:t>》（环发〔2013〕150号）</w:t>
      </w:r>
    </w:p>
    <w:p w14:paraId="18BF525D">
      <w:pPr>
        <w:adjustRightInd w:val="0"/>
        <w:snapToGrid w:val="0"/>
        <w:spacing w:line="560" w:lineRule="exact"/>
        <w:ind w:firstLine="645"/>
        <w:jc w:val="left"/>
        <w:rPr>
          <w:rFonts w:hint="eastAsia" w:ascii="仿宋_GB2312" w:hAnsi="宋体" w:eastAsia="仿宋_GB2312"/>
          <w:b/>
          <w:color w:val="auto"/>
          <w:sz w:val="28"/>
          <w:szCs w:val="28"/>
        </w:rPr>
      </w:pPr>
    </w:p>
    <w:p w14:paraId="473670B8">
      <w:pPr>
        <w:adjustRightInd w:val="0"/>
        <w:snapToGrid w:val="0"/>
        <w:spacing w:line="560" w:lineRule="exact"/>
        <w:ind w:firstLine="645"/>
        <w:jc w:val="left"/>
        <w:rPr>
          <w:rFonts w:hint="eastAsia" w:ascii="仿宋_GB2312" w:hAnsi="宋体" w:eastAsia="仿宋_GB2312"/>
          <w:b/>
          <w:color w:val="auto"/>
          <w:sz w:val="28"/>
          <w:szCs w:val="28"/>
        </w:rPr>
      </w:pPr>
      <w:r>
        <w:rPr>
          <w:rFonts w:hint="eastAsia" w:ascii="仿宋_GB2312" w:hAnsi="宋体" w:eastAsia="仿宋_GB2312"/>
          <w:b/>
          <w:color w:val="auto"/>
          <w:sz w:val="28"/>
          <w:szCs w:val="28"/>
        </w:rPr>
        <w:t>三、</w:t>
      </w:r>
      <w:r>
        <w:rPr>
          <w:rFonts w:hint="eastAsia" w:ascii="仿宋_GB2312" w:hAnsi="宋体" w:eastAsia="仿宋_GB2312"/>
          <w:b/>
          <w:bCs/>
          <w:color w:val="auto"/>
          <w:sz w:val="28"/>
          <w:szCs w:val="28"/>
        </w:rPr>
        <w:t>公共资源交易领域严重失信行为</w:t>
      </w:r>
    </w:p>
    <w:p w14:paraId="042D242C">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（一）违反法律规定，必须进行招标的项目而不招标的，将必须进行招标的项目化整为零或者以其他任何方式规避招标的； </w:t>
      </w:r>
    </w:p>
    <w:p w14:paraId="6DDE1550">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（二）招标代理机构违反法律规定，泄露应当保密的与招标投标活动有关的情况和资料的，或者与招标人、投标人串通损害 国家利益、社会公共利益或者他人合法权益的；</w:t>
      </w:r>
    </w:p>
    <w:p w14:paraId="65519455">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（三）招标人以不合理的条件限制或者排斥潜在投标人的，对潜在投标人实行歧视待遇的，强制要求投标人组成联合体共同 投标的，或者限制投标人之间竞争的；</w:t>
      </w:r>
    </w:p>
    <w:p w14:paraId="4E59B8D2">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（四）依法必须进行招标的项目的招标人向他人透露已获取招标文件的潜在投标人的名称、数量或者可能影响公平竞争的有 关招标投标的其他情况的，或者泄露标底的；</w:t>
      </w:r>
    </w:p>
    <w:p w14:paraId="0A21074E">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（五）投标人相互串通投标或者与招标人串通投标的，投标人以向招标人或者评标委员会成员行贿的手段谋取中标的； </w:t>
      </w:r>
    </w:p>
    <w:p w14:paraId="094BEB81">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（六）投标人以他人名义投标或者以其他方式弄虚作假，骗取中标的；</w:t>
      </w:r>
    </w:p>
    <w:p w14:paraId="61965487">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（七）依法必须进行招标的项目，招标人违反法律规定，与投标人就投标价格、投标方案等实质性内容进行谈判的；</w:t>
      </w:r>
    </w:p>
    <w:p w14:paraId="49BFD26A">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5C7A52F">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（九）招标人在评标委员会依法推荐的中标候选人以外确定中标人的，依法必须进行招标的项目在所有投标被评标委员会否 决后自行确定中标人的； </w:t>
      </w:r>
    </w:p>
    <w:p w14:paraId="47C8D826">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（十）中标人将中标项目转让给他人的，将中标项目肢解后分别转让给他人的，违反法律规定将中标项目的部分主体、关键 性工作分包给他人的，或者分包人再次分包的； </w:t>
      </w:r>
    </w:p>
    <w:p w14:paraId="7DAF6F9E">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（十一）招标人与中标人不按照招标文件和中标人的投标文件订立合同的，或者招标人、中标人订立背离合同实质性内容的 协议的； </w:t>
      </w:r>
    </w:p>
    <w:p w14:paraId="66CDF70E">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（十二）中标人不按照与招标人订立的合同履行义务，情节严重的； </w:t>
      </w:r>
    </w:p>
    <w:p w14:paraId="1411384A">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86899D2">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8035DE5">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 （十五）采购人对应当实行集中采购的政府采购项目，不委托集中采购机构实行集中采购的； </w:t>
      </w:r>
    </w:p>
    <w:p w14:paraId="295608B9">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（十六）采购人、采购代理机构违反法律规定隐匿、销毁应当保存的采购文件或者伪造、变造采购文件的； </w:t>
      </w:r>
    </w:p>
    <w:p w14:paraId="363536E2">
      <w:pPr>
        <w:adjustRightInd w:val="0"/>
        <w:snapToGrid w:val="0"/>
        <w:spacing w:line="560" w:lineRule="exact"/>
        <w:ind w:firstLine="645"/>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9AC8B2">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（十八）疫苗生产企业向县级疾病预防控制机构以外的单位或者个人销售第二类疫苗的； </w:t>
      </w:r>
    </w:p>
    <w:p w14:paraId="561E7924">
      <w:pPr>
        <w:adjustRightInd w:val="0"/>
        <w:snapToGrid w:val="0"/>
        <w:spacing w:line="560" w:lineRule="exact"/>
        <w:ind w:left="141" w:leftChars="67" w:firstLine="420" w:firstLineChars="150"/>
        <w:jc w:val="left"/>
        <w:rPr>
          <w:rFonts w:hint="eastAsia" w:ascii="仿宋_GB2312" w:hAnsi="宋体" w:eastAsia="仿宋_GB2312"/>
          <w:color w:val="auto"/>
          <w:sz w:val="28"/>
          <w:szCs w:val="28"/>
        </w:rPr>
      </w:pPr>
      <w:r>
        <w:rPr>
          <w:rFonts w:hint="eastAsia" w:ascii="仿宋_GB2312" w:hAnsi="Calibri" w:eastAsia="仿宋_GB2312"/>
          <w:color w:val="auto"/>
          <w:sz w:val="28"/>
          <w:szCs w:val="28"/>
        </w:rPr>
        <w:t>（十九）存在其他违反公共资源交易法律法规行为的。</w:t>
      </w:r>
    </w:p>
    <w:p w14:paraId="16A7F0D7">
      <w:pPr>
        <w:adjustRightInd w:val="0"/>
        <w:snapToGrid w:val="0"/>
        <w:spacing w:line="560" w:lineRule="exact"/>
        <w:ind w:firstLine="894" w:firstLineChars="318"/>
        <w:jc w:val="left"/>
        <w:rPr>
          <w:rFonts w:hint="eastAsia" w:ascii="仿宋_GB2312" w:hAnsi="宋体" w:eastAsia="仿宋_GB2312"/>
          <w:b/>
          <w:color w:val="auto"/>
          <w:sz w:val="28"/>
          <w:szCs w:val="28"/>
        </w:rPr>
      </w:pPr>
      <w:r>
        <w:rPr>
          <w:rFonts w:hint="eastAsia" w:ascii="仿宋_GB2312" w:hAnsi="宋体" w:eastAsia="仿宋_GB2312"/>
          <w:b/>
          <w:color w:val="auto"/>
          <w:sz w:val="28"/>
          <w:szCs w:val="28"/>
        </w:rPr>
        <w:t>依据：《</w:t>
      </w:r>
      <w:bookmarkStart w:id="314" w:name="OLE_LINK13"/>
      <w:bookmarkStart w:id="315" w:name="OLE_LINK14"/>
      <w:r>
        <w:rPr>
          <w:rFonts w:hint="eastAsia" w:ascii="仿宋_GB2312" w:hAnsi="宋体" w:eastAsia="仿宋_GB2312"/>
          <w:b/>
          <w:color w:val="auto"/>
          <w:sz w:val="28"/>
          <w:szCs w:val="28"/>
        </w:rPr>
        <w:t>关于对公共资源交易领域严重失信主体开展联合惩戒的备忘录</w:t>
      </w:r>
      <w:bookmarkEnd w:id="314"/>
      <w:bookmarkEnd w:id="315"/>
      <w:r>
        <w:rPr>
          <w:rFonts w:hint="eastAsia" w:ascii="仿宋_GB2312" w:hAnsi="宋体" w:eastAsia="仿宋_GB2312"/>
          <w:b/>
          <w:color w:val="auto"/>
          <w:sz w:val="28"/>
          <w:szCs w:val="28"/>
        </w:rPr>
        <w:t>》（发改法规〔2018〕457号）</w:t>
      </w:r>
    </w:p>
    <w:p w14:paraId="35658401">
      <w:pPr>
        <w:adjustRightInd w:val="0"/>
        <w:snapToGrid w:val="0"/>
        <w:spacing w:line="560" w:lineRule="exact"/>
        <w:ind w:firstLine="645"/>
        <w:jc w:val="left"/>
        <w:rPr>
          <w:rFonts w:hint="eastAsia" w:ascii="仿宋_GB2312" w:hAnsi="宋体" w:eastAsia="仿宋_GB2312"/>
          <w:color w:val="auto"/>
          <w:sz w:val="28"/>
          <w:szCs w:val="28"/>
        </w:rPr>
      </w:pPr>
    </w:p>
    <w:p w14:paraId="6C70F6A9">
      <w:pPr>
        <w:adjustRightInd w:val="0"/>
        <w:snapToGrid w:val="0"/>
        <w:spacing w:line="560" w:lineRule="exact"/>
        <w:ind w:firstLine="645"/>
        <w:jc w:val="left"/>
        <w:rPr>
          <w:rFonts w:hint="eastAsia" w:ascii="仿宋_GB2312" w:hAnsi="宋体" w:eastAsia="仿宋_GB2312"/>
          <w:b/>
          <w:bCs/>
          <w:color w:val="auto"/>
          <w:sz w:val="28"/>
          <w:szCs w:val="28"/>
        </w:rPr>
      </w:pPr>
      <w:r>
        <w:rPr>
          <w:rFonts w:hint="eastAsia" w:ascii="仿宋_GB2312" w:hAnsi="宋体" w:eastAsia="仿宋_GB2312"/>
          <w:b/>
          <w:color w:val="auto"/>
          <w:sz w:val="28"/>
          <w:szCs w:val="28"/>
        </w:rPr>
        <w:t>四、</w:t>
      </w:r>
      <w:r>
        <w:rPr>
          <w:rFonts w:hint="eastAsia" w:ascii="仿宋_GB2312" w:hAnsi="宋体" w:eastAsia="仿宋_GB2312"/>
          <w:b/>
          <w:bCs/>
          <w:color w:val="auto"/>
          <w:sz w:val="28"/>
          <w:szCs w:val="28"/>
        </w:rPr>
        <w:t>社会保险领域严重失信行为</w:t>
      </w:r>
    </w:p>
    <w:p w14:paraId="1516418F">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（一）用人单位未按相关规定参加社会保险且拒不整改的； </w:t>
      </w:r>
    </w:p>
    <w:p w14:paraId="1E3E9CEB">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（二）用人单位未如实申报社会保险缴费基数且拒不整改的； </w:t>
      </w:r>
    </w:p>
    <w:p w14:paraId="14FEE13F">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（三）应缴纳社会保险费却拒不缴纳的； </w:t>
      </w:r>
    </w:p>
    <w:p w14:paraId="4BFED907">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（四）隐匿、转移、侵占、挪用社会保险费款、基金或者违规投资运营的；</w:t>
      </w:r>
    </w:p>
    <w:p w14:paraId="4865B3F9">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（五）以欺诈、伪造证明材料或者其他手段参加、申报社会保险和骗取社会保险基金支出或社会保险待遇的； </w:t>
      </w:r>
    </w:p>
    <w:p w14:paraId="56F576A4">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（六）非法获取、出售或变相交易社会保险个人权益数据的； </w:t>
      </w:r>
    </w:p>
    <w:p w14:paraId="6A6E8F9A">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（七）社会保险服务机构违反服务协议或相关规定的； </w:t>
      </w:r>
    </w:p>
    <w:p w14:paraId="075EC7DF">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6D6E90E">
      <w:pPr>
        <w:adjustRightInd w:val="0"/>
        <w:snapToGrid w:val="0"/>
        <w:spacing w:line="560" w:lineRule="exact"/>
        <w:ind w:left="141" w:leftChars="67" w:firstLine="420" w:firstLineChars="15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（九）其他违反法律法规规定的。</w:t>
      </w:r>
    </w:p>
    <w:p w14:paraId="001B0663">
      <w:pPr>
        <w:adjustRightInd w:val="0"/>
        <w:snapToGrid w:val="0"/>
        <w:spacing w:line="560" w:lineRule="exact"/>
        <w:ind w:firstLine="551" w:firstLineChars="196"/>
        <w:jc w:val="left"/>
        <w:rPr>
          <w:rFonts w:hint="eastAsia" w:ascii="仿宋_GB2312" w:hAnsi="Calibri" w:eastAsia="仿宋_GB2312"/>
          <w:color w:val="auto"/>
          <w:sz w:val="28"/>
          <w:szCs w:val="28"/>
        </w:rPr>
      </w:pPr>
      <w:r>
        <w:rPr>
          <w:rFonts w:hint="eastAsia" w:ascii="仿宋_GB2312" w:hAnsi="Calibri" w:eastAsia="仿宋_GB2312"/>
          <w:b/>
          <w:color w:val="auto"/>
          <w:sz w:val="28"/>
          <w:szCs w:val="28"/>
        </w:rPr>
        <w:t>依据：《</w:t>
      </w:r>
      <w:bookmarkStart w:id="316" w:name="OLE_LINK16"/>
      <w:bookmarkStart w:id="317" w:name="OLE_LINK15"/>
      <w:r>
        <w:rPr>
          <w:rFonts w:hint="eastAsia" w:ascii="仿宋_GB2312" w:hAnsi="Calibri" w:eastAsia="仿宋_GB2312"/>
          <w:b/>
          <w:color w:val="auto"/>
          <w:sz w:val="28"/>
          <w:szCs w:val="28"/>
        </w:rPr>
        <w:t>关于对社会保险领域严重失信企业及其有关人员实施联合惩戒的合作备忘录</w:t>
      </w:r>
      <w:bookmarkEnd w:id="316"/>
      <w:bookmarkEnd w:id="317"/>
      <w:r>
        <w:rPr>
          <w:rFonts w:hint="eastAsia" w:ascii="仿宋_GB2312" w:hAnsi="Calibri" w:eastAsia="仿宋_GB2312"/>
          <w:b/>
          <w:color w:val="auto"/>
          <w:sz w:val="28"/>
          <w:szCs w:val="28"/>
        </w:rPr>
        <w:t>》（发改财金〔2018〕1704号）</w:t>
      </w:r>
    </w:p>
    <w:p w14:paraId="53641AF3">
      <w:pPr>
        <w:adjustRightInd w:val="0"/>
        <w:snapToGrid w:val="0"/>
        <w:spacing w:line="560" w:lineRule="exact"/>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p>
    <w:p w14:paraId="5612FF5F">
      <w:pPr>
        <w:adjustRightInd w:val="0"/>
        <w:snapToGrid w:val="0"/>
        <w:spacing w:line="560" w:lineRule="exact"/>
        <w:ind w:firstLine="562" w:firstLineChars="200"/>
        <w:jc w:val="left"/>
        <w:rPr>
          <w:rFonts w:hint="eastAsia" w:ascii="仿宋_GB2312" w:hAnsi="宋体" w:eastAsia="仿宋_GB2312"/>
          <w:b/>
          <w:bCs/>
          <w:color w:val="auto"/>
          <w:sz w:val="28"/>
          <w:szCs w:val="28"/>
        </w:rPr>
      </w:pPr>
      <w:r>
        <w:rPr>
          <w:rFonts w:hint="eastAsia" w:ascii="仿宋_GB2312" w:hAnsi="宋体" w:eastAsia="仿宋_GB2312"/>
          <w:b/>
          <w:color w:val="auto"/>
          <w:sz w:val="28"/>
          <w:szCs w:val="28"/>
        </w:rPr>
        <w:t>五、建筑市场领域</w:t>
      </w:r>
      <w:r>
        <w:rPr>
          <w:rFonts w:hint="eastAsia" w:ascii="仿宋_GB2312" w:hAnsi="宋体" w:eastAsia="仿宋_GB2312"/>
          <w:b/>
          <w:bCs/>
          <w:color w:val="auto"/>
          <w:sz w:val="28"/>
          <w:szCs w:val="28"/>
        </w:rPr>
        <w:t>严重失信行为</w:t>
      </w:r>
    </w:p>
    <w:p w14:paraId="07889C6A">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（一）利用虚假材料、以欺骗手段取得企业资质的；</w:t>
      </w:r>
    </w:p>
    <w:p w14:paraId="4FC60457">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（二）发生转包、出借资质，受到行政处罚的；</w:t>
      </w:r>
    </w:p>
    <w:p w14:paraId="782F6635">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（三）发生重大及以上工程质量安全事故，或1年内累计发生2次及以上较大工程质量安全事故，或发生性质恶劣、危害性严重、社会影响大的较大工程质量安全事故，受到行政处罚的；</w:t>
      </w:r>
    </w:p>
    <w:p w14:paraId="35A2F31C">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（四）经法院判决或仲裁机构裁决，认定为拖欠工程款,且拒不履行生效法律文书确定的义务的。</w:t>
      </w:r>
    </w:p>
    <w:p w14:paraId="6153DCDE">
      <w:pPr>
        <w:adjustRightInd w:val="0"/>
        <w:snapToGrid w:val="0"/>
        <w:spacing w:line="56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各级住房城乡建设主管部门应当参照建筑市场主体“黑名单”，对被人力资源社会保障行政部门列入拖欠农民工工资“黑名单”的建筑市场各方主体加强监管。</w:t>
      </w:r>
    </w:p>
    <w:p w14:paraId="4B79A9F0">
      <w:pPr>
        <w:ind w:firstLine="562" w:firstLineChars="200"/>
        <w:jc w:val="left"/>
        <w:rPr>
          <w:rFonts w:hint="eastAsia" w:ascii="宋体" w:hAnsi="宋体"/>
          <w:color w:val="auto"/>
          <w:sz w:val="28"/>
          <w:szCs w:val="28"/>
        </w:rPr>
      </w:pPr>
      <w:r>
        <w:rPr>
          <w:rFonts w:hint="eastAsia" w:ascii="仿宋_GB2312" w:hAnsi="Calibri" w:eastAsia="仿宋_GB2312"/>
          <w:b/>
          <w:color w:val="auto"/>
          <w:sz w:val="28"/>
          <w:szCs w:val="28"/>
        </w:rPr>
        <w:t>依据：《</w:t>
      </w:r>
      <w:bookmarkStart w:id="318" w:name="OLE_LINK18"/>
      <w:bookmarkStart w:id="319" w:name="OLE_LINK17"/>
      <w:r>
        <w:rPr>
          <w:rFonts w:hint="eastAsia" w:ascii="仿宋_GB2312" w:hAnsi="Calibri" w:eastAsia="仿宋_GB2312"/>
          <w:b/>
          <w:color w:val="auto"/>
          <w:sz w:val="28"/>
          <w:szCs w:val="28"/>
        </w:rPr>
        <w:t>建筑市场信用管理暂行办法</w:t>
      </w:r>
      <w:bookmarkEnd w:id="318"/>
      <w:bookmarkEnd w:id="319"/>
      <w:r>
        <w:rPr>
          <w:rFonts w:hint="eastAsia" w:ascii="仿宋_GB2312" w:hAnsi="Calibri" w:eastAsia="仿宋_GB2312"/>
          <w:b/>
          <w:color w:val="auto"/>
          <w:sz w:val="28"/>
          <w:szCs w:val="28"/>
        </w:rPr>
        <w:t>》（建市〔2017〕241号）</w:t>
      </w:r>
    </w:p>
    <w:p w14:paraId="392C5B16">
      <w:pPr>
        <w:adjustRightInd w:val="0"/>
        <w:snapToGrid w:val="0"/>
        <w:spacing w:line="560" w:lineRule="exact"/>
        <w:rPr>
          <w:rFonts w:hint="eastAsia" w:ascii="仿宋_GB2312" w:hAnsi="宋体" w:eastAsia="仿宋_GB2312"/>
          <w:b/>
          <w:color w:val="auto"/>
          <w:sz w:val="28"/>
          <w:szCs w:val="28"/>
        </w:rPr>
      </w:pPr>
    </w:p>
    <w:p w14:paraId="1847AF19">
      <w:pPr>
        <w:adjustRightInd w:val="0"/>
        <w:snapToGrid w:val="0"/>
        <w:spacing w:line="560" w:lineRule="exact"/>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六、</w:t>
      </w:r>
      <w:bookmarkStart w:id="320" w:name="OLE_LINK20"/>
      <w:bookmarkStart w:id="321" w:name="OLE_LINK19"/>
      <w:r>
        <w:rPr>
          <w:rFonts w:hint="eastAsia" w:ascii="仿宋_GB2312" w:hAnsi="宋体" w:eastAsia="仿宋_GB2312"/>
          <w:b/>
          <w:color w:val="auto"/>
          <w:sz w:val="28"/>
          <w:szCs w:val="28"/>
        </w:rPr>
        <w:t>政府采购严重失信行为</w:t>
      </w:r>
      <w:bookmarkEnd w:id="320"/>
      <w:bookmarkEnd w:id="321"/>
    </w:p>
    <w:p w14:paraId="48F99044">
      <w:pPr>
        <w:adjustRightInd w:val="0"/>
        <w:snapToGrid w:val="0"/>
        <w:spacing w:line="560" w:lineRule="exact"/>
        <w:ind w:firstLine="615"/>
        <w:rPr>
          <w:rFonts w:hint="eastAsia" w:ascii="仿宋_GB2312" w:hAnsi="Calibri" w:eastAsia="仿宋_GB2312"/>
          <w:color w:val="auto"/>
          <w:sz w:val="28"/>
          <w:szCs w:val="28"/>
        </w:rPr>
      </w:pPr>
      <w:r>
        <w:rPr>
          <w:rFonts w:hint="eastAsia" w:ascii="仿宋_GB2312" w:hAnsi="Calibri" w:eastAsia="仿宋_GB2312"/>
          <w:color w:val="auto"/>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（一）三万元以上罚款；</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（二）在一至三年内禁止参加政府采购活动（处罚期限届满的除外）；</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（三）在一至三年内禁止代理政府采购业务（处罚期限届满的除外）；</w:t>
      </w:r>
      <w:r>
        <w:rPr>
          <w:rFonts w:hint="eastAsia" w:ascii="仿宋_GB2312" w:hAnsi="Calibri" w:eastAsia="仿宋_GB2312"/>
          <w:color w:val="auto"/>
          <w:sz w:val="28"/>
          <w:szCs w:val="28"/>
        </w:rPr>
        <w:br w:type="textWrapping"/>
      </w:r>
      <w:r>
        <w:rPr>
          <w:rFonts w:hint="eastAsia" w:ascii="仿宋_GB2312" w:hAnsi="宋体" w:eastAsia="仿宋_GB2312"/>
          <w:color w:val="auto"/>
          <w:sz w:val="28"/>
          <w:szCs w:val="28"/>
        </w:rPr>
        <w:t xml:space="preserve">　 </w:t>
      </w:r>
      <w:r>
        <w:rPr>
          <w:rFonts w:hint="eastAsia" w:ascii="仿宋_GB2312" w:hAnsi="Calibri" w:eastAsia="仿宋_GB2312"/>
          <w:color w:val="auto"/>
          <w:sz w:val="28"/>
          <w:szCs w:val="28"/>
        </w:rPr>
        <w:t>（四）撤销政府采购代理机构资格（仅针对《政府采购法》第78条修改前作出的处罚决定）。</w:t>
      </w:r>
    </w:p>
    <w:p w14:paraId="4EA483C1">
      <w:pPr>
        <w:adjustRightInd w:val="0"/>
        <w:snapToGrid w:val="0"/>
        <w:spacing w:line="560" w:lineRule="exact"/>
        <w:ind w:firstLine="562" w:firstLineChars="200"/>
        <w:jc w:val="left"/>
        <w:rPr>
          <w:rFonts w:hint="eastAsia" w:ascii="仿宋_GB2312" w:hAnsi="Calibri" w:eastAsia="仿宋_GB2312"/>
          <w:b/>
          <w:color w:val="auto"/>
          <w:sz w:val="28"/>
          <w:szCs w:val="28"/>
        </w:rPr>
      </w:pPr>
      <w:r>
        <w:rPr>
          <w:rFonts w:hint="eastAsia" w:ascii="仿宋_GB2312" w:hAnsi="Calibri" w:eastAsia="仿宋_GB2312"/>
          <w:b/>
          <w:color w:val="auto"/>
          <w:sz w:val="28"/>
          <w:szCs w:val="28"/>
        </w:rPr>
        <w:t>依据：《关于报送政府采购严重违法失信行为信息记录的通知》</w:t>
      </w:r>
      <w:r>
        <w:rPr>
          <w:rFonts w:hint="eastAsia" w:ascii="Calibri" w:hAnsi="Calibri"/>
          <w:b/>
          <w:color w:val="auto"/>
          <w:sz w:val="28"/>
          <w:szCs w:val="28"/>
        </w:rPr>
        <w:t>（财办库〔</w:t>
      </w:r>
      <w:r>
        <w:rPr>
          <w:rFonts w:ascii="Calibri" w:hAnsi="Calibri"/>
          <w:b/>
          <w:color w:val="auto"/>
          <w:sz w:val="28"/>
          <w:szCs w:val="28"/>
        </w:rPr>
        <w:t>2014</w:t>
      </w:r>
      <w:r>
        <w:rPr>
          <w:rFonts w:hint="eastAsia" w:ascii="Calibri" w:hAnsi="Calibri"/>
          <w:b/>
          <w:color w:val="auto"/>
          <w:sz w:val="28"/>
          <w:szCs w:val="28"/>
        </w:rPr>
        <w:t>〕</w:t>
      </w:r>
      <w:r>
        <w:rPr>
          <w:rFonts w:ascii="Calibri" w:hAnsi="Calibri"/>
          <w:b/>
          <w:color w:val="auto"/>
          <w:sz w:val="28"/>
          <w:szCs w:val="28"/>
        </w:rPr>
        <w:t>526</w:t>
      </w:r>
      <w:r>
        <w:rPr>
          <w:rFonts w:hint="eastAsia" w:ascii="Calibri" w:hAnsi="Calibri"/>
          <w:b/>
          <w:color w:val="auto"/>
          <w:sz w:val="28"/>
          <w:szCs w:val="28"/>
        </w:rPr>
        <w:t>号）</w:t>
      </w:r>
    </w:p>
    <w:p w14:paraId="60BC4F0B">
      <w:pPr>
        <w:adjustRightInd w:val="0"/>
        <w:snapToGrid w:val="0"/>
        <w:spacing w:line="560" w:lineRule="exact"/>
        <w:rPr>
          <w:rFonts w:hint="eastAsia" w:ascii="仿宋_GB2312" w:hAnsi="宋体" w:eastAsia="仿宋_GB2312"/>
          <w:b/>
          <w:color w:val="auto"/>
          <w:sz w:val="28"/>
          <w:szCs w:val="28"/>
        </w:rPr>
      </w:pPr>
    </w:p>
    <w:p w14:paraId="0364BC33">
      <w:pPr>
        <w:adjustRightInd w:val="0"/>
        <w:snapToGrid w:val="0"/>
        <w:spacing w:line="560" w:lineRule="exact"/>
        <w:ind w:firstLine="615"/>
        <w:rPr>
          <w:rFonts w:hint="eastAsia" w:ascii="仿宋_GB2312" w:hAnsi="Calibri" w:eastAsia="仿宋_GB2312"/>
          <w:b/>
          <w:color w:val="auto"/>
          <w:sz w:val="32"/>
          <w:szCs w:val="32"/>
        </w:rPr>
      </w:pPr>
      <w:r>
        <w:rPr>
          <w:rFonts w:hint="eastAsia" w:ascii="仿宋_GB2312" w:hAnsi="宋体" w:eastAsia="仿宋_GB2312"/>
          <w:b/>
          <w:color w:val="auto"/>
          <w:sz w:val="28"/>
          <w:szCs w:val="28"/>
        </w:rPr>
        <w:t>未列出的其他类别严重失信行为，由招标人（代理机构）根据各类别行业主管部门下发的联合惩戒文件进行判</w:t>
      </w:r>
      <w:r>
        <w:rPr>
          <w:rFonts w:hint="eastAsia" w:ascii="仿宋_GB2312" w:hAnsi="宋体" w:eastAsia="仿宋_GB2312"/>
          <w:b/>
          <w:color w:val="auto"/>
          <w:sz w:val="32"/>
          <w:szCs w:val="32"/>
        </w:rPr>
        <w:t>断。</w:t>
      </w:r>
    </w:p>
    <w:p w14:paraId="11D1FB26">
      <w:pPr>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633" w:bottom="1440" w:left="1633"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B421">
    <w:pPr>
      <w:pStyle w:val="23"/>
      <w:tabs>
        <w:tab w:val="left" w:pos="7350"/>
      </w:tabs>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94C8">
    <w:pPr>
      <w:pStyle w:val="2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30908">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C30908">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B3DE">
    <w:pPr>
      <w:pStyle w:val="24"/>
      <w:pBdr>
        <w:bottom w:val="none" w:color="auto" w:sz="0" w:space="1"/>
      </w:pBdr>
      <w:jc w:val="left"/>
      <w:rPr>
        <w:rFonts w:hint="eastAsia"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2117E">
    <w:pPr>
      <w:pStyle w:val="24"/>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9817F"/>
    <w:multiLevelType w:val="singleLevel"/>
    <w:tmpl w:val="1CE9817F"/>
    <w:lvl w:ilvl="0" w:tentative="0">
      <w:start w:val="6"/>
      <w:numFmt w:val="chineseCounting"/>
      <w:suff w:val="space"/>
      <w:lvlText w:val="第%1章"/>
      <w:lvlJc w:val="left"/>
      <w:rPr>
        <w:rFonts w:hint="eastAsia"/>
      </w:r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3256FCC9"/>
    <w:multiLevelType w:val="singleLevel"/>
    <w:tmpl w:val="3256FCC9"/>
    <w:lvl w:ilvl="0" w:tentative="0">
      <w:start w:val="8"/>
      <w:numFmt w:val="decimal"/>
      <w:lvlText w:val="%1."/>
      <w:lvlJc w:val="left"/>
      <w:pPr>
        <w:tabs>
          <w:tab w:val="left" w:pos="312"/>
        </w:tabs>
      </w:pPr>
    </w:lvl>
  </w:abstractNum>
  <w:abstractNum w:abstractNumId="3">
    <w:nsid w:val="74A27A93"/>
    <w:multiLevelType w:val="singleLevel"/>
    <w:tmpl w:val="74A27A93"/>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 w:name="KSO_WPS_MARK_KEY" w:val="e816610a-0a8e-4bcd-8a34-cae36f09e229"/>
  </w:docVars>
  <w:rsids>
    <w:rsidRoot w:val="00276BA1"/>
    <w:rsid w:val="0000043F"/>
    <w:rsid w:val="00003F56"/>
    <w:rsid w:val="000049DA"/>
    <w:rsid w:val="00004F40"/>
    <w:rsid w:val="000056B7"/>
    <w:rsid w:val="00012A13"/>
    <w:rsid w:val="000131F7"/>
    <w:rsid w:val="00013B38"/>
    <w:rsid w:val="00016B6C"/>
    <w:rsid w:val="00017D40"/>
    <w:rsid w:val="00017EC7"/>
    <w:rsid w:val="00020B57"/>
    <w:rsid w:val="00026768"/>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4943"/>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0F7B24"/>
    <w:rsid w:val="00100B0F"/>
    <w:rsid w:val="0010187C"/>
    <w:rsid w:val="001037E3"/>
    <w:rsid w:val="00106AE1"/>
    <w:rsid w:val="00110911"/>
    <w:rsid w:val="00113042"/>
    <w:rsid w:val="00116A70"/>
    <w:rsid w:val="0012143A"/>
    <w:rsid w:val="001222C6"/>
    <w:rsid w:val="00126A7B"/>
    <w:rsid w:val="001303BB"/>
    <w:rsid w:val="00136D80"/>
    <w:rsid w:val="00137C7C"/>
    <w:rsid w:val="00140687"/>
    <w:rsid w:val="00141707"/>
    <w:rsid w:val="00142AAF"/>
    <w:rsid w:val="00143940"/>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601E"/>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A7F45"/>
    <w:rsid w:val="001B21DF"/>
    <w:rsid w:val="001B2A54"/>
    <w:rsid w:val="001B5014"/>
    <w:rsid w:val="001B501E"/>
    <w:rsid w:val="001B7327"/>
    <w:rsid w:val="001C1409"/>
    <w:rsid w:val="001C67F2"/>
    <w:rsid w:val="001D4358"/>
    <w:rsid w:val="001D457B"/>
    <w:rsid w:val="001D53B4"/>
    <w:rsid w:val="001D7FD1"/>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67521"/>
    <w:rsid w:val="00271245"/>
    <w:rsid w:val="00272CB9"/>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93C"/>
    <w:rsid w:val="002B6D27"/>
    <w:rsid w:val="002C3776"/>
    <w:rsid w:val="002C4BA9"/>
    <w:rsid w:val="002D1258"/>
    <w:rsid w:val="002D128A"/>
    <w:rsid w:val="002D2965"/>
    <w:rsid w:val="002D3D02"/>
    <w:rsid w:val="002D4CB5"/>
    <w:rsid w:val="002D684B"/>
    <w:rsid w:val="002E3B26"/>
    <w:rsid w:val="002E4AB8"/>
    <w:rsid w:val="002F092B"/>
    <w:rsid w:val="002F298D"/>
    <w:rsid w:val="002F5981"/>
    <w:rsid w:val="002F72EE"/>
    <w:rsid w:val="00310070"/>
    <w:rsid w:val="003110EC"/>
    <w:rsid w:val="00313029"/>
    <w:rsid w:val="003177E9"/>
    <w:rsid w:val="00324D38"/>
    <w:rsid w:val="00327C92"/>
    <w:rsid w:val="0033245B"/>
    <w:rsid w:val="00333292"/>
    <w:rsid w:val="003344E7"/>
    <w:rsid w:val="0033580B"/>
    <w:rsid w:val="0033628B"/>
    <w:rsid w:val="003365E7"/>
    <w:rsid w:val="003374F8"/>
    <w:rsid w:val="003378D5"/>
    <w:rsid w:val="003419E9"/>
    <w:rsid w:val="003447AE"/>
    <w:rsid w:val="003473D7"/>
    <w:rsid w:val="00351AC8"/>
    <w:rsid w:val="00353075"/>
    <w:rsid w:val="00363E02"/>
    <w:rsid w:val="00367834"/>
    <w:rsid w:val="00373A96"/>
    <w:rsid w:val="003826C2"/>
    <w:rsid w:val="00383728"/>
    <w:rsid w:val="00383B8D"/>
    <w:rsid w:val="00391586"/>
    <w:rsid w:val="00394128"/>
    <w:rsid w:val="003947A4"/>
    <w:rsid w:val="00395235"/>
    <w:rsid w:val="0039561A"/>
    <w:rsid w:val="00397C7D"/>
    <w:rsid w:val="003A004F"/>
    <w:rsid w:val="003A20B5"/>
    <w:rsid w:val="003B4130"/>
    <w:rsid w:val="003B65AB"/>
    <w:rsid w:val="003B67D3"/>
    <w:rsid w:val="003B6C76"/>
    <w:rsid w:val="003B715B"/>
    <w:rsid w:val="003C4630"/>
    <w:rsid w:val="003D1D14"/>
    <w:rsid w:val="003D6C7C"/>
    <w:rsid w:val="003D6EFB"/>
    <w:rsid w:val="003D7E52"/>
    <w:rsid w:val="003E1F34"/>
    <w:rsid w:val="003E25C6"/>
    <w:rsid w:val="003E6BEB"/>
    <w:rsid w:val="003F145B"/>
    <w:rsid w:val="003F2122"/>
    <w:rsid w:val="003F326A"/>
    <w:rsid w:val="004011AA"/>
    <w:rsid w:val="0040202C"/>
    <w:rsid w:val="00406508"/>
    <w:rsid w:val="0041456E"/>
    <w:rsid w:val="00414F7E"/>
    <w:rsid w:val="004164F8"/>
    <w:rsid w:val="00416830"/>
    <w:rsid w:val="00417FD0"/>
    <w:rsid w:val="00420B7F"/>
    <w:rsid w:val="004234BA"/>
    <w:rsid w:val="0042488B"/>
    <w:rsid w:val="00427732"/>
    <w:rsid w:val="004427B7"/>
    <w:rsid w:val="0044349F"/>
    <w:rsid w:val="00445F1F"/>
    <w:rsid w:val="00451F60"/>
    <w:rsid w:val="00452BB2"/>
    <w:rsid w:val="00453527"/>
    <w:rsid w:val="00455467"/>
    <w:rsid w:val="0045656D"/>
    <w:rsid w:val="004578E0"/>
    <w:rsid w:val="00462D98"/>
    <w:rsid w:val="004700D9"/>
    <w:rsid w:val="00472A44"/>
    <w:rsid w:val="00473A89"/>
    <w:rsid w:val="004745C6"/>
    <w:rsid w:val="00474D3B"/>
    <w:rsid w:val="00475899"/>
    <w:rsid w:val="004802A8"/>
    <w:rsid w:val="00482C78"/>
    <w:rsid w:val="004874AE"/>
    <w:rsid w:val="00492E2B"/>
    <w:rsid w:val="00494D24"/>
    <w:rsid w:val="004951D1"/>
    <w:rsid w:val="004A27D0"/>
    <w:rsid w:val="004A4D67"/>
    <w:rsid w:val="004A6A90"/>
    <w:rsid w:val="004A6FD2"/>
    <w:rsid w:val="004B2D4C"/>
    <w:rsid w:val="004C7378"/>
    <w:rsid w:val="004D1030"/>
    <w:rsid w:val="004D3D4B"/>
    <w:rsid w:val="004D5498"/>
    <w:rsid w:val="004D66A5"/>
    <w:rsid w:val="004D6B00"/>
    <w:rsid w:val="004D7951"/>
    <w:rsid w:val="004E0AE0"/>
    <w:rsid w:val="004E1D50"/>
    <w:rsid w:val="004E502F"/>
    <w:rsid w:val="004E6C6A"/>
    <w:rsid w:val="004F0396"/>
    <w:rsid w:val="00501382"/>
    <w:rsid w:val="00501E26"/>
    <w:rsid w:val="00503E2F"/>
    <w:rsid w:val="005054B9"/>
    <w:rsid w:val="00506E4F"/>
    <w:rsid w:val="00510798"/>
    <w:rsid w:val="005146A9"/>
    <w:rsid w:val="00514ED8"/>
    <w:rsid w:val="00515F12"/>
    <w:rsid w:val="00522B2E"/>
    <w:rsid w:val="00524A11"/>
    <w:rsid w:val="00525BEE"/>
    <w:rsid w:val="00527768"/>
    <w:rsid w:val="005327FB"/>
    <w:rsid w:val="00533FCA"/>
    <w:rsid w:val="0053524C"/>
    <w:rsid w:val="00541C0B"/>
    <w:rsid w:val="0054317E"/>
    <w:rsid w:val="00544C2A"/>
    <w:rsid w:val="00546D49"/>
    <w:rsid w:val="005512EB"/>
    <w:rsid w:val="00556D4C"/>
    <w:rsid w:val="005614B4"/>
    <w:rsid w:val="005616B5"/>
    <w:rsid w:val="00571315"/>
    <w:rsid w:val="0057573B"/>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38CC"/>
    <w:rsid w:val="00610A66"/>
    <w:rsid w:val="00613177"/>
    <w:rsid w:val="00613F7C"/>
    <w:rsid w:val="00614BF2"/>
    <w:rsid w:val="0061618E"/>
    <w:rsid w:val="00620560"/>
    <w:rsid w:val="006208CB"/>
    <w:rsid w:val="006224B8"/>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1F12"/>
    <w:rsid w:val="00662EE8"/>
    <w:rsid w:val="00663813"/>
    <w:rsid w:val="00663C3B"/>
    <w:rsid w:val="00664AFD"/>
    <w:rsid w:val="00667567"/>
    <w:rsid w:val="006737B6"/>
    <w:rsid w:val="0067391A"/>
    <w:rsid w:val="00674173"/>
    <w:rsid w:val="00674602"/>
    <w:rsid w:val="0067535A"/>
    <w:rsid w:val="00683CA0"/>
    <w:rsid w:val="00690CD9"/>
    <w:rsid w:val="00690DB1"/>
    <w:rsid w:val="00693404"/>
    <w:rsid w:val="006953D9"/>
    <w:rsid w:val="00697FE9"/>
    <w:rsid w:val="006A5FEE"/>
    <w:rsid w:val="006B1242"/>
    <w:rsid w:val="006B1DBC"/>
    <w:rsid w:val="006B61B3"/>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4AD"/>
    <w:rsid w:val="00702CF1"/>
    <w:rsid w:val="00703635"/>
    <w:rsid w:val="007054AA"/>
    <w:rsid w:val="00706D4B"/>
    <w:rsid w:val="00707B8C"/>
    <w:rsid w:val="00710804"/>
    <w:rsid w:val="0071110A"/>
    <w:rsid w:val="00711FC6"/>
    <w:rsid w:val="007130B1"/>
    <w:rsid w:val="00715071"/>
    <w:rsid w:val="0072140F"/>
    <w:rsid w:val="007231E9"/>
    <w:rsid w:val="00727C59"/>
    <w:rsid w:val="00734E5D"/>
    <w:rsid w:val="00735AF1"/>
    <w:rsid w:val="00736013"/>
    <w:rsid w:val="00737661"/>
    <w:rsid w:val="007402CA"/>
    <w:rsid w:val="00753D83"/>
    <w:rsid w:val="00755D75"/>
    <w:rsid w:val="00756245"/>
    <w:rsid w:val="0076130F"/>
    <w:rsid w:val="00761662"/>
    <w:rsid w:val="00764043"/>
    <w:rsid w:val="007757CF"/>
    <w:rsid w:val="00776FFC"/>
    <w:rsid w:val="0078128F"/>
    <w:rsid w:val="0078683C"/>
    <w:rsid w:val="00790EDB"/>
    <w:rsid w:val="00791538"/>
    <w:rsid w:val="007918F0"/>
    <w:rsid w:val="00791CD5"/>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7E5E4A"/>
    <w:rsid w:val="007F5C72"/>
    <w:rsid w:val="00801028"/>
    <w:rsid w:val="00802CE2"/>
    <w:rsid w:val="00803793"/>
    <w:rsid w:val="008043CA"/>
    <w:rsid w:val="0080643F"/>
    <w:rsid w:val="00814052"/>
    <w:rsid w:val="008149FD"/>
    <w:rsid w:val="00817A01"/>
    <w:rsid w:val="0082083B"/>
    <w:rsid w:val="00824F21"/>
    <w:rsid w:val="0082500C"/>
    <w:rsid w:val="00825E35"/>
    <w:rsid w:val="0083320B"/>
    <w:rsid w:val="008334F8"/>
    <w:rsid w:val="008341AA"/>
    <w:rsid w:val="00835D8E"/>
    <w:rsid w:val="008372F6"/>
    <w:rsid w:val="008377CA"/>
    <w:rsid w:val="00844D03"/>
    <w:rsid w:val="00847B0F"/>
    <w:rsid w:val="00847DBC"/>
    <w:rsid w:val="00852994"/>
    <w:rsid w:val="00873D89"/>
    <w:rsid w:val="00876659"/>
    <w:rsid w:val="00876677"/>
    <w:rsid w:val="0087734C"/>
    <w:rsid w:val="008812EE"/>
    <w:rsid w:val="00882141"/>
    <w:rsid w:val="00887E3B"/>
    <w:rsid w:val="008922A8"/>
    <w:rsid w:val="00895728"/>
    <w:rsid w:val="00895BD5"/>
    <w:rsid w:val="0089742B"/>
    <w:rsid w:val="008A16C4"/>
    <w:rsid w:val="008A6FED"/>
    <w:rsid w:val="008B39C5"/>
    <w:rsid w:val="008B51AA"/>
    <w:rsid w:val="008B5AE0"/>
    <w:rsid w:val="008B73C2"/>
    <w:rsid w:val="008B7932"/>
    <w:rsid w:val="008C4704"/>
    <w:rsid w:val="008C67F2"/>
    <w:rsid w:val="008D064A"/>
    <w:rsid w:val="008D0FDB"/>
    <w:rsid w:val="008D2B0F"/>
    <w:rsid w:val="008D30BC"/>
    <w:rsid w:val="008D4BC4"/>
    <w:rsid w:val="008E449E"/>
    <w:rsid w:val="008E7062"/>
    <w:rsid w:val="008F187F"/>
    <w:rsid w:val="008F402F"/>
    <w:rsid w:val="008F55FA"/>
    <w:rsid w:val="008F5CEE"/>
    <w:rsid w:val="008F613F"/>
    <w:rsid w:val="008F76E8"/>
    <w:rsid w:val="008F7CD0"/>
    <w:rsid w:val="00902902"/>
    <w:rsid w:val="00902A4B"/>
    <w:rsid w:val="009078A1"/>
    <w:rsid w:val="00911E9C"/>
    <w:rsid w:val="00915083"/>
    <w:rsid w:val="00917405"/>
    <w:rsid w:val="00920035"/>
    <w:rsid w:val="00920F7C"/>
    <w:rsid w:val="00922958"/>
    <w:rsid w:val="00934CAE"/>
    <w:rsid w:val="0094257D"/>
    <w:rsid w:val="00942F60"/>
    <w:rsid w:val="0095211B"/>
    <w:rsid w:val="0095467C"/>
    <w:rsid w:val="00954A61"/>
    <w:rsid w:val="00955C6F"/>
    <w:rsid w:val="00966C7B"/>
    <w:rsid w:val="009701DC"/>
    <w:rsid w:val="009715D8"/>
    <w:rsid w:val="00976F32"/>
    <w:rsid w:val="00980D0D"/>
    <w:rsid w:val="00985C4B"/>
    <w:rsid w:val="00994568"/>
    <w:rsid w:val="00995BF9"/>
    <w:rsid w:val="00997C3C"/>
    <w:rsid w:val="009A0CAF"/>
    <w:rsid w:val="009A1474"/>
    <w:rsid w:val="009A2207"/>
    <w:rsid w:val="009A5147"/>
    <w:rsid w:val="009A74C4"/>
    <w:rsid w:val="009B02D2"/>
    <w:rsid w:val="009B6C42"/>
    <w:rsid w:val="009B6CC2"/>
    <w:rsid w:val="009D31F7"/>
    <w:rsid w:val="009D32C2"/>
    <w:rsid w:val="009D50DB"/>
    <w:rsid w:val="009D72A0"/>
    <w:rsid w:val="009D7989"/>
    <w:rsid w:val="009E3A0A"/>
    <w:rsid w:val="009F26D4"/>
    <w:rsid w:val="009F3E91"/>
    <w:rsid w:val="009F6CE7"/>
    <w:rsid w:val="009F7D7D"/>
    <w:rsid w:val="00A01670"/>
    <w:rsid w:val="00A1499B"/>
    <w:rsid w:val="00A20879"/>
    <w:rsid w:val="00A20AFC"/>
    <w:rsid w:val="00A23E47"/>
    <w:rsid w:val="00A314C2"/>
    <w:rsid w:val="00A43B9C"/>
    <w:rsid w:val="00A53155"/>
    <w:rsid w:val="00A546B5"/>
    <w:rsid w:val="00A566C5"/>
    <w:rsid w:val="00A56FFA"/>
    <w:rsid w:val="00A577AE"/>
    <w:rsid w:val="00A61D4E"/>
    <w:rsid w:val="00A63E86"/>
    <w:rsid w:val="00A65A1C"/>
    <w:rsid w:val="00A757C3"/>
    <w:rsid w:val="00A75E5B"/>
    <w:rsid w:val="00A7684A"/>
    <w:rsid w:val="00A80B42"/>
    <w:rsid w:val="00A82AED"/>
    <w:rsid w:val="00A83B69"/>
    <w:rsid w:val="00A86533"/>
    <w:rsid w:val="00A9176A"/>
    <w:rsid w:val="00A91CA2"/>
    <w:rsid w:val="00A92FB8"/>
    <w:rsid w:val="00A93B2F"/>
    <w:rsid w:val="00A948F1"/>
    <w:rsid w:val="00AA1D7D"/>
    <w:rsid w:val="00AA7525"/>
    <w:rsid w:val="00AB0EA9"/>
    <w:rsid w:val="00AB139D"/>
    <w:rsid w:val="00AB2C46"/>
    <w:rsid w:val="00AB3EFB"/>
    <w:rsid w:val="00AB5EF7"/>
    <w:rsid w:val="00AB6862"/>
    <w:rsid w:val="00AC0B05"/>
    <w:rsid w:val="00AC763F"/>
    <w:rsid w:val="00AD079A"/>
    <w:rsid w:val="00AD1890"/>
    <w:rsid w:val="00AE2149"/>
    <w:rsid w:val="00AE33AE"/>
    <w:rsid w:val="00AE3785"/>
    <w:rsid w:val="00AE3F91"/>
    <w:rsid w:val="00AE452F"/>
    <w:rsid w:val="00AE76E6"/>
    <w:rsid w:val="00B00ACC"/>
    <w:rsid w:val="00B02A45"/>
    <w:rsid w:val="00B039E3"/>
    <w:rsid w:val="00B043C1"/>
    <w:rsid w:val="00B122AC"/>
    <w:rsid w:val="00B22838"/>
    <w:rsid w:val="00B27D52"/>
    <w:rsid w:val="00B32BC1"/>
    <w:rsid w:val="00B33E95"/>
    <w:rsid w:val="00B34EE1"/>
    <w:rsid w:val="00B35B5E"/>
    <w:rsid w:val="00B36871"/>
    <w:rsid w:val="00B3720B"/>
    <w:rsid w:val="00B40EE3"/>
    <w:rsid w:val="00B4535A"/>
    <w:rsid w:val="00B55271"/>
    <w:rsid w:val="00B5558A"/>
    <w:rsid w:val="00B56513"/>
    <w:rsid w:val="00B56B2E"/>
    <w:rsid w:val="00B56D57"/>
    <w:rsid w:val="00B63031"/>
    <w:rsid w:val="00B64376"/>
    <w:rsid w:val="00B71533"/>
    <w:rsid w:val="00B7157A"/>
    <w:rsid w:val="00B73B2A"/>
    <w:rsid w:val="00B7401F"/>
    <w:rsid w:val="00B806A7"/>
    <w:rsid w:val="00B806C3"/>
    <w:rsid w:val="00B838F5"/>
    <w:rsid w:val="00B84FCA"/>
    <w:rsid w:val="00B877BA"/>
    <w:rsid w:val="00B9089F"/>
    <w:rsid w:val="00B91AEE"/>
    <w:rsid w:val="00B931D5"/>
    <w:rsid w:val="00B94F71"/>
    <w:rsid w:val="00B95F5A"/>
    <w:rsid w:val="00B96EAD"/>
    <w:rsid w:val="00BA22AF"/>
    <w:rsid w:val="00BA4121"/>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6D98"/>
    <w:rsid w:val="00BE3B54"/>
    <w:rsid w:val="00BF376F"/>
    <w:rsid w:val="00BF46A6"/>
    <w:rsid w:val="00BF5AE0"/>
    <w:rsid w:val="00BF62CF"/>
    <w:rsid w:val="00BF6B98"/>
    <w:rsid w:val="00BF73D6"/>
    <w:rsid w:val="00C01467"/>
    <w:rsid w:val="00C06545"/>
    <w:rsid w:val="00C1161C"/>
    <w:rsid w:val="00C134EE"/>
    <w:rsid w:val="00C17F66"/>
    <w:rsid w:val="00C220FC"/>
    <w:rsid w:val="00C23C86"/>
    <w:rsid w:val="00C24DFA"/>
    <w:rsid w:val="00C314B9"/>
    <w:rsid w:val="00C35561"/>
    <w:rsid w:val="00C4202A"/>
    <w:rsid w:val="00C4211F"/>
    <w:rsid w:val="00C445D3"/>
    <w:rsid w:val="00C46A36"/>
    <w:rsid w:val="00C47037"/>
    <w:rsid w:val="00C53625"/>
    <w:rsid w:val="00C602C1"/>
    <w:rsid w:val="00C60C6D"/>
    <w:rsid w:val="00C61C98"/>
    <w:rsid w:val="00C63FC0"/>
    <w:rsid w:val="00C66392"/>
    <w:rsid w:val="00C74C5E"/>
    <w:rsid w:val="00C77487"/>
    <w:rsid w:val="00C77C9A"/>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0EF6"/>
    <w:rsid w:val="00CE2486"/>
    <w:rsid w:val="00CE4913"/>
    <w:rsid w:val="00CE66BD"/>
    <w:rsid w:val="00CF0671"/>
    <w:rsid w:val="00CF44AD"/>
    <w:rsid w:val="00CF4FC0"/>
    <w:rsid w:val="00CF7642"/>
    <w:rsid w:val="00D00717"/>
    <w:rsid w:val="00D03909"/>
    <w:rsid w:val="00D1072F"/>
    <w:rsid w:val="00D108A5"/>
    <w:rsid w:val="00D131F9"/>
    <w:rsid w:val="00D14585"/>
    <w:rsid w:val="00D20EFF"/>
    <w:rsid w:val="00D30F1B"/>
    <w:rsid w:val="00D30FC0"/>
    <w:rsid w:val="00D34F0D"/>
    <w:rsid w:val="00D3516E"/>
    <w:rsid w:val="00D36FE8"/>
    <w:rsid w:val="00D4064C"/>
    <w:rsid w:val="00D47F9F"/>
    <w:rsid w:val="00D50E65"/>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3ADD"/>
    <w:rsid w:val="00D853B5"/>
    <w:rsid w:val="00D86779"/>
    <w:rsid w:val="00D86EE1"/>
    <w:rsid w:val="00D9120E"/>
    <w:rsid w:val="00D913B1"/>
    <w:rsid w:val="00D93793"/>
    <w:rsid w:val="00D96126"/>
    <w:rsid w:val="00DB0C4C"/>
    <w:rsid w:val="00DB3F2F"/>
    <w:rsid w:val="00DB4B1C"/>
    <w:rsid w:val="00DB5085"/>
    <w:rsid w:val="00DB7706"/>
    <w:rsid w:val="00DC1062"/>
    <w:rsid w:val="00DC132C"/>
    <w:rsid w:val="00DC774B"/>
    <w:rsid w:val="00DD0DA9"/>
    <w:rsid w:val="00DD43F0"/>
    <w:rsid w:val="00DD44DE"/>
    <w:rsid w:val="00DD4C46"/>
    <w:rsid w:val="00DE09AB"/>
    <w:rsid w:val="00DE168E"/>
    <w:rsid w:val="00DE4A3F"/>
    <w:rsid w:val="00DE4E53"/>
    <w:rsid w:val="00DE7AE9"/>
    <w:rsid w:val="00DF4367"/>
    <w:rsid w:val="00E0574A"/>
    <w:rsid w:val="00E113BD"/>
    <w:rsid w:val="00E1243D"/>
    <w:rsid w:val="00E12588"/>
    <w:rsid w:val="00E12742"/>
    <w:rsid w:val="00E12E4A"/>
    <w:rsid w:val="00E146D4"/>
    <w:rsid w:val="00E20976"/>
    <w:rsid w:val="00E22079"/>
    <w:rsid w:val="00E22B44"/>
    <w:rsid w:val="00E236D8"/>
    <w:rsid w:val="00E30ACD"/>
    <w:rsid w:val="00E3184B"/>
    <w:rsid w:val="00E32735"/>
    <w:rsid w:val="00E5391D"/>
    <w:rsid w:val="00E544E5"/>
    <w:rsid w:val="00E6033F"/>
    <w:rsid w:val="00E61364"/>
    <w:rsid w:val="00E66E36"/>
    <w:rsid w:val="00E6781E"/>
    <w:rsid w:val="00E702ED"/>
    <w:rsid w:val="00E705CC"/>
    <w:rsid w:val="00E709A4"/>
    <w:rsid w:val="00E72C29"/>
    <w:rsid w:val="00E73822"/>
    <w:rsid w:val="00E772DB"/>
    <w:rsid w:val="00E8418F"/>
    <w:rsid w:val="00E86012"/>
    <w:rsid w:val="00E86BAB"/>
    <w:rsid w:val="00E901A1"/>
    <w:rsid w:val="00E94E10"/>
    <w:rsid w:val="00E954BD"/>
    <w:rsid w:val="00E96743"/>
    <w:rsid w:val="00E96A42"/>
    <w:rsid w:val="00EA0A36"/>
    <w:rsid w:val="00EA49C5"/>
    <w:rsid w:val="00EB1C1C"/>
    <w:rsid w:val="00EB5027"/>
    <w:rsid w:val="00EB73C2"/>
    <w:rsid w:val="00EC1836"/>
    <w:rsid w:val="00EC3990"/>
    <w:rsid w:val="00EC484B"/>
    <w:rsid w:val="00ED15FA"/>
    <w:rsid w:val="00ED1E00"/>
    <w:rsid w:val="00EE228F"/>
    <w:rsid w:val="00EE238D"/>
    <w:rsid w:val="00EE6E9A"/>
    <w:rsid w:val="00EF0BF1"/>
    <w:rsid w:val="00EF27DA"/>
    <w:rsid w:val="00EF2AC4"/>
    <w:rsid w:val="00EF397E"/>
    <w:rsid w:val="00F02771"/>
    <w:rsid w:val="00F06F68"/>
    <w:rsid w:val="00F10B01"/>
    <w:rsid w:val="00F1332D"/>
    <w:rsid w:val="00F1534B"/>
    <w:rsid w:val="00F1713B"/>
    <w:rsid w:val="00F212CB"/>
    <w:rsid w:val="00F23C7D"/>
    <w:rsid w:val="00F243DB"/>
    <w:rsid w:val="00F24C2D"/>
    <w:rsid w:val="00F24F1B"/>
    <w:rsid w:val="00F253D4"/>
    <w:rsid w:val="00F27356"/>
    <w:rsid w:val="00F31A2C"/>
    <w:rsid w:val="00F32A81"/>
    <w:rsid w:val="00F40B69"/>
    <w:rsid w:val="00F46998"/>
    <w:rsid w:val="00F47100"/>
    <w:rsid w:val="00F5382D"/>
    <w:rsid w:val="00F53D9C"/>
    <w:rsid w:val="00F5462B"/>
    <w:rsid w:val="00F56073"/>
    <w:rsid w:val="00F634AD"/>
    <w:rsid w:val="00F63677"/>
    <w:rsid w:val="00F63ABE"/>
    <w:rsid w:val="00F72EE6"/>
    <w:rsid w:val="00F75B81"/>
    <w:rsid w:val="00F804C4"/>
    <w:rsid w:val="00F805CC"/>
    <w:rsid w:val="00F82F83"/>
    <w:rsid w:val="00F832E5"/>
    <w:rsid w:val="00F90F40"/>
    <w:rsid w:val="00F9187D"/>
    <w:rsid w:val="00F92B30"/>
    <w:rsid w:val="00F933B9"/>
    <w:rsid w:val="00F94674"/>
    <w:rsid w:val="00F94919"/>
    <w:rsid w:val="00F94A59"/>
    <w:rsid w:val="00FA25B6"/>
    <w:rsid w:val="00FA2FAF"/>
    <w:rsid w:val="00FA5CCF"/>
    <w:rsid w:val="00FA64B1"/>
    <w:rsid w:val="00FA70F3"/>
    <w:rsid w:val="00FA71CD"/>
    <w:rsid w:val="00FA7FC5"/>
    <w:rsid w:val="00FB0453"/>
    <w:rsid w:val="00FB0C07"/>
    <w:rsid w:val="00FB298D"/>
    <w:rsid w:val="00FC1439"/>
    <w:rsid w:val="00FC3706"/>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2F73"/>
    <w:rsid w:val="00FF44E0"/>
    <w:rsid w:val="00FF4CB6"/>
    <w:rsid w:val="00FF5834"/>
    <w:rsid w:val="00FF6C72"/>
    <w:rsid w:val="010D427B"/>
    <w:rsid w:val="0117225E"/>
    <w:rsid w:val="016B19DC"/>
    <w:rsid w:val="017C6D0A"/>
    <w:rsid w:val="01BA73E4"/>
    <w:rsid w:val="01D628BE"/>
    <w:rsid w:val="01D84625"/>
    <w:rsid w:val="02092C94"/>
    <w:rsid w:val="02105DD0"/>
    <w:rsid w:val="0214602E"/>
    <w:rsid w:val="022278B2"/>
    <w:rsid w:val="02661E94"/>
    <w:rsid w:val="02810A7C"/>
    <w:rsid w:val="0288005D"/>
    <w:rsid w:val="02B20C36"/>
    <w:rsid w:val="02B50726"/>
    <w:rsid w:val="02D87D3E"/>
    <w:rsid w:val="02EC7E74"/>
    <w:rsid w:val="03327FC8"/>
    <w:rsid w:val="03466855"/>
    <w:rsid w:val="03486B27"/>
    <w:rsid w:val="035644BB"/>
    <w:rsid w:val="037C1244"/>
    <w:rsid w:val="039D18E6"/>
    <w:rsid w:val="03A10CAA"/>
    <w:rsid w:val="03A2514E"/>
    <w:rsid w:val="03B57815"/>
    <w:rsid w:val="03B72484"/>
    <w:rsid w:val="03D472D2"/>
    <w:rsid w:val="03E272F9"/>
    <w:rsid w:val="03FB6A30"/>
    <w:rsid w:val="040A094E"/>
    <w:rsid w:val="042518DB"/>
    <w:rsid w:val="046B5540"/>
    <w:rsid w:val="047D26D2"/>
    <w:rsid w:val="048C3708"/>
    <w:rsid w:val="049727D9"/>
    <w:rsid w:val="04B54A0D"/>
    <w:rsid w:val="04B771C9"/>
    <w:rsid w:val="04D74983"/>
    <w:rsid w:val="04DC4690"/>
    <w:rsid w:val="04DD2F90"/>
    <w:rsid w:val="04E36C96"/>
    <w:rsid w:val="04EA6DAD"/>
    <w:rsid w:val="05006DAE"/>
    <w:rsid w:val="053E099F"/>
    <w:rsid w:val="056800F4"/>
    <w:rsid w:val="056F201D"/>
    <w:rsid w:val="05A0746B"/>
    <w:rsid w:val="05A90B68"/>
    <w:rsid w:val="05B13426"/>
    <w:rsid w:val="05B664D4"/>
    <w:rsid w:val="05C70E9C"/>
    <w:rsid w:val="05F6352F"/>
    <w:rsid w:val="06014716"/>
    <w:rsid w:val="06471FDD"/>
    <w:rsid w:val="06530982"/>
    <w:rsid w:val="06565D7C"/>
    <w:rsid w:val="06677F89"/>
    <w:rsid w:val="068A576E"/>
    <w:rsid w:val="06AC1E40"/>
    <w:rsid w:val="06C90C44"/>
    <w:rsid w:val="06DE46EF"/>
    <w:rsid w:val="07076C01"/>
    <w:rsid w:val="071C12AC"/>
    <w:rsid w:val="074C09BA"/>
    <w:rsid w:val="074E231E"/>
    <w:rsid w:val="07612C2A"/>
    <w:rsid w:val="07697D31"/>
    <w:rsid w:val="07A934B3"/>
    <w:rsid w:val="087D7F38"/>
    <w:rsid w:val="08B15E54"/>
    <w:rsid w:val="08B177D1"/>
    <w:rsid w:val="08B51480"/>
    <w:rsid w:val="08BA6A96"/>
    <w:rsid w:val="08BE0866"/>
    <w:rsid w:val="08C07E24"/>
    <w:rsid w:val="08C77405"/>
    <w:rsid w:val="08D51B22"/>
    <w:rsid w:val="08DA13A0"/>
    <w:rsid w:val="091837BC"/>
    <w:rsid w:val="0972111F"/>
    <w:rsid w:val="0980799C"/>
    <w:rsid w:val="099C263F"/>
    <w:rsid w:val="099D3B73"/>
    <w:rsid w:val="099F7A3A"/>
    <w:rsid w:val="09D11FA7"/>
    <w:rsid w:val="09F61D50"/>
    <w:rsid w:val="0A0F6376"/>
    <w:rsid w:val="0A2E15EC"/>
    <w:rsid w:val="0A353CEA"/>
    <w:rsid w:val="0A5922DF"/>
    <w:rsid w:val="0A6A18DB"/>
    <w:rsid w:val="0A892BC4"/>
    <w:rsid w:val="0AB94B2B"/>
    <w:rsid w:val="0AD53615"/>
    <w:rsid w:val="0ADD1BA9"/>
    <w:rsid w:val="0AE07845"/>
    <w:rsid w:val="0AEF3828"/>
    <w:rsid w:val="0AF77D07"/>
    <w:rsid w:val="0B057AEF"/>
    <w:rsid w:val="0B1D50BA"/>
    <w:rsid w:val="0B26180B"/>
    <w:rsid w:val="0B3A5C6C"/>
    <w:rsid w:val="0B444F7E"/>
    <w:rsid w:val="0B487B78"/>
    <w:rsid w:val="0B494101"/>
    <w:rsid w:val="0B6E5FE8"/>
    <w:rsid w:val="0B84338B"/>
    <w:rsid w:val="0BAC2AF2"/>
    <w:rsid w:val="0BB023D2"/>
    <w:rsid w:val="0BBB665B"/>
    <w:rsid w:val="0BC96ABA"/>
    <w:rsid w:val="0BD336A2"/>
    <w:rsid w:val="0BF00A21"/>
    <w:rsid w:val="0BFC01A3"/>
    <w:rsid w:val="0C05627A"/>
    <w:rsid w:val="0C0B585A"/>
    <w:rsid w:val="0C182FEF"/>
    <w:rsid w:val="0C3D65CA"/>
    <w:rsid w:val="0C566AD6"/>
    <w:rsid w:val="0C590374"/>
    <w:rsid w:val="0CA37841"/>
    <w:rsid w:val="0CB7664E"/>
    <w:rsid w:val="0CCF6888"/>
    <w:rsid w:val="0CE2480D"/>
    <w:rsid w:val="0CEC11E8"/>
    <w:rsid w:val="0D154674"/>
    <w:rsid w:val="0D1C1E0B"/>
    <w:rsid w:val="0D336E17"/>
    <w:rsid w:val="0D4234FE"/>
    <w:rsid w:val="0D4E431D"/>
    <w:rsid w:val="0DA57240"/>
    <w:rsid w:val="0DAD0977"/>
    <w:rsid w:val="0DC65EDD"/>
    <w:rsid w:val="0DDB277F"/>
    <w:rsid w:val="0E042561"/>
    <w:rsid w:val="0E2826F4"/>
    <w:rsid w:val="0E55371B"/>
    <w:rsid w:val="0E5857DD"/>
    <w:rsid w:val="0E5E74D3"/>
    <w:rsid w:val="0E816EC5"/>
    <w:rsid w:val="0E864017"/>
    <w:rsid w:val="0E924011"/>
    <w:rsid w:val="0EA87391"/>
    <w:rsid w:val="0EEA6FC1"/>
    <w:rsid w:val="0EF23960"/>
    <w:rsid w:val="0EF75115"/>
    <w:rsid w:val="0EFA4090"/>
    <w:rsid w:val="0EFF16A6"/>
    <w:rsid w:val="0F17479B"/>
    <w:rsid w:val="0F396B78"/>
    <w:rsid w:val="0F6E6D3D"/>
    <w:rsid w:val="0F7D6A6F"/>
    <w:rsid w:val="0F841BAC"/>
    <w:rsid w:val="0F954485"/>
    <w:rsid w:val="0FB87DF5"/>
    <w:rsid w:val="0FBF344F"/>
    <w:rsid w:val="0FC621C4"/>
    <w:rsid w:val="0FDC314E"/>
    <w:rsid w:val="0FE95224"/>
    <w:rsid w:val="1004447E"/>
    <w:rsid w:val="102579CB"/>
    <w:rsid w:val="104A6951"/>
    <w:rsid w:val="10505F32"/>
    <w:rsid w:val="105A27E6"/>
    <w:rsid w:val="105F0804"/>
    <w:rsid w:val="106D43EE"/>
    <w:rsid w:val="10725EA8"/>
    <w:rsid w:val="107324CB"/>
    <w:rsid w:val="10A67900"/>
    <w:rsid w:val="10B82B7E"/>
    <w:rsid w:val="10CB462E"/>
    <w:rsid w:val="10EC17B7"/>
    <w:rsid w:val="112453F4"/>
    <w:rsid w:val="112C4C4A"/>
    <w:rsid w:val="11382C4E"/>
    <w:rsid w:val="11435E26"/>
    <w:rsid w:val="115630D4"/>
    <w:rsid w:val="118E0AC0"/>
    <w:rsid w:val="119B0711"/>
    <w:rsid w:val="11D062EE"/>
    <w:rsid w:val="11D24E50"/>
    <w:rsid w:val="11F01048"/>
    <w:rsid w:val="120D2DE4"/>
    <w:rsid w:val="12197477"/>
    <w:rsid w:val="12200B5E"/>
    <w:rsid w:val="1238653B"/>
    <w:rsid w:val="12521AED"/>
    <w:rsid w:val="12665599"/>
    <w:rsid w:val="12971BF6"/>
    <w:rsid w:val="12972845"/>
    <w:rsid w:val="129A7DEF"/>
    <w:rsid w:val="12A12EEA"/>
    <w:rsid w:val="12B471BD"/>
    <w:rsid w:val="12BE27B4"/>
    <w:rsid w:val="12D06EB6"/>
    <w:rsid w:val="12D50275"/>
    <w:rsid w:val="12D544CC"/>
    <w:rsid w:val="13070551"/>
    <w:rsid w:val="130D399B"/>
    <w:rsid w:val="13182D37"/>
    <w:rsid w:val="131C5AEC"/>
    <w:rsid w:val="1332191F"/>
    <w:rsid w:val="133236CD"/>
    <w:rsid w:val="13392CAD"/>
    <w:rsid w:val="13587E2C"/>
    <w:rsid w:val="135B2C24"/>
    <w:rsid w:val="13675A6C"/>
    <w:rsid w:val="13877EBC"/>
    <w:rsid w:val="13983E78"/>
    <w:rsid w:val="13B14F39"/>
    <w:rsid w:val="13C702B9"/>
    <w:rsid w:val="13DE0994"/>
    <w:rsid w:val="13F37300"/>
    <w:rsid w:val="13F84916"/>
    <w:rsid w:val="1413346E"/>
    <w:rsid w:val="141F5D3B"/>
    <w:rsid w:val="14270E79"/>
    <w:rsid w:val="142B4CEC"/>
    <w:rsid w:val="14357918"/>
    <w:rsid w:val="1466407E"/>
    <w:rsid w:val="146D70F1"/>
    <w:rsid w:val="147E16A4"/>
    <w:rsid w:val="14834E28"/>
    <w:rsid w:val="14887A48"/>
    <w:rsid w:val="148E7D65"/>
    <w:rsid w:val="14B46A8F"/>
    <w:rsid w:val="14BB35BA"/>
    <w:rsid w:val="151D4243"/>
    <w:rsid w:val="15231BF9"/>
    <w:rsid w:val="15326E68"/>
    <w:rsid w:val="153674A4"/>
    <w:rsid w:val="153D4CD7"/>
    <w:rsid w:val="15417840"/>
    <w:rsid w:val="15691286"/>
    <w:rsid w:val="156F29B6"/>
    <w:rsid w:val="1584174B"/>
    <w:rsid w:val="159643E7"/>
    <w:rsid w:val="15A46B04"/>
    <w:rsid w:val="15AA7E92"/>
    <w:rsid w:val="163C6781"/>
    <w:rsid w:val="166D2F25"/>
    <w:rsid w:val="16754781"/>
    <w:rsid w:val="16A34589"/>
    <w:rsid w:val="16BF171B"/>
    <w:rsid w:val="1734012D"/>
    <w:rsid w:val="173E2BA8"/>
    <w:rsid w:val="17471E3D"/>
    <w:rsid w:val="174D5F53"/>
    <w:rsid w:val="17563169"/>
    <w:rsid w:val="17604CAC"/>
    <w:rsid w:val="176A5B87"/>
    <w:rsid w:val="177C760C"/>
    <w:rsid w:val="17800EAB"/>
    <w:rsid w:val="179F5278"/>
    <w:rsid w:val="17A728DB"/>
    <w:rsid w:val="17CF3BE0"/>
    <w:rsid w:val="17D14AA2"/>
    <w:rsid w:val="17D66D1D"/>
    <w:rsid w:val="17E1094F"/>
    <w:rsid w:val="17F35B20"/>
    <w:rsid w:val="181D494B"/>
    <w:rsid w:val="182A7068"/>
    <w:rsid w:val="1833416F"/>
    <w:rsid w:val="184C0317"/>
    <w:rsid w:val="18702CCD"/>
    <w:rsid w:val="18A24E51"/>
    <w:rsid w:val="18B23848"/>
    <w:rsid w:val="18CB084B"/>
    <w:rsid w:val="18ED08AB"/>
    <w:rsid w:val="19232435"/>
    <w:rsid w:val="19397834"/>
    <w:rsid w:val="1948578F"/>
    <w:rsid w:val="19666ACC"/>
    <w:rsid w:val="19BE7B35"/>
    <w:rsid w:val="19DE1DB2"/>
    <w:rsid w:val="19EA6AAF"/>
    <w:rsid w:val="19F734ED"/>
    <w:rsid w:val="1A0C2197"/>
    <w:rsid w:val="1A0E05FD"/>
    <w:rsid w:val="1A3B68AA"/>
    <w:rsid w:val="1A3E1C1E"/>
    <w:rsid w:val="1A516B2E"/>
    <w:rsid w:val="1A6C3968"/>
    <w:rsid w:val="1A840CB2"/>
    <w:rsid w:val="1A9940AD"/>
    <w:rsid w:val="1A9E3253"/>
    <w:rsid w:val="1AA66E7A"/>
    <w:rsid w:val="1AC07834"/>
    <w:rsid w:val="1AEB2ADF"/>
    <w:rsid w:val="1B1D634E"/>
    <w:rsid w:val="1B3721C8"/>
    <w:rsid w:val="1B3F565F"/>
    <w:rsid w:val="1B544B28"/>
    <w:rsid w:val="1B747324"/>
    <w:rsid w:val="1B9413C8"/>
    <w:rsid w:val="1BB452D5"/>
    <w:rsid w:val="1BB90E2F"/>
    <w:rsid w:val="1BD619E1"/>
    <w:rsid w:val="1BDC3FB1"/>
    <w:rsid w:val="1BFD6F6E"/>
    <w:rsid w:val="1C141836"/>
    <w:rsid w:val="1C1E39C9"/>
    <w:rsid w:val="1C1F5136"/>
    <w:rsid w:val="1C252021"/>
    <w:rsid w:val="1C330BE1"/>
    <w:rsid w:val="1C35050B"/>
    <w:rsid w:val="1C3F2DB6"/>
    <w:rsid w:val="1C5841A4"/>
    <w:rsid w:val="1C705992"/>
    <w:rsid w:val="1CA76068"/>
    <w:rsid w:val="1CB25FAA"/>
    <w:rsid w:val="1CCE5013"/>
    <w:rsid w:val="1CF33FB1"/>
    <w:rsid w:val="1CF77E61"/>
    <w:rsid w:val="1D1D719C"/>
    <w:rsid w:val="1D1E3640"/>
    <w:rsid w:val="1D216541"/>
    <w:rsid w:val="1D4330A6"/>
    <w:rsid w:val="1D4872E9"/>
    <w:rsid w:val="1D813BCE"/>
    <w:rsid w:val="1D8D6BE8"/>
    <w:rsid w:val="1D9E02DC"/>
    <w:rsid w:val="1DB02D9D"/>
    <w:rsid w:val="1DB47B00"/>
    <w:rsid w:val="1DB61906"/>
    <w:rsid w:val="1DC67833"/>
    <w:rsid w:val="1DD106B2"/>
    <w:rsid w:val="1DDD3AAF"/>
    <w:rsid w:val="1DE1546F"/>
    <w:rsid w:val="1E2E78B2"/>
    <w:rsid w:val="1E3173A3"/>
    <w:rsid w:val="1E4A3FC0"/>
    <w:rsid w:val="1E51534F"/>
    <w:rsid w:val="1E53330A"/>
    <w:rsid w:val="1E5F5593"/>
    <w:rsid w:val="1E6B6A14"/>
    <w:rsid w:val="1E6C3F37"/>
    <w:rsid w:val="1E6F76A4"/>
    <w:rsid w:val="1E805C34"/>
    <w:rsid w:val="1E890F8D"/>
    <w:rsid w:val="1EBA6164"/>
    <w:rsid w:val="1EC32B6A"/>
    <w:rsid w:val="1EE77A61"/>
    <w:rsid w:val="1EE937D9"/>
    <w:rsid w:val="1EFC175F"/>
    <w:rsid w:val="1F0028D1"/>
    <w:rsid w:val="1F1840BF"/>
    <w:rsid w:val="1F5171D1"/>
    <w:rsid w:val="1F703EFB"/>
    <w:rsid w:val="1F7F5EEC"/>
    <w:rsid w:val="1F9129E6"/>
    <w:rsid w:val="1FA37E2C"/>
    <w:rsid w:val="1FA47700"/>
    <w:rsid w:val="1FCB7383"/>
    <w:rsid w:val="1FD75D28"/>
    <w:rsid w:val="1FEA5A5B"/>
    <w:rsid w:val="20174376"/>
    <w:rsid w:val="2027280B"/>
    <w:rsid w:val="20550D9A"/>
    <w:rsid w:val="20AB0AFD"/>
    <w:rsid w:val="20B9542D"/>
    <w:rsid w:val="20C938C2"/>
    <w:rsid w:val="20F36B91"/>
    <w:rsid w:val="21714B53"/>
    <w:rsid w:val="218B028E"/>
    <w:rsid w:val="218E2416"/>
    <w:rsid w:val="2198776E"/>
    <w:rsid w:val="219D5641"/>
    <w:rsid w:val="21C33D3D"/>
    <w:rsid w:val="21CB5418"/>
    <w:rsid w:val="21E4134F"/>
    <w:rsid w:val="220628F4"/>
    <w:rsid w:val="22105521"/>
    <w:rsid w:val="22145011"/>
    <w:rsid w:val="221C3EC6"/>
    <w:rsid w:val="22390411"/>
    <w:rsid w:val="224D407F"/>
    <w:rsid w:val="224E718C"/>
    <w:rsid w:val="224F334D"/>
    <w:rsid w:val="226915FE"/>
    <w:rsid w:val="22963C78"/>
    <w:rsid w:val="22AF0896"/>
    <w:rsid w:val="22B40B8E"/>
    <w:rsid w:val="22E14C32"/>
    <w:rsid w:val="22F03260"/>
    <w:rsid w:val="22F33859"/>
    <w:rsid w:val="23406563"/>
    <w:rsid w:val="23831FF5"/>
    <w:rsid w:val="23843AD1"/>
    <w:rsid w:val="238719D6"/>
    <w:rsid w:val="23A423C5"/>
    <w:rsid w:val="23AE2087"/>
    <w:rsid w:val="23F06E26"/>
    <w:rsid w:val="24082954"/>
    <w:rsid w:val="24172B97"/>
    <w:rsid w:val="2418246B"/>
    <w:rsid w:val="242552B4"/>
    <w:rsid w:val="244A2F6C"/>
    <w:rsid w:val="24883A94"/>
    <w:rsid w:val="24967F5F"/>
    <w:rsid w:val="24B97929"/>
    <w:rsid w:val="24BA2895"/>
    <w:rsid w:val="24F45DA8"/>
    <w:rsid w:val="251E4A80"/>
    <w:rsid w:val="2520252D"/>
    <w:rsid w:val="25585215"/>
    <w:rsid w:val="2560231B"/>
    <w:rsid w:val="259811BE"/>
    <w:rsid w:val="25A74283"/>
    <w:rsid w:val="25D85F35"/>
    <w:rsid w:val="25DC7BF4"/>
    <w:rsid w:val="25DD571A"/>
    <w:rsid w:val="25E44CFA"/>
    <w:rsid w:val="25FB5532"/>
    <w:rsid w:val="260D24A3"/>
    <w:rsid w:val="26163BC1"/>
    <w:rsid w:val="26263565"/>
    <w:rsid w:val="262A4E03"/>
    <w:rsid w:val="263B66B8"/>
    <w:rsid w:val="26604277"/>
    <w:rsid w:val="267E57F4"/>
    <w:rsid w:val="26AA1AA0"/>
    <w:rsid w:val="26CB0BA0"/>
    <w:rsid w:val="26CD1C32"/>
    <w:rsid w:val="26D46B1D"/>
    <w:rsid w:val="26ED5BEE"/>
    <w:rsid w:val="26F7280B"/>
    <w:rsid w:val="270A0791"/>
    <w:rsid w:val="27221F7E"/>
    <w:rsid w:val="273E043A"/>
    <w:rsid w:val="275F6D2E"/>
    <w:rsid w:val="27826579"/>
    <w:rsid w:val="27886455"/>
    <w:rsid w:val="27AB1F74"/>
    <w:rsid w:val="27C44DE4"/>
    <w:rsid w:val="27C70430"/>
    <w:rsid w:val="27C941A8"/>
    <w:rsid w:val="27E61596"/>
    <w:rsid w:val="27FC457D"/>
    <w:rsid w:val="285F40CA"/>
    <w:rsid w:val="28712CB3"/>
    <w:rsid w:val="28846321"/>
    <w:rsid w:val="28B05368"/>
    <w:rsid w:val="28C01ECB"/>
    <w:rsid w:val="28EC3ECC"/>
    <w:rsid w:val="29233D8C"/>
    <w:rsid w:val="2983667C"/>
    <w:rsid w:val="29B669AE"/>
    <w:rsid w:val="29BA46F0"/>
    <w:rsid w:val="29BF71E3"/>
    <w:rsid w:val="29D15596"/>
    <w:rsid w:val="29DA067B"/>
    <w:rsid w:val="29EC0622"/>
    <w:rsid w:val="29F31B73"/>
    <w:rsid w:val="29F51284"/>
    <w:rsid w:val="2A1262DA"/>
    <w:rsid w:val="2A127B63"/>
    <w:rsid w:val="2A3D5C07"/>
    <w:rsid w:val="2A3F0751"/>
    <w:rsid w:val="2A41096D"/>
    <w:rsid w:val="2A536497"/>
    <w:rsid w:val="2A720B27"/>
    <w:rsid w:val="2A7F27ED"/>
    <w:rsid w:val="2A8F792B"/>
    <w:rsid w:val="2AA8279A"/>
    <w:rsid w:val="2AAA4765"/>
    <w:rsid w:val="2AB32EED"/>
    <w:rsid w:val="2ABC48AC"/>
    <w:rsid w:val="2AC21606"/>
    <w:rsid w:val="2ADC367D"/>
    <w:rsid w:val="2AEF3F25"/>
    <w:rsid w:val="2AF63C5E"/>
    <w:rsid w:val="2AFA0B1C"/>
    <w:rsid w:val="2B19248A"/>
    <w:rsid w:val="2B2C517A"/>
    <w:rsid w:val="2B2E3048"/>
    <w:rsid w:val="2B7E7608"/>
    <w:rsid w:val="2B7F04E9"/>
    <w:rsid w:val="2BBA1A67"/>
    <w:rsid w:val="2BDD46C6"/>
    <w:rsid w:val="2BE75544"/>
    <w:rsid w:val="2C02412C"/>
    <w:rsid w:val="2C305555"/>
    <w:rsid w:val="2C406A34"/>
    <w:rsid w:val="2C477D91"/>
    <w:rsid w:val="2C66290D"/>
    <w:rsid w:val="2C6B7FFF"/>
    <w:rsid w:val="2C8F37CB"/>
    <w:rsid w:val="2C903B14"/>
    <w:rsid w:val="2C907580"/>
    <w:rsid w:val="2C9A21B9"/>
    <w:rsid w:val="2C9C00DD"/>
    <w:rsid w:val="2CA70DC9"/>
    <w:rsid w:val="2CE20523"/>
    <w:rsid w:val="2CE43832"/>
    <w:rsid w:val="2D085772"/>
    <w:rsid w:val="2D496D68"/>
    <w:rsid w:val="2D4F6EFD"/>
    <w:rsid w:val="2D7B23E8"/>
    <w:rsid w:val="2D88240F"/>
    <w:rsid w:val="2D9A7FBB"/>
    <w:rsid w:val="2D9C4911"/>
    <w:rsid w:val="2DA059AB"/>
    <w:rsid w:val="2DCE2518"/>
    <w:rsid w:val="2DFB0E33"/>
    <w:rsid w:val="2E0F48DF"/>
    <w:rsid w:val="2E19750B"/>
    <w:rsid w:val="2E6609A2"/>
    <w:rsid w:val="2E6672CB"/>
    <w:rsid w:val="2E7A48DE"/>
    <w:rsid w:val="2EDC3ED8"/>
    <w:rsid w:val="2EE67D35"/>
    <w:rsid w:val="2EED2E72"/>
    <w:rsid w:val="2EF04710"/>
    <w:rsid w:val="2F1321AD"/>
    <w:rsid w:val="2F2D046C"/>
    <w:rsid w:val="2F5B5A43"/>
    <w:rsid w:val="2F6351B4"/>
    <w:rsid w:val="2F7B1AD6"/>
    <w:rsid w:val="2FA554FB"/>
    <w:rsid w:val="2FA63021"/>
    <w:rsid w:val="2FAA2B11"/>
    <w:rsid w:val="2FAA48BF"/>
    <w:rsid w:val="2FB92D54"/>
    <w:rsid w:val="2FCF199E"/>
    <w:rsid w:val="2FFD70E5"/>
    <w:rsid w:val="30027430"/>
    <w:rsid w:val="30422D49"/>
    <w:rsid w:val="30483E83"/>
    <w:rsid w:val="30A74659"/>
    <w:rsid w:val="30AA0E97"/>
    <w:rsid w:val="30DD6F16"/>
    <w:rsid w:val="30F71D86"/>
    <w:rsid w:val="313905F0"/>
    <w:rsid w:val="31480833"/>
    <w:rsid w:val="318D3E35"/>
    <w:rsid w:val="318D6246"/>
    <w:rsid w:val="319C0B7F"/>
    <w:rsid w:val="31AF440F"/>
    <w:rsid w:val="31B9703B"/>
    <w:rsid w:val="31BB2DB3"/>
    <w:rsid w:val="31DB5204"/>
    <w:rsid w:val="31E16592"/>
    <w:rsid w:val="31EC7411"/>
    <w:rsid w:val="31FB560C"/>
    <w:rsid w:val="32193F7E"/>
    <w:rsid w:val="32333292"/>
    <w:rsid w:val="323679B1"/>
    <w:rsid w:val="32476145"/>
    <w:rsid w:val="326C3C50"/>
    <w:rsid w:val="327F64D7"/>
    <w:rsid w:val="327F7066"/>
    <w:rsid w:val="32D35509"/>
    <w:rsid w:val="32EC3440"/>
    <w:rsid w:val="33022C64"/>
    <w:rsid w:val="330A0480"/>
    <w:rsid w:val="334E4CD8"/>
    <w:rsid w:val="33B95A18"/>
    <w:rsid w:val="33DC5263"/>
    <w:rsid w:val="33EE1C04"/>
    <w:rsid w:val="3411315F"/>
    <w:rsid w:val="343C0775"/>
    <w:rsid w:val="34762628"/>
    <w:rsid w:val="347F27BE"/>
    <w:rsid w:val="34936269"/>
    <w:rsid w:val="34AA76A9"/>
    <w:rsid w:val="34C06933"/>
    <w:rsid w:val="356C50EC"/>
    <w:rsid w:val="357B08F4"/>
    <w:rsid w:val="35887450"/>
    <w:rsid w:val="35B5220F"/>
    <w:rsid w:val="35D5640E"/>
    <w:rsid w:val="35D94150"/>
    <w:rsid w:val="35DE1766"/>
    <w:rsid w:val="360D5BA8"/>
    <w:rsid w:val="361108CD"/>
    <w:rsid w:val="36546FBE"/>
    <w:rsid w:val="36701E43"/>
    <w:rsid w:val="36721EAF"/>
    <w:rsid w:val="36A94A04"/>
    <w:rsid w:val="36FA437E"/>
    <w:rsid w:val="3700166C"/>
    <w:rsid w:val="3727617F"/>
    <w:rsid w:val="375969FE"/>
    <w:rsid w:val="377C4333"/>
    <w:rsid w:val="37EF1A09"/>
    <w:rsid w:val="37FE221A"/>
    <w:rsid w:val="38694EE9"/>
    <w:rsid w:val="38735A0D"/>
    <w:rsid w:val="38883C0B"/>
    <w:rsid w:val="391D4DBE"/>
    <w:rsid w:val="391F631E"/>
    <w:rsid w:val="39205BF2"/>
    <w:rsid w:val="39552058"/>
    <w:rsid w:val="395E08E9"/>
    <w:rsid w:val="39754190"/>
    <w:rsid w:val="39B70553"/>
    <w:rsid w:val="39CE1AF2"/>
    <w:rsid w:val="3A1C285D"/>
    <w:rsid w:val="3A4724A4"/>
    <w:rsid w:val="3A5A5133"/>
    <w:rsid w:val="3A833CEA"/>
    <w:rsid w:val="3A8920C9"/>
    <w:rsid w:val="3B1B48C3"/>
    <w:rsid w:val="3B21605C"/>
    <w:rsid w:val="3B365CC9"/>
    <w:rsid w:val="3B384E25"/>
    <w:rsid w:val="3B7D37CF"/>
    <w:rsid w:val="3B8701AA"/>
    <w:rsid w:val="3B96663F"/>
    <w:rsid w:val="3B9A7B88"/>
    <w:rsid w:val="3BC114FF"/>
    <w:rsid w:val="3BD52CC6"/>
    <w:rsid w:val="3BFB3CDC"/>
    <w:rsid w:val="3C14387D"/>
    <w:rsid w:val="3C2660C6"/>
    <w:rsid w:val="3C664263"/>
    <w:rsid w:val="3CA932D1"/>
    <w:rsid w:val="3CD948F5"/>
    <w:rsid w:val="3CFC0724"/>
    <w:rsid w:val="3CFD6976"/>
    <w:rsid w:val="3D0C0967"/>
    <w:rsid w:val="3D193084"/>
    <w:rsid w:val="3D2637DD"/>
    <w:rsid w:val="3D2C7AC8"/>
    <w:rsid w:val="3D5A3DC8"/>
    <w:rsid w:val="3D657141"/>
    <w:rsid w:val="3D762955"/>
    <w:rsid w:val="3D7E2419"/>
    <w:rsid w:val="3D855D12"/>
    <w:rsid w:val="3D860968"/>
    <w:rsid w:val="3D8B42FF"/>
    <w:rsid w:val="3D8C02DD"/>
    <w:rsid w:val="3DC20089"/>
    <w:rsid w:val="3DE47B36"/>
    <w:rsid w:val="3DE7502E"/>
    <w:rsid w:val="3DF36A6E"/>
    <w:rsid w:val="3DF40091"/>
    <w:rsid w:val="3E2C4BE1"/>
    <w:rsid w:val="3E42660A"/>
    <w:rsid w:val="3E5C76CC"/>
    <w:rsid w:val="3E5E1696"/>
    <w:rsid w:val="3E6738C1"/>
    <w:rsid w:val="3E676891"/>
    <w:rsid w:val="3E6E73FF"/>
    <w:rsid w:val="3EA572C5"/>
    <w:rsid w:val="3EC15781"/>
    <w:rsid w:val="3EC3774B"/>
    <w:rsid w:val="3EFB0C93"/>
    <w:rsid w:val="3F1138E1"/>
    <w:rsid w:val="3F19639E"/>
    <w:rsid w:val="3F1E2BD3"/>
    <w:rsid w:val="3F217143"/>
    <w:rsid w:val="3F473ED8"/>
    <w:rsid w:val="3F620D12"/>
    <w:rsid w:val="3F792F1E"/>
    <w:rsid w:val="3F903A5F"/>
    <w:rsid w:val="3FAE3F57"/>
    <w:rsid w:val="3FE67B95"/>
    <w:rsid w:val="3FF12096"/>
    <w:rsid w:val="3FFD6C8D"/>
    <w:rsid w:val="40056037"/>
    <w:rsid w:val="400C5122"/>
    <w:rsid w:val="4012777A"/>
    <w:rsid w:val="40640ABA"/>
    <w:rsid w:val="40824826"/>
    <w:rsid w:val="40B27A77"/>
    <w:rsid w:val="40BF21D1"/>
    <w:rsid w:val="40E63923"/>
    <w:rsid w:val="40F36F47"/>
    <w:rsid w:val="40FD4018"/>
    <w:rsid w:val="41326E0A"/>
    <w:rsid w:val="415C79E3"/>
    <w:rsid w:val="416A0352"/>
    <w:rsid w:val="419F7014"/>
    <w:rsid w:val="41AB7285"/>
    <w:rsid w:val="41B11ADD"/>
    <w:rsid w:val="41BF72A0"/>
    <w:rsid w:val="41D812A1"/>
    <w:rsid w:val="421B33FA"/>
    <w:rsid w:val="421E6D3F"/>
    <w:rsid w:val="423544BC"/>
    <w:rsid w:val="423A7D24"/>
    <w:rsid w:val="4278084D"/>
    <w:rsid w:val="428B4A24"/>
    <w:rsid w:val="429A4C67"/>
    <w:rsid w:val="42AE7254"/>
    <w:rsid w:val="42B443F4"/>
    <w:rsid w:val="42B54B4C"/>
    <w:rsid w:val="42B71375"/>
    <w:rsid w:val="42F43FD4"/>
    <w:rsid w:val="432509D4"/>
    <w:rsid w:val="43486471"/>
    <w:rsid w:val="435272F0"/>
    <w:rsid w:val="435B2648"/>
    <w:rsid w:val="43884ABF"/>
    <w:rsid w:val="43A91E5B"/>
    <w:rsid w:val="43AA712C"/>
    <w:rsid w:val="43AF258B"/>
    <w:rsid w:val="43B835F7"/>
    <w:rsid w:val="43C65CEF"/>
    <w:rsid w:val="43CE2E1A"/>
    <w:rsid w:val="43DD209E"/>
    <w:rsid w:val="44064FEB"/>
    <w:rsid w:val="440A59C8"/>
    <w:rsid w:val="443B699C"/>
    <w:rsid w:val="44496945"/>
    <w:rsid w:val="4467501D"/>
    <w:rsid w:val="44804307"/>
    <w:rsid w:val="449776B0"/>
    <w:rsid w:val="44A17BEF"/>
    <w:rsid w:val="44A8366B"/>
    <w:rsid w:val="44BC3308"/>
    <w:rsid w:val="44C91833"/>
    <w:rsid w:val="44F87390"/>
    <w:rsid w:val="45010FCD"/>
    <w:rsid w:val="454223F1"/>
    <w:rsid w:val="455A06DD"/>
    <w:rsid w:val="4562065D"/>
    <w:rsid w:val="457C0654"/>
    <w:rsid w:val="45A73923"/>
    <w:rsid w:val="45B150B1"/>
    <w:rsid w:val="45BA48DB"/>
    <w:rsid w:val="45CC15DB"/>
    <w:rsid w:val="45CF64FF"/>
    <w:rsid w:val="45FF375F"/>
    <w:rsid w:val="460074D7"/>
    <w:rsid w:val="4618037D"/>
    <w:rsid w:val="46366A55"/>
    <w:rsid w:val="463A3650"/>
    <w:rsid w:val="463B050F"/>
    <w:rsid w:val="4670640B"/>
    <w:rsid w:val="46794B93"/>
    <w:rsid w:val="469F0116"/>
    <w:rsid w:val="46B502C1"/>
    <w:rsid w:val="46BA58D8"/>
    <w:rsid w:val="46BA7686"/>
    <w:rsid w:val="46E464B1"/>
    <w:rsid w:val="46F67293"/>
    <w:rsid w:val="471F127F"/>
    <w:rsid w:val="475259B7"/>
    <w:rsid w:val="475F1FDB"/>
    <w:rsid w:val="4770243A"/>
    <w:rsid w:val="4786426F"/>
    <w:rsid w:val="47943513"/>
    <w:rsid w:val="47A04D78"/>
    <w:rsid w:val="47A143A2"/>
    <w:rsid w:val="47C562E2"/>
    <w:rsid w:val="47D06A35"/>
    <w:rsid w:val="47F768EB"/>
    <w:rsid w:val="483C19AD"/>
    <w:rsid w:val="484658EF"/>
    <w:rsid w:val="48831CF9"/>
    <w:rsid w:val="489E4954"/>
    <w:rsid w:val="48A074BC"/>
    <w:rsid w:val="48D553B1"/>
    <w:rsid w:val="48DA400F"/>
    <w:rsid w:val="4908245F"/>
    <w:rsid w:val="493059DD"/>
    <w:rsid w:val="495B2572"/>
    <w:rsid w:val="4989333F"/>
    <w:rsid w:val="499E328F"/>
    <w:rsid w:val="49A165B8"/>
    <w:rsid w:val="49AF3823"/>
    <w:rsid w:val="49B1408D"/>
    <w:rsid w:val="49CE55E8"/>
    <w:rsid w:val="49E50BF2"/>
    <w:rsid w:val="49ED20A7"/>
    <w:rsid w:val="4A1D0657"/>
    <w:rsid w:val="4A503882"/>
    <w:rsid w:val="4A642260"/>
    <w:rsid w:val="4A7D37EE"/>
    <w:rsid w:val="4A7D4FD2"/>
    <w:rsid w:val="4A913C9A"/>
    <w:rsid w:val="4AA04DE4"/>
    <w:rsid w:val="4AA46683"/>
    <w:rsid w:val="4AA67924"/>
    <w:rsid w:val="4ACC3E2B"/>
    <w:rsid w:val="4AE22D2F"/>
    <w:rsid w:val="4AE611A0"/>
    <w:rsid w:val="4AFB201B"/>
    <w:rsid w:val="4B1F5B47"/>
    <w:rsid w:val="4B1F5D09"/>
    <w:rsid w:val="4B1F62B5"/>
    <w:rsid w:val="4B1F70AC"/>
    <w:rsid w:val="4B240F94"/>
    <w:rsid w:val="4B386AE5"/>
    <w:rsid w:val="4B474E94"/>
    <w:rsid w:val="4B553E21"/>
    <w:rsid w:val="4B774E60"/>
    <w:rsid w:val="4B810772"/>
    <w:rsid w:val="4BA75287"/>
    <w:rsid w:val="4BD10964"/>
    <w:rsid w:val="4BE17463"/>
    <w:rsid w:val="4BEA27BB"/>
    <w:rsid w:val="4BED70D6"/>
    <w:rsid w:val="4BFC24EE"/>
    <w:rsid w:val="4C264E5A"/>
    <w:rsid w:val="4C2757BD"/>
    <w:rsid w:val="4C3B3017"/>
    <w:rsid w:val="4C3C565C"/>
    <w:rsid w:val="4C475CA7"/>
    <w:rsid w:val="4C76404F"/>
    <w:rsid w:val="4C7C718B"/>
    <w:rsid w:val="4C8C247F"/>
    <w:rsid w:val="4CCC79C7"/>
    <w:rsid w:val="4CD86AB8"/>
    <w:rsid w:val="4CF3569F"/>
    <w:rsid w:val="4D135D42"/>
    <w:rsid w:val="4D551EB6"/>
    <w:rsid w:val="4D7555C7"/>
    <w:rsid w:val="4D761E2D"/>
    <w:rsid w:val="4D7F0CE1"/>
    <w:rsid w:val="4D9F1383"/>
    <w:rsid w:val="4DAB41CC"/>
    <w:rsid w:val="4DB82445"/>
    <w:rsid w:val="4DC64B62"/>
    <w:rsid w:val="4DE4323A"/>
    <w:rsid w:val="4DF07E31"/>
    <w:rsid w:val="4DF53699"/>
    <w:rsid w:val="4E025E2A"/>
    <w:rsid w:val="4E3F600C"/>
    <w:rsid w:val="4E410A31"/>
    <w:rsid w:val="4E7E62F6"/>
    <w:rsid w:val="4E8228E8"/>
    <w:rsid w:val="4EA824BA"/>
    <w:rsid w:val="4EAE6DA0"/>
    <w:rsid w:val="4EC45545"/>
    <w:rsid w:val="4EC46966"/>
    <w:rsid w:val="4EFB4CDF"/>
    <w:rsid w:val="4F0973FC"/>
    <w:rsid w:val="4F1418FD"/>
    <w:rsid w:val="4F4026F2"/>
    <w:rsid w:val="4F652159"/>
    <w:rsid w:val="4F754A92"/>
    <w:rsid w:val="4F934E4D"/>
    <w:rsid w:val="4FCC3F86"/>
    <w:rsid w:val="4FD037EF"/>
    <w:rsid w:val="4FF97471"/>
    <w:rsid w:val="5016514B"/>
    <w:rsid w:val="502857C7"/>
    <w:rsid w:val="502A762A"/>
    <w:rsid w:val="503264DF"/>
    <w:rsid w:val="50476D3D"/>
    <w:rsid w:val="506A3ECB"/>
    <w:rsid w:val="507408A5"/>
    <w:rsid w:val="50827466"/>
    <w:rsid w:val="508B47E9"/>
    <w:rsid w:val="50970A38"/>
    <w:rsid w:val="50B74C36"/>
    <w:rsid w:val="50C17863"/>
    <w:rsid w:val="50D70E34"/>
    <w:rsid w:val="50FE4613"/>
    <w:rsid w:val="511659A4"/>
    <w:rsid w:val="513242BC"/>
    <w:rsid w:val="513444D8"/>
    <w:rsid w:val="51387C20"/>
    <w:rsid w:val="51493AE0"/>
    <w:rsid w:val="516B49A4"/>
    <w:rsid w:val="51A30E13"/>
    <w:rsid w:val="51C465B9"/>
    <w:rsid w:val="51CB1C78"/>
    <w:rsid w:val="51E732F9"/>
    <w:rsid w:val="51FD6A51"/>
    <w:rsid w:val="52304CA0"/>
    <w:rsid w:val="523227C6"/>
    <w:rsid w:val="5245699D"/>
    <w:rsid w:val="52592449"/>
    <w:rsid w:val="526B680A"/>
    <w:rsid w:val="527C4869"/>
    <w:rsid w:val="5285323E"/>
    <w:rsid w:val="52952D55"/>
    <w:rsid w:val="52967DB0"/>
    <w:rsid w:val="52AF2069"/>
    <w:rsid w:val="52B92EE7"/>
    <w:rsid w:val="52E565D0"/>
    <w:rsid w:val="52EA30A1"/>
    <w:rsid w:val="53105470"/>
    <w:rsid w:val="5311687F"/>
    <w:rsid w:val="53150D15"/>
    <w:rsid w:val="53250E4F"/>
    <w:rsid w:val="5352083E"/>
    <w:rsid w:val="53650979"/>
    <w:rsid w:val="537D4124"/>
    <w:rsid w:val="539B3EAD"/>
    <w:rsid w:val="541A5D30"/>
    <w:rsid w:val="544607AB"/>
    <w:rsid w:val="54817A35"/>
    <w:rsid w:val="549239F0"/>
    <w:rsid w:val="54A83213"/>
    <w:rsid w:val="54B6421E"/>
    <w:rsid w:val="54BA4CF5"/>
    <w:rsid w:val="54D45DB6"/>
    <w:rsid w:val="54EA6AA5"/>
    <w:rsid w:val="54F31AB6"/>
    <w:rsid w:val="54F55D2D"/>
    <w:rsid w:val="54FE4BE1"/>
    <w:rsid w:val="55110DB9"/>
    <w:rsid w:val="55287EB0"/>
    <w:rsid w:val="552B174F"/>
    <w:rsid w:val="55392A77"/>
    <w:rsid w:val="553E632F"/>
    <w:rsid w:val="55480552"/>
    <w:rsid w:val="555E7D76"/>
    <w:rsid w:val="55B87486"/>
    <w:rsid w:val="55F068CD"/>
    <w:rsid w:val="56085F72"/>
    <w:rsid w:val="56431446"/>
    <w:rsid w:val="56442F77"/>
    <w:rsid w:val="5647080A"/>
    <w:rsid w:val="56494937"/>
    <w:rsid w:val="56576C9F"/>
    <w:rsid w:val="56635CD9"/>
    <w:rsid w:val="566C3136"/>
    <w:rsid w:val="566F4E48"/>
    <w:rsid w:val="568D04F2"/>
    <w:rsid w:val="56AD68BF"/>
    <w:rsid w:val="56BD217A"/>
    <w:rsid w:val="56EA7B13"/>
    <w:rsid w:val="56ED7603"/>
    <w:rsid w:val="571921A6"/>
    <w:rsid w:val="57201787"/>
    <w:rsid w:val="57586A27"/>
    <w:rsid w:val="57603931"/>
    <w:rsid w:val="57770C7B"/>
    <w:rsid w:val="577E46FF"/>
    <w:rsid w:val="579637F7"/>
    <w:rsid w:val="57AF6667"/>
    <w:rsid w:val="57B3200D"/>
    <w:rsid w:val="57BB1298"/>
    <w:rsid w:val="57D42C12"/>
    <w:rsid w:val="57F87BFC"/>
    <w:rsid w:val="580C1D0B"/>
    <w:rsid w:val="582708F3"/>
    <w:rsid w:val="58693734"/>
    <w:rsid w:val="588D6DD7"/>
    <w:rsid w:val="588E0972"/>
    <w:rsid w:val="58BD236E"/>
    <w:rsid w:val="5919249F"/>
    <w:rsid w:val="5923464B"/>
    <w:rsid w:val="59246BE1"/>
    <w:rsid w:val="592D6A4E"/>
    <w:rsid w:val="59372DB8"/>
    <w:rsid w:val="594C2225"/>
    <w:rsid w:val="595474C6"/>
    <w:rsid w:val="596A0A97"/>
    <w:rsid w:val="59871F22"/>
    <w:rsid w:val="598F33C1"/>
    <w:rsid w:val="59971F55"/>
    <w:rsid w:val="59FA242A"/>
    <w:rsid w:val="59FE5684"/>
    <w:rsid w:val="5A290952"/>
    <w:rsid w:val="5A3C31FC"/>
    <w:rsid w:val="5A3F0176"/>
    <w:rsid w:val="5A470DD9"/>
    <w:rsid w:val="5A526582"/>
    <w:rsid w:val="5A5C6F3F"/>
    <w:rsid w:val="5A5F5C77"/>
    <w:rsid w:val="5A76346C"/>
    <w:rsid w:val="5A7A7400"/>
    <w:rsid w:val="5A801613"/>
    <w:rsid w:val="5A9B264C"/>
    <w:rsid w:val="5AA61FA3"/>
    <w:rsid w:val="5AC661A1"/>
    <w:rsid w:val="5AE20B01"/>
    <w:rsid w:val="5AF400FB"/>
    <w:rsid w:val="5B5A324E"/>
    <w:rsid w:val="5B5F11CE"/>
    <w:rsid w:val="5B7A2D2A"/>
    <w:rsid w:val="5BAF30D9"/>
    <w:rsid w:val="5BBE39CD"/>
    <w:rsid w:val="5BC11A60"/>
    <w:rsid w:val="5C142F3C"/>
    <w:rsid w:val="5C4C26D6"/>
    <w:rsid w:val="5C603AE6"/>
    <w:rsid w:val="5C6B0413"/>
    <w:rsid w:val="5C7A4D54"/>
    <w:rsid w:val="5C7D6D34"/>
    <w:rsid w:val="5CD23B73"/>
    <w:rsid w:val="5CD5091E"/>
    <w:rsid w:val="5CE60D7D"/>
    <w:rsid w:val="5CF641A6"/>
    <w:rsid w:val="5D1F603D"/>
    <w:rsid w:val="5D3F4EC1"/>
    <w:rsid w:val="5D5C2DED"/>
    <w:rsid w:val="5D6121B1"/>
    <w:rsid w:val="5D69550A"/>
    <w:rsid w:val="5D9C143B"/>
    <w:rsid w:val="5DB56D8D"/>
    <w:rsid w:val="5DC619D5"/>
    <w:rsid w:val="5DD961EC"/>
    <w:rsid w:val="5DDB01B6"/>
    <w:rsid w:val="5DDE1391"/>
    <w:rsid w:val="5DDE30AB"/>
    <w:rsid w:val="5E4F4700"/>
    <w:rsid w:val="5EB17168"/>
    <w:rsid w:val="5EF85ED4"/>
    <w:rsid w:val="5EFB03E4"/>
    <w:rsid w:val="5EFC4888"/>
    <w:rsid w:val="5F127819"/>
    <w:rsid w:val="5F3B334F"/>
    <w:rsid w:val="5F416AD5"/>
    <w:rsid w:val="5F443B39"/>
    <w:rsid w:val="5F63752A"/>
    <w:rsid w:val="5F78088A"/>
    <w:rsid w:val="5F84662B"/>
    <w:rsid w:val="5FA56CCD"/>
    <w:rsid w:val="5FBC3C39"/>
    <w:rsid w:val="5FBE38EB"/>
    <w:rsid w:val="5FF466EA"/>
    <w:rsid w:val="5FF9400F"/>
    <w:rsid w:val="5FFE462F"/>
    <w:rsid w:val="600C3474"/>
    <w:rsid w:val="6054424F"/>
    <w:rsid w:val="60956D42"/>
    <w:rsid w:val="609E54CA"/>
    <w:rsid w:val="60E25095"/>
    <w:rsid w:val="60F1503F"/>
    <w:rsid w:val="60FB3D82"/>
    <w:rsid w:val="61025188"/>
    <w:rsid w:val="61057D5F"/>
    <w:rsid w:val="611D2893"/>
    <w:rsid w:val="6137242E"/>
    <w:rsid w:val="614D4977"/>
    <w:rsid w:val="617670F5"/>
    <w:rsid w:val="617F70AA"/>
    <w:rsid w:val="618A490E"/>
    <w:rsid w:val="619964DB"/>
    <w:rsid w:val="61BA6334"/>
    <w:rsid w:val="61CB22EF"/>
    <w:rsid w:val="61CD42B9"/>
    <w:rsid w:val="623F3C58"/>
    <w:rsid w:val="62516C98"/>
    <w:rsid w:val="62571DD5"/>
    <w:rsid w:val="625E13B5"/>
    <w:rsid w:val="62685DCB"/>
    <w:rsid w:val="627B3D15"/>
    <w:rsid w:val="62A52B40"/>
    <w:rsid w:val="62C37C92"/>
    <w:rsid w:val="62D034A2"/>
    <w:rsid w:val="62D460A8"/>
    <w:rsid w:val="62D578C9"/>
    <w:rsid w:val="630E2DDB"/>
    <w:rsid w:val="631101D6"/>
    <w:rsid w:val="631F7BF8"/>
    <w:rsid w:val="635A392B"/>
    <w:rsid w:val="63C60FC0"/>
    <w:rsid w:val="63CF256B"/>
    <w:rsid w:val="63D86F45"/>
    <w:rsid w:val="63E61662"/>
    <w:rsid w:val="63FE2FD4"/>
    <w:rsid w:val="6402419A"/>
    <w:rsid w:val="64033FC2"/>
    <w:rsid w:val="64117FAB"/>
    <w:rsid w:val="641461CF"/>
    <w:rsid w:val="642D55A9"/>
    <w:rsid w:val="643F0D73"/>
    <w:rsid w:val="645C36D2"/>
    <w:rsid w:val="646A2293"/>
    <w:rsid w:val="646B505F"/>
    <w:rsid w:val="647540C9"/>
    <w:rsid w:val="647803AE"/>
    <w:rsid w:val="64816785"/>
    <w:rsid w:val="648D3BB0"/>
    <w:rsid w:val="64963088"/>
    <w:rsid w:val="649E1F3D"/>
    <w:rsid w:val="64BA3D7A"/>
    <w:rsid w:val="64F179BC"/>
    <w:rsid w:val="6509385A"/>
    <w:rsid w:val="65222B6E"/>
    <w:rsid w:val="65273CE0"/>
    <w:rsid w:val="653F54CE"/>
    <w:rsid w:val="65636E69"/>
    <w:rsid w:val="65650D00"/>
    <w:rsid w:val="65A92947"/>
    <w:rsid w:val="65C94C55"/>
    <w:rsid w:val="65CE0600"/>
    <w:rsid w:val="665704D3"/>
    <w:rsid w:val="66660838"/>
    <w:rsid w:val="6686712D"/>
    <w:rsid w:val="669E4476"/>
    <w:rsid w:val="66BD7ED9"/>
    <w:rsid w:val="66EE1F4E"/>
    <w:rsid w:val="66F2031E"/>
    <w:rsid w:val="670B14F0"/>
    <w:rsid w:val="671E1113"/>
    <w:rsid w:val="673148E2"/>
    <w:rsid w:val="675445CD"/>
    <w:rsid w:val="67851192"/>
    <w:rsid w:val="678C42CF"/>
    <w:rsid w:val="67BD293C"/>
    <w:rsid w:val="67C065A4"/>
    <w:rsid w:val="67D04DBA"/>
    <w:rsid w:val="67D359C9"/>
    <w:rsid w:val="67F13C92"/>
    <w:rsid w:val="68242759"/>
    <w:rsid w:val="685748DD"/>
    <w:rsid w:val="68607DBB"/>
    <w:rsid w:val="6865349E"/>
    <w:rsid w:val="68BA4E6C"/>
    <w:rsid w:val="68D6231D"/>
    <w:rsid w:val="68F93BE6"/>
    <w:rsid w:val="68FE36DD"/>
    <w:rsid w:val="690129BE"/>
    <w:rsid w:val="69407A67"/>
    <w:rsid w:val="694E60FC"/>
    <w:rsid w:val="694F7CAA"/>
    <w:rsid w:val="695D23C7"/>
    <w:rsid w:val="69AA4EE0"/>
    <w:rsid w:val="69AD360D"/>
    <w:rsid w:val="69C81DCE"/>
    <w:rsid w:val="69CA13F4"/>
    <w:rsid w:val="69D07420"/>
    <w:rsid w:val="69E91EAC"/>
    <w:rsid w:val="69EF4042"/>
    <w:rsid w:val="6A022F6E"/>
    <w:rsid w:val="6A025EBD"/>
    <w:rsid w:val="6A1143FF"/>
    <w:rsid w:val="6A1A0F4D"/>
    <w:rsid w:val="6A244C92"/>
    <w:rsid w:val="6A290A7E"/>
    <w:rsid w:val="6A2B4273"/>
    <w:rsid w:val="6A3038AE"/>
    <w:rsid w:val="6A3C1FDC"/>
    <w:rsid w:val="6A5F554C"/>
    <w:rsid w:val="6A681023"/>
    <w:rsid w:val="6A7C687C"/>
    <w:rsid w:val="6A9679C4"/>
    <w:rsid w:val="6AC80207"/>
    <w:rsid w:val="6AD93CCF"/>
    <w:rsid w:val="6ADF0EEB"/>
    <w:rsid w:val="6B10467C"/>
    <w:rsid w:val="6B2D401B"/>
    <w:rsid w:val="6B482C03"/>
    <w:rsid w:val="6B773B50"/>
    <w:rsid w:val="6B99345E"/>
    <w:rsid w:val="6BAE515B"/>
    <w:rsid w:val="6BC54253"/>
    <w:rsid w:val="6BC73622"/>
    <w:rsid w:val="6BCB7ABB"/>
    <w:rsid w:val="6BE40B7D"/>
    <w:rsid w:val="6BF670AD"/>
    <w:rsid w:val="6C0B726A"/>
    <w:rsid w:val="6C0C59DE"/>
    <w:rsid w:val="6C133381"/>
    <w:rsid w:val="6C410A63"/>
    <w:rsid w:val="6C4A35E0"/>
    <w:rsid w:val="6C4E4249"/>
    <w:rsid w:val="6C671521"/>
    <w:rsid w:val="6C675CE6"/>
    <w:rsid w:val="6C700663"/>
    <w:rsid w:val="6C7A3290"/>
    <w:rsid w:val="6C7D2D3C"/>
    <w:rsid w:val="6C895281"/>
    <w:rsid w:val="6CA94E0B"/>
    <w:rsid w:val="6CE158BA"/>
    <w:rsid w:val="6CEF35AF"/>
    <w:rsid w:val="6CF272CA"/>
    <w:rsid w:val="6CF672D1"/>
    <w:rsid w:val="6CFA2A47"/>
    <w:rsid w:val="6CFE7A1D"/>
    <w:rsid w:val="6D25144D"/>
    <w:rsid w:val="6D4573FA"/>
    <w:rsid w:val="6D4F4321"/>
    <w:rsid w:val="6D54783A"/>
    <w:rsid w:val="6D6B0C57"/>
    <w:rsid w:val="6D793547"/>
    <w:rsid w:val="6D82064E"/>
    <w:rsid w:val="6D8F2D6B"/>
    <w:rsid w:val="6DCB3918"/>
    <w:rsid w:val="6DE95E22"/>
    <w:rsid w:val="6DFF7360"/>
    <w:rsid w:val="6E1264AD"/>
    <w:rsid w:val="6E3D6323"/>
    <w:rsid w:val="6E3E3ABC"/>
    <w:rsid w:val="6E5F098F"/>
    <w:rsid w:val="6E737F96"/>
    <w:rsid w:val="6E7A5F73"/>
    <w:rsid w:val="6E82467D"/>
    <w:rsid w:val="6E890338"/>
    <w:rsid w:val="6E9C74ED"/>
    <w:rsid w:val="6EDC453B"/>
    <w:rsid w:val="6EEF1D13"/>
    <w:rsid w:val="6F086931"/>
    <w:rsid w:val="6F1B2B08"/>
    <w:rsid w:val="6F2B0871"/>
    <w:rsid w:val="6F2E3798"/>
    <w:rsid w:val="6F5C0AC0"/>
    <w:rsid w:val="6F63625D"/>
    <w:rsid w:val="6F7044D6"/>
    <w:rsid w:val="6F857F81"/>
    <w:rsid w:val="6F8B7B20"/>
    <w:rsid w:val="6FC22EDA"/>
    <w:rsid w:val="6FD73643"/>
    <w:rsid w:val="6FD74228"/>
    <w:rsid w:val="7003534A"/>
    <w:rsid w:val="700A0487"/>
    <w:rsid w:val="70187047"/>
    <w:rsid w:val="701C1F22"/>
    <w:rsid w:val="702B124D"/>
    <w:rsid w:val="7055204A"/>
    <w:rsid w:val="706032E0"/>
    <w:rsid w:val="70B825D8"/>
    <w:rsid w:val="70C431ED"/>
    <w:rsid w:val="70F76C5D"/>
    <w:rsid w:val="70F829D5"/>
    <w:rsid w:val="70FE5EDF"/>
    <w:rsid w:val="71025602"/>
    <w:rsid w:val="71120675"/>
    <w:rsid w:val="711C2B67"/>
    <w:rsid w:val="711D243B"/>
    <w:rsid w:val="711D41EA"/>
    <w:rsid w:val="71213150"/>
    <w:rsid w:val="71267542"/>
    <w:rsid w:val="712A5284"/>
    <w:rsid w:val="713F598F"/>
    <w:rsid w:val="71633091"/>
    <w:rsid w:val="71812492"/>
    <w:rsid w:val="718D75C1"/>
    <w:rsid w:val="719E532A"/>
    <w:rsid w:val="71A60683"/>
    <w:rsid w:val="71A87F57"/>
    <w:rsid w:val="71AC18C9"/>
    <w:rsid w:val="71B5509D"/>
    <w:rsid w:val="71D00463"/>
    <w:rsid w:val="71D22FAF"/>
    <w:rsid w:val="71FE04BF"/>
    <w:rsid w:val="72077982"/>
    <w:rsid w:val="72404633"/>
    <w:rsid w:val="72435ED2"/>
    <w:rsid w:val="725E7BFA"/>
    <w:rsid w:val="72620A4E"/>
    <w:rsid w:val="726522EC"/>
    <w:rsid w:val="72693B8A"/>
    <w:rsid w:val="72B64083"/>
    <w:rsid w:val="72F35B4A"/>
    <w:rsid w:val="72F5541E"/>
    <w:rsid w:val="72FE4FC5"/>
    <w:rsid w:val="73081CA5"/>
    <w:rsid w:val="73306456"/>
    <w:rsid w:val="736305DA"/>
    <w:rsid w:val="737F73DD"/>
    <w:rsid w:val="73832A2A"/>
    <w:rsid w:val="73B15AAE"/>
    <w:rsid w:val="73CB43D1"/>
    <w:rsid w:val="73CC1052"/>
    <w:rsid w:val="73EF00BF"/>
    <w:rsid w:val="73F2195D"/>
    <w:rsid w:val="73F676A0"/>
    <w:rsid w:val="73F90F3E"/>
    <w:rsid w:val="740873D3"/>
    <w:rsid w:val="7420471D"/>
    <w:rsid w:val="744C72C0"/>
    <w:rsid w:val="74545B7C"/>
    <w:rsid w:val="747D56CB"/>
    <w:rsid w:val="7487762D"/>
    <w:rsid w:val="749F2380"/>
    <w:rsid w:val="74A92964"/>
    <w:rsid w:val="74C0380A"/>
    <w:rsid w:val="75385498"/>
    <w:rsid w:val="75573869"/>
    <w:rsid w:val="75596138"/>
    <w:rsid w:val="755E2130"/>
    <w:rsid w:val="75C37A55"/>
    <w:rsid w:val="762027B2"/>
    <w:rsid w:val="763C5BD3"/>
    <w:rsid w:val="7662296E"/>
    <w:rsid w:val="766D79C1"/>
    <w:rsid w:val="766F5B43"/>
    <w:rsid w:val="768014A2"/>
    <w:rsid w:val="769962BD"/>
    <w:rsid w:val="76A71125"/>
    <w:rsid w:val="76B92C06"/>
    <w:rsid w:val="76BC207F"/>
    <w:rsid w:val="76DB492B"/>
    <w:rsid w:val="76EB4904"/>
    <w:rsid w:val="76FD0D45"/>
    <w:rsid w:val="77212C85"/>
    <w:rsid w:val="775D17E4"/>
    <w:rsid w:val="775D3592"/>
    <w:rsid w:val="77664B3C"/>
    <w:rsid w:val="777378F5"/>
    <w:rsid w:val="777A2D3C"/>
    <w:rsid w:val="778F2F2F"/>
    <w:rsid w:val="779A2A38"/>
    <w:rsid w:val="77A47C68"/>
    <w:rsid w:val="77D01FB6"/>
    <w:rsid w:val="77D7644A"/>
    <w:rsid w:val="77F9150C"/>
    <w:rsid w:val="780B56E4"/>
    <w:rsid w:val="781379F5"/>
    <w:rsid w:val="781E78C9"/>
    <w:rsid w:val="783562BD"/>
    <w:rsid w:val="7851759A"/>
    <w:rsid w:val="785250C1"/>
    <w:rsid w:val="78537BEA"/>
    <w:rsid w:val="78586E35"/>
    <w:rsid w:val="78713799"/>
    <w:rsid w:val="787B0173"/>
    <w:rsid w:val="78B11DE7"/>
    <w:rsid w:val="78B123B4"/>
    <w:rsid w:val="78C0202A"/>
    <w:rsid w:val="78D43D28"/>
    <w:rsid w:val="78DB6E64"/>
    <w:rsid w:val="78F817C4"/>
    <w:rsid w:val="78FB12B4"/>
    <w:rsid w:val="79074B81"/>
    <w:rsid w:val="792C76C0"/>
    <w:rsid w:val="794F0939"/>
    <w:rsid w:val="7955459F"/>
    <w:rsid w:val="79701CA2"/>
    <w:rsid w:val="79A731EA"/>
    <w:rsid w:val="79AF0FCA"/>
    <w:rsid w:val="79B853F7"/>
    <w:rsid w:val="79EF2560"/>
    <w:rsid w:val="7A272363"/>
    <w:rsid w:val="7A3F7BFB"/>
    <w:rsid w:val="7A5B64AE"/>
    <w:rsid w:val="7A5F20A1"/>
    <w:rsid w:val="7A772BBC"/>
    <w:rsid w:val="7A813A3B"/>
    <w:rsid w:val="7A903C7E"/>
    <w:rsid w:val="7AE2272C"/>
    <w:rsid w:val="7AEC5358"/>
    <w:rsid w:val="7AF9279C"/>
    <w:rsid w:val="7B226FCC"/>
    <w:rsid w:val="7B2368A0"/>
    <w:rsid w:val="7B7F441F"/>
    <w:rsid w:val="7B98103C"/>
    <w:rsid w:val="7BAD0F8C"/>
    <w:rsid w:val="7BB776A4"/>
    <w:rsid w:val="7BB840B1"/>
    <w:rsid w:val="7BC9569A"/>
    <w:rsid w:val="7BE67FFA"/>
    <w:rsid w:val="7BF0147A"/>
    <w:rsid w:val="7C2823C0"/>
    <w:rsid w:val="7C333FF5"/>
    <w:rsid w:val="7C39281F"/>
    <w:rsid w:val="7C4804C1"/>
    <w:rsid w:val="7C4C3414"/>
    <w:rsid w:val="7C653614"/>
    <w:rsid w:val="7C6F7FEF"/>
    <w:rsid w:val="7C7171B7"/>
    <w:rsid w:val="7C9E2682"/>
    <w:rsid w:val="7C9F234D"/>
    <w:rsid w:val="7CA63DDC"/>
    <w:rsid w:val="7CAE3B15"/>
    <w:rsid w:val="7CBA3A3F"/>
    <w:rsid w:val="7CBB3234"/>
    <w:rsid w:val="7CC51958"/>
    <w:rsid w:val="7CCA189C"/>
    <w:rsid w:val="7CE00EED"/>
    <w:rsid w:val="7CEC40B6"/>
    <w:rsid w:val="7D2E5047"/>
    <w:rsid w:val="7D2E7EAA"/>
    <w:rsid w:val="7D4D49B8"/>
    <w:rsid w:val="7D666903"/>
    <w:rsid w:val="7D711B45"/>
    <w:rsid w:val="7D726BC1"/>
    <w:rsid w:val="7DC51E91"/>
    <w:rsid w:val="7DCF4ABD"/>
    <w:rsid w:val="7DD30A52"/>
    <w:rsid w:val="7DDF2F52"/>
    <w:rsid w:val="7DE247F1"/>
    <w:rsid w:val="7DF612B7"/>
    <w:rsid w:val="7E064983"/>
    <w:rsid w:val="7E156974"/>
    <w:rsid w:val="7E2936C3"/>
    <w:rsid w:val="7E2E365C"/>
    <w:rsid w:val="7E3037AE"/>
    <w:rsid w:val="7E4234E1"/>
    <w:rsid w:val="7E6411B9"/>
    <w:rsid w:val="7E6C330C"/>
    <w:rsid w:val="7E751B09"/>
    <w:rsid w:val="7EBA4B37"/>
    <w:rsid w:val="7EC42148"/>
    <w:rsid w:val="7ECD36F3"/>
    <w:rsid w:val="7EF0118F"/>
    <w:rsid w:val="7EFF7672"/>
    <w:rsid w:val="7F0569E9"/>
    <w:rsid w:val="7F58348A"/>
    <w:rsid w:val="7F721BA4"/>
    <w:rsid w:val="7F9F0D72"/>
    <w:rsid w:val="7FBA5A25"/>
    <w:rsid w:val="7FC06DB4"/>
    <w:rsid w:val="7FD23434"/>
    <w:rsid w:val="7FE8721A"/>
    <w:rsid w:val="7FE9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8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7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6"/>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caption"/>
    <w:basedOn w:val="1"/>
    <w:next w:val="1"/>
    <w:qFormat/>
    <w:uiPriority w:val="99"/>
    <w:pPr>
      <w:spacing w:after="120"/>
      <w:ind w:firstLine="0" w:firstLineChars="0"/>
      <w:jc w:val="center"/>
    </w:pPr>
    <w:rPr>
      <w:rFonts w:ascii="Times New Roman" w:hAnsi="Times New Roman" w:eastAsia="黑体"/>
      <w:b/>
      <w:sz w:val="24"/>
      <w:szCs w:val="20"/>
    </w:rPr>
  </w:style>
  <w:style w:type="paragraph" w:styleId="11">
    <w:name w:val="Document Map"/>
    <w:basedOn w:val="1"/>
    <w:next w:val="1"/>
    <w:qFormat/>
    <w:uiPriority w:val="0"/>
    <w:rPr>
      <w:rFonts w:ascii="宋体" w:hAnsi="Times New Roman" w:eastAsia="宋体" w:cs="Times New Roman"/>
      <w:sz w:val="18"/>
      <w:szCs w:val="18"/>
    </w:rPr>
  </w:style>
  <w:style w:type="paragraph" w:styleId="12">
    <w:name w:val="annotation text"/>
    <w:basedOn w:val="1"/>
    <w:link w:val="68"/>
    <w:qFormat/>
    <w:uiPriority w:val="0"/>
    <w:pPr>
      <w:jc w:val="left"/>
    </w:pPr>
    <w:rPr>
      <w:rFonts w:ascii="Arial" w:hAnsi="Arial" w:eastAsia="黑体" w:cs="Arial"/>
    </w:rPr>
  </w:style>
  <w:style w:type="paragraph" w:styleId="13">
    <w:name w:val="Body Text"/>
    <w:basedOn w:val="1"/>
    <w:qFormat/>
    <w:uiPriority w:val="0"/>
    <w:pPr>
      <w:spacing w:after="120"/>
    </w:pPr>
    <w:rPr>
      <w:rFonts w:ascii="@微软简标宋" w:hAnsi="@微软简标宋" w:eastAsia="@微软简标宋" w:cs="@微软简标宋"/>
      <w:szCs w:val="24"/>
      <w:lang w:val="zh-CN"/>
    </w:rPr>
  </w:style>
  <w:style w:type="paragraph" w:styleId="14">
    <w:name w:val="Body Text Indent"/>
    <w:basedOn w:val="1"/>
    <w:next w:val="15"/>
    <w:qFormat/>
    <w:uiPriority w:val="0"/>
    <w:pPr>
      <w:spacing w:after="120"/>
      <w:ind w:left="200" w:leftChars="200"/>
    </w:pPr>
  </w:style>
  <w:style w:type="paragraph" w:styleId="15">
    <w:name w:val="envelope return"/>
    <w:basedOn w:val="1"/>
    <w:next w:val="8"/>
    <w:qFormat/>
    <w:uiPriority w:val="0"/>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link w:val="116"/>
    <w:qFormat/>
    <w:uiPriority w:val="0"/>
    <w:rPr>
      <w:rFonts w:eastAsia="宋体"/>
    </w:rPr>
  </w:style>
  <w:style w:type="paragraph" w:styleId="1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9">
    <w:name w:val="Plain Text"/>
    <w:basedOn w:val="1"/>
    <w:link w:val="58"/>
    <w:qFormat/>
    <w:uiPriority w:val="99"/>
    <w:rPr>
      <w:rFonts w:ascii="宋体" w:hAnsi="Courier New" w:eastAsiaTheme="minorEastAsia" w:cstheme="minorBidi"/>
      <w:szCs w:val="22"/>
    </w:rPr>
  </w:style>
  <w:style w:type="paragraph" w:styleId="20">
    <w:name w:val="toc 8"/>
    <w:basedOn w:val="1"/>
    <w:next w:val="1"/>
    <w:qFormat/>
    <w:uiPriority w:val="39"/>
    <w:pPr>
      <w:ind w:left="1470"/>
      <w:jc w:val="left"/>
    </w:pPr>
    <w:rPr>
      <w:rFonts w:ascii="Times New Roman" w:hAnsi="Times New Roman"/>
      <w:sz w:val="18"/>
      <w:szCs w:val="18"/>
    </w:rPr>
  </w:style>
  <w:style w:type="paragraph" w:styleId="21">
    <w:name w:val="Date"/>
    <w:basedOn w:val="1"/>
    <w:next w:val="1"/>
    <w:link w:val="65"/>
    <w:qFormat/>
    <w:uiPriority w:val="0"/>
    <w:rPr>
      <w:rFonts w:ascii="Arial" w:hAnsi="Arial" w:eastAsia="宋体" w:cs="Arial"/>
      <w:b/>
      <w:sz w:val="28"/>
    </w:rPr>
  </w:style>
  <w:style w:type="paragraph" w:styleId="22">
    <w:name w:val="Balloon Text"/>
    <w:basedOn w:val="1"/>
    <w:link w:val="52"/>
    <w:semiHidden/>
    <w:unhideWhenUsed/>
    <w:qFormat/>
    <w:uiPriority w:val="99"/>
    <w:rPr>
      <w:sz w:val="18"/>
      <w:szCs w:val="18"/>
    </w:rPr>
  </w:style>
  <w:style w:type="paragraph" w:styleId="23">
    <w:name w:val="footer"/>
    <w:basedOn w:val="1"/>
    <w:link w:val="57"/>
    <w:unhideWhenUsed/>
    <w:qFormat/>
    <w:uiPriority w:val="99"/>
    <w:pPr>
      <w:tabs>
        <w:tab w:val="center" w:pos="4153"/>
        <w:tab w:val="right" w:pos="8306"/>
      </w:tabs>
      <w:snapToGrid w:val="0"/>
      <w:jc w:val="left"/>
    </w:pPr>
    <w:rPr>
      <w:sz w:val="18"/>
      <w:szCs w:val="18"/>
    </w:rPr>
  </w:style>
  <w:style w:type="paragraph" w:styleId="24">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7">
    <w:name w:val="Body Text 2"/>
    <w:basedOn w:val="1"/>
    <w:unhideWhenUsed/>
    <w:qFormat/>
    <w:uiPriority w:val="99"/>
    <w:pPr>
      <w:spacing w:after="120" w:line="480" w:lineRule="auto"/>
    </w:pPr>
  </w:style>
  <w:style w:type="paragraph" w:styleId="28">
    <w:name w:val="Normal (Web)"/>
    <w:basedOn w:val="1"/>
    <w:qFormat/>
    <w:uiPriority w:val="0"/>
    <w:pPr>
      <w:spacing w:before="100" w:beforeAutospacing="1" w:after="100" w:afterAutospacing="1"/>
      <w:jc w:val="left"/>
    </w:pPr>
    <w:rPr>
      <w:rFonts w:cs="Times New Roman"/>
      <w:kern w:val="0"/>
      <w:sz w:val="24"/>
    </w:rPr>
  </w:style>
  <w:style w:type="paragraph" w:styleId="29">
    <w:name w:val="index 1"/>
    <w:basedOn w:val="1"/>
    <w:next w:val="1"/>
    <w:qFormat/>
    <w:uiPriority w:val="0"/>
    <w:pPr>
      <w:jc w:val="center"/>
    </w:pPr>
    <w:rPr>
      <w:rFonts w:ascii="Arial" w:hAnsi="Arial" w:eastAsia="Arial" w:cs="Arial"/>
      <w:b/>
      <w:bCs/>
      <w:sz w:val="28"/>
    </w:rPr>
  </w:style>
  <w:style w:type="paragraph" w:styleId="30">
    <w:name w:val="annotation subject"/>
    <w:basedOn w:val="12"/>
    <w:next w:val="12"/>
    <w:link w:val="79"/>
    <w:semiHidden/>
    <w:unhideWhenUsed/>
    <w:qFormat/>
    <w:uiPriority w:val="99"/>
    <w:rPr>
      <w:rFonts w:ascii="@仿宋_GB2312" w:hAnsi="@仿宋_GB2312" w:eastAsia="@仿宋_GB2312" w:cs="@仿宋_GB2312"/>
      <w:b/>
      <w:bCs/>
    </w:rPr>
  </w:style>
  <w:style w:type="paragraph" w:styleId="31">
    <w:name w:val="Body Text First Indent"/>
    <w:basedOn w:val="13"/>
    <w:unhideWhenUsed/>
    <w:qFormat/>
    <w:uiPriority w:val="99"/>
    <w:pPr>
      <w:ind w:firstLine="420" w:firstLineChars="100"/>
    </w:pPr>
  </w:style>
  <w:style w:type="paragraph" w:styleId="32">
    <w:name w:val="Body Text First Indent 2"/>
    <w:basedOn w:val="14"/>
    <w:next w:val="31"/>
    <w:qFormat/>
    <w:uiPriority w:val="0"/>
    <w:pPr>
      <w:ind w:left="0" w:leftChars="0" w:firstLine="420" w:firstLineChars="200"/>
    </w:pPr>
  </w:style>
  <w:style w:type="table" w:styleId="34">
    <w:name w:val="Table Grid"/>
    <w:basedOn w:val="3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FollowedHyperlink"/>
    <w:basedOn w:val="35"/>
    <w:semiHidden/>
    <w:unhideWhenUsed/>
    <w:qFormat/>
    <w:uiPriority w:val="99"/>
    <w:rPr>
      <w:color w:val="5C5C5C"/>
      <w:u w:val="none"/>
    </w:rPr>
  </w:style>
  <w:style w:type="character" w:styleId="38">
    <w:name w:val="Emphasis"/>
    <w:basedOn w:val="35"/>
    <w:qFormat/>
    <w:uiPriority w:val="20"/>
    <w:rPr>
      <w:b/>
      <w:bCs/>
    </w:rPr>
  </w:style>
  <w:style w:type="character" w:styleId="39">
    <w:name w:val="HTML Definition"/>
    <w:basedOn w:val="35"/>
    <w:semiHidden/>
    <w:unhideWhenUsed/>
    <w:qFormat/>
    <w:uiPriority w:val="99"/>
  </w:style>
  <w:style w:type="character" w:styleId="40">
    <w:name w:val="HTML Typewriter"/>
    <w:basedOn w:val="35"/>
    <w:semiHidden/>
    <w:unhideWhenUsed/>
    <w:qFormat/>
    <w:uiPriority w:val="99"/>
    <w:rPr>
      <w:rFonts w:hint="default" w:ascii="monospace" w:hAnsi="monospace" w:eastAsia="monospace" w:cs="monospace"/>
      <w:sz w:val="20"/>
    </w:rPr>
  </w:style>
  <w:style w:type="character" w:styleId="41">
    <w:name w:val="HTML Acronym"/>
    <w:basedOn w:val="35"/>
    <w:semiHidden/>
    <w:unhideWhenUsed/>
    <w:qFormat/>
    <w:uiPriority w:val="99"/>
    <w:rPr>
      <w:rFonts w:ascii="ActionIcon ! important" w:hAnsi="ActionIcon ! important" w:eastAsia="ActionIcon ! important" w:cs="ActionIcon ! important"/>
      <w:color w:val="D6D6D6"/>
      <w:sz w:val="24"/>
      <w:szCs w:val="24"/>
    </w:rPr>
  </w:style>
  <w:style w:type="character" w:styleId="42">
    <w:name w:val="HTML Variable"/>
    <w:basedOn w:val="35"/>
    <w:semiHidden/>
    <w:unhideWhenUsed/>
    <w:qFormat/>
    <w:uiPriority w:val="99"/>
  </w:style>
  <w:style w:type="character" w:styleId="43">
    <w:name w:val="Hyperlink"/>
    <w:basedOn w:val="35"/>
    <w:unhideWhenUsed/>
    <w:qFormat/>
    <w:uiPriority w:val="99"/>
    <w:rPr>
      <w:color w:val="0000FF" w:themeColor="hyperlink"/>
      <w:u w:val="single"/>
      <w14:textFill>
        <w14:solidFill>
          <w14:schemeClr w14:val="hlink"/>
        </w14:solidFill>
      </w14:textFill>
    </w:rPr>
  </w:style>
  <w:style w:type="character" w:styleId="44">
    <w:name w:val="HTML Code"/>
    <w:basedOn w:val="35"/>
    <w:semiHidden/>
    <w:unhideWhenUsed/>
    <w:qFormat/>
    <w:uiPriority w:val="99"/>
    <w:rPr>
      <w:rFonts w:hint="default" w:ascii="monospace" w:hAnsi="monospace" w:eastAsia="monospace" w:cs="monospace"/>
      <w:sz w:val="20"/>
    </w:rPr>
  </w:style>
  <w:style w:type="character" w:styleId="45">
    <w:name w:val="annotation reference"/>
    <w:basedOn w:val="35"/>
    <w:semiHidden/>
    <w:unhideWhenUsed/>
    <w:qFormat/>
    <w:uiPriority w:val="99"/>
    <w:rPr>
      <w:sz w:val="21"/>
      <w:szCs w:val="21"/>
    </w:rPr>
  </w:style>
  <w:style w:type="character" w:styleId="46">
    <w:name w:val="HTML Cite"/>
    <w:basedOn w:val="35"/>
    <w:semiHidden/>
    <w:unhideWhenUsed/>
    <w:qFormat/>
    <w:uiPriority w:val="99"/>
  </w:style>
  <w:style w:type="character" w:styleId="47">
    <w:name w:val="HTML Keyboard"/>
    <w:basedOn w:val="35"/>
    <w:semiHidden/>
    <w:unhideWhenUsed/>
    <w:qFormat/>
    <w:uiPriority w:val="99"/>
    <w:rPr>
      <w:rFonts w:ascii="monospace" w:hAnsi="monospace" w:eastAsia="monospace" w:cs="monospace"/>
      <w:sz w:val="20"/>
    </w:rPr>
  </w:style>
  <w:style w:type="character" w:styleId="48">
    <w:name w:val="HTML Sample"/>
    <w:basedOn w:val="35"/>
    <w:semiHidden/>
    <w:unhideWhenUsed/>
    <w:qFormat/>
    <w:uiPriority w:val="99"/>
    <w:rPr>
      <w:rFonts w:hint="default" w:ascii="monospace" w:hAnsi="monospace" w:eastAsia="monospace" w:cs="monospace"/>
    </w:rPr>
  </w:style>
  <w:style w:type="character" w:customStyle="1" w:styleId="49">
    <w:name w:val="标题 2 字符"/>
    <w:basedOn w:val="35"/>
    <w:link w:val="3"/>
    <w:qFormat/>
    <w:uiPriority w:val="0"/>
    <w:rPr>
      <w:rFonts w:ascii="等线 Light" w:hAnsi="等线 Light" w:eastAsia="等线 Light" w:cs="Times New Roman"/>
      <w:b/>
      <w:bCs/>
      <w:kern w:val="2"/>
      <w:sz w:val="32"/>
      <w:szCs w:val="32"/>
    </w:rPr>
  </w:style>
  <w:style w:type="paragraph" w:customStyle="1" w:styleId="50">
    <w:name w:val="_Style 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51">
    <w:name w:val="正文文字 8"/>
    <w:basedOn w:val="1"/>
    <w:next w:val="1"/>
    <w:qFormat/>
    <w:uiPriority w:val="0"/>
    <w:pPr>
      <w:ind w:left="240"/>
    </w:pPr>
    <w:rPr>
      <w:sz w:val="16"/>
    </w:rPr>
  </w:style>
  <w:style w:type="character" w:customStyle="1" w:styleId="52">
    <w:name w:val="批注框文本 字符"/>
    <w:basedOn w:val="35"/>
    <w:link w:val="22"/>
    <w:semiHidden/>
    <w:qFormat/>
    <w:uiPriority w:val="99"/>
    <w:rPr>
      <w:rFonts w:ascii="@仿宋_GB2312" w:hAnsi="@仿宋_GB2312" w:eastAsia="@仿宋_GB2312" w:cs="@仿宋_GB2312"/>
      <w:sz w:val="18"/>
      <w:szCs w:val="18"/>
    </w:rPr>
  </w:style>
  <w:style w:type="paragraph" w:customStyle="1" w:styleId="53">
    <w:name w:val="正文（缩进）"/>
    <w:basedOn w:val="1"/>
    <w:qFormat/>
    <w:uiPriority w:val="0"/>
    <w:pPr>
      <w:widowControl/>
      <w:spacing w:before="156" w:after="156"/>
      <w:ind w:firstLine="480" w:firstLineChars="200"/>
      <w:jc w:val="left"/>
    </w:pPr>
    <w:rPr>
      <w:kern w:val="0"/>
      <w:sz w:val="24"/>
      <w:szCs w:val="24"/>
    </w:rPr>
  </w:style>
  <w:style w:type="paragraph" w:customStyle="1" w:styleId="54">
    <w:name w:val="xl31"/>
    <w:basedOn w:val="1"/>
    <w:qFormat/>
    <w:uiPriority w:val="0"/>
    <w:pPr>
      <w:widowControl/>
      <w:spacing w:before="100" w:beforeAutospacing="1" w:after="100" w:afterAutospacing="1"/>
      <w:jc w:val="center"/>
    </w:pPr>
    <w:rPr>
      <w:b/>
      <w:bCs/>
      <w:kern w:val="0"/>
      <w:sz w:val="28"/>
      <w:szCs w:val="28"/>
    </w:rPr>
  </w:style>
  <w:style w:type="paragraph" w:customStyle="1" w:styleId="55">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6">
    <w:name w:val="页眉 字符"/>
    <w:basedOn w:val="35"/>
    <w:link w:val="24"/>
    <w:qFormat/>
    <w:uiPriority w:val="99"/>
    <w:rPr>
      <w:rFonts w:ascii="@仿宋_GB2312" w:hAnsi="@仿宋_GB2312" w:eastAsia="@仿宋_GB2312" w:cs="@仿宋_GB2312"/>
      <w:sz w:val="18"/>
      <w:szCs w:val="18"/>
    </w:rPr>
  </w:style>
  <w:style w:type="character" w:customStyle="1" w:styleId="57">
    <w:name w:val="页脚 字符"/>
    <w:basedOn w:val="35"/>
    <w:link w:val="23"/>
    <w:qFormat/>
    <w:uiPriority w:val="99"/>
    <w:rPr>
      <w:rFonts w:ascii="@仿宋_GB2312" w:hAnsi="@仿宋_GB2312" w:eastAsia="@仿宋_GB2312" w:cs="@仿宋_GB2312"/>
      <w:sz w:val="18"/>
      <w:szCs w:val="18"/>
    </w:rPr>
  </w:style>
  <w:style w:type="character" w:customStyle="1" w:styleId="58">
    <w:name w:val="纯文本 字符"/>
    <w:link w:val="19"/>
    <w:qFormat/>
    <w:uiPriority w:val="0"/>
    <w:rPr>
      <w:rFonts w:ascii="宋体" w:hAnsi="Courier New"/>
    </w:rPr>
  </w:style>
  <w:style w:type="character" w:customStyle="1" w:styleId="59">
    <w:name w:val="纯文本 字符1"/>
    <w:basedOn w:val="35"/>
    <w:semiHidden/>
    <w:qFormat/>
    <w:uiPriority w:val="99"/>
    <w:rPr>
      <w:rFonts w:hAnsi="Courier New" w:cs="Courier New" w:asciiTheme="minorEastAsia"/>
      <w:szCs w:val="20"/>
    </w:rPr>
  </w:style>
  <w:style w:type="character" w:customStyle="1" w:styleId="60">
    <w:name w:val="未处理的提及1"/>
    <w:basedOn w:val="35"/>
    <w:semiHidden/>
    <w:unhideWhenUsed/>
    <w:qFormat/>
    <w:uiPriority w:val="99"/>
    <w:rPr>
      <w:color w:val="605E5C"/>
      <w:shd w:val="clear" w:color="auto" w:fill="E1DFDD"/>
    </w:rPr>
  </w:style>
  <w:style w:type="paragraph" w:styleId="61">
    <w:name w:val="List Paragraph"/>
    <w:basedOn w:val="1"/>
    <w:qFormat/>
    <w:uiPriority w:val="34"/>
    <w:pPr>
      <w:ind w:firstLine="420" w:firstLineChars="200"/>
    </w:pPr>
  </w:style>
  <w:style w:type="paragraph" w:customStyle="1" w:styleId="62">
    <w:name w:val="Char Char Char Char Char Char Char1 Char"/>
    <w:basedOn w:val="1"/>
    <w:qFormat/>
    <w:uiPriority w:val="0"/>
    <w:rPr>
      <w:rFonts w:ascii="Arial" w:hAnsi="Arial" w:eastAsia="宋体" w:cs="Arial"/>
      <w:sz w:val="24"/>
    </w:rPr>
  </w:style>
  <w:style w:type="table" w:customStyle="1" w:styleId="63">
    <w:name w:val="网格表 1 浅色1"/>
    <w:basedOn w:val="3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4">
    <w:name w:val="日期 字符"/>
    <w:basedOn w:val="35"/>
    <w:semiHidden/>
    <w:qFormat/>
    <w:uiPriority w:val="99"/>
    <w:rPr>
      <w:rFonts w:ascii="@仿宋_GB2312" w:hAnsi="@仿宋_GB2312" w:eastAsia="@仿宋_GB2312" w:cs="@仿宋_GB2312"/>
      <w:szCs w:val="20"/>
    </w:rPr>
  </w:style>
  <w:style w:type="character" w:customStyle="1" w:styleId="65">
    <w:name w:val="日期 字符1"/>
    <w:link w:val="21"/>
    <w:qFormat/>
    <w:uiPriority w:val="0"/>
    <w:rPr>
      <w:rFonts w:ascii="Arial" w:hAnsi="Arial" w:eastAsia="宋体" w:cs="Arial"/>
      <w:b/>
      <w:sz w:val="28"/>
      <w:szCs w:val="20"/>
    </w:rPr>
  </w:style>
  <w:style w:type="character" w:customStyle="1" w:styleId="66">
    <w:name w:val="纯文本 Char1"/>
    <w:qFormat/>
    <w:locked/>
    <w:uiPriority w:val="99"/>
    <w:rPr>
      <w:rFonts w:ascii="Arial" w:hAnsi="Arial" w:eastAsia="Arial"/>
      <w:kern w:val="2"/>
      <w:sz w:val="21"/>
      <w:lang w:val="en-US" w:eastAsia="zh-CN" w:bidi="ar-SA"/>
    </w:rPr>
  </w:style>
  <w:style w:type="character" w:customStyle="1" w:styleId="67">
    <w:name w:val="批注文字 Char"/>
    <w:basedOn w:val="35"/>
    <w:semiHidden/>
    <w:qFormat/>
    <w:uiPriority w:val="99"/>
    <w:rPr>
      <w:rFonts w:ascii="@仿宋_GB2312" w:hAnsi="@仿宋_GB2312" w:eastAsia="@仿宋_GB2312" w:cs="@仿宋_GB2312"/>
      <w:szCs w:val="20"/>
    </w:rPr>
  </w:style>
  <w:style w:type="character" w:customStyle="1" w:styleId="68">
    <w:name w:val="批注文字 字符"/>
    <w:link w:val="12"/>
    <w:qFormat/>
    <w:uiPriority w:val="0"/>
    <w:rPr>
      <w:rFonts w:ascii="Arial" w:hAnsi="Arial" w:eastAsia="黑体" w:cs="Arial"/>
      <w:szCs w:val="20"/>
    </w:rPr>
  </w:style>
  <w:style w:type="character" w:customStyle="1" w:styleId="69">
    <w:name w:val="标题 1 Char"/>
    <w:basedOn w:val="35"/>
    <w:qFormat/>
    <w:uiPriority w:val="9"/>
    <w:rPr>
      <w:rFonts w:ascii="@仿宋_GB2312" w:hAnsi="@仿宋_GB2312" w:eastAsia="@仿宋_GB2312" w:cs="@仿宋_GB2312"/>
      <w:b/>
      <w:bCs/>
      <w:kern w:val="44"/>
      <w:sz w:val="44"/>
      <w:szCs w:val="44"/>
    </w:rPr>
  </w:style>
  <w:style w:type="paragraph" w:customStyle="1" w:styleId="7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1">
    <w:name w:val="标题 3 字符"/>
    <w:basedOn w:val="35"/>
    <w:link w:val="4"/>
    <w:semiHidden/>
    <w:qFormat/>
    <w:uiPriority w:val="9"/>
    <w:rPr>
      <w:rFonts w:ascii="@仿宋_GB2312" w:hAnsi="@仿宋_GB2312" w:eastAsia="@仿宋_GB2312" w:cs="@仿宋_GB2312"/>
      <w:b/>
      <w:bCs/>
      <w:sz w:val="32"/>
      <w:szCs w:val="32"/>
    </w:rPr>
  </w:style>
  <w:style w:type="character" w:customStyle="1" w:styleId="72">
    <w:name w:val="fontstyle01"/>
    <w:basedOn w:val="35"/>
    <w:qFormat/>
    <w:uiPriority w:val="0"/>
    <w:rPr>
      <w:rFonts w:hint="eastAsia" w:ascii="宋体" w:hAnsi="宋体" w:eastAsia="宋体"/>
      <w:color w:val="000000"/>
      <w:sz w:val="22"/>
      <w:szCs w:val="22"/>
    </w:rPr>
  </w:style>
  <w:style w:type="character" w:customStyle="1" w:styleId="73">
    <w:name w:val="fontstyle21"/>
    <w:basedOn w:val="35"/>
    <w:qFormat/>
    <w:uiPriority w:val="0"/>
    <w:rPr>
      <w:rFonts w:hint="default" w:ascii="TimesNewRomanPSMT" w:hAnsi="TimesNewRomanPSMT"/>
      <w:color w:val="000000"/>
      <w:sz w:val="22"/>
      <w:szCs w:val="22"/>
    </w:rPr>
  </w:style>
  <w:style w:type="character" w:customStyle="1" w:styleId="7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5">
    <w:name w:val="标题 4 字符"/>
    <w:basedOn w:val="35"/>
    <w:semiHidden/>
    <w:qFormat/>
    <w:uiPriority w:val="9"/>
    <w:rPr>
      <w:rFonts w:asciiTheme="majorHAnsi" w:hAnsiTheme="majorHAnsi" w:eastAsiaTheme="majorEastAsia" w:cstheme="majorBidi"/>
      <w:b/>
      <w:bCs/>
      <w:sz w:val="28"/>
      <w:szCs w:val="28"/>
    </w:rPr>
  </w:style>
  <w:style w:type="character" w:customStyle="1" w:styleId="76">
    <w:name w:val="标题 4 字符1"/>
    <w:link w:val="5"/>
    <w:qFormat/>
    <w:uiPriority w:val="0"/>
    <w:rPr>
      <w:rFonts w:ascii="@仿宋_GB2312" w:hAnsi="@仿宋_GB2312" w:eastAsia="@仿宋_GB2312" w:cs="@仿宋_GB2312"/>
      <w:b/>
      <w:bCs/>
      <w:sz w:val="28"/>
      <w:szCs w:val="28"/>
    </w:rPr>
  </w:style>
  <w:style w:type="character" w:customStyle="1" w:styleId="77">
    <w:name w:val="标题 4 Char"/>
    <w:qFormat/>
    <w:uiPriority w:val="0"/>
    <w:rPr>
      <w:rFonts w:ascii="Arial" w:hAnsi="Arial" w:eastAsia="Arial"/>
      <w:b/>
      <w:bCs/>
      <w:kern w:val="2"/>
      <w:sz w:val="28"/>
      <w:szCs w:val="28"/>
      <w:lang w:val="en-US" w:eastAsia="zh-CN" w:bidi="ar-SA"/>
    </w:rPr>
  </w:style>
  <w:style w:type="table" w:customStyle="1" w:styleId="78">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批注主题 字符"/>
    <w:basedOn w:val="68"/>
    <w:link w:val="30"/>
    <w:semiHidden/>
    <w:qFormat/>
    <w:uiPriority w:val="99"/>
    <w:rPr>
      <w:rFonts w:ascii="@仿宋_GB2312" w:hAnsi="@仿宋_GB2312" w:eastAsia="@仿宋_GB2312" w:cs="@仿宋_GB2312"/>
      <w:b/>
      <w:bCs/>
      <w:szCs w:val="20"/>
    </w:r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Table Text"/>
    <w:basedOn w:val="1"/>
    <w:semiHidden/>
    <w:qFormat/>
    <w:uiPriority w:val="0"/>
    <w:rPr>
      <w:rFonts w:ascii="Arial" w:hAnsi="Arial" w:eastAsia="Arial" w:cs="Arial"/>
      <w:szCs w:val="21"/>
      <w:lang w:eastAsia="en-US"/>
    </w:rPr>
  </w:style>
  <w:style w:type="paragraph" w:customStyle="1" w:styleId="82">
    <w:name w:val="Table Paragraph"/>
    <w:basedOn w:val="1"/>
    <w:qFormat/>
    <w:uiPriority w:val="0"/>
    <w:rPr>
      <w:rFonts w:ascii="宋体" w:hAnsi="宋体" w:eastAsia="宋体" w:cs="宋体"/>
      <w:lang w:val="zh-CN" w:bidi="zh-CN"/>
    </w:rPr>
  </w:style>
  <w:style w:type="character" w:customStyle="1" w:styleId="83">
    <w:name w:val="font31"/>
    <w:basedOn w:val="35"/>
    <w:qFormat/>
    <w:uiPriority w:val="0"/>
    <w:rPr>
      <w:rFonts w:ascii="微软雅黑" w:hAnsi="微软雅黑" w:eastAsia="微软雅黑" w:cs="微软雅黑"/>
      <w:color w:val="000000"/>
      <w:sz w:val="24"/>
      <w:szCs w:val="24"/>
      <w:u w:val="none"/>
    </w:rPr>
  </w:style>
  <w:style w:type="character" w:customStyle="1" w:styleId="84">
    <w:name w:val="font41"/>
    <w:basedOn w:val="35"/>
    <w:qFormat/>
    <w:uiPriority w:val="0"/>
    <w:rPr>
      <w:rFonts w:ascii="Calibri" w:hAnsi="Calibri" w:cs="Calibri"/>
      <w:color w:val="000000"/>
      <w:sz w:val="24"/>
      <w:szCs w:val="24"/>
      <w:u w:val="none"/>
    </w:rPr>
  </w:style>
  <w:style w:type="character" w:customStyle="1" w:styleId="85">
    <w:name w:val="标题 1 字符"/>
    <w:link w:val="2"/>
    <w:qFormat/>
    <w:uiPriority w:val="9"/>
    <w:rPr>
      <w:b/>
      <w:bCs/>
      <w:kern w:val="44"/>
      <w:sz w:val="44"/>
      <w:szCs w:val="44"/>
    </w:rPr>
  </w:style>
  <w:style w:type="paragraph" w:customStyle="1" w:styleId="86">
    <w:name w:val="Other|1"/>
    <w:basedOn w:val="1"/>
    <w:qFormat/>
    <w:uiPriority w:val="0"/>
    <w:rPr>
      <w:rFonts w:ascii="宋体" w:hAnsi="宋体" w:eastAsia="宋体" w:cs="宋体"/>
      <w:sz w:val="19"/>
      <w:szCs w:val="19"/>
      <w:lang w:val="zh-TW" w:eastAsia="zh-TW" w:bidi="zh-TW"/>
    </w:rPr>
  </w:style>
  <w:style w:type="paragraph" w:customStyle="1" w:styleId="87">
    <w:name w:val="纯文本1"/>
    <w:basedOn w:val="1"/>
    <w:qFormat/>
    <w:uiPriority w:val="0"/>
    <w:pPr>
      <w:adjustRightInd w:val="0"/>
    </w:pPr>
    <w:rPr>
      <w:rFonts w:ascii="宋体" w:hAnsi="Courier New" w:eastAsia="楷体_GB2312"/>
      <w:sz w:val="26"/>
    </w:rPr>
  </w:style>
  <w:style w:type="paragraph" w:customStyle="1" w:styleId="88">
    <w:name w:val="正文 New"/>
    <w:next w:val="89"/>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89">
    <w:name w:val="正文缩进1"/>
    <w:basedOn w:val="1"/>
    <w:next w:val="11"/>
    <w:qFormat/>
    <w:uiPriority w:val="0"/>
    <w:pPr>
      <w:spacing w:line="360" w:lineRule="atLeast"/>
      <w:ind w:firstLine="482"/>
    </w:pPr>
    <w:rPr>
      <w:rFonts w:ascii="Times New Roman" w:eastAsia="宋体"/>
      <w:sz w:val="24"/>
    </w:rPr>
  </w:style>
  <w:style w:type="paragraph" w:customStyle="1" w:styleId="90">
    <w:name w:val="_Style 3"/>
    <w:basedOn w:val="1"/>
    <w:qFormat/>
    <w:uiPriority w:val="0"/>
    <w:pPr>
      <w:ind w:firstLine="420" w:firstLineChars="200"/>
    </w:pPr>
    <w:rPr>
      <w:sz w:val="20"/>
    </w:rPr>
  </w:style>
  <w:style w:type="paragraph" w:customStyle="1" w:styleId="91">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character" w:customStyle="1" w:styleId="92">
    <w:name w:val="hover"/>
    <w:basedOn w:val="35"/>
    <w:qFormat/>
    <w:uiPriority w:val="0"/>
    <w:rPr>
      <w:color w:val="2590EB"/>
      <w:shd w:val="clear" w:color="auto" w:fill="E9F4FD"/>
    </w:rPr>
  </w:style>
  <w:style w:type="character" w:customStyle="1" w:styleId="93">
    <w:name w:val="hover1"/>
    <w:basedOn w:val="35"/>
    <w:qFormat/>
    <w:uiPriority w:val="0"/>
    <w:rPr>
      <w:color w:val="2590EB"/>
    </w:rPr>
  </w:style>
  <w:style w:type="character" w:customStyle="1" w:styleId="94">
    <w:name w:val="hover2"/>
    <w:basedOn w:val="35"/>
    <w:qFormat/>
    <w:uiPriority w:val="0"/>
    <w:rPr>
      <w:color w:val="2590EB"/>
    </w:rPr>
  </w:style>
  <w:style w:type="character" w:customStyle="1" w:styleId="95">
    <w:name w:val="hover3"/>
    <w:basedOn w:val="35"/>
    <w:qFormat/>
    <w:uiPriority w:val="0"/>
  </w:style>
  <w:style w:type="character" w:customStyle="1" w:styleId="96">
    <w:name w:val="hover4"/>
    <w:basedOn w:val="35"/>
    <w:qFormat/>
    <w:uiPriority w:val="0"/>
  </w:style>
  <w:style w:type="character" w:customStyle="1" w:styleId="97">
    <w:name w:val="font21"/>
    <w:basedOn w:val="35"/>
    <w:qFormat/>
    <w:uiPriority w:val="0"/>
    <w:rPr>
      <w:rFonts w:hint="default" w:ascii="Times New Roman" w:hAnsi="Times New Roman" w:cs="Times New Roman"/>
      <w:color w:val="000000"/>
      <w:sz w:val="24"/>
      <w:szCs w:val="24"/>
      <w:u w:val="none"/>
    </w:rPr>
  </w:style>
  <w:style w:type="character" w:customStyle="1" w:styleId="98">
    <w:name w:val="font11"/>
    <w:basedOn w:val="35"/>
    <w:qFormat/>
    <w:uiPriority w:val="0"/>
    <w:rPr>
      <w:rFonts w:hint="eastAsia" w:ascii="宋体" w:hAnsi="宋体" w:eastAsia="宋体" w:cs="宋体"/>
      <w:color w:val="000000"/>
      <w:sz w:val="24"/>
      <w:szCs w:val="24"/>
      <w:u w:val="none"/>
    </w:rPr>
  </w:style>
  <w:style w:type="character" w:customStyle="1" w:styleId="99">
    <w:name w:val="font01"/>
    <w:basedOn w:val="35"/>
    <w:qFormat/>
    <w:uiPriority w:val="0"/>
    <w:rPr>
      <w:rFonts w:hint="eastAsia" w:ascii="宋体" w:hAnsi="宋体" w:eastAsia="宋体" w:cs="宋体"/>
      <w:color w:val="000000"/>
      <w:sz w:val="22"/>
      <w:szCs w:val="22"/>
      <w:u w:val="none"/>
    </w:rPr>
  </w:style>
  <w:style w:type="character" w:customStyle="1" w:styleId="100">
    <w:name w:val="font71"/>
    <w:basedOn w:val="35"/>
    <w:qFormat/>
    <w:uiPriority w:val="0"/>
    <w:rPr>
      <w:rFonts w:hint="default" w:ascii="Times New Roman" w:hAnsi="Times New Roman" w:cs="Times New Roman"/>
      <w:color w:val="000000"/>
      <w:sz w:val="22"/>
      <w:szCs w:val="22"/>
      <w:u w:val="none"/>
    </w:rPr>
  </w:style>
  <w:style w:type="character" w:customStyle="1" w:styleId="101">
    <w:name w:val="font51"/>
    <w:basedOn w:val="35"/>
    <w:qFormat/>
    <w:uiPriority w:val="0"/>
    <w:rPr>
      <w:rFonts w:ascii="黑体" w:hAnsi="宋体" w:eastAsia="黑体" w:cs="黑体"/>
      <w:color w:val="000000"/>
      <w:sz w:val="21"/>
      <w:szCs w:val="21"/>
      <w:u w:val="none"/>
    </w:rPr>
  </w:style>
  <w:style w:type="paragraph" w:customStyle="1" w:styleId="10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103">
    <w:name w:val="focus4"/>
    <w:basedOn w:val="35"/>
    <w:qFormat/>
    <w:uiPriority w:val="0"/>
  </w:style>
  <w:style w:type="character" w:customStyle="1" w:styleId="104">
    <w:name w:val="tmpztreemove_arrow"/>
    <w:basedOn w:val="35"/>
    <w:qFormat/>
    <w:uiPriority w:val="0"/>
  </w:style>
  <w:style w:type="character" w:customStyle="1" w:styleId="105">
    <w:name w:val="button"/>
    <w:basedOn w:val="35"/>
    <w:qFormat/>
    <w:uiPriority w:val="0"/>
  </w:style>
  <w:style w:type="character" w:customStyle="1" w:styleId="106">
    <w:name w:val="txt15"/>
    <w:basedOn w:val="35"/>
    <w:qFormat/>
    <w:uiPriority w:val="0"/>
    <w:rPr>
      <w:color w:val="C0C0C0"/>
    </w:rPr>
  </w:style>
  <w:style w:type="character" w:customStyle="1" w:styleId="107">
    <w:name w:val="first-child1"/>
    <w:basedOn w:val="35"/>
    <w:qFormat/>
    <w:uiPriority w:val="0"/>
  </w:style>
  <w:style w:type="character" w:customStyle="1" w:styleId="108">
    <w:name w:val="split11"/>
    <w:basedOn w:val="35"/>
    <w:qFormat/>
    <w:uiPriority w:val="0"/>
    <w:rPr>
      <w:color w:val="C50001"/>
      <w:sz w:val="21"/>
      <w:szCs w:val="21"/>
    </w:rPr>
  </w:style>
  <w:style w:type="character" w:customStyle="1" w:styleId="109">
    <w:name w:val="focus"/>
    <w:basedOn w:val="35"/>
    <w:qFormat/>
    <w:uiPriority w:val="0"/>
  </w:style>
  <w:style w:type="character" w:customStyle="1" w:styleId="110">
    <w:name w:val="txt17"/>
    <w:basedOn w:val="35"/>
    <w:qFormat/>
    <w:uiPriority w:val="0"/>
    <w:rPr>
      <w:color w:val="C0C0C0"/>
    </w:rPr>
  </w:style>
  <w:style w:type="paragraph" w:customStyle="1" w:styleId="111">
    <w:name w:val="表格文字"/>
    <w:basedOn w:val="1"/>
    <w:qFormat/>
    <w:uiPriority w:val="0"/>
    <w:pPr>
      <w:spacing w:before="25" w:after="25"/>
      <w:jc w:val="left"/>
    </w:pPr>
    <w:rPr>
      <w:bCs/>
      <w:spacing w:val="10"/>
      <w:kern w:val="0"/>
      <w:sz w:val="24"/>
      <w:szCs w:val="20"/>
    </w:rPr>
  </w:style>
  <w:style w:type="paragraph" w:customStyle="1" w:styleId="112">
    <w:name w:val="my正文"/>
    <w:basedOn w:val="1"/>
    <w:qFormat/>
    <w:uiPriority w:val="0"/>
    <w:pPr>
      <w:ind w:firstLine="200"/>
    </w:pPr>
    <w:rPr>
      <w:rFonts w:ascii="仿宋_GB2312" w:hAnsiTheme="minorHAnsi" w:cstheme="minorBidi"/>
      <w:kern w:val="0"/>
      <w:szCs w:val="24"/>
    </w:rPr>
  </w:style>
  <w:style w:type="character" w:customStyle="1" w:styleId="113">
    <w:name w:val="NormalCharacter"/>
    <w:semiHidden/>
    <w:qFormat/>
    <w:uiPriority w:val="0"/>
  </w:style>
  <w:style w:type="paragraph" w:customStyle="1" w:styleId="114">
    <w:name w:val="*正文"/>
    <w:basedOn w:val="1"/>
    <w:qFormat/>
    <w:uiPriority w:val="0"/>
    <w:pPr>
      <w:widowControl/>
      <w:snapToGrid w:val="0"/>
      <w:ind w:firstLine="560"/>
      <w:jc w:val="left"/>
    </w:pPr>
    <w:rPr>
      <w:rFonts w:ascii="仿宋_GB2312"/>
      <w:color w:val="191919"/>
      <w:sz w:val="28"/>
      <w:szCs w:val="28"/>
    </w:rPr>
  </w:style>
  <w:style w:type="paragraph" w:customStyle="1" w:styleId="115">
    <w:name w:val="样式 正文缩进 + 首行缩进:  2 字符"/>
    <w:basedOn w:val="9"/>
    <w:qFormat/>
    <w:uiPriority w:val="0"/>
    <w:pPr>
      <w:widowControl/>
      <w:spacing w:line="360" w:lineRule="auto"/>
      <w:ind w:firstLine="200" w:firstLineChars="200"/>
      <w:jc w:val="left"/>
    </w:pPr>
  </w:style>
  <w:style w:type="character" w:customStyle="1" w:styleId="116">
    <w:name w:val="文本块 Char"/>
    <w:link w:val="17"/>
    <w:qFormat/>
    <w:uiPriority w:val="0"/>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119</Pages>
  <Words>5570</Words>
  <Characters>6113</Characters>
  <Lines>304</Lines>
  <Paragraphs>85</Paragraphs>
  <TotalTime>1</TotalTime>
  <ScaleCrop>false</ScaleCrop>
  <LinksUpToDate>false</LinksUpToDate>
  <CharactersWithSpaces>6198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韦韦</cp:lastModifiedBy>
  <cp:lastPrinted>2025-02-26T06:35:00Z</cp:lastPrinted>
  <dcterms:modified xsi:type="dcterms:W3CDTF">2025-10-23T07:33:05Z</dcterms:modified>
  <cp:revision>509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8B6024AA28CA4E969C29EABB035A6ED8_13</vt:lpwstr>
  </property>
  <property fmtid="{D5CDD505-2E9C-101B-9397-08002B2CF9AE}" pid="4" name="KSOTemplateDocerSaveRecord">
    <vt:lpwstr>eyJoZGlkIjoiZmQ5MGI3YTdkMjVkZTZjM2ZjZTQ5YjMxYTJjZjRlOWEiLCJ1c2VySWQiOiIzNjE4MjQ5In0=</vt:lpwstr>
  </property>
  <property fmtid="{D5CDD505-2E9C-101B-9397-08002B2CF9AE}" pid="5" name="CWM22942220a80d11f0800047df000046df">
    <vt:lpwstr>CWMWQ2ofzEt4UQH5qGPMrG952Q9VFYmUwQD9j9QzdYX8VbPgL1V1cYwN9/F7WZVcoo65C1Gci4P6iTiAC3q+mZVzg==</vt:lpwstr>
  </property>
  <property fmtid="{D5CDD505-2E9C-101B-9397-08002B2CF9AE}" pid="6" name="CWM6af04640a81011f0800047df000046df">
    <vt:lpwstr>CWMQGAHgW1iA9ORQVeyS9LRMGQD694nit3TOmSuXMo0VsNgdFjuEBJmH7zIScWaxvSXGStzkE0gtAjM0u+dQneQEw==</vt:lpwstr>
  </property>
</Properties>
</file>