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F6BD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335485D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63713E5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176611E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1FBC5F3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354E2B7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C33289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71EB90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42AC7D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1F1FF02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2BDE92B">
      <w:pPr>
        <w:tabs>
          <w:tab w:val="left" w:pos="2410"/>
        </w:tabs>
        <w:autoSpaceDE w:val="0"/>
        <w:autoSpaceDN w:val="0"/>
        <w:adjustRightInd w:val="0"/>
        <w:snapToGrid w:val="0"/>
        <w:spacing w:line="360" w:lineRule="auto"/>
        <w:ind w:left="2444" w:leftChars="304" w:right="-313" w:rightChars="-149" w:hanging="1806" w:hangingChars="5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滁州经开区通信指挥消防车（无人机运输）采购项目</w:t>
      </w:r>
    </w:p>
    <w:p w14:paraId="21C27180">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default" w:ascii="宋体" w:hAnsi="宋体" w:eastAsia="宋体"/>
          <w:b/>
          <w:color w:val="auto"/>
          <w:spacing w:val="20"/>
          <w:kern w:val="0"/>
          <w:sz w:val="32"/>
          <w:szCs w:val="32"/>
          <w:highlight w:val="none"/>
          <w:u w:val="single"/>
          <w:lang w:val="en-US" w:eastAsia="zh-CN"/>
        </w:rPr>
        <w:t>czsjcg202608-053</w:t>
      </w:r>
    </w:p>
    <w:p w14:paraId="7F293A98">
      <w:pPr>
        <w:tabs>
          <w:tab w:val="left" w:pos="2410"/>
        </w:tabs>
        <w:autoSpaceDE w:val="0"/>
        <w:autoSpaceDN w:val="0"/>
        <w:adjustRightInd w:val="0"/>
        <w:snapToGrid w:val="0"/>
        <w:spacing w:line="360" w:lineRule="auto"/>
        <w:ind w:left="638" w:leftChars="304" w:right="-313" w:rightChars="-149" w:firstLine="0" w:firstLineChars="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滁州经济技术开发区管理委员会</w:t>
      </w:r>
    </w:p>
    <w:p w14:paraId="7F72647C">
      <w:pPr>
        <w:tabs>
          <w:tab w:val="left" w:pos="2410"/>
        </w:tabs>
        <w:autoSpaceDE w:val="0"/>
        <w:autoSpaceDN w:val="0"/>
        <w:adjustRightInd w:val="0"/>
        <w:snapToGrid w:val="0"/>
        <w:spacing w:line="360" w:lineRule="auto"/>
        <w:ind w:left="638" w:leftChars="304" w:right="-313" w:rightChars="-149" w:firstLine="0" w:firstLineChars="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滁州市城投工程咨询管理有限公司</w:t>
      </w:r>
    </w:p>
    <w:p w14:paraId="7449241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8C791A2">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23CB911E">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0B3BA70">
      <w:pPr>
        <w:pStyle w:val="20"/>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color w:val="auto"/>
          <w:highlight w:val="none"/>
        </w:rPr>
        <w:t xml:space="preserve">第一章 </w:t>
      </w:r>
      <w:r>
        <w:rPr>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D4EC1F4">
      <w:pPr>
        <w:pStyle w:val="20"/>
        <w:tabs>
          <w:tab w:val="right" w:leader="dot" w:pos="8306"/>
        </w:tabs>
        <w:rPr>
          <w:color w:val="auto"/>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color w:val="auto"/>
          <w:highlight w:val="none"/>
        </w:rPr>
        <w:t>第二章</w:t>
      </w:r>
      <w:r>
        <w:rPr>
          <w:color w:val="auto"/>
          <w:highlight w:val="none"/>
        </w:rPr>
        <w:t xml:space="preserve"> </w:t>
      </w:r>
      <w:r>
        <w:rPr>
          <w:rFonts w:hint="eastAsia"/>
          <w:color w:val="auto"/>
          <w:highlight w:val="none"/>
        </w:rPr>
        <w:t xml:space="preserve"> </w:t>
      </w:r>
      <w:r>
        <w:rPr>
          <w:color w:val="auto"/>
          <w:highlight w:val="none"/>
        </w:rPr>
        <w:t>投标人须知</w:t>
      </w:r>
      <w:r>
        <w:rPr>
          <w:color w:val="auto"/>
          <w:highlight w:val="none"/>
        </w:rPr>
        <w:tab/>
      </w:r>
      <w:r>
        <w:rPr>
          <w:rFonts w:hint="eastAsia"/>
          <w:color w:val="auto"/>
          <w:highlight w:val="none"/>
          <w:lang w:val="en-US" w:eastAsia="zh-CN"/>
        </w:rPr>
        <w:t>4</w:t>
      </w:r>
      <w:r>
        <w:rPr>
          <w:color w:val="auto"/>
          <w:highlight w:val="none"/>
        </w:rPr>
        <w:fldChar w:fldCharType="end"/>
      </w:r>
    </w:p>
    <w:p w14:paraId="5CD39C71">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color w:val="auto"/>
          <w:highlight w:val="none"/>
        </w:rPr>
        <w:t>第三章  采购需求</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4</w:t>
      </w:r>
    </w:p>
    <w:p w14:paraId="2329CE7F">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color w:val="auto"/>
          <w:highlight w:val="none"/>
        </w:rPr>
        <w:t>第四章  评标方法和标准（综合评分法）</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9</w:t>
      </w:r>
    </w:p>
    <w:p w14:paraId="6CADA58F">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color w:val="auto"/>
          <w:highlight w:val="none"/>
        </w:rPr>
        <w:t xml:space="preserve">第五章  </w:t>
      </w:r>
      <w:r>
        <w:rPr>
          <w:color w:val="auto"/>
          <w:highlight w:val="none"/>
        </w:rPr>
        <w:t>政府采购合同</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8</w:t>
      </w:r>
    </w:p>
    <w:p w14:paraId="72C3F5D3">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color w:val="auto"/>
          <w:highlight w:val="none"/>
        </w:rPr>
        <w:t>第六章  投标文件格式</w:t>
      </w:r>
      <w:r>
        <w:rPr>
          <w:color w:val="auto"/>
          <w:highlight w:val="none"/>
        </w:rPr>
        <w:tab/>
      </w:r>
      <w:r>
        <w:rPr>
          <w:rFonts w:hint="eastAsia"/>
          <w:color w:val="auto"/>
          <w:highlight w:val="none"/>
          <w:lang w:val="en-US" w:eastAsia="zh-CN"/>
        </w:rPr>
        <w:t>5</w:t>
      </w:r>
      <w:r>
        <w:rPr>
          <w:color w:val="auto"/>
          <w:highlight w:val="none"/>
        </w:rPr>
        <w:fldChar w:fldCharType="end"/>
      </w:r>
      <w:r>
        <w:rPr>
          <w:rFonts w:hint="eastAsia"/>
          <w:color w:val="auto"/>
          <w:highlight w:val="none"/>
          <w:lang w:val="en-US" w:eastAsia="zh-CN"/>
        </w:rPr>
        <w:t>8</w:t>
      </w:r>
    </w:p>
    <w:p w14:paraId="2C44E23C">
      <w:pPr>
        <w:pStyle w:val="20"/>
        <w:tabs>
          <w:tab w:val="right" w:leader="dot" w:pos="8306"/>
        </w:tabs>
        <w:rPr>
          <w:rFonts w:hint="default"/>
          <w:color w:val="auto"/>
          <w:highlight w:val="none"/>
          <w:lang w:val="en-US" w:eastAsia="zh-CN"/>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rFonts w:hint="eastAsia"/>
          <w:color w:val="auto"/>
          <w:highlight w:val="none"/>
          <w:lang w:val="en-US" w:eastAsia="zh-CN"/>
        </w:rPr>
        <w:t>7</w:t>
      </w:r>
      <w:r>
        <w:rPr>
          <w:rFonts w:asciiTheme="minorEastAsia" w:hAnsiTheme="minorEastAsia" w:eastAsiaTheme="minorEastAsia"/>
          <w:color w:val="auto"/>
          <w:szCs w:val="24"/>
          <w:highlight w:val="none"/>
        </w:rPr>
        <w:fldChar w:fldCharType="end"/>
      </w:r>
      <w:r>
        <w:rPr>
          <w:rFonts w:hint="eastAsia"/>
          <w:color w:val="auto"/>
          <w:highlight w:val="none"/>
          <w:lang w:val="en-US" w:eastAsia="zh-CN"/>
        </w:rPr>
        <w:t>3</w:t>
      </w:r>
    </w:p>
    <w:p w14:paraId="7C257C0E">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69B79FB3">
      <w:pPr>
        <w:pStyle w:val="20"/>
        <w:tabs>
          <w:tab w:val="right" w:leader="dot" w:pos="8306"/>
        </w:tabs>
        <w:rPr>
          <w:rFonts w:hint="eastAsia"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6D13269F">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194DC6B9">
      <w:pPr>
        <w:keepNext/>
        <w:keepLines/>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项目概况</w:t>
      </w:r>
    </w:p>
    <w:p w14:paraId="00690F67">
      <w:pPr>
        <w:keepNext/>
        <w:keepLines/>
        <w:pageBreakBefore w:val="0"/>
        <w:widowControl w:val="0"/>
        <w:suppressLineNumbers w:val="0"/>
        <w:kinsoku/>
        <w:wordWrap w:val="0"/>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val="0"/>
          <w:color w:val="auto"/>
          <w:kern w:val="2"/>
          <w:sz w:val="24"/>
          <w:szCs w:val="24"/>
          <w:highlight w:val="none"/>
          <w:u w:val="single"/>
          <w:lang w:val="en-US" w:eastAsia="zh-CN" w:bidi="ar"/>
        </w:rPr>
        <w:t>滁州经开区通信指挥消防车（无人机运输）采购项目</w:t>
      </w:r>
      <w:r>
        <w:rPr>
          <w:rFonts w:hint="eastAsia" w:ascii="宋体" w:hAnsi="宋体" w:eastAsia="宋体" w:cs="宋体"/>
          <w:color w:val="auto"/>
          <w:kern w:val="2"/>
          <w:sz w:val="24"/>
          <w:szCs w:val="24"/>
          <w:highlight w:val="none"/>
          <w:lang w:val="en-US" w:eastAsia="zh-CN" w:bidi="ar"/>
        </w:rPr>
        <w:t>的潜在投标人应在</w:t>
      </w:r>
      <w:r>
        <w:rPr>
          <w:rFonts w:hint="eastAsia" w:ascii="宋体" w:hAnsi="宋体" w:eastAsia="宋体" w:cs="宋体"/>
          <w:color w:val="auto"/>
          <w:kern w:val="2"/>
          <w:sz w:val="24"/>
          <w:szCs w:val="24"/>
          <w:highlight w:val="none"/>
          <w:u w:val="single"/>
          <w:lang w:val="en-US" w:eastAsia="zh-CN" w:bidi="ar"/>
        </w:rPr>
        <w:t>滁州市公共资源交易中心网（http：//ggzy.chuzhou.gov.cn/）</w:t>
      </w:r>
      <w:r>
        <w:rPr>
          <w:rFonts w:hint="eastAsia" w:ascii="宋体" w:hAnsi="宋体" w:eastAsia="宋体" w:cs="宋体"/>
          <w:color w:val="auto"/>
          <w:kern w:val="2"/>
          <w:sz w:val="24"/>
          <w:szCs w:val="24"/>
          <w:highlight w:val="none"/>
          <w:lang w:val="en-US" w:eastAsia="zh-CN" w:bidi="ar"/>
        </w:rPr>
        <w:t>获取招标文件，并于</w:t>
      </w:r>
      <w:r>
        <w:rPr>
          <w:rFonts w:hint="eastAsia" w:ascii="宋体" w:hAnsi="宋体" w:eastAsia="宋体" w:cs="宋体"/>
          <w:color w:val="auto"/>
          <w:kern w:val="2"/>
          <w:sz w:val="24"/>
          <w:szCs w:val="24"/>
          <w:highlight w:val="none"/>
          <w:u w:val="single"/>
          <w:lang w:val="en-US" w:eastAsia="zh-CN" w:bidi="ar"/>
        </w:rPr>
        <w:t>2026年9月17日8点30分</w:t>
      </w:r>
      <w:r>
        <w:rPr>
          <w:rFonts w:hint="eastAsia" w:ascii="宋体" w:hAnsi="宋体" w:eastAsia="宋体" w:cs="宋体"/>
          <w:color w:val="auto"/>
          <w:kern w:val="2"/>
          <w:sz w:val="24"/>
          <w:szCs w:val="24"/>
          <w:highlight w:val="none"/>
          <w:lang w:val="en-US" w:eastAsia="zh-CN" w:bidi="ar"/>
        </w:rPr>
        <w:t>（北京时间）前递交投标文件。</w:t>
      </w:r>
    </w:p>
    <w:p w14:paraId="4E25CB0E">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一、项目基本情况</w:t>
      </w:r>
    </w:p>
    <w:p w14:paraId="4810CF23">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项目编号：</w:t>
      </w:r>
      <w:r>
        <w:rPr>
          <w:rFonts w:hint="default" w:ascii="宋体" w:hAnsi="宋体" w:eastAsia="宋体" w:cs="宋体"/>
          <w:color w:val="auto"/>
          <w:kern w:val="2"/>
          <w:sz w:val="24"/>
          <w:szCs w:val="24"/>
          <w:highlight w:val="none"/>
          <w:lang w:val="en-US" w:eastAsia="zh-CN" w:bidi="ar"/>
        </w:rPr>
        <w:t>czsjcg202608-053</w:t>
      </w:r>
    </w:p>
    <w:p w14:paraId="02B2611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项目名称：滁州经开区通信指挥消防车（无人机运输）采购项目</w:t>
      </w:r>
    </w:p>
    <w:p w14:paraId="196FDA53">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预算金额：2600000.00元</w:t>
      </w:r>
    </w:p>
    <w:p w14:paraId="67BBA7B6">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最高限价：2600000.00元，投标报价不得高于最高限价，否则按无效投标处理。</w:t>
      </w:r>
    </w:p>
    <w:p w14:paraId="3C368ADB">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采购需求：1辆通信指挥消防车（无人机运输）（含底盘及上装）及随车器材采购</w:t>
      </w:r>
    </w:p>
    <w:p w14:paraId="7F90AF7F">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合同履行期限：</w:t>
      </w:r>
      <w:r>
        <w:rPr>
          <w:rFonts w:hint="eastAsia" w:asciiTheme="minorEastAsia" w:hAnsiTheme="minorEastAsia" w:eastAsiaTheme="minorEastAsia"/>
          <w:color w:val="auto"/>
          <w:sz w:val="24"/>
          <w:highlight w:val="none"/>
          <w:u w:val="single"/>
          <w:lang w:eastAsia="zh-CN"/>
        </w:rPr>
        <w:t>自合同签订后90个日历天内完成供货并将货物运送至采购人指定地点。</w:t>
      </w:r>
    </w:p>
    <w:p w14:paraId="3C0997BF">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本项目不接受联合体投标。</w:t>
      </w:r>
    </w:p>
    <w:p w14:paraId="551A3B09">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二、申请人的资格要求</w:t>
      </w:r>
    </w:p>
    <w:p w14:paraId="586427DA">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1.满足《中华人民共和国政府采购法》第二十二条规定；</w:t>
      </w:r>
    </w:p>
    <w:p w14:paraId="3BF0A4AB">
      <w:pPr>
        <w:spacing w:line="420" w:lineRule="exact"/>
        <w:ind w:firstLine="435"/>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lang w:val="en-US" w:eastAsia="zh-CN" w:bidi="ar"/>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3436289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3.本项目的特定资格要求：/；</w:t>
      </w:r>
    </w:p>
    <w:p w14:paraId="0145706F">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4.信誉要求：投标人不得存在以下情形：</w:t>
      </w:r>
    </w:p>
    <w:p w14:paraId="1D48C9B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①被列入“信用中国”网站（www.creditchina.gov.cn）“失信被执行人”的；</w:t>
      </w:r>
    </w:p>
    <w:p w14:paraId="4271151E">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②被列入“信用中国”网站（www.creditchina.gov.cn）“重大税收违法失信主体”的；</w:t>
      </w:r>
    </w:p>
    <w:p w14:paraId="30E6B450">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③被列入“信用中国”网站（www.creditchina.gov.cn） “安全生产严重失信主体名单”的；</w:t>
      </w:r>
    </w:p>
    <w:p w14:paraId="09144C1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④被列入国家企业信用信息公示系统网站（</w:t>
      </w:r>
      <w:r>
        <w:rPr>
          <w:rFonts w:hint="eastAsia" w:ascii="宋体" w:hAnsi="宋体" w:eastAsia="宋体" w:cs="宋体"/>
          <w:color w:val="auto"/>
          <w:kern w:val="2"/>
          <w:sz w:val="24"/>
          <w:szCs w:val="24"/>
          <w:highlight w:val="none"/>
          <w:lang w:val="en-US" w:eastAsia="zh-CN" w:bidi="ar"/>
        </w:rPr>
        <w:fldChar w:fldCharType="begin"/>
      </w:r>
      <w:r>
        <w:rPr>
          <w:rFonts w:hint="eastAsia" w:ascii="宋体" w:hAnsi="宋体" w:eastAsia="宋体" w:cs="宋体"/>
          <w:color w:val="auto"/>
          <w:kern w:val="2"/>
          <w:sz w:val="24"/>
          <w:szCs w:val="24"/>
          <w:highlight w:val="none"/>
          <w:lang w:val="en-US" w:eastAsia="zh-CN" w:bidi="ar"/>
        </w:rPr>
        <w:instrText xml:space="preserve"> HYPERLINK "http://www.gsxt.gov.cn）查询" </w:instrText>
      </w:r>
      <w:r>
        <w:rPr>
          <w:rFonts w:hint="eastAsia" w:ascii="宋体" w:hAnsi="宋体" w:eastAsia="宋体" w:cs="宋体"/>
          <w:color w:val="auto"/>
          <w:kern w:val="2"/>
          <w:sz w:val="24"/>
          <w:szCs w:val="24"/>
          <w:highlight w:val="none"/>
          <w:lang w:val="en-US" w:eastAsia="zh-CN" w:bidi="ar"/>
        </w:rPr>
        <w:fldChar w:fldCharType="separate"/>
      </w:r>
      <w:r>
        <w:rPr>
          <w:rFonts w:hint="eastAsia" w:ascii="宋体" w:hAnsi="宋体" w:eastAsia="宋体" w:cs="宋体"/>
          <w:color w:val="auto"/>
          <w:kern w:val="2"/>
          <w:sz w:val="24"/>
          <w:szCs w:val="24"/>
          <w:highlight w:val="none"/>
          <w:lang w:val="en-US" w:eastAsia="zh-CN" w:bidi="ar"/>
        </w:rPr>
        <w:t>www.gsxt.gov.cn）</w:t>
      </w:r>
      <w:r>
        <w:rPr>
          <w:rFonts w:hint="eastAsia" w:ascii="宋体" w:hAnsi="宋体" w:eastAsia="宋体" w:cs="宋体"/>
          <w:color w:val="auto"/>
          <w:kern w:val="2"/>
          <w:sz w:val="24"/>
          <w:szCs w:val="24"/>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“严重违法失信名单”的。</w:t>
      </w:r>
    </w:p>
    <w:p w14:paraId="60E6C11C">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⑤被列入中国政府采购网站“政府采购严重违法失信行为信息记录”的。</w:t>
      </w:r>
    </w:p>
    <w:p w14:paraId="459A0B56">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5.投标人所属分公司、办事处等分支机构存在第4款信誉要求①-⑤项情形之一的，接受其投标人参加本项目。</w:t>
      </w:r>
    </w:p>
    <w:p w14:paraId="258DD76A">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三、获取招标文件</w:t>
      </w:r>
    </w:p>
    <w:p w14:paraId="0762409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时间：</w:t>
      </w:r>
      <w:r>
        <w:rPr>
          <w:rFonts w:hint="eastAsia" w:ascii="宋体" w:hAnsi="宋体" w:eastAsia="宋体" w:cs="宋体"/>
          <w:color w:val="auto"/>
          <w:kern w:val="2"/>
          <w:sz w:val="24"/>
          <w:szCs w:val="24"/>
          <w:highlight w:val="none"/>
          <w:u w:val="single"/>
          <w:lang w:val="en-US" w:eastAsia="zh-CN" w:bidi="ar"/>
        </w:rPr>
        <w:t>2026年8月28日</w:t>
      </w:r>
      <w:r>
        <w:rPr>
          <w:rFonts w:hint="eastAsia" w:ascii="宋体" w:hAnsi="宋体" w:eastAsia="宋体" w:cs="宋体"/>
          <w:color w:val="auto"/>
          <w:kern w:val="2"/>
          <w:sz w:val="24"/>
          <w:szCs w:val="24"/>
          <w:highlight w:val="none"/>
          <w:lang w:val="en-US" w:eastAsia="zh-CN" w:bidi="ar"/>
        </w:rPr>
        <w:t>至</w:t>
      </w:r>
      <w:r>
        <w:rPr>
          <w:rFonts w:hint="eastAsia" w:ascii="宋体" w:hAnsi="宋体" w:eastAsia="宋体" w:cs="宋体"/>
          <w:color w:val="auto"/>
          <w:kern w:val="2"/>
          <w:sz w:val="24"/>
          <w:szCs w:val="24"/>
          <w:highlight w:val="none"/>
          <w:u w:val="single"/>
          <w:lang w:val="en-US" w:eastAsia="zh-CN" w:bidi="ar"/>
        </w:rPr>
        <w:t>2026年9月17日（提供期限自本公告发布之日起不得少于5个工作日）</w:t>
      </w:r>
    </w:p>
    <w:p w14:paraId="1DD794F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地点：滁州市公共资源交易中心网</w:t>
      </w:r>
    </w:p>
    <w:p w14:paraId="5B49CD5B">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方式：网上下载</w:t>
      </w:r>
    </w:p>
    <w:p w14:paraId="110C2B8F">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售价：0元</w:t>
      </w:r>
    </w:p>
    <w:p w14:paraId="6312651C">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四、提交投标文件截止时间、开标时间和地点</w:t>
      </w:r>
    </w:p>
    <w:p w14:paraId="2CBE77A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
        </w:rPr>
        <w:t>2026年9月17日8点30分</w:t>
      </w:r>
      <w:r>
        <w:rPr>
          <w:rFonts w:hint="eastAsia" w:ascii="宋体" w:hAnsi="宋体" w:eastAsia="宋体" w:cs="宋体"/>
          <w:color w:val="auto"/>
          <w:kern w:val="0"/>
          <w:sz w:val="24"/>
          <w:szCs w:val="24"/>
          <w:highlight w:val="none"/>
          <w:lang w:val="en-US" w:eastAsia="zh-CN" w:bidi="ar"/>
        </w:rPr>
        <w:t>（北京时间）（自招标文件开始发出之日起至投标人提交投标文件截止之日止，不得少于20日）</w:t>
      </w:r>
    </w:p>
    <w:p w14:paraId="25F93D9D">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地点：</w:t>
      </w:r>
      <w:r>
        <w:rPr>
          <w:rFonts w:hint="eastAsia" w:ascii="宋体" w:hAnsi="宋体" w:eastAsia="宋体" w:cs="宋体"/>
          <w:color w:val="auto"/>
          <w:kern w:val="2"/>
          <w:sz w:val="24"/>
          <w:szCs w:val="24"/>
          <w:highlight w:val="none"/>
          <w:lang w:val="en-US" w:eastAsia="zh-CN" w:bidi="ar"/>
        </w:rPr>
        <w:t>滁州市公共资源交易平台电子交易系统</w:t>
      </w:r>
    </w:p>
    <w:p w14:paraId="1AC60A91">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五、公告期限</w:t>
      </w:r>
    </w:p>
    <w:p w14:paraId="3288B3F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自本公告发布之日起5个工作日。</w:t>
      </w:r>
    </w:p>
    <w:p w14:paraId="3AF9E23F">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六、其他补充事宜</w:t>
      </w:r>
    </w:p>
    <w:p w14:paraId="27C2CD8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w:t>
      </w:r>
      <w:r>
        <w:rPr>
          <w:rFonts w:hint="eastAsia" w:ascii="宋体" w:hAnsi="宋体" w:eastAsia="宋体"/>
          <w:color w:val="auto"/>
          <w:sz w:val="24"/>
          <w:szCs w:val="24"/>
          <w:highlight w:val="none"/>
        </w:rPr>
        <w:t>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w:t>
      </w:r>
      <w:r>
        <w:rPr>
          <w:rFonts w:hint="eastAsia" w:ascii="宋体" w:hAnsi="宋体" w:eastAsia="宋体" w:cs="宋体"/>
          <w:color w:val="auto"/>
          <w:kern w:val="2"/>
          <w:sz w:val="24"/>
          <w:szCs w:val="24"/>
          <w:highlight w:val="none"/>
          <w:lang w:val="en-US" w:eastAsia="zh-CN" w:bidi="ar"/>
        </w:rPr>
        <w:t>。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10468F2A">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2.请投标人登录滁州市公共资源交易中心网站查看参加本项目的程序。（具体操作步骤和程序请参见服务指南&gt;交易须知&gt;投标人填写投标信息、下载文件及网上提问操作手册）。</w:t>
      </w:r>
    </w:p>
    <w:p w14:paraId="741002C3">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本项目采用不见面开标（远程解密)方式，开标时投标人无须至开标现场进行解密，开标采取远程解密方式解密投标文件，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76754EF3">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p w14:paraId="021A5378">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七、对本次招标提出询问，请按以下方式联系</w:t>
      </w:r>
    </w:p>
    <w:p w14:paraId="3C23B3DA">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1.采购人信息</w:t>
      </w:r>
    </w:p>
    <w:p w14:paraId="40575914">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滁州经济技术开发区管理委员会</w:t>
      </w:r>
    </w:p>
    <w:p w14:paraId="7185B6F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  址：滁州市中都大道2887号（滁州原创科技城）</w:t>
      </w:r>
    </w:p>
    <w:p w14:paraId="07A18689">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bookmarkStart w:id="70" w:name="_GoBack"/>
      <w:r>
        <w:rPr>
          <w:rFonts w:hint="eastAsia" w:ascii="宋体" w:hAnsi="宋体" w:eastAsia="宋体"/>
          <w:color w:val="auto"/>
          <w:sz w:val="24"/>
          <w:szCs w:val="18"/>
          <w:highlight w:val="none"/>
          <w:u w:val="none"/>
          <w:lang w:val="en-US" w:eastAsia="zh-CN"/>
        </w:rPr>
        <w:t>李庆延</w:t>
      </w:r>
      <w:bookmarkEnd w:id="70"/>
    </w:p>
    <w:p w14:paraId="0F78813E">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联系方式：19855530806</w:t>
      </w:r>
    </w:p>
    <w:p w14:paraId="0E26A2D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2.采购代理机构信息</w:t>
      </w:r>
    </w:p>
    <w:p w14:paraId="4ED9ABD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滁州市城投工程咨询管理有限公司</w:t>
      </w:r>
    </w:p>
    <w:p w14:paraId="4C23F12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滁州市龙蟠大道109号房产大厦6楼</w:t>
      </w:r>
    </w:p>
    <w:p w14:paraId="6B95041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联系人：周蓓蕾</w:t>
      </w:r>
    </w:p>
    <w:p w14:paraId="10B1A1A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联系方式：0550-3519519、18005505728</w:t>
      </w:r>
    </w:p>
    <w:p w14:paraId="5B5BE9B9">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3.政府采购监督管理部门信息</w:t>
      </w:r>
    </w:p>
    <w:p w14:paraId="10FA0F2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称：滁州市公共资源交易监督管理局</w:t>
      </w:r>
    </w:p>
    <w:p w14:paraId="5C05816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地  址：滁州市龙蟠大道109号房产大厦三楼</w:t>
      </w:r>
    </w:p>
    <w:p w14:paraId="6E206BB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联系方式：0550-3801631</w:t>
      </w:r>
    </w:p>
    <w:p w14:paraId="608B9C38">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18C57B5">
      <w:pPr>
        <w:spacing w:line="360" w:lineRule="auto"/>
        <w:jc w:val="center"/>
        <w:outlineLvl w:val="0"/>
        <w:rPr>
          <w:rFonts w:asciiTheme="minorEastAsia" w:hAnsiTheme="minorEastAsia" w:eastAsiaTheme="minorEastAsia"/>
          <w:b/>
          <w:color w:val="auto"/>
          <w:sz w:val="28"/>
          <w:highlight w:val="none"/>
        </w:rPr>
      </w:pPr>
      <w:bookmarkStart w:id="2"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
    </w:p>
    <w:p w14:paraId="64B6FEA3">
      <w:pPr>
        <w:spacing w:line="360" w:lineRule="auto"/>
        <w:jc w:val="center"/>
        <w:outlineLvl w:val="1"/>
        <w:rPr>
          <w:rFonts w:asciiTheme="minorEastAsia" w:hAnsiTheme="minorEastAsia" w:eastAsiaTheme="minorEastAsia"/>
          <w:b/>
          <w:color w:val="auto"/>
          <w:sz w:val="24"/>
          <w:highlight w:val="none"/>
        </w:rPr>
      </w:pPr>
      <w:bookmarkStart w:id="3" w:name="_Toc7178"/>
      <w:bookmarkStart w:id="4"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
      <w:bookmarkEnd w:id="4"/>
    </w:p>
    <w:p w14:paraId="5A5844A2">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2200"/>
        <w:gridCol w:w="5790"/>
      </w:tblGrid>
      <w:tr w14:paraId="206C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3FFB39D">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00" w:type="dxa"/>
            <w:vAlign w:val="center"/>
          </w:tcPr>
          <w:p w14:paraId="19D6320A">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790" w:type="dxa"/>
            <w:vAlign w:val="center"/>
          </w:tcPr>
          <w:p w14:paraId="2FB4E373">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0161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3A284C04">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00" w:type="dxa"/>
            <w:vAlign w:val="center"/>
          </w:tcPr>
          <w:p w14:paraId="3CADCFC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5790" w:type="dxa"/>
            <w:vAlign w:val="center"/>
          </w:tcPr>
          <w:p w14:paraId="563595D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37440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7960F10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34DA7AD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5CB1D1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902269E">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0B45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6857429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00" w:type="dxa"/>
            <w:vAlign w:val="center"/>
          </w:tcPr>
          <w:p w14:paraId="2E09E2E1">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790" w:type="dxa"/>
            <w:vAlign w:val="center"/>
          </w:tcPr>
          <w:p w14:paraId="2BDEABA3">
            <w:pPr>
              <w:pStyle w:val="46"/>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 xml:space="preserve"> 4 </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2406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CA98F3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2200" w:type="dxa"/>
            <w:vAlign w:val="center"/>
          </w:tcPr>
          <w:p w14:paraId="642259BA">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790" w:type="dxa"/>
            <w:vAlign w:val="center"/>
          </w:tcPr>
          <w:p w14:paraId="57806FB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lang w:val="en-US" w:eastAsia="zh-CN"/>
              </w:rPr>
              <w:t>/</w:t>
            </w:r>
            <w:r>
              <w:rPr>
                <w:rFonts w:ascii="宋体" w:hAnsi="宋体" w:eastAsia="宋体"/>
                <w:b w:val="0"/>
                <w:color w:val="auto"/>
                <w:sz w:val="24"/>
                <w:highlight w:val="none"/>
              </w:rPr>
              <w:t>个包</w:t>
            </w:r>
          </w:p>
          <w:p w14:paraId="50013DED">
            <w:pPr>
              <w:pStyle w:val="46"/>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lang w:val="en-US" w:eastAsia="zh-CN"/>
              </w:rPr>
              <w:t>/</w:t>
            </w:r>
            <w:r>
              <w:rPr>
                <w:rFonts w:ascii="宋体" w:hAnsi="宋体" w:eastAsia="宋体"/>
                <w:b w:val="0"/>
                <w:bCs w:val="0"/>
                <w:color w:val="auto"/>
                <w:sz w:val="24"/>
                <w:szCs w:val="18"/>
                <w:highlight w:val="none"/>
                <w:u w:val="single"/>
              </w:rPr>
              <w:t xml:space="preserve">    </w:t>
            </w:r>
          </w:p>
        </w:tc>
      </w:tr>
      <w:tr w14:paraId="0B35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190" w:type="dxa"/>
            <w:vAlign w:val="center"/>
          </w:tcPr>
          <w:p w14:paraId="1BC6519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2200" w:type="dxa"/>
            <w:vAlign w:val="center"/>
          </w:tcPr>
          <w:p w14:paraId="64AAE37F">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790" w:type="dxa"/>
            <w:vAlign w:val="center"/>
          </w:tcPr>
          <w:p w14:paraId="57AD57EE">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5E46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38D7960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2200" w:type="dxa"/>
            <w:vAlign w:val="center"/>
          </w:tcPr>
          <w:p w14:paraId="34FB6B39">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790" w:type="dxa"/>
            <w:vAlign w:val="center"/>
          </w:tcPr>
          <w:p w14:paraId="22923C7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0720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10F53FD6">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00" w:type="dxa"/>
            <w:vAlign w:val="center"/>
          </w:tcPr>
          <w:p w14:paraId="046797D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790" w:type="dxa"/>
            <w:vAlign w:val="center"/>
          </w:tcPr>
          <w:p w14:paraId="6534AF36">
            <w:pPr>
              <w:pStyle w:val="46"/>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p>
        </w:tc>
      </w:tr>
      <w:tr w14:paraId="0822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3C7159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2200" w:type="dxa"/>
            <w:vAlign w:val="center"/>
          </w:tcPr>
          <w:p w14:paraId="7D28A45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790" w:type="dxa"/>
            <w:vAlign w:val="center"/>
          </w:tcPr>
          <w:p w14:paraId="3C4B75AB">
            <w:pPr>
              <w:pStyle w:val="46"/>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DB5A2AF">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73C6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0F8742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2200" w:type="dxa"/>
            <w:vAlign w:val="center"/>
          </w:tcPr>
          <w:p w14:paraId="2728DC4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790" w:type="dxa"/>
            <w:vAlign w:val="center"/>
          </w:tcPr>
          <w:p w14:paraId="796A6D72">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6B920CC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58C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2B32D6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200" w:type="dxa"/>
            <w:vAlign w:val="center"/>
          </w:tcPr>
          <w:p w14:paraId="26B7C63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03357504">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790" w:type="dxa"/>
            <w:vAlign w:val="center"/>
          </w:tcPr>
          <w:p w14:paraId="60A2C2D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29A251D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C42510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1C011A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6D8807C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84C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194BFD1">
            <w:pPr>
              <w:pStyle w:val="4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00" w:type="dxa"/>
            <w:vAlign w:val="center"/>
          </w:tcPr>
          <w:p w14:paraId="6AC3A95A">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5790" w:type="dxa"/>
            <w:vAlign w:val="center"/>
          </w:tcPr>
          <w:p w14:paraId="3D5FE86C">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2C9792C9">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6988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D9866D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200" w:type="dxa"/>
            <w:vAlign w:val="center"/>
          </w:tcPr>
          <w:p w14:paraId="7A6A9C2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790" w:type="dxa"/>
            <w:vAlign w:val="center"/>
          </w:tcPr>
          <w:p w14:paraId="6BA42793">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评标委员会推荐3名中标候选人</w:t>
            </w:r>
          </w:p>
        </w:tc>
      </w:tr>
      <w:tr w14:paraId="4FFE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6250783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00" w:type="dxa"/>
            <w:vAlign w:val="center"/>
          </w:tcPr>
          <w:p w14:paraId="04CE1A1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790" w:type="dxa"/>
            <w:vAlign w:val="center"/>
          </w:tcPr>
          <w:p w14:paraId="1FBA94E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1322090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1F0B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26CCC6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2200" w:type="dxa"/>
            <w:vAlign w:val="center"/>
          </w:tcPr>
          <w:p w14:paraId="67ACE47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5790" w:type="dxa"/>
            <w:vAlign w:val="center"/>
          </w:tcPr>
          <w:p w14:paraId="67BA1716">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4FC94525">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4BF0BC1E">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color w:val="auto"/>
                <w:sz w:val="24"/>
                <w:highlight w:val="none"/>
                <w:u w:val="none"/>
                <w:lang w:eastAsia="zh-CN"/>
              </w:rPr>
              <w:t>；</w:t>
            </w:r>
          </w:p>
          <w:p w14:paraId="5F721D45">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667A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5BC2906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2200" w:type="dxa"/>
            <w:vAlign w:val="center"/>
          </w:tcPr>
          <w:p w14:paraId="5ED11DE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790" w:type="dxa"/>
            <w:vAlign w:val="center"/>
          </w:tcPr>
          <w:p w14:paraId="4704AC17">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34A1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0830B97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00" w:type="dxa"/>
            <w:vAlign w:val="center"/>
          </w:tcPr>
          <w:p w14:paraId="4FB8E2D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790" w:type="dxa"/>
            <w:vAlign w:val="center"/>
          </w:tcPr>
          <w:p w14:paraId="16BC936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04779B34">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0406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190" w:type="dxa"/>
            <w:vAlign w:val="center"/>
          </w:tcPr>
          <w:p w14:paraId="5633F95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00" w:type="dxa"/>
            <w:vAlign w:val="center"/>
          </w:tcPr>
          <w:p w14:paraId="356326F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790" w:type="dxa"/>
          </w:tcPr>
          <w:p w14:paraId="1187F2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780AC8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4BC1F21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rPr>
              <w:t>%</w:t>
            </w:r>
          </w:p>
          <w:p w14:paraId="7AE1E4C1">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3310F62A">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A039F8D">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6B08E5BC">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rPr>
              <w:t xml:space="preserve">              </w:t>
            </w:r>
          </w:p>
          <w:p w14:paraId="62D1FDBC">
            <w:pPr>
              <w:spacing w:line="360" w:lineRule="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lang w:val="en-US" w:eastAsia="zh-CN"/>
              </w:rPr>
              <w:t>另行通知</w:t>
            </w:r>
          </w:p>
          <w:p w14:paraId="645E5737">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lang w:val="en-US" w:eastAsia="zh-CN"/>
              </w:rPr>
              <w:t>缴纳</w:t>
            </w:r>
            <w:r>
              <w:rPr>
                <w:rFonts w:hint="eastAsia" w:ascii="宋体" w:hAnsi="宋体" w:eastAsia="宋体"/>
                <w:color w:val="auto"/>
                <w:sz w:val="24"/>
                <w:highlight w:val="none"/>
              </w:rPr>
              <w:t>时间：</w:t>
            </w:r>
            <w:r>
              <w:rPr>
                <w:rFonts w:hint="eastAsia" w:ascii="宋体" w:hAnsi="宋体" w:eastAsia="宋体"/>
                <w:color w:val="auto"/>
                <w:sz w:val="24"/>
                <w:highlight w:val="none"/>
                <w:u w:val="single"/>
                <w:lang w:val="en-US" w:eastAsia="zh-CN"/>
              </w:rPr>
              <w:t>合同签订前</w:t>
            </w:r>
            <w:r>
              <w:rPr>
                <w:rFonts w:hint="eastAsia" w:ascii="宋体" w:hAnsi="宋体" w:eastAsia="宋体"/>
                <w:color w:val="auto"/>
                <w:sz w:val="24"/>
                <w:highlight w:val="none"/>
                <w:u w:val="single"/>
                <w:lang w:eastAsia="zh-CN"/>
              </w:rPr>
              <w:t>。</w:t>
            </w:r>
          </w:p>
          <w:p w14:paraId="35B46219">
            <w:pPr>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6</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olor w:val="auto"/>
                <w:sz w:val="24"/>
                <w:highlight w:val="none"/>
                <w:u w:val="single"/>
              </w:rPr>
              <w:t>验收合格，一次性退还</w:t>
            </w:r>
            <w:r>
              <w:rPr>
                <w:rFonts w:hint="eastAsia" w:ascii="宋体" w:hAnsi="宋体" w:eastAsia="宋体"/>
                <w:color w:val="auto"/>
                <w:sz w:val="24"/>
                <w:highlight w:val="none"/>
                <w:u w:val="single"/>
                <w:lang w:eastAsia="zh-CN"/>
              </w:rPr>
              <w:t>。</w:t>
            </w:r>
          </w:p>
          <w:p w14:paraId="193E7DA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3C2389BC">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A2180F0">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39D7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190" w:type="dxa"/>
            <w:vAlign w:val="center"/>
          </w:tcPr>
          <w:p w14:paraId="431E17A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2200" w:type="dxa"/>
            <w:vAlign w:val="center"/>
          </w:tcPr>
          <w:p w14:paraId="798DBA6D">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5790" w:type="dxa"/>
          </w:tcPr>
          <w:p w14:paraId="1FA5F7B6">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79A6DAD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78D4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04B4D262">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2200" w:type="dxa"/>
            <w:vAlign w:val="center"/>
          </w:tcPr>
          <w:p w14:paraId="29489B32">
            <w:pPr>
              <w:pStyle w:val="46"/>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5790" w:type="dxa"/>
            <w:vAlign w:val="center"/>
          </w:tcPr>
          <w:p w14:paraId="4C58EA5D">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22E359D9">
            <w:pPr>
              <w:spacing w:before="24" w:line="360" w:lineRule="auto"/>
              <w:rPr>
                <w:rFonts w:hint="eastAsia"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w:t>
            </w:r>
            <w:r>
              <w:rPr>
                <w:rFonts w:hint="eastAsia" w:ascii="宋体" w:hAnsi="宋体" w:eastAsia="宋体" w:cs="宋体"/>
                <w:color w:val="auto"/>
                <w:sz w:val="24"/>
                <w:szCs w:val="24"/>
                <w:highlight w:val="none"/>
                <w:u w:val="single"/>
                <w:lang w:val="en-US" w:eastAsia="zh-CN"/>
              </w:rPr>
              <w:t>中标</w:t>
            </w:r>
            <w:r>
              <w:rPr>
                <w:rFonts w:hint="eastAsia" w:ascii="宋体" w:hAnsi="宋体" w:eastAsia="宋体" w:cs="宋体"/>
                <w:color w:val="auto"/>
                <w:sz w:val="24"/>
                <w:szCs w:val="24"/>
                <w:highlight w:val="none"/>
                <w:u w:val="single"/>
              </w:rPr>
              <w:t>通知书时一次性支付给代理机构。</w:t>
            </w:r>
          </w:p>
          <w:p w14:paraId="095F456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color w:val="auto"/>
                <w:sz w:val="24"/>
                <w:szCs w:val="24"/>
                <w:highlight w:val="none"/>
                <w:u w:val="single"/>
                <w:lang w:val="en-US" w:eastAsia="zh-CN"/>
              </w:rPr>
              <w:t>16300元，参考国家计委〔2002〕1980号文件规定的收费标准的50%</w:t>
            </w:r>
            <w:r>
              <w:rPr>
                <w:rFonts w:hint="eastAsia" w:ascii="宋体" w:hAnsi="宋体" w:eastAsia="宋体" w:cs="宋体"/>
                <w:b w:val="0"/>
                <w:color w:val="auto"/>
                <w:sz w:val="24"/>
                <w:szCs w:val="24"/>
                <w:highlight w:val="none"/>
                <w:u w:val="single"/>
              </w:rPr>
              <w:t>，以最高限价计算</w:t>
            </w:r>
            <w:r>
              <w:rPr>
                <w:rFonts w:hint="eastAsia" w:ascii="宋体" w:hAnsi="宋体" w:eastAsia="宋体" w:cs="宋体"/>
                <w:b w:val="0"/>
                <w:bCs w:val="0"/>
                <w:color w:val="auto"/>
                <w:kern w:val="2"/>
                <w:sz w:val="24"/>
                <w:szCs w:val="24"/>
                <w:highlight w:val="none"/>
                <w:u w:val="single"/>
                <w:lang w:eastAsia="zh-CN"/>
              </w:rPr>
              <w:t>。</w:t>
            </w:r>
          </w:p>
        </w:tc>
      </w:tr>
      <w:tr w14:paraId="03E6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729FFCA">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00" w:type="dxa"/>
            <w:vAlign w:val="center"/>
          </w:tcPr>
          <w:p w14:paraId="66F7A88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790" w:type="dxa"/>
            <w:vAlign w:val="center"/>
          </w:tcPr>
          <w:p w14:paraId="5BEFCF39">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供应商</w:t>
            </w:r>
            <w:r>
              <w:rPr>
                <w:rFonts w:hint="eastAsia" w:ascii="宋体" w:hAnsi="宋体" w:eastAsia="宋体"/>
                <w:b w:val="0"/>
                <w:color w:val="auto"/>
                <w:sz w:val="24"/>
                <w:highlight w:val="none"/>
                <w:u w:val="single"/>
                <w:lang w:val="en-US" w:eastAsia="zh-CN"/>
              </w:rPr>
              <w:t>可</w:t>
            </w:r>
            <w:r>
              <w:rPr>
                <w:rFonts w:hint="eastAsia" w:ascii="宋体" w:hAnsi="宋体" w:eastAsia="宋体"/>
                <w:b w:val="0"/>
                <w:color w:val="auto"/>
                <w:sz w:val="24"/>
                <w:highlight w:val="none"/>
                <w:u w:val="single"/>
              </w:rPr>
              <w:t>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711AA64D">
            <w:pPr>
              <w:pStyle w:val="46"/>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b w:val="0"/>
                <w:color w:val="auto"/>
                <w:sz w:val="24"/>
                <w:highlight w:val="none"/>
              </w:rPr>
              <w:t>接收部门：</w:t>
            </w:r>
            <w:r>
              <w:rPr>
                <w:rFonts w:hint="eastAsia" w:ascii="宋体" w:hAnsi="宋体" w:eastAsia="宋体" w:cs="宋体"/>
                <w:b w:val="0"/>
                <w:bCs w:val="0"/>
                <w:color w:val="auto"/>
                <w:sz w:val="24"/>
                <w:szCs w:val="24"/>
                <w:highlight w:val="none"/>
                <w:u w:val="single"/>
                <w:lang w:val="en-US" w:eastAsia="zh-CN"/>
              </w:rPr>
              <w:t>滁州经济技术开发区管理委员会、滁州市城投工程咨询管理有限公司</w:t>
            </w:r>
          </w:p>
          <w:p w14:paraId="6EB04F95">
            <w:pPr>
              <w:pStyle w:val="46"/>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s="宋体"/>
                <w:b w:val="0"/>
                <w:bCs/>
                <w:color w:val="auto"/>
                <w:kern w:val="0"/>
                <w:sz w:val="24"/>
                <w:szCs w:val="24"/>
                <w:highlight w:val="none"/>
                <w:u w:val="single"/>
                <w:lang w:val="en-US" w:eastAsia="zh-CN"/>
              </w:rPr>
              <w:t>19855530806、0550-3519519</w:t>
            </w:r>
          </w:p>
          <w:p w14:paraId="358D91F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cs="宋体"/>
                <w:b w:val="0"/>
                <w:bCs/>
                <w:color w:val="auto"/>
                <w:kern w:val="0"/>
                <w:sz w:val="24"/>
                <w:szCs w:val="24"/>
                <w:highlight w:val="none"/>
                <w:u w:val="single"/>
                <w:lang w:eastAsia="zh-CN"/>
              </w:rPr>
              <w:t>滁州市龙蟠大道111号、滁州市龙蟠大道109号房产大厦6楼。</w:t>
            </w:r>
          </w:p>
        </w:tc>
      </w:tr>
      <w:tr w14:paraId="3392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C116B32">
            <w:pPr>
              <w:pStyle w:val="47"/>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2200" w:type="dxa"/>
            <w:vAlign w:val="center"/>
          </w:tcPr>
          <w:p w14:paraId="33374D73">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5790" w:type="dxa"/>
            <w:vAlign w:val="center"/>
          </w:tcPr>
          <w:p w14:paraId="5A7B2588">
            <w:pPr>
              <w:pStyle w:val="46"/>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950355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3DCA95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27104D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B6EF408">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56B19B9D">
            <w:pPr>
              <w:pStyle w:val="46"/>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645C083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32D8C7AD">
            <w:pPr>
              <w:pStyle w:val="46"/>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4CCE010">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4、部分可提供线下政采贷的金融机构</w:t>
            </w:r>
          </w:p>
          <w:p w14:paraId="6A000BF3">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市本级</w:t>
            </w:r>
          </w:p>
          <w:p w14:paraId="38C06EC0">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金融机构名称：兴业银行滁州分行</w:t>
            </w:r>
          </w:p>
          <w:p w14:paraId="57D1C964">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安徽省滁州市琅琊区丰乐大道1090号</w:t>
            </w:r>
          </w:p>
          <w:p w14:paraId="22C343B7">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俞冉：18256950224</w:t>
            </w:r>
          </w:p>
          <w:p w14:paraId="5C52AA10">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5</w:t>
            </w:r>
            <w:r>
              <w:rPr>
                <w:rFonts w:hint="eastAsia" w:ascii="宋体" w:hAnsi="宋体" w:eastAsia="宋体" w:cs="宋体"/>
                <w:b w:val="0"/>
                <w:color w:val="auto"/>
                <w:kern w:val="2"/>
                <w:sz w:val="24"/>
                <w:szCs w:val="24"/>
                <w:highlight w:val="none"/>
              </w:rPr>
              <w:t>、特别提示：</w:t>
            </w:r>
          </w:p>
          <w:p w14:paraId="1C81F2D1">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1834C6AE">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3F58681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r>
              <w:rPr>
                <w:rFonts w:hint="eastAsia" w:ascii="宋体" w:hAnsi="宋体" w:eastAsia="宋体" w:cs="宋体"/>
                <w:b w:val="0"/>
                <w:color w:val="auto"/>
                <w:kern w:val="2"/>
                <w:sz w:val="24"/>
                <w:szCs w:val="24"/>
                <w:highlight w:val="none"/>
                <w:lang w:eastAsia="zh-CN"/>
              </w:rPr>
              <w:t>。</w:t>
            </w:r>
          </w:p>
          <w:p w14:paraId="6ACBEBB2">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A9835C8">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2D9FCBFD">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3120C32D">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5EDF56C">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0860D574">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1C5EAE69">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1EEAE4F3">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5B74943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6</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评标过程中的澄清、说明或补正：</w:t>
            </w:r>
          </w:p>
          <w:p w14:paraId="1265C4B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52DF9E9F">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685AE56E">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7</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同义词语：</w:t>
            </w:r>
          </w:p>
          <w:p w14:paraId="619283F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  投标文件格式、附件1“关于联合惩戒失信行为 加强信用查询管理的通知”等章节中 “招标人”、“供应商”，等同于“采购人”、“投标人”。</w:t>
            </w:r>
          </w:p>
          <w:p w14:paraId="6A890178">
            <w:pPr>
              <w:pStyle w:val="46"/>
              <w:widowControl w:val="0"/>
              <w:numPr>
                <w:ilvl w:val="0"/>
                <w:numId w:val="2"/>
              </w:numPr>
              <w:spacing w:before="0" w:beforeAutospacing="0" w:after="0" w:afterAutospacing="0" w:line="360" w:lineRule="auto"/>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落实政府采购支持节能产品、环境标志产品政策。</w:t>
            </w:r>
          </w:p>
          <w:p w14:paraId="64177FC7">
            <w:pPr>
              <w:pStyle w:val="46"/>
              <w:widowControl w:val="0"/>
              <w:numPr>
                <w:ilvl w:val="0"/>
                <w:numId w:val="2"/>
              </w:numPr>
              <w:spacing w:before="0" w:beforeAutospacing="0" w:after="0" w:afterAutospacing="0" w:line="360" w:lineRule="auto"/>
              <w:jc w:val="both"/>
              <w:rPr>
                <w:rFonts w:hint="default" w:ascii="宋体" w:hAnsi="宋体" w:eastAsia="宋体" w:cs="宋体"/>
                <w:b w:val="0"/>
                <w:color w:val="auto"/>
                <w:kern w:val="2"/>
                <w:sz w:val="24"/>
                <w:szCs w:val="24"/>
                <w:highlight w:val="none"/>
                <w:lang w:val="en-US" w:eastAsia="zh-CN"/>
              </w:rPr>
            </w:pP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65907217">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 w:name="_Toc24882"/>
      <w:bookmarkStart w:id="6"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5"/>
      <w:bookmarkEnd w:id="6"/>
    </w:p>
    <w:p w14:paraId="4B70FAC4">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35FE1A8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5C75BB3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0DEC814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351E4A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4D51AC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0199B7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4D5BC3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783A18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21813C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4CBB9E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2E9E1CB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78C176F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1F5156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5903D81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73A451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050806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4A936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516EB354">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3A13F4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74F48D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36ECFFC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27E1F18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FD3C8A9">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3CEF2FD1">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4388D53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69B308B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AD863F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4210A5F7">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B8041DE">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168A7DF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3BAEFF8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47A74B1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AA398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50AF67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2386F3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C9952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50C4523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101781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AB185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71D42D9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9372C1B">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6A55596F">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2A5430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2C301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86C6F2F">
      <w:pPr>
        <w:spacing w:line="360" w:lineRule="auto"/>
        <w:ind w:firstLine="435"/>
        <w:rPr>
          <w:rFonts w:asciiTheme="minorEastAsia" w:hAnsiTheme="minorEastAsia" w:eastAsiaTheme="minorEastAsia"/>
          <w:color w:val="auto"/>
          <w:sz w:val="24"/>
          <w:highlight w:val="none"/>
        </w:rPr>
      </w:pPr>
      <w:bookmarkStart w:id="7"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7"/>
    <w:p w14:paraId="0763D6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5874E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B82D16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589888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9CD2ED0">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8" w:name="_Hlk11703583"/>
      <w:r>
        <w:rPr>
          <w:rFonts w:hint="eastAsia" w:asciiTheme="minorEastAsia" w:hAnsiTheme="minorEastAsia" w:eastAsiaTheme="minorEastAsia"/>
          <w:color w:val="auto"/>
          <w:sz w:val="24"/>
          <w:highlight w:val="none"/>
          <w:lang w:val="en-US" w:eastAsia="zh-CN"/>
        </w:rPr>
        <w:t>等。</w:t>
      </w:r>
    </w:p>
    <w:bookmarkEnd w:id="8"/>
    <w:p w14:paraId="473A8A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565A6F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6AB596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6A7B6E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29C253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3B16A1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13D2B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326C3D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30640E7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6DEA75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45AE6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520F61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5179B13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5F107FC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9F45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43A1A82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D61EB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0D007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7F613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6E9BE2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E56B2DF">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2596BC0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D8364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1A0F18A2">
      <w:pPr>
        <w:spacing w:line="360" w:lineRule="auto"/>
        <w:ind w:firstLine="435"/>
        <w:rPr>
          <w:rFonts w:hint="eastAsia" w:ascii="宋体" w:hAnsi="宋体" w:eastAsia="宋体" w:cs="宋体"/>
          <w:color w:val="auto"/>
          <w:sz w:val="24"/>
          <w:szCs w:val="24"/>
          <w:highlight w:val="none"/>
        </w:rPr>
      </w:pPr>
      <w:bookmarkStart w:id="9"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84138F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23883C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9"/>
    <w:p w14:paraId="59901E2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038E5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4245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7C7155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3C9F7B1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C87C34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6E2AC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657E5D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08EBF9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93776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372619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49250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5282B1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19E05E6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2698F31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A133B5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062700D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731DB01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5BC139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BCAFA5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70BD35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E6C0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F0BFA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5C6A63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5792F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53A34C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157D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A00AB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3D56F626">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59C368F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13DA5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64C15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1160514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49F5C3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0380E6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177120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25932C5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61A58CDF">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655A989">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2E44DFAF">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A5D5DE2">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634B715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72B508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7083F901">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3D7B5EA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6DA4EE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116C9E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2157EB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65F6B2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8AC8A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3CA69F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37031B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3EA0D6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52EBDD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30712FE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F6796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4D24AE7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61A00F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3F09D8C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05F520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9EAE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02E4B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7C06C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D429A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D998D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3C856CD0">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olor w:val="auto"/>
          <w:sz w:val="24"/>
          <w:szCs w:val="18"/>
          <w:highlight w:val="none"/>
          <w:lang w:val="en-US" w:eastAsia="zh-CN"/>
        </w:rPr>
        <w:t>和滁州市公共资源交易中心网（http：//ggzy.chuzhou.gov.cn/）</w:t>
      </w:r>
      <w:r>
        <w:rPr>
          <w:rFonts w:hint="eastAsia" w:ascii="宋体" w:hAnsi="宋体" w:eastAsia="宋体"/>
          <w:color w:val="auto"/>
          <w:sz w:val="24"/>
          <w:szCs w:val="18"/>
          <w:highlight w:val="none"/>
        </w:rPr>
        <w:t>上发布中标结果公告。</w:t>
      </w:r>
    </w:p>
    <w:p w14:paraId="0543D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F4AB2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5B62D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507A39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2C0159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76EAB46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5FE8C9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3A9E52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A8EBB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DB2176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267899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66D18C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7DEF5F3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1DDB2C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F7818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1E46B5AE">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0AC70CB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534ACF2D">
      <w:pPr>
        <w:spacing w:line="360" w:lineRule="auto"/>
        <w:ind w:firstLine="437"/>
        <w:outlineLvl w:val="2"/>
        <w:rPr>
          <w:rFonts w:asciiTheme="minorEastAsia" w:hAnsiTheme="minorEastAsia" w:eastAsiaTheme="minorEastAsia"/>
          <w:b/>
          <w:color w:val="auto"/>
          <w:sz w:val="24"/>
          <w:highlight w:val="none"/>
        </w:rPr>
      </w:pPr>
      <w:bookmarkStart w:id="10" w:name="_Toc2583661"/>
      <w:bookmarkStart w:id="11"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10"/>
      <w:bookmarkEnd w:id="11"/>
    </w:p>
    <w:p w14:paraId="57E7E57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66FD08C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0FE3F749">
      <w:pPr>
        <w:spacing w:line="360" w:lineRule="auto"/>
        <w:ind w:firstLine="437"/>
        <w:outlineLvl w:val="2"/>
        <w:rPr>
          <w:rFonts w:asciiTheme="minorEastAsia" w:hAnsiTheme="minorEastAsia" w:eastAsiaTheme="minorEastAsia"/>
          <w:b/>
          <w:color w:val="auto"/>
          <w:sz w:val="24"/>
          <w:highlight w:val="none"/>
        </w:rPr>
      </w:pPr>
      <w:bookmarkStart w:id="12" w:name="_Toc518923101"/>
      <w:bookmarkStart w:id="13"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12"/>
      <w:bookmarkEnd w:id="13"/>
    </w:p>
    <w:p w14:paraId="2C612B59">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5E0A22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4BF9DE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D4281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A12E93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8B9C37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F19AFF4">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32.投诉</w:t>
      </w:r>
    </w:p>
    <w:p w14:paraId="7056A4C1">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7B9B2D0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2905751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32.3政府采购监督管理部门在处理投诉事项期间，可以视具体情况书面通知采购人暂停采购活动，但暂停时间最长不得超过30日。</w:t>
      </w:r>
    </w:p>
    <w:p w14:paraId="646C671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2788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6D22F2D9">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2753E68F">
      <w:pPr>
        <w:spacing w:line="360" w:lineRule="auto"/>
        <w:jc w:val="center"/>
        <w:outlineLvl w:val="0"/>
        <w:rPr>
          <w:rFonts w:hint="eastAsia" w:asciiTheme="minorEastAsia" w:hAnsiTheme="minorEastAsia" w:eastAsiaTheme="minorEastAsia"/>
          <w:b/>
          <w:color w:val="auto"/>
          <w:sz w:val="28"/>
          <w:highlight w:val="none"/>
          <w:lang w:eastAsia="zh-CN"/>
        </w:rPr>
      </w:pPr>
      <w:bookmarkStart w:id="14" w:name="_Toc10891"/>
      <w:r>
        <w:rPr>
          <w:rFonts w:hint="eastAsia" w:asciiTheme="minorEastAsia" w:hAnsiTheme="minorEastAsia" w:eastAsiaTheme="minorEastAsia"/>
          <w:b/>
          <w:color w:val="auto"/>
          <w:sz w:val="28"/>
          <w:highlight w:val="none"/>
        </w:rPr>
        <w:t>第三章  采购需求</w:t>
      </w:r>
      <w:bookmarkEnd w:id="14"/>
    </w:p>
    <w:p w14:paraId="45E7C9AE">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75CFF1C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A89834D">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0BA38769">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（1）如属于《节能产品政府采购品目清单》中政府强制采购的节能产品，则在投标文件中</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所投</w:t>
      </w:r>
      <w:r>
        <w:rPr>
          <w:rFonts w:hint="eastAsia" w:ascii="宋体" w:hAnsi="宋体" w:eastAsia="宋体" w:cs="宋体"/>
          <w:color w:val="auto"/>
          <w:sz w:val="24"/>
          <w:szCs w:val="24"/>
          <w:highlight w:val="none"/>
        </w:rPr>
        <w:t>产品须具有市场监管总局公布的《参与实施政府采购节能产品认证机构目录》中的认证机构出具的、处于有效期内的节能产品认证证书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未提供的按无效标处理。</w:t>
      </w:r>
    </w:p>
    <w:p w14:paraId="036B463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A109AA0">
      <w:pPr>
        <w:spacing w:line="360" w:lineRule="auto"/>
        <w:ind w:firstLine="435"/>
        <w:rPr>
          <w:rFonts w:hint="eastAsia" w:eastAsia="宋体"/>
          <w:color w:val="auto"/>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r>
        <w:rPr>
          <w:rFonts w:hint="eastAsia" w:ascii="宋体" w:hAnsi="宋体" w:eastAsia="宋体"/>
          <w:color w:val="auto"/>
          <w:sz w:val="24"/>
          <w:szCs w:val="18"/>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52693748">
      <w:pPr>
        <w:spacing w:line="360" w:lineRule="auto"/>
        <w:ind w:firstLine="437"/>
        <w:outlineLvl w:val="1"/>
        <w:rPr>
          <w:rFonts w:ascii="宋体" w:hAnsi="宋体" w:eastAsia="宋体"/>
          <w:b/>
          <w:color w:val="auto"/>
          <w:sz w:val="24"/>
          <w:szCs w:val="18"/>
          <w:highlight w:val="none"/>
        </w:rPr>
      </w:pPr>
      <w:bookmarkStart w:id="15" w:name="_Toc2554"/>
      <w:bookmarkStart w:id="16" w:name="_Toc32151"/>
      <w:r>
        <w:rPr>
          <w:rFonts w:hint="eastAsia" w:ascii="宋体" w:hAnsi="宋体" w:eastAsia="宋体"/>
          <w:b/>
          <w:color w:val="auto"/>
          <w:sz w:val="24"/>
          <w:szCs w:val="18"/>
          <w:highlight w:val="none"/>
        </w:rPr>
        <w:t>一、采购需求前附表</w:t>
      </w:r>
      <w:bookmarkEnd w:id="15"/>
      <w:bookmarkEnd w:id="16"/>
    </w:p>
    <w:tbl>
      <w:tblPr>
        <w:tblStyle w:val="27"/>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026"/>
        <w:gridCol w:w="6592"/>
      </w:tblGrid>
      <w:tr w14:paraId="7163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3362F88C">
            <w:pPr>
              <w:pStyle w:val="4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26" w:type="dxa"/>
            <w:vAlign w:val="center"/>
          </w:tcPr>
          <w:p w14:paraId="4EAB7298">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592" w:type="dxa"/>
            <w:vAlign w:val="center"/>
          </w:tcPr>
          <w:p w14:paraId="0B8F7170">
            <w:pPr>
              <w:pStyle w:val="46"/>
              <w:widowControl w:val="0"/>
              <w:spacing w:before="0" w:beforeAutospacing="0" w:after="0" w:afterAutospacing="0" w:line="360" w:lineRule="auto"/>
              <w:rPr>
                <w:rFonts w:ascii="宋体" w:hAnsi="宋体" w:eastAsia="宋体"/>
                <w:bCs w:val="0"/>
                <w:color w:val="auto"/>
                <w:sz w:val="24"/>
                <w:highlight w:val="none"/>
                <w:u w:val="none"/>
              </w:rPr>
            </w:pPr>
            <w:r>
              <w:rPr>
                <w:rFonts w:hint="eastAsia" w:ascii="宋体" w:hAnsi="宋体" w:eastAsia="宋体"/>
                <w:bCs w:val="0"/>
                <w:color w:val="auto"/>
                <w:sz w:val="24"/>
                <w:highlight w:val="none"/>
                <w:u w:val="none"/>
              </w:rPr>
              <w:t>内容、说明与要求</w:t>
            </w:r>
          </w:p>
        </w:tc>
      </w:tr>
      <w:tr w14:paraId="37A2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8E3D92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26" w:type="dxa"/>
            <w:vAlign w:val="center"/>
          </w:tcPr>
          <w:p w14:paraId="7371E41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592" w:type="dxa"/>
            <w:vAlign w:val="center"/>
          </w:tcPr>
          <w:p w14:paraId="699CA0EC">
            <w:pPr>
              <w:pStyle w:val="46"/>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合同签订且具备实施条件后，支付合同价的</w:t>
            </w:r>
            <w:r>
              <w:rPr>
                <w:rFonts w:hint="eastAsia" w:ascii="宋体" w:hAnsi="宋体" w:eastAsia="宋体"/>
                <w:b w:val="0"/>
                <w:color w:val="auto"/>
                <w:sz w:val="24"/>
                <w:highlight w:val="none"/>
                <w:lang w:val="en-US" w:eastAsia="zh-CN"/>
              </w:rPr>
              <w:t>7</w:t>
            </w:r>
            <w:r>
              <w:rPr>
                <w:rFonts w:hint="eastAsia" w:ascii="宋体" w:hAnsi="宋体" w:eastAsia="宋体"/>
                <w:b w:val="0"/>
                <w:color w:val="auto"/>
                <w:sz w:val="24"/>
                <w:highlight w:val="none"/>
              </w:rPr>
              <w:t>0%预付款（预付款支付前，中标人须提供同等金额的见索即付保函），车辆交付使用且采购人验收合格后一次性付清合同价款。</w:t>
            </w:r>
          </w:p>
        </w:tc>
      </w:tr>
      <w:tr w14:paraId="2FE9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6CF0FB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26" w:type="dxa"/>
            <w:vAlign w:val="center"/>
          </w:tcPr>
          <w:p w14:paraId="7C09AAA5">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592" w:type="dxa"/>
            <w:vAlign w:val="center"/>
          </w:tcPr>
          <w:p w14:paraId="03C7E1EE">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滁州市经开区</w:t>
            </w:r>
            <w:r>
              <w:rPr>
                <w:rFonts w:hint="eastAsia" w:ascii="宋体" w:hAnsi="宋体" w:eastAsia="宋体"/>
                <w:b w:val="0"/>
                <w:color w:val="auto"/>
                <w:sz w:val="24"/>
                <w:highlight w:val="none"/>
                <w:u w:val="none"/>
              </w:rPr>
              <w:t>内，采购人指定地点。</w:t>
            </w:r>
          </w:p>
        </w:tc>
      </w:tr>
      <w:tr w14:paraId="6E29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DBBF0F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26" w:type="dxa"/>
            <w:vAlign w:val="center"/>
          </w:tcPr>
          <w:p w14:paraId="71F0CE98">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592" w:type="dxa"/>
            <w:vAlign w:val="center"/>
          </w:tcPr>
          <w:p w14:paraId="0898D0A1">
            <w:pPr>
              <w:pStyle w:val="46"/>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lang w:eastAsia="zh-CN"/>
              </w:rPr>
              <w:t>自合同签订后</w:t>
            </w:r>
            <w:r>
              <w:rPr>
                <w:rFonts w:hint="eastAsia" w:asciiTheme="minorEastAsia" w:hAnsiTheme="minorEastAsia" w:eastAsiaTheme="minorEastAsia"/>
                <w:b w:val="0"/>
                <w:bCs w:val="0"/>
                <w:color w:val="auto"/>
                <w:sz w:val="24"/>
                <w:highlight w:val="none"/>
                <w:u w:val="none"/>
                <w:lang w:val="en-US" w:eastAsia="zh-CN"/>
              </w:rPr>
              <w:t>9</w:t>
            </w:r>
            <w:r>
              <w:rPr>
                <w:rFonts w:hint="eastAsia" w:asciiTheme="minorEastAsia" w:hAnsiTheme="minorEastAsia" w:eastAsiaTheme="minorEastAsia"/>
                <w:b w:val="0"/>
                <w:bCs w:val="0"/>
                <w:color w:val="auto"/>
                <w:sz w:val="24"/>
                <w:highlight w:val="none"/>
                <w:u w:val="none"/>
                <w:lang w:eastAsia="zh-CN"/>
              </w:rPr>
              <w:t>0个日历天内完成供货并将货物运送至采购人指定地点。</w:t>
            </w:r>
          </w:p>
        </w:tc>
      </w:tr>
      <w:tr w14:paraId="4A57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6D3B6B5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26" w:type="dxa"/>
            <w:vAlign w:val="center"/>
          </w:tcPr>
          <w:p w14:paraId="27EA7FD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592" w:type="dxa"/>
            <w:vAlign w:val="center"/>
          </w:tcPr>
          <w:p w14:paraId="043651DE">
            <w:pPr>
              <w:pStyle w:val="46"/>
              <w:widowControl w:val="0"/>
              <w:spacing w:before="0" w:beforeAutospacing="0" w:after="0" w:afterAutospacing="0" w:line="360" w:lineRule="auto"/>
              <w:jc w:val="both"/>
              <w:rPr>
                <w:rFonts w:hint="eastAsia" w:asciiTheme="minorEastAsia" w:hAnsiTheme="minorEastAsia" w:eastAsiaTheme="minorEastAsia"/>
                <w:b w:val="0"/>
                <w:bCs w:val="0"/>
                <w:color w:val="auto"/>
                <w:sz w:val="24"/>
                <w:highlight w:val="none"/>
                <w:u w:val="none"/>
                <w:lang w:eastAsia="zh-CN"/>
              </w:rPr>
            </w:pPr>
            <w:r>
              <w:rPr>
                <w:rFonts w:hint="eastAsia" w:asciiTheme="minorEastAsia" w:hAnsiTheme="minorEastAsia" w:eastAsiaTheme="minorEastAsia"/>
                <w:b w:val="0"/>
                <w:bCs w:val="0"/>
                <w:color w:val="auto"/>
                <w:sz w:val="24"/>
                <w:highlight w:val="none"/>
                <w:u w:val="none"/>
                <w:lang w:eastAsia="zh-CN"/>
              </w:rPr>
              <w:t>车辆验收合格之日起5年。</w:t>
            </w:r>
          </w:p>
          <w:p w14:paraId="35FEB144">
            <w:pPr>
              <w:pStyle w:val="46"/>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lang w:val="en-US" w:eastAsia="zh-CN"/>
              </w:rPr>
              <w:t>车载设备及其它配套随车器材装备等货物验收合格之日起3 年。</w:t>
            </w:r>
          </w:p>
        </w:tc>
      </w:tr>
    </w:tbl>
    <w:p w14:paraId="767445CB">
      <w:pPr>
        <w:spacing w:line="380" w:lineRule="exact"/>
        <w:ind w:firstLine="437"/>
        <w:outlineLvl w:val="1"/>
        <w:rPr>
          <w:rFonts w:asciiTheme="minorEastAsia" w:hAnsiTheme="minorEastAsia" w:eastAsiaTheme="minorEastAsia"/>
          <w:b/>
          <w:bCs/>
          <w:sz w:val="24"/>
          <w:szCs w:val="18"/>
          <w:highlight w:val="none"/>
        </w:rPr>
      </w:pPr>
      <w:bookmarkStart w:id="17" w:name="_Toc16847"/>
      <w:bookmarkStart w:id="18" w:name="_Toc30209"/>
      <w:r>
        <w:rPr>
          <w:rFonts w:hint="eastAsia" w:asciiTheme="minorEastAsia" w:hAnsiTheme="minorEastAsia" w:eastAsiaTheme="minorEastAsia"/>
          <w:b/>
          <w:bCs/>
          <w:sz w:val="24"/>
          <w:szCs w:val="18"/>
          <w:highlight w:val="none"/>
        </w:rPr>
        <w:t>二、货物需求</w:t>
      </w:r>
      <w:bookmarkEnd w:id="17"/>
      <w:bookmarkEnd w:id="18"/>
    </w:p>
    <w:tbl>
      <w:tblPr>
        <w:tblStyle w:val="27"/>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885"/>
        <w:gridCol w:w="976"/>
        <w:gridCol w:w="2688"/>
        <w:gridCol w:w="2168"/>
        <w:gridCol w:w="2082"/>
      </w:tblGrid>
      <w:tr w14:paraId="15C8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8" w:type="pct"/>
            <w:gridSpan w:val="3"/>
            <w:vAlign w:val="center"/>
          </w:tcPr>
          <w:p w14:paraId="12DDFF62">
            <w:pPr>
              <w:spacing w:line="380" w:lineRule="exact"/>
              <w:jc w:val="center"/>
              <w:rPr>
                <w:rFonts w:asciiTheme="minorEastAsia" w:hAnsiTheme="minorEastAsia" w:eastAsiaTheme="minorEastAsia"/>
                <w:bCs/>
                <w:sz w:val="24"/>
                <w:szCs w:val="18"/>
                <w:highlight w:val="none"/>
              </w:rPr>
            </w:pPr>
            <w:r>
              <w:rPr>
                <w:rFonts w:hint="eastAsia" w:ascii="宋体" w:hAnsi="宋体" w:eastAsia="宋体"/>
                <w:b/>
                <w:bCs/>
                <w:sz w:val="24"/>
                <w:szCs w:val="18"/>
                <w:highlight w:val="none"/>
              </w:rPr>
              <w:t>货物名称</w:t>
            </w:r>
          </w:p>
        </w:tc>
        <w:tc>
          <w:tcPr>
            <w:tcW w:w="1434" w:type="pct"/>
            <w:vAlign w:val="center"/>
          </w:tcPr>
          <w:p w14:paraId="74FDCC68">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数量（单位）</w:t>
            </w:r>
          </w:p>
        </w:tc>
        <w:tc>
          <w:tcPr>
            <w:tcW w:w="1157" w:type="pct"/>
            <w:vAlign w:val="center"/>
          </w:tcPr>
          <w:p w14:paraId="50B2A549">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所属行业</w:t>
            </w:r>
          </w:p>
        </w:tc>
        <w:tc>
          <w:tcPr>
            <w:tcW w:w="1109" w:type="pct"/>
            <w:vAlign w:val="center"/>
          </w:tcPr>
          <w:p w14:paraId="16F0FA81">
            <w:pPr>
              <w:spacing w:line="380" w:lineRule="exact"/>
              <w:jc w:val="center"/>
              <w:rPr>
                <w:rFonts w:ascii="宋体" w:hAnsi="宋体" w:eastAsia="宋体"/>
                <w:b/>
                <w:bCs/>
                <w:sz w:val="24"/>
                <w:szCs w:val="18"/>
                <w:highlight w:val="none"/>
              </w:rPr>
            </w:pPr>
            <w:r>
              <w:rPr>
                <w:rFonts w:hint="eastAsia" w:ascii="宋体" w:hAnsi="宋体" w:eastAsia="宋体"/>
                <w:b/>
                <w:bCs/>
                <w:sz w:val="24"/>
                <w:szCs w:val="18"/>
                <w:highlight w:val="none"/>
              </w:rPr>
              <w:t>是否为核心产品</w:t>
            </w:r>
          </w:p>
        </w:tc>
      </w:tr>
      <w:tr w14:paraId="37C7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298" w:type="pct"/>
            <w:gridSpan w:val="3"/>
            <w:vAlign w:val="center"/>
          </w:tcPr>
          <w:p w14:paraId="5612C6B1">
            <w:pPr>
              <w:keepNext w:val="0"/>
              <w:keepLines w:val="0"/>
              <w:widowControl/>
              <w:suppressLineNumbers w:val="0"/>
              <w:spacing w:line="240" w:lineRule="auto"/>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通信指挥消防车</w:t>
            </w:r>
          </w:p>
          <w:p w14:paraId="69487B82">
            <w:pPr>
              <w:spacing w:line="380" w:lineRule="exact"/>
              <w:jc w:val="center"/>
              <w:rPr>
                <w:rFonts w:asciiTheme="minorEastAsia" w:hAnsiTheme="minorEastAsia" w:eastAsiaTheme="minorEastAsia"/>
                <w:bCs/>
                <w:sz w:val="24"/>
                <w:szCs w:val="18"/>
                <w:highlight w:val="none"/>
              </w:rPr>
            </w:pPr>
            <w:r>
              <w:rPr>
                <w:rFonts w:hint="eastAsia" w:ascii="宋体" w:hAnsi="宋体" w:eastAsia="宋体" w:cs="宋体"/>
                <w:color w:val="000000"/>
                <w:kern w:val="0"/>
                <w:sz w:val="24"/>
                <w:szCs w:val="24"/>
                <w:highlight w:val="none"/>
                <w:lang w:val="en-US" w:eastAsia="zh-CN" w:bidi="ar"/>
              </w:rPr>
              <w:t>（无人机运输）</w:t>
            </w:r>
          </w:p>
        </w:tc>
        <w:tc>
          <w:tcPr>
            <w:tcW w:w="1434" w:type="pct"/>
            <w:vAlign w:val="center"/>
          </w:tcPr>
          <w:p w14:paraId="682DFCFD">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1辆</w:t>
            </w:r>
          </w:p>
        </w:tc>
        <w:tc>
          <w:tcPr>
            <w:tcW w:w="1157" w:type="pct"/>
            <w:vAlign w:val="center"/>
          </w:tcPr>
          <w:p w14:paraId="314FE714">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工业</w:t>
            </w:r>
          </w:p>
        </w:tc>
        <w:tc>
          <w:tcPr>
            <w:tcW w:w="1109" w:type="pct"/>
            <w:vAlign w:val="center"/>
          </w:tcPr>
          <w:p w14:paraId="2A100CF8">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是</w:t>
            </w:r>
          </w:p>
        </w:tc>
      </w:tr>
      <w:tr w14:paraId="722D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000" w:type="pct"/>
            <w:gridSpan w:val="6"/>
            <w:vAlign w:val="center"/>
          </w:tcPr>
          <w:p w14:paraId="602742CF">
            <w:pPr>
              <w:spacing w:line="380" w:lineRule="exact"/>
              <w:jc w:val="center"/>
              <w:rPr>
                <w:rFonts w:hint="eastAsia" w:asciiTheme="minorEastAsia" w:hAnsiTheme="minorEastAsia" w:eastAsiaTheme="minorEastAsia"/>
                <w:bCs/>
                <w:sz w:val="24"/>
                <w:szCs w:val="18"/>
                <w:highlight w:val="none"/>
              </w:rPr>
            </w:pPr>
            <w:r>
              <w:rPr>
                <w:rFonts w:hint="default" w:ascii="宋体" w:hAnsi="宋体" w:eastAsia="宋体"/>
                <w:b/>
                <w:bCs/>
                <w:sz w:val="24"/>
                <w:szCs w:val="18"/>
                <w:highlight w:val="none"/>
              </w:rPr>
              <w:t>技术参数及要求</w:t>
            </w:r>
          </w:p>
        </w:tc>
      </w:tr>
      <w:tr w14:paraId="3FBF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51A9DBC6">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序号</w:t>
            </w:r>
          </w:p>
        </w:tc>
        <w:tc>
          <w:tcPr>
            <w:tcW w:w="472" w:type="pct"/>
            <w:vAlign w:val="center"/>
          </w:tcPr>
          <w:p w14:paraId="490E781F">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重要性</w:t>
            </w:r>
          </w:p>
        </w:tc>
        <w:tc>
          <w:tcPr>
            <w:tcW w:w="520" w:type="pct"/>
            <w:vAlign w:val="center"/>
          </w:tcPr>
          <w:p w14:paraId="64C7E9D8">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指标项</w:t>
            </w:r>
          </w:p>
        </w:tc>
        <w:tc>
          <w:tcPr>
            <w:tcW w:w="3701" w:type="pct"/>
            <w:gridSpan w:val="3"/>
            <w:vAlign w:val="center"/>
          </w:tcPr>
          <w:p w14:paraId="63F168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p>
        </w:tc>
      </w:tr>
      <w:tr w14:paraId="7237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0A49C27A">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w:t>
            </w:r>
          </w:p>
        </w:tc>
        <w:tc>
          <w:tcPr>
            <w:tcW w:w="472" w:type="pct"/>
            <w:vAlign w:val="center"/>
          </w:tcPr>
          <w:p w14:paraId="3AFFDCEF">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12477735">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关键性指标</w:t>
            </w:r>
          </w:p>
        </w:tc>
        <w:tc>
          <w:tcPr>
            <w:tcW w:w="3701" w:type="pct"/>
            <w:gridSpan w:val="3"/>
            <w:vAlign w:val="center"/>
          </w:tcPr>
          <w:p w14:paraId="2DECCF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一、整车总体要求</w:t>
            </w:r>
          </w:p>
          <w:p w14:paraId="31F9CF9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1.投标文件中须提供公告名称为“通信指挥消防车”的工信部公告截图；并提供承诺自合同签订后90个日历天内提供供货车辆的工信部公告截图的承诺书；</w:t>
            </w:r>
          </w:p>
          <w:p w14:paraId="0526F5B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w:t>
            </w:r>
            <w:r>
              <w:rPr>
                <w:rFonts w:hint="eastAsia" w:asciiTheme="minorEastAsia" w:hAnsiTheme="minorEastAsia" w:eastAsiaTheme="minorEastAsia"/>
                <w:b w:val="0"/>
                <w:bCs w:val="0"/>
                <w:color w:val="auto"/>
                <w:sz w:val="24"/>
                <w:highlight w:val="none"/>
                <w:u w:val="none"/>
                <w:lang w:eastAsia="zh-CN"/>
              </w:rPr>
              <w:t>自合同签订后</w:t>
            </w:r>
            <w:r>
              <w:rPr>
                <w:rFonts w:hint="eastAsia" w:asciiTheme="minorEastAsia" w:hAnsiTheme="minorEastAsia" w:eastAsiaTheme="minorEastAsia"/>
                <w:b w:val="0"/>
                <w:bCs w:val="0"/>
                <w:color w:val="auto"/>
                <w:sz w:val="24"/>
                <w:highlight w:val="none"/>
                <w:u w:val="none"/>
                <w:lang w:val="en-US" w:eastAsia="zh-CN"/>
              </w:rPr>
              <w:t>9</w:t>
            </w:r>
            <w:r>
              <w:rPr>
                <w:rFonts w:hint="eastAsia" w:asciiTheme="minorEastAsia" w:hAnsiTheme="minorEastAsia" w:eastAsiaTheme="minorEastAsia"/>
                <w:b w:val="0"/>
                <w:bCs w:val="0"/>
                <w:color w:val="auto"/>
                <w:sz w:val="24"/>
                <w:highlight w:val="none"/>
                <w:u w:val="none"/>
                <w:lang w:eastAsia="zh-CN"/>
              </w:rPr>
              <w:t>0个日历天内完成供货并将货物运送至采购人指定地点；</w:t>
            </w:r>
          </w:p>
          <w:p w14:paraId="66C28D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3.底盘驱动形式≥4×2；</w:t>
            </w:r>
          </w:p>
          <w:p w14:paraId="18A3916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4.柴油发动机，排放满足国六标准；</w:t>
            </w:r>
          </w:p>
          <w:p w14:paraId="7437F1E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5.发动机最大净功率≥240kW，排量≤10.7L；</w:t>
            </w:r>
          </w:p>
          <w:p w14:paraId="0E54FFD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6.配备自动挡变速箱；</w:t>
            </w:r>
          </w:p>
          <w:p w14:paraId="23B6B8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7.驾驶室额定乘员≥2人；</w:t>
            </w:r>
          </w:p>
          <w:p w14:paraId="7861238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8.车辆最高行驶车速≥90km/h；</w:t>
            </w:r>
          </w:p>
          <w:p w14:paraId="6E6FDB4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9.改装整车外形尺寸满足总长≥10000mm、总宽≤2550mm、总高≤4000mm；</w:t>
            </w:r>
          </w:p>
          <w:p w14:paraId="48D108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10.整车最大允许总质量≥15000kg；</w:t>
            </w:r>
          </w:p>
          <w:p w14:paraId="2545912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11.轴距≥5700mm。</w:t>
            </w:r>
          </w:p>
        </w:tc>
      </w:tr>
      <w:tr w14:paraId="514F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188648C1">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w:t>
            </w:r>
          </w:p>
        </w:tc>
        <w:tc>
          <w:tcPr>
            <w:tcW w:w="472" w:type="pct"/>
            <w:vAlign w:val="center"/>
          </w:tcPr>
          <w:p w14:paraId="3005700C">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320FCFF3">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重要指标项</w:t>
            </w:r>
          </w:p>
        </w:tc>
        <w:tc>
          <w:tcPr>
            <w:tcW w:w="3701" w:type="pct"/>
            <w:gridSpan w:val="3"/>
            <w:vAlign w:val="center"/>
          </w:tcPr>
          <w:p w14:paraId="35E0CEB0">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二、底盘安全配置</w:t>
            </w:r>
          </w:p>
          <w:p w14:paraId="1AEC3C0D">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1.制动系统配备ABS防抱死装置；</w:t>
            </w:r>
          </w:p>
          <w:p w14:paraId="25350D59">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2.全车装配子午线真空轮胎，搭载胎压实时监测系统；</w:t>
            </w:r>
          </w:p>
          <w:p w14:paraId="7334CF6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3.配备360°全景影像系统+倒车雷达，影像存储容量≥128G；配备车载定位系统，支持通过部标通用协议接入定位平台；</w:t>
            </w:r>
          </w:p>
          <w:p w14:paraId="3BA6FCA3">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4.驾驶室顶部设置红色长排消防警示爆闪灯、车载警报喊话装置；</w:t>
            </w:r>
          </w:p>
          <w:p w14:paraId="3B512DC2">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5.全部操作手柄、控制开关设置永久性中文标识。</w:t>
            </w:r>
          </w:p>
        </w:tc>
      </w:tr>
      <w:tr w14:paraId="7F45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46677AE1">
            <w:pPr>
              <w:keepNext w:val="0"/>
              <w:keepLines w:val="0"/>
              <w:widowControl/>
              <w:suppressLineNumbers w:val="0"/>
              <w:tabs>
                <w:tab w:val="center" w:pos="321"/>
                <w:tab w:val="left" w:pos="450"/>
              </w:tabs>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w:t>
            </w:r>
          </w:p>
        </w:tc>
        <w:tc>
          <w:tcPr>
            <w:tcW w:w="472" w:type="pct"/>
            <w:vAlign w:val="center"/>
          </w:tcPr>
          <w:p w14:paraId="5FE094F9">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74FD2F44">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重要指标项</w:t>
            </w:r>
          </w:p>
        </w:tc>
        <w:tc>
          <w:tcPr>
            <w:tcW w:w="3701" w:type="pct"/>
            <w:gridSpan w:val="3"/>
            <w:vAlign w:val="center"/>
          </w:tcPr>
          <w:p w14:paraId="7FB1145B">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三、厢体结构要求</w:t>
            </w:r>
          </w:p>
          <w:p w14:paraId="7D84EFAE">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1.厢体采用钢制矩管焊接整体框架，全部金属构件做磷化防锈处理；</w:t>
            </w:r>
          </w:p>
          <w:p w14:paraId="3284F538">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2.车厢至少包括静音发电机舱、指挥操作区、无人机装备存放区等功能分区；</w:t>
            </w:r>
          </w:p>
          <w:p w14:paraId="53F12D75">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3.车厢两侧设置卷帘式器材储物箱；</w:t>
            </w:r>
          </w:p>
          <w:p w14:paraId="039974A0">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4.车辆右侧配备组合上车梯，收纳带机械锁止防脱机构；</w:t>
            </w:r>
          </w:p>
          <w:p w14:paraId="5C79F34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5.裙箱、下围工具箱方管焊接，底部做好防腐措施；</w:t>
            </w:r>
          </w:p>
          <w:p w14:paraId="0E422C3D">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6.车顶防滑花纹平台，配套防水密闭走线槽；</w:t>
            </w:r>
          </w:p>
          <w:p w14:paraId="2CD7F5CA">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7.指挥舱和后部无人机储藏舱需有通道门。</w:t>
            </w:r>
          </w:p>
        </w:tc>
      </w:tr>
      <w:tr w14:paraId="750B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5E52E9CC">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w:t>
            </w:r>
          </w:p>
        </w:tc>
        <w:tc>
          <w:tcPr>
            <w:tcW w:w="472" w:type="pct"/>
            <w:vAlign w:val="center"/>
          </w:tcPr>
          <w:p w14:paraId="6361E106">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2B49E156">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重要指标项</w:t>
            </w:r>
          </w:p>
        </w:tc>
        <w:tc>
          <w:tcPr>
            <w:tcW w:w="3701" w:type="pct"/>
            <w:gridSpan w:val="3"/>
            <w:vAlign w:val="center"/>
          </w:tcPr>
          <w:p w14:paraId="20D74D45">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四、无人机储运系统</w:t>
            </w:r>
          </w:p>
          <w:p w14:paraId="2281DB69">
            <w:pPr>
              <w:keepNext w:val="0"/>
              <w:keepLines w:val="0"/>
              <w:widowControl/>
              <w:suppressLineNumbers w:val="0"/>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1.一体化智能无人机自动装卸与储运系统；</w:t>
            </w:r>
          </w:p>
          <w:p w14:paraId="493F2379">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2.车尾配备垂直升降车用起重尾，供电电压与整车直流系统匹配；</w:t>
            </w:r>
          </w:p>
          <w:p w14:paraId="0DB0182C">
            <w:pPr>
              <w:keepNext w:val="0"/>
              <w:keepLines w:val="0"/>
              <w:widowControl/>
              <w:suppressLineNumbers w:val="0"/>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3.尾板面防滑、带升降限位保护，尾板升降可采取手动或电自动操控模式；</w:t>
            </w:r>
          </w:p>
          <w:p w14:paraId="17F0EC68">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4.尾板额定载重≥300kg；</w:t>
            </w:r>
          </w:p>
          <w:p w14:paraId="44CE5FA5">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5.车厢可同时固定放置2台大疆FC200无人机（臂展式）及全套附件（无人机及全套附件非本次采购内容）。</w:t>
            </w:r>
          </w:p>
        </w:tc>
      </w:tr>
      <w:tr w14:paraId="782E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77882569">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w:t>
            </w:r>
          </w:p>
        </w:tc>
        <w:tc>
          <w:tcPr>
            <w:tcW w:w="472" w:type="pct"/>
            <w:vAlign w:val="center"/>
          </w:tcPr>
          <w:p w14:paraId="4F4EBD10">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4E68A662">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4D07FCEB">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五、车身防腐涂装</w:t>
            </w:r>
          </w:p>
          <w:p w14:paraId="7976DEF6">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1.车身主体喷涂消防专用R03大红色；</w:t>
            </w:r>
          </w:p>
          <w:p w14:paraId="769370C2">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2.车顶及器材箱设置防滑承载涂层；</w:t>
            </w:r>
          </w:p>
          <w:p w14:paraId="20ADB553">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3.所有外露金属构件完整执行除锈、磷化、多层防腐喷涂工艺。</w:t>
            </w:r>
          </w:p>
        </w:tc>
      </w:tr>
      <w:tr w14:paraId="4227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58A6DB09">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6</w:t>
            </w:r>
          </w:p>
        </w:tc>
        <w:tc>
          <w:tcPr>
            <w:tcW w:w="472" w:type="pct"/>
            <w:vAlign w:val="center"/>
          </w:tcPr>
          <w:p w14:paraId="17558B5B">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6E3AF941">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64A56FC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六、指挥舱配置</w:t>
            </w:r>
          </w:p>
          <w:p w14:paraId="4336FA3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1.独立指挥舱可容纳不少于2人同时作业；</w:t>
            </w:r>
          </w:p>
          <w:p w14:paraId="5AFB10BE">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2.舱内配备工作台可容纳≥2人同时作业。</w:t>
            </w:r>
          </w:p>
        </w:tc>
      </w:tr>
      <w:tr w14:paraId="626D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449D032F">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7</w:t>
            </w:r>
          </w:p>
        </w:tc>
        <w:tc>
          <w:tcPr>
            <w:tcW w:w="472" w:type="pct"/>
            <w:vAlign w:val="center"/>
          </w:tcPr>
          <w:p w14:paraId="67E871F4">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261016EE">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78DFD9A1">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七、车载供电系统</w:t>
            </w:r>
          </w:p>
          <w:p w14:paraId="68BC29D8">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1.静音柴油发电机≥50KW（220v-380v），独立发电机舱；</w:t>
            </w:r>
          </w:p>
          <w:p w14:paraId="0725C321">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2.发电机舱降噪减震通风处理；</w:t>
            </w:r>
          </w:p>
          <w:p w14:paraId="517FE3B1">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3.一体化智能配电箱，带漏电、过载、外接电自动切换；</w:t>
            </w:r>
          </w:p>
          <w:p w14:paraId="4EB2ADE7">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4.配套≥30米供电线缆盘；</w:t>
            </w:r>
          </w:p>
          <w:p w14:paraId="673E2743">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5.配套接地套件。</w:t>
            </w:r>
          </w:p>
        </w:tc>
      </w:tr>
      <w:tr w14:paraId="2F43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6A7A7AA9">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8</w:t>
            </w:r>
          </w:p>
        </w:tc>
        <w:tc>
          <w:tcPr>
            <w:tcW w:w="472" w:type="pct"/>
            <w:vAlign w:val="center"/>
          </w:tcPr>
          <w:p w14:paraId="74EC8F1A">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1475588F">
            <w:pPr>
              <w:keepNext w:val="0"/>
              <w:keepLines w:val="0"/>
              <w:widowControl/>
              <w:suppressLineNumbers w:val="0"/>
              <w:ind w:left="0" w:leftChars="0" w:firstLine="0" w:firstLineChars="0"/>
              <w:jc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451BEA57">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八、通信预留配套（包含指挥舱）</w:t>
            </w:r>
          </w:p>
          <w:p w14:paraId="715489F4">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1.整车预留多组通信外接接口；</w:t>
            </w:r>
          </w:p>
          <w:p w14:paraId="6D582383">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2.车顶预留卫星天线安装位；</w:t>
            </w:r>
          </w:p>
          <w:p w14:paraId="3E88B5F0">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3.支持通信、摄像等设备摆放柜（架）的免费定制、安装及调试（通信、摄像等设备非本次采购内容）；</w:t>
            </w:r>
          </w:p>
          <w:p w14:paraId="43F36B01">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4.预留多种插线接口，可接受多种型号通信设备。</w:t>
            </w:r>
          </w:p>
        </w:tc>
      </w:tr>
      <w:tr w14:paraId="3A8C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12541865">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9</w:t>
            </w:r>
          </w:p>
        </w:tc>
        <w:tc>
          <w:tcPr>
            <w:tcW w:w="472" w:type="pct"/>
            <w:vAlign w:val="center"/>
          </w:tcPr>
          <w:p w14:paraId="5883EB08">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76AC1F66">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1B2B7FFA">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九、随车标配器材</w:t>
            </w:r>
          </w:p>
          <w:p w14:paraId="39B6C77C">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1.8kg ABC干粉自救灭火器</w:t>
            </w:r>
            <w:r>
              <w:rPr>
                <w:rFonts w:hint="default" w:ascii="Arial" w:hAnsi="Arial" w:eastAsia="宋体" w:cs="Arial"/>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4个；</w:t>
            </w:r>
          </w:p>
          <w:p w14:paraId="7EEB235F">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2.6L手持式锂电池灭火器</w:t>
            </w:r>
            <w:r>
              <w:rPr>
                <w:rFonts w:hint="default" w:ascii="Arial" w:hAnsi="Arial" w:eastAsia="宋体" w:cs="Arial"/>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4个；</w:t>
            </w:r>
          </w:p>
          <w:p w14:paraId="4AD10FD9">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3.全套底盘生产制造商配套维修工具1套；</w:t>
            </w:r>
          </w:p>
          <w:p w14:paraId="5EDA513D">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4.生产制造商配套同规格备胎1个。</w:t>
            </w:r>
          </w:p>
        </w:tc>
      </w:tr>
      <w:tr w14:paraId="4FAD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4C92D22A">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10</w:t>
            </w:r>
          </w:p>
        </w:tc>
        <w:tc>
          <w:tcPr>
            <w:tcW w:w="472" w:type="pct"/>
            <w:vAlign w:val="center"/>
          </w:tcPr>
          <w:p w14:paraId="69D0E331">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07B80685">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54DD533A">
            <w:pPr>
              <w:keepNext w:val="0"/>
              <w:keepLines w:val="0"/>
              <w:widowControl/>
              <w:numPr>
                <w:ilvl w:val="0"/>
                <w:numId w:val="0"/>
              </w:numPr>
              <w:suppressLineNumbers w:val="0"/>
              <w:tabs>
                <w:tab w:val="left" w:pos="668"/>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十、整车照明系统</w:t>
            </w:r>
          </w:p>
          <w:p w14:paraId="2F583AC1">
            <w:pPr>
              <w:keepNext w:val="0"/>
              <w:keepLines w:val="0"/>
              <w:widowControl/>
              <w:numPr>
                <w:ilvl w:val="0"/>
                <w:numId w:val="0"/>
              </w:numPr>
              <w:suppressLineNumbers w:val="0"/>
              <w:tabs>
                <w:tab w:val="left" w:pos="668"/>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1.整车配备车内外照明车身照明采用长条形LED照明灯珠（位于车侧身顶部）并且有多种照明模式，如泛光、聚光、闪光等；</w:t>
            </w:r>
          </w:p>
          <w:p w14:paraId="42732015">
            <w:pPr>
              <w:keepNext w:val="0"/>
              <w:keepLines w:val="0"/>
              <w:widowControl/>
              <w:numPr>
                <w:ilvl w:val="0"/>
                <w:numId w:val="0"/>
              </w:numPr>
              <w:suppressLineNumbers w:val="0"/>
              <w:tabs>
                <w:tab w:val="left" w:pos="668"/>
              </w:tabs>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2.器材箱采用感应式灯光打开器材箱门自动亮灯；</w:t>
            </w:r>
          </w:p>
          <w:p w14:paraId="33937872">
            <w:pPr>
              <w:keepNext w:val="0"/>
              <w:keepLines w:val="0"/>
              <w:widowControl/>
              <w:numPr>
                <w:ilvl w:val="0"/>
                <w:numId w:val="0"/>
              </w:numPr>
              <w:suppressLineNumbers w:val="0"/>
              <w:tabs>
                <w:tab w:val="left" w:pos="668"/>
              </w:tabs>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3.车内采用泛光灯照明，操作工作台配备独立照明系统；</w:t>
            </w:r>
          </w:p>
          <w:p w14:paraId="25B79A62">
            <w:pPr>
              <w:keepNext w:val="0"/>
              <w:keepLines w:val="0"/>
              <w:widowControl/>
              <w:numPr>
                <w:ilvl w:val="0"/>
                <w:numId w:val="0"/>
              </w:numPr>
              <w:suppressLineNumbers w:val="0"/>
              <w:tabs>
                <w:tab w:val="left" w:pos="668"/>
              </w:tabs>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4.照明灯光系统可采取手动调节。</w:t>
            </w:r>
          </w:p>
        </w:tc>
      </w:tr>
      <w:tr w14:paraId="4D7F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2DF07495">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11</w:t>
            </w:r>
          </w:p>
        </w:tc>
        <w:tc>
          <w:tcPr>
            <w:tcW w:w="472" w:type="pct"/>
            <w:vAlign w:val="center"/>
          </w:tcPr>
          <w:p w14:paraId="2F709E40">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506D1CAC">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66506C2A">
            <w:pPr>
              <w:keepNext w:val="0"/>
              <w:keepLines w:val="0"/>
              <w:widowControl/>
              <w:numPr>
                <w:ilvl w:val="0"/>
                <w:numId w:val="0"/>
              </w:numPr>
              <w:suppressLineNumbers w:val="0"/>
              <w:tabs>
                <w:tab w:val="left" w:pos="668"/>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十一、车载空调系统</w:t>
            </w:r>
          </w:p>
          <w:p w14:paraId="689725D9">
            <w:pPr>
              <w:keepNext w:val="0"/>
              <w:keepLines w:val="0"/>
              <w:widowControl/>
              <w:numPr>
                <w:ilvl w:val="0"/>
                <w:numId w:val="0"/>
              </w:numPr>
              <w:suppressLineNumbers w:val="0"/>
              <w:tabs>
                <w:tab w:val="left" w:pos="1186"/>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1.车载空调制冷量≥3000W，制热量≥3000W；</w:t>
            </w:r>
          </w:p>
          <w:p w14:paraId="2618014B">
            <w:pPr>
              <w:keepNext w:val="0"/>
              <w:keepLines w:val="0"/>
              <w:widowControl/>
              <w:numPr>
                <w:ilvl w:val="0"/>
                <w:numId w:val="0"/>
              </w:numPr>
              <w:suppressLineNumbers w:val="0"/>
              <w:tabs>
                <w:tab w:val="left" w:pos="1186"/>
              </w:tabs>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2.器材箱设置恒温系统；</w:t>
            </w:r>
          </w:p>
          <w:p w14:paraId="46B8DCE1">
            <w:pPr>
              <w:keepNext w:val="0"/>
              <w:keepLines w:val="0"/>
              <w:widowControl/>
              <w:numPr>
                <w:ilvl w:val="0"/>
                <w:numId w:val="0"/>
              </w:numPr>
              <w:suppressLineNumbers w:val="0"/>
              <w:tabs>
                <w:tab w:val="left" w:pos="1186"/>
              </w:tabs>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3.器材箱恒温系统温度可手动调节。</w:t>
            </w:r>
          </w:p>
          <w:p w14:paraId="4907A1EC">
            <w:pPr>
              <w:keepNext w:val="0"/>
              <w:keepLines w:val="0"/>
              <w:widowControl/>
              <w:numPr>
                <w:ilvl w:val="0"/>
                <w:numId w:val="0"/>
              </w:numPr>
              <w:suppressLineNumbers w:val="0"/>
              <w:tabs>
                <w:tab w:val="left" w:pos="1186"/>
              </w:tabs>
              <w:spacing w:line="240" w:lineRule="auto"/>
              <w:jc w:val="both"/>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注：车载空调为政府强制采购节能产品，投标文件中须提供所投产品须具有市场监管总局公布的《参与实施政府采购节能产品认证机构目录》中的认证机构出具的、处于有效期内的节能产品认证证书。</w:t>
            </w:r>
          </w:p>
        </w:tc>
      </w:tr>
      <w:tr w14:paraId="1ABD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05" w:type="pct"/>
            <w:vAlign w:val="center"/>
          </w:tcPr>
          <w:p w14:paraId="0355DCDC">
            <w:pPr>
              <w:keepNext w:val="0"/>
              <w:keepLines w:val="0"/>
              <w:widowControl/>
              <w:suppressLineNumbers w:val="0"/>
              <w:ind w:left="0" w:leftChars="0" w:firstLine="0" w:firstLineChars="0"/>
              <w:jc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w:t>
            </w:r>
          </w:p>
        </w:tc>
        <w:tc>
          <w:tcPr>
            <w:tcW w:w="472" w:type="pct"/>
            <w:vAlign w:val="center"/>
          </w:tcPr>
          <w:p w14:paraId="46481B9F">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w:t>
            </w:r>
          </w:p>
        </w:tc>
        <w:tc>
          <w:tcPr>
            <w:tcW w:w="520" w:type="pct"/>
            <w:vAlign w:val="center"/>
          </w:tcPr>
          <w:p w14:paraId="17281D15">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一般指标项</w:t>
            </w:r>
          </w:p>
        </w:tc>
        <w:tc>
          <w:tcPr>
            <w:tcW w:w="3701" w:type="pct"/>
            <w:gridSpan w:val="3"/>
            <w:vAlign w:val="center"/>
          </w:tcPr>
          <w:p w14:paraId="42CEA9A2">
            <w:pPr>
              <w:keepNext w:val="0"/>
              <w:keepLines w:val="0"/>
              <w:widowControl/>
              <w:suppressLineNumbers w:val="0"/>
              <w:spacing w:line="240" w:lineRule="auto"/>
              <w:jc w:val="both"/>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十二、交付资料</w:t>
            </w:r>
          </w:p>
          <w:p w14:paraId="2B358925">
            <w:pPr>
              <w:keepNext w:val="0"/>
              <w:keepLines w:val="0"/>
              <w:widowControl/>
              <w:suppressLineNumbers w:val="0"/>
              <w:spacing w:line="240" w:lineRule="auto"/>
              <w:jc w:val="both"/>
              <w:rPr>
                <w:rFonts w:hint="eastAsia" w:asciiTheme="minorEastAsia" w:hAnsiTheme="minorEastAsia" w:eastAsiaTheme="minorEastAsia"/>
                <w:bCs/>
                <w:sz w:val="24"/>
                <w:szCs w:val="18"/>
                <w:highlight w:val="none"/>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交车同步提供纸质+电子版全套车辆资料。</w:t>
            </w:r>
          </w:p>
        </w:tc>
      </w:tr>
    </w:tbl>
    <w:p w14:paraId="15412953">
      <w:pPr>
        <w:spacing w:line="360" w:lineRule="auto"/>
        <w:ind w:firstLine="437"/>
        <w:rPr>
          <w:rFonts w:hint="eastAsia" w:ascii="宋体" w:hAnsi="宋体" w:eastAsia="宋体"/>
          <w:bCs/>
          <w:color w:val="auto"/>
          <w:sz w:val="24"/>
          <w:szCs w:val="18"/>
          <w:highlight w:val="none"/>
          <w:lang w:val="en-US" w:eastAsia="zh-CN"/>
        </w:rPr>
      </w:pPr>
    </w:p>
    <w:tbl>
      <w:tblPr>
        <w:tblStyle w:val="28"/>
        <w:tblW w:w="9345" w:type="dxa"/>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3408"/>
        <w:gridCol w:w="3844"/>
      </w:tblGrid>
      <w:tr w14:paraId="4C5C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3"/>
          </w:tcPr>
          <w:p w14:paraId="39B1CB56">
            <w:pPr>
              <w:keepNext w:val="0"/>
              <w:keepLines w:val="0"/>
              <w:widowControl/>
              <w:suppressLineNumbers w:val="0"/>
              <w:jc w:val="center"/>
              <w:rPr>
                <w:rFonts w:hint="eastAsia" w:ascii="宋体" w:hAnsi="宋体" w:eastAsia="宋体"/>
                <w:bCs/>
                <w:color w:val="auto"/>
                <w:sz w:val="24"/>
                <w:szCs w:val="18"/>
                <w:highlight w:val="none"/>
                <w:vertAlign w:val="baseline"/>
                <w:lang w:val="en-US" w:eastAsia="zh-CN"/>
              </w:rPr>
            </w:pPr>
            <w:r>
              <w:rPr>
                <w:rFonts w:hint="eastAsia" w:ascii="宋体" w:hAnsi="宋体" w:eastAsia="宋体" w:cs="宋体"/>
                <w:b/>
                <w:bCs/>
                <w:color w:val="000000"/>
                <w:spacing w:val="0"/>
                <w:kern w:val="0"/>
                <w:position w:val="0"/>
                <w:sz w:val="24"/>
                <w:szCs w:val="24"/>
                <w:lang w:val="en-US" w:eastAsia="zh-CN" w:bidi="ar"/>
              </w:rPr>
              <w:t>货物指标重要性</w:t>
            </w:r>
          </w:p>
        </w:tc>
      </w:tr>
      <w:tr w14:paraId="2D88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top"/>
          </w:tcPr>
          <w:p w14:paraId="2E4DCDA1">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标识重要性</w:t>
            </w:r>
          </w:p>
        </w:tc>
        <w:tc>
          <w:tcPr>
            <w:tcW w:w="3408" w:type="dxa"/>
            <w:vAlign w:val="top"/>
          </w:tcPr>
          <w:p w14:paraId="1605A0BE">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标识符号</w:t>
            </w:r>
          </w:p>
        </w:tc>
        <w:tc>
          <w:tcPr>
            <w:tcW w:w="3844" w:type="dxa"/>
            <w:vAlign w:val="top"/>
          </w:tcPr>
          <w:p w14:paraId="01B2C8CE">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代表意思</w:t>
            </w:r>
          </w:p>
        </w:tc>
      </w:tr>
      <w:tr w14:paraId="4946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2A394369">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关键性指标项</w:t>
            </w:r>
          </w:p>
        </w:tc>
        <w:tc>
          <w:tcPr>
            <w:tcW w:w="3408" w:type="dxa"/>
            <w:vAlign w:val="center"/>
          </w:tcPr>
          <w:p w14:paraId="722E52FE">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w:t>
            </w:r>
          </w:p>
        </w:tc>
        <w:tc>
          <w:tcPr>
            <w:tcW w:w="3844" w:type="dxa"/>
            <w:vAlign w:val="top"/>
          </w:tcPr>
          <w:p w14:paraId="0A56CA0F">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不满足该指标项将导致投标无效</w:t>
            </w:r>
          </w:p>
        </w:tc>
      </w:tr>
      <w:tr w14:paraId="62C3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top"/>
          </w:tcPr>
          <w:p w14:paraId="6259016A">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重要指标项</w:t>
            </w:r>
          </w:p>
        </w:tc>
        <w:tc>
          <w:tcPr>
            <w:tcW w:w="3408" w:type="dxa"/>
            <w:vAlign w:val="center"/>
          </w:tcPr>
          <w:p w14:paraId="723BD9BC">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w:t>
            </w:r>
          </w:p>
        </w:tc>
        <w:tc>
          <w:tcPr>
            <w:tcW w:w="3844" w:type="dxa"/>
            <w:vAlign w:val="top"/>
          </w:tcPr>
          <w:p w14:paraId="7ECDA186">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评分项，按评分标准进行评分</w:t>
            </w:r>
          </w:p>
        </w:tc>
      </w:tr>
      <w:tr w14:paraId="7B92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093" w:type="dxa"/>
            <w:vAlign w:val="top"/>
          </w:tcPr>
          <w:p w14:paraId="222DE939">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一般指标项</w:t>
            </w:r>
          </w:p>
        </w:tc>
        <w:tc>
          <w:tcPr>
            <w:tcW w:w="3408" w:type="dxa"/>
            <w:vAlign w:val="center"/>
          </w:tcPr>
          <w:p w14:paraId="582126E9">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w:t>
            </w:r>
          </w:p>
        </w:tc>
        <w:tc>
          <w:tcPr>
            <w:tcW w:w="3844" w:type="dxa"/>
            <w:vAlign w:val="top"/>
          </w:tcPr>
          <w:p w14:paraId="0137015E">
            <w:pPr>
              <w:pStyle w:val="22"/>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000000"/>
                <w:spacing w:val="0"/>
                <w:position w:val="0"/>
                <w:sz w:val="24"/>
                <w:szCs w:val="24"/>
                <w:lang w:val="en-US" w:eastAsia="zh-CN"/>
              </w:rPr>
            </w:pPr>
            <w:r>
              <w:rPr>
                <w:rFonts w:hint="eastAsia" w:ascii="宋体" w:hAnsi="宋体" w:eastAsia="宋体" w:cs="宋体"/>
                <w:color w:val="000000"/>
                <w:spacing w:val="0"/>
                <w:position w:val="0"/>
                <w:sz w:val="24"/>
                <w:szCs w:val="24"/>
              </w:rPr>
              <w:t>评分项，按评分标准进行评分</w:t>
            </w:r>
          </w:p>
        </w:tc>
      </w:tr>
    </w:tbl>
    <w:p w14:paraId="78F5F4D5">
      <w:pPr>
        <w:spacing w:line="380" w:lineRule="exact"/>
        <w:ind w:firstLine="437"/>
        <w:outlineLvl w:val="1"/>
        <w:rPr>
          <w:rFonts w:hint="default" w:asciiTheme="minorEastAsia" w:hAnsiTheme="minorEastAsia" w:eastAsiaTheme="minorEastAsia"/>
          <w:b/>
          <w:bCs/>
          <w:sz w:val="24"/>
          <w:szCs w:val="18"/>
          <w:highlight w:val="none"/>
          <w:lang w:val="en-US" w:eastAsia="zh-CN"/>
        </w:rPr>
      </w:pPr>
      <w:r>
        <w:rPr>
          <w:rFonts w:hint="eastAsia" w:asciiTheme="minorEastAsia" w:hAnsiTheme="minorEastAsia" w:eastAsiaTheme="minorEastAsia"/>
          <w:b/>
          <w:bCs/>
          <w:sz w:val="24"/>
          <w:szCs w:val="18"/>
          <w:highlight w:val="none"/>
          <w:lang w:val="en-US" w:eastAsia="zh-CN"/>
        </w:rPr>
        <w:t>三、相关要求</w:t>
      </w:r>
    </w:p>
    <w:p w14:paraId="08CE5945">
      <w:pPr>
        <w:spacing w:line="360" w:lineRule="auto"/>
        <w:ind w:firstLine="43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1.本项目车辆供货包含安装服务，中标人须完成车辆的全部安装调试工作，安装相关所有费用已包含在投标报价内，采购人不再另行支付任何安装费用。</w:t>
      </w:r>
    </w:p>
    <w:p w14:paraId="3BE0B6AB">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2.中标人所投车辆合同签订后供货时须提供相关随车资料满足采购人上牌要求，并协助采购人完成车辆上牌工作。 </w:t>
      </w:r>
    </w:p>
    <w:p w14:paraId="51A2A424">
      <w:pPr>
        <w:spacing w:line="380" w:lineRule="exact"/>
        <w:ind w:firstLine="437"/>
        <w:outlineLvl w:val="1"/>
        <w:rPr>
          <w:rFonts w:hint="eastAsia" w:asciiTheme="minorEastAsia" w:hAnsiTheme="minorEastAsia" w:eastAsiaTheme="minorEastAsia"/>
          <w:b/>
          <w:bCs/>
          <w:sz w:val="24"/>
          <w:szCs w:val="18"/>
          <w:highlight w:val="none"/>
        </w:rPr>
      </w:pPr>
      <w:r>
        <w:rPr>
          <w:rFonts w:hint="eastAsia" w:asciiTheme="minorEastAsia" w:hAnsiTheme="minorEastAsia" w:eastAsiaTheme="minorEastAsia"/>
          <w:b/>
          <w:bCs/>
          <w:sz w:val="24"/>
          <w:szCs w:val="18"/>
          <w:highlight w:val="none"/>
          <w:lang w:val="en-US" w:eastAsia="zh-CN"/>
        </w:rPr>
        <w:t>四、</w:t>
      </w:r>
      <w:r>
        <w:rPr>
          <w:rFonts w:hint="eastAsia" w:asciiTheme="minorEastAsia" w:hAnsiTheme="minorEastAsia" w:eastAsiaTheme="minorEastAsia"/>
          <w:b/>
          <w:bCs/>
          <w:sz w:val="24"/>
          <w:szCs w:val="18"/>
          <w:highlight w:val="none"/>
        </w:rPr>
        <w:t>保修范围和保修期</w:t>
      </w:r>
    </w:p>
    <w:p w14:paraId="58FF02B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（1）车辆验收合格后5年整车免费质保；车载设备及其它配套随车器材装备等货物验收合格后3年免费质保。</w:t>
      </w:r>
    </w:p>
    <w:p w14:paraId="33CA4B6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保期内，中标人负责为整车及车载设备提供免费维修、保养，免费安装，调试。如果证实货物是有缺陷的，包括潜在的缺陷或者使用不符合要求的材料等，中标人应立即免费维修或者更换有缺陷的货物或者部件，保证达到合同规定的技术以及性能要求。如果中标人在收到通知后5天内没有弥补缺陷，采购人可自行采取必要的补救措施，但风险和费用由中标人承担，采购人同时保留通过法律途径进行索赔的权利。</w:t>
      </w:r>
    </w:p>
    <w:p w14:paraId="26015259">
      <w:pPr>
        <w:spacing w:line="360" w:lineRule="auto"/>
        <w:ind w:firstLine="43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售后服务团队</w:t>
      </w:r>
      <w:r>
        <w:rPr>
          <w:rFonts w:hint="eastAsia" w:ascii="宋体" w:hAnsi="宋体" w:eastAsia="宋体" w:cs="宋体"/>
          <w:color w:val="auto"/>
          <w:sz w:val="24"/>
          <w:szCs w:val="24"/>
          <w:highlight w:val="none"/>
          <w:lang w:val="en-US" w:eastAsia="zh-CN"/>
        </w:rPr>
        <w:t>配备不少于</w:t>
      </w:r>
      <w:r>
        <w:rPr>
          <w:rFonts w:hint="eastAsia" w:ascii="宋体" w:hAnsi="宋体" w:eastAsia="宋体" w:cs="宋体"/>
          <w:color w:val="auto"/>
          <w:sz w:val="24"/>
          <w:szCs w:val="24"/>
          <w:highlight w:val="none"/>
        </w:rPr>
        <w:t>5人售后服务人员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且须具备</w:t>
      </w:r>
      <w:r>
        <w:rPr>
          <w:rFonts w:hint="eastAsia" w:ascii="宋体" w:hAnsi="宋体" w:eastAsia="宋体" w:cs="宋体"/>
          <w:color w:val="auto"/>
          <w:sz w:val="24"/>
          <w:szCs w:val="24"/>
          <w:highlight w:val="none"/>
        </w:rPr>
        <w:t>特种作业操作上岗证（专业包括但不限于：汽车维修、低压电工、制冷与空调作业、高处作业等）</w:t>
      </w:r>
      <w:r>
        <w:rPr>
          <w:rFonts w:hint="eastAsia" w:ascii="宋体" w:hAnsi="宋体" w:eastAsia="宋体" w:cs="宋体"/>
          <w:color w:val="auto"/>
          <w:sz w:val="24"/>
          <w:szCs w:val="24"/>
          <w:highlight w:val="none"/>
          <w:lang w:eastAsia="zh-CN"/>
        </w:rPr>
        <w:t>。</w:t>
      </w:r>
    </w:p>
    <w:p w14:paraId="6C4BB24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（3）保修期外定期进行维护保养（费用包含在报价中），如设备损坏需要更换配件，只收取配件成本费用。</w:t>
      </w:r>
    </w:p>
    <w:p w14:paraId="0E85C095">
      <w:pPr>
        <w:spacing w:line="380" w:lineRule="exact"/>
        <w:ind w:firstLine="437"/>
        <w:outlineLvl w:val="1"/>
        <w:rPr>
          <w:rFonts w:hint="eastAsia" w:asciiTheme="minorEastAsia" w:hAnsiTheme="minorEastAsia" w:eastAsiaTheme="minorEastAsia"/>
          <w:b/>
          <w:bCs/>
          <w:sz w:val="24"/>
          <w:szCs w:val="18"/>
          <w:highlight w:val="none"/>
        </w:rPr>
      </w:pPr>
      <w:r>
        <w:rPr>
          <w:rFonts w:hint="eastAsia" w:asciiTheme="minorEastAsia" w:hAnsiTheme="minorEastAsia" w:eastAsiaTheme="minorEastAsia"/>
          <w:b/>
          <w:bCs/>
          <w:sz w:val="24"/>
          <w:szCs w:val="18"/>
          <w:highlight w:val="none"/>
          <w:lang w:val="en-US" w:eastAsia="zh-CN"/>
        </w:rPr>
        <w:t>五、</w:t>
      </w:r>
      <w:r>
        <w:rPr>
          <w:rFonts w:hint="eastAsia" w:asciiTheme="minorEastAsia" w:hAnsiTheme="minorEastAsia" w:eastAsiaTheme="minorEastAsia"/>
          <w:b/>
          <w:bCs/>
          <w:sz w:val="24"/>
          <w:szCs w:val="18"/>
          <w:highlight w:val="none"/>
        </w:rPr>
        <w:t>培训和维修保障服务协议要求</w:t>
      </w:r>
    </w:p>
    <w:p w14:paraId="68D242DD">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（1）中标人在签订合同后要与最终使用单位签订培训和维修保障服务协议，并根据采购人要求，负责使用前培训，并做到整个产品使用寿命期间的维修保养和技术服务保障。</w:t>
      </w:r>
    </w:p>
    <w:p w14:paraId="2AEABE9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（2）中标人应派技术工程师对采购</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人员进行技术培训，使采购</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人员能掌握有关系统设备的使用、维护和管理，达到能独立进行操作、日常测试维护等工作的目的。</w:t>
      </w:r>
    </w:p>
    <w:p w14:paraId="6C7793D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（3）中标人提供完善的项目培训计划。提供安装配置、操作使用、常见故障排除等的不少于一次集中培训，培训内容包括但不限于系统组成、设计原理、操作使用、常见故障排除等内容。</w:t>
      </w:r>
    </w:p>
    <w:p w14:paraId="08D0456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（4）根据采购</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实际需求，在服务使用地提供现场培训培训讲师的培训场地、交通等培训相关费用均由中标人提供。</w:t>
      </w:r>
    </w:p>
    <w:p w14:paraId="4D41E50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（5）中标人应保证车辆维修期内所有周转备品的保障，零配件供应在12小时内完成，工时费仅收取成本费用。</w:t>
      </w:r>
    </w:p>
    <w:p w14:paraId="5A91BE4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）中标人交货时，须随货物提供“供货交接单和产品配置清单”，彩色打印、填写详实签字盖章后，一式三份，接货方1份、供货方2份。</w:t>
      </w:r>
    </w:p>
    <w:p w14:paraId="24C851F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）中标人交货时，要提供产品资料优盘至</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。内容应包含中文使用说明书电子版（可进行编辑的WORD或PDF版本）、产品维护保养常识及使用视频教学录像（视频采用wmv格式）、产品技术参数、性能等相关文件。</w:t>
      </w:r>
    </w:p>
    <w:p w14:paraId="3213D86B">
      <w:pPr>
        <w:spacing w:line="380" w:lineRule="exact"/>
        <w:ind w:firstLine="437"/>
        <w:outlineLvl w:val="1"/>
        <w:rPr>
          <w:highlight w:val="none"/>
        </w:rPr>
      </w:pPr>
      <w:r>
        <w:rPr>
          <w:rFonts w:hint="eastAsia" w:asciiTheme="minorEastAsia" w:hAnsiTheme="minorEastAsia" w:eastAsiaTheme="minorEastAsia"/>
          <w:b w:val="0"/>
          <w:bCs w:val="0"/>
          <w:sz w:val="24"/>
          <w:szCs w:val="18"/>
          <w:highlight w:val="none"/>
          <w:lang w:val="en-US" w:eastAsia="zh-CN"/>
        </w:rPr>
        <w:t>（8）以上事项未提供，或提供达不到要求的，采购人有权不予接收货品、不予安排验</w:t>
      </w:r>
      <w:r>
        <w:rPr>
          <w:rFonts w:hint="eastAsia" w:ascii="宋体" w:hAnsi="宋体" w:eastAsia="宋体" w:cs="宋体"/>
          <w:color w:val="000000"/>
          <w:spacing w:val="0"/>
          <w:kern w:val="0"/>
          <w:position w:val="0"/>
          <w:sz w:val="24"/>
          <w:szCs w:val="24"/>
          <w:highlight w:val="none"/>
          <w:lang w:val="en-US" w:eastAsia="zh-CN" w:bidi="ar"/>
        </w:rPr>
        <w:t>收、支付等有关事项。</w:t>
      </w:r>
      <w:r>
        <w:rPr>
          <w:rFonts w:ascii="宋体" w:hAnsi="宋体" w:eastAsia="宋体" w:cs="宋体"/>
          <w:kern w:val="0"/>
          <w:sz w:val="24"/>
          <w:szCs w:val="24"/>
          <w:highlight w:val="none"/>
          <w:lang w:val="en-US" w:eastAsia="zh-CN" w:bidi="ar"/>
        </w:rPr>
        <w:t xml:space="preserve"> </w:t>
      </w:r>
    </w:p>
    <w:p w14:paraId="4ABA21D6">
      <w:pPr>
        <w:pStyle w:val="13"/>
        <w:ind w:left="0" w:leftChars="0" w:firstLine="0" w:firstLineChars="0"/>
        <w:rPr>
          <w:rFonts w:hint="eastAsia"/>
          <w:color w:val="auto"/>
          <w:highlight w:val="none"/>
          <w:lang w:val="en-US" w:eastAsia="zh-CN"/>
        </w:rPr>
      </w:pPr>
    </w:p>
    <w:p w14:paraId="45B32457">
      <w:pPr>
        <w:rPr>
          <w:rFonts w:hint="eastAsia" w:asciiTheme="minorEastAsia" w:hAnsiTheme="minorEastAsia" w:eastAsiaTheme="minorEastAsia"/>
          <w:b/>
          <w:color w:val="auto"/>
          <w:sz w:val="28"/>
          <w:highlight w:val="none"/>
        </w:rPr>
      </w:pPr>
      <w:bookmarkStart w:id="19" w:name="_Toc16417"/>
      <w:r>
        <w:rPr>
          <w:rFonts w:hint="eastAsia" w:asciiTheme="minorEastAsia" w:hAnsiTheme="minorEastAsia" w:eastAsiaTheme="minorEastAsia"/>
          <w:b/>
          <w:color w:val="auto"/>
          <w:sz w:val="28"/>
          <w:highlight w:val="none"/>
        </w:rPr>
        <w:br w:type="page"/>
      </w:r>
    </w:p>
    <w:p w14:paraId="0EEB53E6">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评标方法和标准（综合评分法）</w:t>
      </w:r>
      <w:bookmarkEnd w:id="19"/>
    </w:p>
    <w:p w14:paraId="6619C33C">
      <w:pPr>
        <w:spacing w:line="360" w:lineRule="auto"/>
        <w:ind w:firstLine="437"/>
        <w:outlineLvl w:val="1"/>
        <w:rPr>
          <w:rFonts w:asciiTheme="minorEastAsia" w:hAnsiTheme="minorEastAsia" w:eastAsiaTheme="minorEastAsia"/>
          <w:b/>
          <w:color w:val="auto"/>
          <w:sz w:val="24"/>
          <w:highlight w:val="none"/>
        </w:rPr>
      </w:pPr>
      <w:bookmarkStart w:id="20" w:name="_Toc11823"/>
      <w:bookmarkStart w:id="21" w:name="_Toc1246"/>
      <w:r>
        <w:rPr>
          <w:rFonts w:hint="eastAsia" w:asciiTheme="minorEastAsia" w:hAnsiTheme="minorEastAsia" w:eastAsiaTheme="minorEastAsia"/>
          <w:b/>
          <w:color w:val="auto"/>
          <w:sz w:val="24"/>
          <w:highlight w:val="none"/>
        </w:rPr>
        <w:t>一、总则</w:t>
      </w:r>
      <w:bookmarkEnd w:id="20"/>
      <w:bookmarkEnd w:id="21"/>
    </w:p>
    <w:p w14:paraId="50B28F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7AC14F4">
      <w:pPr>
        <w:spacing w:line="360" w:lineRule="auto"/>
        <w:ind w:firstLine="437"/>
        <w:outlineLvl w:val="1"/>
        <w:rPr>
          <w:rFonts w:asciiTheme="minorEastAsia" w:hAnsiTheme="minorEastAsia" w:eastAsiaTheme="minorEastAsia"/>
          <w:b/>
          <w:color w:val="auto"/>
          <w:sz w:val="24"/>
          <w:highlight w:val="none"/>
        </w:rPr>
      </w:pPr>
      <w:bookmarkStart w:id="22" w:name="_Toc31871"/>
      <w:bookmarkStart w:id="23" w:name="_Toc13117"/>
      <w:r>
        <w:rPr>
          <w:rFonts w:hint="eastAsia" w:asciiTheme="minorEastAsia" w:hAnsiTheme="minorEastAsia" w:eastAsiaTheme="minorEastAsia"/>
          <w:b/>
          <w:color w:val="auto"/>
          <w:sz w:val="24"/>
          <w:highlight w:val="none"/>
        </w:rPr>
        <w:t>二、评标方法</w:t>
      </w:r>
      <w:bookmarkEnd w:id="22"/>
      <w:bookmarkEnd w:id="23"/>
    </w:p>
    <w:p w14:paraId="3B86B615">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648"/>
        <w:gridCol w:w="4558"/>
        <w:gridCol w:w="2220"/>
      </w:tblGrid>
      <w:tr w14:paraId="250E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083" w:type="dxa"/>
            <w:gridSpan w:val="4"/>
            <w:tcBorders>
              <w:bottom w:val="single" w:color="auto" w:sz="4" w:space="0"/>
            </w:tcBorders>
            <w:vAlign w:val="center"/>
          </w:tcPr>
          <w:p w14:paraId="5D86996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0C6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454A86A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48" w:type="dxa"/>
            <w:tcBorders>
              <w:bottom w:val="single" w:color="auto" w:sz="4" w:space="0"/>
            </w:tcBorders>
            <w:vAlign w:val="center"/>
          </w:tcPr>
          <w:p w14:paraId="32DD83D0">
            <w:pPr>
              <w:pStyle w:val="47"/>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4558" w:type="dxa"/>
            <w:tcBorders>
              <w:bottom w:val="single" w:color="auto" w:sz="4" w:space="0"/>
            </w:tcBorders>
            <w:vAlign w:val="center"/>
          </w:tcPr>
          <w:p w14:paraId="4486D6B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2220" w:type="dxa"/>
            <w:tcBorders>
              <w:bottom w:val="single" w:color="auto" w:sz="4" w:space="0"/>
            </w:tcBorders>
            <w:vAlign w:val="center"/>
          </w:tcPr>
          <w:p w14:paraId="74D83E5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63D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7" w:type="dxa"/>
            <w:tcBorders>
              <w:bottom w:val="single" w:color="auto" w:sz="4" w:space="0"/>
            </w:tcBorders>
            <w:vAlign w:val="center"/>
          </w:tcPr>
          <w:p w14:paraId="3926B5BF">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1648" w:type="dxa"/>
            <w:tcBorders>
              <w:bottom w:val="single" w:color="auto" w:sz="4" w:space="0"/>
            </w:tcBorders>
            <w:vAlign w:val="center"/>
          </w:tcPr>
          <w:p w14:paraId="6512097A">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58" w:type="dxa"/>
            <w:tcBorders>
              <w:bottom w:val="single" w:color="auto" w:sz="4" w:space="0"/>
            </w:tcBorders>
            <w:vAlign w:val="center"/>
          </w:tcPr>
          <w:p w14:paraId="2A32AE42">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5E6AA3A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6BCA80C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1D819089">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1FE2015">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2220" w:type="dxa"/>
            <w:vAlign w:val="center"/>
          </w:tcPr>
          <w:p w14:paraId="462D73B4">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90A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7" w:type="dxa"/>
            <w:tcBorders>
              <w:bottom w:val="single" w:color="auto" w:sz="4" w:space="0"/>
            </w:tcBorders>
            <w:vAlign w:val="center"/>
          </w:tcPr>
          <w:p w14:paraId="34896A4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1648" w:type="dxa"/>
            <w:tcBorders>
              <w:bottom w:val="single" w:color="auto" w:sz="4" w:space="0"/>
            </w:tcBorders>
            <w:vAlign w:val="center"/>
          </w:tcPr>
          <w:p w14:paraId="13CBE10D">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4558" w:type="dxa"/>
            <w:tcBorders>
              <w:bottom w:val="single" w:color="auto" w:sz="4" w:space="0"/>
            </w:tcBorders>
            <w:vAlign w:val="center"/>
          </w:tcPr>
          <w:p w14:paraId="4D0FA4F2">
            <w:pPr>
              <w:spacing w:after="50" w:line="360" w:lineRule="auto"/>
              <w:ind w:right="-1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提</w:t>
            </w:r>
            <w:r>
              <w:rPr>
                <w:rFonts w:ascii="宋体" w:hAnsi="宋体" w:eastAsia="宋体" w:cs="宋体"/>
                <w:color w:val="auto"/>
                <w:spacing w:val="-2"/>
                <w:sz w:val="24"/>
                <w:szCs w:val="24"/>
                <w:highlight w:val="none"/>
              </w:rPr>
              <w:t>供符合招标文件要求的《投标人资格声明书》</w:t>
            </w:r>
            <w:r>
              <w:rPr>
                <w:rFonts w:hint="eastAsia" w:ascii="宋体" w:hAnsi="宋体" w:eastAsia="宋体" w:cs="宋体"/>
                <w:color w:val="auto"/>
                <w:spacing w:val="-2"/>
                <w:sz w:val="24"/>
                <w:szCs w:val="24"/>
                <w:highlight w:val="none"/>
                <w:lang w:eastAsia="zh-CN"/>
              </w:rPr>
              <w:t>。</w:t>
            </w:r>
          </w:p>
        </w:tc>
        <w:tc>
          <w:tcPr>
            <w:tcW w:w="2220" w:type="dxa"/>
            <w:vAlign w:val="center"/>
          </w:tcPr>
          <w:p w14:paraId="13AC71D8">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27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41F6ABCC">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1648" w:type="dxa"/>
            <w:tcBorders>
              <w:bottom w:val="single" w:color="auto" w:sz="4" w:space="0"/>
            </w:tcBorders>
            <w:vAlign w:val="center"/>
          </w:tcPr>
          <w:p w14:paraId="4307EB43">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58" w:type="dxa"/>
            <w:tcBorders>
              <w:bottom w:val="single" w:color="auto" w:sz="4" w:space="0"/>
            </w:tcBorders>
            <w:vAlign w:val="center"/>
          </w:tcPr>
          <w:p w14:paraId="3D61E428">
            <w:pPr>
              <w:spacing w:after="50" w:line="360" w:lineRule="auto"/>
              <w:ind w:right="-10"/>
              <w:jc w:val="left"/>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投标人不得存在投标邀请第4 条信誉要求和投标人须知正文第14.2 条中的不良信用记录情形</w:t>
            </w:r>
          </w:p>
        </w:tc>
        <w:tc>
          <w:tcPr>
            <w:tcW w:w="2220" w:type="dxa"/>
            <w:tcBorders>
              <w:bottom w:val="single" w:color="auto" w:sz="4" w:space="0"/>
            </w:tcBorders>
            <w:vAlign w:val="center"/>
          </w:tcPr>
          <w:p w14:paraId="6BD95C08">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63DE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1B8CE4AC">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648" w:type="dxa"/>
            <w:tcBorders>
              <w:bottom w:val="single" w:color="auto" w:sz="4" w:space="0"/>
            </w:tcBorders>
            <w:vAlign w:val="center"/>
          </w:tcPr>
          <w:p w14:paraId="1A63CDF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4558" w:type="dxa"/>
            <w:tcBorders>
              <w:bottom w:val="single" w:color="auto" w:sz="4" w:space="0"/>
            </w:tcBorders>
            <w:vAlign w:val="center"/>
          </w:tcPr>
          <w:p w14:paraId="5C629B8D">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2220" w:type="dxa"/>
            <w:tcBorders>
              <w:bottom w:val="single" w:color="auto" w:sz="4" w:space="0"/>
            </w:tcBorders>
            <w:vAlign w:val="center"/>
          </w:tcPr>
          <w:p w14:paraId="52F1F2A5">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25FD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5CEDC28">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1648" w:type="dxa"/>
            <w:vAlign w:val="center"/>
          </w:tcPr>
          <w:p w14:paraId="29E7F7B6">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4558" w:type="dxa"/>
            <w:vAlign w:val="center"/>
          </w:tcPr>
          <w:p w14:paraId="44504172">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2220" w:type="dxa"/>
            <w:vAlign w:val="center"/>
          </w:tcPr>
          <w:p w14:paraId="717378FC">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052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729D063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w:t>
            </w:r>
          </w:p>
        </w:tc>
        <w:tc>
          <w:tcPr>
            <w:tcW w:w="1648" w:type="dxa"/>
            <w:shd w:val="clear" w:color="auto" w:fill="auto"/>
            <w:vAlign w:val="center"/>
          </w:tcPr>
          <w:p w14:paraId="07729EE1">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center"/>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z w:val="24"/>
                <w:szCs w:val="24"/>
                <w:highlight w:val="none"/>
              </w:rPr>
              <w:t>诚信投标承诺书</w:t>
            </w:r>
          </w:p>
        </w:tc>
        <w:tc>
          <w:tcPr>
            <w:tcW w:w="4558" w:type="dxa"/>
            <w:shd w:val="clear" w:color="auto" w:fill="auto"/>
            <w:vAlign w:val="center"/>
          </w:tcPr>
          <w:p w14:paraId="12940614">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en-US" w:bidi="ar-SA"/>
              </w:rPr>
              <w:t>格式、填写要求符合招标文件规定并加盖投标人电子签章</w:t>
            </w:r>
          </w:p>
        </w:tc>
        <w:tc>
          <w:tcPr>
            <w:tcW w:w="2220" w:type="dxa"/>
            <w:shd w:val="clear" w:color="auto" w:fill="auto"/>
            <w:vAlign w:val="center"/>
          </w:tcPr>
          <w:p w14:paraId="75E41404">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bl>
    <w:p w14:paraId="5E9B586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0D0D6195">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E0C84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755"/>
        <w:gridCol w:w="4065"/>
        <w:gridCol w:w="3292"/>
      </w:tblGrid>
      <w:tr w14:paraId="602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880" w:type="dxa"/>
            <w:gridSpan w:val="4"/>
            <w:tcBorders>
              <w:bottom w:val="single" w:color="auto" w:sz="4" w:space="0"/>
            </w:tcBorders>
            <w:vAlign w:val="center"/>
          </w:tcPr>
          <w:p w14:paraId="72075EF5">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4AB1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8" w:type="dxa"/>
            <w:tcBorders>
              <w:bottom w:val="single" w:color="auto" w:sz="4" w:space="0"/>
            </w:tcBorders>
            <w:vAlign w:val="center"/>
          </w:tcPr>
          <w:p w14:paraId="1050B22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755" w:type="dxa"/>
            <w:tcBorders>
              <w:bottom w:val="single" w:color="auto" w:sz="4" w:space="0"/>
            </w:tcBorders>
            <w:vAlign w:val="center"/>
          </w:tcPr>
          <w:p w14:paraId="55720AAD">
            <w:pPr>
              <w:pStyle w:val="47"/>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4065" w:type="dxa"/>
            <w:tcBorders>
              <w:bottom w:val="single" w:color="auto" w:sz="4" w:space="0"/>
            </w:tcBorders>
            <w:vAlign w:val="center"/>
          </w:tcPr>
          <w:p w14:paraId="02688923">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3292" w:type="dxa"/>
            <w:tcBorders>
              <w:bottom w:val="single" w:color="auto" w:sz="4" w:space="0"/>
            </w:tcBorders>
            <w:vAlign w:val="center"/>
          </w:tcPr>
          <w:p w14:paraId="0D00D07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FF1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36D958F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755" w:type="dxa"/>
            <w:vAlign w:val="center"/>
          </w:tcPr>
          <w:p w14:paraId="10BB98D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4065" w:type="dxa"/>
            <w:vAlign w:val="center"/>
          </w:tcPr>
          <w:p w14:paraId="446F814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4C85BD7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645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14CCB1E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755" w:type="dxa"/>
            <w:vAlign w:val="center"/>
          </w:tcPr>
          <w:p w14:paraId="230DA8E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4065" w:type="dxa"/>
            <w:vAlign w:val="center"/>
          </w:tcPr>
          <w:p w14:paraId="13F35D0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5F1DDEF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B5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2A036D3B">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755" w:type="dxa"/>
            <w:vAlign w:val="center"/>
          </w:tcPr>
          <w:p w14:paraId="49EA192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4065" w:type="dxa"/>
            <w:vAlign w:val="center"/>
          </w:tcPr>
          <w:p w14:paraId="754454A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6F2571F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67F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4C5741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755" w:type="dxa"/>
            <w:vAlign w:val="center"/>
          </w:tcPr>
          <w:p w14:paraId="30EBDFF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4065" w:type="dxa"/>
            <w:vAlign w:val="center"/>
          </w:tcPr>
          <w:p w14:paraId="1D92A2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3292" w:type="dxa"/>
            <w:vAlign w:val="center"/>
          </w:tcPr>
          <w:p w14:paraId="43BC0DF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847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9209365">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755" w:type="dxa"/>
            <w:vAlign w:val="center"/>
          </w:tcPr>
          <w:p w14:paraId="224294D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4065" w:type="dxa"/>
            <w:vAlign w:val="center"/>
          </w:tcPr>
          <w:p w14:paraId="4E99DD8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3292" w:type="dxa"/>
            <w:vAlign w:val="center"/>
          </w:tcPr>
          <w:p w14:paraId="7014B2B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24B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5C1F21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755" w:type="dxa"/>
            <w:vAlign w:val="center"/>
          </w:tcPr>
          <w:p w14:paraId="1DD2487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4065" w:type="dxa"/>
            <w:vAlign w:val="center"/>
          </w:tcPr>
          <w:p w14:paraId="08931F2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3292" w:type="dxa"/>
            <w:vAlign w:val="center"/>
          </w:tcPr>
          <w:p w14:paraId="5F72D22E">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56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064B52F4">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755" w:type="dxa"/>
            <w:vAlign w:val="center"/>
          </w:tcPr>
          <w:p w14:paraId="31D1B89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4065" w:type="dxa"/>
            <w:vAlign w:val="center"/>
          </w:tcPr>
          <w:p w14:paraId="4F2F768D">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3292" w:type="dxa"/>
            <w:vAlign w:val="center"/>
          </w:tcPr>
          <w:p w14:paraId="205B171C">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261FD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EB777C9">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7"/>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450"/>
        <w:gridCol w:w="4438"/>
        <w:gridCol w:w="2260"/>
      </w:tblGrid>
      <w:tr w14:paraId="0575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3" w:type="dxa"/>
            <w:gridSpan w:val="4"/>
            <w:tcBorders>
              <w:bottom w:val="single" w:color="auto" w:sz="4" w:space="0"/>
            </w:tcBorders>
            <w:vAlign w:val="center"/>
          </w:tcPr>
          <w:p w14:paraId="19D6ACEF">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31C5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C5980E2">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30996A0D">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8" w:type="dxa"/>
            <w:tcBorders>
              <w:bottom w:val="single" w:color="auto" w:sz="4" w:space="0"/>
            </w:tcBorders>
            <w:vAlign w:val="center"/>
          </w:tcPr>
          <w:p w14:paraId="2C56D80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0C9A1974">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6AF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D15924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008FA46E">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8" w:type="dxa"/>
            <w:tcBorders>
              <w:bottom w:val="single" w:color="auto" w:sz="4" w:space="0"/>
            </w:tcBorders>
            <w:vAlign w:val="center"/>
          </w:tcPr>
          <w:p w14:paraId="723CEB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19DF5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3983C2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6581ED1F">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0E0CE879">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E41F8C0">
            <w:pPr>
              <w:pStyle w:val="9"/>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5ADBDEF7">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0B46C512">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19598B">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21120D76">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4628F7E7">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0D9164D9">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635DD8D7">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770E6A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6D270A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7"/>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221"/>
        <w:gridCol w:w="6321"/>
        <w:gridCol w:w="1193"/>
      </w:tblGrid>
      <w:tr w14:paraId="4FBF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22" w:type="dxa"/>
            <w:tcBorders>
              <w:top w:val="single" w:color="auto" w:sz="4" w:space="0"/>
              <w:left w:val="single" w:color="auto" w:sz="4" w:space="0"/>
              <w:bottom w:val="single" w:color="auto" w:sz="4" w:space="0"/>
              <w:right w:val="single" w:color="auto" w:sz="4" w:space="0"/>
            </w:tcBorders>
            <w:vAlign w:val="center"/>
          </w:tcPr>
          <w:p w14:paraId="53B5B67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221" w:type="dxa"/>
            <w:tcBorders>
              <w:top w:val="single" w:color="auto" w:sz="4" w:space="0"/>
              <w:left w:val="single" w:color="auto" w:sz="4" w:space="0"/>
              <w:bottom w:val="single" w:color="auto" w:sz="4" w:space="0"/>
              <w:right w:val="single" w:color="auto" w:sz="4" w:space="0"/>
            </w:tcBorders>
            <w:vAlign w:val="center"/>
          </w:tcPr>
          <w:p w14:paraId="1FC3310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6321" w:type="dxa"/>
            <w:tcBorders>
              <w:top w:val="single" w:color="auto" w:sz="4" w:space="0"/>
              <w:left w:val="single" w:color="auto" w:sz="4" w:space="0"/>
              <w:bottom w:val="single" w:color="auto" w:sz="4" w:space="0"/>
              <w:right w:val="single" w:color="auto" w:sz="4" w:space="0"/>
            </w:tcBorders>
            <w:vAlign w:val="center"/>
          </w:tcPr>
          <w:p w14:paraId="082FC86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1193" w:type="dxa"/>
            <w:tcBorders>
              <w:top w:val="single" w:color="auto" w:sz="4" w:space="0"/>
              <w:left w:val="single" w:color="auto" w:sz="4" w:space="0"/>
              <w:bottom w:val="single" w:color="auto" w:sz="4" w:space="0"/>
              <w:right w:val="single" w:color="auto" w:sz="4" w:space="0"/>
            </w:tcBorders>
            <w:vAlign w:val="center"/>
          </w:tcPr>
          <w:p w14:paraId="203DB93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2CFA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restart"/>
            <w:tcBorders>
              <w:top w:val="single" w:color="auto" w:sz="4" w:space="0"/>
              <w:left w:val="single" w:color="auto" w:sz="4" w:space="0"/>
              <w:right w:val="single" w:color="auto" w:sz="4" w:space="0"/>
            </w:tcBorders>
            <w:vAlign w:val="center"/>
          </w:tcPr>
          <w:p w14:paraId="2FDE985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1CEE7AE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1221" w:type="dxa"/>
            <w:tcBorders>
              <w:top w:val="single" w:color="auto" w:sz="4" w:space="0"/>
              <w:left w:val="single" w:color="auto" w:sz="4" w:space="0"/>
              <w:bottom w:val="single" w:color="auto" w:sz="4" w:space="0"/>
              <w:right w:val="single" w:color="auto" w:sz="4" w:space="0"/>
            </w:tcBorders>
            <w:vAlign w:val="center"/>
          </w:tcPr>
          <w:p w14:paraId="40626FE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投标人业绩</w:t>
            </w:r>
          </w:p>
        </w:tc>
        <w:tc>
          <w:tcPr>
            <w:tcW w:w="6321" w:type="dxa"/>
            <w:tcBorders>
              <w:top w:val="single" w:color="auto" w:sz="4" w:space="0"/>
              <w:left w:val="single" w:color="auto" w:sz="4" w:space="0"/>
              <w:bottom w:val="single" w:color="auto" w:sz="4" w:space="0"/>
              <w:right w:val="single" w:color="auto" w:sz="4" w:space="0"/>
            </w:tcBorders>
            <w:vAlign w:val="center"/>
          </w:tcPr>
          <w:p w14:paraId="54F1224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自202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年1月1日</w:t>
            </w:r>
            <w:r>
              <w:rPr>
                <w:rFonts w:hint="eastAsia" w:ascii="宋体" w:hAnsi="宋体" w:eastAsia="宋体" w:cs="宋体"/>
                <w:color w:val="auto"/>
                <w:sz w:val="24"/>
                <w:szCs w:val="24"/>
                <w:highlight w:val="none"/>
                <w:lang w:val="en-US" w:eastAsia="zh-CN"/>
              </w:rPr>
              <w:t>至投标截止日</w:t>
            </w:r>
            <w:r>
              <w:rPr>
                <w:rFonts w:hint="eastAsia" w:ascii="宋体" w:hAnsi="宋体" w:eastAsia="宋体" w:cs="宋体"/>
                <w:sz w:val="24"/>
                <w:highlight w:val="none"/>
              </w:rPr>
              <w:t>（以合同签订时间为准）</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lang w:val="en-US" w:eastAsia="zh-CN"/>
              </w:rPr>
              <w:t>具有车辆供货业绩（且须包含</w:t>
            </w:r>
            <w:r>
              <w:rPr>
                <w:rFonts w:hint="eastAsia" w:asciiTheme="minorEastAsia" w:hAnsiTheme="minorEastAsia" w:eastAsiaTheme="minorEastAsia" w:cstheme="minorEastAsia"/>
                <w:sz w:val="24"/>
                <w:highlight w:val="none"/>
              </w:rPr>
              <w:t>通信指挥车</w:t>
            </w:r>
            <w:r>
              <w:rPr>
                <w:rFonts w:hint="eastAsia" w:asciiTheme="minorEastAsia" w:hAnsiTheme="minorEastAsia" w:eastAsiaTheme="minorEastAsia" w:cstheme="minorEastAsia"/>
                <w:sz w:val="24"/>
                <w:highlight w:val="none"/>
                <w:lang w:val="en-US" w:eastAsia="zh-CN"/>
              </w:rPr>
              <w:t>供货</w:t>
            </w:r>
            <w:r>
              <w:rPr>
                <w:rFonts w:hint="eastAsia" w:asciiTheme="minorEastAsia" w:hAnsiTheme="minorEastAsia" w:eastAsiaTheme="minorEastAsia"/>
                <w:bCs/>
                <w:color w:val="auto"/>
                <w:sz w:val="24"/>
                <w:szCs w:val="18"/>
                <w:highlight w:val="none"/>
                <w:lang w:val="en-US" w:eastAsia="zh-CN"/>
              </w:rPr>
              <w:t>内容</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zh-CN" w:eastAsia="zh-CN"/>
              </w:rPr>
              <w:t>，每提供</w:t>
            </w:r>
            <w:r>
              <w:rPr>
                <w:rFonts w:hint="eastAsia" w:ascii="宋体" w:hAnsi="宋体" w:eastAsia="宋体" w:cs="宋体"/>
                <w:color w:val="auto"/>
                <w:sz w:val="24"/>
                <w:szCs w:val="24"/>
                <w:highlight w:val="none"/>
                <w:lang w:val="en-US" w:eastAsia="zh-CN"/>
              </w:rPr>
              <w:t>1个</w:t>
            </w:r>
            <w:r>
              <w:rPr>
                <w:rFonts w:hint="eastAsia" w:ascii="宋体" w:hAnsi="宋体" w:eastAsia="宋体" w:cs="宋体"/>
                <w:color w:val="auto"/>
                <w:sz w:val="24"/>
                <w:szCs w:val="24"/>
                <w:highlight w:val="none"/>
                <w:lang w:val="zh-CN" w:eastAsia="zh-CN"/>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分，</w:t>
            </w:r>
            <w:r>
              <w:rPr>
                <w:rFonts w:hint="eastAsia" w:ascii="宋体" w:hAnsi="宋体" w:eastAsia="宋体" w:cs="宋体"/>
                <w:color w:val="auto"/>
                <w:sz w:val="24"/>
                <w:szCs w:val="24"/>
                <w:highlight w:val="none"/>
                <w:lang w:val="en-US" w:eastAsia="zh-CN"/>
              </w:rPr>
              <w:t>其他的不得分，满分4分。</w:t>
            </w:r>
          </w:p>
          <w:p w14:paraId="36982F0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注：①投标文件中提供业绩合同扫描件；若合同材料中无法体现签订时间、供货内容等关键评审因素的，须另附业主（合同甲方）出具的证明材料，未提供或提供不全的不得分。</w:t>
            </w:r>
          </w:p>
          <w:p w14:paraId="265B34B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②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1193" w:type="dxa"/>
            <w:tcBorders>
              <w:top w:val="single" w:color="auto" w:sz="4" w:space="0"/>
              <w:left w:val="single" w:color="auto" w:sz="4" w:space="0"/>
              <w:bottom w:val="single" w:color="auto" w:sz="4" w:space="0"/>
              <w:right w:val="single" w:color="auto" w:sz="4" w:space="0"/>
            </w:tcBorders>
            <w:vAlign w:val="center"/>
          </w:tcPr>
          <w:p w14:paraId="6473618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0-4分</w:t>
            </w:r>
          </w:p>
        </w:tc>
      </w:tr>
      <w:tr w14:paraId="4CF5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114C290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49CCB2E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rPr>
              <w:t>技术参数响应</w:t>
            </w:r>
          </w:p>
        </w:tc>
        <w:tc>
          <w:tcPr>
            <w:tcW w:w="6321" w:type="dxa"/>
            <w:tcBorders>
              <w:top w:val="single" w:color="auto" w:sz="4" w:space="0"/>
              <w:left w:val="single" w:color="auto" w:sz="4" w:space="0"/>
              <w:bottom w:val="single" w:color="auto" w:sz="4" w:space="0"/>
              <w:right w:val="single" w:color="auto" w:sz="4" w:space="0"/>
            </w:tcBorders>
            <w:vAlign w:val="center"/>
          </w:tcPr>
          <w:p w14:paraId="68F2390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（1）标“★”的技术参数为必须满足内容，负偏离或未提供的按无效标处理。 </w:t>
            </w:r>
          </w:p>
          <w:p w14:paraId="271942A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（2）标“■”的技术参数，每满足或优于一项得2分，共17项，满分34分；</w:t>
            </w:r>
          </w:p>
          <w:p w14:paraId="70F8E22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（3）标“</w:t>
            </w:r>
            <w:r>
              <w:rPr>
                <w:rFonts w:hint="eastAsia" w:ascii="宋体" w:hAnsi="宋体" w:eastAsia="宋体" w:cs="宋体"/>
                <w:highlight w:val="none"/>
              </w:rPr>
              <w:t>●</w:t>
            </w:r>
            <w:r>
              <w:rPr>
                <w:rFonts w:hint="eastAsia" w:ascii="宋体" w:hAnsi="宋体" w:eastAsia="宋体" w:cs="宋体"/>
                <w:color w:val="auto"/>
                <w:sz w:val="24"/>
                <w:szCs w:val="24"/>
                <w:highlight w:val="none"/>
                <w:lang w:val="en-US" w:eastAsia="zh-CN"/>
              </w:rPr>
              <w:t xml:space="preserve">”的技术参数，每满足或优于一项得0.5分，共26项，满分13分； </w:t>
            </w:r>
          </w:p>
          <w:p w14:paraId="29E72DE9">
            <w:pPr>
              <w:keepNext w:val="0"/>
              <w:keepLines w:val="0"/>
              <w:pageBreakBefore w:val="0"/>
              <w:widowControl w:val="0"/>
              <w:kinsoku/>
              <w:wordWrap/>
              <w:overflowPunct/>
              <w:topLinePunct w:val="0"/>
              <w:autoSpaceDE/>
              <w:autoSpaceDN/>
              <w:bidi w:val="0"/>
              <w:spacing w:line="50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注：①以投标响应表响应程度和“技术参数及要求”中要求提供的证明材料（如有要求）作为评审依据。</w:t>
            </w:r>
          </w:p>
          <w:p w14:paraId="411464B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②如某项标识中包含多条技术参数或要求，则该项标识所含内容均需满足或优于招标文件要求，否则不予认可。 </w:t>
            </w:r>
          </w:p>
          <w:p w14:paraId="121A510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③本项内所有内容技术参数响应情况投标人须依据所投产品如实填写，若自填响应或正偏离，供货时实际产品不响应或负偏离；或未按投标时的承诺提供合格的检测报告的；采购人有权上报相关部门，按相关法律处理。</w:t>
            </w:r>
          </w:p>
        </w:tc>
        <w:tc>
          <w:tcPr>
            <w:tcW w:w="1193" w:type="dxa"/>
            <w:tcBorders>
              <w:top w:val="single" w:color="auto" w:sz="4" w:space="0"/>
              <w:left w:val="single" w:color="auto" w:sz="4" w:space="0"/>
              <w:bottom w:val="single" w:color="auto" w:sz="4" w:space="0"/>
              <w:right w:val="single" w:color="auto" w:sz="4" w:space="0"/>
            </w:tcBorders>
            <w:vAlign w:val="center"/>
          </w:tcPr>
          <w:p w14:paraId="47900304">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Cs/>
                <w:sz w:val="24"/>
              </w:rPr>
              <w:t>0-</w:t>
            </w:r>
            <w:r>
              <w:rPr>
                <w:rFonts w:hint="eastAsia" w:ascii="宋体" w:hAnsi="宋体" w:eastAsia="宋体" w:cs="宋体"/>
                <w:bCs/>
                <w:sz w:val="24"/>
                <w:lang w:val="en-US" w:eastAsia="zh-CN"/>
              </w:rPr>
              <w:t>47</w:t>
            </w:r>
            <w:r>
              <w:rPr>
                <w:rFonts w:hint="eastAsia" w:ascii="宋体" w:hAnsi="宋体" w:eastAsia="宋体" w:cs="宋体"/>
                <w:bCs/>
                <w:sz w:val="24"/>
              </w:rPr>
              <w:t>分</w:t>
            </w:r>
          </w:p>
        </w:tc>
      </w:tr>
      <w:tr w14:paraId="6724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129D8CA7">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5B0559F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供货安装方案</w:t>
            </w:r>
          </w:p>
          <w:p w14:paraId="717D2375">
            <w:pPr>
              <w:jc w:val="center"/>
              <w:rPr>
                <w:rFonts w:hint="eastAsia" w:ascii="宋体" w:hAnsi="宋体" w:eastAsia="宋体" w:cs="宋体"/>
                <w:bCs/>
                <w:color w:val="auto"/>
                <w:sz w:val="24"/>
                <w:szCs w:val="24"/>
                <w:highlight w:val="none"/>
              </w:rPr>
            </w:pPr>
          </w:p>
        </w:tc>
        <w:tc>
          <w:tcPr>
            <w:tcW w:w="6321" w:type="dxa"/>
            <w:tcBorders>
              <w:top w:val="single" w:color="auto" w:sz="4" w:space="0"/>
              <w:left w:val="single" w:color="auto" w:sz="4" w:space="0"/>
              <w:bottom w:val="single" w:color="auto" w:sz="4" w:space="0"/>
              <w:right w:val="single" w:color="auto" w:sz="4" w:space="0"/>
            </w:tcBorders>
            <w:vAlign w:val="top"/>
          </w:tcPr>
          <w:p w14:paraId="1F89024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根据投标人投标文件中提供的供货安装（调试）方案（包括项目供货安装（调试）方案、包装运输和验收方案）、质量控制保障体系、质量控制措施，由评标委员会根据上述内容进行综合评审： </w:t>
            </w:r>
          </w:p>
          <w:p w14:paraId="2F393D7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（1）供货安装、验收等实施方案详尽，进度、质量、安全保证方案及措施和协同配合方案完整且符合项目实际情况的，得5分； </w:t>
            </w:r>
          </w:p>
          <w:p w14:paraId="4C83B62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（2）供货安装、验收等实施方案齐全，进度、质量、安全保证方案及措施和协同配合方案简单且符合实际情况的，得3分； </w:t>
            </w:r>
          </w:p>
          <w:p w14:paraId="2EF67301">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（3）供货安装、验收内容简单，进度、质量、安全保证方案及措施和协同配合方案存在缺项，需要进一步完善的，得1分； </w:t>
            </w:r>
          </w:p>
          <w:p w14:paraId="25AA7AB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220C7C19">
            <w:pPr>
              <w:jc w:val="center"/>
              <w:rPr>
                <w:rFonts w:hint="eastAsia" w:ascii="宋体" w:hAnsi="宋体" w:eastAsia="宋体" w:cs="宋体"/>
                <w:sz w:val="24"/>
              </w:rPr>
            </w:pPr>
            <w:r>
              <w:rPr>
                <w:rFonts w:hint="eastAsia" w:ascii="宋体" w:hAnsi="宋体" w:eastAsia="宋体" w:cs="宋体"/>
                <w:sz w:val="24"/>
              </w:rPr>
              <w:t>0</w:t>
            </w:r>
            <w:r>
              <w:rPr>
                <w:rFonts w:hint="eastAsia" w:ascii="宋体" w:hAnsi="宋体" w:eastAsia="宋体" w:cs="宋体"/>
                <w:bCs/>
                <w:sz w:val="24"/>
              </w:rPr>
              <w:t>-</w:t>
            </w:r>
            <w:r>
              <w:rPr>
                <w:rFonts w:hint="eastAsia" w:ascii="宋体" w:hAnsi="宋体" w:eastAsia="宋体" w:cs="宋体"/>
                <w:bCs/>
                <w:sz w:val="24"/>
                <w:lang w:val="en-US" w:eastAsia="zh-CN"/>
              </w:rPr>
              <w:t>5</w:t>
            </w:r>
            <w:r>
              <w:rPr>
                <w:rFonts w:hint="eastAsia" w:ascii="宋体" w:hAnsi="宋体" w:eastAsia="宋体" w:cs="宋体"/>
                <w:sz w:val="24"/>
              </w:rPr>
              <w:t>分</w:t>
            </w:r>
          </w:p>
        </w:tc>
      </w:tr>
      <w:tr w14:paraId="7D15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7A4284DA">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59466939">
            <w:pPr>
              <w:spacing w:line="276" w:lineRule="auto"/>
              <w:jc w:val="center"/>
              <w:rPr>
                <w:rFonts w:ascii="Calibri" w:hAnsi="Calibri" w:eastAsia="宋体" w:cs="Calibri"/>
                <w:sz w:val="24"/>
                <w:szCs w:val="24"/>
              </w:rPr>
            </w:pPr>
            <w:r>
              <w:rPr>
                <w:rFonts w:ascii="Calibri" w:hAnsi="Calibri" w:eastAsia="宋体" w:cs="Calibri"/>
                <w:sz w:val="24"/>
                <w:szCs w:val="24"/>
              </w:rPr>
              <w:t>车辆改装及系统集成方案</w:t>
            </w:r>
          </w:p>
          <w:p w14:paraId="326367A3">
            <w:pPr>
              <w:jc w:val="center"/>
              <w:rPr>
                <w:rFonts w:hint="eastAsia" w:ascii="宋体" w:hAnsi="宋体" w:eastAsia="宋体" w:cs="宋体"/>
                <w:bCs/>
                <w:color w:val="auto"/>
                <w:kern w:val="2"/>
                <w:sz w:val="24"/>
                <w:szCs w:val="24"/>
                <w:highlight w:val="none"/>
                <w:lang w:val="en-US" w:eastAsia="zh-CN" w:bidi="ar-SA"/>
              </w:rPr>
            </w:pPr>
          </w:p>
        </w:tc>
        <w:tc>
          <w:tcPr>
            <w:tcW w:w="6321" w:type="dxa"/>
            <w:tcBorders>
              <w:top w:val="single" w:color="auto" w:sz="4" w:space="0"/>
              <w:left w:val="single" w:color="auto" w:sz="4" w:space="0"/>
              <w:bottom w:val="single" w:color="auto" w:sz="4" w:space="0"/>
              <w:right w:val="single" w:color="auto" w:sz="4" w:space="0"/>
            </w:tcBorders>
            <w:shd w:val="clear" w:color="auto" w:fill="auto"/>
            <w:vAlign w:val="top"/>
          </w:tcPr>
          <w:p w14:paraId="38B2378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投标文件提供车辆改装及系统集成方案，方案包括但不限于以下要素：</w:t>
            </w:r>
          </w:p>
          <w:p w14:paraId="5514E1B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1.方案总体要求：对项目需求分析等方面进行解读，提供项目总体设计方案；并对指挥车各系统组成及主要功能进行阐述；</w:t>
            </w:r>
          </w:p>
          <w:p w14:paraId="4186BD9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2.系统设计图：投标人根据项目实际需求，提供：总体技术架构、各通信系统设计原理图、中控逻辑图、配电原理图、结构设计图、车辆三维效果图等；</w:t>
            </w:r>
          </w:p>
          <w:p w14:paraId="2CC3FC6A">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3.投标设备品牌型号配置合理，符合采购人接入现有系统，满足采购人使用需求；</w:t>
            </w:r>
          </w:p>
          <w:p w14:paraId="188A3B65">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4.投标人所投车辆制造工艺情况，包括车辆材料；加工工艺；质量控制等。</w:t>
            </w:r>
          </w:p>
          <w:p w14:paraId="1D0DC20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评委根据提供的方案进行评审：</w:t>
            </w:r>
          </w:p>
          <w:p w14:paraId="1A7A4DF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①方案设计合理无要素缺失，结构布局采用行业先进理念，底盘可靠性高，投标设备完全符合使用要求，改装工艺先进可靠，完全满足采购需求得5分；</w:t>
            </w:r>
          </w:p>
          <w:p w14:paraId="4E518974">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②方案设计合理，投标设备符合使用要求，改装采用通用工艺，满足采购需求得3分；</w:t>
            </w:r>
          </w:p>
          <w:p w14:paraId="3AA4E11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③方案设计存在较大瑕疵，投标设备不完全符合使用要求，改装工艺落后，不完全满足采购需求得1分；</w:t>
            </w:r>
          </w:p>
          <w:p w14:paraId="6767CA2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④未提供的不得分。</w:t>
            </w:r>
          </w:p>
        </w:tc>
        <w:tc>
          <w:tcPr>
            <w:tcW w:w="1193" w:type="dxa"/>
            <w:tcBorders>
              <w:top w:val="single" w:color="auto" w:sz="4" w:space="0"/>
              <w:left w:val="single" w:color="auto" w:sz="4" w:space="0"/>
              <w:bottom w:val="single" w:color="auto" w:sz="4" w:space="0"/>
              <w:right w:val="single" w:color="auto" w:sz="4" w:space="0"/>
            </w:tcBorders>
            <w:shd w:val="clear" w:color="auto" w:fill="auto"/>
            <w:vAlign w:val="center"/>
          </w:tcPr>
          <w:p w14:paraId="5EC8983F">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sz w:val="24"/>
              </w:rPr>
              <w:t>0</w:t>
            </w:r>
            <w:r>
              <w:rPr>
                <w:rFonts w:hint="eastAsia" w:ascii="宋体" w:hAnsi="宋体" w:eastAsia="宋体" w:cs="宋体"/>
                <w:bCs/>
                <w:sz w:val="24"/>
              </w:rPr>
              <w:t>-</w:t>
            </w:r>
            <w:r>
              <w:rPr>
                <w:rFonts w:hint="eastAsia" w:ascii="宋体" w:hAnsi="宋体" w:eastAsia="宋体" w:cs="宋体"/>
                <w:bCs/>
                <w:sz w:val="24"/>
                <w:lang w:val="en-US" w:eastAsia="zh-CN"/>
              </w:rPr>
              <w:t>5</w:t>
            </w:r>
            <w:r>
              <w:rPr>
                <w:rFonts w:hint="eastAsia" w:ascii="宋体" w:hAnsi="宋体" w:eastAsia="宋体" w:cs="宋体"/>
                <w:sz w:val="24"/>
              </w:rPr>
              <w:t>分</w:t>
            </w:r>
          </w:p>
        </w:tc>
      </w:tr>
      <w:tr w14:paraId="34AD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2E2D93F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6511E88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售后服务方案</w:t>
            </w:r>
          </w:p>
        </w:tc>
        <w:tc>
          <w:tcPr>
            <w:tcW w:w="6321" w:type="dxa"/>
            <w:tcBorders>
              <w:top w:val="single" w:color="auto" w:sz="4" w:space="0"/>
              <w:left w:val="single" w:color="auto" w:sz="4" w:space="0"/>
              <w:bottom w:val="single" w:color="auto" w:sz="4" w:space="0"/>
              <w:right w:val="single" w:color="auto" w:sz="4" w:space="0"/>
            </w:tcBorders>
            <w:shd w:val="clear" w:color="auto" w:fill="auto"/>
            <w:vAlign w:val="center"/>
          </w:tcPr>
          <w:p w14:paraId="7900EDF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方案内容应详实、合理，售后服务响应时间，售后服务人员配备充足，能满足项目后期的维保需要。</w:t>
            </w:r>
          </w:p>
          <w:p w14:paraId="15FCABF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（1）售后服务措施详尽、维修响应时间及时、备件供应保障充足、人员售后配置详细、远程报修服务方案全面、实时维修统计详尽，能保障采购人获得高质量售后服务的，得5分。</w:t>
            </w:r>
          </w:p>
          <w:p w14:paraId="4011F8B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（2）售后服务措施完整、维修响应时间及时、具有备件供应保障措施、配置售后人员、具有远程报修服务的，得3分。 </w:t>
            </w:r>
          </w:p>
          <w:p w14:paraId="2874181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（3）售后服务措施、维修响应时间、备件供应保障、配置售后人员、远程报修服务措施不全或存在不足的，得1分。 </w:t>
            </w:r>
          </w:p>
          <w:p w14:paraId="439A516B">
            <w:pPr>
              <w:keepNext w:val="0"/>
              <w:keepLines w:val="0"/>
              <w:pageBreakBefore w:val="0"/>
              <w:widowControl w:val="0"/>
              <w:kinsoku/>
              <w:wordWrap/>
              <w:overflowPunct/>
              <w:topLinePunct w:val="0"/>
              <w:autoSpaceDE/>
              <w:autoSpaceDN/>
              <w:bidi w:val="0"/>
              <w:spacing w:line="500" w:lineRule="exact"/>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（4）方案不能满足项目要求或未提供的不得分。</w:t>
            </w:r>
          </w:p>
        </w:tc>
        <w:tc>
          <w:tcPr>
            <w:tcW w:w="1193" w:type="dxa"/>
            <w:tcBorders>
              <w:top w:val="single" w:color="auto" w:sz="4" w:space="0"/>
              <w:left w:val="single" w:color="auto" w:sz="4" w:space="0"/>
              <w:bottom w:val="single" w:color="auto" w:sz="4" w:space="0"/>
              <w:right w:val="single" w:color="auto" w:sz="4" w:space="0"/>
            </w:tcBorders>
            <w:shd w:val="clear" w:color="auto" w:fill="auto"/>
            <w:vAlign w:val="center"/>
          </w:tcPr>
          <w:p w14:paraId="5F870B1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0-5分</w:t>
            </w:r>
          </w:p>
        </w:tc>
      </w:tr>
      <w:tr w14:paraId="77BE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39FD11A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1877EF0B">
            <w:pPr>
              <w:widowControl/>
              <w:rPr>
                <w:rFonts w:hint="eastAsia" w:ascii="宋体" w:hAnsi="宋体" w:eastAsia="宋体" w:cs="宋体"/>
                <w:bCs/>
                <w:color w:val="auto"/>
                <w:sz w:val="24"/>
                <w:szCs w:val="24"/>
                <w:highlight w:val="none"/>
              </w:rPr>
            </w:pPr>
            <w:r>
              <w:rPr>
                <w:rFonts w:hint="eastAsia" w:ascii="宋体" w:hAnsi="宋体" w:eastAsia="宋体" w:cs="宋体"/>
                <w:color w:val="000000"/>
                <w:kern w:val="0"/>
                <w:sz w:val="24"/>
                <w:lang w:bidi="ar"/>
              </w:rPr>
              <w:t>培训方案</w:t>
            </w:r>
          </w:p>
        </w:tc>
        <w:tc>
          <w:tcPr>
            <w:tcW w:w="6321" w:type="dxa"/>
            <w:tcBorders>
              <w:top w:val="single" w:color="auto" w:sz="4" w:space="0"/>
              <w:left w:val="single" w:color="auto" w:sz="4" w:space="0"/>
              <w:bottom w:val="single" w:color="auto" w:sz="4" w:space="0"/>
              <w:right w:val="single" w:color="auto" w:sz="4" w:space="0"/>
            </w:tcBorders>
            <w:vAlign w:val="top"/>
          </w:tcPr>
          <w:p w14:paraId="2297D68A">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培训方案包含设备基础操作、日常保养维护、故障识别排查、实操训练，贴合本项目设备型号，培训计划合理、人员分工明确、可行。 </w:t>
            </w:r>
          </w:p>
          <w:p w14:paraId="3AFEDC21">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（1）培训方案详见完善，培训内容丰富，重点突出，培训计划详尽，满足项目实施要求，得4分； </w:t>
            </w:r>
          </w:p>
          <w:p w14:paraId="551625C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（2）方案内容完整，有培训重点，培训计划清晰，方案实施内容明确，得3分； </w:t>
            </w:r>
          </w:p>
          <w:p w14:paraId="5BD22EF1">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（3）方案内容简单，计划流程逻辑不通，存在不足，得1分； </w:t>
            </w:r>
          </w:p>
          <w:p w14:paraId="05C31B2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6266D886">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rPr>
              <w:t>0-</w:t>
            </w:r>
            <w:r>
              <w:rPr>
                <w:rFonts w:hint="eastAsia" w:ascii="宋体" w:hAnsi="宋体" w:eastAsia="宋体" w:cs="宋体"/>
                <w:bCs/>
                <w:sz w:val="24"/>
                <w:lang w:val="en-US" w:eastAsia="zh-CN"/>
              </w:rPr>
              <w:t>4</w:t>
            </w:r>
            <w:r>
              <w:rPr>
                <w:rFonts w:hint="eastAsia" w:ascii="宋体" w:hAnsi="宋体" w:eastAsia="宋体" w:cs="宋体"/>
                <w:sz w:val="24"/>
              </w:rPr>
              <w:t>分</w:t>
            </w:r>
          </w:p>
        </w:tc>
      </w:tr>
      <w:tr w14:paraId="6CB9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Borders>
              <w:left w:val="single" w:color="auto" w:sz="4" w:space="0"/>
              <w:right w:val="single" w:color="auto" w:sz="4" w:space="0"/>
            </w:tcBorders>
            <w:vAlign w:val="center"/>
          </w:tcPr>
          <w:p w14:paraId="41FCF30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55B8B8D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8735" w:type="dxa"/>
            <w:gridSpan w:val="3"/>
            <w:tcBorders>
              <w:top w:val="single" w:color="auto" w:sz="4" w:space="0"/>
              <w:left w:val="single" w:color="auto" w:sz="4" w:space="0"/>
              <w:bottom w:val="single" w:color="auto" w:sz="4" w:space="0"/>
              <w:right w:val="single" w:color="auto" w:sz="4" w:space="0"/>
            </w:tcBorders>
            <w:vAlign w:val="center"/>
          </w:tcPr>
          <w:p w14:paraId="3CF1945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分。其他投标人的价格分统一按照下列公式计算：</w:t>
            </w:r>
          </w:p>
          <w:p w14:paraId="1530682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％×100</w:t>
            </w:r>
          </w:p>
          <w:p w14:paraId="23891AF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注:上述价格如有前附表规定的扣除，则按扣除后价格参与评审</w:t>
            </w:r>
            <w:r>
              <w:rPr>
                <w:rFonts w:hint="eastAsia" w:ascii="宋体" w:hAnsi="宋体" w:eastAsia="宋体" w:cs="宋体"/>
                <w:b/>
                <w:bCs/>
                <w:color w:val="auto"/>
                <w:sz w:val="24"/>
                <w:szCs w:val="24"/>
                <w:highlight w:val="none"/>
                <w:lang w:eastAsia="zh-CN"/>
              </w:rPr>
              <w:t>。</w:t>
            </w:r>
          </w:p>
        </w:tc>
      </w:tr>
    </w:tbl>
    <w:p w14:paraId="743D57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674BF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7DC3DA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03445F43">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三、无效投标条款</w:t>
      </w:r>
    </w:p>
    <w:p w14:paraId="5A166EB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投标文件有下列情形之一的,其投标文件拒收:</w:t>
      </w:r>
    </w:p>
    <w:p w14:paraId="289E584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 未在开标截止时间前通过网上招标投标系统递交有效电子投标文件的，开标系统不予接收，投标将被拒绝。</w:t>
      </w:r>
    </w:p>
    <w:p w14:paraId="23A3319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871DE3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3.2投标人有下列情形之一的,资格审查后其投标作无效投标处理：</w:t>
      </w:r>
    </w:p>
    <w:p w14:paraId="3A188E8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(1)投标人为本项目提供招标代理服务的；</w:t>
      </w:r>
    </w:p>
    <w:p w14:paraId="2D9873A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(2)投标人与在本项目代理机构存在相互任职或工作的；</w:t>
      </w:r>
    </w:p>
    <w:p w14:paraId="424820E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kern w:val="0"/>
          <w:sz w:val="24"/>
          <w:szCs w:val="24"/>
          <w:highlight w:val="none"/>
          <w:lang w:val="en-US" w:eastAsia="zh-CN" w:bidi="ar"/>
        </w:rPr>
        <w:t>与采购人存在利害关系可能影响采购公正性的法人、其他组织或者个人；</w:t>
      </w:r>
    </w:p>
    <w:p w14:paraId="52776B63">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)招标公告写明专门面向中小企业采购，投标人提供的货物非中小企业制造的；</w:t>
      </w:r>
    </w:p>
    <w:p w14:paraId="7455628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)要求供应商以联合体形式参加采购活动，投标人非联合体或者联合协议中中小企业合同金额未达到应当达到的比例；</w:t>
      </w:r>
    </w:p>
    <w:p w14:paraId="05B95DF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)要求获得采购合同的供应商向中小企业分包，投标人未提供分包意向协议或者分包意向协议中中小企业合同金额未达到应当达到的比例；</w:t>
      </w:r>
    </w:p>
    <w:p w14:paraId="65CBEEC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)评标专家无法查看并检验电子投标文件中相关资料的；</w:t>
      </w:r>
    </w:p>
    <w:p w14:paraId="61B296D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)联合体投标未提交联合体协议的；</w:t>
      </w:r>
    </w:p>
    <w:p w14:paraId="0BFF5A0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)责令停产停业的；</w:t>
      </w:r>
    </w:p>
    <w:p w14:paraId="1BFAC61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)暂停或者取消参与政府采购项目资格的；</w:t>
      </w:r>
    </w:p>
    <w:p w14:paraId="4A59E82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lang w:eastAsia="zh-CN"/>
        </w:rPr>
        <w:t>)投标人单位负责人为同一人或者存在直接控股、管理关系的不同单位的；</w:t>
      </w:r>
    </w:p>
    <w:p w14:paraId="48A36ED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)投标人基本资格条件和特定资格条件中有一项及以上不符合要求的；</w:t>
      </w:r>
    </w:p>
    <w:p w14:paraId="3A7E340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0527831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39D710F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)投标人投标MAC地址</w:t>
      </w:r>
      <w:r>
        <w:rPr>
          <w:rFonts w:hint="eastAsia" w:ascii="宋体" w:hAnsi="宋体" w:eastAsia="宋体" w:cs="宋体"/>
          <w:color w:val="auto"/>
          <w:sz w:val="24"/>
          <w:highlight w:val="none"/>
          <w:lang w:val="en-US" w:eastAsia="zh-CN"/>
        </w:rPr>
        <w:t>一致</w:t>
      </w:r>
      <w:r>
        <w:rPr>
          <w:rFonts w:hint="eastAsia" w:ascii="宋体" w:hAnsi="宋体" w:eastAsia="宋体" w:cs="宋体"/>
          <w:color w:val="auto"/>
          <w:sz w:val="24"/>
          <w:highlight w:val="none"/>
          <w:lang w:eastAsia="zh-CN"/>
        </w:rPr>
        <w:t>，由评标委员会否决其投标；</w:t>
      </w:r>
    </w:p>
    <w:p w14:paraId="0559CF5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)投标人单方面出现其他投标人材料的；</w:t>
      </w:r>
    </w:p>
    <w:p w14:paraId="730487C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投标人联系人或联系电话相同的，</w:t>
      </w:r>
      <w:r>
        <w:rPr>
          <w:rFonts w:hint="eastAsia" w:ascii="宋体" w:hAnsi="宋体" w:eastAsia="宋体" w:cs="宋体"/>
          <w:color w:val="auto"/>
          <w:sz w:val="24"/>
          <w:highlight w:val="none"/>
          <w:lang w:eastAsia="zh-CN"/>
        </w:rPr>
        <w:t>由评标委员会否决其投标</w:t>
      </w:r>
      <w:r>
        <w:rPr>
          <w:rFonts w:hint="eastAsia" w:ascii="宋体" w:hAnsi="宋体" w:eastAsia="宋体" w:cs="宋体"/>
          <w:color w:val="auto"/>
          <w:sz w:val="24"/>
          <w:highlight w:val="none"/>
          <w:lang w:val="en-US" w:eastAsia="zh-CN"/>
        </w:rPr>
        <w:t>，并报告监管部门作不良行为处理和进一步调查；</w:t>
      </w:r>
    </w:p>
    <w:p w14:paraId="3710777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)招标公告未写明允许采购进口产品，投标人所投产品为进口产品的；</w:t>
      </w:r>
    </w:p>
    <w:p w14:paraId="023E1A0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)招标文件规定的其它无效投标情形。</w:t>
      </w:r>
    </w:p>
    <w:p w14:paraId="53746C4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3.3 投标人有下列情形之一的,符合性审查后其投标按无效投标处理：</w:t>
      </w:r>
    </w:p>
    <w:p w14:paraId="339C97C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(1)投标文件签字、盖章不全，经评标委员会一致认定对开评标内容有实质性影响并经公共资源交易监督部门核准的；</w:t>
      </w:r>
    </w:p>
    <w:p w14:paraId="0D05DC4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(2)未按规定的格式填写导致实质性内容不全以及实质上不响应，或者关键字迹模糊、无法辨认； 经公共资源交易监督部门核准的；</w:t>
      </w:r>
    </w:p>
    <w:p w14:paraId="06B691B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(3)同一投标人提交两个以上不同的投标文件或者投标报价，但招标文件规定提交备选方案的除外；</w:t>
      </w:r>
    </w:p>
    <w:p w14:paraId="3AF3BA0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(4)投标文件没有对招标文件的实质性要求和条件作出响应;</w:t>
      </w:r>
    </w:p>
    <w:p w14:paraId="68335D6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(5)投标报价超出规定的投标限价或公布的采购预算的或投标人的投标报价各项单价高于招标文件给定的单价最高限价；</w:t>
      </w:r>
    </w:p>
    <w:p w14:paraId="70C09B4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(6)不按评标委员会要求澄清、说明或补正的，或者评标委员会根据招标文件的规定对投标文件的计算错误进行修正后，投标人不接受修正的投标报价的。</w:t>
      </w:r>
    </w:p>
    <w:p w14:paraId="7A06681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(7)其它情形，经评标委员会委提出按无效投标处理，并经公共资源交易监督部门核准的；</w:t>
      </w:r>
    </w:p>
    <w:p w14:paraId="252C801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(8)投标文件含有采购人不能接受的附加条件的；</w:t>
      </w:r>
    </w:p>
    <w:p w14:paraId="010B50E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(9)招标文件规定的其它无效投标情形。</w:t>
      </w:r>
    </w:p>
    <w:p w14:paraId="2C862A7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3.4 投标人有下列情形之一的, 详细评审后其投标按无效投标处理：</w:t>
      </w:r>
    </w:p>
    <w:p w14:paraId="77FD2D7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(1)投标产品不符合必须强制执行的国家标准的；</w:t>
      </w:r>
    </w:p>
    <w:p w14:paraId="503C04A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(2)投标人有串通投标、弄虚作假、行贿等违法行为；</w:t>
      </w:r>
    </w:p>
    <w:p w14:paraId="74A1EFF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(3)投标文件含有违反国家法律、法规的内容，或附有采购人不能接受的条件的；</w:t>
      </w:r>
    </w:p>
    <w:p w14:paraId="14017A5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)拒不确认评标委员会评审修正的投标无效；</w:t>
      </w:r>
    </w:p>
    <w:p w14:paraId="72DC1A1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72E8B46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)招标文件规定的其它无效投标情形。</w:t>
      </w:r>
      <w:r>
        <w:rPr>
          <w:rFonts w:asciiTheme="minorEastAsia" w:hAnsiTheme="minorEastAsia" w:eastAsiaTheme="minorEastAsia"/>
          <w:color w:val="auto"/>
          <w:sz w:val="24"/>
          <w:highlight w:val="none"/>
        </w:rPr>
        <w:br w:type="page"/>
      </w:r>
    </w:p>
    <w:p w14:paraId="351A3E83">
      <w:p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p>
    <w:p w14:paraId="4D2194E4">
      <w:pPr>
        <w:pStyle w:val="10"/>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74333B52">
      <w:pPr>
        <w:pStyle w:val="10"/>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7901C5A">
      <w:pPr>
        <w:spacing w:line="360" w:lineRule="auto"/>
        <w:jc w:val="center"/>
        <w:outlineLvl w:val="1"/>
        <w:rPr>
          <w:rFonts w:hint="eastAsia" w:ascii="宋体" w:hAnsi="宋体" w:eastAsia="宋体"/>
          <w:b/>
          <w:color w:val="auto"/>
          <w:sz w:val="24"/>
          <w:highlight w:val="none"/>
        </w:rPr>
      </w:pPr>
    </w:p>
    <w:p w14:paraId="73984A86">
      <w:pPr>
        <w:spacing w:line="360" w:lineRule="auto"/>
        <w:jc w:val="center"/>
        <w:outlineLvl w:val="1"/>
        <w:rPr>
          <w:rFonts w:hint="eastAsia" w:ascii="宋体" w:hAnsi="宋体" w:eastAsia="宋体"/>
          <w:b/>
          <w:color w:val="auto"/>
          <w:sz w:val="24"/>
          <w:highlight w:val="none"/>
        </w:rPr>
      </w:pPr>
    </w:p>
    <w:p w14:paraId="0AACEF7C">
      <w:pPr>
        <w:spacing w:line="360" w:lineRule="auto"/>
        <w:jc w:val="center"/>
        <w:outlineLvl w:val="1"/>
        <w:rPr>
          <w:rFonts w:hint="eastAsia" w:ascii="宋体" w:hAnsi="宋体" w:eastAsia="宋体"/>
          <w:b/>
          <w:color w:val="auto"/>
          <w:sz w:val="24"/>
          <w:highlight w:val="none"/>
        </w:rPr>
      </w:pPr>
    </w:p>
    <w:p w14:paraId="26537742">
      <w:pPr>
        <w:spacing w:line="360" w:lineRule="auto"/>
        <w:jc w:val="center"/>
        <w:outlineLvl w:val="1"/>
        <w:rPr>
          <w:rFonts w:ascii="宋体" w:hAnsi="宋体" w:eastAsia="宋体"/>
          <w:b/>
          <w:color w:val="auto"/>
          <w:sz w:val="24"/>
          <w:highlight w:val="none"/>
        </w:rPr>
      </w:pPr>
    </w:p>
    <w:p w14:paraId="1843714D">
      <w:pPr>
        <w:spacing w:line="360" w:lineRule="auto"/>
        <w:jc w:val="center"/>
        <w:outlineLvl w:val="1"/>
        <w:rPr>
          <w:rFonts w:ascii="宋体" w:hAnsi="宋体" w:eastAsia="宋体"/>
          <w:b/>
          <w:color w:val="auto"/>
          <w:sz w:val="24"/>
          <w:highlight w:val="none"/>
        </w:rPr>
      </w:pPr>
    </w:p>
    <w:p w14:paraId="7A5108A8">
      <w:pPr>
        <w:spacing w:line="480" w:lineRule="auto"/>
        <w:jc w:val="center"/>
        <w:rPr>
          <w:rFonts w:ascii="宋体" w:hAnsi="宋体" w:eastAsia="宋体" w:cs="Times New Roman"/>
          <w:b/>
          <w:color w:val="auto"/>
          <w:sz w:val="24"/>
          <w:szCs w:val="24"/>
          <w:highlight w:val="none"/>
        </w:rPr>
      </w:pPr>
    </w:p>
    <w:p w14:paraId="69FAF866">
      <w:pPr>
        <w:spacing w:line="480" w:lineRule="auto"/>
        <w:jc w:val="center"/>
        <w:rPr>
          <w:rFonts w:ascii="宋体" w:hAnsi="宋体" w:eastAsia="宋体" w:cs="Times New Roman"/>
          <w:b/>
          <w:color w:val="auto"/>
          <w:sz w:val="24"/>
          <w:szCs w:val="24"/>
          <w:highlight w:val="none"/>
        </w:rPr>
      </w:pPr>
    </w:p>
    <w:p w14:paraId="07E1466D">
      <w:pPr>
        <w:spacing w:line="480" w:lineRule="auto"/>
        <w:jc w:val="center"/>
        <w:rPr>
          <w:rFonts w:ascii="宋体" w:hAnsi="宋体" w:eastAsia="宋体" w:cs="Times New Roman"/>
          <w:b/>
          <w:color w:val="auto"/>
          <w:sz w:val="24"/>
          <w:szCs w:val="24"/>
          <w:highlight w:val="none"/>
        </w:rPr>
      </w:pPr>
    </w:p>
    <w:p w14:paraId="1356B4D2">
      <w:pPr>
        <w:spacing w:line="480" w:lineRule="auto"/>
        <w:jc w:val="center"/>
        <w:rPr>
          <w:rFonts w:ascii="宋体" w:hAnsi="宋体" w:eastAsia="宋体" w:cs="Times New Roman"/>
          <w:b/>
          <w:color w:val="auto"/>
          <w:sz w:val="24"/>
          <w:szCs w:val="24"/>
          <w:highlight w:val="none"/>
        </w:rPr>
      </w:pPr>
    </w:p>
    <w:p w14:paraId="4E4EE8B3">
      <w:pPr>
        <w:spacing w:line="480" w:lineRule="auto"/>
        <w:jc w:val="center"/>
        <w:rPr>
          <w:rFonts w:ascii="宋体" w:hAnsi="宋体" w:eastAsia="宋体" w:cs="Times New Roman"/>
          <w:b/>
          <w:color w:val="auto"/>
          <w:sz w:val="24"/>
          <w:szCs w:val="24"/>
          <w:highlight w:val="none"/>
        </w:rPr>
      </w:pPr>
    </w:p>
    <w:p w14:paraId="57159716">
      <w:pPr>
        <w:spacing w:line="480" w:lineRule="auto"/>
        <w:jc w:val="center"/>
        <w:rPr>
          <w:rFonts w:ascii="宋体" w:hAnsi="宋体" w:eastAsia="宋体" w:cs="Times New Roman"/>
          <w:b/>
          <w:color w:val="auto"/>
          <w:sz w:val="24"/>
          <w:szCs w:val="24"/>
          <w:highlight w:val="none"/>
        </w:rPr>
      </w:pPr>
    </w:p>
    <w:p w14:paraId="75EBA8D9">
      <w:pPr>
        <w:spacing w:line="480" w:lineRule="auto"/>
        <w:jc w:val="center"/>
        <w:rPr>
          <w:rFonts w:ascii="宋体" w:hAnsi="宋体" w:eastAsia="宋体" w:cs="Times New Roman"/>
          <w:b/>
          <w:color w:val="auto"/>
          <w:sz w:val="24"/>
          <w:szCs w:val="24"/>
          <w:highlight w:val="none"/>
        </w:rPr>
      </w:pPr>
    </w:p>
    <w:p w14:paraId="4FBA8104">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滁州经开区通信指挥消防车（无人机运输）采购项目</w:t>
      </w:r>
    </w:p>
    <w:p w14:paraId="13D12F7A">
      <w:pPr>
        <w:spacing w:before="120" w:line="480" w:lineRule="auto"/>
        <w:ind w:left="96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520896BB">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rPr>
        <w:t xml:space="preserve">  </w:t>
      </w:r>
      <w:r>
        <w:rPr>
          <w:rFonts w:hint="eastAsia" w:ascii="宋体" w:hAnsi="宋体" w:eastAsia="宋体"/>
          <w:color w:val="auto"/>
          <w:sz w:val="24"/>
          <w:highlight w:val="none"/>
          <w:u w:val="single"/>
          <w:lang w:eastAsia="zh-CN"/>
        </w:rPr>
        <w:t>滁州经济技术开发区管理委员会</w:t>
      </w:r>
      <w:r>
        <w:rPr>
          <w:rFonts w:hint="eastAsia" w:ascii="宋体" w:hAnsi="宋体" w:eastAsia="宋体" w:cs="Times New Roman"/>
          <w:color w:val="auto"/>
          <w:sz w:val="24"/>
          <w:szCs w:val="24"/>
          <w:highlight w:val="none"/>
          <w:u w:val="single"/>
        </w:rPr>
        <w:t xml:space="preserve">  </w:t>
      </w:r>
    </w:p>
    <w:p w14:paraId="4BD6B553">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5156B0BB">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79C463D3">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114E6149">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39C108CE">
      <w:pPr>
        <w:spacing w:line="360" w:lineRule="auto"/>
        <w:jc w:val="center"/>
        <w:outlineLvl w:val="1"/>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第一节</w:t>
      </w:r>
      <w:r>
        <w:rPr>
          <w:rFonts w:hint="eastAsia" w:ascii="宋体" w:hAnsi="宋体" w:eastAsia="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政府采购合同协议书</w:t>
      </w:r>
    </w:p>
    <w:p w14:paraId="6947C0F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882E926">
      <w:pPr>
        <w:adjustRightInd w:val="0"/>
        <w:snapToGrid w:val="0"/>
        <w:spacing w:line="360" w:lineRule="auto"/>
        <w:ind w:left="4800" w:hanging="4800" w:hangingChars="2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（采购人、受采购人委托签订合同的单位或采购文件约定的合同甲方）</w:t>
      </w:r>
    </w:p>
    <w:p w14:paraId="50E5A7F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乙方1（全称）：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（供应商）</w:t>
      </w:r>
    </w:p>
    <w:p w14:paraId="30DA8FD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乙方2（全称）：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34E9EAF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乙方3（全称）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（联合体成员供应商或其他合同主体）（如有）</w:t>
      </w:r>
    </w:p>
    <w:p w14:paraId="0458633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E6D41C">
      <w:pPr>
        <w:pStyle w:val="22"/>
        <w:adjustRightInd w:val="0"/>
        <w:snapToGrid w:val="0"/>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C936840">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项目信息</w:t>
      </w:r>
    </w:p>
    <w:p w14:paraId="6BF42153">
      <w:pPr>
        <w:numPr>
          <w:ilvl w:val="0"/>
          <w:numId w:val="4"/>
        </w:numPr>
        <w:adjustRightInd w:val="0"/>
        <w:snapToGrid w:val="0"/>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lang w:bidi="ar"/>
        </w:rPr>
        <w:t>采购项目名称：</w:t>
      </w:r>
      <w:r>
        <w:rPr>
          <w:rFonts w:hint="eastAsia" w:ascii="宋体" w:hAnsi="宋体" w:eastAsia="宋体" w:cs="宋体"/>
          <w:color w:val="auto"/>
          <w:sz w:val="24"/>
          <w:szCs w:val="24"/>
          <w:highlight w:val="none"/>
          <w:u w:val="single"/>
          <w:lang w:eastAsia="zh-CN" w:bidi="ar"/>
        </w:rPr>
        <w:t>滁州经开区通信指挥消防车（无人机运输）采购项目</w:t>
      </w:r>
      <w:r>
        <w:rPr>
          <w:rFonts w:hint="eastAsia" w:ascii="宋体" w:hAnsi="宋体" w:eastAsia="宋体" w:cs="宋体"/>
          <w:color w:val="auto"/>
          <w:sz w:val="24"/>
          <w:szCs w:val="24"/>
          <w:highlight w:val="none"/>
          <w:u w:val="single"/>
          <w:lang w:bidi="ar"/>
        </w:rPr>
        <w:t xml:space="preserve"> </w:t>
      </w:r>
    </w:p>
    <w:p w14:paraId="1ACCE6B5">
      <w:pPr>
        <w:numPr>
          <w:ilvl w:val="0"/>
          <w:numId w:val="0"/>
        </w:numPr>
        <w:adjustRightInd w:val="0"/>
        <w:snapToGrid w:val="0"/>
        <w:spacing w:line="360" w:lineRule="auto"/>
        <w:ind w:firstLine="1200" w:firstLineChars="5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采购项目编号：</w:t>
      </w:r>
      <w:r>
        <w:rPr>
          <w:rFonts w:hint="eastAsia" w:ascii="宋体" w:hAnsi="宋体" w:eastAsia="宋体" w:cs="宋体"/>
          <w:color w:val="auto"/>
          <w:sz w:val="24"/>
          <w:szCs w:val="24"/>
          <w:highlight w:val="none"/>
          <w:u w:val="single"/>
          <w:lang w:bidi="ar"/>
        </w:rPr>
        <w:t xml:space="preserve">          </w:t>
      </w:r>
    </w:p>
    <w:p w14:paraId="3EB3B40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（2）采购计划编号：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CB08BA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（3）项目内容：</w:t>
      </w:r>
    </w:p>
    <w:p w14:paraId="63B09C3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采购标的及数量（台/套/个/架/组等）：</w:t>
      </w:r>
      <w:r>
        <w:rPr>
          <w:rFonts w:hint="eastAsia" w:ascii="宋体" w:hAnsi="宋体" w:eastAsia="宋体" w:cs="宋体"/>
          <w:color w:val="auto"/>
          <w:sz w:val="24"/>
          <w:szCs w:val="24"/>
          <w:highlight w:val="none"/>
          <w:u w:val="single"/>
          <w:lang w:bidi="ar"/>
        </w:rPr>
        <w:t xml:space="preserve">   详见采购需求    </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2E7399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p>
    <w:p w14:paraId="30425DBF">
      <w:pPr>
        <w:adjustRightInd w:val="0"/>
        <w:snapToGrid w:val="0"/>
        <w:spacing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采购标的的技术要求、商务要求具体见附件。</w:t>
      </w:r>
    </w:p>
    <w:p w14:paraId="43A1E84B">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①涉及信息类产品，请填写该产品关键部件的品牌、型号：</w:t>
      </w:r>
    </w:p>
    <w:p w14:paraId="2A6DDEF7">
      <w:pPr>
        <w:adjustRightInd w:val="0"/>
        <w:snapToGrid w:val="0"/>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bidi="ar"/>
        </w:rPr>
        <w:t xml:space="preserve">     标的名称：</w:t>
      </w:r>
      <w:r>
        <w:rPr>
          <w:rFonts w:hint="eastAsia" w:ascii="宋体" w:hAnsi="宋体" w:eastAsia="宋体" w:cs="宋体"/>
          <w:color w:val="auto"/>
          <w:kern w:val="0"/>
          <w:sz w:val="24"/>
          <w:szCs w:val="24"/>
          <w:highlight w:val="none"/>
          <w:u w:val="single"/>
          <w:lang w:bidi="ar"/>
        </w:rPr>
        <w:t xml:space="preserve">                         </w:t>
      </w:r>
    </w:p>
    <w:p w14:paraId="7FBC6EC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关键部件：</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sz w:val="24"/>
          <w:szCs w:val="24"/>
          <w:highlight w:val="none"/>
          <w:lang w:bidi="ar"/>
        </w:rPr>
        <w:t>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1D70B41F">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关键部件</w:t>
      </w:r>
      <w:r>
        <w:rPr>
          <w:rFonts w:hint="eastAsia" w:ascii="宋体" w:hAnsi="宋体" w:eastAsia="宋体" w:cs="宋体"/>
          <w:color w:val="auto"/>
          <w:szCs w:val="24"/>
          <w:highlight w:val="none"/>
          <w:lang w:bidi="ar"/>
        </w:rPr>
        <w:t>：</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w:t>
      </w:r>
    </w:p>
    <w:p w14:paraId="46D1CB2A">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关键部件：</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p>
    <w:p w14:paraId="5C27C847">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235A6A29">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w:t>
      </w:r>
      <w:r>
        <w:rPr>
          <w:rFonts w:hint="eastAsia" w:ascii="宋体" w:hAnsi="宋体" w:eastAsia="宋体" w:cs="宋体"/>
          <w:color w:val="auto"/>
          <w:kern w:val="0"/>
          <w:sz w:val="24"/>
          <w:szCs w:val="24"/>
          <w:highlight w:val="none"/>
          <w:lang w:bidi="ar"/>
        </w:rPr>
        <w:t>涉及车辆采购，请填写是否属于新能源汽车：</w:t>
      </w:r>
    </w:p>
    <w:p w14:paraId="6EF5162F">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□是，《政府采购品目分类目录》底级品目名称：</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数量：</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金额：</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w:t>
      </w:r>
    </w:p>
    <w:p w14:paraId="07FE5449">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szCs w:val="24"/>
          <w:highlight w:val="none"/>
          <w:lang w:eastAsia="zh-CN" w:bidi="ar"/>
        </w:rPr>
        <w:t>□</w:t>
      </w:r>
      <w:r>
        <w:rPr>
          <w:rFonts w:hint="eastAsia" w:ascii="宋体" w:hAnsi="宋体" w:eastAsia="宋体" w:cs="宋体"/>
          <w:color w:val="auto"/>
          <w:szCs w:val="24"/>
          <w:highlight w:val="none"/>
          <w:lang w:bidi="ar"/>
        </w:rPr>
        <w:t>否</w:t>
      </w:r>
    </w:p>
    <w:p w14:paraId="216541D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（4）政府采购组织形式：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 xml:space="preserve">政府集中采购  □部门集中采购  </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分散采购</w:t>
      </w:r>
    </w:p>
    <w:p w14:paraId="346BAB5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（5）政府采购方式：☑公开招标 □邀请招标 □竞争性谈判 □竞争性磋商</w:t>
      </w:r>
    </w:p>
    <w:p w14:paraId="1D2EA6E0">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□询价 □单一来源 □框架协议 □其他：</w:t>
      </w:r>
      <w:r>
        <w:rPr>
          <w:rFonts w:hint="eastAsia" w:ascii="宋体" w:hAnsi="宋体" w:eastAsia="宋体" w:cs="宋体"/>
          <w:color w:val="auto"/>
          <w:szCs w:val="24"/>
          <w:highlight w:val="none"/>
          <w:u w:val="single"/>
          <w:lang w:bidi="ar"/>
        </w:rPr>
        <w:t xml:space="preserve">   /   </w:t>
      </w:r>
    </w:p>
    <w:p w14:paraId="3899463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r>
        <w:rPr>
          <w:rFonts w:hint="eastAsia" w:ascii="宋体" w:hAnsi="宋体" w:eastAsia="宋体" w:cs="宋体"/>
          <w:color w:val="auto"/>
          <w:sz w:val="24"/>
          <w:szCs w:val="24"/>
          <w:highlight w:val="none"/>
          <w:lang w:bidi="ar"/>
        </w:rPr>
        <w:t>中标（成交）采购标的制造商是否为中小企业：</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是      □否</w:t>
      </w:r>
    </w:p>
    <w:p w14:paraId="08900EEF">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本合同是否为专门面向中小企业的采购合同（中小企业预留合同）：</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 xml:space="preserve">是    </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否</w:t>
      </w:r>
    </w:p>
    <w:p w14:paraId="558AC5E3">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若本项目不专门面向中小企业采购，是否给予小微企业评审优惠：</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是   □否</w:t>
      </w:r>
    </w:p>
    <w:p w14:paraId="7445845D">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中标（成交）采购标的制造商是否为残疾人福利性单位：</w:t>
      </w:r>
      <w:r>
        <w:rPr>
          <w:rFonts w:hint="eastAsia" w:ascii="宋体" w:hAnsi="宋体" w:eastAsia="宋体" w:cs="宋体"/>
          <w:iCs/>
          <w:color w:val="auto"/>
          <w:sz w:val="24"/>
          <w:szCs w:val="24"/>
          <w:highlight w:val="none"/>
          <w:lang w:bidi="ar"/>
        </w:rPr>
        <w:t>□是   □否</w:t>
      </w:r>
    </w:p>
    <w:p w14:paraId="329D291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中标（成交）采购标的制造商是否为监狱企业：</w:t>
      </w:r>
      <w:r>
        <w:rPr>
          <w:rFonts w:hint="eastAsia" w:ascii="宋体" w:hAnsi="宋体" w:eastAsia="宋体" w:cs="宋体"/>
          <w:iCs/>
          <w:color w:val="auto"/>
          <w:sz w:val="24"/>
          <w:szCs w:val="24"/>
          <w:highlight w:val="none"/>
          <w:lang w:bidi="ar"/>
        </w:rPr>
        <w:t>□是      □否</w:t>
      </w:r>
    </w:p>
    <w:p w14:paraId="363CD15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（7）合同是否分包：</w:t>
      </w:r>
      <w:r>
        <w:rPr>
          <w:rFonts w:hint="eastAsia" w:ascii="宋体" w:hAnsi="宋体" w:eastAsia="宋体" w:cs="宋体"/>
          <w:iCs/>
          <w:color w:val="auto"/>
          <w:sz w:val="24"/>
          <w:szCs w:val="24"/>
          <w:highlight w:val="none"/>
          <w:lang w:bidi="ar"/>
        </w:rPr>
        <w:t>□是       ☑否</w:t>
      </w:r>
    </w:p>
    <w:p w14:paraId="1D73202B">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分包主要内容：</w:t>
      </w:r>
      <w:r>
        <w:rPr>
          <w:rFonts w:hint="eastAsia" w:ascii="宋体" w:hAnsi="宋体" w:eastAsia="宋体" w:cs="宋体"/>
          <w:color w:val="auto"/>
          <w:sz w:val="24"/>
          <w:szCs w:val="24"/>
          <w:highlight w:val="none"/>
          <w:u w:val="single"/>
          <w:lang w:bidi="ar"/>
        </w:rPr>
        <w:t xml:space="preserve">     /                                      </w:t>
      </w:r>
    </w:p>
    <w:p w14:paraId="165A28F4">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分包供应商/制造商名称（如供应商和制造商不同，请分别填写）：</w:t>
      </w:r>
    </w:p>
    <w:p w14:paraId="4A56748E">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 xml:space="preserve">                /                                         </w:t>
      </w:r>
    </w:p>
    <w:p w14:paraId="33CB543A">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分包供应商/制造商类型（如果供应商和制造商不同，只填写制造商类型）：</w:t>
      </w:r>
    </w:p>
    <w:p w14:paraId="5CEDA586">
      <w:pPr>
        <w:adjustRightInd w:val="0"/>
        <w:snapToGrid w:val="0"/>
        <w:spacing w:line="360" w:lineRule="auto"/>
        <w:ind w:firstLine="960" w:firstLineChars="400"/>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□大型企业  □中型企业  □小微型企业  </w:t>
      </w:r>
    </w:p>
    <w:p w14:paraId="470B00B0">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iCs/>
          <w:color w:val="auto"/>
          <w:sz w:val="24"/>
          <w:szCs w:val="24"/>
          <w:highlight w:val="none"/>
          <w:lang w:bidi="ar"/>
        </w:rPr>
        <w:t>□残疾人福利性单位 □监狱企业 □其他</w:t>
      </w:r>
    </w:p>
    <w:p w14:paraId="27777C83">
      <w:pPr>
        <w:adjustRightInd w:val="0"/>
        <w:snapToGrid w:val="0"/>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（8）中标（成交）供应商是否为外商投资企业：</w:t>
      </w:r>
      <w:r>
        <w:rPr>
          <w:rFonts w:hint="eastAsia" w:ascii="宋体" w:hAnsi="宋体" w:eastAsia="宋体" w:cs="宋体"/>
          <w:iCs/>
          <w:color w:val="auto"/>
          <w:sz w:val="24"/>
          <w:szCs w:val="24"/>
          <w:highlight w:val="none"/>
          <w:lang w:bidi="ar"/>
        </w:rPr>
        <w:t>□是       □否</w:t>
      </w:r>
    </w:p>
    <w:p w14:paraId="726BE63E">
      <w:pPr>
        <w:pStyle w:val="22"/>
        <w:widowControl/>
        <w:tabs>
          <w:tab w:val="left" w:pos="1340"/>
        </w:tabs>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外商投资企业类型：</w:t>
      </w:r>
      <w:r>
        <w:rPr>
          <w:rFonts w:hint="eastAsia" w:ascii="宋体" w:hAnsi="宋体" w:eastAsia="宋体" w:cs="宋体"/>
          <w:iCs/>
          <w:color w:val="auto"/>
          <w:szCs w:val="24"/>
          <w:highlight w:val="none"/>
          <w:lang w:bidi="ar"/>
        </w:rPr>
        <w:t>□</w:t>
      </w:r>
      <w:r>
        <w:rPr>
          <w:rFonts w:hint="eastAsia" w:ascii="宋体" w:hAnsi="宋体" w:eastAsia="宋体" w:cs="宋体"/>
          <w:color w:val="auto"/>
          <w:szCs w:val="24"/>
          <w:highlight w:val="none"/>
          <w:lang w:bidi="ar"/>
        </w:rPr>
        <w:t xml:space="preserve">全部由外国投资者投资  </w:t>
      </w:r>
      <w:r>
        <w:rPr>
          <w:rFonts w:hint="eastAsia" w:ascii="宋体" w:hAnsi="宋体" w:eastAsia="宋体" w:cs="宋体"/>
          <w:iCs/>
          <w:color w:val="auto"/>
          <w:szCs w:val="24"/>
          <w:highlight w:val="none"/>
          <w:lang w:bidi="ar"/>
        </w:rPr>
        <w:t>□部分由外国投资者投资</w:t>
      </w:r>
    </w:p>
    <w:p w14:paraId="04C413D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（9）是否涉及进口产品：</w:t>
      </w:r>
    </w:p>
    <w:p w14:paraId="40BEF089">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□是，《政府采购品目分类目录》底级品目名称：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金额：</w:t>
      </w:r>
      <w:r>
        <w:rPr>
          <w:rFonts w:hint="eastAsia" w:ascii="宋体" w:hAnsi="宋体" w:eastAsia="宋体" w:cs="宋体"/>
          <w:color w:val="auto"/>
          <w:sz w:val="24"/>
          <w:szCs w:val="24"/>
          <w:highlight w:val="none"/>
          <w:u w:val="single"/>
          <w:lang w:bidi="ar"/>
        </w:rPr>
        <w:t xml:space="preserve">  /     </w:t>
      </w:r>
    </w:p>
    <w:p w14:paraId="2F250239">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国别：</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w:t>
      </w:r>
    </w:p>
    <w:p w14:paraId="65C9A321">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☑否</w:t>
      </w:r>
    </w:p>
    <w:p w14:paraId="45C2E66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（10）是否涉及节能产品：</w:t>
      </w:r>
    </w:p>
    <w:p w14:paraId="3F908880">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□是，《节能产品政府采购品目清单》的底级品目名称：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0F39E52E">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050FA63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否</w:t>
      </w:r>
    </w:p>
    <w:p w14:paraId="1EAE0D7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是否涉及环境标志产品：</w:t>
      </w:r>
    </w:p>
    <w:p w14:paraId="0AEF04D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□是，《环境标志产品政府采购品目清单》的底级品目名称：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47B630FE">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26A71D25">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18DC37B6">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 xml:space="preserve">是否涉及绿色产品： </w:t>
      </w:r>
    </w:p>
    <w:p w14:paraId="1D270A35">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szCs w:val="24"/>
          <w:highlight w:val="none"/>
          <w:u w:val="single"/>
        </w:rPr>
      </w:pPr>
      <w:r>
        <w:rPr>
          <w:rFonts w:hint="eastAsia" w:ascii="宋体" w:hAnsi="宋体" w:eastAsia="宋体" w:cs="宋体"/>
          <w:color w:val="auto"/>
          <w:kern w:val="2"/>
          <w:szCs w:val="24"/>
          <w:highlight w:val="none"/>
          <w:lang w:bidi="ar"/>
        </w:rPr>
        <w:t xml:space="preserve">     □是，绿色产品政府采购相关政策确定的底级品目名称：</w:t>
      </w:r>
      <w:r>
        <w:rPr>
          <w:rFonts w:hint="eastAsia" w:ascii="宋体" w:hAnsi="宋体" w:eastAsia="宋体" w:cs="宋体"/>
          <w:color w:val="auto"/>
          <w:szCs w:val="24"/>
          <w:highlight w:val="none"/>
          <w:u w:val="single"/>
          <w:lang w:bidi="ar"/>
        </w:rPr>
        <w:t xml:space="preserve">         </w:t>
      </w:r>
    </w:p>
    <w:p w14:paraId="64FB42AB">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2CFC558B">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kern w:val="2"/>
          <w:szCs w:val="24"/>
          <w:highlight w:val="none"/>
          <w:lang w:bidi="ar"/>
        </w:rPr>
      </w:pPr>
      <w:r>
        <w:rPr>
          <w:rFonts w:hint="eastAsia" w:ascii="宋体" w:hAnsi="宋体" w:eastAsia="宋体" w:cs="宋体"/>
          <w:color w:val="auto"/>
          <w:kern w:val="2"/>
          <w:szCs w:val="24"/>
          <w:highlight w:val="none"/>
          <w:lang w:bidi="ar"/>
        </w:rPr>
        <w:t xml:space="preserve">     □否</w:t>
      </w:r>
    </w:p>
    <w:p w14:paraId="2BCAA38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602DE332">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☑是       □否      □不涉及</w:t>
      </w:r>
    </w:p>
    <w:p w14:paraId="5F3FA54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合同金额</w:t>
      </w:r>
    </w:p>
    <w:p w14:paraId="18A1997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（1）合同金额小写：</w:t>
      </w:r>
      <w:r>
        <w:rPr>
          <w:rFonts w:hint="eastAsia" w:ascii="宋体" w:hAnsi="宋体" w:eastAsia="宋体" w:cs="宋体"/>
          <w:color w:val="auto"/>
          <w:sz w:val="24"/>
          <w:szCs w:val="24"/>
          <w:highlight w:val="none"/>
          <w:u w:val="single"/>
          <w:lang w:bidi="ar"/>
        </w:rPr>
        <w:t xml:space="preserve">                           </w:t>
      </w:r>
    </w:p>
    <w:p w14:paraId="7EC7D079">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w:t>
      </w:r>
    </w:p>
    <w:p w14:paraId="081247D2">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分包金额（如有）小写：</w:t>
      </w:r>
      <w:r>
        <w:rPr>
          <w:rFonts w:hint="eastAsia" w:ascii="宋体" w:hAnsi="宋体" w:eastAsia="宋体" w:cs="宋体"/>
          <w:color w:val="auto"/>
          <w:sz w:val="24"/>
          <w:szCs w:val="24"/>
          <w:highlight w:val="none"/>
          <w:u w:val="single"/>
          <w:lang w:bidi="ar"/>
        </w:rPr>
        <w:t xml:space="preserve">    /              </w:t>
      </w:r>
    </w:p>
    <w:p w14:paraId="1714E358">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               </w:t>
      </w:r>
    </w:p>
    <w:p w14:paraId="3710D7A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（注：固定单价合同应填写单价和最高限价）</w:t>
      </w:r>
    </w:p>
    <w:p w14:paraId="2345231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（2）合同定价方式（采用组合定价方式的，可以勾选多项）：</w:t>
      </w:r>
    </w:p>
    <w:p w14:paraId="6C48FB6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□固定总价 ☑固定单价 □固定费率 □成本补偿 □绩效激励 □其他</w:t>
      </w:r>
      <w:r>
        <w:rPr>
          <w:rFonts w:hint="eastAsia" w:ascii="宋体" w:hAnsi="宋体" w:eastAsia="宋体" w:cs="宋体"/>
          <w:color w:val="auto"/>
          <w:sz w:val="24"/>
          <w:szCs w:val="24"/>
          <w:highlight w:val="none"/>
          <w:u w:val="single"/>
          <w:lang w:bidi="ar"/>
        </w:rPr>
        <w:t xml:space="preserve">  /    </w:t>
      </w:r>
    </w:p>
    <w:p w14:paraId="0413C2D6">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（3）付款方式（按项目实际勾选填写）：</w:t>
      </w:r>
    </w:p>
    <w:p w14:paraId="4EB6F6E8">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□全额付款：</w:t>
      </w:r>
      <w:r>
        <w:rPr>
          <w:rFonts w:hint="eastAsia" w:ascii="宋体" w:hAnsi="宋体" w:eastAsia="宋体" w:cs="宋体"/>
          <w:color w:val="auto"/>
          <w:sz w:val="24"/>
          <w:szCs w:val="24"/>
          <w:highlight w:val="none"/>
          <w:u w:val="single"/>
          <w:lang w:bidi="ar"/>
        </w:rPr>
        <w:t xml:space="preserve">    /                    </w:t>
      </w:r>
    </w:p>
    <w:p w14:paraId="18037691">
      <w:pPr>
        <w:snapToGrid w:val="0"/>
        <w:spacing w:line="360" w:lineRule="auto"/>
        <w:ind w:firstLine="720" w:firstLineChars="3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bidi="ar"/>
        </w:rPr>
        <w:t>☑分期付款：</w:t>
      </w:r>
      <w:r>
        <w:rPr>
          <w:rFonts w:hint="eastAsia" w:ascii="宋体" w:hAnsi="宋体" w:eastAsia="宋体" w:cs="宋体"/>
          <w:color w:val="auto"/>
          <w:sz w:val="24"/>
          <w:szCs w:val="24"/>
          <w:highlight w:val="yellow"/>
          <w:u w:val="single"/>
          <w:lang w:eastAsia="zh-CN" w:bidi="ar"/>
        </w:rPr>
        <w:t>合同签订且具备实施条件后，支付合同价的</w:t>
      </w:r>
      <w:r>
        <w:rPr>
          <w:rFonts w:hint="eastAsia" w:ascii="宋体" w:hAnsi="宋体" w:eastAsia="宋体" w:cs="宋体"/>
          <w:color w:val="auto"/>
          <w:sz w:val="24"/>
          <w:szCs w:val="24"/>
          <w:highlight w:val="yellow"/>
          <w:u w:val="single"/>
          <w:lang w:val="en-US" w:eastAsia="zh-CN" w:bidi="ar"/>
        </w:rPr>
        <w:t>7</w:t>
      </w:r>
      <w:r>
        <w:rPr>
          <w:rFonts w:hint="eastAsia" w:ascii="宋体" w:hAnsi="宋体" w:eastAsia="宋体" w:cs="宋体"/>
          <w:color w:val="auto"/>
          <w:sz w:val="24"/>
          <w:szCs w:val="24"/>
          <w:highlight w:val="yellow"/>
          <w:u w:val="single"/>
          <w:lang w:eastAsia="zh-CN" w:bidi="ar"/>
        </w:rPr>
        <w:t>0%预付款（预付款支付前，</w:t>
      </w:r>
      <w:r>
        <w:rPr>
          <w:rFonts w:hint="eastAsia" w:ascii="宋体" w:hAnsi="宋体" w:eastAsia="宋体" w:cs="宋体"/>
          <w:color w:val="auto"/>
          <w:sz w:val="24"/>
          <w:szCs w:val="24"/>
          <w:highlight w:val="yellow"/>
          <w:u w:val="single"/>
          <w:lang w:val="en-US" w:eastAsia="zh-CN" w:bidi="ar"/>
        </w:rPr>
        <w:t>乙方</w:t>
      </w:r>
      <w:r>
        <w:rPr>
          <w:rFonts w:hint="eastAsia" w:ascii="宋体" w:hAnsi="宋体" w:eastAsia="宋体" w:cs="宋体"/>
          <w:color w:val="auto"/>
          <w:sz w:val="24"/>
          <w:szCs w:val="24"/>
          <w:highlight w:val="yellow"/>
          <w:u w:val="single"/>
          <w:lang w:eastAsia="zh-CN" w:bidi="ar"/>
        </w:rPr>
        <w:t>须提供同等金额的见索即付保函），车辆交付使用且</w:t>
      </w:r>
      <w:r>
        <w:rPr>
          <w:rFonts w:hint="eastAsia" w:ascii="宋体" w:hAnsi="宋体" w:eastAsia="宋体" w:cs="宋体"/>
          <w:color w:val="auto"/>
          <w:sz w:val="24"/>
          <w:szCs w:val="24"/>
          <w:highlight w:val="yellow"/>
          <w:u w:val="single"/>
          <w:lang w:val="en-US" w:eastAsia="zh-CN" w:bidi="ar"/>
        </w:rPr>
        <w:t>甲方</w:t>
      </w:r>
      <w:r>
        <w:rPr>
          <w:rFonts w:hint="eastAsia" w:ascii="宋体" w:hAnsi="宋体" w:eastAsia="宋体" w:cs="宋体"/>
          <w:color w:val="auto"/>
          <w:sz w:val="24"/>
          <w:szCs w:val="24"/>
          <w:highlight w:val="yellow"/>
          <w:u w:val="single"/>
          <w:lang w:eastAsia="zh-CN" w:bidi="ar"/>
        </w:rPr>
        <w:t>验收合格后一次性付清合同价款。</w:t>
      </w:r>
    </w:p>
    <w:p w14:paraId="24059313">
      <w:pPr>
        <w:snapToGrid w:val="0"/>
        <w:spacing w:line="360" w:lineRule="auto"/>
        <w:ind w:firstLine="720" w:firstLineChars="3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其中涉及预付款的：</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yellow"/>
          <w:u w:val="single"/>
          <w:lang w:bidi="ar"/>
        </w:rPr>
        <w:t>合同签订且具备实施条件后，支付合同价的</w:t>
      </w:r>
      <w:r>
        <w:rPr>
          <w:rFonts w:hint="eastAsia" w:ascii="宋体" w:hAnsi="宋体" w:eastAsia="宋体" w:cs="宋体"/>
          <w:color w:val="auto"/>
          <w:sz w:val="24"/>
          <w:szCs w:val="24"/>
          <w:highlight w:val="yellow"/>
          <w:u w:val="single"/>
          <w:lang w:val="en-US" w:eastAsia="zh-CN" w:bidi="ar"/>
        </w:rPr>
        <w:t>7</w:t>
      </w:r>
      <w:r>
        <w:rPr>
          <w:rFonts w:hint="eastAsia" w:ascii="宋体" w:hAnsi="宋体" w:eastAsia="宋体" w:cs="宋体"/>
          <w:color w:val="auto"/>
          <w:sz w:val="24"/>
          <w:szCs w:val="24"/>
          <w:highlight w:val="yellow"/>
          <w:u w:val="single"/>
          <w:lang w:bidi="ar"/>
        </w:rPr>
        <w:t>0%预付款（预付款支付前，</w:t>
      </w:r>
      <w:r>
        <w:rPr>
          <w:rFonts w:hint="eastAsia" w:ascii="宋体" w:hAnsi="宋体" w:eastAsia="宋体" w:cs="宋体"/>
          <w:color w:val="auto"/>
          <w:sz w:val="24"/>
          <w:szCs w:val="24"/>
          <w:highlight w:val="yellow"/>
          <w:u w:val="single"/>
          <w:lang w:val="en-US" w:eastAsia="zh-CN" w:bidi="ar"/>
        </w:rPr>
        <w:t>乙方</w:t>
      </w:r>
      <w:r>
        <w:rPr>
          <w:rFonts w:hint="eastAsia" w:ascii="宋体" w:hAnsi="宋体" w:eastAsia="宋体" w:cs="宋体"/>
          <w:color w:val="auto"/>
          <w:sz w:val="24"/>
          <w:szCs w:val="24"/>
          <w:highlight w:val="yellow"/>
          <w:u w:val="single"/>
          <w:lang w:bidi="ar"/>
        </w:rPr>
        <w:t>须提供同等金额的见索即付保函）</w:t>
      </w:r>
      <w:r>
        <w:rPr>
          <w:rFonts w:hint="eastAsia" w:ascii="宋体" w:hAnsi="宋体" w:eastAsia="宋体" w:cs="宋体"/>
          <w:color w:val="auto"/>
          <w:sz w:val="24"/>
          <w:szCs w:val="24"/>
          <w:highlight w:val="none"/>
          <w:u w:val="single"/>
          <w:lang w:eastAsia="zh-CN" w:bidi="ar"/>
        </w:rPr>
        <w:t>。</w:t>
      </w:r>
    </w:p>
    <w:p w14:paraId="49A32F6D">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□成本补偿：</w:t>
      </w:r>
      <w:r>
        <w:rPr>
          <w:rFonts w:hint="eastAsia" w:ascii="宋体" w:hAnsi="宋体" w:eastAsia="宋体" w:cs="宋体"/>
          <w:color w:val="auto"/>
          <w:sz w:val="24"/>
          <w:szCs w:val="24"/>
          <w:highlight w:val="none"/>
          <w:u w:val="single"/>
          <w:lang w:bidi="ar"/>
        </w:rPr>
        <w:t xml:space="preserve">      /    </w:t>
      </w:r>
    </w:p>
    <w:p w14:paraId="68AFBDEC">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□绩效激励：</w:t>
      </w:r>
      <w:r>
        <w:rPr>
          <w:rFonts w:hint="eastAsia" w:ascii="宋体" w:hAnsi="宋体" w:eastAsia="宋体" w:cs="宋体"/>
          <w:color w:val="auto"/>
          <w:sz w:val="24"/>
          <w:szCs w:val="24"/>
          <w:highlight w:val="none"/>
          <w:u w:val="single"/>
          <w:lang w:bidi="ar"/>
        </w:rPr>
        <w:t xml:space="preserve">      /    </w:t>
      </w:r>
    </w:p>
    <w:p w14:paraId="1E93A81E">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bidi="ar"/>
        </w:rPr>
        <w:t>合同履行</w:t>
      </w:r>
    </w:p>
    <w:p w14:paraId="7E4D276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（1）起始日期：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日，完成日期：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4E8EF18B">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（2）履约地点</w:t>
      </w:r>
      <w:r>
        <w:rPr>
          <w:rFonts w:hint="eastAsia" w:ascii="宋体" w:hAnsi="宋体" w:eastAsia="宋体" w:cs="宋体"/>
          <w:bCs/>
          <w:color w:val="auto"/>
          <w:sz w:val="24"/>
          <w:szCs w:val="24"/>
          <w:highlight w:val="none"/>
          <w:lang w:bidi="ar"/>
        </w:rPr>
        <w:t>：</w:t>
      </w:r>
      <w:r>
        <w:rPr>
          <w:rFonts w:hint="eastAsia" w:ascii="宋体" w:hAnsi="宋体" w:eastAsia="宋体" w:cs="宋体"/>
          <w:color w:val="auto"/>
          <w:sz w:val="24"/>
          <w:szCs w:val="24"/>
          <w:highlight w:val="none"/>
          <w:u w:val="single"/>
          <w:lang w:bidi="ar"/>
        </w:rPr>
        <w:t xml:space="preserve">  采购人指定地点          </w:t>
      </w:r>
    </w:p>
    <w:p w14:paraId="16FE900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（3）履约担保：</w:t>
      </w:r>
      <w:r>
        <w:rPr>
          <w:rFonts w:hint="eastAsia" w:ascii="宋体" w:hAnsi="宋体" w:eastAsia="宋体" w:cs="宋体"/>
          <w:color w:val="auto"/>
          <w:sz w:val="24"/>
          <w:szCs w:val="24"/>
          <w:highlight w:val="none"/>
          <w:lang w:bidi="ar"/>
        </w:rPr>
        <w:t>是否收取履约保证金：☑是    □否</w:t>
      </w:r>
    </w:p>
    <w:p w14:paraId="1B19695C">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 xml:space="preserve">  </w:t>
      </w:r>
      <w:r>
        <w:rPr>
          <w:rFonts w:hint="eastAsia" w:ascii="宋体" w:hAnsi="宋体" w:eastAsia="宋体" w:cs="宋体"/>
          <w:color w:val="auto"/>
          <w:szCs w:val="24"/>
          <w:highlight w:val="none"/>
          <w:lang w:bidi="ar"/>
        </w:rPr>
        <w:t xml:space="preserve">  收取履约保证金形式：</w:t>
      </w:r>
      <w:r>
        <w:rPr>
          <w:rFonts w:hint="eastAsia" w:ascii="宋体" w:hAnsi="宋体" w:eastAsia="宋体" w:cs="宋体"/>
          <w:bCs/>
          <w:color w:val="auto"/>
          <w:szCs w:val="24"/>
          <w:highlight w:val="none"/>
          <w:u w:val="single"/>
          <w:lang w:bidi="ar"/>
        </w:rPr>
        <w:t xml:space="preserve">                            </w:t>
      </w:r>
    </w:p>
    <w:p w14:paraId="3A8FB85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收取履约保证金金额：</w:t>
      </w:r>
      <w:r>
        <w:rPr>
          <w:rFonts w:hint="eastAsia" w:ascii="宋体" w:hAnsi="宋体" w:eastAsia="宋体" w:cs="宋体"/>
          <w:bCs/>
          <w:color w:val="auto"/>
          <w:szCs w:val="24"/>
          <w:highlight w:val="none"/>
          <w:u w:val="single"/>
          <w:lang w:bidi="ar"/>
        </w:rPr>
        <w:t xml:space="preserve">                            </w:t>
      </w:r>
    </w:p>
    <w:p w14:paraId="7FC381F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履约担保期限：</w:t>
      </w:r>
      <w:r>
        <w:rPr>
          <w:rFonts w:hint="eastAsia" w:ascii="宋体" w:hAnsi="宋体" w:eastAsia="宋体" w:cs="宋体"/>
          <w:bCs/>
          <w:color w:val="auto"/>
          <w:sz w:val="24"/>
          <w:szCs w:val="24"/>
          <w:highlight w:val="none"/>
          <w:u w:val="single"/>
          <w:lang w:bidi="ar"/>
        </w:rPr>
        <w:t xml:space="preserve">                                  </w:t>
      </w:r>
    </w:p>
    <w:p w14:paraId="051DECEE">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（4）分期履行要求：</w:t>
      </w:r>
      <w:r>
        <w:rPr>
          <w:rFonts w:hint="eastAsia" w:ascii="宋体" w:hAnsi="宋体" w:eastAsia="宋体" w:cs="宋体"/>
          <w:bCs/>
          <w:color w:val="auto"/>
          <w:sz w:val="24"/>
          <w:szCs w:val="24"/>
          <w:highlight w:val="none"/>
          <w:u w:val="single"/>
          <w:lang w:bidi="ar"/>
        </w:rPr>
        <w:t xml:space="preserve">   /                                                   </w:t>
      </w:r>
    </w:p>
    <w:p w14:paraId="1E8C8F39">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lang w:bidi="ar"/>
        </w:rPr>
        <w:t>（5）风险处置措施和替代方案：</w:t>
      </w:r>
      <w:r>
        <w:rPr>
          <w:rFonts w:hint="eastAsia" w:ascii="宋体" w:hAnsi="宋体" w:eastAsia="宋体" w:cs="宋体"/>
          <w:color w:val="auto"/>
          <w:sz w:val="24"/>
          <w:szCs w:val="24"/>
          <w:highlight w:val="none"/>
          <w:u w:val="single"/>
          <w:lang w:bidi="ar"/>
        </w:rPr>
        <w:t xml:space="preserve">       /                                                      </w:t>
      </w:r>
    </w:p>
    <w:p w14:paraId="65459159">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合同验收</w:t>
      </w:r>
    </w:p>
    <w:p w14:paraId="5C3E9A16">
      <w:pPr>
        <w:numPr>
          <w:ilvl w:val="0"/>
          <w:numId w:val="5"/>
        </w:num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验收组织方式：</w:t>
      </w:r>
      <w:r>
        <w:rPr>
          <w:rFonts w:hint="eastAsia" w:ascii="宋体" w:hAnsi="宋体" w:eastAsia="宋体" w:cs="宋体"/>
          <w:color w:val="auto"/>
          <w:sz w:val="24"/>
          <w:szCs w:val="24"/>
          <w:highlight w:val="none"/>
          <w:lang w:eastAsia="zh-CN" w:bidi="ar"/>
        </w:rPr>
        <w:t>□</w:t>
      </w:r>
      <w:r>
        <w:rPr>
          <w:rFonts w:hint="eastAsia" w:ascii="宋体" w:hAnsi="宋体" w:eastAsia="宋体" w:cs="宋体"/>
          <w:bCs/>
          <w:color w:val="auto"/>
          <w:sz w:val="24"/>
          <w:szCs w:val="24"/>
          <w:highlight w:val="none"/>
          <w:lang w:bidi="ar"/>
        </w:rPr>
        <w:t xml:space="preserve">自行组织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委托第三方组织</w:t>
      </w:r>
    </w:p>
    <w:p w14:paraId="70622D4F">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验收主体：</w:t>
      </w:r>
      <w:r>
        <w:rPr>
          <w:rFonts w:hint="eastAsia" w:ascii="宋体" w:hAnsi="宋体" w:eastAsia="宋体" w:cs="宋体"/>
          <w:bCs/>
          <w:color w:val="auto"/>
          <w:sz w:val="24"/>
          <w:szCs w:val="24"/>
          <w:highlight w:val="none"/>
          <w:u w:val="single"/>
          <w:lang w:bidi="ar"/>
        </w:rPr>
        <w:t xml:space="preserve">   采购人        </w:t>
      </w:r>
    </w:p>
    <w:p w14:paraId="1F1C7590">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是否邀请本项目的其他供应商参加验收：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651BDAA3">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是否邀请专家参加验收：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4E2CDBA">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是否邀请服务对象参加验收：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22D1C9E2">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是否邀请第三方检测机构参加验收：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47E31586">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是否进行抽查检测：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是，抽查比例：</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583B7C7E">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是否存在破坏性检测：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w:t>
      </w:r>
      <w:r>
        <w:rPr>
          <w:rFonts w:hint="eastAsia" w:ascii="宋体" w:hAnsi="宋体" w:eastAsia="宋体" w:cs="宋体"/>
          <w:bCs/>
          <w:color w:val="auto"/>
          <w:sz w:val="24"/>
          <w:szCs w:val="24"/>
          <w:highlight w:val="none"/>
          <w:u w:val="single"/>
          <w:lang w:bidi="ar"/>
        </w:rPr>
        <w:t>（应明确对被破坏的检测产品的处理方式）</w:t>
      </w:r>
    </w:p>
    <w:p w14:paraId="09A771F1">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4A713CA">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验收组织的其他事项：</w:t>
      </w:r>
      <w:r>
        <w:rPr>
          <w:rFonts w:hint="eastAsia" w:ascii="宋体" w:hAnsi="宋体" w:eastAsia="宋体" w:cs="宋体"/>
          <w:bCs/>
          <w:color w:val="auto"/>
          <w:sz w:val="24"/>
          <w:szCs w:val="24"/>
          <w:highlight w:val="none"/>
          <w:u w:val="single"/>
          <w:lang w:bidi="ar"/>
        </w:rPr>
        <w:t xml:space="preserve">                </w:t>
      </w:r>
    </w:p>
    <w:p w14:paraId="64B55FEB">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（2）履约验收时间：</w:t>
      </w:r>
      <w:r>
        <w:rPr>
          <w:rFonts w:hint="eastAsia" w:ascii="宋体" w:hAnsi="宋体" w:eastAsia="宋体" w:cs="宋体"/>
          <w:bCs/>
          <w:color w:val="auto"/>
          <w:sz w:val="24"/>
          <w:szCs w:val="24"/>
          <w:highlight w:val="none"/>
          <w:u w:val="single"/>
          <w:lang w:bidi="ar"/>
        </w:rPr>
        <w:t xml:space="preserve"> 供应商提出验收申请之日起5日内组织验收 </w:t>
      </w:r>
    </w:p>
    <w:p w14:paraId="1D6A324A">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（3）履约验收方式：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一次性验收         </w:t>
      </w:r>
    </w:p>
    <w:p w14:paraId="318831C9">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分期/分项验收：</w:t>
      </w:r>
      <w:r>
        <w:rPr>
          <w:rFonts w:hint="eastAsia" w:ascii="宋体" w:hAnsi="宋体" w:eastAsia="宋体" w:cs="宋体"/>
          <w:bCs/>
          <w:color w:val="auto"/>
          <w:sz w:val="24"/>
          <w:szCs w:val="24"/>
          <w:highlight w:val="none"/>
          <w:u w:val="single"/>
          <w:lang w:bidi="ar"/>
        </w:rPr>
        <w:t xml:space="preserve"> /  </w:t>
      </w:r>
    </w:p>
    <w:p w14:paraId="42950EA4">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（4）履约验收程序：</w:t>
      </w:r>
      <w:r>
        <w:rPr>
          <w:rFonts w:hint="eastAsia" w:ascii="宋体" w:hAnsi="宋体" w:eastAsia="宋体" w:cs="宋体"/>
          <w:bCs/>
          <w:color w:val="auto"/>
          <w:sz w:val="24"/>
          <w:szCs w:val="24"/>
          <w:highlight w:val="none"/>
          <w:u w:val="single"/>
          <w:lang w:bidi="ar"/>
        </w:rPr>
        <w:t xml:space="preserve">                                         </w:t>
      </w:r>
    </w:p>
    <w:p w14:paraId="65093794">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（5）履约验收的内容：</w:t>
      </w:r>
      <w:r>
        <w:rPr>
          <w:rFonts w:hint="eastAsia" w:ascii="宋体" w:hAnsi="宋体" w:eastAsia="宋体" w:cs="宋体"/>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00C53F22">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（6）履约验收标准：</w:t>
      </w:r>
      <w:r>
        <w:rPr>
          <w:rFonts w:hint="eastAsia" w:ascii="宋体" w:hAnsi="宋体" w:eastAsia="宋体" w:cs="宋体"/>
          <w:bCs/>
          <w:color w:val="auto"/>
          <w:sz w:val="24"/>
          <w:szCs w:val="24"/>
          <w:highlight w:val="none"/>
          <w:u w:val="single"/>
          <w:lang w:bidi="ar"/>
        </w:rPr>
        <w:t xml:space="preserve">   符合国家标准                     </w:t>
      </w:r>
    </w:p>
    <w:p w14:paraId="29B5C262">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（7）是否以采购活动中供应商提供的样品作为参考：</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 xml:space="preserve">是  </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否</w:t>
      </w:r>
    </w:p>
    <w:p w14:paraId="37F5A426">
      <w:pPr>
        <w:adjustRightInd w:val="0"/>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bidi="ar"/>
        </w:rPr>
        <w:t>（8）履约验收其他事项：</w:t>
      </w:r>
      <w:r>
        <w:rPr>
          <w:rFonts w:hint="eastAsia" w:ascii="宋体" w:hAnsi="宋体" w:eastAsia="宋体" w:cs="宋体"/>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w:t>
      </w:r>
      <w:r>
        <w:rPr>
          <w:rFonts w:ascii="宋体" w:hAnsi="宋体" w:eastAsia="宋体" w:cs="宋体"/>
          <w:bCs/>
          <w:color w:val="auto"/>
          <w:sz w:val="24"/>
          <w:szCs w:val="24"/>
          <w:highlight w:val="none"/>
          <w:u w:val="single"/>
          <w:lang w:bidi="ar"/>
        </w:rPr>
        <w:t>提供虚假检测报告、材料造假</w:t>
      </w:r>
      <w:r>
        <w:rPr>
          <w:rFonts w:hint="eastAsia" w:ascii="宋体" w:hAnsi="宋体" w:eastAsia="宋体" w:cs="宋体"/>
          <w:bCs/>
          <w:color w:val="auto"/>
          <w:sz w:val="24"/>
          <w:szCs w:val="24"/>
          <w:highlight w:val="none"/>
          <w:u w:val="single"/>
          <w:lang w:bidi="ar"/>
        </w:rPr>
        <w:t>的，采购人有权单方面解除合同；3、累计三次交货验收不合格的，采购人有权单方面解除合同</w:t>
      </w:r>
      <w:r>
        <w:rPr>
          <w:rFonts w:hint="eastAsia" w:ascii="宋体" w:hAnsi="宋体" w:eastAsia="宋体" w:cs="宋体"/>
          <w:bCs/>
          <w:color w:val="auto"/>
          <w:sz w:val="24"/>
          <w:szCs w:val="24"/>
          <w:highlight w:val="none"/>
          <w:u w:val="single"/>
          <w:lang w:eastAsia="zh-CN" w:bidi="ar"/>
        </w:rPr>
        <w:t>。</w:t>
      </w:r>
    </w:p>
    <w:p w14:paraId="2238C597">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组成合同的文件</w:t>
      </w:r>
    </w:p>
    <w:p w14:paraId="2DC01DD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本协议书与下列文件一起构成合同文件，如下述文件之间有任何抵触、矛盾或歧义，应按以下顺序解释：</w:t>
      </w:r>
    </w:p>
    <w:p w14:paraId="2BDE088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（1）政府采购合同协议书及其变更、补充协议</w:t>
      </w:r>
    </w:p>
    <w:p w14:paraId="1CA1F76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（2）政府采购合同专用条款</w:t>
      </w:r>
    </w:p>
    <w:p w14:paraId="4390740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（3）政府采购合同通用条款</w:t>
      </w:r>
    </w:p>
    <w:p w14:paraId="2D87E11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（4）中标（成交）通知书</w:t>
      </w:r>
    </w:p>
    <w:p w14:paraId="5533233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（5）投标（响应）文件</w:t>
      </w:r>
    </w:p>
    <w:p w14:paraId="4D47BE8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（6）采购文件</w:t>
      </w:r>
    </w:p>
    <w:p w14:paraId="7F72710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（7）有关技术文件，图纸</w:t>
      </w:r>
    </w:p>
    <w:p w14:paraId="1284483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（8）</w:t>
      </w:r>
      <w:r>
        <w:rPr>
          <w:rFonts w:hint="eastAsia" w:ascii="宋体" w:hAnsi="宋体" w:eastAsia="宋体" w:cs="宋体"/>
          <w:color w:val="auto"/>
          <w:kern w:val="2"/>
          <w:szCs w:val="24"/>
          <w:highlight w:val="none"/>
          <w:lang w:bidi="ar"/>
        </w:rPr>
        <w:t>国家法律、行政法规和规章制度规定或合同约定的作为合同组成部分的其他文件</w:t>
      </w:r>
    </w:p>
    <w:p w14:paraId="6994C9D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合同生效</w:t>
      </w:r>
    </w:p>
    <w:p w14:paraId="2A5CC1F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本合同自</w:t>
      </w:r>
      <w:r>
        <w:rPr>
          <w:rFonts w:hint="eastAsia" w:ascii="宋体" w:hAnsi="宋体" w:eastAsia="宋体" w:cs="宋体"/>
          <w:color w:val="auto"/>
          <w:sz w:val="24"/>
          <w:szCs w:val="24"/>
          <w:highlight w:val="none"/>
          <w:u w:val="single"/>
          <w:lang w:bidi="ar"/>
        </w:rPr>
        <w:t xml:space="preserve">     双方加盖印章之后          </w:t>
      </w:r>
      <w:r>
        <w:rPr>
          <w:rFonts w:hint="eastAsia" w:ascii="宋体" w:hAnsi="宋体" w:eastAsia="宋体" w:cs="宋体"/>
          <w:color w:val="auto"/>
          <w:sz w:val="24"/>
          <w:szCs w:val="24"/>
          <w:highlight w:val="none"/>
          <w:lang w:bidi="ar"/>
        </w:rPr>
        <w:t>生效。</w:t>
      </w:r>
    </w:p>
    <w:p w14:paraId="1592E40F">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合同份数</w:t>
      </w:r>
    </w:p>
    <w:p w14:paraId="0AB03B3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本合同一式</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份，甲方执</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份，乙方执</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份，均具有同等法律效力。</w:t>
      </w:r>
    </w:p>
    <w:p w14:paraId="31DBDBE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合同订立时间：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0BE9AD3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合同订立地点：</w:t>
      </w:r>
      <w:r>
        <w:rPr>
          <w:rFonts w:hint="eastAsia" w:ascii="宋体" w:hAnsi="宋体" w:eastAsia="宋体" w:cs="宋体"/>
          <w:color w:val="auto"/>
          <w:sz w:val="24"/>
          <w:szCs w:val="24"/>
          <w:highlight w:val="none"/>
          <w:u w:val="single"/>
          <w:lang w:bidi="ar"/>
        </w:rPr>
        <w:t xml:space="preserve">                          </w:t>
      </w:r>
    </w:p>
    <w:p w14:paraId="601D013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附件：具体标的及其技术要求和商务要求、联合协议、分包意向协议等。</w:t>
      </w:r>
    </w:p>
    <w:p w14:paraId="6DF2512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01189494">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tbl>
      <w:tblPr>
        <w:tblStyle w:val="2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7"/>
        <w:gridCol w:w="2118"/>
      </w:tblGrid>
      <w:tr w14:paraId="6AB1EE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top w:val="single" w:color="auto" w:sz="4" w:space="0"/>
              <w:left w:val="single" w:color="auto" w:sz="4" w:space="0"/>
              <w:bottom w:val="single" w:color="auto" w:sz="4" w:space="0"/>
              <w:right w:val="single" w:color="auto" w:sz="4" w:space="0"/>
            </w:tcBorders>
            <w:vAlign w:val="center"/>
          </w:tcPr>
          <w:p w14:paraId="349A13D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甲方（采购人、受采购人委托签订合同的单位或采购文件约定的合同甲方）</w:t>
            </w:r>
          </w:p>
        </w:tc>
        <w:tc>
          <w:tcPr>
            <w:tcW w:w="4095" w:type="dxa"/>
            <w:gridSpan w:val="2"/>
            <w:tcBorders>
              <w:top w:val="single" w:color="auto" w:sz="4" w:space="0"/>
              <w:left w:val="single" w:color="auto" w:sz="4" w:space="0"/>
              <w:bottom w:val="single" w:color="auto" w:sz="2" w:space="0"/>
              <w:right w:val="single" w:color="auto" w:sz="4" w:space="0"/>
            </w:tcBorders>
            <w:vAlign w:val="center"/>
          </w:tcPr>
          <w:p w14:paraId="13D09B9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乙方（供应商）</w:t>
            </w:r>
          </w:p>
        </w:tc>
      </w:tr>
      <w:tr w14:paraId="5EB76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4" w:space="0"/>
              <w:left w:val="single" w:color="auto" w:sz="4" w:space="0"/>
              <w:bottom w:val="single" w:color="auto" w:sz="4" w:space="0"/>
              <w:right w:val="single" w:color="auto" w:sz="4" w:space="0"/>
            </w:tcBorders>
            <w:vAlign w:val="center"/>
          </w:tcPr>
          <w:p w14:paraId="14C7A99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2412" w:type="dxa"/>
            <w:tcBorders>
              <w:top w:val="single" w:color="auto" w:sz="4" w:space="0"/>
              <w:left w:val="single" w:color="auto" w:sz="4" w:space="0"/>
              <w:bottom w:val="single" w:color="auto" w:sz="4" w:space="0"/>
              <w:right w:val="single" w:color="auto" w:sz="4" w:space="0"/>
            </w:tcBorders>
            <w:vAlign w:val="center"/>
          </w:tcPr>
          <w:p w14:paraId="3CEF648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4" w:space="0"/>
              <w:left w:val="single" w:color="auto" w:sz="4" w:space="0"/>
              <w:bottom w:val="single" w:color="auto" w:sz="2" w:space="0"/>
              <w:right w:val="single" w:color="auto" w:sz="4" w:space="0"/>
            </w:tcBorders>
            <w:vAlign w:val="center"/>
          </w:tcPr>
          <w:p w14:paraId="7816819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2118" w:type="dxa"/>
            <w:tcBorders>
              <w:top w:val="single" w:color="auto" w:sz="2" w:space="0"/>
              <w:left w:val="single" w:color="auto" w:sz="4" w:space="0"/>
              <w:bottom w:val="single" w:color="auto" w:sz="2" w:space="0"/>
              <w:right w:val="single" w:color="auto" w:sz="4" w:space="0"/>
            </w:tcBorders>
            <w:vAlign w:val="center"/>
          </w:tcPr>
          <w:p w14:paraId="08D9E8A6">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B930D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4" w:space="0"/>
              <w:left w:val="single" w:color="auto" w:sz="4" w:space="0"/>
              <w:bottom w:val="single" w:color="auto" w:sz="4" w:space="0"/>
              <w:right w:val="single" w:color="auto" w:sz="4" w:space="0"/>
            </w:tcBorders>
            <w:vAlign w:val="center"/>
          </w:tcPr>
          <w:p w14:paraId="1E9A86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528FD3F3">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2412" w:type="dxa"/>
            <w:vMerge w:val="restart"/>
            <w:tcBorders>
              <w:top w:val="single" w:color="auto" w:sz="4" w:space="0"/>
              <w:left w:val="single" w:color="auto" w:sz="4" w:space="0"/>
              <w:bottom w:val="single" w:color="auto" w:sz="4" w:space="0"/>
              <w:right w:val="single" w:color="auto" w:sz="4" w:space="0"/>
            </w:tcBorders>
            <w:vAlign w:val="center"/>
          </w:tcPr>
          <w:p w14:paraId="44A2A7C0">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4" w:space="0"/>
              <w:right w:val="single" w:color="auto" w:sz="4" w:space="0"/>
            </w:tcBorders>
            <w:vAlign w:val="center"/>
          </w:tcPr>
          <w:p w14:paraId="7D3BAD0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7DB8F52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2118" w:type="dxa"/>
            <w:tcBorders>
              <w:top w:val="single" w:color="auto" w:sz="2" w:space="0"/>
              <w:left w:val="single" w:color="auto" w:sz="4" w:space="0"/>
              <w:bottom w:val="single" w:color="auto" w:sz="2" w:space="0"/>
              <w:right w:val="single" w:color="auto" w:sz="4" w:space="0"/>
            </w:tcBorders>
            <w:vAlign w:val="center"/>
          </w:tcPr>
          <w:p w14:paraId="273175DC">
            <w:pPr>
              <w:adjustRightInd w:val="0"/>
              <w:snapToGrid w:val="0"/>
              <w:spacing w:line="360" w:lineRule="auto"/>
              <w:jc w:val="center"/>
              <w:rPr>
                <w:rFonts w:hint="eastAsia" w:ascii="宋体" w:hAnsi="宋体" w:eastAsia="宋体" w:cs="宋体"/>
                <w:color w:val="auto"/>
                <w:sz w:val="24"/>
                <w:szCs w:val="24"/>
                <w:highlight w:val="none"/>
              </w:rPr>
            </w:pPr>
          </w:p>
        </w:tc>
      </w:tr>
      <w:tr w14:paraId="1DC1CB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top w:val="single" w:color="auto" w:sz="4" w:space="0"/>
              <w:left w:val="single" w:color="auto" w:sz="4" w:space="0"/>
              <w:bottom w:val="single" w:color="auto" w:sz="4" w:space="0"/>
              <w:right w:val="single" w:color="auto" w:sz="4" w:space="0"/>
            </w:tcBorders>
            <w:vAlign w:val="center"/>
          </w:tcPr>
          <w:p w14:paraId="463224F5">
            <w:pPr>
              <w:rPr>
                <w:rFonts w:ascii="Times New Roman" w:hAnsi="Times New Roman" w:cs="Times New Roman"/>
                <w:color w:val="auto"/>
                <w:sz w:val="20"/>
                <w:highlight w:val="none"/>
              </w:rPr>
            </w:pPr>
          </w:p>
        </w:tc>
        <w:tc>
          <w:tcPr>
            <w:tcW w:w="2412" w:type="dxa"/>
            <w:vMerge w:val="continue"/>
            <w:tcBorders>
              <w:top w:val="single" w:color="auto" w:sz="4" w:space="0"/>
              <w:left w:val="single" w:color="auto" w:sz="4" w:space="0"/>
              <w:bottom w:val="single" w:color="auto" w:sz="4" w:space="0"/>
              <w:right w:val="single" w:color="auto" w:sz="4" w:space="0"/>
            </w:tcBorders>
            <w:vAlign w:val="center"/>
          </w:tcPr>
          <w:p w14:paraId="372F3073">
            <w:pPr>
              <w:rPr>
                <w:rFonts w:ascii="Times New Roman" w:hAnsi="Times New Roman" w:cs="Times New Roman"/>
                <w:color w:val="auto"/>
                <w:sz w:val="20"/>
                <w:highlight w:val="none"/>
              </w:rPr>
            </w:pPr>
          </w:p>
        </w:tc>
        <w:tc>
          <w:tcPr>
            <w:tcW w:w="1977" w:type="dxa"/>
            <w:tcBorders>
              <w:top w:val="single" w:color="auto" w:sz="4" w:space="0"/>
              <w:left w:val="single" w:color="auto" w:sz="4" w:space="0"/>
              <w:bottom w:val="single" w:color="auto" w:sz="2" w:space="0"/>
              <w:right w:val="single" w:color="auto" w:sz="4" w:space="0"/>
            </w:tcBorders>
            <w:vAlign w:val="center"/>
          </w:tcPr>
          <w:p w14:paraId="7440AB0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拥有者性别</w:t>
            </w:r>
          </w:p>
        </w:tc>
        <w:tc>
          <w:tcPr>
            <w:tcW w:w="2118" w:type="dxa"/>
            <w:tcBorders>
              <w:top w:val="single" w:color="auto" w:sz="2" w:space="0"/>
              <w:left w:val="single" w:color="auto" w:sz="4" w:space="0"/>
              <w:bottom w:val="single" w:color="auto" w:sz="2" w:space="0"/>
              <w:right w:val="single" w:color="auto" w:sz="4" w:space="0"/>
            </w:tcBorders>
            <w:vAlign w:val="center"/>
          </w:tcPr>
          <w:p w14:paraId="61E0848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20602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4" w:space="0"/>
              <w:left w:val="single" w:color="auto" w:sz="4" w:space="0"/>
              <w:bottom w:val="single" w:color="auto" w:sz="2" w:space="0"/>
              <w:right w:val="single" w:color="auto" w:sz="4" w:space="0"/>
            </w:tcBorders>
            <w:vAlign w:val="center"/>
          </w:tcPr>
          <w:p w14:paraId="1A31EEC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2412" w:type="dxa"/>
            <w:tcBorders>
              <w:top w:val="single" w:color="auto" w:sz="4" w:space="0"/>
              <w:left w:val="single" w:color="auto" w:sz="4" w:space="0"/>
              <w:bottom w:val="single" w:color="auto" w:sz="2" w:space="0"/>
              <w:right w:val="single" w:color="auto" w:sz="4" w:space="0"/>
            </w:tcBorders>
            <w:vAlign w:val="center"/>
          </w:tcPr>
          <w:p w14:paraId="2000B83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8B8008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2118" w:type="dxa"/>
            <w:tcBorders>
              <w:top w:val="single" w:color="auto" w:sz="2" w:space="0"/>
              <w:left w:val="single" w:color="auto" w:sz="4" w:space="0"/>
              <w:bottom w:val="single" w:color="auto" w:sz="2" w:space="0"/>
              <w:right w:val="single" w:color="auto" w:sz="4" w:space="0"/>
            </w:tcBorders>
            <w:vAlign w:val="center"/>
          </w:tcPr>
          <w:p w14:paraId="21FCE2E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B4EB2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298E3C5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2412" w:type="dxa"/>
            <w:tcBorders>
              <w:top w:val="single" w:color="auto" w:sz="2" w:space="0"/>
              <w:left w:val="single" w:color="auto" w:sz="4" w:space="0"/>
              <w:bottom w:val="single" w:color="auto" w:sz="2" w:space="0"/>
              <w:right w:val="single" w:color="auto" w:sz="4" w:space="0"/>
            </w:tcBorders>
            <w:vAlign w:val="center"/>
          </w:tcPr>
          <w:p w14:paraId="0D598659">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1DE2B4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2118" w:type="dxa"/>
            <w:tcBorders>
              <w:top w:val="single" w:color="auto" w:sz="2" w:space="0"/>
              <w:left w:val="single" w:color="auto" w:sz="4" w:space="0"/>
              <w:bottom w:val="single" w:color="auto" w:sz="2" w:space="0"/>
              <w:right w:val="single" w:color="auto" w:sz="4" w:space="0"/>
            </w:tcBorders>
            <w:vAlign w:val="center"/>
          </w:tcPr>
          <w:p w14:paraId="243ABD7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4D2E86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518F098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2412" w:type="dxa"/>
            <w:tcBorders>
              <w:top w:val="single" w:color="auto" w:sz="2" w:space="0"/>
              <w:left w:val="single" w:color="auto" w:sz="4" w:space="0"/>
              <w:bottom w:val="single" w:color="auto" w:sz="2" w:space="0"/>
              <w:right w:val="single" w:color="auto" w:sz="4" w:space="0"/>
            </w:tcBorders>
            <w:vAlign w:val="center"/>
          </w:tcPr>
          <w:p w14:paraId="6540E9A1">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13B133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2118" w:type="dxa"/>
            <w:tcBorders>
              <w:top w:val="single" w:color="auto" w:sz="2" w:space="0"/>
              <w:left w:val="single" w:color="auto" w:sz="4" w:space="0"/>
              <w:bottom w:val="single" w:color="auto" w:sz="2" w:space="0"/>
              <w:right w:val="single" w:color="auto" w:sz="4" w:space="0"/>
            </w:tcBorders>
            <w:vAlign w:val="center"/>
          </w:tcPr>
          <w:p w14:paraId="4732BCE0">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24984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DA1508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2412" w:type="dxa"/>
            <w:tcBorders>
              <w:top w:val="single" w:color="auto" w:sz="2" w:space="0"/>
              <w:left w:val="single" w:color="auto" w:sz="4" w:space="0"/>
              <w:bottom w:val="single" w:color="auto" w:sz="2" w:space="0"/>
              <w:right w:val="single" w:color="auto" w:sz="4" w:space="0"/>
            </w:tcBorders>
            <w:vAlign w:val="center"/>
          </w:tcPr>
          <w:p w14:paraId="0E83A368">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9D52B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2118" w:type="dxa"/>
            <w:tcBorders>
              <w:top w:val="single" w:color="auto" w:sz="2" w:space="0"/>
              <w:left w:val="single" w:color="auto" w:sz="4" w:space="0"/>
              <w:bottom w:val="single" w:color="auto" w:sz="2" w:space="0"/>
              <w:right w:val="single" w:color="auto" w:sz="4" w:space="0"/>
            </w:tcBorders>
            <w:vAlign w:val="center"/>
          </w:tcPr>
          <w:p w14:paraId="33E7414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D3A4F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02CC483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2412" w:type="dxa"/>
            <w:tcBorders>
              <w:top w:val="single" w:color="auto" w:sz="2" w:space="0"/>
              <w:left w:val="single" w:color="auto" w:sz="4" w:space="0"/>
              <w:bottom w:val="single" w:color="auto" w:sz="2" w:space="0"/>
              <w:right w:val="single" w:color="auto" w:sz="4" w:space="0"/>
            </w:tcBorders>
            <w:vAlign w:val="center"/>
          </w:tcPr>
          <w:p w14:paraId="3BAA70A1">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29A6949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2118" w:type="dxa"/>
            <w:tcBorders>
              <w:top w:val="single" w:color="auto" w:sz="2" w:space="0"/>
              <w:left w:val="single" w:color="auto" w:sz="4" w:space="0"/>
              <w:bottom w:val="single" w:color="auto" w:sz="2" w:space="0"/>
              <w:right w:val="single" w:color="auto" w:sz="4" w:space="0"/>
            </w:tcBorders>
            <w:vAlign w:val="center"/>
          </w:tcPr>
          <w:p w14:paraId="6A8E0EC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B3E62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65B6EBC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2412" w:type="dxa"/>
            <w:tcBorders>
              <w:top w:val="single" w:color="auto" w:sz="2" w:space="0"/>
              <w:left w:val="single" w:color="auto" w:sz="4" w:space="0"/>
              <w:bottom w:val="single" w:color="auto" w:sz="2" w:space="0"/>
              <w:right w:val="single" w:color="auto" w:sz="4" w:space="0"/>
            </w:tcBorders>
            <w:vAlign w:val="center"/>
          </w:tcPr>
          <w:p w14:paraId="6F018CE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02EFA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2118" w:type="dxa"/>
            <w:tcBorders>
              <w:top w:val="single" w:color="auto" w:sz="2" w:space="0"/>
              <w:left w:val="single" w:color="auto" w:sz="4" w:space="0"/>
              <w:bottom w:val="single" w:color="auto" w:sz="2" w:space="0"/>
              <w:right w:val="single" w:color="auto" w:sz="4" w:space="0"/>
            </w:tcBorders>
            <w:vAlign w:val="center"/>
          </w:tcPr>
          <w:p w14:paraId="4165F304">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078DD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40C67D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2412" w:type="dxa"/>
            <w:tcBorders>
              <w:top w:val="single" w:color="auto" w:sz="2" w:space="0"/>
              <w:left w:val="single" w:color="auto" w:sz="4" w:space="0"/>
              <w:bottom w:val="single" w:color="auto" w:sz="2" w:space="0"/>
              <w:right w:val="single" w:color="auto" w:sz="4" w:space="0"/>
            </w:tcBorders>
            <w:vAlign w:val="center"/>
          </w:tcPr>
          <w:p w14:paraId="02527716">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5978C37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2118" w:type="dxa"/>
            <w:tcBorders>
              <w:top w:val="single" w:color="auto" w:sz="2" w:space="0"/>
              <w:left w:val="single" w:color="auto" w:sz="4" w:space="0"/>
              <w:bottom w:val="single" w:color="auto" w:sz="2" w:space="0"/>
              <w:right w:val="single" w:color="auto" w:sz="4" w:space="0"/>
            </w:tcBorders>
            <w:vAlign w:val="center"/>
          </w:tcPr>
          <w:p w14:paraId="2777533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2FE5A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5CE2F706">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2" w:space="0"/>
              <w:right w:val="single" w:color="auto" w:sz="4" w:space="0"/>
            </w:tcBorders>
            <w:vAlign w:val="center"/>
          </w:tcPr>
          <w:p w14:paraId="4F204A7C">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5C8C728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开户名称</w:t>
            </w:r>
          </w:p>
        </w:tc>
        <w:tc>
          <w:tcPr>
            <w:tcW w:w="2118" w:type="dxa"/>
            <w:tcBorders>
              <w:top w:val="single" w:color="auto" w:sz="2" w:space="0"/>
              <w:left w:val="single" w:color="auto" w:sz="4" w:space="0"/>
              <w:bottom w:val="single" w:color="auto" w:sz="2" w:space="0"/>
              <w:right w:val="single" w:color="auto" w:sz="4" w:space="0"/>
            </w:tcBorders>
            <w:vAlign w:val="center"/>
          </w:tcPr>
          <w:p w14:paraId="39D062A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36D343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922FDA2">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2" w:space="0"/>
              <w:right w:val="single" w:color="auto" w:sz="4" w:space="0"/>
            </w:tcBorders>
            <w:vAlign w:val="center"/>
          </w:tcPr>
          <w:p w14:paraId="1982E61E">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9C293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w:t>
            </w:r>
          </w:p>
        </w:tc>
        <w:tc>
          <w:tcPr>
            <w:tcW w:w="2118" w:type="dxa"/>
            <w:tcBorders>
              <w:top w:val="single" w:color="auto" w:sz="2" w:space="0"/>
              <w:left w:val="single" w:color="auto" w:sz="4" w:space="0"/>
              <w:bottom w:val="single" w:color="auto" w:sz="2" w:space="0"/>
              <w:right w:val="single" w:color="auto" w:sz="4" w:space="0"/>
            </w:tcBorders>
            <w:vAlign w:val="center"/>
          </w:tcPr>
          <w:p w14:paraId="1060B1B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1062C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45B34B1A">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4" w:space="0"/>
              <w:right w:val="single" w:color="auto" w:sz="4" w:space="0"/>
            </w:tcBorders>
            <w:vAlign w:val="center"/>
          </w:tcPr>
          <w:p w14:paraId="01944F45">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4" w:space="0"/>
              <w:right w:val="single" w:color="auto" w:sz="4" w:space="0"/>
            </w:tcBorders>
            <w:vAlign w:val="center"/>
          </w:tcPr>
          <w:p w14:paraId="5E29813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银行账号</w:t>
            </w:r>
          </w:p>
        </w:tc>
        <w:tc>
          <w:tcPr>
            <w:tcW w:w="2118" w:type="dxa"/>
            <w:tcBorders>
              <w:top w:val="single" w:color="auto" w:sz="2" w:space="0"/>
              <w:left w:val="single" w:color="auto" w:sz="4" w:space="0"/>
              <w:bottom w:val="single" w:color="auto" w:sz="2" w:space="0"/>
              <w:right w:val="single" w:color="auto" w:sz="4" w:space="0"/>
            </w:tcBorders>
            <w:vAlign w:val="center"/>
          </w:tcPr>
          <w:p w14:paraId="2A7AB3C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11C8E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left w:val="single" w:color="auto" w:sz="4" w:space="0"/>
              <w:bottom w:val="single" w:color="auto" w:sz="4" w:space="0"/>
              <w:right w:val="single" w:color="auto" w:sz="4" w:space="0"/>
            </w:tcBorders>
            <w:vAlign w:val="center"/>
          </w:tcPr>
          <w:p w14:paraId="788BDFE8">
            <w:pPr>
              <w:pStyle w:val="22"/>
              <w:adjustRightInd w:val="0"/>
              <w:snapToGrid w:val="0"/>
              <w:spacing w:before="156" w:beforeLines="50" w:beforeAutospacing="0" w:after="0" w:afterAutospacing="0" w:line="360" w:lineRule="auto"/>
              <w:rPr>
                <w:rFonts w:hint="eastAsia" w:ascii="宋体" w:hAnsi="宋体" w:eastAsia="宋体" w:cs="宋体"/>
                <w:color w:val="auto"/>
                <w:spacing w:val="20"/>
                <w:kern w:val="2"/>
                <w:szCs w:val="24"/>
                <w:highlight w:val="none"/>
              </w:rPr>
            </w:pPr>
            <w:r>
              <w:rPr>
                <w:rFonts w:hint="eastAsia" w:ascii="宋体" w:hAnsi="宋体" w:eastAsia="宋体" w:cs="宋体"/>
                <w:color w:val="auto"/>
                <w:kern w:val="2"/>
                <w:szCs w:val="24"/>
                <w:highlight w:val="none"/>
                <w:lang w:bidi="ar"/>
              </w:rPr>
              <w:t>注：涉及联合体或其他合同主体的信息应按上表格式加列。</w:t>
            </w:r>
          </w:p>
        </w:tc>
      </w:tr>
    </w:tbl>
    <w:p w14:paraId="613AA447">
      <w:pPr>
        <w:spacing w:line="360" w:lineRule="auto"/>
        <w:jc w:val="center"/>
        <w:outlineLvl w:val="1"/>
        <w:rPr>
          <w:rFonts w:hint="eastAsia" w:ascii="宋体" w:hAnsi="宋体" w:eastAsia="宋体" w:cs="宋体"/>
          <w:b/>
          <w:color w:val="auto"/>
          <w:sz w:val="24"/>
          <w:szCs w:val="24"/>
          <w:highlight w:val="none"/>
          <w:lang w:bidi="ar"/>
        </w:rPr>
      </w:pPr>
      <w:r>
        <w:rPr>
          <w:rFonts w:hint="eastAsia"/>
          <w:color w:val="auto"/>
          <w:highlight w:val="none"/>
          <w:u w:val="single"/>
        </w:rPr>
        <w:br w:type="page"/>
      </w:r>
      <w:r>
        <w:rPr>
          <w:rFonts w:hint="eastAsia" w:ascii="宋体" w:hAnsi="宋体" w:eastAsia="宋体" w:cs="宋体"/>
          <w:b/>
          <w:color w:val="auto"/>
          <w:sz w:val="24"/>
          <w:szCs w:val="24"/>
          <w:highlight w:val="none"/>
          <w:lang w:bidi="ar"/>
        </w:rPr>
        <w:t>第二节 政府采购合同通用条款</w:t>
      </w:r>
    </w:p>
    <w:p w14:paraId="4C1D4BCB">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 xml:space="preserve">1. </w:t>
      </w:r>
      <w:r>
        <w:rPr>
          <w:rFonts w:hint="eastAsia" w:ascii="宋体" w:hAnsi="宋体" w:eastAsia="宋体" w:cs="宋体"/>
          <w:b/>
          <w:bCs/>
          <w:color w:val="auto"/>
          <w:sz w:val="24"/>
          <w:szCs w:val="24"/>
          <w:highlight w:val="none"/>
          <w:lang w:bidi="ar"/>
        </w:rPr>
        <w:t>定义</w:t>
      </w:r>
    </w:p>
    <w:p w14:paraId="5AD20D3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1.1合同当事人</w:t>
      </w:r>
    </w:p>
    <w:p w14:paraId="5EC6CB4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（1）采购人（以下称甲方）是指使用财政性资金，通过政府采购方式向供应商购买货物及其相关服务的国家机关、事业单位、团体组织。</w:t>
      </w:r>
    </w:p>
    <w:p w14:paraId="4AAC61A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（2）供应商（以下称乙方）是指参加政府采购活动并且中标（成交），向采购人提供合同约定的货物及其相关服务的法人、非法人组织或者自然人。</w:t>
      </w:r>
    </w:p>
    <w:p w14:paraId="54F4787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（3）其他合同主体是指除采购人和供应商以外，</w:t>
      </w:r>
      <w:r>
        <w:rPr>
          <w:rFonts w:hint="eastAsia" w:ascii="宋体" w:hAnsi="宋体" w:eastAsia="宋体" w:cs="宋体"/>
          <w:bCs/>
          <w:color w:val="auto"/>
          <w:sz w:val="24"/>
          <w:szCs w:val="24"/>
          <w:highlight w:val="none"/>
          <w:lang w:bidi="ar"/>
        </w:rPr>
        <w:t>依法参与合同缔结或履行，享有权利、承担义务的合同当事人</w:t>
      </w:r>
      <w:r>
        <w:rPr>
          <w:rFonts w:hint="eastAsia" w:ascii="宋体" w:hAnsi="宋体" w:eastAsia="宋体" w:cs="宋体"/>
          <w:color w:val="auto"/>
          <w:sz w:val="24"/>
          <w:szCs w:val="24"/>
          <w:highlight w:val="none"/>
          <w:lang w:bidi="ar"/>
        </w:rPr>
        <w:t>。</w:t>
      </w:r>
    </w:p>
    <w:p w14:paraId="57427D1F">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1.2本合同下列术语应解释为：</w:t>
      </w:r>
    </w:p>
    <w:p w14:paraId="19E98F2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（1）“合同”系指</w:t>
      </w:r>
      <w:r>
        <w:rPr>
          <w:rFonts w:hint="eastAsia" w:ascii="宋体" w:hAnsi="宋体" w:eastAsia="宋体" w:cs="宋体"/>
          <w:bCs/>
          <w:color w:val="auto"/>
          <w:sz w:val="24"/>
          <w:szCs w:val="24"/>
          <w:highlight w:val="none"/>
          <w:lang w:bidi="ar"/>
        </w:rPr>
        <w:t>合同当事人意思表示达成一致的任何协议，包括签署的</w:t>
      </w:r>
      <w:r>
        <w:rPr>
          <w:rFonts w:hint="eastAsia" w:ascii="宋体" w:hAnsi="宋体" w:eastAsia="宋体" w:cs="宋体"/>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8AC39FA">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（2）“合同价款”系指根据本合同规定乙方在全面履行合同义务后甲方应支付给乙方的价款。</w:t>
      </w:r>
    </w:p>
    <w:p w14:paraId="73EBF5FE">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105E319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03DE27C1">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229AC2E7">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0E5B68DC">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（7）其他术语解释，见【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646E8064">
      <w:pPr>
        <w:numPr>
          <w:ilvl w:val="0"/>
          <w:numId w:val="6"/>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合同标的及金额</w:t>
      </w:r>
    </w:p>
    <w:p w14:paraId="344454DF">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bidi="ar"/>
        </w:rPr>
        <w:t>2.1 合同标的及金额应与中标（成交）结果一致。乙方为履行本合同而发生的所有费用均应包含在合同价款中，甲方不再另行支付其他任何费用。</w:t>
      </w:r>
    </w:p>
    <w:p w14:paraId="6516D62C">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3. 履行合同的时间、地点和方式</w:t>
      </w:r>
    </w:p>
    <w:p w14:paraId="04AE74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3.1 乙方应当在约定的时间、地点，按照约定方式履行合同。</w:t>
      </w:r>
    </w:p>
    <w:p w14:paraId="5743F8A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4. 甲方的权利和义务</w:t>
      </w:r>
    </w:p>
    <w:p w14:paraId="28BCE1D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7AF9649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31535C6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4.3 甲方有权要求乙方对缺陷部分予以修复，并按合同约定享有货物保修及其他合同约定的权利。</w:t>
      </w:r>
    </w:p>
    <w:p w14:paraId="34BBFE4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4.4 甲方应当按照合同约定及时对交付的货物进行验收，未在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约定的期限内对乙方履约提出任何异议或者向乙方作出任何说明的，视为验收通过。</w:t>
      </w:r>
    </w:p>
    <w:p w14:paraId="51119C3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4.5 甲方应当根据合同约定及时向乙方支付合同价款，不得以内部人员变更、履行内部付款流程等为由，拒绝或迟延支付。</w:t>
      </w:r>
    </w:p>
    <w:p w14:paraId="1EEA701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4.6 国家法律法规规定及</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约定应由甲方承担的其他义务和责任。</w:t>
      </w:r>
    </w:p>
    <w:p w14:paraId="618C1E1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5. 乙方的权利和义务</w:t>
      </w:r>
    </w:p>
    <w:p w14:paraId="674DC6F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 签署合同后，乙方应确定项目负责人（或项目联系人），负责与本合同有关的事务。</w:t>
      </w:r>
    </w:p>
    <w:p w14:paraId="26AF5A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03DE505">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5.3乙方有权根据合同约定向甲方收取合同价款。</w:t>
      </w:r>
    </w:p>
    <w:p w14:paraId="6E7A43F0">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5.4国家法律法规规定及</w:t>
      </w:r>
      <w:r>
        <w:rPr>
          <w:rFonts w:hint="eastAsia" w:ascii="宋体" w:hAnsi="宋体" w:eastAsia="宋体" w:cs="宋体"/>
          <w:b/>
          <w:bCs/>
          <w:color w:val="auto"/>
          <w:kern w:val="2"/>
          <w:szCs w:val="24"/>
          <w:highlight w:val="none"/>
          <w:lang w:bidi="ar"/>
        </w:rPr>
        <w:t>【政府采购合同专用条款】</w:t>
      </w:r>
      <w:r>
        <w:rPr>
          <w:rFonts w:hint="eastAsia" w:ascii="宋体" w:hAnsi="宋体" w:eastAsia="宋体" w:cs="宋体"/>
          <w:color w:val="auto"/>
          <w:kern w:val="2"/>
          <w:szCs w:val="24"/>
          <w:highlight w:val="none"/>
          <w:lang w:bidi="ar"/>
        </w:rPr>
        <w:t>约定应由乙方承担的其他义务和责任。</w:t>
      </w:r>
    </w:p>
    <w:p w14:paraId="636D2384">
      <w:pPr>
        <w:numPr>
          <w:ilvl w:val="0"/>
          <w:numId w:val="7"/>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合同履行</w:t>
      </w:r>
    </w:p>
    <w:p w14:paraId="6F099D0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6.1 甲乙双方应当按照</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约定顺序履行合同义务；如果没有先后顺序的，应当同时履行。</w:t>
      </w:r>
    </w:p>
    <w:p w14:paraId="07C1B1E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22096126">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7. 货物包装、运输、保险和交付要求</w:t>
      </w:r>
    </w:p>
    <w:p w14:paraId="4C0593E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7.1 本合同</w:t>
      </w:r>
      <w:r>
        <w:rPr>
          <w:rFonts w:hint="eastAsia" w:ascii="宋体" w:hAnsi="宋体" w:eastAsia="宋体" w:cs="宋体"/>
          <w:bCs/>
          <w:color w:val="auto"/>
          <w:sz w:val="24"/>
          <w:szCs w:val="24"/>
          <w:highlight w:val="none"/>
          <w:lang w:bidi="ar"/>
        </w:rPr>
        <w:t>涉及商品包装、快递包装的，</w:t>
      </w:r>
      <w:r>
        <w:rPr>
          <w:rFonts w:hint="eastAsia" w:ascii="宋体" w:hAnsi="宋体" w:eastAsia="宋体" w:cs="宋体"/>
          <w:color w:val="auto"/>
          <w:sz w:val="24"/>
          <w:szCs w:val="24"/>
          <w:highlight w:val="none"/>
          <w:lang w:bidi="ar"/>
        </w:rPr>
        <w:t>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包装应适应远距离运输、防潮、防震、防锈和防野蛮装卸等要求，确保货物安全无损地运抵</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约定的</w:t>
      </w:r>
      <w:r>
        <w:rPr>
          <w:rFonts w:hint="eastAsia" w:ascii="宋体" w:hAnsi="宋体" w:eastAsia="宋体" w:cs="宋体"/>
          <w:color w:val="auto"/>
          <w:sz w:val="24"/>
          <w:szCs w:val="24"/>
          <w:highlight w:val="none"/>
          <w:lang w:bidi="ar"/>
        </w:rPr>
        <w:t>指定现场。</w:t>
      </w:r>
    </w:p>
    <w:p w14:paraId="392CAAD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7.2 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乙方负责办理将货物运抵本合同规定的交货地点，并装卸、交付至甲方的一切运输事项，相关费用应包含在合同价款中。</w:t>
      </w:r>
    </w:p>
    <w:p w14:paraId="1E16123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7.3 货物保险要求按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规定执行</w:t>
      </w:r>
      <w:r>
        <w:rPr>
          <w:rFonts w:hint="eastAsia" w:ascii="宋体" w:hAnsi="宋体" w:eastAsia="宋体" w:cs="宋体"/>
          <w:color w:val="auto"/>
          <w:sz w:val="24"/>
          <w:szCs w:val="24"/>
          <w:highlight w:val="none"/>
          <w:lang w:bidi="ar"/>
        </w:rPr>
        <w:t>。</w:t>
      </w:r>
    </w:p>
    <w:p w14:paraId="6B1FC73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BD58F4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 乙方在运输到达之前应提前通知甲方，并提示货物运输装卸的注意事项，甲方配合乙方做好货物的接收工作。</w:t>
      </w:r>
    </w:p>
    <w:p w14:paraId="154BF8CB">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lang w:bidi="ar"/>
        </w:rPr>
        <w:t>7.6 如因包装、运输问题导致货物损毁、丢失或者品质下降，甲方有权要求降价、换货、拒收部分或整批货物，由此产生的费用和损失，均由乙方承担。</w:t>
      </w:r>
    </w:p>
    <w:p w14:paraId="3C4B3DAD">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8. 质量标准和保证</w:t>
      </w:r>
    </w:p>
    <w:p w14:paraId="2BB24901">
      <w:pPr>
        <w:pStyle w:val="22"/>
        <w:adjustRightInd w:val="0"/>
        <w:snapToGrid w:val="0"/>
        <w:spacing w:before="0" w:beforeAutospacing="0" w:after="0" w:afterAutospacing="0"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lang w:bidi="ar"/>
        </w:rPr>
        <w:t>8.1 质量标准</w:t>
      </w:r>
    </w:p>
    <w:p w14:paraId="641ED0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6CDBA6">
      <w:pPr>
        <w:pStyle w:val="22"/>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（2）采用中华人民共和国法定计量单位。</w:t>
      </w:r>
    </w:p>
    <w:p w14:paraId="526607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（3）乙方所提供的货物应符合国家有关安全、环保、卫生的规定。</w:t>
      </w:r>
    </w:p>
    <w:p w14:paraId="05224C4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341776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8.2 保证</w:t>
      </w:r>
    </w:p>
    <w:p w14:paraId="200453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规定或乙方书面承诺（两者以较长的为准）的质量保证期内，本保证保持有效。</w:t>
      </w:r>
    </w:p>
    <w:p w14:paraId="4C3F7AF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（2）在质量保证期内所发现的缺陷，甲方应尽快以书面形式通知乙方。</w:t>
      </w:r>
    </w:p>
    <w:p w14:paraId="51D99FC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（3）乙方收到通知后，应在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规定的响应时间内以合理的速度免费维修或更换有缺陷的货物或部件。</w:t>
      </w:r>
    </w:p>
    <w:p w14:paraId="2583B49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00B928F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4CC1AECF">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9. 权利瑕疵担保</w:t>
      </w:r>
    </w:p>
    <w:p w14:paraId="50D1AB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9.1 乙方保证对其出售的货物享有合法的权利。</w:t>
      </w:r>
    </w:p>
    <w:p w14:paraId="4A4A4B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9.2 乙方保证在交付的货物上不存在抵押权等担保物权。</w:t>
      </w:r>
    </w:p>
    <w:p w14:paraId="10DFC17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9.3 如甲方使用上述货物构成对第三人侵权的，则由乙方承担全部责任。</w:t>
      </w:r>
    </w:p>
    <w:p w14:paraId="0EB5938C">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10. 知识产权保护</w:t>
      </w:r>
    </w:p>
    <w:p w14:paraId="4632959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63AF2F2C">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11. 保密义务</w:t>
      </w:r>
    </w:p>
    <w:p w14:paraId="1734B7B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2C276AE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12. 合同价款支付</w:t>
      </w:r>
    </w:p>
    <w:p w14:paraId="388617F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12.1 合同价款支付按照国库集中支付制度及财政管理相关规定执行。</w:t>
      </w:r>
    </w:p>
    <w:p w14:paraId="7FD5CE9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039F9F46">
      <w:pPr>
        <w:pStyle w:val="22"/>
        <w:spacing w:before="0" w:after="0" w:afterAutospacing="0" w:line="360" w:lineRule="auto"/>
        <w:jc w:val="both"/>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lang w:bidi="ar"/>
        </w:rPr>
        <w:t>13. 履约保证金</w:t>
      </w:r>
    </w:p>
    <w:p w14:paraId="2ECAADA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13.1 乙方应当以支票、汇票、本票或者金融机构、担保机构出具的保函等非现金形式提交。</w:t>
      </w:r>
    </w:p>
    <w:p w14:paraId="53C8859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13.2 如果乙方出现</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5653ED5C">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13.3 甲方在项目通过验收后按照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规定的时间内将履约保证金退还乙方；逾期退还的，乙方可要求甲方支付违约金，违约金按照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规定支付。</w:t>
      </w:r>
    </w:p>
    <w:p w14:paraId="6A45F8CE">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bidi="ar"/>
        </w:rPr>
        <w:t xml:space="preserve">14. </w:t>
      </w:r>
      <w:r>
        <w:rPr>
          <w:rFonts w:hint="eastAsia" w:ascii="宋体" w:hAnsi="宋体" w:eastAsia="宋体" w:cs="宋体"/>
          <w:b/>
          <w:color w:val="auto"/>
          <w:sz w:val="24"/>
          <w:szCs w:val="24"/>
          <w:highlight w:val="none"/>
          <w:lang w:bidi="ar"/>
        </w:rPr>
        <w:t>售后服务</w:t>
      </w:r>
    </w:p>
    <w:p w14:paraId="17471C3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14.1 除项目不涉及或采购活动中明确约定无须承担外，乙方还应提供下列服务：</w:t>
      </w:r>
    </w:p>
    <w:p w14:paraId="0527121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（1）货物的现场移动、安装、调试、启动监督及技术支持；</w:t>
      </w:r>
    </w:p>
    <w:p w14:paraId="086C6A3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（2）提供货物组装和维修所需的专用工具和辅助材料；</w:t>
      </w:r>
    </w:p>
    <w:p w14:paraId="44EB866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约定的期限内对所有的货物实施运行监督、维修，但前提条件是该服务并不能免除乙方在质量保证期内所承担的义务；</w:t>
      </w:r>
    </w:p>
    <w:p w14:paraId="2D81219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（4）在制造商所在地或指定现场就货物的安装、启动、运营、维护、废弃处置等对甲方操作人员进行培训；</w:t>
      </w:r>
    </w:p>
    <w:p w14:paraId="67EBA9CB">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（5）依照法律、行政法规的规定或者按照</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约定，货物在有效使用年限届满后应予回收的，乙方负有自行或者委托第三人对货物予以回收的义务；</w:t>
      </w:r>
    </w:p>
    <w:p w14:paraId="6B28EA3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规定由乙方提供的其他服务。</w:t>
      </w:r>
    </w:p>
    <w:p w14:paraId="16B8458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14.2 乙方提供的售后服务的费用已包含在合同价款中，甲方不再另行支付。</w:t>
      </w:r>
    </w:p>
    <w:p w14:paraId="409A3E69">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15. 违约责任</w:t>
      </w:r>
    </w:p>
    <w:p w14:paraId="7584BD73">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15.1质量瑕疵的违约责任</w:t>
      </w:r>
    </w:p>
    <w:p w14:paraId="2A6745C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乙方提供的产品不符合合同约定的质量标准或存在产品质量缺陷，甲方有权要求乙方根据</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要求</w:t>
      </w:r>
      <w:r>
        <w:rPr>
          <w:rFonts w:hint="eastAsia" w:ascii="宋体" w:hAnsi="宋体" w:eastAsia="宋体" w:cs="宋体"/>
          <w:color w:val="auto"/>
          <w:sz w:val="24"/>
          <w:szCs w:val="24"/>
          <w:highlight w:val="none"/>
          <w:lang w:bidi="ar"/>
        </w:rPr>
        <w:t>及时修理、重作、更换，并承担由此给甲方造成的损失。</w:t>
      </w:r>
    </w:p>
    <w:p w14:paraId="31F5B38F">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15.2 迟延交货的违约责任</w:t>
      </w:r>
    </w:p>
    <w:p w14:paraId="5AB95F0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D868C7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规定执行。如果涉及公共利益，且赔偿金额无法弥补公共利益损失，甲方可要求继续履行或者采取其他补救措施。</w:t>
      </w:r>
    </w:p>
    <w:p w14:paraId="4A7D3A5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15.3 迟延支付的违约责任</w:t>
      </w:r>
    </w:p>
    <w:p w14:paraId="36D2277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甲方存在迟延支付乙方合同款项的，应当承担</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规定的逾期付款利息。</w:t>
      </w:r>
    </w:p>
    <w:p w14:paraId="2BAA815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15.4其他违约责任根据项目实际需要按</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w:t>
      </w:r>
    </w:p>
    <w:p w14:paraId="66DEBA71">
      <w:pPr>
        <w:numPr>
          <w:ilvl w:val="0"/>
          <w:numId w:val="8"/>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合同变更、中止与终止</w:t>
      </w:r>
    </w:p>
    <w:p w14:paraId="13FFD99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16.1合同的变更</w:t>
      </w:r>
    </w:p>
    <w:p w14:paraId="742124F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FC8428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16.2合同的中止</w:t>
      </w:r>
    </w:p>
    <w:p w14:paraId="480C183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（1）合同履行过程中因供应商就采购文件、采购过程或结果提起投诉的，甲方认为有必要的，可以中止合同的履行。</w:t>
      </w:r>
    </w:p>
    <w:p w14:paraId="6114138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6B4E66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548566B9">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（4）甲方不得以行政区划调整、政府换届、机构或者职能调整以及相关责任人更替为由中止合同。</w:t>
      </w:r>
    </w:p>
    <w:p w14:paraId="11020C2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16.3合同的终止</w:t>
      </w:r>
    </w:p>
    <w:p w14:paraId="3340CD3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（1）合同因有效期限届满而终止；</w:t>
      </w:r>
    </w:p>
    <w:p w14:paraId="2282AF3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（2）乙方未按合同约定履行，构成根本性违约的，甲方有权终止合同，并追究乙方的违约责任。</w:t>
      </w:r>
    </w:p>
    <w:p w14:paraId="7FFB74E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16.4 </w:t>
      </w:r>
      <w:r>
        <w:rPr>
          <w:rFonts w:hint="eastAsia" w:ascii="宋体" w:hAnsi="宋体" w:eastAsia="宋体" w:cs="宋体"/>
          <w:color w:val="auto"/>
          <w:kern w:val="2"/>
          <w:szCs w:val="24"/>
          <w:highlight w:val="none"/>
          <w:lang w:bidi="ar"/>
        </w:rPr>
        <w:t>涉及国家利益、社会公共利益的情形</w:t>
      </w:r>
    </w:p>
    <w:p w14:paraId="0F46BB78">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4F0EF3A5">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17. 合同分包</w:t>
      </w:r>
    </w:p>
    <w:p w14:paraId="6BFEC19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17.1 乙方不得将合同转包给其他供应商。涉及合同分包的，乙方应根据采购文件和投标（响应）文件规定进行合同分包。</w:t>
      </w:r>
    </w:p>
    <w:p w14:paraId="61642B7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57C556B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18. 不可抗力</w:t>
      </w:r>
    </w:p>
    <w:p w14:paraId="0875690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18.1 不可抗力是指合同双方不能预见、不能避免且不能克服的客观情况。</w:t>
      </w:r>
    </w:p>
    <w:p w14:paraId="1912D38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18.2 任何一方对由于不可抗力造成的部分或全部不能履行合同不承担违约责任。但迟延履行后发生不可抗力的，不能免除责任。</w:t>
      </w:r>
    </w:p>
    <w:p w14:paraId="4BDF485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DF11E4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19. 解决争议的方法</w:t>
      </w:r>
    </w:p>
    <w:p w14:paraId="1273729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5FCF7FA7">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19.2 选择仲裁的，应在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中明确仲裁机构及仲裁地；通过诉讼方式解决的，可以在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中进一步约定选择与争议有实际联系的地点的人民法院管辖，但管辖法院的约定不得违反级别管辖和专属管辖的规定。</w:t>
      </w:r>
    </w:p>
    <w:p w14:paraId="7783B3FC">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19.3 如甲乙双方有争议的事项不影响合同其他部分的履行，在争议解决期间，合同其他部分应当继续履行。</w:t>
      </w:r>
    </w:p>
    <w:p w14:paraId="5C74FF64">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20. 政府采购政策</w:t>
      </w:r>
    </w:p>
    <w:p w14:paraId="3AE46E7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20.1 本合同应当按照规定执行政府采购政策。</w:t>
      </w:r>
    </w:p>
    <w:p w14:paraId="760E814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2E350B96">
      <w:pPr>
        <w:pStyle w:val="22"/>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1A9E648">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21. 法律适用</w:t>
      </w:r>
    </w:p>
    <w:p w14:paraId="431F4F8E">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21.1 本合同的订立、生效、解释、履行及与本合同有关的争议解决，均适用法律、行政法规。</w:t>
      </w:r>
    </w:p>
    <w:p w14:paraId="5EFE7302">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21.2 本合同条款与法律、行政法规的强制性规定不一致的，双方当事人应按照法律、行政法规的强制性规定修改本合同的相关条款。</w:t>
      </w:r>
    </w:p>
    <w:p w14:paraId="65D86DF5">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22. 通知</w:t>
      </w:r>
    </w:p>
    <w:p w14:paraId="43CE1B1B">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284DBAC3">
      <w:pPr>
        <w:pStyle w:val="22"/>
        <w:widowControl/>
        <w:autoSpaceDE w:val="0"/>
        <w:autoSpaceDN w:val="0"/>
        <w:adjustRightInd w:val="0"/>
        <w:spacing w:before="0" w:beforeAutospacing="0" w:after="0" w:afterAutospacing="0"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585B4BA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22.3本合同一方给另一方的通知均应采用书面形式，传真或快递送到本合同中规定的对方的地址和办理签收手续。</w:t>
      </w:r>
    </w:p>
    <w:p w14:paraId="479CC0FF">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22.4通知以送达之日或通知书中规定的生效之日起生效，两者中以较迟之日为准。</w:t>
      </w:r>
    </w:p>
    <w:p w14:paraId="28194A7D">
      <w:pPr>
        <w:numPr>
          <w:ilvl w:val="0"/>
          <w:numId w:val="9"/>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合同未尽事项</w:t>
      </w:r>
    </w:p>
    <w:p w14:paraId="0D50D11E">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23.1合同未尽事项见</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w:t>
      </w:r>
    </w:p>
    <w:p w14:paraId="38C96BD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23.2 合同附件与合同正文具有同等的法律效力。</w:t>
      </w:r>
    </w:p>
    <w:p w14:paraId="55918EF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7B3986A8">
      <w:pPr>
        <w:pStyle w:val="3"/>
        <w:jc w:val="center"/>
        <w:rPr>
          <w:rFonts w:hint="eastAsia" w:cs="@仿宋_GB2312"/>
          <w:color w:val="auto"/>
          <w:highlight w:val="none"/>
        </w:rPr>
      </w:pPr>
      <w:r>
        <w:rPr>
          <w:rFonts w:hint="eastAsia"/>
          <w:color w:val="auto"/>
          <w:highlight w:val="none"/>
        </w:rPr>
        <w:t>第三节</w:t>
      </w:r>
      <w:r>
        <w:rPr>
          <w:rFonts w:hint="eastAsia" w:cs="@仿宋_GB2312"/>
          <w:color w:val="auto"/>
          <w:highlight w:val="none"/>
        </w:rPr>
        <w:t xml:space="preserve"> </w:t>
      </w:r>
      <w:r>
        <w:rPr>
          <w:rFonts w:hint="eastAsia"/>
          <w:color w:val="auto"/>
          <w:highlight w:val="none"/>
        </w:rPr>
        <w:t>政府采购合同专用条款</w:t>
      </w:r>
    </w:p>
    <w:tbl>
      <w:tblPr>
        <w:tblStyle w:val="27"/>
        <w:tblW w:w="8519"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5687B18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25B4F83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34AB2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1E867B0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联合体具体要求</w:t>
            </w:r>
          </w:p>
        </w:tc>
        <w:tc>
          <w:tcPr>
            <w:tcW w:w="5170" w:type="dxa"/>
            <w:tcBorders>
              <w:top w:val="double" w:color="auto" w:sz="2" w:space="0"/>
              <w:left w:val="single" w:color="auto" w:sz="6" w:space="0"/>
              <w:bottom w:val="single" w:color="auto" w:sz="6" w:space="0"/>
              <w:right w:val="double" w:color="auto" w:sz="2" w:space="0"/>
            </w:tcBorders>
            <w:vAlign w:val="center"/>
          </w:tcPr>
          <w:p w14:paraId="62DB7D1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不接受联合体投标</w:t>
            </w:r>
          </w:p>
        </w:tc>
      </w:tr>
      <w:tr w14:paraId="7307F02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19811E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60DC83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26BFD3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其他术语解释</w:t>
            </w:r>
          </w:p>
        </w:tc>
        <w:tc>
          <w:tcPr>
            <w:tcW w:w="5170" w:type="dxa"/>
            <w:tcBorders>
              <w:top w:val="single" w:color="auto" w:sz="6" w:space="0"/>
              <w:left w:val="single" w:color="auto" w:sz="6" w:space="0"/>
              <w:bottom w:val="single" w:color="auto" w:sz="6" w:space="0"/>
              <w:right w:val="double" w:color="auto" w:sz="2" w:space="0"/>
            </w:tcBorders>
            <w:vAlign w:val="center"/>
          </w:tcPr>
          <w:p w14:paraId="56D25A5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6E7E3E0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EC36D2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CDE479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1DE1D31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履约验收中甲方提出异议或作出说明的期限</w:t>
            </w:r>
          </w:p>
        </w:tc>
        <w:tc>
          <w:tcPr>
            <w:tcW w:w="5170" w:type="dxa"/>
            <w:tcBorders>
              <w:top w:val="single" w:color="auto" w:sz="6" w:space="0"/>
              <w:left w:val="single" w:color="auto" w:sz="6" w:space="0"/>
              <w:bottom w:val="single" w:color="auto" w:sz="6" w:space="0"/>
              <w:right w:val="double" w:color="auto" w:sz="2" w:space="0"/>
            </w:tcBorders>
            <w:vAlign w:val="center"/>
          </w:tcPr>
          <w:p w14:paraId="67580C3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5个工作日</w:t>
            </w:r>
          </w:p>
        </w:tc>
      </w:tr>
      <w:tr w14:paraId="2A81E20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D5A904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BF8C2C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11534B6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约定甲方承担的其他义务和责任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4BD66D8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1D64332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(2)买方逾期付款的应按照逾期付款金额的每天万分之四支付逾期付款违约金。</w:t>
            </w:r>
          </w:p>
          <w:p w14:paraId="5B3CF0D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(3)买方违反合同规定，无正当理由拒绝接收卖方交付的符合招标文件要求的合格标的物，应当承担卖方由此造成的损失。</w:t>
            </w:r>
          </w:p>
        </w:tc>
      </w:tr>
      <w:tr w14:paraId="28D26C2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87419C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1CE88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46CD691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约定乙方承担的其他义务和责任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77DC048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7B0B793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04BBDAAF">
            <w:pPr>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5D02AE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EB423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A96525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600F21B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履行合同义务的顺序</w:t>
            </w:r>
          </w:p>
        </w:tc>
        <w:tc>
          <w:tcPr>
            <w:tcW w:w="5170" w:type="dxa"/>
            <w:tcBorders>
              <w:top w:val="single" w:color="auto" w:sz="6" w:space="0"/>
              <w:left w:val="single" w:color="auto" w:sz="6" w:space="0"/>
              <w:bottom w:val="single" w:color="auto" w:sz="6" w:space="0"/>
              <w:right w:val="double" w:color="auto" w:sz="2" w:space="0"/>
            </w:tcBorders>
            <w:vAlign w:val="center"/>
          </w:tcPr>
          <w:p w14:paraId="1B29A58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乙方按规定履行合同义务后，甲方再履行合同义务。</w:t>
            </w:r>
          </w:p>
        </w:tc>
      </w:tr>
      <w:tr w14:paraId="5A3A152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2D000CF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454EDA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7B20E25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包装特殊要求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003F0CE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44D94FD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4B575C62">
            <w:pPr>
              <w:rPr>
                <w:rFonts w:ascii="Times New Roman" w:hAnsi="Times New Roman" w:cs="Times New Roman"/>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2743DD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指定现场</w:t>
            </w:r>
          </w:p>
        </w:tc>
        <w:tc>
          <w:tcPr>
            <w:tcW w:w="5170" w:type="dxa"/>
            <w:tcBorders>
              <w:top w:val="single" w:color="auto" w:sz="6" w:space="0"/>
              <w:left w:val="single" w:color="auto" w:sz="6" w:space="0"/>
              <w:bottom w:val="single" w:color="auto" w:sz="6" w:space="0"/>
              <w:right w:val="double" w:color="auto" w:sz="2" w:space="0"/>
            </w:tcBorders>
            <w:vAlign w:val="center"/>
          </w:tcPr>
          <w:p w14:paraId="6CEBA10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甲方指定地点</w:t>
            </w:r>
          </w:p>
        </w:tc>
      </w:tr>
      <w:tr w14:paraId="7F5DEF5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5797932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55A418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373234F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运输特殊要求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4F33F5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6604543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3744743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D2717C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03CBC5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保险要求</w:t>
            </w:r>
          </w:p>
        </w:tc>
        <w:tc>
          <w:tcPr>
            <w:tcW w:w="5170" w:type="dxa"/>
            <w:tcBorders>
              <w:top w:val="single" w:color="auto" w:sz="6" w:space="0"/>
              <w:left w:val="single" w:color="auto" w:sz="6" w:space="0"/>
              <w:bottom w:val="single" w:color="auto" w:sz="6" w:space="0"/>
              <w:right w:val="double" w:color="auto" w:sz="2" w:space="0"/>
            </w:tcBorders>
            <w:vAlign w:val="center"/>
          </w:tcPr>
          <w:p w14:paraId="1DDCEC5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按规定购买保险</w:t>
            </w:r>
          </w:p>
        </w:tc>
      </w:tr>
      <w:tr w14:paraId="4A74F06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FDC7DD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BC0CE5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533CEF4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质量保证期</w:t>
            </w:r>
          </w:p>
        </w:tc>
        <w:tc>
          <w:tcPr>
            <w:tcW w:w="5170" w:type="dxa"/>
            <w:tcBorders>
              <w:top w:val="single" w:color="auto" w:sz="6" w:space="0"/>
              <w:left w:val="single" w:color="auto" w:sz="6" w:space="0"/>
              <w:bottom w:val="single" w:color="auto" w:sz="6" w:space="0"/>
              <w:right w:val="double" w:color="auto" w:sz="2" w:space="0"/>
            </w:tcBorders>
            <w:vAlign w:val="center"/>
          </w:tcPr>
          <w:p w14:paraId="6032054A">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乙方书面承诺的期限</w:t>
            </w:r>
          </w:p>
        </w:tc>
      </w:tr>
      <w:tr w14:paraId="093AAFF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36C091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6FC937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567C09D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货物质量缺陷</w:t>
            </w:r>
          </w:p>
          <w:p w14:paraId="7F75165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响应时间</w:t>
            </w:r>
          </w:p>
        </w:tc>
        <w:tc>
          <w:tcPr>
            <w:tcW w:w="5170" w:type="dxa"/>
            <w:tcBorders>
              <w:top w:val="single" w:color="auto" w:sz="6" w:space="0"/>
              <w:left w:val="single" w:color="auto" w:sz="6" w:space="0"/>
              <w:bottom w:val="single" w:color="auto" w:sz="6" w:space="0"/>
              <w:right w:val="double" w:color="auto" w:sz="2" w:space="0"/>
            </w:tcBorders>
            <w:vAlign w:val="center"/>
          </w:tcPr>
          <w:p w14:paraId="0DEB21E2">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乙方应在合同货物出现故障和缺陷时，接到甲方通知后2小时内予以答复，如甲方有要求或必要时，乙方应在接到甲方通知后24小时内，进行维修。因乙方自身产品和安装质量原因而出现的质量问题由乙方负责包修、包换或包退，并承担修理、调换或退货的实际费用；属于人为损坏的由甲方负责。</w:t>
            </w:r>
          </w:p>
        </w:tc>
      </w:tr>
      <w:tr w14:paraId="38377A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427685A">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F01E027">
            <w:pPr>
              <w:pStyle w:val="22"/>
              <w:widowControl/>
              <w:autoSpaceDE w:val="0"/>
              <w:autoSpaceDN w:val="0"/>
              <w:adjustRightInd w:val="0"/>
              <w:spacing w:before="0" w:beforeAutospacing="0" w:after="0" w:afterAutospacing="0"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22E3D51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其他应当保密的信息</w:t>
            </w:r>
          </w:p>
        </w:tc>
        <w:tc>
          <w:tcPr>
            <w:tcW w:w="5170" w:type="dxa"/>
            <w:tcBorders>
              <w:top w:val="single" w:color="auto" w:sz="6" w:space="0"/>
              <w:left w:val="single" w:color="auto" w:sz="6" w:space="0"/>
              <w:bottom w:val="single" w:color="auto" w:sz="6" w:space="0"/>
              <w:right w:val="double" w:color="auto" w:sz="2" w:space="0"/>
            </w:tcBorders>
            <w:vAlign w:val="center"/>
          </w:tcPr>
          <w:p w14:paraId="74BBC48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0D75D9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9A7616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B97362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9DC14A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合同价款支付时间</w:t>
            </w:r>
          </w:p>
        </w:tc>
        <w:tc>
          <w:tcPr>
            <w:tcW w:w="5170" w:type="dxa"/>
            <w:tcBorders>
              <w:top w:val="single" w:color="auto" w:sz="6" w:space="0"/>
              <w:left w:val="single" w:color="auto" w:sz="6" w:space="0"/>
              <w:bottom w:val="single" w:color="auto" w:sz="6" w:space="0"/>
              <w:right w:val="double" w:color="auto" w:sz="2" w:space="0"/>
            </w:tcBorders>
            <w:vAlign w:val="center"/>
          </w:tcPr>
          <w:p w14:paraId="6DCB706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按第一节政府采购合同协议书相关内容执行</w:t>
            </w:r>
          </w:p>
        </w:tc>
      </w:tr>
      <w:tr w14:paraId="54CEB53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617CEC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833AF4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7994181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履约保证金不予退还的情形</w:t>
            </w:r>
          </w:p>
        </w:tc>
        <w:tc>
          <w:tcPr>
            <w:tcW w:w="5170" w:type="dxa"/>
            <w:tcBorders>
              <w:top w:val="single" w:color="auto" w:sz="6" w:space="0"/>
              <w:left w:val="single" w:color="auto" w:sz="6" w:space="0"/>
              <w:bottom w:val="single" w:color="auto" w:sz="6" w:space="0"/>
              <w:right w:val="double" w:color="auto" w:sz="2" w:space="0"/>
            </w:tcBorders>
            <w:vAlign w:val="center"/>
          </w:tcPr>
          <w:p w14:paraId="37BFBDA8">
            <w:pPr>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因乙方原因导致合同终止的</w:t>
            </w:r>
          </w:p>
        </w:tc>
      </w:tr>
      <w:tr w14:paraId="5F3EB8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F48E71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9C79B7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164E7BB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履约保证金退还时间及逾期退还的违约金</w:t>
            </w:r>
          </w:p>
        </w:tc>
        <w:tc>
          <w:tcPr>
            <w:tcW w:w="5170" w:type="dxa"/>
            <w:tcBorders>
              <w:top w:val="single" w:color="auto" w:sz="6" w:space="0"/>
              <w:left w:val="single" w:color="auto" w:sz="6" w:space="0"/>
              <w:bottom w:val="single" w:color="auto" w:sz="6" w:space="0"/>
              <w:right w:val="double" w:color="auto" w:sz="2" w:space="0"/>
            </w:tcBorders>
            <w:vAlign w:val="center"/>
          </w:tcPr>
          <w:p w14:paraId="649E21B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按招标文件相关内容执行</w:t>
            </w:r>
          </w:p>
        </w:tc>
      </w:tr>
      <w:tr w14:paraId="092055B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5C386E6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05933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3387AF3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运行监督、维修期限</w:t>
            </w:r>
          </w:p>
        </w:tc>
        <w:tc>
          <w:tcPr>
            <w:tcW w:w="5170" w:type="dxa"/>
            <w:tcBorders>
              <w:top w:val="single" w:color="auto" w:sz="6" w:space="0"/>
              <w:left w:val="single" w:color="auto" w:sz="6" w:space="0"/>
              <w:bottom w:val="single" w:color="auto" w:sz="6" w:space="0"/>
              <w:right w:val="double" w:color="auto" w:sz="2" w:space="0"/>
            </w:tcBorders>
            <w:vAlign w:val="center"/>
          </w:tcPr>
          <w:p w14:paraId="4F6FD42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乙方书面承诺的质保期内</w:t>
            </w:r>
          </w:p>
        </w:tc>
      </w:tr>
      <w:tr w14:paraId="265CFBE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029C8BD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747A33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262982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货物回收的约定</w:t>
            </w:r>
          </w:p>
        </w:tc>
        <w:tc>
          <w:tcPr>
            <w:tcW w:w="5170" w:type="dxa"/>
            <w:tcBorders>
              <w:top w:val="single" w:color="auto" w:sz="6" w:space="0"/>
              <w:left w:val="single" w:color="auto" w:sz="6" w:space="0"/>
              <w:bottom w:val="single" w:color="auto" w:sz="6" w:space="0"/>
              <w:right w:val="double" w:color="auto" w:sz="2" w:space="0"/>
            </w:tcBorders>
            <w:vAlign w:val="center"/>
          </w:tcPr>
          <w:p w14:paraId="7D9C719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由乙方在规定时间内自行组织回收，相关费用自行承担，甲方不另行支付相关费用。</w:t>
            </w:r>
          </w:p>
        </w:tc>
      </w:tr>
      <w:tr w14:paraId="136BC22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122256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7254BD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57C2F3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乙方提供的其他服务</w:t>
            </w:r>
          </w:p>
        </w:tc>
        <w:tc>
          <w:tcPr>
            <w:tcW w:w="5170" w:type="dxa"/>
            <w:tcBorders>
              <w:top w:val="single" w:color="auto" w:sz="6" w:space="0"/>
              <w:left w:val="single" w:color="auto" w:sz="6" w:space="0"/>
              <w:bottom w:val="single" w:color="auto" w:sz="6" w:space="0"/>
              <w:right w:val="double" w:color="auto" w:sz="2" w:space="0"/>
            </w:tcBorders>
            <w:vAlign w:val="center"/>
          </w:tcPr>
          <w:p w14:paraId="1D82B4E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按甲方要求须提供的其他相关服务</w:t>
            </w:r>
          </w:p>
        </w:tc>
      </w:tr>
      <w:tr w14:paraId="5401804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178A6F3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5C20B0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57802B8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修理、重作、更换相关具体规定</w:t>
            </w:r>
          </w:p>
        </w:tc>
        <w:tc>
          <w:tcPr>
            <w:tcW w:w="5170" w:type="dxa"/>
            <w:tcBorders>
              <w:top w:val="single" w:color="auto" w:sz="6" w:space="0"/>
              <w:left w:val="single" w:color="auto" w:sz="6" w:space="0"/>
              <w:bottom w:val="single" w:color="auto" w:sz="6" w:space="0"/>
              <w:right w:val="double" w:color="auto" w:sz="2" w:space="0"/>
            </w:tcBorders>
            <w:vAlign w:val="center"/>
          </w:tcPr>
          <w:p w14:paraId="605B8D5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保修期内两次修理仍不能正常使用的的必须更换新设备</w:t>
            </w:r>
          </w:p>
        </w:tc>
      </w:tr>
      <w:tr w14:paraId="2A938BE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1D2B2F1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47CA01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6025331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迟延交货赔偿费</w:t>
            </w:r>
          </w:p>
        </w:tc>
        <w:tc>
          <w:tcPr>
            <w:tcW w:w="5170" w:type="dxa"/>
            <w:tcBorders>
              <w:top w:val="single" w:color="auto" w:sz="6" w:space="0"/>
              <w:left w:val="single" w:color="auto" w:sz="6" w:space="0"/>
              <w:bottom w:val="single" w:color="auto" w:sz="6" w:space="0"/>
              <w:right w:val="double" w:color="auto" w:sz="2" w:space="0"/>
            </w:tcBorders>
            <w:vAlign w:val="center"/>
          </w:tcPr>
          <w:p w14:paraId="2B335669">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0ADB8B65">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57651C5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6E778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BBB69C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1B4BA2B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逾期付款利息</w:t>
            </w:r>
          </w:p>
        </w:tc>
        <w:tc>
          <w:tcPr>
            <w:tcW w:w="5170" w:type="dxa"/>
            <w:tcBorders>
              <w:top w:val="single" w:color="auto" w:sz="6" w:space="0"/>
              <w:left w:val="single" w:color="auto" w:sz="6" w:space="0"/>
              <w:bottom w:val="single" w:color="auto" w:sz="6" w:space="0"/>
              <w:right w:val="double" w:color="auto" w:sz="2" w:space="0"/>
            </w:tcBorders>
            <w:vAlign w:val="center"/>
          </w:tcPr>
          <w:p w14:paraId="739C0F8B">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w:t>
            </w:r>
          </w:p>
        </w:tc>
      </w:tr>
      <w:tr w14:paraId="068EC2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17DFA44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3CB17F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37CDCFB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其他违约责任</w:t>
            </w:r>
          </w:p>
        </w:tc>
        <w:tc>
          <w:tcPr>
            <w:tcW w:w="5170" w:type="dxa"/>
            <w:tcBorders>
              <w:top w:val="single" w:color="auto" w:sz="6" w:space="0"/>
              <w:left w:val="single" w:color="auto" w:sz="4" w:space="0"/>
              <w:bottom w:val="single" w:color="auto" w:sz="2" w:space="0"/>
              <w:right w:val="double" w:color="auto" w:sz="2" w:space="0"/>
            </w:tcBorders>
            <w:vAlign w:val="center"/>
          </w:tcPr>
          <w:p w14:paraId="7A0BF44E">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合同一方不履行合同义务或者履行合同义务不符合约定的，应当承担继续履行、采取补救措施或者赔偿损失等违约责任。</w:t>
            </w:r>
          </w:p>
        </w:tc>
      </w:tr>
      <w:tr w14:paraId="53FCA48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11B83F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BAE063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4E6B33C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解决争议的方法</w:t>
            </w:r>
          </w:p>
        </w:tc>
        <w:tc>
          <w:tcPr>
            <w:tcW w:w="5170" w:type="dxa"/>
            <w:tcBorders>
              <w:top w:val="single" w:color="auto" w:sz="2" w:space="0"/>
              <w:left w:val="single" w:color="auto" w:sz="4" w:space="0"/>
              <w:bottom w:val="single" w:color="auto" w:sz="6" w:space="0"/>
              <w:right w:val="double" w:color="auto" w:sz="2" w:space="0"/>
            </w:tcBorders>
            <w:vAlign w:val="center"/>
          </w:tcPr>
          <w:p w14:paraId="5A1FDE2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因本合同及合同有关事项发生的争议，按下列第</w:t>
            </w:r>
            <w:r>
              <w:rPr>
                <w:rFonts w:hint="eastAsia" w:ascii="宋体" w:hAnsi="宋体" w:eastAsia="宋体" w:cs="宋体"/>
                <w:iCs/>
                <w:color w:val="auto"/>
                <w:sz w:val="24"/>
                <w:szCs w:val="24"/>
                <w:highlight w:val="none"/>
                <w:u w:val="single"/>
                <w:lang w:bidi="ar"/>
              </w:rPr>
              <w:t xml:space="preserve"> </w:t>
            </w:r>
            <w:r>
              <w:rPr>
                <w:rFonts w:hint="eastAsia" w:ascii="宋体" w:hAnsi="宋体" w:eastAsia="宋体" w:cs="宋体"/>
                <w:iCs/>
                <w:color w:val="auto"/>
                <w:sz w:val="24"/>
                <w:szCs w:val="24"/>
                <w:highlight w:val="none"/>
                <w:u w:val="single"/>
                <w:lang w:val="en-US" w:eastAsia="zh-CN" w:bidi="ar"/>
              </w:rPr>
              <w:t xml:space="preserve"> （2） </w:t>
            </w:r>
            <w:r>
              <w:rPr>
                <w:rFonts w:hint="eastAsia" w:ascii="宋体" w:hAnsi="宋体" w:eastAsia="宋体" w:cs="宋体"/>
                <w:iCs/>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种方式解决：</w:t>
            </w:r>
          </w:p>
          <w:p w14:paraId="06627A04">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（1）向</w:t>
            </w:r>
            <w:r>
              <w:rPr>
                <w:rFonts w:hint="eastAsia" w:ascii="宋体" w:hAnsi="宋体" w:eastAsia="宋体" w:cs="宋体"/>
                <w:iCs/>
                <w:color w:val="auto"/>
                <w:sz w:val="24"/>
                <w:szCs w:val="24"/>
                <w:highlight w:val="none"/>
                <w:u w:val="single"/>
                <w:lang w:bidi="ar"/>
              </w:rPr>
              <w:t xml:space="preserve"> 滁州 </w:t>
            </w:r>
            <w:r>
              <w:rPr>
                <w:rFonts w:hint="eastAsia" w:ascii="宋体" w:hAnsi="宋体" w:eastAsia="宋体" w:cs="宋体"/>
                <w:iCs/>
                <w:color w:val="auto"/>
                <w:sz w:val="24"/>
                <w:szCs w:val="24"/>
                <w:highlight w:val="none"/>
                <w:lang w:bidi="ar"/>
              </w:rPr>
              <w:t>仲裁委员会申请仲裁，仲裁地点为</w:t>
            </w:r>
            <w:r>
              <w:rPr>
                <w:rFonts w:hint="eastAsia" w:ascii="宋体" w:hAnsi="宋体" w:eastAsia="宋体" w:cs="宋体"/>
                <w:iCs/>
                <w:color w:val="auto"/>
                <w:sz w:val="24"/>
                <w:szCs w:val="24"/>
                <w:highlight w:val="none"/>
                <w:u w:val="single"/>
                <w:lang w:bidi="ar"/>
              </w:rPr>
              <w:t xml:space="preserve">  滁州市 </w:t>
            </w:r>
            <w:r>
              <w:rPr>
                <w:rFonts w:hint="eastAsia" w:ascii="宋体" w:hAnsi="宋体" w:eastAsia="宋体" w:cs="宋体"/>
                <w:iCs/>
                <w:color w:val="auto"/>
                <w:sz w:val="24"/>
                <w:szCs w:val="24"/>
                <w:highlight w:val="none"/>
                <w:lang w:bidi="ar"/>
              </w:rPr>
              <w:t>；</w:t>
            </w:r>
          </w:p>
          <w:p w14:paraId="51A00671">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lang w:bidi="ar"/>
              </w:rPr>
              <w:t>（2）向</w:t>
            </w:r>
            <w:r>
              <w:rPr>
                <w:rFonts w:hint="eastAsia" w:ascii="宋体" w:hAnsi="宋体" w:eastAsia="宋体" w:cs="宋体"/>
                <w:iCs/>
                <w:color w:val="auto"/>
                <w:sz w:val="24"/>
                <w:szCs w:val="24"/>
                <w:highlight w:val="none"/>
                <w:u w:val="single"/>
                <w:lang w:bidi="ar"/>
              </w:rPr>
              <w:t xml:space="preserve">  项目所在地  </w:t>
            </w:r>
            <w:r>
              <w:rPr>
                <w:rFonts w:hint="eastAsia" w:ascii="宋体" w:hAnsi="宋体" w:eastAsia="宋体" w:cs="宋体"/>
                <w:iCs/>
                <w:color w:val="auto"/>
                <w:sz w:val="24"/>
                <w:szCs w:val="24"/>
                <w:highlight w:val="none"/>
                <w:lang w:bidi="ar"/>
              </w:rPr>
              <w:t>人民法院起诉。</w:t>
            </w:r>
          </w:p>
        </w:tc>
      </w:tr>
      <w:tr w14:paraId="26C9806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6AC620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A5BA5B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6364DC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其他专用条款</w:t>
            </w:r>
          </w:p>
        </w:tc>
        <w:tc>
          <w:tcPr>
            <w:tcW w:w="5170" w:type="dxa"/>
            <w:tcBorders>
              <w:top w:val="single" w:color="auto" w:sz="6" w:space="0"/>
              <w:left w:val="single" w:color="auto" w:sz="6" w:space="0"/>
              <w:bottom w:val="double" w:color="auto" w:sz="2" w:space="0"/>
              <w:right w:val="double" w:color="auto" w:sz="2" w:space="0"/>
            </w:tcBorders>
            <w:vAlign w:val="center"/>
          </w:tcPr>
          <w:p w14:paraId="5DEC014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4EB9FC1C">
      <w:pPr>
        <w:pStyle w:val="13"/>
        <w:rPr>
          <w:rFonts w:hint="eastAsia"/>
          <w:color w:val="auto"/>
          <w:highlight w:val="none"/>
        </w:rPr>
      </w:pPr>
    </w:p>
    <w:p w14:paraId="1E3D98B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55E1E4D">
      <w:pPr>
        <w:spacing w:line="360" w:lineRule="auto"/>
        <w:jc w:val="center"/>
        <w:outlineLvl w:val="0"/>
        <w:rPr>
          <w:rFonts w:asciiTheme="minorEastAsia" w:hAnsiTheme="minorEastAsia" w:eastAsiaTheme="minorEastAsia"/>
          <w:b/>
          <w:color w:val="auto"/>
          <w:sz w:val="28"/>
          <w:highlight w:val="none"/>
        </w:rPr>
      </w:pPr>
      <w:bookmarkStart w:id="24" w:name="_Toc22492"/>
      <w:r>
        <w:rPr>
          <w:rFonts w:hint="eastAsia" w:asciiTheme="minorEastAsia" w:hAnsiTheme="minorEastAsia" w:eastAsiaTheme="minorEastAsia"/>
          <w:b/>
          <w:color w:val="auto"/>
          <w:sz w:val="28"/>
          <w:highlight w:val="none"/>
        </w:rPr>
        <w:t>第六章  投标文件格式</w:t>
      </w:r>
      <w:bookmarkEnd w:id="24"/>
    </w:p>
    <w:p w14:paraId="041ED1A9">
      <w:pPr>
        <w:spacing w:line="900" w:lineRule="exact"/>
        <w:jc w:val="center"/>
        <w:rPr>
          <w:rFonts w:asciiTheme="minorEastAsia" w:hAnsiTheme="minorEastAsia" w:eastAsiaTheme="minorEastAsia"/>
          <w:b/>
          <w:color w:val="auto"/>
          <w:sz w:val="72"/>
          <w:highlight w:val="none"/>
        </w:rPr>
      </w:pPr>
    </w:p>
    <w:p w14:paraId="04103712">
      <w:pPr>
        <w:spacing w:line="900" w:lineRule="exact"/>
        <w:jc w:val="center"/>
        <w:outlineLvl w:val="1"/>
        <w:rPr>
          <w:rFonts w:asciiTheme="minorEastAsia" w:hAnsiTheme="minorEastAsia" w:eastAsiaTheme="minorEastAsia"/>
          <w:b/>
          <w:color w:val="auto"/>
          <w:sz w:val="72"/>
          <w:highlight w:val="none"/>
        </w:rPr>
      </w:pPr>
      <w:bookmarkStart w:id="25" w:name="_Toc651"/>
      <w:r>
        <w:rPr>
          <w:rFonts w:hint="eastAsia" w:asciiTheme="minorEastAsia" w:hAnsiTheme="minorEastAsia" w:eastAsiaTheme="minorEastAsia"/>
          <w:b/>
          <w:color w:val="auto"/>
          <w:sz w:val="72"/>
          <w:highlight w:val="none"/>
        </w:rPr>
        <w:t>投</w:t>
      </w:r>
      <w:bookmarkEnd w:id="25"/>
    </w:p>
    <w:p w14:paraId="6637A9C7">
      <w:pPr>
        <w:spacing w:line="900" w:lineRule="exact"/>
        <w:jc w:val="center"/>
        <w:rPr>
          <w:rFonts w:asciiTheme="minorEastAsia" w:hAnsiTheme="minorEastAsia" w:eastAsiaTheme="minorEastAsia"/>
          <w:b/>
          <w:color w:val="auto"/>
          <w:sz w:val="72"/>
          <w:highlight w:val="none"/>
        </w:rPr>
      </w:pPr>
    </w:p>
    <w:p w14:paraId="51A0ED41">
      <w:pPr>
        <w:spacing w:line="900" w:lineRule="exact"/>
        <w:jc w:val="center"/>
        <w:outlineLvl w:val="1"/>
        <w:rPr>
          <w:rFonts w:asciiTheme="minorEastAsia" w:hAnsiTheme="minorEastAsia" w:eastAsiaTheme="minorEastAsia"/>
          <w:b/>
          <w:color w:val="auto"/>
          <w:sz w:val="72"/>
          <w:highlight w:val="none"/>
        </w:rPr>
      </w:pPr>
      <w:bookmarkStart w:id="26" w:name="_Toc6148"/>
      <w:r>
        <w:rPr>
          <w:rFonts w:hint="eastAsia" w:asciiTheme="minorEastAsia" w:hAnsiTheme="minorEastAsia" w:eastAsiaTheme="minorEastAsia"/>
          <w:b/>
          <w:color w:val="auto"/>
          <w:sz w:val="72"/>
          <w:highlight w:val="none"/>
        </w:rPr>
        <w:t>标</w:t>
      </w:r>
      <w:bookmarkEnd w:id="26"/>
    </w:p>
    <w:p w14:paraId="7E5CDF01">
      <w:pPr>
        <w:spacing w:line="900" w:lineRule="exact"/>
        <w:jc w:val="center"/>
        <w:rPr>
          <w:rFonts w:asciiTheme="minorEastAsia" w:hAnsiTheme="minorEastAsia" w:eastAsiaTheme="minorEastAsia"/>
          <w:b/>
          <w:color w:val="auto"/>
          <w:sz w:val="72"/>
          <w:highlight w:val="none"/>
        </w:rPr>
      </w:pPr>
    </w:p>
    <w:p w14:paraId="07ED9D90">
      <w:pPr>
        <w:spacing w:line="900" w:lineRule="exact"/>
        <w:jc w:val="center"/>
        <w:outlineLvl w:val="1"/>
        <w:rPr>
          <w:rFonts w:asciiTheme="minorEastAsia" w:hAnsiTheme="minorEastAsia" w:eastAsiaTheme="minorEastAsia"/>
          <w:b/>
          <w:color w:val="auto"/>
          <w:sz w:val="72"/>
          <w:highlight w:val="none"/>
        </w:rPr>
      </w:pPr>
      <w:bookmarkStart w:id="27" w:name="_Toc1338"/>
      <w:r>
        <w:rPr>
          <w:rFonts w:hint="eastAsia" w:asciiTheme="minorEastAsia" w:hAnsiTheme="minorEastAsia" w:eastAsiaTheme="minorEastAsia"/>
          <w:b/>
          <w:color w:val="auto"/>
          <w:sz w:val="72"/>
          <w:highlight w:val="none"/>
        </w:rPr>
        <w:t>文</w:t>
      </w:r>
      <w:bookmarkEnd w:id="27"/>
    </w:p>
    <w:p w14:paraId="787DF300">
      <w:pPr>
        <w:spacing w:line="900" w:lineRule="exact"/>
        <w:jc w:val="center"/>
        <w:rPr>
          <w:rFonts w:asciiTheme="minorEastAsia" w:hAnsiTheme="minorEastAsia" w:eastAsiaTheme="minorEastAsia"/>
          <w:b/>
          <w:color w:val="auto"/>
          <w:sz w:val="72"/>
          <w:highlight w:val="none"/>
        </w:rPr>
      </w:pPr>
    </w:p>
    <w:p w14:paraId="41C116E1">
      <w:pPr>
        <w:jc w:val="center"/>
        <w:outlineLvl w:val="1"/>
        <w:rPr>
          <w:rFonts w:asciiTheme="minorEastAsia" w:hAnsiTheme="minorEastAsia" w:eastAsiaTheme="minorEastAsia"/>
          <w:b/>
          <w:color w:val="auto"/>
          <w:sz w:val="72"/>
          <w:highlight w:val="none"/>
        </w:rPr>
      </w:pPr>
      <w:bookmarkStart w:id="28" w:name="_Toc10796"/>
      <w:r>
        <w:rPr>
          <w:rFonts w:hint="eastAsia" w:asciiTheme="minorEastAsia" w:hAnsiTheme="minorEastAsia" w:eastAsiaTheme="minorEastAsia"/>
          <w:b/>
          <w:color w:val="auto"/>
          <w:sz w:val="72"/>
          <w:highlight w:val="none"/>
        </w:rPr>
        <w:t>件</w:t>
      </w:r>
      <w:bookmarkEnd w:id="28"/>
    </w:p>
    <w:p w14:paraId="281A30AB">
      <w:pPr>
        <w:spacing w:after="156" w:afterLines="50"/>
        <w:jc w:val="center"/>
        <w:rPr>
          <w:rFonts w:asciiTheme="minorEastAsia" w:hAnsiTheme="minorEastAsia" w:eastAsiaTheme="minorEastAsia"/>
          <w:b/>
          <w:color w:val="auto"/>
          <w:sz w:val="72"/>
          <w:highlight w:val="none"/>
        </w:rPr>
      </w:pPr>
    </w:p>
    <w:p w14:paraId="12BA52BA">
      <w:pPr>
        <w:spacing w:before="156" w:beforeLines="50" w:after="156" w:afterLines="50"/>
        <w:jc w:val="center"/>
        <w:outlineLvl w:val="9"/>
        <w:rPr>
          <w:rFonts w:hint="eastAsia" w:asciiTheme="minorEastAsia" w:hAnsiTheme="minorEastAsia" w:eastAsiaTheme="minorEastAsia"/>
          <w:b/>
          <w:color w:val="auto"/>
          <w:sz w:val="32"/>
          <w:szCs w:val="32"/>
          <w:highlight w:val="none"/>
          <w:lang w:eastAsia="zh-CN"/>
        </w:rPr>
      </w:pPr>
      <w:r>
        <w:rPr>
          <w:rFonts w:hint="eastAsia" w:asciiTheme="minorEastAsia" w:hAnsiTheme="minorEastAsia" w:eastAsiaTheme="minorEastAsia"/>
          <w:b/>
          <w:color w:val="auto"/>
          <w:sz w:val="32"/>
          <w:szCs w:val="32"/>
          <w:highlight w:val="none"/>
          <w:lang w:val="en-US" w:eastAsia="zh-CN"/>
        </w:rPr>
        <w:t xml:space="preserve"> </w:t>
      </w:r>
    </w:p>
    <w:p w14:paraId="39F1609C">
      <w:pPr>
        <w:spacing w:after="156" w:afterLines="50" w:line="500" w:lineRule="exact"/>
        <w:jc w:val="center"/>
        <w:rPr>
          <w:rFonts w:asciiTheme="minorEastAsia" w:hAnsiTheme="minorEastAsia" w:eastAsiaTheme="minorEastAsia"/>
          <w:b/>
          <w:color w:val="auto"/>
          <w:sz w:val="28"/>
          <w:szCs w:val="28"/>
          <w:highlight w:val="none"/>
        </w:rPr>
      </w:pPr>
    </w:p>
    <w:p w14:paraId="7E76B4E5">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FAFE52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3918F5">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E8BFCCC">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9" w:name="_Toc9994"/>
      <w:bookmarkStart w:id="30"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9"/>
      <w:bookmarkEnd w:id="30"/>
    </w:p>
    <w:p w14:paraId="563F38C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AA8422D">
      <w:pPr>
        <w:spacing w:line="360" w:lineRule="auto"/>
        <w:jc w:val="center"/>
        <w:outlineLvl w:val="1"/>
        <w:rPr>
          <w:rFonts w:asciiTheme="minorEastAsia" w:hAnsiTheme="minorEastAsia" w:eastAsiaTheme="minorEastAsia"/>
          <w:b/>
          <w:color w:val="auto"/>
          <w:sz w:val="24"/>
          <w:highlight w:val="none"/>
        </w:rPr>
      </w:pPr>
      <w:bookmarkStart w:id="31" w:name="_Toc28960"/>
      <w:bookmarkStart w:id="32" w:name="_Toc5555"/>
      <w:r>
        <w:rPr>
          <w:rFonts w:hint="eastAsia" w:asciiTheme="minorEastAsia" w:hAnsiTheme="minorEastAsia" w:eastAsiaTheme="minorEastAsia"/>
          <w:b/>
          <w:color w:val="auto"/>
          <w:sz w:val="24"/>
          <w:highlight w:val="none"/>
        </w:rPr>
        <w:t>一、开标一览表</w:t>
      </w:r>
      <w:bookmarkEnd w:id="31"/>
      <w:bookmarkEnd w:id="32"/>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5C5F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31778E2A">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27026DAB">
            <w:pPr>
              <w:spacing w:line="360" w:lineRule="exact"/>
              <w:jc w:val="center"/>
              <w:rPr>
                <w:rFonts w:asciiTheme="minorEastAsia" w:hAnsiTheme="minorEastAsia" w:eastAsiaTheme="minorEastAsia"/>
                <w:bCs/>
                <w:color w:val="auto"/>
                <w:sz w:val="24"/>
                <w:highlight w:val="none"/>
                <w:u w:val="single"/>
              </w:rPr>
            </w:pPr>
          </w:p>
        </w:tc>
      </w:tr>
      <w:tr w14:paraId="645A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109BC96">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F392F1E">
            <w:pPr>
              <w:spacing w:line="360" w:lineRule="auto"/>
              <w:rPr>
                <w:rFonts w:asciiTheme="minorEastAsia" w:hAnsiTheme="minorEastAsia" w:eastAsiaTheme="minorEastAsia"/>
                <w:color w:val="auto"/>
                <w:sz w:val="24"/>
                <w:highlight w:val="none"/>
              </w:rPr>
            </w:pPr>
          </w:p>
        </w:tc>
      </w:tr>
      <w:tr w14:paraId="270F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405CAFD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388DB263">
            <w:pPr>
              <w:keepNext w:val="0"/>
              <w:keepLines w:val="0"/>
              <w:pageBreakBefore w:val="0"/>
              <w:widowControl/>
              <w:kinsoku/>
              <w:wordWrap/>
              <w:overflowPunct/>
              <w:topLinePunct w:val="0"/>
              <w:autoSpaceDE/>
              <w:autoSpaceDN/>
              <w:bidi w:val="0"/>
              <w:adjustRightInd/>
              <w:spacing w:line="360" w:lineRule="auto"/>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szCs w:val="28"/>
                <w:highlight w:val="none"/>
              </w:rPr>
              <w:t>全部</w:t>
            </w:r>
            <w:r>
              <w:rPr>
                <w:rFonts w:hint="eastAsia" w:asciiTheme="minorEastAsia" w:hAnsiTheme="minorEastAsia" w:eastAsiaTheme="minorEastAsia"/>
                <w:color w:val="auto"/>
                <w:sz w:val="24"/>
                <w:szCs w:val="28"/>
                <w:highlight w:val="none"/>
                <w:lang w:val="en-US" w:eastAsia="zh-CN"/>
              </w:rPr>
              <w:t xml:space="preserve"> </w:t>
            </w:r>
          </w:p>
        </w:tc>
      </w:tr>
      <w:tr w14:paraId="75BC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1B2551A4">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63335D6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FAEC934">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41E0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7BBB9020">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613946BB">
            <w:pPr>
              <w:spacing w:line="360" w:lineRule="auto"/>
              <w:jc w:val="left"/>
              <w:rPr>
                <w:rFonts w:asciiTheme="minorEastAsia" w:hAnsiTheme="minorEastAsia" w:eastAsiaTheme="minorEastAsia"/>
                <w:color w:val="auto"/>
                <w:sz w:val="24"/>
                <w:szCs w:val="28"/>
                <w:highlight w:val="none"/>
              </w:rPr>
            </w:pPr>
          </w:p>
        </w:tc>
      </w:tr>
    </w:tbl>
    <w:p w14:paraId="5B6F37CB">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FF5F1C">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816BC2D">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F0F6389">
      <w:pPr>
        <w:spacing w:line="360" w:lineRule="auto"/>
        <w:ind w:firstLine="360" w:firstLineChars="150"/>
        <w:rPr>
          <w:rFonts w:asciiTheme="minorEastAsia" w:hAnsiTheme="minorEastAsia" w:eastAsiaTheme="minorEastAsia"/>
          <w:color w:val="auto"/>
          <w:sz w:val="24"/>
          <w:highlight w:val="none"/>
        </w:rPr>
      </w:pPr>
    </w:p>
    <w:p w14:paraId="410A4471">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2B8945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22B306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250562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65550E6E">
      <w:pPr>
        <w:spacing w:line="360" w:lineRule="auto"/>
        <w:jc w:val="center"/>
        <w:outlineLvl w:val="1"/>
        <w:rPr>
          <w:rFonts w:asciiTheme="minorEastAsia" w:hAnsiTheme="minorEastAsia" w:eastAsiaTheme="minorEastAsia"/>
          <w:b/>
          <w:color w:val="auto"/>
          <w:sz w:val="24"/>
          <w:highlight w:val="none"/>
        </w:rPr>
      </w:pPr>
      <w:bookmarkStart w:id="33" w:name="_Toc18010"/>
      <w:bookmarkStart w:id="34" w:name="_Toc6441"/>
      <w:r>
        <w:rPr>
          <w:rFonts w:hint="eastAsia" w:asciiTheme="minorEastAsia" w:hAnsiTheme="minorEastAsia" w:eastAsiaTheme="minorEastAsia"/>
          <w:b/>
          <w:color w:val="auto"/>
          <w:sz w:val="24"/>
          <w:highlight w:val="none"/>
        </w:rPr>
        <w:t>二、投标函</w:t>
      </w:r>
      <w:bookmarkEnd w:id="33"/>
      <w:bookmarkEnd w:id="34"/>
    </w:p>
    <w:p w14:paraId="57677EEB">
      <w:pPr>
        <w:pStyle w:val="16"/>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5ABCE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B68E1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83188D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2BC6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97B14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6F0F71AA">
      <w:pPr>
        <w:spacing w:line="360" w:lineRule="auto"/>
        <w:ind w:firstLine="4800" w:firstLineChars="2000"/>
        <w:rPr>
          <w:rFonts w:ascii="宋体" w:hAnsi="宋体" w:eastAsia="宋体"/>
          <w:color w:val="auto"/>
          <w:sz w:val="24"/>
          <w:highlight w:val="none"/>
        </w:rPr>
      </w:pPr>
    </w:p>
    <w:p w14:paraId="4260FD6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A2B28B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F61ACEA">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47BF7C67">
      <w:pPr>
        <w:spacing w:line="360" w:lineRule="auto"/>
        <w:jc w:val="center"/>
        <w:outlineLvl w:val="1"/>
        <w:rPr>
          <w:rFonts w:hint="eastAsia" w:asciiTheme="minorEastAsia" w:hAnsiTheme="minorEastAsia" w:eastAsiaTheme="minorEastAsia"/>
          <w:b/>
          <w:color w:val="auto"/>
          <w:sz w:val="24"/>
          <w:highlight w:val="none"/>
        </w:rPr>
      </w:pPr>
      <w:bookmarkStart w:id="35" w:name="_Toc1328"/>
      <w:r>
        <w:rPr>
          <w:rFonts w:hint="eastAsia" w:asciiTheme="minorEastAsia" w:hAnsiTheme="minorEastAsia" w:eastAsiaTheme="minorEastAsia"/>
          <w:b/>
          <w:color w:val="auto"/>
          <w:sz w:val="24"/>
          <w:highlight w:val="none"/>
          <w:lang w:val="en-US" w:eastAsia="zh-CN"/>
        </w:rPr>
        <w:t>三．投标人资格声明书</w:t>
      </w:r>
      <w:bookmarkEnd w:id="35"/>
      <w:r>
        <w:rPr>
          <w:rFonts w:hint="eastAsia" w:asciiTheme="minorEastAsia" w:hAnsiTheme="minorEastAsia" w:eastAsiaTheme="minorEastAsia"/>
          <w:b/>
          <w:color w:val="auto"/>
          <w:sz w:val="24"/>
          <w:highlight w:val="none"/>
          <w:lang w:val="en-US" w:eastAsia="zh-CN"/>
        </w:rPr>
        <w:t xml:space="preserve"> </w:t>
      </w:r>
    </w:p>
    <w:p w14:paraId="0EE26206">
      <w:pPr>
        <w:pStyle w:val="16"/>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76CF7B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640801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DBECA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1F9EE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265F64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4208B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45CE78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7681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FFBA982">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63048443">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524D61E8">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5337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FCB143D">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54A9A1A">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CB993B8">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93D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19E53A1">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0F557CCA">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201E3E6">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EBF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46948ED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7963D2">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1A1C3BA">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65E2F1CF">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60EE0FC3">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49B0ABAD">
      <w:pPr>
        <w:rPr>
          <w:rFonts w:hint="eastAsia" w:asciiTheme="minorEastAsia" w:hAnsiTheme="minorEastAsia" w:eastAsiaTheme="minorEastAsia"/>
          <w:b/>
          <w:color w:val="auto"/>
          <w:sz w:val="24"/>
          <w:highlight w:val="none"/>
        </w:rPr>
      </w:pPr>
      <w:bookmarkStart w:id="36" w:name="_Toc11607"/>
      <w:r>
        <w:rPr>
          <w:rFonts w:hint="eastAsia" w:asciiTheme="minorEastAsia" w:hAnsiTheme="minorEastAsia" w:eastAsiaTheme="minorEastAsia"/>
          <w:b/>
          <w:color w:val="auto"/>
          <w:sz w:val="24"/>
          <w:highlight w:val="none"/>
        </w:rPr>
        <w:br w:type="page"/>
      </w:r>
    </w:p>
    <w:p w14:paraId="03DD6AD0">
      <w:pPr>
        <w:spacing w:line="360" w:lineRule="auto"/>
        <w:jc w:val="center"/>
        <w:outlineLvl w:val="1"/>
        <w:rPr>
          <w:rFonts w:asciiTheme="minorEastAsia" w:hAnsiTheme="minorEastAsia" w:eastAsiaTheme="minorEastAsia"/>
          <w:b/>
          <w:color w:val="auto"/>
          <w:sz w:val="24"/>
          <w:highlight w:val="none"/>
        </w:rPr>
      </w:pPr>
      <w:bookmarkStart w:id="37" w:name="_Toc16960"/>
      <w:r>
        <w:rPr>
          <w:rFonts w:hint="eastAsia" w:asciiTheme="minorEastAsia" w:hAnsiTheme="minorEastAsia" w:eastAsiaTheme="minorEastAsia"/>
          <w:b/>
          <w:color w:val="auto"/>
          <w:sz w:val="24"/>
          <w:highlight w:val="none"/>
        </w:rPr>
        <w:t>四、授权书</w:t>
      </w:r>
      <w:bookmarkEnd w:id="36"/>
      <w:bookmarkEnd w:id="37"/>
    </w:p>
    <w:p w14:paraId="0CB21365">
      <w:pPr>
        <w:pStyle w:val="15"/>
        <w:snapToGrid w:val="0"/>
        <w:spacing w:line="360" w:lineRule="auto"/>
        <w:ind w:firstLine="480" w:firstLineChars="200"/>
        <w:jc w:val="left"/>
        <w:rPr>
          <w:rFonts w:hAnsi="宋体" w:eastAsia="宋体"/>
          <w:color w:val="auto"/>
          <w:sz w:val="24"/>
          <w:szCs w:val="28"/>
          <w:highlight w:val="none"/>
        </w:rPr>
      </w:pPr>
    </w:p>
    <w:p w14:paraId="2A480C7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1A613E31">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ED6431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65817EAF">
      <w:pPr>
        <w:spacing w:line="360" w:lineRule="auto"/>
        <w:ind w:firstLine="435"/>
        <w:rPr>
          <w:rFonts w:asciiTheme="minorEastAsia" w:hAnsiTheme="minorEastAsia" w:eastAsiaTheme="minorEastAsia"/>
          <w:color w:val="auto"/>
          <w:sz w:val="24"/>
          <w:highlight w:val="none"/>
        </w:rPr>
      </w:pPr>
    </w:p>
    <w:p w14:paraId="2AC8621B">
      <w:pPr>
        <w:spacing w:line="360" w:lineRule="auto"/>
        <w:ind w:firstLine="435"/>
        <w:rPr>
          <w:rFonts w:asciiTheme="minorEastAsia" w:hAnsiTheme="minorEastAsia" w:eastAsiaTheme="minorEastAsia"/>
          <w:color w:val="auto"/>
          <w:sz w:val="24"/>
          <w:highlight w:val="none"/>
        </w:rPr>
      </w:pPr>
    </w:p>
    <w:p w14:paraId="58AE91A7">
      <w:pPr>
        <w:spacing w:line="360" w:lineRule="auto"/>
        <w:ind w:firstLine="435"/>
        <w:rPr>
          <w:rFonts w:asciiTheme="minorEastAsia" w:hAnsiTheme="minorEastAsia" w:eastAsiaTheme="minorEastAsia"/>
          <w:color w:val="auto"/>
          <w:sz w:val="24"/>
          <w:highlight w:val="none"/>
        </w:rPr>
      </w:pPr>
    </w:p>
    <w:p w14:paraId="3B6B54DE">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33DCF527">
      <w:pPr>
        <w:spacing w:line="360" w:lineRule="auto"/>
        <w:ind w:firstLine="435"/>
        <w:rPr>
          <w:rFonts w:hAnsi="宋体" w:eastAsia="宋体"/>
          <w:color w:val="auto"/>
          <w:sz w:val="24"/>
          <w:szCs w:val="28"/>
          <w:highlight w:val="none"/>
          <w:lang w:val="zh-CN"/>
        </w:rPr>
      </w:pPr>
    </w:p>
    <w:p w14:paraId="0A633744">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0EECEEE2">
      <w:pPr>
        <w:spacing w:line="360" w:lineRule="auto"/>
        <w:rPr>
          <w:rFonts w:ascii="宋体" w:hAnsi="宋体" w:eastAsia="宋体"/>
          <w:color w:val="auto"/>
          <w:sz w:val="24"/>
          <w:szCs w:val="28"/>
          <w:highlight w:val="none"/>
        </w:rPr>
      </w:pPr>
    </w:p>
    <w:p w14:paraId="4B82FF6D">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5432EAE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11541AA0">
      <w:pPr>
        <w:spacing w:line="360" w:lineRule="auto"/>
        <w:ind w:firstLine="435"/>
        <w:rPr>
          <w:rFonts w:asciiTheme="minorEastAsia" w:hAnsiTheme="minorEastAsia" w:eastAsiaTheme="minorEastAsia"/>
          <w:color w:val="auto"/>
          <w:sz w:val="24"/>
          <w:highlight w:val="none"/>
        </w:rPr>
      </w:pPr>
    </w:p>
    <w:p w14:paraId="13F3FE88">
      <w:pPr>
        <w:spacing w:line="360" w:lineRule="auto"/>
        <w:ind w:firstLine="435"/>
        <w:rPr>
          <w:rFonts w:asciiTheme="minorEastAsia" w:hAnsiTheme="minorEastAsia" w:eastAsiaTheme="minorEastAsia"/>
          <w:color w:val="auto"/>
          <w:sz w:val="24"/>
          <w:highlight w:val="none"/>
        </w:rPr>
      </w:pPr>
    </w:p>
    <w:p w14:paraId="717A133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4CB960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C2E34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32B2081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0527F2B">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38" w:name="_Toc31991"/>
      <w:bookmarkStart w:id="39" w:name="_Toc6796"/>
      <w:r>
        <w:rPr>
          <w:rFonts w:hint="eastAsia" w:asciiTheme="minorEastAsia" w:hAnsiTheme="minorEastAsia" w:eastAsiaTheme="minorEastAsia"/>
          <w:b/>
          <w:color w:val="auto"/>
          <w:sz w:val="24"/>
          <w:highlight w:val="none"/>
        </w:rPr>
        <w:t>五、投标分项报价表</w:t>
      </w:r>
      <w:bookmarkEnd w:id="38"/>
      <w:bookmarkEnd w:id="39"/>
    </w:p>
    <w:p w14:paraId="233E5C65">
      <w:pPr>
        <w:pStyle w:val="54"/>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70"/>
        <w:gridCol w:w="1169"/>
        <w:gridCol w:w="1316"/>
        <w:gridCol w:w="672"/>
        <w:gridCol w:w="672"/>
        <w:gridCol w:w="940"/>
        <w:gridCol w:w="940"/>
        <w:gridCol w:w="670"/>
      </w:tblGrid>
      <w:tr w14:paraId="21CD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0" w:type="dxa"/>
            <w:noWrap w:val="0"/>
            <w:vAlign w:val="center"/>
          </w:tcPr>
          <w:p w14:paraId="4406F17A">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1470" w:type="dxa"/>
            <w:noWrap w:val="0"/>
            <w:vAlign w:val="center"/>
          </w:tcPr>
          <w:p w14:paraId="72998CE2">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1169" w:type="dxa"/>
            <w:noWrap w:val="0"/>
            <w:vAlign w:val="center"/>
          </w:tcPr>
          <w:p w14:paraId="37EAD46E">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6E4D80D9">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1316" w:type="dxa"/>
            <w:noWrap w:val="0"/>
            <w:vAlign w:val="center"/>
          </w:tcPr>
          <w:p w14:paraId="06D1ADBA">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124404C4">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672" w:type="dxa"/>
            <w:noWrap w:val="0"/>
            <w:vAlign w:val="center"/>
          </w:tcPr>
          <w:p w14:paraId="57A88A50">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672" w:type="dxa"/>
            <w:noWrap w:val="0"/>
            <w:vAlign w:val="center"/>
          </w:tcPr>
          <w:p w14:paraId="152D0551">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940" w:type="dxa"/>
            <w:noWrap w:val="0"/>
            <w:vAlign w:val="center"/>
          </w:tcPr>
          <w:p w14:paraId="358CB791">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05AE018B">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940" w:type="dxa"/>
            <w:noWrap w:val="0"/>
            <w:vAlign w:val="center"/>
          </w:tcPr>
          <w:p w14:paraId="041C9DD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42E09765">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670" w:type="dxa"/>
            <w:noWrap w:val="0"/>
            <w:vAlign w:val="center"/>
          </w:tcPr>
          <w:p w14:paraId="0697BC77">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5851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tcBorders>
              <w:bottom w:val="single" w:color="auto" w:sz="4" w:space="0"/>
            </w:tcBorders>
            <w:noWrap w:val="0"/>
            <w:vAlign w:val="center"/>
          </w:tcPr>
          <w:p w14:paraId="0B308941">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1470" w:type="dxa"/>
            <w:noWrap w:val="0"/>
            <w:vAlign w:val="center"/>
          </w:tcPr>
          <w:p w14:paraId="71FB634B">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5C0F7F29">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44D9F68">
            <w:pPr>
              <w:jc w:val="center"/>
              <w:rPr>
                <w:rFonts w:ascii="宋体" w:hAnsi="宋体" w:eastAsia="宋体"/>
                <w:color w:val="auto"/>
                <w:sz w:val="21"/>
                <w:szCs w:val="21"/>
                <w:highlight w:val="none"/>
              </w:rPr>
            </w:pPr>
          </w:p>
        </w:tc>
        <w:tc>
          <w:tcPr>
            <w:tcW w:w="672" w:type="dxa"/>
            <w:noWrap w:val="0"/>
            <w:vAlign w:val="center"/>
          </w:tcPr>
          <w:p w14:paraId="37FAEBFE">
            <w:pPr>
              <w:jc w:val="center"/>
              <w:rPr>
                <w:rFonts w:ascii="宋体" w:hAnsi="宋体" w:eastAsia="宋体"/>
                <w:color w:val="auto"/>
                <w:sz w:val="21"/>
                <w:szCs w:val="21"/>
                <w:highlight w:val="none"/>
              </w:rPr>
            </w:pPr>
          </w:p>
        </w:tc>
        <w:tc>
          <w:tcPr>
            <w:tcW w:w="672" w:type="dxa"/>
            <w:noWrap w:val="0"/>
            <w:vAlign w:val="center"/>
          </w:tcPr>
          <w:p w14:paraId="61492FA0">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760B635">
            <w:pPr>
              <w:rPr>
                <w:rFonts w:ascii="宋体" w:hAnsi="宋体" w:eastAsia="宋体"/>
                <w:color w:val="auto"/>
                <w:sz w:val="24"/>
                <w:highlight w:val="none"/>
              </w:rPr>
            </w:pPr>
          </w:p>
        </w:tc>
        <w:tc>
          <w:tcPr>
            <w:tcW w:w="940" w:type="dxa"/>
            <w:noWrap w:val="0"/>
            <w:vAlign w:val="top"/>
          </w:tcPr>
          <w:p w14:paraId="03B20F3D">
            <w:pPr>
              <w:rPr>
                <w:rFonts w:ascii="宋体" w:hAnsi="宋体" w:eastAsia="宋体"/>
                <w:color w:val="auto"/>
                <w:sz w:val="24"/>
                <w:highlight w:val="none"/>
              </w:rPr>
            </w:pPr>
          </w:p>
        </w:tc>
        <w:tc>
          <w:tcPr>
            <w:tcW w:w="670" w:type="dxa"/>
            <w:noWrap w:val="0"/>
            <w:vAlign w:val="top"/>
          </w:tcPr>
          <w:p w14:paraId="3173878A">
            <w:pPr>
              <w:rPr>
                <w:rFonts w:ascii="宋体" w:hAnsi="宋体" w:eastAsia="宋体"/>
                <w:color w:val="auto"/>
                <w:sz w:val="24"/>
                <w:highlight w:val="none"/>
              </w:rPr>
            </w:pPr>
          </w:p>
        </w:tc>
      </w:tr>
      <w:tr w14:paraId="004C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0" w:type="dxa"/>
            <w:noWrap w:val="0"/>
            <w:vAlign w:val="center"/>
          </w:tcPr>
          <w:p w14:paraId="452098E5">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1470" w:type="dxa"/>
            <w:noWrap w:val="0"/>
            <w:vAlign w:val="center"/>
          </w:tcPr>
          <w:p w14:paraId="1353F9B6">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8B6174E">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3749F839">
            <w:pPr>
              <w:jc w:val="center"/>
              <w:rPr>
                <w:rFonts w:ascii="宋体" w:hAnsi="宋体" w:eastAsia="宋体"/>
                <w:color w:val="auto"/>
                <w:sz w:val="21"/>
                <w:szCs w:val="21"/>
                <w:highlight w:val="none"/>
              </w:rPr>
            </w:pPr>
          </w:p>
        </w:tc>
        <w:tc>
          <w:tcPr>
            <w:tcW w:w="672" w:type="dxa"/>
            <w:noWrap w:val="0"/>
            <w:vAlign w:val="center"/>
          </w:tcPr>
          <w:p w14:paraId="0D8BC5CA">
            <w:pPr>
              <w:jc w:val="center"/>
              <w:rPr>
                <w:rFonts w:ascii="宋体" w:hAnsi="宋体" w:eastAsia="宋体"/>
                <w:color w:val="auto"/>
                <w:sz w:val="21"/>
                <w:szCs w:val="21"/>
                <w:highlight w:val="none"/>
              </w:rPr>
            </w:pPr>
          </w:p>
        </w:tc>
        <w:tc>
          <w:tcPr>
            <w:tcW w:w="672" w:type="dxa"/>
            <w:noWrap w:val="0"/>
            <w:vAlign w:val="center"/>
          </w:tcPr>
          <w:p w14:paraId="30FF89A3">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54E6C63">
            <w:pPr>
              <w:rPr>
                <w:rFonts w:ascii="宋体" w:hAnsi="宋体" w:eastAsia="宋体"/>
                <w:color w:val="auto"/>
                <w:sz w:val="24"/>
                <w:highlight w:val="none"/>
              </w:rPr>
            </w:pPr>
          </w:p>
        </w:tc>
        <w:tc>
          <w:tcPr>
            <w:tcW w:w="940" w:type="dxa"/>
            <w:noWrap w:val="0"/>
            <w:vAlign w:val="top"/>
          </w:tcPr>
          <w:p w14:paraId="7C1B5F0A">
            <w:pPr>
              <w:rPr>
                <w:rFonts w:ascii="宋体" w:hAnsi="宋体" w:eastAsia="宋体"/>
                <w:color w:val="auto"/>
                <w:sz w:val="24"/>
                <w:highlight w:val="none"/>
              </w:rPr>
            </w:pPr>
          </w:p>
        </w:tc>
        <w:tc>
          <w:tcPr>
            <w:tcW w:w="670" w:type="dxa"/>
            <w:noWrap w:val="0"/>
            <w:vAlign w:val="top"/>
          </w:tcPr>
          <w:p w14:paraId="25F6739D">
            <w:pPr>
              <w:rPr>
                <w:rFonts w:ascii="宋体" w:hAnsi="宋体" w:eastAsia="宋体"/>
                <w:color w:val="auto"/>
                <w:sz w:val="24"/>
                <w:highlight w:val="none"/>
              </w:rPr>
            </w:pPr>
          </w:p>
        </w:tc>
      </w:tr>
      <w:tr w14:paraId="59FF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375C9DE9">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1470" w:type="dxa"/>
            <w:noWrap w:val="0"/>
            <w:vAlign w:val="center"/>
          </w:tcPr>
          <w:p w14:paraId="174B81FB">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D117695">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0EBCFBFF">
            <w:pPr>
              <w:jc w:val="center"/>
              <w:rPr>
                <w:rFonts w:ascii="宋体" w:hAnsi="宋体" w:eastAsia="宋体"/>
                <w:color w:val="auto"/>
                <w:sz w:val="21"/>
                <w:szCs w:val="21"/>
                <w:highlight w:val="none"/>
              </w:rPr>
            </w:pPr>
          </w:p>
        </w:tc>
        <w:tc>
          <w:tcPr>
            <w:tcW w:w="672" w:type="dxa"/>
            <w:noWrap w:val="0"/>
            <w:vAlign w:val="center"/>
          </w:tcPr>
          <w:p w14:paraId="16900098">
            <w:pPr>
              <w:jc w:val="center"/>
              <w:rPr>
                <w:rFonts w:ascii="宋体" w:hAnsi="宋体" w:eastAsia="宋体"/>
                <w:color w:val="auto"/>
                <w:sz w:val="21"/>
                <w:szCs w:val="21"/>
                <w:highlight w:val="none"/>
              </w:rPr>
            </w:pPr>
          </w:p>
        </w:tc>
        <w:tc>
          <w:tcPr>
            <w:tcW w:w="672" w:type="dxa"/>
            <w:noWrap w:val="0"/>
            <w:vAlign w:val="center"/>
          </w:tcPr>
          <w:p w14:paraId="44D25880">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4306224D">
            <w:pPr>
              <w:rPr>
                <w:rFonts w:ascii="宋体" w:hAnsi="宋体" w:eastAsia="宋体"/>
                <w:color w:val="auto"/>
                <w:sz w:val="24"/>
                <w:highlight w:val="none"/>
              </w:rPr>
            </w:pPr>
          </w:p>
        </w:tc>
        <w:tc>
          <w:tcPr>
            <w:tcW w:w="940" w:type="dxa"/>
            <w:noWrap w:val="0"/>
            <w:vAlign w:val="top"/>
          </w:tcPr>
          <w:p w14:paraId="2D58D4C9">
            <w:pPr>
              <w:rPr>
                <w:rFonts w:ascii="宋体" w:hAnsi="宋体" w:eastAsia="宋体"/>
                <w:color w:val="auto"/>
                <w:sz w:val="24"/>
                <w:highlight w:val="none"/>
              </w:rPr>
            </w:pPr>
          </w:p>
        </w:tc>
        <w:tc>
          <w:tcPr>
            <w:tcW w:w="670" w:type="dxa"/>
            <w:noWrap w:val="0"/>
            <w:vAlign w:val="top"/>
          </w:tcPr>
          <w:p w14:paraId="03C9A20F">
            <w:pPr>
              <w:rPr>
                <w:rFonts w:ascii="宋体" w:hAnsi="宋体" w:eastAsia="宋体"/>
                <w:color w:val="auto"/>
                <w:sz w:val="24"/>
                <w:highlight w:val="none"/>
              </w:rPr>
            </w:pPr>
          </w:p>
        </w:tc>
      </w:tr>
      <w:tr w14:paraId="5835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66D707BF">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p>
        </w:tc>
        <w:tc>
          <w:tcPr>
            <w:tcW w:w="1470" w:type="dxa"/>
            <w:noWrap w:val="0"/>
            <w:vAlign w:val="center"/>
          </w:tcPr>
          <w:p w14:paraId="3862BC7E">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8D7B20F">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8F016DB">
            <w:pPr>
              <w:jc w:val="center"/>
              <w:rPr>
                <w:rFonts w:ascii="宋体" w:hAnsi="宋体" w:eastAsia="宋体"/>
                <w:color w:val="auto"/>
                <w:sz w:val="21"/>
                <w:szCs w:val="21"/>
                <w:highlight w:val="none"/>
              </w:rPr>
            </w:pPr>
          </w:p>
        </w:tc>
        <w:tc>
          <w:tcPr>
            <w:tcW w:w="672" w:type="dxa"/>
            <w:noWrap w:val="0"/>
            <w:vAlign w:val="center"/>
          </w:tcPr>
          <w:p w14:paraId="54FD2DF0">
            <w:pPr>
              <w:jc w:val="center"/>
              <w:rPr>
                <w:rFonts w:ascii="宋体" w:hAnsi="宋体" w:eastAsia="宋体"/>
                <w:color w:val="auto"/>
                <w:sz w:val="21"/>
                <w:szCs w:val="21"/>
                <w:highlight w:val="none"/>
              </w:rPr>
            </w:pPr>
          </w:p>
        </w:tc>
        <w:tc>
          <w:tcPr>
            <w:tcW w:w="672" w:type="dxa"/>
            <w:noWrap w:val="0"/>
            <w:vAlign w:val="center"/>
          </w:tcPr>
          <w:p w14:paraId="46F3C5EA">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6F4D24B">
            <w:pPr>
              <w:rPr>
                <w:rFonts w:ascii="宋体" w:hAnsi="宋体" w:eastAsia="宋体"/>
                <w:color w:val="auto"/>
                <w:sz w:val="24"/>
                <w:highlight w:val="none"/>
              </w:rPr>
            </w:pPr>
          </w:p>
        </w:tc>
        <w:tc>
          <w:tcPr>
            <w:tcW w:w="940" w:type="dxa"/>
            <w:noWrap w:val="0"/>
            <w:vAlign w:val="top"/>
          </w:tcPr>
          <w:p w14:paraId="31B6B92F">
            <w:pPr>
              <w:rPr>
                <w:rFonts w:ascii="宋体" w:hAnsi="宋体" w:eastAsia="宋体"/>
                <w:color w:val="auto"/>
                <w:sz w:val="24"/>
                <w:highlight w:val="none"/>
              </w:rPr>
            </w:pPr>
          </w:p>
        </w:tc>
        <w:tc>
          <w:tcPr>
            <w:tcW w:w="670" w:type="dxa"/>
            <w:noWrap w:val="0"/>
            <w:vAlign w:val="top"/>
          </w:tcPr>
          <w:p w14:paraId="24036402">
            <w:pPr>
              <w:rPr>
                <w:rFonts w:ascii="宋体" w:hAnsi="宋体" w:eastAsia="宋体"/>
                <w:color w:val="auto"/>
                <w:sz w:val="24"/>
                <w:highlight w:val="none"/>
              </w:rPr>
            </w:pPr>
          </w:p>
        </w:tc>
      </w:tr>
      <w:tr w14:paraId="0799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07EDAB93">
            <w:pPr>
              <w:jc w:val="center"/>
              <w:rPr>
                <w:rFonts w:hint="eastAsia" w:ascii="宋体" w:hAnsi="宋体" w:eastAsia="宋体"/>
                <w:color w:val="auto"/>
                <w:sz w:val="21"/>
                <w:szCs w:val="21"/>
                <w:highlight w:val="none"/>
              </w:rPr>
            </w:pPr>
          </w:p>
        </w:tc>
        <w:tc>
          <w:tcPr>
            <w:tcW w:w="1470" w:type="dxa"/>
            <w:noWrap w:val="0"/>
            <w:vAlign w:val="center"/>
          </w:tcPr>
          <w:p w14:paraId="1A64985A">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5A611429">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7FD8A80A">
            <w:pPr>
              <w:jc w:val="center"/>
              <w:rPr>
                <w:rFonts w:ascii="宋体" w:hAnsi="宋体" w:eastAsia="宋体"/>
                <w:color w:val="auto"/>
                <w:sz w:val="21"/>
                <w:szCs w:val="21"/>
                <w:highlight w:val="none"/>
              </w:rPr>
            </w:pPr>
          </w:p>
        </w:tc>
        <w:tc>
          <w:tcPr>
            <w:tcW w:w="672" w:type="dxa"/>
            <w:noWrap w:val="0"/>
            <w:vAlign w:val="center"/>
          </w:tcPr>
          <w:p w14:paraId="69EF4342">
            <w:pPr>
              <w:jc w:val="center"/>
              <w:rPr>
                <w:rFonts w:ascii="宋体" w:hAnsi="宋体" w:eastAsia="宋体"/>
                <w:color w:val="auto"/>
                <w:sz w:val="21"/>
                <w:szCs w:val="21"/>
                <w:highlight w:val="none"/>
              </w:rPr>
            </w:pPr>
          </w:p>
        </w:tc>
        <w:tc>
          <w:tcPr>
            <w:tcW w:w="672" w:type="dxa"/>
            <w:noWrap w:val="0"/>
            <w:vAlign w:val="center"/>
          </w:tcPr>
          <w:p w14:paraId="01A81082">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3BDA0F2C">
            <w:pPr>
              <w:rPr>
                <w:rFonts w:ascii="宋体" w:hAnsi="宋体" w:eastAsia="宋体"/>
                <w:color w:val="auto"/>
                <w:sz w:val="24"/>
                <w:highlight w:val="none"/>
              </w:rPr>
            </w:pPr>
          </w:p>
        </w:tc>
        <w:tc>
          <w:tcPr>
            <w:tcW w:w="940" w:type="dxa"/>
            <w:noWrap w:val="0"/>
            <w:vAlign w:val="top"/>
          </w:tcPr>
          <w:p w14:paraId="0254E4D3">
            <w:pPr>
              <w:rPr>
                <w:rFonts w:ascii="宋体" w:hAnsi="宋体" w:eastAsia="宋体"/>
                <w:color w:val="auto"/>
                <w:sz w:val="24"/>
                <w:highlight w:val="none"/>
              </w:rPr>
            </w:pPr>
          </w:p>
        </w:tc>
        <w:tc>
          <w:tcPr>
            <w:tcW w:w="670" w:type="dxa"/>
            <w:noWrap w:val="0"/>
            <w:vAlign w:val="top"/>
          </w:tcPr>
          <w:p w14:paraId="524EB088">
            <w:pPr>
              <w:rPr>
                <w:rFonts w:ascii="宋体" w:hAnsi="宋体" w:eastAsia="宋体"/>
                <w:color w:val="auto"/>
                <w:sz w:val="24"/>
                <w:highlight w:val="none"/>
              </w:rPr>
            </w:pPr>
          </w:p>
        </w:tc>
      </w:tr>
      <w:tr w14:paraId="6663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106EAE7E">
            <w:pPr>
              <w:jc w:val="center"/>
              <w:rPr>
                <w:rFonts w:hint="eastAsia" w:ascii="宋体" w:hAnsi="宋体" w:eastAsia="宋体"/>
                <w:color w:val="auto"/>
                <w:sz w:val="21"/>
                <w:szCs w:val="21"/>
                <w:highlight w:val="none"/>
              </w:rPr>
            </w:pPr>
          </w:p>
        </w:tc>
        <w:tc>
          <w:tcPr>
            <w:tcW w:w="1470" w:type="dxa"/>
            <w:noWrap w:val="0"/>
            <w:vAlign w:val="center"/>
          </w:tcPr>
          <w:p w14:paraId="636F18BD">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CB2CF6E">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69CFBCE">
            <w:pPr>
              <w:jc w:val="center"/>
              <w:rPr>
                <w:rFonts w:ascii="宋体" w:hAnsi="宋体" w:eastAsia="宋体"/>
                <w:color w:val="auto"/>
                <w:sz w:val="21"/>
                <w:szCs w:val="21"/>
                <w:highlight w:val="none"/>
              </w:rPr>
            </w:pPr>
          </w:p>
        </w:tc>
        <w:tc>
          <w:tcPr>
            <w:tcW w:w="672" w:type="dxa"/>
            <w:noWrap w:val="0"/>
            <w:vAlign w:val="center"/>
          </w:tcPr>
          <w:p w14:paraId="70FC1ECA">
            <w:pPr>
              <w:jc w:val="center"/>
              <w:rPr>
                <w:rFonts w:ascii="宋体" w:hAnsi="宋体" w:eastAsia="宋体"/>
                <w:color w:val="auto"/>
                <w:sz w:val="21"/>
                <w:szCs w:val="21"/>
                <w:highlight w:val="none"/>
              </w:rPr>
            </w:pPr>
          </w:p>
        </w:tc>
        <w:tc>
          <w:tcPr>
            <w:tcW w:w="672" w:type="dxa"/>
            <w:noWrap w:val="0"/>
            <w:vAlign w:val="center"/>
          </w:tcPr>
          <w:p w14:paraId="2762FB23">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9013C04">
            <w:pPr>
              <w:rPr>
                <w:rFonts w:ascii="宋体" w:hAnsi="宋体" w:eastAsia="宋体"/>
                <w:color w:val="auto"/>
                <w:sz w:val="24"/>
                <w:highlight w:val="none"/>
              </w:rPr>
            </w:pPr>
          </w:p>
        </w:tc>
        <w:tc>
          <w:tcPr>
            <w:tcW w:w="940" w:type="dxa"/>
            <w:noWrap w:val="0"/>
            <w:vAlign w:val="top"/>
          </w:tcPr>
          <w:p w14:paraId="2B695C1C">
            <w:pPr>
              <w:rPr>
                <w:rFonts w:ascii="宋体" w:hAnsi="宋体" w:eastAsia="宋体"/>
                <w:color w:val="auto"/>
                <w:sz w:val="24"/>
                <w:highlight w:val="none"/>
              </w:rPr>
            </w:pPr>
          </w:p>
        </w:tc>
        <w:tc>
          <w:tcPr>
            <w:tcW w:w="670" w:type="dxa"/>
            <w:noWrap w:val="0"/>
            <w:vAlign w:val="top"/>
          </w:tcPr>
          <w:p w14:paraId="2ACBA1AF">
            <w:pPr>
              <w:rPr>
                <w:rFonts w:ascii="宋体" w:hAnsi="宋体" w:eastAsia="宋体"/>
                <w:color w:val="auto"/>
                <w:sz w:val="24"/>
                <w:highlight w:val="none"/>
              </w:rPr>
            </w:pPr>
          </w:p>
        </w:tc>
      </w:tr>
      <w:tr w14:paraId="4FCE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909" w:type="dxa"/>
            <w:gridSpan w:val="7"/>
            <w:noWrap w:val="0"/>
            <w:vAlign w:val="center"/>
          </w:tcPr>
          <w:p w14:paraId="37613190">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1610" w:type="dxa"/>
            <w:gridSpan w:val="2"/>
            <w:noWrap w:val="0"/>
            <w:vAlign w:val="top"/>
          </w:tcPr>
          <w:p w14:paraId="7DDBDF68">
            <w:pPr>
              <w:rPr>
                <w:rFonts w:ascii="宋体" w:hAnsi="宋体" w:eastAsia="宋体"/>
                <w:color w:val="auto"/>
                <w:sz w:val="24"/>
                <w:highlight w:val="none"/>
              </w:rPr>
            </w:pPr>
          </w:p>
        </w:tc>
      </w:tr>
    </w:tbl>
    <w:p w14:paraId="76AE1991">
      <w:pPr>
        <w:pStyle w:val="54"/>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7"/>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53BF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noWrap w:val="0"/>
            <w:vAlign w:val="center"/>
          </w:tcPr>
          <w:p w14:paraId="1ACC11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3109" w:type="dxa"/>
            <w:noWrap w:val="0"/>
            <w:vAlign w:val="center"/>
          </w:tcPr>
          <w:p w14:paraId="1668ED8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1357" w:type="dxa"/>
            <w:noWrap w:val="0"/>
            <w:vAlign w:val="center"/>
          </w:tcPr>
          <w:p w14:paraId="00F3C06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1698" w:type="dxa"/>
            <w:noWrap w:val="0"/>
            <w:vAlign w:val="center"/>
          </w:tcPr>
          <w:p w14:paraId="0D68B68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1566" w:type="dxa"/>
            <w:noWrap w:val="0"/>
            <w:vAlign w:val="center"/>
          </w:tcPr>
          <w:p w14:paraId="30A9774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2F54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noWrap w:val="0"/>
            <w:vAlign w:val="center"/>
          </w:tcPr>
          <w:p w14:paraId="3103581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3109" w:type="dxa"/>
            <w:noWrap w:val="0"/>
            <w:vAlign w:val="center"/>
          </w:tcPr>
          <w:p w14:paraId="11CC037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1F821DF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744CDCD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6D7AD7D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02F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2AB64DF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3109" w:type="dxa"/>
            <w:noWrap w:val="0"/>
            <w:vAlign w:val="center"/>
          </w:tcPr>
          <w:p w14:paraId="5499661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73B9BA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3C919FA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32AA0E4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F9B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68D137A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3109" w:type="dxa"/>
            <w:noWrap w:val="0"/>
            <w:vAlign w:val="center"/>
          </w:tcPr>
          <w:p w14:paraId="0A8D7F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7093D43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1FE4F3C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05FB6A1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727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4670211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3109" w:type="dxa"/>
            <w:noWrap w:val="0"/>
            <w:vAlign w:val="center"/>
          </w:tcPr>
          <w:p w14:paraId="5B25C27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1B9CE42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4BC01E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338D9A7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F6A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noWrap w:val="0"/>
            <w:vAlign w:val="center"/>
          </w:tcPr>
          <w:p w14:paraId="302CB83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1566" w:type="dxa"/>
            <w:noWrap w:val="0"/>
            <w:vAlign w:val="center"/>
          </w:tcPr>
          <w:p w14:paraId="2292EEE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1D430343">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6F80F203">
      <w:pPr>
        <w:pStyle w:val="54"/>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8"/>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10A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7EC9E6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47619CF2">
            <w:pPr>
              <w:spacing w:line="360" w:lineRule="auto"/>
              <w:rPr>
                <w:rFonts w:hint="eastAsia" w:ascii="宋体" w:hAnsi="宋体" w:eastAsia="宋体" w:cs="宋体"/>
                <w:color w:val="auto"/>
                <w:sz w:val="24"/>
                <w:szCs w:val="24"/>
                <w:highlight w:val="none"/>
                <w:u w:val="single"/>
                <w:lang w:val="en-US" w:eastAsia="zh-CN"/>
              </w:rPr>
            </w:pPr>
          </w:p>
          <w:p w14:paraId="5AD48516">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524C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20D7FF44">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21F804">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7FE55E2">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3FC93B6D">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6FACFA89">
      <w:pPr>
        <w:spacing w:line="360" w:lineRule="auto"/>
        <w:rPr>
          <w:rFonts w:hint="eastAsia" w:ascii="宋体" w:hAnsi="宋体" w:eastAsia="宋体"/>
          <w:b/>
          <w:bCs/>
          <w:color w:val="auto"/>
          <w:sz w:val="21"/>
          <w:szCs w:val="21"/>
          <w:highlight w:val="none"/>
          <w:lang w:eastAsia="zh-CN"/>
        </w:rPr>
      </w:pPr>
    </w:p>
    <w:p w14:paraId="56597AF8">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81DE009">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DA1272C">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277B5076">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5F179795">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4DD4057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1484DE3">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40" w:name="_Toc11940"/>
      <w:bookmarkStart w:id="41" w:name="_Toc20329"/>
      <w:r>
        <w:rPr>
          <w:rFonts w:hint="eastAsia" w:asciiTheme="minorEastAsia" w:hAnsiTheme="minorEastAsia" w:eastAsiaTheme="minorEastAsia"/>
          <w:b/>
          <w:color w:val="auto"/>
          <w:sz w:val="24"/>
          <w:highlight w:val="none"/>
        </w:rPr>
        <w:t>六、投标响应表</w:t>
      </w:r>
      <w:bookmarkEnd w:id="40"/>
      <w:bookmarkEnd w:id="41"/>
    </w:p>
    <w:p w14:paraId="342E98B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15B6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180EF3FD">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06BC00FE">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67E4E639">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62F2D0BD">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5DC4408C">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B17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C5E7B6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3816B6C1">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A5C9D08">
            <w:pPr>
              <w:jc w:val="center"/>
              <w:rPr>
                <w:rFonts w:asciiTheme="minorEastAsia" w:hAnsiTheme="minorEastAsia" w:eastAsiaTheme="minorEastAsia"/>
                <w:color w:val="auto"/>
                <w:sz w:val="24"/>
                <w:highlight w:val="none"/>
              </w:rPr>
            </w:pPr>
          </w:p>
        </w:tc>
        <w:tc>
          <w:tcPr>
            <w:tcW w:w="2575" w:type="dxa"/>
            <w:vAlign w:val="center"/>
          </w:tcPr>
          <w:p w14:paraId="760F75AF">
            <w:pPr>
              <w:jc w:val="center"/>
              <w:rPr>
                <w:rFonts w:asciiTheme="minorEastAsia" w:hAnsiTheme="minorEastAsia" w:eastAsiaTheme="minorEastAsia"/>
                <w:color w:val="auto"/>
                <w:sz w:val="24"/>
                <w:highlight w:val="none"/>
              </w:rPr>
            </w:pPr>
          </w:p>
        </w:tc>
        <w:tc>
          <w:tcPr>
            <w:tcW w:w="810" w:type="dxa"/>
            <w:vAlign w:val="center"/>
          </w:tcPr>
          <w:p w14:paraId="09587900">
            <w:pPr>
              <w:jc w:val="center"/>
              <w:rPr>
                <w:rFonts w:asciiTheme="minorEastAsia" w:hAnsiTheme="minorEastAsia" w:eastAsiaTheme="minorEastAsia"/>
                <w:color w:val="auto"/>
                <w:sz w:val="24"/>
                <w:highlight w:val="none"/>
              </w:rPr>
            </w:pPr>
          </w:p>
        </w:tc>
      </w:tr>
      <w:tr w14:paraId="6DF9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2C1C2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282E0815">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73682512">
            <w:pPr>
              <w:jc w:val="center"/>
              <w:rPr>
                <w:rFonts w:asciiTheme="minorEastAsia" w:hAnsiTheme="minorEastAsia" w:eastAsiaTheme="minorEastAsia"/>
                <w:color w:val="auto"/>
                <w:sz w:val="24"/>
                <w:highlight w:val="none"/>
              </w:rPr>
            </w:pPr>
          </w:p>
        </w:tc>
        <w:tc>
          <w:tcPr>
            <w:tcW w:w="2575" w:type="dxa"/>
            <w:vAlign w:val="center"/>
          </w:tcPr>
          <w:p w14:paraId="2FD3A480">
            <w:pPr>
              <w:jc w:val="center"/>
              <w:rPr>
                <w:rFonts w:asciiTheme="minorEastAsia" w:hAnsiTheme="minorEastAsia" w:eastAsiaTheme="minorEastAsia"/>
                <w:color w:val="auto"/>
                <w:sz w:val="24"/>
                <w:highlight w:val="none"/>
              </w:rPr>
            </w:pPr>
          </w:p>
        </w:tc>
        <w:tc>
          <w:tcPr>
            <w:tcW w:w="810" w:type="dxa"/>
            <w:vAlign w:val="center"/>
          </w:tcPr>
          <w:p w14:paraId="693EBAC5">
            <w:pPr>
              <w:jc w:val="center"/>
              <w:rPr>
                <w:rFonts w:asciiTheme="minorEastAsia" w:hAnsiTheme="minorEastAsia" w:eastAsiaTheme="minorEastAsia"/>
                <w:color w:val="auto"/>
                <w:sz w:val="24"/>
                <w:highlight w:val="none"/>
              </w:rPr>
            </w:pPr>
          </w:p>
        </w:tc>
      </w:tr>
      <w:tr w14:paraId="7DB5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7246F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35C8E97">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6E15594">
            <w:pPr>
              <w:jc w:val="center"/>
              <w:rPr>
                <w:rFonts w:asciiTheme="minorEastAsia" w:hAnsiTheme="minorEastAsia" w:eastAsiaTheme="minorEastAsia"/>
                <w:color w:val="auto"/>
                <w:sz w:val="24"/>
                <w:highlight w:val="none"/>
              </w:rPr>
            </w:pPr>
          </w:p>
        </w:tc>
        <w:tc>
          <w:tcPr>
            <w:tcW w:w="2575" w:type="dxa"/>
            <w:vAlign w:val="center"/>
          </w:tcPr>
          <w:p w14:paraId="0A6E99A8">
            <w:pPr>
              <w:pStyle w:val="54"/>
              <w:jc w:val="center"/>
              <w:rPr>
                <w:rFonts w:asciiTheme="minorEastAsia" w:hAnsiTheme="minorEastAsia" w:eastAsiaTheme="minorEastAsia"/>
                <w:color w:val="auto"/>
                <w:highlight w:val="none"/>
              </w:rPr>
            </w:pPr>
          </w:p>
        </w:tc>
        <w:tc>
          <w:tcPr>
            <w:tcW w:w="810" w:type="dxa"/>
            <w:vAlign w:val="center"/>
          </w:tcPr>
          <w:p w14:paraId="24EC522D">
            <w:pPr>
              <w:jc w:val="center"/>
              <w:rPr>
                <w:rFonts w:asciiTheme="minorEastAsia" w:hAnsiTheme="minorEastAsia" w:eastAsiaTheme="minorEastAsia"/>
                <w:color w:val="auto"/>
                <w:sz w:val="24"/>
                <w:highlight w:val="none"/>
              </w:rPr>
            </w:pPr>
          </w:p>
        </w:tc>
      </w:tr>
      <w:tr w14:paraId="7C25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19F1A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3243C536">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2A2CCDA9">
            <w:pPr>
              <w:jc w:val="center"/>
              <w:rPr>
                <w:rFonts w:asciiTheme="minorEastAsia" w:hAnsiTheme="minorEastAsia" w:eastAsiaTheme="minorEastAsia"/>
                <w:color w:val="auto"/>
                <w:sz w:val="24"/>
                <w:highlight w:val="none"/>
              </w:rPr>
            </w:pPr>
          </w:p>
        </w:tc>
        <w:tc>
          <w:tcPr>
            <w:tcW w:w="2575" w:type="dxa"/>
            <w:vAlign w:val="center"/>
          </w:tcPr>
          <w:p w14:paraId="790E4F53">
            <w:pPr>
              <w:jc w:val="center"/>
              <w:rPr>
                <w:rFonts w:asciiTheme="minorEastAsia" w:hAnsiTheme="minorEastAsia" w:eastAsiaTheme="minorEastAsia"/>
                <w:color w:val="auto"/>
                <w:sz w:val="24"/>
                <w:highlight w:val="none"/>
              </w:rPr>
            </w:pPr>
          </w:p>
        </w:tc>
        <w:tc>
          <w:tcPr>
            <w:tcW w:w="810" w:type="dxa"/>
            <w:vAlign w:val="center"/>
          </w:tcPr>
          <w:p w14:paraId="3A2FD2EB">
            <w:pPr>
              <w:jc w:val="center"/>
              <w:rPr>
                <w:rFonts w:asciiTheme="minorEastAsia" w:hAnsiTheme="minorEastAsia" w:eastAsiaTheme="minorEastAsia"/>
                <w:color w:val="auto"/>
                <w:sz w:val="24"/>
                <w:highlight w:val="none"/>
              </w:rPr>
            </w:pPr>
          </w:p>
        </w:tc>
      </w:tr>
      <w:tr w14:paraId="56E8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7E4A2D7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405ABE04">
            <w:pPr>
              <w:jc w:val="center"/>
              <w:rPr>
                <w:rFonts w:ascii="宋体" w:hAnsi="宋体" w:eastAsia="宋体"/>
                <w:color w:val="auto"/>
                <w:sz w:val="24"/>
                <w:highlight w:val="none"/>
              </w:rPr>
            </w:pPr>
          </w:p>
        </w:tc>
        <w:tc>
          <w:tcPr>
            <w:tcW w:w="2498" w:type="dxa"/>
            <w:vAlign w:val="center"/>
          </w:tcPr>
          <w:p w14:paraId="48D6350C">
            <w:pPr>
              <w:jc w:val="center"/>
              <w:rPr>
                <w:rFonts w:asciiTheme="minorEastAsia" w:hAnsiTheme="minorEastAsia" w:eastAsiaTheme="minorEastAsia"/>
                <w:color w:val="auto"/>
                <w:sz w:val="24"/>
                <w:highlight w:val="none"/>
              </w:rPr>
            </w:pPr>
          </w:p>
        </w:tc>
        <w:tc>
          <w:tcPr>
            <w:tcW w:w="2575" w:type="dxa"/>
            <w:vAlign w:val="center"/>
          </w:tcPr>
          <w:p w14:paraId="596F4EBE">
            <w:pPr>
              <w:jc w:val="center"/>
              <w:rPr>
                <w:rFonts w:asciiTheme="minorEastAsia" w:hAnsiTheme="minorEastAsia" w:eastAsiaTheme="minorEastAsia"/>
                <w:color w:val="auto"/>
                <w:sz w:val="24"/>
                <w:highlight w:val="none"/>
              </w:rPr>
            </w:pPr>
          </w:p>
        </w:tc>
        <w:tc>
          <w:tcPr>
            <w:tcW w:w="810" w:type="dxa"/>
            <w:vAlign w:val="center"/>
          </w:tcPr>
          <w:p w14:paraId="101A22DD">
            <w:pPr>
              <w:jc w:val="center"/>
              <w:rPr>
                <w:rFonts w:asciiTheme="minorEastAsia" w:hAnsiTheme="minorEastAsia" w:eastAsiaTheme="minorEastAsia"/>
                <w:color w:val="auto"/>
                <w:sz w:val="24"/>
                <w:highlight w:val="none"/>
              </w:rPr>
            </w:pPr>
          </w:p>
        </w:tc>
      </w:tr>
    </w:tbl>
    <w:p w14:paraId="5AF3438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0B0B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0" w:type="dxa"/>
            <w:vAlign w:val="center"/>
          </w:tcPr>
          <w:p w14:paraId="1CEA3F8B">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B839DF1">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274F4036">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E6A277A">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21BCA3EB">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19F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173E6F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6BB4E9FC">
            <w:pPr>
              <w:jc w:val="center"/>
              <w:rPr>
                <w:rFonts w:asciiTheme="minorEastAsia" w:hAnsiTheme="minorEastAsia" w:eastAsiaTheme="minorEastAsia"/>
                <w:color w:val="auto"/>
                <w:sz w:val="24"/>
                <w:highlight w:val="none"/>
              </w:rPr>
            </w:pPr>
          </w:p>
        </w:tc>
        <w:tc>
          <w:tcPr>
            <w:tcW w:w="2864" w:type="dxa"/>
            <w:vAlign w:val="center"/>
          </w:tcPr>
          <w:p w14:paraId="0AB86D8B">
            <w:pPr>
              <w:jc w:val="center"/>
              <w:rPr>
                <w:rFonts w:asciiTheme="minorEastAsia" w:hAnsiTheme="minorEastAsia" w:eastAsiaTheme="minorEastAsia"/>
                <w:color w:val="auto"/>
                <w:sz w:val="24"/>
                <w:highlight w:val="none"/>
              </w:rPr>
            </w:pPr>
          </w:p>
        </w:tc>
        <w:tc>
          <w:tcPr>
            <w:tcW w:w="2482" w:type="dxa"/>
            <w:vAlign w:val="center"/>
          </w:tcPr>
          <w:p w14:paraId="722B6A23">
            <w:pPr>
              <w:jc w:val="center"/>
              <w:rPr>
                <w:rFonts w:asciiTheme="minorEastAsia" w:hAnsiTheme="minorEastAsia" w:eastAsiaTheme="minorEastAsia"/>
                <w:color w:val="auto"/>
                <w:sz w:val="24"/>
                <w:highlight w:val="none"/>
              </w:rPr>
            </w:pPr>
          </w:p>
        </w:tc>
        <w:tc>
          <w:tcPr>
            <w:tcW w:w="856" w:type="dxa"/>
            <w:vAlign w:val="center"/>
          </w:tcPr>
          <w:p w14:paraId="4B6F6CB6">
            <w:pPr>
              <w:jc w:val="center"/>
              <w:rPr>
                <w:rFonts w:asciiTheme="minorEastAsia" w:hAnsiTheme="minorEastAsia" w:eastAsiaTheme="minorEastAsia"/>
                <w:color w:val="auto"/>
                <w:sz w:val="24"/>
                <w:highlight w:val="none"/>
              </w:rPr>
            </w:pPr>
          </w:p>
        </w:tc>
      </w:tr>
      <w:tr w14:paraId="2B98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592E8BE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39D6DC37">
            <w:pPr>
              <w:jc w:val="center"/>
              <w:rPr>
                <w:rFonts w:asciiTheme="minorEastAsia" w:hAnsiTheme="minorEastAsia" w:eastAsiaTheme="minorEastAsia"/>
                <w:color w:val="auto"/>
                <w:sz w:val="24"/>
                <w:highlight w:val="none"/>
              </w:rPr>
            </w:pPr>
          </w:p>
        </w:tc>
        <w:tc>
          <w:tcPr>
            <w:tcW w:w="2864" w:type="dxa"/>
            <w:vAlign w:val="center"/>
          </w:tcPr>
          <w:p w14:paraId="2A9F4844">
            <w:pPr>
              <w:jc w:val="center"/>
              <w:rPr>
                <w:rFonts w:asciiTheme="minorEastAsia" w:hAnsiTheme="minorEastAsia" w:eastAsiaTheme="minorEastAsia"/>
                <w:color w:val="auto"/>
                <w:sz w:val="24"/>
                <w:highlight w:val="none"/>
              </w:rPr>
            </w:pPr>
          </w:p>
        </w:tc>
        <w:tc>
          <w:tcPr>
            <w:tcW w:w="2482" w:type="dxa"/>
            <w:vAlign w:val="center"/>
          </w:tcPr>
          <w:p w14:paraId="38E243D8">
            <w:pPr>
              <w:jc w:val="center"/>
              <w:rPr>
                <w:rFonts w:asciiTheme="minorEastAsia" w:hAnsiTheme="minorEastAsia" w:eastAsiaTheme="minorEastAsia"/>
                <w:color w:val="auto"/>
                <w:sz w:val="24"/>
                <w:highlight w:val="none"/>
              </w:rPr>
            </w:pPr>
          </w:p>
        </w:tc>
        <w:tc>
          <w:tcPr>
            <w:tcW w:w="856" w:type="dxa"/>
            <w:vAlign w:val="center"/>
          </w:tcPr>
          <w:p w14:paraId="2B796F23">
            <w:pPr>
              <w:jc w:val="center"/>
              <w:rPr>
                <w:rFonts w:asciiTheme="minorEastAsia" w:hAnsiTheme="minorEastAsia" w:eastAsiaTheme="minorEastAsia"/>
                <w:color w:val="auto"/>
                <w:sz w:val="24"/>
                <w:highlight w:val="none"/>
              </w:rPr>
            </w:pPr>
          </w:p>
        </w:tc>
      </w:tr>
      <w:tr w14:paraId="7C47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AC80AF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607950EC">
            <w:pPr>
              <w:jc w:val="center"/>
              <w:rPr>
                <w:rFonts w:asciiTheme="minorEastAsia" w:hAnsiTheme="minorEastAsia" w:eastAsiaTheme="minorEastAsia"/>
                <w:color w:val="auto"/>
                <w:sz w:val="24"/>
                <w:highlight w:val="none"/>
              </w:rPr>
            </w:pPr>
          </w:p>
        </w:tc>
        <w:tc>
          <w:tcPr>
            <w:tcW w:w="2864" w:type="dxa"/>
            <w:vAlign w:val="center"/>
          </w:tcPr>
          <w:p w14:paraId="5E2B1CD2">
            <w:pPr>
              <w:jc w:val="center"/>
              <w:rPr>
                <w:rFonts w:asciiTheme="minorEastAsia" w:hAnsiTheme="minorEastAsia" w:eastAsiaTheme="minorEastAsia"/>
                <w:color w:val="auto"/>
                <w:sz w:val="24"/>
                <w:highlight w:val="none"/>
              </w:rPr>
            </w:pPr>
          </w:p>
        </w:tc>
        <w:tc>
          <w:tcPr>
            <w:tcW w:w="2482" w:type="dxa"/>
            <w:vAlign w:val="center"/>
          </w:tcPr>
          <w:p w14:paraId="3C4E806A">
            <w:pPr>
              <w:pStyle w:val="54"/>
              <w:jc w:val="center"/>
              <w:rPr>
                <w:rFonts w:asciiTheme="minorEastAsia" w:hAnsiTheme="minorEastAsia" w:eastAsiaTheme="minorEastAsia"/>
                <w:color w:val="auto"/>
                <w:highlight w:val="none"/>
              </w:rPr>
            </w:pPr>
          </w:p>
        </w:tc>
        <w:tc>
          <w:tcPr>
            <w:tcW w:w="856" w:type="dxa"/>
            <w:vAlign w:val="center"/>
          </w:tcPr>
          <w:p w14:paraId="14279F1A">
            <w:pPr>
              <w:jc w:val="center"/>
              <w:rPr>
                <w:rFonts w:asciiTheme="minorEastAsia" w:hAnsiTheme="minorEastAsia" w:eastAsiaTheme="minorEastAsia"/>
                <w:color w:val="auto"/>
                <w:sz w:val="24"/>
                <w:highlight w:val="none"/>
              </w:rPr>
            </w:pPr>
          </w:p>
        </w:tc>
      </w:tr>
      <w:tr w14:paraId="22F6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A37C38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06794CB8">
            <w:pPr>
              <w:jc w:val="center"/>
              <w:rPr>
                <w:rFonts w:asciiTheme="minorEastAsia" w:hAnsiTheme="minorEastAsia" w:eastAsiaTheme="minorEastAsia"/>
                <w:color w:val="auto"/>
                <w:sz w:val="24"/>
                <w:highlight w:val="none"/>
              </w:rPr>
            </w:pPr>
          </w:p>
        </w:tc>
        <w:tc>
          <w:tcPr>
            <w:tcW w:w="2864" w:type="dxa"/>
            <w:vAlign w:val="center"/>
          </w:tcPr>
          <w:p w14:paraId="3348FE41">
            <w:pPr>
              <w:jc w:val="center"/>
              <w:rPr>
                <w:rFonts w:asciiTheme="minorEastAsia" w:hAnsiTheme="minorEastAsia" w:eastAsiaTheme="minorEastAsia"/>
                <w:color w:val="auto"/>
                <w:sz w:val="24"/>
                <w:highlight w:val="none"/>
              </w:rPr>
            </w:pPr>
          </w:p>
        </w:tc>
        <w:tc>
          <w:tcPr>
            <w:tcW w:w="2482" w:type="dxa"/>
            <w:vAlign w:val="center"/>
          </w:tcPr>
          <w:p w14:paraId="306B336E">
            <w:pPr>
              <w:pStyle w:val="54"/>
              <w:jc w:val="center"/>
              <w:rPr>
                <w:rFonts w:asciiTheme="minorEastAsia" w:hAnsiTheme="minorEastAsia" w:eastAsiaTheme="minorEastAsia"/>
                <w:color w:val="auto"/>
                <w:highlight w:val="none"/>
              </w:rPr>
            </w:pPr>
          </w:p>
        </w:tc>
        <w:tc>
          <w:tcPr>
            <w:tcW w:w="856" w:type="dxa"/>
            <w:vAlign w:val="center"/>
          </w:tcPr>
          <w:p w14:paraId="7EC46C61">
            <w:pPr>
              <w:jc w:val="center"/>
              <w:rPr>
                <w:rFonts w:asciiTheme="minorEastAsia" w:hAnsiTheme="minorEastAsia" w:eastAsiaTheme="minorEastAsia"/>
                <w:color w:val="auto"/>
                <w:sz w:val="24"/>
                <w:highlight w:val="none"/>
              </w:rPr>
            </w:pPr>
          </w:p>
        </w:tc>
      </w:tr>
      <w:tr w14:paraId="12C7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6682F1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7E5BAD4C">
            <w:pPr>
              <w:jc w:val="center"/>
              <w:rPr>
                <w:rFonts w:asciiTheme="minorEastAsia" w:hAnsiTheme="minorEastAsia" w:eastAsiaTheme="minorEastAsia"/>
                <w:color w:val="auto"/>
                <w:sz w:val="24"/>
                <w:highlight w:val="none"/>
              </w:rPr>
            </w:pPr>
          </w:p>
        </w:tc>
        <w:tc>
          <w:tcPr>
            <w:tcW w:w="2864" w:type="dxa"/>
            <w:vAlign w:val="center"/>
          </w:tcPr>
          <w:p w14:paraId="7B91BD94">
            <w:pPr>
              <w:jc w:val="center"/>
              <w:rPr>
                <w:rFonts w:asciiTheme="minorEastAsia" w:hAnsiTheme="minorEastAsia" w:eastAsiaTheme="minorEastAsia"/>
                <w:color w:val="auto"/>
                <w:sz w:val="24"/>
                <w:highlight w:val="none"/>
              </w:rPr>
            </w:pPr>
          </w:p>
        </w:tc>
        <w:tc>
          <w:tcPr>
            <w:tcW w:w="2482" w:type="dxa"/>
            <w:vAlign w:val="center"/>
          </w:tcPr>
          <w:p w14:paraId="38CFC33D">
            <w:pPr>
              <w:jc w:val="center"/>
              <w:rPr>
                <w:rFonts w:asciiTheme="minorEastAsia" w:hAnsiTheme="minorEastAsia" w:eastAsiaTheme="minorEastAsia"/>
                <w:color w:val="auto"/>
                <w:sz w:val="24"/>
                <w:highlight w:val="none"/>
              </w:rPr>
            </w:pPr>
          </w:p>
        </w:tc>
        <w:tc>
          <w:tcPr>
            <w:tcW w:w="856" w:type="dxa"/>
            <w:vAlign w:val="center"/>
          </w:tcPr>
          <w:p w14:paraId="2CF77B88">
            <w:pPr>
              <w:jc w:val="center"/>
              <w:rPr>
                <w:rFonts w:asciiTheme="minorEastAsia" w:hAnsiTheme="minorEastAsia" w:eastAsiaTheme="minorEastAsia"/>
                <w:color w:val="auto"/>
                <w:sz w:val="24"/>
                <w:highlight w:val="none"/>
              </w:rPr>
            </w:pPr>
          </w:p>
        </w:tc>
      </w:tr>
    </w:tbl>
    <w:p w14:paraId="24D1648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6E55673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1A5967A">
      <w:pPr>
        <w:pStyle w:val="16"/>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2D5D22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42" w:name="_Toc31244"/>
      <w:bookmarkStart w:id="43" w:name="_Toc9573"/>
      <w:bookmarkStart w:id="44" w:name="OLE_LINK13"/>
      <w:bookmarkStart w:id="45" w:name="OLE_LINK14"/>
      <w:r>
        <w:rPr>
          <w:rFonts w:hint="eastAsia" w:asciiTheme="minorEastAsia" w:hAnsiTheme="minorEastAsia" w:eastAsiaTheme="minorEastAsia"/>
          <w:b/>
          <w:color w:val="auto"/>
          <w:sz w:val="24"/>
          <w:highlight w:val="none"/>
          <w:lang w:val="en-US" w:eastAsia="zh-CN"/>
        </w:rPr>
        <w:t>七、中小企业声明函</w:t>
      </w:r>
      <w:bookmarkEnd w:id="42"/>
      <w:bookmarkEnd w:id="43"/>
    </w:p>
    <w:p w14:paraId="33108839">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5F21775">
      <w:pPr>
        <w:rPr>
          <w:rFonts w:asciiTheme="minorEastAsia" w:hAnsiTheme="minorEastAsia" w:eastAsiaTheme="minorEastAsia"/>
          <w:color w:val="auto"/>
          <w:sz w:val="24"/>
          <w:szCs w:val="24"/>
          <w:highlight w:val="none"/>
        </w:rPr>
      </w:pPr>
    </w:p>
    <w:p w14:paraId="7614628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1D95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0AE5D9F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8E53A2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5CD36B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05D449D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5CD87021">
      <w:pPr>
        <w:spacing w:line="360" w:lineRule="auto"/>
        <w:ind w:firstLine="435"/>
        <w:rPr>
          <w:rFonts w:asciiTheme="minorEastAsia" w:hAnsiTheme="minorEastAsia" w:eastAsiaTheme="minorEastAsia"/>
          <w:color w:val="auto"/>
          <w:sz w:val="24"/>
          <w:szCs w:val="24"/>
          <w:highlight w:val="none"/>
        </w:rPr>
      </w:pPr>
    </w:p>
    <w:p w14:paraId="3C7834FA">
      <w:pPr>
        <w:spacing w:line="360" w:lineRule="auto"/>
        <w:ind w:firstLine="435"/>
        <w:rPr>
          <w:rFonts w:asciiTheme="minorEastAsia" w:hAnsiTheme="minorEastAsia" w:eastAsiaTheme="minorEastAsia"/>
          <w:color w:val="auto"/>
          <w:sz w:val="24"/>
          <w:szCs w:val="24"/>
          <w:highlight w:val="none"/>
        </w:rPr>
      </w:pPr>
    </w:p>
    <w:p w14:paraId="512E280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B04A7F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893B970">
      <w:pPr>
        <w:tabs>
          <w:tab w:val="left" w:pos="4620"/>
        </w:tabs>
        <w:spacing w:line="360" w:lineRule="auto"/>
        <w:jc w:val="left"/>
        <w:rPr>
          <w:rFonts w:asciiTheme="minorEastAsia" w:hAnsiTheme="minorEastAsia" w:eastAsiaTheme="minorEastAsia"/>
          <w:color w:val="auto"/>
          <w:sz w:val="24"/>
          <w:szCs w:val="24"/>
          <w:highlight w:val="none"/>
        </w:rPr>
      </w:pPr>
    </w:p>
    <w:p w14:paraId="6841EAF5">
      <w:pPr>
        <w:tabs>
          <w:tab w:val="left" w:pos="4620"/>
        </w:tabs>
        <w:spacing w:line="360" w:lineRule="auto"/>
        <w:jc w:val="left"/>
        <w:rPr>
          <w:rFonts w:asciiTheme="minorEastAsia" w:hAnsiTheme="minorEastAsia" w:eastAsiaTheme="minorEastAsia"/>
          <w:color w:val="auto"/>
          <w:sz w:val="24"/>
          <w:szCs w:val="24"/>
          <w:highlight w:val="none"/>
        </w:rPr>
      </w:pPr>
    </w:p>
    <w:p w14:paraId="3FF09521">
      <w:pPr>
        <w:tabs>
          <w:tab w:val="left" w:pos="4620"/>
        </w:tabs>
        <w:spacing w:line="360" w:lineRule="auto"/>
        <w:jc w:val="left"/>
        <w:rPr>
          <w:rFonts w:asciiTheme="minorEastAsia" w:hAnsiTheme="minorEastAsia" w:eastAsiaTheme="minorEastAsia"/>
          <w:color w:val="auto"/>
          <w:sz w:val="24"/>
          <w:szCs w:val="24"/>
          <w:highlight w:val="none"/>
        </w:rPr>
      </w:pPr>
    </w:p>
    <w:p w14:paraId="0304AD69">
      <w:pPr>
        <w:tabs>
          <w:tab w:val="left" w:pos="4620"/>
        </w:tabs>
        <w:spacing w:line="360" w:lineRule="auto"/>
        <w:jc w:val="left"/>
        <w:rPr>
          <w:rFonts w:asciiTheme="minorEastAsia" w:hAnsiTheme="minorEastAsia" w:eastAsiaTheme="minorEastAsia"/>
          <w:color w:val="auto"/>
          <w:sz w:val="24"/>
          <w:szCs w:val="24"/>
          <w:highlight w:val="none"/>
        </w:rPr>
      </w:pPr>
    </w:p>
    <w:p w14:paraId="723F41B7">
      <w:pPr>
        <w:tabs>
          <w:tab w:val="left" w:pos="4620"/>
        </w:tabs>
        <w:spacing w:line="360" w:lineRule="auto"/>
        <w:jc w:val="left"/>
        <w:rPr>
          <w:rFonts w:asciiTheme="minorEastAsia" w:hAnsiTheme="minorEastAsia" w:eastAsiaTheme="minorEastAsia"/>
          <w:color w:val="auto"/>
          <w:sz w:val="24"/>
          <w:szCs w:val="24"/>
          <w:highlight w:val="none"/>
        </w:rPr>
      </w:pPr>
    </w:p>
    <w:p w14:paraId="1143E743">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699AE35D">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8895E89">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C4DD45A">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BFE5916">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0D9EC8E">
      <w:pPr>
        <w:tabs>
          <w:tab w:val="left" w:pos="4620"/>
        </w:tabs>
        <w:spacing w:line="360" w:lineRule="auto"/>
        <w:jc w:val="left"/>
        <w:rPr>
          <w:rFonts w:hint="eastAsia" w:asciiTheme="minorEastAsia" w:hAnsiTheme="minorEastAsia" w:eastAsiaTheme="minorEastAsia"/>
          <w:b/>
          <w:bCs/>
          <w:color w:val="auto"/>
          <w:szCs w:val="24"/>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bookmarkEnd w:id="44"/>
      <w:bookmarkEnd w:id="45"/>
    </w:p>
    <w:p w14:paraId="6B100B5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46" w:name="_Toc16713"/>
      <w:bookmarkStart w:id="47" w:name="_Toc24563"/>
    </w:p>
    <w:p w14:paraId="206F028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20FBC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AD252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八、残疾人福利性单位声明函</w:t>
      </w:r>
      <w:bookmarkEnd w:id="46"/>
      <w:bookmarkEnd w:id="47"/>
    </w:p>
    <w:p w14:paraId="06B3C93D">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4D501B8F">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6F04FBBF">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3492ED3">
      <w:pPr>
        <w:spacing w:line="360" w:lineRule="auto"/>
        <w:ind w:firstLine="4228" w:firstLineChars="1762"/>
        <w:rPr>
          <w:rFonts w:asciiTheme="minorEastAsia" w:hAnsiTheme="minorEastAsia" w:eastAsiaTheme="minorEastAsia"/>
          <w:color w:val="auto"/>
          <w:sz w:val="24"/>
          <w:szCs w:val="24"/>
          <w:highlight w:val="none"/>
        </w:rPr>
      </w:pPr>
    </w:p>
    <w:p w14:paraId="22A4F44E">
      <w:pPr>
        <w:spacing w:line="360" w:lineRule="auto"/>
        <w:ind w:firstLine="4228" w:firstLineChars="1762"/>
        <w:rPr>
          <w:rFonts w:asciiTheme="minorEastAsia" w:hAnsiTheme="minorEastAsia" w:eastAsiaTheme="minorEastAsia"/>
          <w:color w:val="auto"/>
          <w:sz w:val="24"/>
          <w:szCs w:val="24"/>
          <w:highlight w:val="none"/>
        </w:rPr>
      </w:pPr>
    </w:p>
    <w:p w14:paraId="51D9AC4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2875973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CAF14F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5A704F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48" w:name="_Toc300210382"/>
      <w:bookmarkStart w:id="49" w:name="_Toc457768004"/>
      <w:bookmarkStart w:id="50" w:name="_Toc520299348"/>
      <w:bookmarkStart w:id="51" w:name="_Toc26536"/>
      <w:bookmarkStart w:id="52" w:name="_Toc25813"/>
      <w:bookmarkStart w:id="53"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2D3AED9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7FF3EA1">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151408C">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57B6393">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C9405A1">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14117FB6">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2807F3F3">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5E946156">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0982786E">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3609A6DD">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402DC7B0">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2A5BBB7B">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5C5C72E7">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066E5710">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287808">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3E37D978">
      <w:pPr>
        <w:pStyle w:val="25"/>
        <w:rPr>
          <w:rFonts w:hint="eastAsia" w:asciiTheme="minorEastAsia" w:hAnsiTheme="minorEastAsia" w:eastAsiaTheme="minorEastAsia"/>
          <w:b/>
          <w:color w:val="auto"/>
          <w:sz w:val="24"/>
          <w:highlight w:val="none"/>
          <w:lang w:val="en-US" w:eastAsia="zh-CN"/>
        </w:rPr>
      </w:pPr>
    </w:p>
    <w:p w14:paraId="0D14954E">
      <w:pPr>
        <w:pStyle w:val="25"/>
        <w:rPr>
          <w:rFonts w:hint="eastAsia" w:asciiTheme="minorEastAsia" w:hAnsiTheme="minorEastAsia" w:eastAsiaTheme="minorEastAsia"/>
          <w:b/>
          <w:color w:val="auto"/>
          <w:sz w:val="24"/>
          <w:highlight w:val="none"/>
          <w:lang w:val="en-US" w:eastAsia="zh-CN"/>
        </w:rPr>
      </w:pPr>
    </w:p>
    <w:p w14:paraId="5C626E37">
      <w:pPr>
        <w:pStyle w:val="25"/>
        <w:rPr>
          <w:rFonts w:hint="eastAsia" w:asciiTheme="minorEastAsia" w:hAnsiTheme="minorEastAsia" w:eastAsiaTheme="minorEastAsia"/>
          <w:b/>
          <w:color w:val="auto"/>
          <w:sz w:val="24"/>
          <w:highlight w:val="none"/>
          <w:lang w:val="en-US" w:eastAsia="zh-CN"/>
        </w:rPr>
      </w:pPr>
    </w:p>
    <w:p w14:paraId="69804DD7">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48"/>
      <w:bookmarkEnd w:id="49"/>
      <w:bookmarkEnd w:id="50"/>
      <w:r>
        <w:rPr>
          <w:rFonts w:hint="eastAsia" w:asciiTheme="minorEastAsia" w:hAnsiTheme="minorEastAsia" w:eastAsiaTheme="minorEastAsia"/>
          <w:b/>
          <w:color w:val="auto"/>
          <w:sz w:val="24"/>
          <w:highlight w:val="none"/>
          <w:lang w:val="en-US" w:eastAsia="zh-CN"/>
        </w:rPr>
        <w:t>诚信履约承诺函</w:t>
      </w:r>
      <w:bookmarkEnd w:id="51"/>
      <w:bookmarkEnd w:id="52"/>
    </w:p>
    <w:p w14:paraId="7FF5928E">
      <w:pPr>
        <w:spacing w:line="360" w:lineRule="auto"/>
        <w:rPr>
          <w:rFonts w:asciiTheme="minorEastAsia" w:hAnsiTheme="minorEastAsia" w:eastAsiaTheme="minorEastAsia"/>
          <w:b/>
          <w:bCs/>
          <w:color w:val="auto"/>
          <w:sz w:val="24"/>
          <w:highlight w:val="none"/>
        </w:rPr>
      </w:pPr>
    </w:p>
    <w:p w14:paraId="4FF5F4BB">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922BF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1DC97F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5E42E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09B6746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093476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E616D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23E4068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67D871E">
      <w:pPr>
        <w:spacing w:line="360" w:lineRule="auto"/>
        <w:rPr>
          <w:rFonts w:asciiTheme="minorEastAsia" w:hAnsiTheme="minorEastAsia" w:eastAsiaTheme="minorEastAsia"/>
          <w:bCs/>
          <w:color w:val="auto"/>
          <w:sz w:val="24"/>
          <w:highlight w:val="none"/>
        </w:rPr>
      </w:pPr>
    </w:p>
    <w:p w14:paraId="7139EF48">
      <w:pPr>
        <w:spacing w:line="360" w:lineRule="auto"/>
        <w:rPr>
          <w:rFonts w:asciiTheme="minorEastAsia" w:hAnsiTheme="minorEastAsia" w:eastAsiaTheme="minorEastAsia"/>
          <w:bCs/>
          <w:color w:val="auto"/>
          <w:sz w:val="24"/>
          <w:highlight w:val="none"/>
        </w:rPr>
      </w:pPr>
    </w:p>
    <w:p w14:paraId="02E3A51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F31A9A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5010D10E">
      <w:pPr>
        <w:rPr>
          <w:rFonts w:ascii="宋体" w:hAnsi="宋体" w:eastAsia="宋体" w:cs="Arial"/>
          <w:color w:val="auto"/>
          <w:sz w:val="24"/>
          <w:highlight w:val="none"/>
        </w:rPr>
      </w:pPr>
      <w:r>
        <w:rPr>
          <w:rFonts w:ascii="宋体" w:hAnsi="宋体" w:eastAsia="宋体" w:cs="Arial"/>
          <w:color w:val="auto"/>
          <w:sz w:val="24"/>
          <w:highlight w:val="none"/>
        </w:rPr>
        <w:br w:type="page"/>
      </w:r>
    </w:p>
    <w:p w14:paraId="558E8A8C">
      <w:pPr>
        <w:spacing w:line="360" w:lineRule="auto"/>
        <w:jc w:val="center"/>
        <w:outlineLvl w:val="1"/>
        <w:rPr>
          <w:rFonts w:hint="eastAsia" w:ascii="宋体" w:hAnsi="宋体" w:eastAsia="宋体"/>
          <w:b/>
          <w:color w:val="auto"/>
          <w:sz w:val="24"/>
          <w:szCs w:val="24"/>
          <w:highlight w:val="none"/>
        </w:rPr>
      </w:pPr>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宋体"/>
          <w:b/>
          <w:color w:val="auto"/>
          <w:sz w:val="24"/>
          <w:szCs w:val="24"/>
          <w:highlight w:val="none"/>
          <w:lang w:bidi="ar"/>
        </w:rPr>
        <w:t>诚信投标承诺书</w:t>
      </w:r>
    </w:p>
    <w:p w14:paraId="6D9BC8ED">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4B65843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项目的投标，所提供的一切材料都是真实、有效、合法的；</w:t>
      </w:r>
    </w:p>
    <w:p w14:paraId="60C3F8E6">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F29C91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3C01A1BE">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4DF58B9E">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1ECB6C4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六、</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或</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法定代表人没有下列情形：①被列入“信用中国”网站“失信被执行人”的；②被列入“信用中国”网站“重大税收违法失信主体”的；③</w:t>
      </w:r>
      <w:r>
        <w:rPr>
          <w:rFonts w:hint="eastAsia" w:ascii="宋体" w:hAnsi="宋体" w:eastAsia="宋体" w:cs="宋体"/>
          <w:color w:val="auto"/>
          <w:szCs w:val="21"/>
          <w:highlight w:val="none"/>
          <w:lang w:val="en-US" w:eastAsia="zh-CN" w:bidi="ar"/>
        </w:rPr>
        <w:t>被列入“信用中国”网站（www.creditchina.gov.cn） “安全生产严重失信主体名单”的；</w:t>
      </w:r>
      <w:r>
        <w:rPr>
          <w:rFonts w:hint="eastAsia" w:ascii="宋体" w:hAnsi="宋体" w:eastAsia="宋体" w:cs="宋体"/>
          <w:color w:val="auto"/>
          <w:szCs w:val="21"/>
          <w:highlight w:val="none"/>
          <w:lang w:bidi="ar"/>
        </w:rPr>
        <w:t>④</w:t>
      </w:r>
      <w:r>
        <w:rPr>
          <w:rFonts w:hint="eastAsia" w:ascii="宋体" w:hAnsi="宋体" w:eastAsia="宋体" w:cs="宋体"/>
          <w:color w:val="auto"/>
          <w:szCs w:val="21"/>
          <w:highlight w:val="none"/>
          <w:lang w:val="en-US" w:eastAsia="zh-CN" w:bidi="ar"/>
        </w:rPr>
        <w:t>被列入国家企业信用信息公示系统网站（</w:t>
      </w:r>
      <w:r>
        <w:rPr>
          <w:rFonts w:hint="eastAsia" w:ascii="宋体" w:hAnsi="宋体" w:eastAsia="宋体" w:cs="宋体"/>
          <w:color w:val="auto"/>
          <w:szCs w:val="21"/>
          <w:highlight w:val="none"/>
          <w:lang w:val="en-US" w:eastAsia="zh-CN" w:bidi="ar"/>
        </w:rPr>
        <w:fldChar w:fldCharType="begin"/>
      </w:r>
      <w:r>
        <w:rPr>
          <w:rFonts w:hint="eastAsia" w:ascii="宋体" w:hAnsi="宋体" w:eastAsia="宋体" w:cs="宋体"/>
          <w:color w:val="auto"/>
          <w:szCs w:val="21"/>
          <w:highlight w:val="none"/>
          <w:lang w:val="en-US" w:eastAsia="zh-CN" w:bidi="ar"/>
        </w:rPr>
        <w:instrText xml:space="preserve"> HYPERLINK "http://www.gsxt.gov.cn）查询" </w:instrText>
      </w:r>
      <w:r>
        <w:rPr>
          <w:rFonts w:hint="eastAsia" w:ascii="宋体" w:hAnsi="宋体" w:eastAsia="宋体" w:cs="宋体"/>
          <w:color w:val="auto"/>
          <w:szCs w:val="21"/>
          <w:highlight w:val="none"/>
          <w:lang w:val="en-US" w:eastAsia="zh-CN" w:bidi="ar"/>
        </w:rPr>
        <w:fldChar w:fldCharType="separate"/>
      </w:r>
      <w:r>
        <w:rPr>
          <w:rFonts w:hint="eastAsia" w:ascii="宋体" w:hAnsi="宋体" w:eastAsia="宋体" w:cs="宋体"/>
          <w:color w:val="auto"/>
          <w:szCs w:val="21"/>
          <w:highlight w:val="none"/>
          <w:lang w:val="en-US" w:eastAsia="zh-CN" w:bidi="ar"/>
        </w:rPr>
        <w:t>www.gsxt.gov.cn）</w:t>
      </w:r>
      <w:r>
        <w:rPr>
          <w:rFonts w:hint="eastAsia" w:ascii="宋体" w:hAnsi="宋体" w:eastAsia="宋体" w:cs="宋体"/>
          <w:color w:val="auto"/>
          <w:szCs w:val="21"/>
          <w:highlight w:val="none"/>
          <w:lang w:val="en-US" w:eastAsia="zh-CN" w:bidi="ar"/>
        </w:rPr>
        <w:fldChar w:fldCharType="end"/>
      </w:r>
      <w:r>
        <w:rPr>
          <w:rFonts w:hint="eastAsia" w:ascii="宋体" w:hAnsi="宋体" w:eastAsia="宋体" w:cs="宋体"/>
          <w:color w:val="auto"/>
          <w:szCs w:val="21"/>
          <w:highlight w:val="none"/>
          <w:lang w:val="en-US" w:eastAsia="zh-CN" w:bidi="ar"/>
        </w:rPr>
        <w:t>“严重违法失信名单”的。</w:t>
      </w:r>
      <w:r>
        <w:rPr>
          <w:rFonts w:hint="eastAsia" w:ascii="宋体" w:hAnsi="宋体" w:eastAsia="宋体" w:cs="宋体"/>
          <w:color w:val="auto"/>
          <w:szCs w:val="21"/>
          <w:highlight w:val="none"/>
          <w:lang w:bidi="ar"/>
        </w:rPr>
        <w:t>⑤被列入中国政府采购网站“政府采购严重违法失信行为信息记录”的</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（若采购文件对投标人所属分公司、办事处等分支机构有上述1-</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项信誉要求，在此一并承诺我公司所属分公司、办事处等分支机构没有上述1-</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项情形）</w:t>
      </w:r>
    </w:p>
    <w:p w14:paraId="364B357D">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七、严格遵守开标现场纪律，服从监管人员管理；</w:t>
      </w:r>
    </w:p>
    <w:p w14:paraId="1F4B55A0">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八、保证中标后不转包，若有分包征得招标人同意；</w:t>
      </w:r>
    </w:p>
    <w:p w14:paraId="4B63409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九、保证中标之后，按照投标文件要求提供相关后续服务；</w:t>
      </w:r>
    </w:p>
    <w:p w14:paraId="31CCD6C6">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十、保证企业及所属相关人员在本次投标中无行贿等犯罪行为；</w:t>
      </w:r>
    </w:p>
    <w:p w14:paraId="1D95F89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2D93984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成交）资格、中标（成交）无效、记入不良行为记录等有关处理，愿意承担法律责任，给招标人造成损失的，依法承担赔偿责任。</w:t>
      </w:r>
    </w:p>
    <w:p w14:paraId="7628D54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541E354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295D4315">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4A9B6E88">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0B4FBB8A">
      <w:pPr>
        <w:spacing w:line="560" w:lineRule="exact"/>
        <w:jc w:val="right"/>
        <w:rPr>
          <w:rFonts w:hint="eastAsia"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1DB4F854">
      <w:pPr>
        <w:pStyle w:val="13"/>
        <w:rPr>
          <w:color w:val="auto"/>
          <w:highlight w:val="none"/>
        </w:rPr>
      </w:pPr>
    </w:p>
    <w:bookmarkEnd w:id="53"/>
    <w:p w14:paraId="04ADFC5F">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54" w:name="_Toc2683"/>
      <w:bookmarkStart w:id="55" w:name="_Toc32633"/>
    </w:p>
    <w:p w14:paraId="74A8CF19">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70DA9434">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十二、其他相关证明材料</w:t>
      </w:r>
      <w:bookmarkEnd w:id="54"/>
      <w:bookmarkEnd w:id="55"/>
    </w:p>
    <w:p w14:paraId="275E12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282E64A3">
      <w:pPr>
        <w:spacing w:line="360" w:lineRule="auto"/>
        <w:ind w:firstLine="480" w:firstLineChars="200"/>
        <w:rPr>
          <w:rFonts w:asciiTheme="minorEastAsia" w:hAnsiTheme="minorEastAsia" w:eastAsiaTheme="minorEastAsia"/>
          <w:color w:val="auto"/>
          <w:sz w:val="24"/>
          <w:highlight w:val="none"/>
        </w:rPr>
      </w:pPr>
    </w:p>
    <w:p w14:paraId="58C31D6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B8C2C0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3FE013C2">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2BDDBA02">
      <w:pPr>
        <w:spacing w:line="360" w:lineRule="auto"/>
        <w:jc w:val="center"/>
        <w:outlineLvl w:val="0"/>
        <w:rPr>
          <w:rFonts w:ascii="宋体" w:hAnsi="宋体" w:eastAsia="宋体"/>
          <w:b/>
          <w:bCs/>
          <w:color w:val="auto"/>
          <w:sz w:val="28"/>
          <w:highlight w:val="none"/>
        </w:rPr>
      </w:pPr>
      <w:bookmarkStart w:id="56" w:name="_Toc18131"/>
      <w:bookmarkStart w:id="57"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56"/>
      <w:bookmarkEnd w:id="57"/>
    </w:p>
    <w:p w14:paraId="2EF78C07">
      <w:pPr>
        <w:spacing w:line="360" w:lineRule="auto"/>
        <w:jc w:val="center"/>
        <w:outlineLvl w:val="1"/>
        <w:rPr>
          <w:rFonts w:ascii="仿宋" w:hAnsi="仿宋" w:eastAsia="仿宋" w:cs="仿宋"/>
          <w:b/>
          <w:bCs/>
          <w:color w:val="auto"/>
          <w:sz w:val="32"/>
          <w:szCs w:val="44"/>
          <w:highlight w:val="none"/>
        </w:rPr>
      </w:pPr>
      <w:bookmarkStart w:id="58" w:name="_Toc27489"/>
      <w:bookmarkStart w:id="59" w:name="_Toc27159"/>
      <w:r>
        <w:rPr>
          <w:rFonts w:hint="eastAsia" w:ascii="仿宋" w:hAnsi="仿宋" w:eastAsia="仿宋" w:cs="仿宋"/>
          <w:b/>
          <w:bCs/>
          <w:color w:val="auto"/>
          <w:sz w:val="32"/>
          <w:szCs w:val="44"/>
          <w:highlight w:val="none"/>
        </w:rPr>
        <w:t>询问函范本</w:t>
      </w:r>
      <w:bookmarkEnd w:id="58"/>
      <w:bookmarkEnd w:id="59"/>
    </w:p>
    <w:p w14:paraId="13432A6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3D64EE81">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2DC072D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727589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0" w:name="_Toc13899"/>
      <w:r>
        <w:rPr>
          <w:rFonts w:hint="eastAsia" w:cs="仿宋" w:asciiTheme="minorEastAsia" w:hAnsiTheme="minorEastAsia" w:eastAsiaTheme="minorEastAsia"/>
          <w:color w:val="auto"/>
          <w:sz w:val="24"/>
          <w:szCs w:val="24"/>
          <w:highlight w:val="none"/>
        </w:rPr>
        <w:t>一、(事项一)</w:t>
      </w:r>
      <w:bookmarkEnd w:id="60"/>
    </w:p>
    <w:p w14:paraId="4BD714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AB943E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1E628C5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4070DA1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1" w:name="_Toc3352"/>
      <w:r>
        <w:rPr>
          <w:rFonts w:hint="eastAsia" w:cs="仿宋" w:asciiTheme="minorEastAsia" w:hAnsiTheme="minorEastAsia" w:eastAsiaTheme="minorEastAsia"/>
          <w:color w:val="auto"/>
          <w:sz w:val="24"/>
          <w:szCs w:val="24"/>
          <w:highlight w:val="none"/>
        </w:rPr>
        <w:t>二、(事项二)</w:t>
      </w:r>
      <w:bookmarkEnd w:id="61"/>
    </w:p>
    <w:p w14:paraId="3FD69F4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A7762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CF836D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578F33E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BF817CF">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1C3A26CB">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068309B">
      <w:pPr>
        <w:jc w:val="center"/>
        <w:outlineLvl w:val="1"/>
        <w:rPr>
          <w:rFonts w:ascii="仿宋" w:hAnsi="仿宋" w:eastAsia="仿宋" w:cs="仿宋"/>
          <w:b/>
          <w:bCs/>
          <w:color w:val="auto"/>
          <w:sz w:val="32"/>
          <w:szCs w:val="44"/>
          <w:highlight w:val="none"/>
        </w:rPr>
      </w:pPr>
      <w:bookmarkStart w:id="62" w:name="_Toc1575"/>
      <w:bookmarkStart w:id="63" w:name="_Toc3245"/>
      <w:r>
        <w:rPr>
          <w:rFonts w:hint="eastAsia" w:ascii="仿宋" w:hAnsi="仿宋" w:eastAsia="仿宋" w:cs="仿宋"/>
          <w:b/>
          <w:bCs/>
          <w:color w:val="auto"/>
          <w:sz w:val="32"/>
          <w:szCs w:val="44"/>
          <w:highlight w:val="none"/>
        </w:rPr>
        <w:t>质疑函范本</w:t>
      </w:r>
      <w:bookmarkEnd w:id="62"/>
      <w:bookmarkEnd w:id="63"/>
    </w:p>
    <w:p w14:paraId="770F2C24">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64" w:name="_Toc21381"/>
      <w:r>
        <w:rPr>
          <w:rFonts w:hint="eastAsia" w:cs="仿宋" w:asciiTheme="minorEastAsia" w:hAnsiTheme="minorEastAsia" w:eastAsiaTheme="minorEastAsia"/>
          <w:b/>
          <w:bCs/>
          <w:color w:val="auto"/>
          <w:sz w:val="24"/>
          <w:szCs w:val="24"/>
          <w:highlight w:val="none"/>
        </w:rPr>
        <w:t>一、质疑供应商基本信息</w:t>
      </w:r>
      <w:bookmarkEnd w:id="64"/>
    </w:p>
    <w:p w14:paraId="689E530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0E315A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046811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28EB31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24562F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5E44BF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0BC7915">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5" w:name="_Toc28415"/>
      <w:r>
        <w:rPr>
          <w:rFonts w:hint="eastAsia" w:cs="仿宋" w:asciiTheme="minorEastAsia" w:hAnsiTheme="minorEastAsia" w:eastAsiaTheme="minorEastAsia"/>
          <w:b/>
          <w:bCs/>
          <w:color w:val="auto"/>
          <w:sz w:val="24"/>
          <w:szCs w:val="24"/>
          <w:highlight w:val="none"/>
        </w:rPr>
        <w:t>二、质疑项目基本情况</w:t>
      </w:r>
      <w:bookmarkEnd w:id="65"/>
    </w:p>
    <w:p w14:paraId="68A8C44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CA56C7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72CAEC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1F77C5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FC29F4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6" w:name="_Toc19014"/>
      <w:r>
        <w:rPr>
          <w:rFonts w:hint="eastAsia" w:cs="仿宋" w:asciiTheme="minorEastAsia" w:hAnsiTheme="minorEastAsia" w:eastAsiaTheme="minorEastAsia"/>
          <w:b/>
          <w:bCs/>
          <w:color w:val="auto"/>
          <w:sz w:val="24"/>
          <w:szCs w:val="24"/>
          <w:highlight w:val="none"/>
        </w:rPr>
        <w:t>三、质疑事项具体内容</w:t>
      </w:r>
      <w:bookmarkEnd w:id="66"/>
    </w:p>
    <w:p w14:paraId="4A51B71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78BAB5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5B3612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BD8593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6176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6BF6DA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88171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936CD8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7" w:name="_Toc17919"/>
      <w:r>
        <w:rPr>
          <w:rFonts w:hint="eastAsia" w:cs="仿宋" w:asciiTheme="minorEastAsia" w:hAnsiTheme="minorEastAsia" w:eastAsiaTheme="minorEastAsia"/>
          <w:b/>
          <w:bCs/>
          <w:color w:val="auto"/>
          <w:sz w:val="24"/>
          <w:szCs w:val="24"/>
          <w:highlight w:val="none"/>
        </w:rPr>
        <w:t>四、与质疑事项相关的质疑请求</w:t>
      </w:r>
      <w:bookmarkEnd w:id="67"/>
    </w:p>
    <w:p w14:paraId="7B2274A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4B270B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64272A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D782F0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592FCFA">
      <w:pPr>
        <w:outlineLvl w:val="0"/>
        <w:rPr>
          <w:rFonts w:asciiTheme="minorEastAsia" w:hAnsiTheme="minorEastAsia" w:eastAsiaTheme="minorEastAsia"/>
          <w:b/>
          <w:color w:val="auto"/>
          <w:sz w:val="28"/>
          <w:szCs w:val="32"/>
          <w:highlight w:val="none"/>
        </w:rPr>
      </w:pPr>
      <w:bookmarkStart w:id="68" w:name="_Toc9754"/>
      <w:bookmarkStart w:id="69" w:name="_Toc26836"/>
      <w:r>
        <w:rPr>
          <w:rFonts w:hint="eastAsia" w:asciiTheme="minorEastAsia" w:hAnsiTheme="minorEastAsia" w:eastAsiaTheme="minorEastAsia"/>
          <w:b/>
          <w:color w:val="auto"/>
          <w:sz w:val="28"/>
          <w:szCs w:val="32"/>
          <w:highlight w:val="none"/>
        </w:rPr>
        <w:t>质疑函制作说明：</w:t>
      </w:r>
      <w:bookmarkEnd w:id="68"/>
      <w:bookmarkEnd w:id="69"/>
    </w:p>
    <w:p w14:paraId="6E330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BF39C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399CE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1431D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DA3CB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DAC49B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F97C291">
      <w:pPr>
        <w:rPr>
          <w:color w:val="auto"/>
          <w:highlight w:val="none"/>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2020503050405090304"/>
    <w:charset w:val="00"/>
    <w:family w:val="roman"/>
    <w:pitch w:val="default"/>
    <w:sig w:usb0="00000000" w:usb1="00000000" w:usb2="00000001" w:usb3="00000000" w:csb0="400001BF" w:csb1="DFF70000"/>
  </w:font>
  <w:font w:name="Sylfaen">
    <w:panose1 w:val="010A0502050306030303"/>
    <w:charset w:val="00"/>
    <w:family w:val="roman"/>
    <w:pitch w:val="default"/>
    <w:sig w:usb0="04000687" w:usb1="00000000" w:usb2="00000000" w:usb3="00000000" w:csb0="2000009F"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A00002BF" w:usb1="78CF7CFB" w:usb2="00000016" w:usb3="00000000" w:csb0="6006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2010609030101010101"/>
    <w:charset w:val="86"/>
    <w:family w:val="auto"/>
    <w:pitch w:val="default"/>
    <w:sig w:usb0="00000000" w:usb1="00000000" w:usb2="00000000" w:usb3="00000000" w:csb0="00040000" w:csb1="0000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33C1B">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F9FBA">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5337">
                          <w:pPr>
                            <w:pStyle w:val="1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w:t>
                          </w:r>
                          <w:r>
                            <w:rPr>
                              <w:rFonts w:hint="eastAsia" w:ascii="宋体" w:hAnsi="宋体" w:eastAsia="宋体" w:cs="宋体"/>
                              <w:sz w:val="21"/>
                              <w:szCs w:val="21"/>
                              <w:lang w:val="en-US" w:eastAsia="zh-CN"/>
                            </w:rPr>
                            <w:t xml:space="preserve"> 76</w:t>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095337">
                    <w:pPr>
                      <w:pStyle w:val="1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w:t>
                    </w:r>
                    <w:r>
                      <w:rPr>
                        <w:rFonts w:hint="eastAsia" w:ascii="宋体" w:hAnsi="宋体" w:eastAsia="宋体" w:cs="宋体"/>
                        <w:sz w:val="21"/>
                        <w:szCs w:val="21"/>
                        <w:lang w:val="en-US" w:eastAsia="zh-CN"/>
                      </w:rPr>
                      <w:t xml:space="preserve"> 76</w:t>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98195">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C54EA2A8"/>
    <w:multiLevelType w:val="singleLevel"/>
    <w:tmpl w:val="C54EA2A8"/>
    <w:lvl w:ilvl="0" w:tentative="0">
      <w:start w:val="1"/>
      <w:numFmt w:val="decimal"/>
      <w:pStyle w:val="7"/>
      <w:lvlText w:val="%1."/>
      <w:lvlJc w:val="left"/>
      <w:pPr>
        <w:tabs>
          <w:tab w:val="left" w:pos="360"/>
        </w:tabs>
        <w:ind w:left="360" w:hanging="360"/>
      </w:pPr>
    </w:lvl>
  </w:abstractNum>
  <w:abstractNum w:abstractNumId="3">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FC9A424E"/>
    <w:multiLevelType w:val="singleLevel"/>
    <w:tmpl w:val="FC9A424E"/>
    <w:lvl w:ilvl="0" w:tentative="0">
      <w:start w:val="1"/>
      <w:numFmt w:val="decimal"/>
      <w:suff w:val="nothing"/>
      <w:lvlText w:val="（%1）"/>
      <w:lvlJc w:val="left"/>
    </w:lvl>
  </w:abstractNum>
  <w:abstractNum w:abstractNumId="6">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0614EA9"/>
    <w:multiLevelType w:val="singleLevel"/>
    <w:tmpl w:val="50614EA9"/>
    <w:lvl w:ilvl="0" w:tentative="0">
      <w:start w:val="8"/>
      <w:numFmt w:val="decimal"/>
      <w:suff w:val="nothing"/>
      <w:lvlText w:val="%1、"/>
      <w:lvlJc w:val="left"/>
    </w:lvl>
  </w:abstractNum>
  <w:abstractNum w:abstractNumId="8">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7"/>
  </w:num>
  <w:num w:numId="3">
    <w:abstractNumId w:val="8"/>
  </w:num>
  <w:num w:numId="4">
    <w:abstractNumId w:val="5"/>
  </w:num>
  <w:num w:numId="5">
    <w:abstractNumId w:val="6"/>
  </w:num>
  <w:num w:numId="6">
    <w:abstractNumId w:val="3"/>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lNzQ4MzcxNzg2OWFlODZiZmQ0MDE5ZTViOTE5MT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6E0"/>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10A1"/>
    <w:rsid w:val="00556D4C"/>
    <w:rsid w:val="005614B4"/>
    <w:rsid w:val="005616B5"/>
    <w:rsid w:val="00571315"/>
    <w:rsid w:val="00582075"/>
    <w:rsid w:val="00584A63"/>
    <w:rsid w:val="00585EB3"/>
    <w:rsid w:val="00591688"/>
    <w:rsid w:val="00592509"/>
    <w:rsid w:val="00594986"/>
    <w:rsid w:val="00597B15"/>
    <w:rsid w:val="005A044C"/>
    <w:rsid w:val="005B5C95"/>
    <w:rsid w:val="005B636A"/>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0C6"/>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872593"/>
    <w:rsid w:val="01A84053"/>
    <w:rsid w:val="01E054EB"/>
    <w:rsid w:val="01E93A1B"/>
    <w:rsid w:val="0214602E"/>
    <w:rsid w:val="02442844"/>
    <w:rsid w:val="03276FF4"/>
    <w:rsid w:val="03486B27"/>
    <w:rsid w:val="03C2134C"/>
    <w:rsid w:val="040A094E"/>
    <w:rsid w:val="056F201D"/>
    <w:rsid w:val="05B664D4"/>
    <w:rsid w:val="05F15443"/>
    <w:rsid w:val="064B485A"/>
    <w:rsid w:val="068C65C4"/>
    <w:rsid w:val="07076C01"/>
    <w:rsid w:val="071C12AC"/>
    <w:rsid w:val="07A934B3"/>
    <w:rsid w:val="07BA4A57"/>
    <w:rsid w:val="07EB6287"/>
    <w:rsid w:val="0806421B"/>
    <w:rsid w:val="08BE076E"/>
    <w:rsid w:val="0980799C"/>
    <w:rsid w:val="09944B8E"/>
    <w:rsid w:val="09951550"/>
    <w:rsid w:val="0A0E19EA"/>
    <w:rsid w:val="0A241C65"/>
    <w:rsid w:val="0A6A18DB"/>
    <w:rsid w:val="0A825391"/>
    <w:rsid w:val="0A8B0C30"/>
    <w:rsid w:val="0A975B48"/>
    <w:rsid w:val="0AB17C0E"/>
    <w:rsid w:val="0AEF3828"/>
    <w:rsid w:val="0B406381"/>
    <w:rsid w:val="0BB452AA"/>
    <w:rsid w:val="0BBB665B"/>
    <w:rsid w:val="0BDC700F"/>
    <w:rsid w:val="0C595C85"/>
    <w:rsid w:val="0CC72197"/>
    <w:rsid w:val="0D3B1FC6"/>
    <w:rsid w:val="0EEA6FC1"/>
    <w:rsid w:val="0F790928"/>
    <w:rsid w:val="0FB775B8"/>
    <w:rsid w:val="109F66A4"/>
    <w:rsid w:val="10CD72BB"/>
    <w:rsid w:val="12197477"/>
    <w:rsid w:val="131B5CD3"/>
    <w:rsid w:val="133E02C4"/>
    <w:rsid w:val="13776448"/>
    <w:rsid w:val="14263231"/>
    <w:rsid w:val="1466407E"/>
    <w:rsid w:val="14834E28"/>
    <w:rsid w:val="148E7D65"/>
    <w:rsid w:val="14FB5A54"/>
    <w:rsid w:val="15231BF9"/>
    <w:rsid w:val="156373EE"/>
    <w:rsid w:val="15C4546D"/>
    <w:rsid w:val="18A97DFA"/>
    <w:rsid w:val="18CC7773"/>
    <w:rsid w:val="18D0178E"/>
    <w:rsid w:val="191173C1"/>
    <w:rsid w:val="191A3096"/>
    <w:rsid w:val="19DD2D01"/>
    <w:rsid w:val="1A064976"/>
    <w:rsid w:val="1A3B68AA"/>
    <w:rsid w:val="1A3E1C1E"/>
    <w:rsid w:val="1B5A4701"/>
    <w:rsid w:val="1B6F4F40"/>
    <w:rsid w:val="1C141836"/>
    <w:rsid w:val="1C76537D"/>
    <w:rsid w:val="1D24052A"/>
    <w:rsid w:val="1D4666F2"/>
    <w:rsid w:val="1DEF28E6"/>
    <w:rsid w:val="1E6B6A14"/>
    <w:rsid w:val="1F6115C2"/>
    <w:rsid w:val="1FE80168"/>
    <w:rsid w:val="20202956"/>
    <w:rsid w:val="20550D9A"/>
    <w:rsid w:val="205545EA"/>
    <w:rsid w:val="205D447F"/>
    <w:rsid w:val="2138133C"/>
    <w:rsid w:val="215F7913"/>
    <w:rsid w:val="218458B2"/>
    <w:rsid w:val="218E2416"/>
    <w:rsid w:val="21B75E11"/>
    <w:rsid w:val="21C31F1F"/>
    <w:rsid w:val="226915FE"/>
    <w:rsid w:val="229273EC"/>
    <w:rsid w:val="2342738B"/>
    <w:rsid w:val="238854D1"/>
    <w:rsid w:val="23BC656D"/>
    <w:rsid w:val="241804A5"/>
    <w:rsid w:val="24B97929"/>
    <w:rsid w:val="24D632D7"/>
    <w:rsid w:val="2621364C"/>
    <w:rsid w:val="27323351"/>
    <w:rsid w:val="27D65DBA"/>
    <w:rsid w:val="27E47234"/>
    <w:rsid w:val="285F40CA"/>
    <w:rsid w:val="28916BFF"/>
    <w:rsid w:val="289E1AF0"/>
    <w:rsid w:val="28C01ECB"/>
    <w:rsid w:val="290275F9"/>
    <w:rsid w:val="296138D0"/>
    <w:rsid w:val="29BF71E3"/>
    <w:rsid w:val="29D6387F"/>
    <w:rsid w:val="29FF7C47"/>
    <w:rsid w:val="2A127B63"/>
    <w:rsid w:val="2A451A6C"/>
    <w:rsid w:val="2A990D4C"/>
    <w:rsid w:val="2AAA4765"/>
    <w:rsid w:val="2AC21606"/>
    <w:rsid w:val="2AD63D42"/>
    <w:rsid w:val="2B3060CD"/>
    <w:rsid w:val="2B7E7608"/>
    <w:rsid w:val="2B7F04E9"/>
    <w:rsid w:val="2B8B554A"/>
    <w:rsid w:val="2C35726F"/>
    <w:rsid w:val="2CDA07B4"/>
    <w:rsid w:val="2D496D68"/>
    <w:rsid w:val="2E7A48DE"/>
    <w:rsid w:val="2EBA5177"/>
    <w:rsid w:val="2EDC3ED8"/>
    <w:rsid w:val="2EED158B"/>
    <w:rsid w:val="2F104B00"/>
    <w:rsid w:val="2F6351B4"/>
    <w:rsid w:val="2FC86126"/>
    <w:rsid w:val="2FCF199E"/>
    <w:rsid w:val="2FE34275"/>
    <w:rsid w:val="2FE760BA"/>
    <w:rsid w:val="30483E83"/>
    <w:rsid w:val="30BF3991"/>
    <w:rsid w:val="310315DB"/>
    <w:rsid w:val="3111619A"/>
    <w:rsid w:val="319775DB"/>
    <w:rsid w:val="31B139DC"/>
    <w:rsid w:val="31C8374C"/>
    <w:rsid w:val="320A7E41"/>
    <w:rsid w:val="32497AF3"/>
    <w:rsid w:val="326C6473"/>
    <w:rsid w:val="33296443"/>
    <w:rsid w:val="343C0775"/>
    <w:rsid w:val="34AB36B6"/>
    <w:rsid w:val="356C50EC"/>
    <w:rsid w:val="357E1440"/>
    <w:rsid w:val="3594780B"/>
    <w:rsid w:val="35DC5B0E"/>
    <w:rsid w:val="36137E45"/>
    <w:rsid w:val="363132B3"/>
    <w:rsid w:val="36376E0A"/>
    <w:rsid w:val="3700166C"/>
    <w:rsid w:val="37857B97"/>
    <w:rsid w:val="37985945"/>
    <w:rsid w:val="379A1012"/>
    <w:rsid w:val="38694EE9"/>
    <w:rsid w:val="38E069CE"/>
    <w:rsid w:val="399F5AA7"/>
    <w:rsid w:val="3A6818FA"/>
    <w:rsid w:val="3AEC238A"/>
    <w:rsid w:val="3B365CC9"/>
    <w:rsid w:val="3B9A7B88"/>
    <w:rsid w:val="3C5F4C83"/>
    <w:rsid w:val="3D2C7AC8"/>
    <w:rsid w:val="3D527E27"/>
    <w:rsid w:val="3D855D12"/>
    <w:rsid w:val="3D8B42FF"/>
    <w:rsid w:val="3DE86C4C"/>
    <w:rsid w:val="3DF36A6E"/>
    <w:rsid w:val="3E7A3FF6"/>
    <w:rsid w:val="3EBA1EE9"/>
    <w:rsid w:val="3F792F1E"/>
    <w:rsid w:val="40824826"/>
    <w:rsid w:val="40E63923"/>
    <w:rsid w:val="43A91E5B"/>
    <w:rsid w:val="449E0D39"/>
    <w:rsid w:val="45E32B26"/>
    <w:rsid w:val="463A3650"/>
    <w:rsid w:val="46461627"/>
    <w:rsid w:val="469F0116"/>
    <w:rsid w:val="46E0714F"/>
    <w:rsid w:val="47315BD2"/>
    <w:rsid w:val="475259B7"/>
    <w:rsid w:val="47561C04"/>
    <w:rsid w:val="47A32BE0"/>
    <w:rsid w:val="488302AE"/>
    <w:rsid w:val="48831CF9"/>
    <w:rsid w:val="49024C9C"/>
    <w:rsid w:val="49A52016"/>
    <w:rsid w:val="49B1408D"/>
    <w:rsid w:val="49FF18AE"/>
    <w:rsid w:val="4A683443"/>
    <w:rsid w:val="4A69505E"/>
    <w:rsid w:val="4A7D4FD2"/>
    <w:rsid w:val="4A913C9A"/>
    <w:rsid w:val="4B1F70AC"/>
    <w:rsid w:val="4B240F94"/>
    <w:rsid w:val="4B5E1E2B"/>
    <w:rsid w:val="4C0832E5"/>
    <w:rsid w:val="4C3C565C"/>
    <w:rsid w:val="4C3E2B07"/>
    <w:rsid w:val="4CBB4621"/>
    <w:rsid w:val="4CC254E6"/>
    <w:rsid w:val="4CCC79C7"/>
    <w:rsid w:val="4D7555C7"/>
    <w:rsid w:val="4EAE6DA0"/>
    <w:rsid w:val="4ECE7859"/>
    <w:rsid w:val="4ECF79AE"/>
    <w:rsid w:val="4F8B1BBF"/>
    <w:rsid w:val="4FE617D9"/>
    <w:rsid w:val="4FE92737"/>
    <w:rsid w:val="5016514B"/>
    <w:rsid w:val="50BD4329"/>
    <w:rsid w:val="50BD4DF3"/>
    <w:rsid w:val="50BE23A7"/>
    <w:rsid w:val="50FC1A26"/>
    <w:rsid w:val="51723664"/>
    <w:rsid w:val="51BB2485"/>
    <w:rsid w:val="51CB1C78"/>
    <w:rsid w:val="51D35A9F"/>
    <w:rsid w:val="51FD6A51"/>
    <w:rsid w:val="526B680A"/>
    <w:rsid w:val="52836F71"/>
    <w:rsid w:val="52BE04FE"/>
    <w:rsid w:val="52D26B02"/>
    <w:rsid w:val="541A5D30"/>
    <w:rsid w:val="54A26915"/>
    <w:rsid w:val="55C1559C"/>
    <w:rsid w:val="55F068CD"/>
    <w:rsid w:val="55F11861"/>
    <w:rsid w:val="566C3136"/>
    <w:rsid w:val="568D04F2"/>
    <w:rsid w:val="56E9141C"/>
    <w:rsid w:val="57C37CE3"/>
    <w:rsid w:val="58D04AE7"/>
    <w:rsid w:val="59D653D9"/>
    <w:rsid w:val="5A526582"/>
    <w:rsid w:val="5A5F5C77"/>
    <w:rsid w:val="5A711A0D"/>
    <w:rsid w:val="5B1613E4"/>
    <w:rsid w:val="5B50604C"/>
    <w:rsid w:val="5B78003B"/>
    <w:rsid w:val="5BC11A60"/>
    <w:rsid w:val="5C197149"/>
    <w:rsid w:val="5C7A4D54"/>
    <w:rsid w:val="5CD23B73"/>
    <w:rsid w:val="5F00691E"/>
    <w:rsid w:val="5F127819"/>
    <w:rsid w:val="60350ED3"/>
    <w:rsid w:val="60B72AEE"/>
    <w:rsid w:val="61025188"/>
    <w:rsid w:val="61057D5F"/>
    <w:rsid w:val="6126068F"/>
    <w:rsid w:val="614D4977"/>
    <w:rsid w:val="61D4389A"/>
    <w:rsid w:val="629B3094"/>
    <w:rsid w:val="62BB17B3"/>
    <w:rsid w:val="62FD1A73"/>
    <w:rsid w:val="63133D14"/>
    <w:rsid w:val="63C60FC0"/>
    <w:rsid w:val="63DC345F"/>
    <w:rsid w:val="64BA3D7A"/>
    <w:rsid w:val="64F179BC"/>
    <w:rsid w:val="65DF0A5F"/>
    <w:rsid w:val="662E109F"/>
    <w:rsid w:val="665704D3"/>
    <w:rsid w:val="666D151C"/>
    <w:rsid w:val="67C065A4"/>
    <w:rsid w:val="67D359C9"/>
    <w:rsid w:val="68042537"/>
    <w:rsid w:val="68FE36DD"/>
    <w:rsid w:val="694E60FC"/>
    <w:rsid w:val="69E95A08"/>
    <w:rsid w:val="6A162E38"/>
    <w:rsid w:val="6A256904"/>
    <w:rsid w:val="6A7F7368"/>
    <w:rsid w:val="6AEE1907"/>
    <w:rsid w:val="6B656832"/>
    <w:rsid w:val="6BD66471"/>
    <w:rsid w:val="6C675CE6"/>
    <w:rsid w:val="6D4F4321"/>
    <w:rsid w:val="6DF41B82"/>
    <w:rsid w:val="6DFF7360"/>
    <w:rsid w:val="6E7A5F73"/>
    <w:rsid w:val="6E873A42"/>
    <w:rsid w:val="6EE90F9D"/>
    <w:rsid w:val="6FD74228"/>
    <w:rsid w:val="7021106F"/>
    <w:rsid w:val="71633091"/>
    <w:rsid w:val="718801FD"/>
    <w:rsid w:val="72734A09"/>
    <w:rsid w:val="73081CA5"/>
    <w:rsid w:val="74201F7D"/>
    <w:rsid w:val="7487762D"/>
    <w:rsid w:val="74C33AA4"/>
    <w:rsid w:val="75210D7A"/>
    <w:rsid w:val="75385498"/>
    <w:rsid w:val="75B57DF2"/>
    <w:rsid w:val="75F37776"/>
    <w:rsid w:val="76BC207F"/>
    <w:rsid w:val="76EB4904"/>
    <w:rsid w:val="77645DCD"/>
    <w:rsid w:val="777378F5"/>
    <w:rsid w:val="777A2D3C"/>
    <w:rsid w:val="77A42343"/>
    <w:rsid w:val="78474930"/>
    <w:rsid w:val="78E67685"/>
    <w:rsid w:val="79074B81"/>
    <w:rsid w:val="792F0F5E"/>
    <w:rsid w:val="794F0939"/>
    <w:rsid w:val="79AF0FCA"/>
    <w:rsid w:val="7A9D05C5"/>
    <w:rsid w:val="7AF9279C"/>
    <w:rsid w:val="7B870811"/>
    <w:rsid w:val="7CC51958"/>
    <w:rsid w:val="7CD53DF9"/>
    <w:rsid w:val="7D097C86"/>
    <w:rsid w:val="7E2936C3"/>
    <w:rsid w:val="7E6411B9"/>
    <w:rsid w:val="7EB46836"/>
    <w:rsid w:val="B7EAF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hAnsi="Calibri" w:cs="Calibri"/>
      <w:kern w:val="2"/>
      <w:sz w:val="18"/>
      <w:szCs w:val="18"/>
    </w:rPr>
  </w:style>
  <w:style w:type="paragraph" w:styleId="7">
    <w:name w:val="List Number"/>
    <w:basedOn w:val="1"/>
    <w:semiHidden/>
    <w:unhideWhenUsed/>
    <w:qFormat/>
    <w:uiPriority w:val="99"/>
    <w:pPr>
      <w:numPr>
        <w:ilvl w:val="0"/>
        <w:numId w:val="1"/>
      </w:numPr>
    </w:pPr>
  </w:style>
  <w:style w:type="paragraph" w:styleId="8">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0"/>
    <w:qFormat/>
    <w:uiPriority w:val="0"/>
    <w:pPr>
      <w:jc w:val="left"/>
    </w:pPr>
    <w:rPr>
      <w:rFonts w:ascii="Arial" w:hAnsi="Arial" w:eastAsia="黑体" w:cs="Arial"/>
    </w:rPr>
  </w:style>
  <w:style w:type="paragraph" w:styleId="10">
    <w:name w:val="Body Text"/>
    <w:basedOn w:val="1"/>
    <w:qFormat/>
    <w:uiPriority w:val="0"/>
    <w:pPr>
      <w:spacing w:after="120"/>
    </w:pPr>
    <w:rPr>
      <w:rFonts w:ascii="@微软简标宋" w:hAnsi="@微软简标宋" w:eastAsia="@微软简标宋" w:cs="@微软简标宋"/>
      <w:szCs w:val="24"/>
      <w:lang w:val="zh-CN"/>
    </w:rPr>
  </w:style>
  <w:style w:type="paragraph" w:styleId="11">
    <w:name w:val="Body Text Indent"/>
    <w:basedOn w:val="1"/>
    <w:next w:val="12"/>
    <w:qFormat/>
    <w:uiPriority w:val="0"/>
    <w:pPr>
      <w:spacing w:after="120"/>
      <w:ind w:left="420" w:leftChars="200"/>
    </w:pPr>
  </w:style>
  <w:style w:type="paragraph" w:styleId="12">
    <w:name w:val="envelope return"/>
    <w:basedOn w:val="1"/>
    <w:next w:val="6"/>
    <w:qFormat/>
    <w:uiPriority w:val="0"/>
    <w:pPr>
      <w:snapToGrid w:val="0"/>
    </w:pPr>
    <w:rPr>
      <w:rFonts w:ascii="Arial" w:hAnsi="Arial"/>
    </w:rPr>
  </w:style>
  <w:style w:type="paragraph" w:styleId="13">
    <w:name w:val="index 4"/>
    <w:basedOn w:val="1"/>
    <w:next w:val="1"/>
    <w:qFormat/>
    <w:uiPriority w:val="0"/>
    <w:pPr>
      <w:ind w:left="600" w:leftChars="600"/>
    </w:pPr>
    <w:rPr>
      <w:rFonts w:ascii="Times New Roman" w:hAnsi="Times New Roman" w:eastAsia="宋体" w:cs="Times New Roman"/>
    </w:rPr>
  </w:style>
  <w:style w:type="paragraph" w:styleId="14">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link w:val="50"/>
    <w:qFormat/>
    <w:uiPriority w:val="99"/>
    <w:rPr>
      <w:rFonts w:ascii="宋体" w:hAnsi="Courier New" w:eastAsiaTheme="minorEastAsia" w:cstheme="minorBidi"/>
      <w:szCs w:val="22"/>
    </w:rPr>
  </w:style>
  <w:style w:type="paragraph" w:styleId="16">
    <w:name w:val="Date"/>
    <w:basedOn w:val="1"/>
    <w:next w:val="1"/>
    <w:link w:val="57"/>
    <w:qFormat/>
    <w:uiPriority w:val="0"/>
    <w:rPr>
      <w:rFonts w:ascii="Arial" w:hAnsi="Arial" w:eastAsia="宋体" w:cs="Arial"/>
      <w:b/>
      <w:sz w:val="28"/>
    </w:rPr>
  </w:style>
  <w:style w:type="paragraph" w:styleId="17">
    <w:name w:val="Balloon Text"/>
    <w:basedOn w:val="1"/>
    <w:link w:val="44"/>
    <w:semiHidden/>
    <w:unhideWhenUsed/>
    <w:qFormat/>
    <w:uiPriority w:val="99"/>
    <w:rPr>
      <w:sz w:val="18"/>
      <w:szCs w:val="18"/>
    </w:rPr>
  </w:style>
  <w:style w:type="paragraph" w:styleId="18">
    <w:name w:val="footer"/>
    <w:basedOn w:val="1"/>
    <w:link w:val="49"/>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annotation subject"/>
    <w:basedOn w:val="9"/>
    <w:next w:val="9"/>
    <w:link w:val="71"/>
    <w:semiHidden/>
    <w:unhideWhenUsed/>
    <w:qFormat/>
    <w:uiPriority w:val="99"/>
    <w:rPr>
      <w:rFonts w:ascii="@仿宋_GB2312" w:hAnsi="@仿宋_GB2312" w:eastAsia="@仿宋_GB2312" w:cs="@仿宋_GB2312"/>
      <w:b/>
      <w:bCs/>
    </w:rPr>
  </w:style>
  <w:style w:type="paragraph" w:styleId="25">
    <w:name w:val="Body Text First Indent"/>
    <w:basedOn w:val="10"/>
    <w:unhideWhenUsed/>
    <w:qFormat/>
    <w:uiPriority w:val="99"/>
    <w:pPr>
      <w:ind w:firstLine="420" w:firstLineChars="100"/>
    </w:pPr>
  </w:style>
  <w:style w:type="paragraph" w:styleId="26">
    <w:name w:val="Body Text First Indent 2"/>
    <w:basedOn w:val="11"/>
    <w:next w:val="1"/>
    <w:qFormat/>
    <w:uiPriority w:val="0"/>
    <w:pPr>
      <w:spacing w:line="360" w:lineRule="auto"/>
      <w:ind w:firstLine="200"/>
    </w:pPr>
    <w:rPr>
      <w:sz w:val="21"/>
    </w:rPr>
  </w:style>
  <w:style w:type="table" w:styleId="28">
    <w:name w:val="Table Grid"/>
    <w:basedOn w:val="2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FollowedHyperlink"/>
    <w:basedOn w:val="29"/>
    <w:semiHidden/>
    <w:unhideWhenUsed/>
    <w:qFormat/>
    <w:uiPriority w:val="99"/>
    <w:rPr>
      <w:color w:val="5C5C5C"/>
      <w:u w:val="none"/>
    </w:rPr>
  </w:style>
  <w:style w:type="character" w:styleId="32">
    <w:name w:val="Emphasis"/>
    <w:basedOn w:val="29"/>
    <w:qFormat/>
    <w:uiPriority w:val="0"/>
    <w:rPr>
      <w:b/>
      <w:bCs/>
    </w:rPr>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rPr>
      <w:bdr w:val="none" w:color="auto" w:sz="0" w:space="0"/>
    </w:rPr>
  </w:style>
  <w:style w:type="character" w:styleId="36">
    <w:name w:val="HTML Variable"/>
    <w:basedOn w:val="29"/>
    <w:semiHidden/>
    <w:unhideWhenUsed/>
    <w:qFormat/>
    <w:uiPriority w:val="99"/>
  </w:style>
  <w:style w:type="character" w:styleId="37">
    <w:name w:val="Hyperlink"/>
    <w:basedOn w:val="29"/>
    <w:unhideWhenUsed/>
    <w:qFormat/>
    <w:uiPriority w:val="99"/>
    <w:rPr>
      <w:color w:val="0000FF" w:themeColor="hyperlink"/>
      <w:u w:val="single"/>
      <w14:textFill>
        <w14:solidFill>
          <w14:schemeClr w14:val="hlink"/>
        </w14:solidFill>
      </w14:textFill>
    </w:rPr>
  </w:style>
  <w:style w:type="character" w:styleId="38">
    <w:name w:val="HTML Code"/>
    <w:basedOn w:val="29"/>
    <w:semiHidden/>
    <w:unhideWhenUsed/>
    <w:qFormat/>
    <w:uiPriority w:val="99"/>
    <w:rPr>
      <w:rFonts w:hint="default" w:ascii="monospace" w:hAnsi="monospace" w:eastAsia="monospace" w:cs="monospace"/>
      <w:sz w:val="20"/>
    </w:rPr>
  </w:style>
  <w:style w:type="character" w:styleId="39">
    <w:name w:val="annotation reference"/>
    <w:basedOn w:val="29"/>
    <w:semiHidden/>
    <w:unhideWhenUsed/>
    <w:qFormat/>
    <w:uiPriority w:val="99"/>
    <w:rPr>
      <w:sz w:val="21"/>
      <w:szCs w:val="21"/>
    </w:rPr>
  </w:style>
  <w:style w:type="character" w:styleId="40">
    <w:name w:val="HTML Cite"/>
    <w:basedOn w:val="29"/>
    <w:semiHidden/>
    <w:unhideWhenUsed/>
    <w:qFormat/>
    <w:uiPriority w:val="99"/>
  </w:style>
  <w:style w:type="character" w:styleId="41">
    <w:name w:val="HTML Keyboard"/>
    <w:basedOn w:val="29"/>
    <w:semiHidden/>
    <w:unhideWhenUsed/>
    <w:qFormat/>
    <w:uiPriority w:val="99"/>
    <w:rPr>
      <w:rFonts w:hint="default" w:ascii="monospace" w:hAnsi="monospace" w:eastAsia="monospace" w:cs="monospace"/>
      <w:sz w:val="20"/>
    </w:rPr>
  </w:style>
  <w:style w:type="character" w:styleId="42">
    <w:name w:val="HTML Sample"/>
    <w:basedOn w:val="29"/>
    <w:semiHidden/>
    <w:unhideWhenUsed/>
    <w:qFormat/>
    <w:uiPriority w:val="99"/>
    <w:rPr>
      <w:rFonts w:ascii="monospace" w:hAnsi="monospace" w:eastAsia="monospace" w:cs="monospace"/>
    </w:rPr>
  </w:style>
  <w:style w:type="paragraph" w:customStyle="1" w:styleId="43">
    <w:name w:val="正文文字 8"/>
    <w:basedOn w:val="1"/>
    <w:next w:val="1"/>
    <w:qFormat/>
    <w:uiPriority w:val="0"/>
    <w:pPr>
      <w:ind w:left="240"/>
    </w:pPr>
    <w:rPr>
      <w:sz w:val="16"/>
    </w:rPr>
  </w:style>
  <w:style w:type="character" w:customStyle="1" w:styleId="44">
    <w:name w:val="批注框文本 Char"/>
    <w:basedOn w:val="29"/>
    <w:link w:val="17"/>
    <w:semiHidden/>
    <w:qFormat/>
    <w:uiPriority w:val="99"/>
    <w:rPr>
      <w:rFonts w:ascii="@仿宋_GB2312" w:hAnsi="@仿宋_GB2312" w:eastAsia="@仿宋_GB2312" w:cs="@仿宋_GB2312"/>
      <w:sz w:val="18"/>
      <w:szCs w:val="18"/>
    </w:rPr>
  </w:style>
  <w:style w:type="paragraph" w:customStyle="1" w:styleId="45">
    <w:name w:val="正文（缩进）"/>
    <w:basedOn w:val="1"/>
    <w:qFormat/>
    <w:uiPriority w:val="0"/>
    <w:pPr>
      <w:widowControl/>
      <w:spacing w:before="156" w:after="156"/>
      <w:ind w:firstLine="480" w:firstLineChars="200"/>
      <w:jc w:val="left"/>
    </w:pPr>
    <w:rPr>
      <w:kern w:val="0"/>
      <w:sz w:val="24"/>
      <w:szCs w:val="24"/>
    </w:rPr>
  </w:style>
  <w:style w:type="paragraph" w:customStyle="1" w:styleId="46">
    <w:name w:val="xl31"/>
    <w:basedOn w:val="1"/>
    <w:qFormat/>
    <w:uiPriority w:val="0"/>
    <w:pPr>
      <w:widowControl/>
      <w:spacing w:before="100" w:beforeAutospacing="1" w:after="100" w:afterAutospacing="1"/>
      <w:jc w:val="center"/>
    </w:pPr>
    <w:rPr>
      <w:b/>
      <w:bCs/>
      <w:kern w:val="0"/>
      <w:sz w:val="28"/>
      <w:szCs w:val="28"/>
    </w:rPr>
  </w:style>
  <w:style w:type="paragraph" w:customStyle="1" w:styleId="47">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29"/>
    <w:link w:val="19"/>
    <w:qFormat/>
    <w:uiPriority w:val="99"/>
    <w:rPr>
      <w:rFonts w:ascii="@仿宋_GB2312" w:hAnsi="@仿宋_GB2312" w:eastAsia="@仿宋_GB2312" w:cs="@仿宋_GB2312"/>
      <w:sz w:val="18"/>
      <w:szCs w:val="18"/>
    </w:rPr>
  </w:style>
  <w:style w:type="character" w:customStyle="1" w:styleId="49">
    <w:name w:val="页脚 Char"/>
    <w:basedOn w:val="29"/>
    <w:link w:val="18"/>
    <w:qFormat/>
    <w:uiPriority w:val="99"/>
    <w:rPr>
      <w:rFonts w:ascii="@仿宋_GB2312" w:hAnsi="@仿宋_GB2312" w:eastAsia="@仿宋_GB2312" w:cs="@仿宋_GB2312"/>
      <w:sz w:val="18"/>
      <w:szCs w:val="18"/>
    </w:rPr>
  </w:style>
  <w:style w:type="character" w:customStyle="1" w:styleId="50">
    <w:name w:val="纯文本 Char"/>
    <w:link w:val="15"/>
    <w:qFormat/>
    <w:uiPriority w:val="0"/>
    <w:rPr>
      <w:rFonts w:ascii="宋体" w:hAnsi="Courier New"/>
    </w:rPr>
  </w:style>
  <w:style w:type="character" w:customStyle="1" w:styleId="51">
    <w:name w:val="纯文本 字符1"/>
    <w:basedOn w:val="29"/>
    <w:semiHidden/>
    <w:qFormat/>
    <w:uiPriority w:val="99"/>
    <w:rPr>
      <w:rFonts w:hAnsi="Courier New" w:cs="Courier New" w:asciiTheme="minorEastAsia"/>
      <w:szCs w:val="20"/>
    </w:rPr>
  </w:style>
  <w:style w:type="character" w:customStyle="1" w:styleId="52">
    <w:name w:val="未处理的提及1"/>
    <w:basedOn w:val="29"/>
    <w:semiHidden/>
    <w:unhideWhenUsed/>
    <w:qFormat/>
    <w:uiPriority w:val="99"/>
    <w:rPr>
      <w:color w:val="605E5C"/>
      <w:shd w:val="clear" w:color="auto" w:fill="E1DFDD"/>
    </w:rPr>
  </w:style>
  <w:style w:type="paragraph" w:styleId="53">
    <w:name w:val="List Paragraph"/>
    <w:basedOn w:val="1"/>
    <w:qFormat/>
    <w:uiPriority w:val="34"/>
    <w:pPr>
      <w:ind w:firstLine="420" w:firstLineChars="200"/>
    </w:pPr>
  </w:style>
  <w:style w:type="paragraph" w:customStyle="1" w:styleId="54">
    <w:name w:val="Char Char Char Char Char Char Char1 Char"/>
    <w:basedOn w:val="1"/>
    <w:qFormat/>
    <w:uiPriority w:val="0"/>
    <w:rPr>
      <w:rFonts w:ascii="Arial" w:hAnsi="Arial" w:eastAsia="宋体" w:cs="Arial"/>
      <w:sz w:val="24"/>
    </w:rPr>
  </w:style>
  <w:style w:type="table" w:customStyle="1" w:styleId="55">
    <w:name w:val="网格表 1 浅色1"/>
    <w:basedOn w:val="2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29"/>
    <w:semiHidden/>
    <w:qFormat/>
    <w:uiPriority w:val="99"/>
    <w:rPr>
      <w:rFonts w:ascii="@仿宋_GB2312" w:hAnsi="@仿宋_GB2312" w:eastAsia="@仿宋_GB2312" w:cs="@仿宋_GB2312"/>
      <w:szCs w:val="20"/>
    </w:rPr>
  </w:style>
  <w:style w:type="character" w:customStyle="1" w:styleId="57">
    <w:name w:val="日期 Char"/>
    <w:link w:val="16"/>
    <w:qFormat/>
    <w:uiPriority w:val="0"/>
    <w:rPr>
      <w:rFonts w:ascii="Arial" w:hAnsi="Arial" w:eastAsia="宋体" w:cs="Arial"/>
      <w:b/>
      <w:sz w:val="28"/>
      <w:szCs w:val="20"/>
    </w:rPr>
  </w:style>
  <w:style w:type="character" w:customStyle="1" w:styleId="58">
    <w:name w:val="纯文本 Char1"/>
    <w:qFormat/>
    <w:locked/>
    <w:uiPriority w:val="99"/>
    <w:rPr>
      <w:rFonts w:ascii="Arial" w:hAnsi="Arial" w:eastAsia="Arial"/>
      <w:kern w:val="2"/>
      <w:sz w:val="21"/>
      <w:lang w:val="en-US" w:eastAsia="zh-CN" w:bidi="ar-SA"/>
    </w:rPr>
  </w:style>
  <w:style w:type="character" w:customStyle="1" w:styleId="59">
    <w:name w:val="批注文字 Char"/>
    <w:basedOn w:val="29"/>
    <w:semiHidden/>
    <w:qFormat/>
    <w:uiPriority w:val="99"/>
    <w:rPr>
      <w:rFonts w:ascii="@仿宋_GB2312" w:hAnsi="@仿宋_GB2312" w:eastAsia="@仿宋_GB2312" w:cs="@仿宋_GB2312"/>
      <w:szCs w:val="20"/>
    </w:rPr>
  </w:style>
  <w:style w:type="character" w:customStyle="1" w:styleId="60">
    <w:name w:val="批注文字 Char1"/>
    <w:link w:val="9"/>
    <w:qFormat/>
    <w:uiPriority w:val="0"/>
    <w:rPr>
      <w:rFonts w:ascii="Arial" w:hAnsi="Arial" w:eastAsia="黑体" w:cs="Arial"/>
      <w:szCs w:val="20"/>
    </w:rPr>
  </w:style>
  <w:style w:type="character" w:customStyle="1" w:styleId="61">
    <w:name w:val="标题 1 Char"/>
    <w:basedOn w:val="29"/>
    <w:link w:val="2"/>
    <w:qFormat/>
    <w:uiPriority w:val="9"/>
    <w:rPr>
      <w:rFonts w:ascii="@仿宋_GB2312" w:hAnsi="@仿宋_GB2312" w:eastAsia="@仿宋_GB2312" w:cs="@仿宋_GB2312"/>
      <w:b/>
      <w:bCs/>
      <w:kern w:val="44"/>
      <w:sz w:val="44"/>
      <w:szCs w:val="44"/>
    </w:rPr>
  </w:style>
  <w:style w:type="paragraph" w:customStyle="1" w:styleId="6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29"/>
    <w:link w:val="4"/>
    <w:semiHidden/>
    <w:qFormat/>
    <w:uiPriority w:val="9"/>
    <w:rPr>
      <w:rFonts w:ascii="@仿宋_GB2312" w:hAnsi="@仿宋_GB2312" w:eastAsia="@仿宋_GB2312" w:cs="@仿宋_GB2312"/>
      <w:b/>
      <w:bCs/>
      <w:sz w:val="32"/>
      <w:szCs w:val="32"/>
    </w:rPr>
  </w:style>
  <w:style w:type="character" w:customStyle="1" w:styleId="64">
    <w:name w:val="fontstyle01"/>
    <w:basedOn w:val="29"/>
    <w:qFormat/>
    <w:uiPriority w:val="0"/>
    <w:rPr>
      <w:rFonts w:hint="eastAsia" w:ascii="宋体" w:hAnsi="宋体" w:eastAsia="宋体"/>
      <w:color w:val="000000"/>
      <w:sz w:val="22"/>
      <w:szCs w:val="22"/>
    </w:rPr>
  </w:style>
  <w:style w:type="character" w:customStyle="1" w:styleId="65">
    <w:name w:val="fontstyle21"/>
    <w:basedOn w:val="29"/>
    <w:qFormat/>
    <w:uiPriority w:val="0"/>
    <w:rPr>
      <w:rFonts w:hint="default" w:ascii="TimesNewRomanPSMT" w:hAnsi="TimesNewRomanPSMT"/>
      <w:color w:val="000000"/>
      <w:sz w:val="22"/>
      <w:szCs w:val="22"/>
    </w:rPr>
  </w:style>
  <w:style w:type="character" w:customStyle="1" w:styleId="6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29"/>
    <w:semiHidden/>
    <w:qFormat/>
    <w:uiPriority w:val="9"/>
    <w:rPr>
      <w:rFonts w:asciiTheme="majorHAnsi" w:hAnsiTheme="majorHAnsi" w:eastAsiaTheme="majorEastAsia" w:cstheme="majorBidi"/>
      <w:b/>
      <w:bCs/>
      <w:sz w:val="28"/>
      <w:szCs w:val="28"/>
    </w:rPr>
  </w:style>
  <w:style w:type="character" w:customStyle="1" w:styleId="68">
    <w:name w:val="标题 4 Char1"/>
    <w:link w:val="5"/>
    <w:qFormat/>
    <w:uiPriority w:val="0"/>
    <w:rPr>
      <w:rFonts w:ascii="@仿宋_GB2312" w:hAnsi="@仿宋_GB2312" w:eastAsia="@仿宋_GB2312" w:cs="@仿宋_GB2312"/>
      <w:b/>
      <w:bCs/>
      <w:sz w:val="28"/>
      <w:szCs w:val="28"/>
    </w:rPr>
  </w:style>
  <w:style w:type="character" w:customStyle="1" w:styleId="69">
    <w:name w:val="标题 4 Char"/>
    <w:qFormat/>
    <w:uiPriority w:val="0"/>
    <w:rPr>
      <w:rFonts w:ascii="Arial" w:hAnsi="Arial" w:eastAsia="Arial"/>
      <w:b/>
      <w:bCs/>
      <w:kern w:val="2"/>
      <w:sz w:val="28"/>
      <w:szCs w:val="28"/>
      <w:lang w:val="en-US" w:eastAsia="zh-CN" w:bidi="ar-SA"/>
    </w:rPr>
  </w:style>
  <w:style w:type="table" w:customStyle="1" w:styleId="70">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4"/>
    <w:semiHidden/>
    <w:qFormat/>
    <w:uiPriority w:val="99"/>
    <w:rPr>
      <w:rFonts w:ascii="@仿宋_GB2312" w:hAnsi="@仿宋_GB2312" w:eastAsia="@仿宋_GB2312" w:cs="@仿宋_GB2312"/>
      <w:b/>
      <w:bCs/>
      <w:szCs w:val="20"/>
    </w:rPr>
  </w:style>
  <w:style w:type="table" w:customStyle="1" w:styleId="72">
    <w:name w:val="Table Normal"/>
    <w:semiHidden/>
    <w:unhideWhenUsed/>
    <w:qFormat/>
    <w:uiPriority w:val="0"/>
    <w:tblPr>
      <w:tblCellMar>
        <w:top w:w="0" w:type="dxa"/>
        <w:left w:w="0" w:type="dxa"/>
        <w:bottom w:w="0" w:type="dxa"/>
        <w:right w:w="0" w:type="dxa"/>
      </w:tblCellMar>
    </w:tblPr>
  </w:style>
  <w:style w:type="paragraph" w:customStyle="1" w:styleId="73">
    <w:name w:val="Table Text"/>
    <w:basedOn w:val="1"/>
    <w:semiHidden/>
    <w:qFormat/>
    <w:uiPriority w:val="0"/>
    <w:rPr>
      <w:rFonts w:ascii="Arial" w:hAnsi="Arial" w:eastAsia="Arial" w:cs="Arial"/>
      <w:sz w:val="21"/>
      <w:szCs w:val="21"/>
      <w:lang w:val="en-US" w:eastAsia="en-US" w:bidi="ar-SA"/>
    </w:rPr>
  </w:style>
  <w:style w:type="paragraph" w:customStyle="1" w:styleId="7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5">
    <w:name w:val="列出段落1"/>
    <w:basedOn w:val="1"/>
    <w:qFormat/>
    <w:uiPriority w:val="0"/>
    <w:pPr>
      <w:ind w:firstLine="420" w:firstLineChars="200"/>
    </w:pPr>
    <w:rPr>
      <w:szCs w:val="21"/>
    </w:rPr>
  </w:style>
  <w:style w:type="paragraph" w:customStyle="1" w:styleId="76">
    <w:name w:val="样式1无缩进"/>
    <w:basedOn w:val="1"/>
    <w:qFormat/>
    <w:uiPriority w:val="0"/>
    <w:pPr>
      <w:ind w:firstLine="0" w:firstLineChars="0"/>
    </w:pPr>
  </w:style>
  <w:style w:type="character" w:customStyle="1" w:styleId="77">
    <w:name w:val="hover"/>
    <w:basedOn w:val="29"/>
    <w:qFormat/>
    <w:uiPriority w:val="0"/>
  </w:style>
  <w:style w:type="character" w:customStyle="1" w:styleId="78">
    <w:name w:val="hover1"/>
    <w:basedOn w:val="29"/>
    <w:qFormat/>
    <w:uiPriority w:val="0"/>
    <w:rPr>
      <w:color w:val="2590EB"/>
    </w:rPr>
  </w:style>
  <w:style w:type="character" w:customStyle="1" w:styleId="79">
    <w:name w:val="hover2"/>
    <w:basedOn w:val="29"/>
    <w:qFormat/>
    <w:uiPriority w:val="0"/>
    <w:rPr>
      <w:color w:val="2590EB"/>
    </w:rPr>
  </w:style>
  <w:style w:type="character" w:customStyle="1" w:styleId="80">
    <w:name w:val="hover3"/>
    <w:basedOn w:val="29"/>
    <w:qFormat/>
    <w:uiPriority w:val="0"/>
    <w:rPr>
      <w:color w:val="2590EB"/>
      <w:shd w:val="clear" w:fill="E9F4FD"/>
    </w:rPr>
  </w:style>
  <w:style w:type="character" w:customStyle="1" w:styleId="81">
    <w:name w:val="hover4"/>
    <w:basedOn w:val="29"/>
    <w:qFormat/>
    <w:uiPriority w:val="0"/>
    <w:rPr>
      <w:color w:val="2590EB"/>
      <w:shd w:val="clear" w:fill="E9F4FD"/>
    </w:rPr>
  </w:style>
  <w:style w:type="paragraph" w:customStyle="1" w:styleId="8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Pages>78</Pages>
  <Words>15574</Words>
  <Characters>16876</Characters>
  <Lines>244</Lines>
  <Paragraphs>68</Paragraphs>
  <TotalTime>39</TotalTime>
  <ScaleCrop>false</ScaleCrop>
  <LinksUpToDate>false</LinksUpToDate>
  <CharactersWithSpaces>17075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2019-05-06T22:32:00Z</dcterms:created>
  <dc:creator>倪荣</dc:creator>
  <cp:lastModifiedBy>傻傻一辈子</cp:lastModifiedBy>
  <cp:lastPrinted>2019-12-07T23:18:00Z</cp:lastPrinted>
  <dcterms:modified xsi:type="dcterms:W3CDTF">2026-08-28T03:52:40Z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E048D5A8689A4DAE917604F3B18678FE_13</vt:lpwstr>
  </property>
  <property fmtid="{D5CDD505-2E9C-101B-9397-08002B2CF9AE}" pid="4" name="KSOTemplateDocerSaveRecord">
    <vt:lpwstr>eyJoZGlkIjoiMTljMDcwYWJmYjExZWQzNTVmZDAzZTYwM2JlMzJmZDYiLCJ1c2VySWQiOiIzODU2Mzk2OTQifQ==</vt:lpwstr>
  </property>
</Properties>
</file>