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6A82B">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r>
        <w:rPr>
          <w:rFonts w:hint="eastAsia" w:ascii="宋体" w:hAnsi="宋体" w:eastAsia="宋体"/>
          <w:b/>
          <w:bCs/>
          <w:color w:val="auto"/>
          <w:sz w:val="52"/>
          <w:szCs w:val="52"/>
          <w:highlight w:val="none"/>
          <w:lang w:val="en-US" w:eastAsia="zh-CN"/>
        </w:rPr>
        <w:t xml:space="preserve"> </w:t>
      </w:r>
    </w:p>
    <w:p w14:paraId="55320482">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77D825B7">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41E8562C">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货物类</w:t>
      </w:r>
      <w:r>
        <w:rPr>
          <w:rFonts w:hint="eastAsia" w:ascii="宋体" w:hAnsi="宋体" w:eastAsia="宋体"/>
          <w:b/>
          <w:bCs/>
          <w:color w:val="auto"/>
          <w:sz w:val="52"/>
          <w:szCs w:val="52"/>
          <w:highlight w:val="none"/>
          <w:lang w:eastAsia="zh-CN"/>
        </w:rPr>
        <w:t>）</w:t>
      </w:r>
    </w:p>
    <w:p w14:paraId="5867FCE2">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19DE0D3D">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34FD8A2">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7771DE0F">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5380A41C">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61622F0F">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71767F44">
      <w:pPr>
        <w:tabs>
          <w:tab w:val="left" w:pos="2410"/>
        </w:tabs>
        <w:autoSpaceDE w:val="0"/>
        <w:autoSpaceDN w:val="0"/>
        <w:adjustRightInd w:val="0"/>
        <w:snapToGrid w:val="0"/>
        <w:spacing w:line="360" w:lineRule="auto"/>
        <w:ind w:left="2444" w:leftChars="304" w:right="-313" w:rightChars="-149" w:hanging="1806" w:hangingChars="5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val="en-US" w:eastAsia="zh-CN"/>
        </w:rPr>
        <w:t>滁州职业技术学院实验室智能化管控与服务平台项目</w:t>
      </w:r>
    </w:p>
    <w:p w14:paraId="3F110F0C">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项目编号：</w:t>
      </w:r>
      <w:r>
        <w:rPr>
          <w:rFonts w:hint="default" w:ascii="宋体" w:hAnsi="宋体" w:eastAsia="宋体"/>
          <w:b/>
          <w:color w:val="auto"/>
          <w:spacing w:val="20"/>
          <w:kern w:val="0"/>
          <w:sz w:val="32"/>
          <w:szCs w:val="32"/>
          <w:highlight w:val="none"/>
          <w:u w:val="single"/>
          <w:lang w:val="en-US"/>
        </w:rPr>
        <w:t>czsjcg202609-017</w:t>
      </w:r>
    </w:p>
    <w:p w14:paraId="6F953714">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滁州职业技术学院</w:t>
      </w:r>
    </w:p>
    <w:p w14:paraId="1C94B61E">
      <w:pPr>
        <w:tabs>
          <w:tab w:val="left" w:pos="2410"/>
        </w:tabs>
        <w:autoSpaceDE w:val="0"/>
        <w:autoSpaceDN w:val="0"/>
        <w:adjustRightInd w:val="0"/>
        <w:snapToGrid w:val="0"/>
        <w:spacing w:line="360" w:lineRule="auto"/>
        <w:ind w:right="-313" w:rightChars="-149" w:firstLine="723" w:firstLineChars="200"/>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滁州市城投工程咨询管理有限公司</w:t>
      </w:r>
    </w:p>
    <w:p w14:paraId="011B9CE2">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2AF0A14D">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09</w:t>
      </w:r>
      <w:r>
        <w:rPr>
          <w:rFonts w:hint="eastAsia" w:ascii="宋体" w:hAnsi="宋体" w:eastAsia="宋体"/>
          <w:b/>
          <w:color w:val="auto"/>
          <w:sz w:val="36"/>
          <w:highlight w:val="none"/>
        </w:rPr>
        <w:t>月</w:t>
      </w:r>
      <w:r>
        <w:rPr>
          <w:rFonts w:ascii="宋体" w:hAnsi="宋体" w:eastAsia="宋体"/>
          <w:b/>
          <w:color w:val="auto"/>
          <w:sz w:val="36"/>
          <w:highlight w:val="none"/>
        </w:rPr>
        <w:br w:type="page"/>
      </w:r>
    </w:p>
    <w:p w14:paraId="347146C1">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5EF6A05C">
      <w:pPr>
        <w:pStyle w:val="20"/>
        <w:tabs>
          <w:tab w:val="right" w:leader="dot" w:pos="8306"/>
        </w:tabs>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color w:val="auto"/>
          <w:highlight w:val="none"/>
        </w:rPr>
        <w:fldChar w:fldCharType="begin"/>
      </w:r>
      <w:r>
        <w:rPr>
          <w:color w:val="auto"/>
          <w:highlight w:val="none"/>
        </w:rPr>
        <w:instrText xml:space="preserve"> HYPERLINK \l _Toc23443 </w:instrText>
      </w:r>
      <w:r>
        <w:rPr>
          <w:color w:val="auto"/>
          <w:highlight w:val="none"/>
        </w:rPr>
        <w:fldChar w:fldCharType="separate"/>
      </w:r>
      <w:r>
        <w:rPr>
          <w:rFonts w:hint="eastAsia"/>
          <w:color w:val="auto"/>
          <w:highlight w:val="none"/>
        </w:rPr>
        <w:t xml:space="preserve">第一章 </w:t>
      </w:r>
      <w:r>
        <w:rPr>
          <w:color w:val="auto"/>
          <w:highlight w:val="none"/>
        </w:rPr>
        <w:t xml:space="preserve"> 投标邀请</w:t>
      </w:r>
      <w:r>
        <w:rPr>
          <w:color w:val="auto"/>
          <w:highlight w:val="none"/>
        </w:rPr>
        <w:tab/>
      </w:r>
      <w:r>
        <w:rPr>
          <w:color w:val="auto"/>
          <w:highlight w:val="none"/>
        </w:rPr>
        <w:fldChar w:fldCharType="begin"/>
      </w:r>
      <w:r>
        <w:rPr>
          <w:color w:val="auto"/>
          <w:highlight w:val="none"/>
        </w:rPr>
        <w:instrText xml:space="preserve"> PAGEREF _Toc23443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191A3B79">
      <w:pPr>
        <w:pStyle w:val="20"/>
        <w:tabs>
          <w:tab w:val="right" w:leader="dot" w:pos="8306"/>
        </w:tabs>
        <w:rPr>
          <w:color w:val="auto"/>
          <w:highlight w:val="none"/>
        </w:rPr>
      </w:pPr>
      <w:r>
        <w:rPr>
          <w:color w:val="auto"/>
          <w:highlight w:val="none"/>
        </w:rPr>
        <w:fldChar w:fldCharType="begin"/>
      </w:r>
      <w:r>
        <w:rPr>
          <w:color w:val="auto"/>
          <w:highlight w:val="none"/>
        </w:rPr>
        <w:instrText xml:space="preserve"> HYPERLINK \l _Toc31935 </w:instrText>
      </w:r>
      <w:r>
        <w:rPr>
          <w:color w:val="auto"/>
          <w:highlight w:val="none"/>
        </w:rPr>
        <w:fldChar w:fldCharType="separate"/>
      </w:r>
      <w:r>
        <w:rPr>
          <w:rFonts w:hint="eastAsia"/>
          <w:color w:val="auto"/>
          <w:highlight w:val="none"/>
        </w:rPr>
        <w:t>第二章</w:t>
      </w:r>
      <w:r>
        <w:rPr>
          <w:color w:val="auto"/>
          <w:highlight w:val="none"/>
        </w:rPr>
        <w:t xml:space="preserve"> </w:t>
      </w:r>
      <w:r>
        <w:rPr>
          <w:rFonts w:hint="eastAsia"/>
          <w:color w:val="auto"/>
          <w:highlight w:val="none"/>
        </w:rPr>
        <w:t xml:space="preserve"> </w:t>
      </w:r>
      <w:r>
        <w:rPr>
          <w:color w:val="auto"/>
          <w:highlight w:val="none"/>
        </w:rPr>
        <w:t>投标人须知</w:t>
      </w:r>
      <w:r>
        <w:rPr>
          <w:color w:val="auto"/>
          <w:highlight w:val="none"/>
        </w:rPr>
        <w:tab/>
      </w:r>
      <w:r>
        <w:rPr>
          <w:rFonts w:hint="eastAsia"/>
          <w:color w:val="auto"/>
          <w:highlight w:val="none"/>
          <w:lang w:val="en-US" w:eastAsia="zh-CN"/>
        </w:rPr>
        <w:t>4</w:t>
      </w:r>
      <w:r>
        <w:rPr>
          <w:color w:val="auto"/>
          <w:highlight w:val="none"/>
        </w:rPr>
        <w:fldChar w:fldCharType="end"/>
      </w:r>
    </w:p>
    <w:p w14:paraId="263B7E9C">
      <w:pPr>
        <w:pStyle w:val="20"/>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_Toc10891 </w:instrText>
      </w:r>
      <w:r>
        <w:rPr>
          <w:color w:val="auto"/>
          <w:highlight w:val="none"/>
        </w:rPr>
        <w:fldChar w:fldCharType="separate"/>
      </w:r>
      <w:r>
        <w:rPr>
          <w:rFonts w:hint="eastAsia"/>
          <w:color w:val="auto"/>
          <w:highlight w:val="none"/>
        </w:rPr>
        <w:t>第三章  采购需求</w:t>
      </w:r>
      <w:r>
        <w:rPr>
          <w:color w:val="auto"/>
          <w:highlight w:val="none"/>
        </w:rPr>
        <w:tab/>
      </w:r>
      <w:r>
        <w:rPr>
          <w:rFonts w:hint="eastAsia"/>
          <w:color w:val="auto"/>
          <w:highlight w:val="none"/>
          <w:lang w:val="en-US" w:eastAsia="zh-CN"/>
        </w:rPr>
        <w:t>2</w:t>
      </w:r>
      <w:r>
        <w:rPr>
          <w:color w:val="auto"/>
          <w:highlight w:val="none"/>
        </w:rPr>
        <w:fldChar w:fldCharType="end"/>
      </w:r>
      <w:r>
        <w:rPr>
          <w:rFonts w:hint="eastAsia"/>
          <w:color w:val="auto"/>
          <w:highlight w:val="none"/>
          <w:lang w:val="en-US" w:eastAsia="zh-CN"/>
        </w:rPr>
        <w:t>4</w:t>
      </w:r>
    </w:p>
    <w:p w14:paraId="271560F6">
      <w:pPr>
        <w:pStyle w:val="20"/>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_Toc16417 </w:instrText>
      </w:r>
      <w:r>
        <w:rPr>
          <w:color w:val="auto"/>
          <w:highlight w:val="none"/>
        </w:rPr>
        <w:fldChar w:fldCharType="separate"/>
      </w:r>
      <w:r>
        <w:rPr>
          <w:rFonts w:hint="eastAsia"/>
          <w:color w:val="auto"/>
          <w:highlight w:val="none"/>
        </w:rPr>
        <w:t>第四章  评标方法和标准（综合评分法）</w:t>
      </w:r>
      <w:r>
        <w:rPr>
          <w:color w:val="auto"/>
          <w:highlight w:val="none"/>
        </w:rPr>
        <w:tab/>
      </w:r>
      <w:r>
        <w:rPr>
          <w:rFonts w:hint="eastAsia"/>
          <w:color w:val="auto"/>
          <w:highlight w:val="none"/>
          <w:lang w:val="en-US" w:eastAsia="zh-CN"/>
        </w:rPr>
        <w:t>6</w:t>
      </w:r>
      <w:r>
        <w:rPr>
          <w:color w:val="auto"/>
          <w:highlight w:val="none"/>
        </w:rPr>
        <w:fldChar w:fldCharType="end"/>
      </w:r>
      <w:r>
        <w:rPr>
          <w:rFonts w:hint="eastAsia"/>
          <w:color w:val="auto"/>
          <w:highlight w:val="none"/>
          <w:lang w:val="en-US" w:eastAsia="zh-CN"/>
        </w:rPr>
        <w:t>5</w:t>
      </w:r>
    </w:p>
    <w:p w14:paraId="234B5C6B">
      <w:pPr>
        <w:pStyle w:val="20"/>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_Toc4682 </w:instrText>
      </w:r>
      <w:r>
        <w:rPr>
          <w:color w:val="auto"/>
          <w:highlight w:val="none"/>
        </w:rPr>
        <w:fldChar w:fldCharType="separate"/>
      </w:r>
      <w:r>
        <w:rPr>
          <w:rFonts w:hint="eastAsia"/>
          <w:color w:val="auto"/>
          <w:highlight w:val="none"/>
        </w:rPr>
        <w:t xml:space="preserve">第五章  </w:t>
      </w:r>
      <w:r>
        <w:rPr>
          <w:color w:val="auto"/>
          <w:highlight w:val="none"/>
        </w:rPr>
        <w:t>政府采购合同</w:t>
      </w:r>
      <w:r>
        <w:rPr>
          <w:color w:val="auto"/>
          <w:highlight w:val="none"/>
        </w:rPr>
        <w:tab/>
      </w:r>
      <w:r>
        <w:rPr>
          <w:rFonts w:hint="eastAsia"/>
          <w:color w:val="auto"/>
          <w:highlight w:val="none"/>
          <w:lang w:val="en-US" w:eastAsia="zh-CN"/>
        </w:rPr>
        <w:t>7</w:t>
      </w:r>
      <w:r>
        <w:rPr>
          <w:color w:val="auto"/>
          <w:highlight w:val="none"/>
        </w:rPr>
        <w:fldChar w:fldCharType="end"/>
      </w:r>
      <w:r>
        <w:rPr>
          <w:rFonts w:hint="eastAsia"/>
          <w:color w:val="auto"/>
          <w:highlight w:val="none"/>
          <w:lang w:val="en-US" w:eastAsia="zh-CN"/>
        </w:rPr>
        <w:t>4</w:t>
      </w:r>
    </w:p>
    <w:p w14:paraId="7C1176E1">
      <w:pPr>
        <w:pStyle w:val="20"/>
        <w:tabs>
          <w:tab w:val="right" w:leader="dot" w:pos="8306"/>
        </w:tabs>
        <w:rPr>
          <w:rFonts w:hint="eastAsia"/>
          <w:color w:val="auto"/>
          <w:highlight w:val="none"/>
          <w:lang w:val="en-US" w:eastAsia="zh-CN"/>
        </w:rPr>
      </w:pPr>
      <w:r>
        <w:rPr>
          <w:color w:val="auto"/>
          <w:highlight w:val="none"/>
        </w:rPr>
        <w:fldChar w:fldCharType="begin"/>
      </w:r>
      <w:r>
        <w:rPr>
          <w:color w:val="auto"/>
          <w:highlight w:val="none"/>
        </w:rPr>
        <w:instrText xml:space="preserve"> HYPERLINK \l _Toc22492 </w:instrText>
      </w:r>
      <w:r>
        <w:rPr>
          <w:color w:val="auto"/>
          <w:highlight w:val="none"/>
        </w:rPr>
        <w:fldChar w:fldCharType="separate"/>
      </w:r>
      <w:r>
        <w:rPr>
          <w:rFonts w:hint="eastAsia"/>
          <w:color w:val="auto"/>
          <w:highlight w:val="none"/>
        </w:rPr>
        <w:t>第六章  投标文件格式</w:t>
      </w:r>
      <w:r>
        <w:rPr>
          <w:color w:val="auto"/>
          <w:highlight w:val="none"/>
        </w:rPr>
        <w:tab/>
      </w:r>
      <w:r>
        <w:rPr>
          <w:rFonts w:hint="eastAsia"/>
          <w:color w:val="auto"/>
          <w:highlight w:val="none"/>
          <w:lang w:val="en-US" w:eastAsia="zh-CN"/>
        </w:rPr>
        <w:t>9</w:t>
      </w:r>
      <w:r>
        <w:rPr>
          <w:color w:val="auto"/>
          <w:highlight w:val="none"/>
        </w:rPr>
        <w:fldChar w:fldCharType="end"/>
      </w:r>
      <w:r>
        <w:rPr>
          <w:rFonts w:hint="eastAsia"/>
          <w:color w:val="auto"/>
          <w:highlight w:val="none"/>
          <w:lang w:val="en-US" w:eastAsia="zh-CN"/>
        </w:rPr>
        <w:t>4</w:t>
      </w:r>
    </w:p>
    <w:p w14:paraId="024CAFFC">
      <w:pPr>
        <w:pStyle w:val="20"/>
        <w:tabs>
          <w:tab w:val="right" w:leader="dot" w:pos="8306"/>
        </w:tabs>
        <w:rPr>
          <w:rFonts w:hint="default"/>
          <w:color w:val="auto"/>
          <w:highlight w:val="none"/>
          <w:lang w:val="en-US" w:eastAsia="zh-CN"/>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_Toc18131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val="en-US" w:eastAsia="zh-CN"/>
        </w:rPr>
        <w:t>七</w:t>
      </w:r>
      <w:r>
        <w:rPr>
          <w:rFonts w:hint="eastAsia" w:asciiTheme="minorEastAsia" w:hAnsiTheme="minorEastAsia" w:eastAsiaTheme="minorEastAsia"/>
          <w:color w:val="auto"/>
          <w:highlight w:val="none"/>
        </w:rPr>
        <w:t>章</w:t>
      </w:r>
      <w:r>
        <w:rPr>
          <w:rFonts w:hint="eastAsia" w:ascii="宋体" w:hAnsi="宋体" w:eastAsia="宋体"/>
          <w:bCs/>
          <w:color w:val="auto"/>
          <w:highlight w:val="none"/>
        </w:rPr>
        <w:t xml:space="preserve">  政府采购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rFonts w:hint="eastAsia"/>
          <w:color w:val="auto"/>
          <w:highlight w:val="none"/>
          <w:lang w:val="en-US" w:eastAsia="zh-CN"/>
        </w:rPr>
        <w:t>1</w:t>
      </w:r>
      <w:r>
        <w:rPr>
          <w:rFonts w:asciiTheme="minorEastAsia" w:hAnsiTheme="minorEastAsia" w:eastAsiaTheme="minorEastAsia"/>
          <w:color w:val="auto"/>
          <w:szCs w:val="24"/>
          <w:highlight w:val="none"/>
        </w:rPr>
        <w:fldChar w:fldCharType="end"/>
      </w:r>
      <w:r>
        <w:rPr>
          <w:rFonts w:hint="eastAsia"/>
          <w:color w:val="auto"/>
          <w:highlight w:val="none"/>
          <w:lang w:val="en-US" w:eastAsia="zh-CN"/>
        </w:rPr>
        <w:t>09</w:t>
      </w:r>
    </w:p>
    <w:p w14:paraId="16CBBC0F">
      <w:pPr>
        <w:spacing w:line="360" w:lineRule="auto"/>
        <w:jc w:val="center"/>
        <w:outlineLvl w:val="0"/>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fldChar w:fldCharType="end"/>
      </w:r>
      <w:bookmarkStart w:id="1" w:name="_Toc23443"/>
    </w:p>
    <w:p w14:paraId="4E65A230">
      <w:pPr>
        <w:pStyle w:val="20"/>
        <w:tabs>
          <w:tab w:val="right" w:leader="dot" w:pos="8306"/>
        </w:tabs>
        <w:rPr>
          <w:rFonts w:hint="eastAsia" w:asciiTheme="minorEastAsia" w:hAnsiTheme="minorEastAsia" w:eastAsiaTheme="minorEastAsia"/>
          <w:b/>
          <w:color w:val="auto"/>
          <w:sz w:val="28"/>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6B5B5C16">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7936E386">
      <w:pPr>
        <w:keepNext/>
        <w:keepLines/>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项目概况</w:t>
      </w:r>
    </w:p>
    <w:p w14:paraId="57A02490">
      <w:pPr>
        <w:keepNext/>
        <w:keepLines/>
        <w:pageBreakBefore w:val="0"/>
        <w:widowControl w:val="0"/>
        <w:suppressLineNumbers w:val="0"/>
        <w:kinsoku/>
        <w:wordWrap w:val="0"/>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b w:val="0"/>
          <w:color w:val="auto"/>
          <w:kern w:val="2"/>
          <w:sz w:val="24"/>
          <w:szCs w:val="24"/>
          <w:highlight w:val="none"/>
          <w:u w:val="single"/>
          <w:lang w:val="en-US" w:eastAsia="zh-CN" w:bidi="ar"/>
        </w:rPr>
        <w:t>滁州职业技术学院实验室智能化管控与服务平台项目</w:t>
      </w:r>
      <w:r>
        <w:rPr>
          <w:rFonts w:hint="eastAsia" w:ascii="宋体" w:hAnsi="宋体" w:eastAsia="宋体" w:cs="宋体"/>
          <w:color w:val="auto"/>
          <w:kern w:val="2"/>
          <w:sz w:val="24"/>
          <w:szCs w:val="24"/>
          <w:highlight w:val="none"/>
          <w:lang w:val="en-US" w:eastAsia="zh-CN" w:bidi="ar"/>
        </w:rPr>
        <w:t>的潜在投标人应在</w:t>
      </w:r>
      <w:r>
        <w:rPr>
          <w:rFonts w:hint="eastAsia" w:ascii="宋体" w:hAnsi="宋体" w:eastAsia="宋体" w:cs="宋体"/>
          <w:color w:val="auto"/>
          <w:kern w:val="2"/>
          <w:sz w:val="24"/>
          <w:szCs w:val="24"/>
          <w:highlight w:val="none"/>
          <w:u w:val="single"/>
          <w:lang w:val="en-US" w:eastAsia="zh-CN" w:bidi="ar"/>
        </w:rPr>
        <w:t>滁州市公共资源交易中心网（http：//ggzy.chuzhou.gov.cn/）</w:t>
      </w:r>
      <w:r>
        <w:rPr>
          <w:rFonts w:hint="eastAsia" w:ascii="宋体" w:hAnsi="宋体" w:eastAsia="宋体" w:cs="宋体"/>
          <w:color w:val="auto"/>
          <w:kern w:val="2"/>
          <w:sz w:val="24"/>
          <w:szCs w:val="24"/>
          <w:highlight w:val="none"/>
          <w:lang w:val="en-US" w:eastAsia="zh-CN" w:bidi="ar"/>
        </w:rPr>
        <w:t>获取招标文件，并于</w:t>
      </w:r>
      <w:r>
        <w:rPr>
          <w:rFonts w:hint="eastAsia" w:ascii="宋体" w:hAnsi="宋体" w:eastAsia="宋体" w:cs="宋体"/>
          <w:color w:val="auto"/>
          <w:kern w:val="2"/>
          <w:sz w:val="24"/>
          <w:szCs w:val="24"/>
          <w:highlight w:val="none"/>
          <w:u w:val="single"/>
          <w:lang w:val="en-US" w:eastAsia="zh-CN" w:bidi="ar"/>
        </w:rPr>
        <w:t>2026年9月29日8点30分</w:t>
      </w:r>
      <w:r>
        <w:rPr>
          <w:rFonts w:hint="eastAsia" w:ascii="宋体" w:hAnsi="宋体" w:eastAsia="宋体" w:cs="宋体"/>
          <w:color w:val="auto"/>
          <w:kern w:val="2"/>
          <w:sz w:val="24"/>
          <w:szCs w:val="24"/>
          <w:highlight w:val="none"/>
          <w:lang w:val="en-US" w:eastAsia="zh-CN" w:bidi="ar"/>
        </w:rPr>
        <w:t>（北京时间）前递交投标文件。</w:t>
      </w:r>
    </w:p>
    <w:p w14:paraId="2D56A207">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一、项目基本情况</w:t>
      </w:r>
    </w:p>
    <w:p w14:paraId="238A16CD">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项目编号：czsjcg202609-017</w:t>
      </w:r>
    </w:p>
    <w:p w14:paraId="79697DB4">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项目名称：滁州职业技术学院实验室智能化管控与服务平台项目</w:t>
      </w:r>
    </w:p>
    <w:p w14:paraId="47CE6835">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预算金额：600000.00元</w:t>
      </w:r>
    </w:p>
    <w:p w14:paraId="0DF6480E">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最高限价：600000.00元，投标报价不得高于最高限价，否则按无效投标处理。</w:t>
      </w:r>
    </w:p>
    <w:p w14:paraId="7DBF10C7">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采购需求：实验室智能化管控与服务平台采购。</w:t>
      </w:r>
    </w:p>
    <w:p w14:paraId="3F65015E">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合同履行期限：</w:t>
      </w:r>
      <w:r>
        <w:rPr>
          <w:rFonts w:hint="eastAsia" w:asciiTheme="minorEastAsia" w:hAnsiTheme="minorEastAsia" w:eastAsiaTheme="minorEastAsia"/>
          <w:color w:val="auto"/>
          <w:sz w:val="24"/>
          <w:highlight w:val="none"/>
          <w:u w:val="single"/>
        </w:rPr>
        <w:t>自合同签订生效后，</w:t>
      </w:r>
      <w:r>
        <w:rPr>
          <w:rFonts w:hint="eastAsia" w:asciiTheme="minorEastAsia" w:hAnsiTheme="minorEastAsia" w:eastAsiaTheme="minorEastAsia"/>
          <w:color w:val="auto"/>
          <w:sz w:val="24"/>
          <w:highlight w:val="none"/>
          <w:u w:val="single"/>
          <w:lang w:eastAsia="zh-CN"/>
        </w:rPr>
        <w:t>接到采购人通知之日起50个日历天内完</w:t>
      </w:r>
      <w:r>
        <w:rPr>
          <w:rFonts w:hint="eastAsia" w:asciiTheme="minorEastAsia" w:hAnsiTheme="minorEastAsia" w:eastAsiaTheme="minorEastAsia"/>
          <w:color w:val="auto"/>
          <w:sz w:val="24"/>
          <w:highlight w:val="none"/>
          <w:u w:val="single"/>
        </w:rPr>
        <w:t>成货物的供货、安装、调试工作，并验收合格交付使用</w:t>
      </w:r>
      <w:r>
        <w:rPr>
          <w:rFonts w:hint="eastAsia" w:ascii="宋体" w:hAnsi="宋体" w:eastAsia="宋体" w:cs="宋体"/>
          <w:color w:val="auto"/>
          <w:kern w:val="2"/>
          <w:sz w:val="24"/>
          <w:szCs w:val="24"/>
          <w:highlight w:val="none"/>
          <w:lang w:val="en-US" w:eastAsia="zh-CN" w:bidi="ar"/>
        </w:rPr>
        <w:t>。</w:t>
      </w:r>
    </w:p>
    <w:p w14:paraId="37E60E3D">
      <w:pPr>
        <w:pageBreakBefore w:val="0"/>
        <w:widowControl w:val="0"/>
        <w:tabs>
          <w:tab w:val="left" w:pos="2410"/>
        </w:tabs>
        <w:kinsoku/>
        <w:overflowPunct/>
        <w:topLinePunct w:val="0"/>
        <w:autoSpaceDE w:val="0"/>
        <w:autoSpaceDN w:val="0"/>
        <w:bidi w:val="0"/>
        <w:adjustRightInd w:val="0"/>
        <w:snapToGrid w:val="0"/>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本项目不接受联合体投标。</w:t>
      </w:r>
    </w:p>
    <w:p w14:paraId="56BD6B60">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二、申请人的资格要求</w:t>
      </w:r>
    </w:p>
    <w:p w14:paraId="01D246D1">
      <w:pPr>
        <w:spacing w:line="420" w:lineRule="exact"/>
        <w:ind w:firstLine="435"/>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1.满足《中华人民共和国政府采购法》第二十二条规定；</w:t>
      </w:r>
    </w:p>
    <w:p w14:paraId="0F07334E">
      <w:pPr>
        <w:spacing w:line="420" w:lineRule="exact"/>
        <w:ind w:firstLine="435"/>
        <w:rPr>
          <w:rFonts w:hint="eastAsia" w:ascii="宋体" w:hAnsi="宋体" w:eastAsia="宋体" w:cs="宋体"/>
          <w:color w:val="auto"/>
          <w:kern w:val="2"/>
          <w:sz w:val="24"/>
          <w:szCs w:val="24"/>
          <w:highlight w:val="none"/>
          <w:u w:val="none"/>
        </w:rPr>
      </w:pPr>
      <w:r>
        <w:rPr>
          <w:rFonts w:hint="eastAsia" w:ascii="宋体" w:hAnsi="宋体" w:eastAsia="宋体" w:cs="宋体"/>
          <w:color w:val="auto"/>
          <w:kern w:val="2"/>
          <w:sz w:val="24"/>
          <w:szCs w:val="24"/>
          <w:highlight w:val="none"/>
          <w:lang w:val="en-US" w:eastAsia="zh-CN" w:bidi="ar"/>
        </w:rPr>
        <w:t>2.落实政府采购政策需满足的资格要求：按照财政部、工业和信息化部制定的《政府采购促进中小企业发展管理办法》，本项目为专门面向中小企业采购项目。企业划型标准按照《关于印发中小企业划型标准规定的通知》（工信部联企业〔2011〕300号）规定执行；</w:t>
      </w:r>
    </w:p>
    <w:p w14:paraId="4CCCC7D8">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default"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3.本项目的特定资格要求：/；</w:t>
      </w:r>
    </w:p>
    <w:p w14:paraId="4B7FB1DE">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三、获取招标文件</w:t>
      </w:r>
    </w:p>
    <w:p w14:paraId="74816791">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时间：</w:t>
      </w:r>
      <w:r>
        <w:rPr>
          <w:rFonts w:hint="eastAsia" w:ascii="宋体" w:hAnsi="宋体" w:eastAsia="宋体" w:cs="宋体"/>
          <w:color w:val="auto"/>
          <w:kern w:val="2"/>
          <w:sz w:val="24"/>
          <w:szCs w:val="24"/>
          <w:highlight w:val="none"/>
          <w:u w:val="single"/>
          <w:lang w:val="en-US" w:eastAsia="zh-CN" w:bidi="ar"/>
        </w:rPr>
        <w:t>2026年9月8日</w:t>
      </w:r>
      <w:r>
        <w:rPr>
          <w:rFonts w:hint="eastAsia" w:ascii="宋体" w:hAnsi="宋体" w:eastAsia="宋体" w:cs="宋体"/>
          <w:color w:val="auto"/>
          <w:kern w:val="2"/>
          <w:sz w:val="24"/>
          <w:szCs w:val="24"/>
          <w:highlight w:val="none"/>
          <w:lang w:val="en-US" w:eastAsia="zh-CN" w:bidi="ar"/>
        </w:rPr>
        <w:t>至</w:t>
      </w:r>
      <w:r>
        <w:rPr>
          <w:rFonts w:hint="eastAsia" w:ascii="宋体" w:hAnsi="宋体" w:eastAsia="宋体" w:cs="宋体"/>
          <w:color w:val="auto"/>
          <w:kern w:val="2"/>
          <w:sz w:val="24"/>
          <w:szCs w:val="24"/>
          <w:highlight w:val="none"/>
          <w:u w:val="single"/>
          <w:lang w:val="en-US" w:eastAsia="zh-CN" w:bidi="ar"/>
        </w:rPr>
        <w:t>2026年9月29日（提供期限自本公告发布之日起不得少于5个工作日）</w:t>
      </w:r>
    </w:p>
    <w:p w14:paraId="0AEB1E86">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地点：滁州市公共资源交易中心网</w:t>
      </w:r>
    </w:p>
    <w:p w14:paraId="64D9B7B2">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u w:val="single"/>
        </w:rPr>
      </w:pPr>
      <w:r>
        <w:rPr>
          <w:rFonts w:hint="eastAsia" w:ascii="宋体" w:hAnsi="宋体" w:eastAsia="宋体" w:cs="宋体"/>
          <w:color w:val="auto"/>
          <w:kern w:val="2"/>
          <w:sz w:val="24"/>
          <w:szCs w:val="24"/>
          <w:highlight w:val="none"/>
          <w:lang w:val="en-US" w:eastAsia="zh-CN" w:bidi="ar"/>
        </w:rPr>
        <w:t>方式：网上下载</w:t>
      </w:r>
    </w:p>
    <w:p w14:paraId="56CFCA46">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54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售价：0元</w:t>
      </w:r>
    </w:p>
    <w:p w14:paraId="69E74B10">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四、提交投标文件截止时间、开标时间和地点</w:t>
      </w:r>
    </w:p>
    <w:p w14:paraId="79AABD36">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lang w:val="en-US" w:eastAsia="zh-CN" w:bidi="ar"/>
        </w:rPr>
        <w:t>2026年9月29日8点30分</w:t>
      </w:r>
      <w:r>
        <w:rPr>
          <w:rFonts w:hint="eastAsia" w:ascii="宋体" w:hAnsi="宋体" w:eastAsia="宋体" w:cs="宋体"/>
          <w:color w:val="auto"/>
          <w:kern w:val="0"/>
          <w:sz w:val="24"/>
          <w:szCs w:val="24"/>
          <w:highlight w:val="none"/>
          <w:lang w:val="en-US" w:eastAsia="zh-CN" w:bidi="ar"/>
        </w:rPr>
        <w:t>（北京时间）（自招标文件开始发出之日起至投标人提交投标文件截止之日止，不得少于20日）</w:t>
      </w:r>
    </w:p>
    <w:p w14:paraId="14671949">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地点：</w:t>
      </w:r>
      <w:r>
        <w:rPr>
          <w:rFonts w:hint="eastAsia" w:ascii="宋体" w:hAnsi="宋体" w:eastAsia="宋体" w:cs="宋体"/>
          <w:color w:val="auto"/>
          <w:kern w:val="2"/>
          <w:sz w:val="24"/>
          <w:szCs w:val="24"/>
          <w:highlight w:val="none"/>
          <w:lang w:val="en-US" w:eastAsia="zh-CN" w:bidi="ar"/>
        </w:rPr>
        <w:t>滁州市公共资源交易平台电子交易系统</w:t>
      </w:r>
    </w:p>
    <w:p w14:paraId="64722055">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五、公告期限</w:t>
      </w:r>
    </w:p>
    <w:p w14:paraId="65EE9B5E">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bidi="ar"/>
        </w:rPr>
        <w:t>自本公告发布之日起5个工作日。</w:t>
      </w:r>
    </w:p>
    <w:p w14:paraId="139DC6E4">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六、其他补充事宜</w:t>
      </w:r>
    </w:p>
    <w:p w14:paraId="08C29ADB">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本项目只接受在安徽省公共资源交易市场主体库（http://ggzy.ah.gov.cn/ahggfwpt-zhutiku/dengludenglu）登记并进行信息确认提交的投标人投标，未登记的投标人请及时办理CA数字证书并登录安徽省公共资源交易市场主体库进行信息填写及确认提交；已办理过CA数字证书视为已在省库登记，进行信息更新及确认提交即可。办理流程为登录滁州市公共资源交易中心网&gt;服务指南&gt;办事指南中的“CA数字证书和电子签章”及“市场主体登记”。</w:t>
      </w:r>
      <w:r>
        <w:rPr>
          <w:rFonts w:hint="eastAsia" w:ascii="宋体" w:hAnsi="宋体" w:eastAsia="宋体"/>
          <w:color w:val="auto"/>
          <w:sz w:val="24"/>
          <w:szCs w:val="24"/>
          <w:highlight w:val="none"/>
        </w:rPr>
        <w:t>相关服务电话：（1）安徽省公共资源交易市场主体库使用相关问题（系统登录、信息登记、录入及提交、数字证书关联等）：010-86483801转5-2；（2）CA数字证书有关问题：安徽CA客服400-615-8899、0550-3019013（工作日）,CFCA客服025-66085508、0550-3801669（工作日）；（3）市场主体招标环节和投标环节系统使用问题：0512-58188516（8:00-21:00）、0550-3801701（工作日）</w:t>
      </w:r>
      <w:r>
        <w:rPr>
          <w:rFonts w:hint="eastAsia" w:ascii="宋体" w:hAnsi="宋体" w:eastAsia="宋体" w:cs="宋体"/>
          <w:color w:val="auto"/>
          <w:kern w:val="2"/>
          <w:sz w:val="24"/>
          <w:szCs w:val="24"/>
          <w:highlight w:val="none"/>
          <w:lang w:val="en-US" w:eastAsia="zh-CN" w:bidi="ar"/>
        </w:rPr>
        <w:t>。因未及时通过CA数字证书登录省主体库对相关信息进行补充完善并确认提交，导致无法投标的，责任自负。为保证系统使用过程中产生的问题能够及时得到解决，请各主体在工作时间进行主体信息登记、更新、投标文件制作等相关操作。</w:t>
      </w:r>
    </w:p>
    <w:p w14:paraId="4E7CB97C">
      <w:pPr>
        <w:keepNext w:val="0"/>
        <w:keepLines w:val="0"/>
        <w:pageBreakBefore w:val="0"/>
        <w:widowControl w:val="0"/>
        <w:suppressLineNumbers w:val="0"/>
        <w:kinsoku/>
        <w:overflowPunct/>
        <w:topLinePunct w:val="0"/>
        <w:bidi w:val="0"/>
        <w:spacing w:before="0" w:beforeAutospacing="0" w:after="0" w:afterAutospacing="0" w:line="420" w:lineRule="exact"/>
        <w:ind w:left="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2.请投标人登录滁州市公共资源交易中心网站查看参加本项目的程序。（具体操作步骤和程序请参见服务指南&gt;交易须知&gt;投标人填写投标信息、下载文件及网上提问操作手册）。</w:t>
      </w:r>
    </w:p>
    <w:p w14:paraId="4BE139A8">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本项目采用不见面开标（远程解密)方式，开标时投标人无须至开标现场进行解密，开标采取远程解密方式解密投标文件，投标人在开标时间前使用CA数字证书登录滁州市“不见面开标系统”，网址为https://ggzy.chuzhou.gov.cn/BidOpening,等待开标并按系统提示进行相应的投标人解密等事项，无需到开标现场。采用本方式可以观看开标现场音视频直播并进行互动交流。具体操作方法见中心网站&gt;服务指南&gt;交易须知中的《滁州市不见面开标系统操作手册》。</w:t>
      </w:r>
    </w:p>
    <w:p w14:paraId="75A9CC9C">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
        </w:rPr>
        <w:t>4.投标人接到远程解密指令后，须在规定时间内解密。因投标人自身原因导致投标文件在规定时间内未能解密、解密失败或解密超时，投标文件无效；因采购代理机构原因或网上平台发生故障，导致无法按时完成投标文件解密的，经采购代理机构申请后可延迟解密时间。</w:t>
      </w:r>
    </w:p>
    <w:p w14:paraId="6AA2BFB6">
      <w:pPr>
        <w:pageBreakBefore w:val="0"/>
        <w:widowControl w:val="0"/>
        <w:kinsoku/>
        <w:overflowPunct/>
        <w:topLinePunct w:val="0"/>
        <w:bidi w:val="0"/>
        <w:spacing w:line="420" w:lineRule="exact"/>
        <w:ind w:firstLine="437"/>
        <w:textAlignment w:val="auto"/>
        <w:outlineLvl w:val="1"/>
        <w:rPr>
          <w:rFonts w:hint="eastAsia" w:ascii="宋体" w:hAnsi="宋体" w:eastAsia="宋体" w:cstheme="minorBidi"/>
          <w:b/>
          <w:color w:val="auto"/>
          <w:kern w:val="0"/>
          <w:sz w:val="24"/>
          <w:highlight w:val="none"/>
          <w:lang w:val="en-US" w:eastAsia="zh-CN"/>
        </w:rPr>
      </w:pPr>
      <w:r>
        <w:rPr>
          <w:rFonts w:hint="eastAsia" w:ascii="宋体" w:hAnsi="宋体" w:eastAsia="宋体" w:cstheme="minorBidi"/>
          <w:b/>
          <w:color w:val="auto"/>
          <w:kern w:val="0"/>
          <w:sz w:val="24"/>
          <w:highlight w:val="none"/>
          <w:lang w:val="en-US" w:eastAsia="zh-CN"/>
        </w:rPr>
        <w:t>七、对本次招标提出询问，请按以下方式联系</w:t>
      </w:r>
    </w:p>
    <w:p w14:paraId="05770D4F">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1.采购人信息</w:t>
      </w:r>
    </w:p>
    <w:p w14:paraId="34725C08">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w:t>
      </w:r>
      <w:r>
        <w:rPr>
          <w:rFonts w:hint="eastAsia" w:ascii="宋体" w:hAnsi="宋体" w:eastAsia="宋体"/>
          <w:color w:val="auto"/>
          <w:sz w:val="24"/>
          <w:szCs w:val="18"/>
          <w:highlight w:val="none"/>
          <w:u w:val="none"/>
          <w:lang w:eastAsia="zh-CN"/>
        </w:rPr>
        <w:t>滁州职业技术学院</w:t>
      </w:r>
    </w:p>
    <w:p w14:paraId="46BC8291">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地  址：</w:t>
      </w:r>
      <w:r>
        <w:rPr>
          <w:rFonts w:hint="eastAsia" w:ascii="宋体" w:hAnsi="宋体" w:eastAsia="宋体"/>
          <w:color w:val="auto"/>
          <w:sz w:val="24"/>
          <w:szCs w:val="18"/>
          <w:highlight w:val="none"/>
          <w:u w:val="none"/>
          <w:lang w:eastAsia="zh-CN"/>
        </w:rPr>
        <w:t>滁州市南谯区丰乐大道2188号</w:t>
      </w:r>
    </w:p>
    <w:p w14:paraId="097BE3E3">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联系人：陈老师、李老师</w:t>
      </w:r>
    </w:p>
    <w:p w14:paraId="0A949C95">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联系方式：0550-3854662</w:t>
      </w:r>
    </w:p>
    <w:p w14:paraId="2438983F">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2.采购代理机构信息</w:t>
      </w:r>
    </w:p>
    <w:p w14:paraId="0DD8611D">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w:t>
      </w:r>
      <w:r>
        <w:rPr>
          <w:rFonts w:hint="eastAsia" w:ascii="宋体" w:hAnsi="宋体" w:eastAsia="宋体"/>
          <w:color w:val="auto"/>
          <w:sz w:val="24"/>
          <w:szCs w:val="18"/>
          <w:highlight w:val="none"/>
          <w:u w:val="none"/>
          <w:lang w:eastAsia="zh-CN"/>
        </w:rPr>
        <w:t>滁州市城投工程咨询管理有限公司</w:t>
      </w:r>
    </w:p>
    <w:p w14:paraId="421F51AA">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地  址：</w:t>
      </w:r>
      <w:r>
        <w:rPr>
          <w:rFonts w:hint="eastAsia" w:ascii="宋体" w:hAnsi="宋体" w:eastAsia="宋体"/>
          <w:color w:val="auto"/>
          <w:sz w:val="24"/>
          <w:szCs w:val="18"/>
          <w:highlight w:val="none"/>
          <w:u w:val="none"/>
          <w:lang w:eastAsia="zh-CN"/>
        </w:rPr>
        <w:t>滁州市龙蟠大道109号房产大厦6楼</w:t>
      </w:r>
    </w:p>
    <w:p w14:paraId="6F5502F4">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联系人：曹思敏</w:t>
      </w:r>
    </w:p>
    <w:p w14:paraId="031802F2">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rPr>
      </w:pPr>
      <w:r>
        <w:rPr>
          <w:rFonts w:hint="eastAsia" w:ascii="宋体" w:hAnsi="宋体" w:eastAsia="宋体"/>
          <w:color w:val="auto"/>
          <w:sz w:val="24"/>
          <w:szCs w:val="18"/>
          <w:highlight w:val="none"/>
          <w:u w:val="none"/>
          <w:lang w:val="en-US" w:eastAsia="zh-CN"/>
        </w:rPr>
        <w:t>联系方式：0550-3519516、18712012204</w:t>
      </w:r>
    </w:p>
    <w:p w14:paraId="382CDD8E">
      <w:pPr>
        <w:keepNext w:val="0"/>
        <w:keepLines w:val="0"/>
        <w:pageBreakBefore w:val="0"/>
        <w:widowControl w:val="0"/>
        <w:suppressLineNumbers w:val="0"/>
        <w:kinsoku/>
        <w:overflowPunct/>
        <w:topLinePunct w:val="0"/>
        <w:autoSpaceDE w:val="0"/>
        <w:autoSpaceDN/>
        <w:bidi w:val="0"/>
        <w:spacing w:before="0" w:beforeAutospacing="0" w:after="0" w:afterAutospacing="0" w:line="420" w:lineRule="exact"/>
        <w:ind w:left="0" w:leftChars="0" w:right="0" w:firstLine="480" w:firstLineChars="200"/>
        <w:jc w:val="both"/>
        <w:textAlignment w:val="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bidi="ar"/>
        </w:rPr>
        <w:t>3.政府采购监督管理部门信息</w:t>
      </w:r>
    </w:p>
    <w:p w14:paraId="449D0FB1">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名  称：滁州市公共资源交易监督管理局</w:t>
      </w:r>
    </w:p>
    <w:p w14:paraId="57DB74AC">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eastAsia="zh-CN"/>
        </w:rPr>
      </w:pPr>
      <w:r>
        <w:rPr>
          <w:rFonts w:hint="eastAsia" w:ascii="宋体" w:hAnsi="宋体" w:eastAsia="宋体"/>
          <w:color w:val="auto"/>
          <w:sz w:val="24"/>
          <w:szCs w:val="18"/>
          <w:highlight w:val="none"/>
          <w:u w:val="none"/>
          <w:lang w:val="en-US" w:eastAsia="zh-CN"/>
        </w:rPr>
        <w:t>地  址：滁州市龙蟠大道109号房产大厦三楼</w:t>
      </w:r>
    </w:p>
    <w:p w14:paraId="4017A15D">
      <w:pPr>
        <w:keepNext w:val="0"/>
        <w:keepLines w:val="0"/>
        <w:pageBreakBefore w:val="0"/>
        <w:widowControl w:val="0"/>
        <w:suppressLineNumbers w:val="0"/>
        <w:kinsoku/>
        <w:wordWrap w:val="0"/>
        <w:overflowPunct/>
        <w:topLinePunct w:val="0"/>
        <w:autoSpaceDE w:val="0"/>
        <w:autoSpaceDN/>
        <w:bidi w:val="0"/>
        <w:spacing w:before="0" w:beforeAutospacing="0" w:after="0" w:afterAutospacing="0" w:line="420" w:lineRule="exact"/>
        <w:ind w:left="0" w:right="0" w:firstLine="480" w:firstLineChars="200"/>
        <w:jc w:val="both"/>
        <w:textAlignment w:val="auto"/>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联系方式：0550-3801631</w:t>
      </w:r>
    </w:p>
    <w:p w14:paraId="1B906841">
      <w:pPr>
        <w:spacing w:line="360" w:lineRule="auto"/>
        <w:ind w:firstLine="437"/>
        <w:outlineLvl w:val="2"/>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0F87B095">
      <w:pPr>
        <w:spacing w:line="360" w:lineRule="auto"/>
        <w:jc w:val="center"/>
        <w:outlineLvl w:val="0"/>
        <w:rPr>
          <w:rFonts w:asciiTheme="minorEastAsia" w:hAnsiTheme="minorEastAsia" w:eastAsiaTheme="minorEastAsia"/>
          <w:b/>
          <w:color w:val="auto"/>
          <w:sz w:val="28"/>
          <w:highlight w:val="none"/>
        </w:rPr>
      </w:pPr>
      <w:bookmarkStart w:id="2" w:name="_Toc31935"/>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2"/>
    </w:p>
    <w:p w14:paraId="4615C53C">
      <w:pPr>
        <w:spacing w:line="360" w:lineRule="auto"/>
        <w:jc w:val="center"/>
        <w:outlineLvl w:val="1"/>
        <w:rPr>
          <w:rFonts w:asciiTheme="minorEastAsia" w:hAnsiTheme="minorEastAsia" w:eastAsiaTheme="minorEastAsia"/>
          <w:b/>
          <w:color w:val="auto"/>
          <w:sz w:val="24"/>
          <w:highlight w:val="none"/>
        </w:rPr>
      </w:pPr>
      <w:bookmarkStart w:id="3" w:name="_Toc7178"/>
      <w:bookmarkStart w:id="4" w:name="_Toc3114"/>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3"/>
      <w:bookmarkEnd w:id="4"/>
    </w:p>
    <w:p w14:paraId="382BCE7C">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7"/>
        <w:tblW w:w="53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0"/>
        <w:gridCol w:w="2200"/>
        <w:gridCol w:w="5790"/>
      </w:tblGrid>
      <w:tr w14:paraId="6F4A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23B46AB9">
            <w:pPr>
              <w:pStyle w:val="48"/>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98" w:type="pct"/>
            <w:vAlign w:val="center"/>
          </w:tcPr>
          <w:p w14:paraId="63DF797B">
            <w:pPr>
              <w:pStyle w:val="48"/>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153" w:type="pct"/>
            <w:vAlign w:val="center"/>
          </w:tcPr>
          <w:p w14:paraId="29D0B71B">
            <w:pPr>
              <w:pStyle w:val="48"/>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568B0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3D54FC54">
            <w:pPr>
              <w:pStyle w:val="49"/>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98" w:type="pct"/>
            <w:vAlign w:val="center"/>
          </w:tcPr>
          <w:p w14:paraId="3F967F5A">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153" w:type="pct"/>
            <w:vAlign w:val="center"/>
          </w:tcPr>
          <w:p w14:paraId="52204932">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5119E14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5E79964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181C332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5FCBA0A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233AC2F1">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39DC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7CA32EEF">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98" w:type="pct"/>
            <w:vAlign w:val="center"/>
          </w:tcPr>
          <w:p w14:paraId="30336F5A">
            <w:pPr>
              <w:pStyle w:val="48"/>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153" w:type="pct"/>
            <w:vAlign w:val="center"/>
          </w:tcPr>
          <w:p w14:paraId="60CDFC4F">
            <w:pPr>
              <w:pStyle w:val="48"/>
              <w:widowControl w:val="0"/>
              <w:spacing w:before="0" w:beforeAutospacing="0" w:after="0" w:afterAutospacing="0"/>
              <w:jc w:val="both"/>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 xml:space="preserve"> 9 </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 xml:space="preserve"> 15 </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30</w:t>
            </w:r>
            <w:r>
              <w:rPr>
                <w:rFonts w:hint="eastAsia" w:ascii="宋体" w:hAnsi="宋体" w:eastAsia="宋体"/>
                <w:b w:val="0"/>
                <w:color w:val="auto"/>
                <w:sz w:val="24"/>
                <w:highlight w:val="none"/>
              </w:rPr>
              <w:t>分</w:t>
            </w:r>
          </w:p>
        </w:tc>
      </w:tr>
      <w:tr w14:paraId="736DE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57AC1695">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98" w:type="pct"/>
            <w:vAlign w:val="center"/>
          </w:tcPr>
          <w:p w14:paraId="395DF4C8">
            <w:pPr>
              <w:pStyle w:val="48"/>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153" w:type="pct"/>
            <w:vAlign w:val="center"/>
          </w:tcPr>
          <w:p w14:paraId="53B69A77">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不分包     □分为</w:t>
            </w:r>
            <w:r>
              <w:rPr>
                <w:rFonts w:hint="eastAsia" w:ascii="宋体" w:hAnsi="宋体" w:eastAsia="宋体"/>
                <w:b w:val="0"/>
                <w:color w:val="auto"/>
                <w:sz w:val="24"/>
                <w:highlight w:val="none"/>
                <w:lang w:val="en-US" w:eastAsia="zh-CN"/>
              </w:rPr>
              <w:t>/</w:t>
            </w:r>
            <w:r>
              <w:rPr>
                <w:rFonts w:ascii="宋体" w:hAnsi="宋体" w:eastAsia="宋体"/>
                <w:b w:val="0"/>
                <w:color w:val="auto"/>
                <w:sz w:val="24"/>
                <w:highlight w:val="none"/>
              </w:rPr>
              <w:t>个包</w:t>
            </w:r>
          </w:p>
          <w:p w14:paraId="456C4922">
            <w:pPr>
              <w:pStyle w:val="48"/>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r>
              <w:rPr>
                <w:rFonts w:hint="eastAsia" w:ascii="宋体" w:hAnsi="宋体" w:eastAsia="宋体"/>
                <w:b w:val="0"/>
                <w:bCs w:val="0"/>
                <w:color w:val="auto"/>
                <w:sz w:val="24"/>
                <w:szCs w:val="18"/>
                <w:highlight w:val="none"/>
                <w:u w:val="single"/>
                <w:lang w:val="en-US" w:eastAsia="zh-CN"/>
              </w:rPr>
              <w:t>/</w:t>
            </w:r>
            <w:r>
              <w:rPr>
                <w:rFonts w:ascii="宋体" w:hAnsi="宋体" w:eastAsia="宋体"/>
                <w:b w:val="0"/>
                <w:bCs w:val="0"/>
                <w:color w:val="auto"/>
                <w:sz w:val="24"/>
                <w:szCs w:val="18"/>
                <w:highlight w:val="none"/>
                <w:u w:val="single"/>
              </w:rPr>
              <w:t xml:space="preserve">    </w:t>
            </w:r>
          </w:p>
        </w:tc>
      </w:tr>
      <w:tr w14:paraId="3CD9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48" w:type="pct"/>
            <w:vAlign w:val="center"/>
          </w:tcPr>
          <w:p w14:paraId="45B08E9C">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98" w:type="pct"/>
            <w:vAlign w:val="center"/>
          </w:tcPr>
          <w:p w14:paraId="1E5AABA0">
            <w:pPr>
              <w:pStyle w:val="48"/>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153" w:type="pct"/>
            <w:vAlign w:val="center"/>
          </w:tcPr>
          <w:p w14:paraId="1AADC726">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0073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48BCB381">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98" w:type="pct"/>
            <w:vAlign w:val="center"/>
          </w:tcPr>
          <w:p w14:paraId="63CE91AA">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153" w:type="pct"/>
            <w:vAlign w:val="center"/>
          </w:tcPr>
          <w:p w14:paraId="0A1B7032">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 xml:space="preserve">90 </w:t>
            </w:r>
            <w:r>
              <w:rPr>
                <w:rFonts w:hint="eastAsia" w:ascii="宋体" w:hAnsi="宋体" w:eastAsia="宋体"/>
                <w:b w:val="0"/>
                <w:color w:val="auto"/>
                <w:sz w:val="24"/>
                <w:highlight w:val="none"/>
              </w:rPr>
              <w:t>日历日</w:t>
            </w:r>
          </w:p>
        </w:tc>
      </w:tr>
      <w:tr w14:paraId="6A6EF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06151E0C">
            <w:pPr>
              <w:pStyle w:val="49"/>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98" w:type="pct"/>
            <w:vAlign w:val="center"/>
          </w:tcPr>
          <w:p w14:paraId="08B26033">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153" w:type="pct"/>
            <w:vAlign w:val="center"/>
          </w:tcPr>
          <w:p w14:paraId="4A6D2AF1">
            <w:pPr>
              <w:pStyle w:val="48"/>
              <w:widowControl w:val="0"/>
              <w:spacing w:before="0" w:beforeAutospacing="0" w:after="0" w:afterAutospacing="0" w:line="360" w:lineRule="auto"/>
              <w:jc w:val="both"/>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 xml:space="preserve"> 60 </w:t>
            </w:r>
            <w:r>
              <w:rPr>
                <w:rFonts w:hint="eastAsia" w:ascii="宋体" w:hAnsi="宋体" w:eastAsia="宋体"/>
                <w:b w:val="0"/>
                <w:color w:val="auto"/>
                <w:sz w:val="24"/>
                <w:highlight w:val="none"/>
                <w:u w:val="none"/>
              </w:rPr>
              <w:t>分钟内</w:t>
            </w:r>
          </w:p>
        </w:tc>
      </w:tr>
      <w:tr w14:paraId="7E81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49F04D94">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98" w:type="pct"/>
            <w:vAlign w:val="center"/>
          </w:tcPr>
          <w:p w14:paraId="463E3CC4">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153" w:type="pct"/>
            <w:vAlign w:val="center"/>
          </w:tcPr>
          <w:p w14:paraId="3CEE2173">
            <w:pPr>
              <w:pStyle w:val="48"/>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5264330E">
            <w:pPr>
              <w:pStyle w:val="48"/>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采购人出具委托函委托采购代理机构进行审查</w:t>
            </w:r>
          </w:p>
        </w:tc>
      </w:tr>
      <w:tr w14:paraId="7EE5A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37971741">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98" w:type="pct"/>
            <w:vAlign w:val="center"/>
          </w:tcPr>
          <w:p w14:paraId="17C2ACEF">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153" w:type="pct"/>
            <w:vAlign w:val="center"/>
          </w:tcPr>
          <w:p w14:paraId="73FE4C16">
            <w:pPr>
              <w:pStyle w:val="48"/>
              <w:widowControl w:val="0"/>
              <w:spacing w:before="0" w:beforeAutospacing="0" w:after="0" w:afterAutospacing="0" w:line="360" w:lineRule="auto"/>
              <w:jc w:val="both"/>
              <w:rPr>
                <w:rFonts w:ascii="宋体" w:hAnsi="宋体" w:eastAsia="宋体"/>
                <w:b w:val="0"/>
                <w:color w:val="auto"/>
                <w:sz w:val="24"/>
                <w:highlight w:val="none"/>
                <w:u w:val="none"/>
              </w:rPr>
            </w:pPr>
            <w:r>
              <w:rPr>
                <w:rFonts w:ascii="宋体" w:hAnsi="宋体" w:eastAsia="宋体"/>
                <w:b w:val="0"/>
                <w:bCs w:val="0"/>
                <w:color w:val="auto"/>
                <w:sz w:val="24"/>
                <w:szCs w:val="24"/>
                <w:highlight w:val="none"/>
                <w:u w:val="none"/>
              </w:rPr>
              <w:t>□</w:t>
            </w:r>
            <w:r>
              <w:rPr>
                <w:rFonts w:hint="eastAsia" w:ascii="宋体" w:hAnsi="宋体" w:eastAsia="宋体"/>
                <w:b w:val="0"/>
                <w:color w:val="auto"/>
                <w:sz w:val="24"/>
                <w:highlight w:val="none"/>
                <w:u w:val="none"/>
              </w:rPr>
              <w:t>最低评标价法</w:t>
            </w:r>
          </w:p>
          <w:p w14:paraId="15FCA02D">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综合评分法</w:t>
            </w:r>
          </w:p>
        </w:tc>
      </w:tr>
      <w:tr w14:paraId="14D04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7EAD2D8D">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1198" w:type="pct"/>
            <w:vAlign w:val="center"/>
          </w:tcPr>
          <w:p w14:paraId="040E864B">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40D99D7E">
            <w:pPr>
              <w:pStyle w:val="48"/>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3153" w:type="pct"/>
            <w:vAlign w:val="center"/>
          </w:tcPr>
          <w:p w14:paraId="49F7F7F1">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w:t>
            </w:r>
            <w:r>
              <w:rPr>
                <w:rFonts w:hint="eastAsia" w:ascii="宋体" w:hAnsi="宋体" w:eastAsia="宋体"/>
                <w:b w:val="0"/>
                <w:color w:val="auto"/>
                <w:sz w:val="24"/>
                <w:highlight w:val="none"/>
              </w:rPr>
              <w:t>。</w:t>
            </w:r>
          </w:p>
          <w:p w14:paraId="7DF71A36">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4BFE9BB9">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1CB39D2">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p>
          <w:p w14:paraId="77C7E3DD">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3873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65A0DEBB">
            <w:pPr>
              <w:pStyle w:val="49"/>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1198" w:type="pct"/>
            <w:vAlign w:val="center"/>
          </w:tcPr>
          <w:p w14:paraId="43040E1F">
            <w:pPr>
              <w:spacing w:line="360" w:lineRule="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r>
              <w:rPr>
                <w:rFonts w:hint="eastAsia" w:ascii="宋体" w:hAnsi="宋体" w:eastAsia="宋体" w:cs="Times New Roman"/>
                <w:i/>
                <w:iCs/>
                <w:color w:val="auto"/>
                <w:sz w:val="24"/>
                <w:highlight w:val="none"/>
                <w:lang w:val="en-US" w:eastAsia="zh-CN"/>
              </w:rPr>
              <w:t>（适用于</w:t>
            </w:r>
            <w:r>
              <w:rPr>
                <w:rFonts w:hint="eastAsia" w:ascii="宋体" w:hAnsi="宋体" w:eastAsia="宋体" w:cs="宋体"/>
                <w:b w:val="0"/>
                <w:bCs w:val="0"/>
                <w:i/>
                <w:iCs/>
                <w:caps w:val="0"/>
                <w:color w:val="auto"/>
                <w:spacing w:val="0"/>
                <w:sz w:val="24"/>
                <w:szCs w:val="24"/>
                <w:highlight w:val="none"/>
                <w:u w:val="none"/>
                <w:shd w:val="clear" w:color="auto" w:fill="FFFFFF"/>
                <w:vertAlign w:val="baseline"/>
              </w:rPr>
              <w:t>既有本国产品又有非本国产品参与竞争的</w:t>
            </w:r>
            <w:r>
              <w:rPr>
                <w:rFonts w:hint="eastAsia" w:ascii="宋体" w:hAnsi="宋体" w:eastAsia="宋体" w:cs="宋体"/>
                <w:b w:val="0"/>
                <w:bCs w:val="0"/>
                <w:i/>
                <w:iCs/>
                <w:caps w:val="0"/>
                <w:color w:val="auto"/>
                <w:spacing w:val="0"/>
                <w:sz w:val="24"/>
                <w:szCs w:val="24"/>
                <w:highlight w:val="none"/>
                <w:u w:val="none"/>
                <w:shd w:val="clear" w:color="auto" w:fill="FFFFFF"/>
                <w:vertAlign w:val="baseline"/>
                <w:lang w:val="en-US" w:eastAsia="zh-CN"/>
              </w:rPr>
              <w:t>货物项目</w:t>
            </w:r>
            <w:r>
              <w:rPr>
                <w:rFonts w:hint="eastAsia" w:ascii="宋体" w:hAnsi="宋体" w:eastAsia="宋体" w:cs="Times New Roman"/>
                <w:i/>
                <w:iCs/>
                <w:color w:val="auto"/>
                <w:sz w:val="24"/>
                <w:highlight w:val="none"/>
                <w:lang w:val="en-US" w:eastAsia="zh-CN"/>
              </w:rPr>
              <w:t>）</w:t>
            </w:r>
          </w:p>
        </w:tc>
        <w:tc>
          <w:tcPr>
            <w:tcW w:w="3153" w:type="pct"/>
            <w:vAlign w:val="center"/>
          </w:tcPr>
          <w:p w14:paraId="4116513F">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b w:val="0"/>
                <w:i w:val="0"/>
                <w:iCs w:val="0"/>
                <w:color w:val="auto"/>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lang w:val="en-US" w:eastAsia="zh-CN"/>
              </w:rPr>
              <w:t>。</w:t>
            </w:r>
          </w:p>
          <w:p w14:paraId="3A1D3E17">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color w:val="auto"/>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u w:val="none"/>
                <w:lang w:val="en-US" w:eastAsia="zh-CN"/>
              </w:rPr>
              <w:t>。</w:t>
            </w:r>
          </w:p>
        </w:tc>
      </w:tr>
      <w:tr w14:paraId="69046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6FDC3CDA">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98" w:type="pct"/>
            <w:vAlign w:val="center"/>
          </w:tcPr>
          <w:p w14:paraId="773F070E">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153" w:type="pct"/>
            <w:vAlign w:val="center"/>
          </w:tcPr>
          <w:p w14:paraId="0EBFAEAE">
            <w:pPr>
              <w:pStyle w:val="48"/>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评</w:t>
            </w:r>
            <w:r>
              <w:rPr>
                <w:rFonts w:hint="eastAsia" w:ascii="宋体" w:hAnsi="宋体" w:eastAsia="宋体"/>
                <w:b w:val="0"/>
                <w:color w:val="auto"/>
                <w:sz w:val="24"/>
                <w:highlight w:val="none"/>
                <w:u w:val="none"/>
              </w:rPr>
              <w:t>标委员会推荐3名中标候选人</w:t>
            </w:r>
          </w:p>
        </w:tc>
      </w:tr>
      <w:tr w14:paraId="15C64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07D0AA00">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98" w:type="pct"/>
            <w:vAlign w:val="center"/>
          </w:tcPr>
          <w:p w14:paraId="092CBF6A">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153" w:type="pct"/>
            <w:vAlign w:val="center"/>
          </w:tcPr>
          <w:p w14:paraId="38E9C1D2">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color w:val="auto"/>
                <w:kern w:val="0"/>
                <w:sz w:val="24"/>
                <w:szCs w:val="24"/>
                <w:highlight w:val="none"/>
              </w:rPr>
              <w:t>采购人委托评标委员会确定</w:t>
            </w:r>
          </w:p>
          <w:p w14:paraId="30213FBB">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7EB7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38DFAA5C">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98" w:type="pct"/>
            <w:vAlign w:val="center"/>
          </w:tcPr>
          <w:p w14:paraId="46F19D14">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153" w:type="pct"/>
            <w:vAlign w:val="center"/>
          </w:tcPr>
          <w:p w14:paraId="37D9DD44">
            <w:pPr>
              <w:pStyle w:val="48"/>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26994130">
            <w:pPr>
              <w:pStyle w:val="48"/>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0CBEEFE4">
            <w:pPr>
              <w:pStyle w:val="48"/>
              <w:widowControl w:val="0"/>
              <w:spacing w:before="0" w:beforeAutospacing="0" w:after="0" w:afterAutospacing="0" w:line="360" w:lineRule="auto"/>
              <w:jc w:val="both"/>
              <w:rPr>
                <w:rFonts w:hint="eastAsia" w:ascii="宋体" w:hAnsi="宋体" w:eastAsia="宋体"/>
                <w:b w:val="0"/>
                <w:color w:val="auto"/>
                <w:sz w:val="24"/>
                <w:highlight w:val="none"/>
                <w:u w:val="none"/>
                <w:lang w:val="en-US"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r>
              <w:rPr>
                <w:rFonts w:hint="eastAsia" w:ascii="宋体" w:hAnsi="宋体" w:eastAsia="宋体"/>
                <w:b w:val="0"/>
                <w:color w:val="auto"/>
                <w:sz w:val="24"/>
                <w:highlight w:val="none"/>
                <w:u w:val="none"/>
                <w:lang w:eastAsia="zh-CN"/>
              </w:rPr>
              <w:t>；</w:t>
            </w:r>
          </w:p>
          <w:p w14:paraId="5B9CA24C">
            <w:pPr>
              <w:pStyle w:val="48"/>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color w:val="auto"/>
                <w:sz w:val="24"/>
                <w:szCs w:val="20"/>
                <w:highlight w:val="none"/>
                <w:u w:val="none"/>
              </w:rPr>
              <w:t>符合本国产品标准的声明函</w:t>
            </w:r>
            <w:r>
              <w:rPr>
                <w:rFonts w:hint="eastAsia" w:ascii="宋体" w:hAnsi="宋体" w:eastAsia="宋体" w:cs="@仿宋_GB2312"/>
                <w:b w:val="0"/>
                <w:bCs w:val="0"/>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val="en-US" w:eastAsia="zh-CN"/>
              </w:rPr>
              <w:t>如有</w:t>
            </w:r>
            <w:r>
              <w:rPr>
                <w:rFonts w:hint="eastAsia" w:ascii="宋体" w:hAnsi="宋体" w:eastAsia="宋体" w:cs="@仿宋_GB2312"/>
                <w:b w:val="0"/>
                <w:bCs w:val="0"/>
                <w:i/>
                <w:iCs/>
                <w:color w:val="auto"/>
                <w:sz w:val="24"/>
                <w:szCs w:val="20"/>
                <w:highlight w:val="none"/>
                <w:u w:val="none"/>
                <w:lang w:eastAsia="zh-CN"/>
              </w:rPr>
              <w:t>）</w:t>
            </w:r>
          </w:p>
        </w:tc>
      </w:tr>
      <w:tr w14:paraId="68420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786145F8">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98" w:type="pct"/>
            <w:vAlign w:val="center"/>
          </w:tcPr>
          <w:p w14:paraId="0D561CE5">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153" w:type="pct"/>
            <w:vAlign w:val="center"/>
          </w:tcPr>
          <w:p w14:paraId="25109713">
            <w:pPr>
              <w:pStyle w:val="48"/>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2B376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6CDEAC5A">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98" w:type="pct"/>
            <w:vAlign w:val="center"/>
          </w:tcPr>
          <w:p w14:paraId="2F9290B4">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153" w:type="pct"/>
            <w:vAlign w:val="center"/>
          </w:tcPr>
          <w:p w14:paraId="730E4A0A">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6AF33513">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6DB0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648" w:type="pct"/>
            <w:vAlign w:val="center"/>
          </w:tcPr>
          <w:p w14:paraId="19C14542">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98" w:type="pct"/>
            <w:vAlign w:val="center"/>
          </w:tcPr>
          <w:p w14:paraId="538F30E8">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153" w:type="pct"/>
          </w:tcPr>
          <w:p w14:paraId="79E077BD">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53668024">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298399C4">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合同价的</w:t>
            </w:r>
            <w:r>
              <w:rPr>
                <w:rFonts w:hint="eastAsia" w:ascii="宋体" w:hAnsi="宋体" w:eastAsia="宋体"/>
                <w:bCs/>
                <w:color w:val="auto"/>
                <w:kern w:val="0"/>
                <w:sz w:val="24"/>
                <w:szCs w:val="28"/>
                <w:highlight w:val="none"/>
                <w:u w:val="single"/>
                <w:lang w:val="en-US" w:eastAsia="zh-CN"/>
              </w:rPr>
              <w:t>2.5</w:t>
            </w:r>
            <w:r>
              <w:rPr>
                <w:rFonts w:ascii="宋体" w:hAnsi="宋体" w:eastAsia="宋体"/>
                <w:bCs/>
                <w:color w:val="auto"/>
                <w:kern w:val="0"/>
                <w:sz w:val="24"/>
                <w:szCs w:val="28"/>
                <w:highlight w:val="none"/>
              </w:rPr>
              <w:t>%</w:t>
            </w:r>
          </w:p>
          <w:p w14:paraId="524DA75A">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2DC07DA3">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708DCB9F">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25768F0A">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lang w:val="en-US" w:eastAsia="zh-CN"/>
              </w:rPr>
              <w:t>另行通知</w:t>
            </w:r>
            <w:r>
              <w:rPr>
                <w:rFonts w:hint="eastAsia" w:ascii="宋体" w:hAnsi="宋体" w:eastAsia="宋体"/>
                <w:bCs/>
                <w:color w:val="auto"/>
                <w:kern w:val="0"/>
                <w:sz w:val="24"/>
                <w:szCs w:val="28"/>
                <w:highlight w:val="none"/>
              </w:rPr>
              <w:t xml:space="preserve">              </w:t>
            </w:r>
          </w:p>
          <w:p w14:paraId="18F4B3C2">
            <w:pPr>
              <w:spacing w:line="360" w:lineRule="auto"/>
              <w:rPr>
                <w:rFonts w:hint="default" w:ascii="宋体" w:hAnsi="宋体" w:eastAsia="宋体"/>
                <w:bCs/>
                <w:color w:val="auto"/>
                <w:kern w:val="0"/>
                <w:sz w:val="24"/>
                <w:szCs w:val="28"/>
                <w:highlight w:val="none"/>
                <w:lang w:val="en-US" w:eastAsia="zh-CN"/>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lang w:val="en-US" w:eastAsia="zh-CN"/>
              </w:rPr>
              <w:t>另行通知</w:t>
            </w:r>
          </w:p>
          <w:p w14:paraId="75698D15">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lang w:val="en-US" w:eastAsia="zh-CN"/>
              </w:rPr>
              <w:t>缴纳</w:t>
            </w:r>
            <w:r>
              <w:rPr>
                <w:rFonts w:hint="eastAsia" w:ascii="宋体" w:hAnsi="宋体" w:eastAsia="宋体"/>
                <w:color w:val="auto"/>
                <w:sz w:val="24"/>
                <w:highlight w:val="none"/>
              </w:rPr>
              <w:t>时间：</w:t>
            </w:r>
            <w:r>
              <w:rPr>
                <w:rFonts w:hint="eastAsia" w:ascii="宋体" w:hAnsi="宋体" w:eastAsia="宋体"/>
                <w:color w:val="auto"/>
                <w:sz w:val="24"/>
                <w:highlight w:val="none"/>
                <w:u w:val="single"/>
                <w:lang w:val="en-US" w:eastAsia="zh-CN"/>
              </w:rPr>
              <w:t>合同签订前</w:t>
            </w:r>
            <w:r>
              <w:rPr>
                <w:rFonts w:hint="eastAsia" w:ascii="宋体" w:hAnsi="宋体" w:eastAsia="宋体"/>
                <w:color w:val="auto"/>
                <w:sz w:val="24"/>
                <w:highlight w:val="none"/>
                <w:u w:val="single"/>
                <w:lang w:eastAsia="zh-CN"/>
              </w:rPr>
              <w:t>。</w:t>
            </w:r>
          </w:p>
          <w:p w14:paraId="2B4D2BBF">
            <w:pPr>
              <w:spacing w:line="360" w:lineRule="auto"/>
              <w:rPr>
                <w:rFonts w:hint="eastAsia" w:ascii="宋体" w:hAnsi="宋体" w:eastAsia="宋体"/>
                <w:color w:val="auto"/>
                <w:sz w:val="24"/>
                <w:highlight w:val="none"/>
                <w:lang w:eastAsia="zh-CN"/>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6</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color w:val="auto"/>
                <w:sz w:val="24"/>
                <w:highlight w:val="none"/>
                <w:u w:val="single"/>
              </w:rPr>
              <w:t>验收合格，一次性退还</w:t>
            </w:r>
            <w:r>
              <w:rPr>
                <w:rFonts w:hint="eastAsia" w:ascii="宋体" w:hAnsi="宋体" w:eastAsia="宋体"/>
                <w:color w:val="auto"/>
                <w:sz w:val="24"/>
                <w:highlight w:val="none"/>
                <w:u w:val="single"/>
                <w:lang w:eastAsia="zh-CN"/>
              </w:rPr>
              <w:t>。</w:t>
            </w:r>
          </w:p>
          <w:p w14:paraId="16CC2B20">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779BD631">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48A4DD12">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7B527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648" w:type="pct"/>
            <w:vAlign w:val="center"/>
          </w:tcPr>
          <w:p w14:paraId="5310C651">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98" w:type="pct"/>
            <w:vAlign w:val="center"/>
          </w:tcPr>
          <w:p w14:paraId="73A688AA">
            <w:pPr>
              <w:pStyle w:val="48"/>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153" w:type="pct"/>
          </w:tcPr>
          <w:p w14:paraId="77DD89DD">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（1）采购人与中标人应当自发出中标通知书之日起7个工作日内签订合同，采购合同签订之日起2个工作日内完成政府采购合同公开。</w:t>
            </w:r>
          </w:p>
          <w:p w14:paraId="22075905">
            <w:pPr>
              <w:pStyle w:val="2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（2）采购人与中标人</w:t>
            </w:r>
            <w:r>
              <w:rPr>
                <w:rFonts w:hint="default" w:ascii="宋体" w:hAnsi="宋体" w:eastAsia="宋体" w:cs="宋体"/>
                <w:b w:val="0"/>
                <w:bCs w:val="0"/>
                <w:color w:val="auto"/>
                <w:sz w:val="24"/>
                <w:szCs w:val="24"/>
                <w:highlight w:val="none"/>
                <w:lang w:val="en-US" w:eastAsia="zh-CN"/>
              </w:rPr>
              <w:t>不得擅自变更合同，依照政府采购法确需变更政府采购合同内容的，采购人应当自合同变更之日起2个工作日内</w:t>
            </w:r>
            <w:r>
              <w:rPr>
                <w:rFonts w:hint="eastAsia" w:ascii="宋体" w:hAnsi="宋体" w:eastAsia="宋体" w:cs="宋体"/>
                <w:b w:val="0"/>
                <w:bCs w:val="0"/>
                <w:color w:val="auto"/>
                <w:sz w:val="24"/>
                <w:szCs w:val="24"/>
                <w:highlight w:val="none"/>
                <w:lang w:val="en-US" w:eastAsia="zh-CN"/>
              </w:rPr>
              <w:t>在安徽省政府采购网</w:t>
            </w:r>
            <w:r>
              <w:rPr>
                <w:rFonts w:hint="default" w:ascii="宋体" w:hAnsi="宋体" w:eastAsia="宋体" w:cs="宋体"/>
                <w:b w:val="0"/>
                <w:bCs w:val="0"/>
                <w:color w:val="auto"/>
                <w:sz w:val="24"/>
                <w:szCs w:val="24"/>
                <w:highlight w:val="none"/>
                <w:lang w:val="en-US" w:eastAsia="zh-CN"/>
              </w:rPr>
              <w:t>发布政府采购合同变更公告</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但涉及国家秘密、商业秘密的信息和其他依法不得公开的信息除外。</w:t>
            </w:r>
          </w:p>
        </w:tc>
      </w:tr>
      <w:tr w14:paraId="02DA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63702315">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98" w:type="pct"/>
            <w:vAlign w:val="center"/>
          </w:tcPr>
          <w:p w14:paraId="25139819">
            <w:pPr>
              <w:pStyle w:val="48"/>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153" w:type="pct"/>
            <w:vAlign w:val="center"/>
          </w:tcPr>
          <w:p w14:paraId="21BFABAF">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color w:val="auto"/>
                <w:spacing w:val="14"/>
                <w:sz w:val="24"/>
                <w:szCs w:val="24"/>
                <w:highlight w:val="none"/>
              </w:rPr>
              <w:t>中标人</w:t>
            </w:r>
          </w:p>
          <w:p w14:paraId="05FCEC71">
            <w:pPr>
              <w:spacing w:before="24" w:line="360" w:lineRule="auto"/>
              <w:rPr>
                <w:rFonts w:hint="eastAsia" w:ascii="宋体" w:hAnsi="宋体" w:eastAsia="宋体"/>
                <w:bCs/>
                <w:color w:val="auto"/>
                <w:kern w:val="0"/>
                <w:sz w:val="24"/>
                <w:szCs w:val="28"/>
                <w:highlight w:val="none"/>
                <w:u w:val="singl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领取</w:t>
            </w:r>
            <w:r>
              <w:rPr>
                <w:rFonts w:hint="eastAsia" w:ascii="宋体" w:hAnsi="宋体" w:eastAsia="宋体" w:cs="宋体"/>
                <w:color w:val="auto"/>
                <w:sz w:val="24"/>
                <w:szCs w:val="24"/>
                <w:highlight w:val="none"/>
                <w:u w:val="single"/>
                <w:lang w:val="en-US" w:eastAsia="zh-CN"/>
              </w:rPr>
              <w:t>中标</w:t>
            </w:r>
            <w:r>
              <w:rPr>
                <w:rFonts w:hint="eastAsia" w:ascii="宋体" w:hAnsi="宋体" w:eastAsia="宋体" w:cs="宋体"/>
                <w:color w:val="auto"/>
                <w:sz w:val="24"/>
                <w:szCs w:val="24"/>
                <w:highlight w:val="none"/>
                <w:u w:val="single"/>
              </w:rPr>
              <w:t>通知书时一次性支付给代理机构。</w:t>
            </w:r>
          </w:p>
          <w:p w14:paraId="5C7DEB35">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宋体"/>
                <w:b w:val="0"/>
                <w:color w:val="auto"/>
                <w:sz w:val="24"/>
                <w:szCs w:val="24"/>
                <w:highlight w:val="none"/>
                <w:u w:val="single"/>
                <w:lang w:val="en-US" w:eastAsia="zh-CN"/>
              </w:rPr>
              <w:t>4500元，参考</w:t>
            </w:r>
            <w:r>
              <w:rPr>
                <w:rFonts w:hint="eastAsia" w:ascii="宋体" w:hAnsi="宋体" w:eastAsia="宋体" w:cs="宋体"/>
                <w:b w:val="0"/>
                <w:color w:val="auto"/>
                <w:sz w:val="24"/>
                <w:szCs w:val="24"/>
                <w:highlight w:val="none"/>
                <w:u w:val="single"/>
              </w:rPr>
              <w:t>《滁州市公共资源交易代理机构及从业人员管理暂行办法》滁公管〔2022〕5号，以及补充文件滁公管综〔2023〕19号《关于进一步明确代理费计取标准的通知》标准，以最高限价计算</w:t>
            </w:r>
            <w:r>
              <w:rPr>
                <w:rFonts w:hint="eastAsia" w:ascii="宋体" w:hAnsi="宋体" w:eastAsia="宋体" w:cs="宋体"/>
                <w:b w:val="0"/>
                <w:bCs w:val="0"/>
                <w:color w:val="auto"/>
                <w:kern w:val="2"/>
                <w:sz w:val="24"/>
                <w:szCs w:val="24"/>
                <w:highlight w:val="none"/>
                <w:u w:val="single"/>
                <w:lang w:eastAsia="zh-CN"/>
              </w:rPr>
              <w:t>。</w:t>
            </w:r>
          </w:p>
        </w:tc>
      </w:tr>
      <w:tr w14:paraId="7FFE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7D953DC7">
            <w:pPr>
              <w:pStyle w:val="49"/>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98" w:type="pct"/>
            <w:vAlign w:val="center"/>
          </w:tcPr>
          <w:p w14:paraId="70B6C6EC">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153" w:type="pct"/>
            <w:vAlign w:val="center"/>
          </w:tcPr>
          <w:p w14:paraId="1BBB2A26">
            <w:pPr>
              <w:pStyle w:val="48"/>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递交方式：</w:t>
            </w:r>
            <w:r>
              <w:rPr>
                <w:rFonts w:hint="eastAsia" w:ascii="宋体" w:hAnsi="宋体" w:eastAsia="宋体"/>
                <w:b w:val="0"/>
                <w:color w:val="auto"/>
                <w:sz w:val="24"/>
                <w:highlight w:val="none"/>
                <w:u w:val="single"/>
              </w:rPr>
              <w:t>供应商</w:t>
            </w:r>
            <w:r>
              <w:rPr>
                <w:rFonts w:hint="eastAsia" w:ascii="宋体" w:hAnsi="宋体" w:eastAsia="宋体"/>
                <w:b w:val="0"/>
                <w:color w:val="auto"/>
                <w:sz w:val="24"/>
                <w:highlight w:val="none"/>
                <w:u w:val="single"/>
                <w:lang w:val="en-US" w:eastAsia="zh-CN"/>
              </w:rPr>
              <w:t>可</w:t>
            </w:r>
            <w:r>
              <w:rPr>
                <w:rFonts w:hint="eastAsia" w:ascii="宋体" w:hAnsi="宋体" w:eastAsia="宋体"/>
                <w:b w:val="0"/>
                <w:color w:val="auto"/>
                <w:sz w:val="24"/>
                <w:highlight w:val="none"/>
                <w:u w:val="single"/>
              </w:rPr>
              <w:t>以通过书面形式提出，也可以通过线上提出质疑【通过线上向滁州市公共资源交易中心网电子交易系统提出质疑(具体操作步骤和程序请参见服务指南&gt;交易须知&gt;在线异议、质疑和投诉操作手册)】。一份质疑函只能针对一个项目提出质疑，且针对同一采购程序环节的质疑应当一次性提出。</w:t>
            </w:r>
          </w:p>
          <w:p w14:paraId="444DF615">
            <w:pPr>
              <w:pStyle w:val="48"/>
              <w:widowControl w:val="0"/>
              <w:spacing w:before="0" w:beforeAutospacing="0" w:after="0" w:afterAutospacing="0" w:line="360" w:lineRule="auto"/>
              <w:jc w:val="both"/>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b w:val="0"/>
                <w:color w:val="auto"/>
                <w:sz w:val="24"/>
                <w:highlight w:val="none"/>
              </w:rPr>
              <w:t>接收部门：</w:t>
            </w:r>
            <w:r>
              <w:rPr>
                <w:rFonts w:hint="eastAsia" w:ascii="宋体" w:hAnsi="宋体" w:eastAsia="宋体" w:cs="宋体"/>
                <w:b w:val="0"/>
                <w:bCs w:val="0"/>
                <w:color w:val="auto"/>
                <w:sz w:val="24"/>
                <w:szCs w:val="24"/>
                <w:highlight w:val="none"/>
                <w:u w:val="single"/>
                <w:lang w:val="en-US" w:eastAsia="zh-CN"/>
              </w:rPr>
              <w:t>滁州职业技术学院、滁州市城投工程咨询管理有限公司</w:t>
            </w:r>
          </w:p>
          <w:p w14:paraId="76253060">
            <w:pPr>
              <w:pStyle w:val="48"/>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ascii="宋体" w:hAnsi="宋体" w:eastAsia="宋体"/>
                <w:b w:val="0"/>
                <w:color w:val="auto"/>
                <w:sz w:val="24"/>
                <w:highlight w:val="none"/>
              </w:rPr>
              <w:t>联系电话：</w:t>
            </w:r>
            <w:r>
              <w:rPr>
                <w:rFonts w:hint="eastAsia" w:ascii="宋体" w:hAnsi="宋体" w:eastAsia="宋体" w:cs="宋体"/>
                <w:b w:val="0"/>
                <w:bCs/>
                <w:color w:val="auto"/>
                <w:kern w:val="0"/>
                <w:sz w:val="24"/>
                <w:szCs w:val="24"/>
                <w:highlight w:val="none"/>
                <w:u w:val="single"/>
                <w:lang w:val="en-US" w:eastAsia="zh-CN"/>
              </w:rPr>
              <w:t>0550-3854662、0550-3519519</w:t>
            </w:r>
          </w:p>
          <w:p w14:paraId="5E4295C2">
            <w:pPr>
              <w:pStyle w:val="48"/>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通讯地址：</w:t>
            </w:r>
            <w:r>
              <w:rPr>
                <w:rFonts w:hint="eastAsia" w:ascii="宋体" w:hAnsi="宋体" w:eastAsia="宋体" w:cs="宋体"/>
                <w:b w:val="0"/>
                <w:bCs/>
                <w:color w:val="auto"/>
                <w:kern w:val="0"/>
                <w:sz w:val="24"/>
                <w:szCs w:val="24"/>
                <w:highlight w:val="none"/>
                <w:u w:val="single"/>
                <w:lang w:eastAsia="zh-CN"/>
              </w:rPr>
              <w:t>滁州市南谯区丰乐大道2188号、滁州市龙蟠大道109号房产大厦6楼。</w:t>
            </w:r>
          </w:p>
        </w:tc>
      </w:tr>
      <w:tr w14:paraId="78A7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648" w:type="pct"/>
            <w:vAlign w:val="center"/>
          </w:tcPr>
          <w:p w14:paraId="680831F3">
            <w:pPr>
              <w:pStyle w:val="49"/>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98" w:type="pct"/>
            <w:vAlign w:val="center"/>
          </w:tcPr>
          <w:p w14:paraId="4AF3ABA3">
            <w:pPr>
              <w:pStyle w:val="48"/>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153" w:type="pct"/>
            <w:vAlign w:val="center"/>
          </w:tcPr>
          <w:p w14:paraId="2E6E5E11">
            <w:pPr>
              <w:pStyle w:val="48"/>
              <w:widowControl w:val="0"/>
              <w:numPr>
                <w:ilvl w:val="0"/>
                <w:numId w:val="0"/>
              </w:numPr>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2D3FA51A">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2A296D49">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72083E6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515C2645">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2801A5FF">
            <w:pPr>
              <w:pStyle w:val="48"/>
              <w:widowControl w:val="0"/>
              <w:numPr>
                <w:ilvl w:val="0"/>
                <w:numId w:val="0"/>
              </w:numPr>
              <w:spacing w:before="0" w:beforeAutospacing="0" w:after="0" w:afterAutospacing="0" w:line="360" w:lineRule="auto"/>
              <w:jc w:val="both"/>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448F20ED">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25AAD363">
            <w:pPr>
              <w:pStyle w:val="48"/>
              <w:widowControl w:val="0"/>
              <w:numPr>
                <w:ilvl w:val="0"/>
                <w:numId w:val="0"/>
              </w:numPr>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p w14:paraId="63C13A5B">
            <w:pPr>
              <w:pStyle w:val="48"/>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4、部分可提供线下政采贷的金融机构</w:t>
            </w:r>
          </w:p>
          <w:p w14:paraId="65D6B909">
            <w:pPr>
              <w:pStyle w:val="48"/>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市本级</w:t>
            </w:r>
          </w:p>
          <w:p w14:paraId="663FCCFD">
            <w:pPr>
              <w:pStyle w:val="48"/>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金融机构名称：兴业银行滁州分行</w:t>
            </w:r>
          </w:p>
          <w:p w14:paraId="6D490014">
            <w:pPr>
              <w:pStyle w:val="48"/>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default" w:cs="@仿宋_GB2312" w:asciiTheme="minorEastAsia" w:hAnsiTheme="minorEastAsia" w:eastAsiaTheme="minorEastAsia"/>
                <w:b w:val="0"/>
                <w:bCs/>
                <w:color w:val="auto"/>
                <w:kern w:val="2"/>
                <w:sz w:val="24"/>
                <w:szCs w:val="24"/>
                <w:highlight w:val="none"/>
                <w:lang w:val="en-US" w:eastAsia="zh-CN" w:bidi="ar-SA"/>
              </w:rPr>
              <w:t>安徽省滁州市琅琊区丰乐大道1090号</w:t>
            </w:r>
          </w:p>
          <w:p w14:paraId="4FE5686F">
            <w:pPr>
              <w:pStyle w:val="48"/>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俞冉：18256950224</w:t>
            </w:r>
          </w:p>
          <w:p w14:paraId="01E5E2FE">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5</w:t>
            </w:r>
            <w:r>
              <w:rPr>
                <w:rFonts w:hint="eastAsia" w:ascii="宋体" w:hAnsi="宋体" w:eastAsia="宋体" w:cs="宋体"/>
                <w:b w:val="0"/>
                <w:color w:val="auto"/>
                <w:kern w:val="2"/>
                <w:sz w:val="24"/>
                <w:szCs w:val="24"/>
                <w:highlight w:val="none"/>
              </w:rPr>
              <w:t>、特别提示：</w:t>
            </w:r>
          </w:p>
          <w:p w14:paraId="565D1237">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（1）投标人应填写投标信息并下载招标文件，否则无法上传投标文件。</w:t>
            </w:r>
          </w:p>
          <w:p w14:paraId="2A9478AD">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注：投标人如为联合体的，牵头人必须完善投标人信息，并在上传投标文件环节添加联合体投标信息。</w:t>
            </w:r>
          </w:p>
          <w:p w14:paraId="54D480DF">
            <w:pPr>
              <w:pStyle w:val="48"/>
              <w:keepNext w:val="0"/>
              <w:keepLines w:val="0"/>
              <w:pageBreakBefore w:val="0"/>
              <w:widowControl w:val="0"/>
              <w:kinsoku/>
              <w:wordWrap w:val="0"/>
              <w:overflowPunct/>
              <w:topLinePunct w:val="0"/>
              <w:autoSpaceDE/>
              <w:autoSpaceDN/>
              <w:bidi w:val="0"/>
              <w:adjustRightInd/>
              <w:snapToGrid/>
              <w:spacing w:before="0" w:beforeAutospacing="0" w:after="0" w:afterAutospacing="0" w:line="440" w:lineRule="exact"/>
              <w:jc w:val="both"/>
              <w:textAlignment w:val="auto"/>
              <w:rPr>
                <w:rFonts w:hint="eastAsia" w:ascii="宋体" w:hAnsi="宋体" w:eastAsia="宋体" w:cs="宋体"/>
                <w:b w:val="0"/>
                <w:color w:val="auto"/>
                <w:kern w:val="2"/>
                <w:sz w:val="24"/>
                <w:szCs w:val="24"/>
                <w:highlight w:val="none"/>
                <w:lang w:eastAsia="zh-CN"/>
              </w:rPr>
            </w:pPr>
            <w:r>
              <w:rPr>
                <w:rFonts w:hint="eastAsia" w:ascii="宋体" w:hAnsi="宋体" w:eastAsia="宋体" w:cs="宋体"/>
                <w:b w:val="0"/>
                <w:color w:val="auto"/>
                <w:kern w:val="2"/>
                <w:sz w:val="24"/>
                <w:szCs w:val="24"/>
                <w:highlight w:val="none"/>
              </w:rPr>
              <w:t>（2）本项目采用电子招标投标，请投标人在滁州市公共资源交易中心网&gt;服务指南&gt;软件下载栏目点击下载投标文件制作工具。投标人需采用最新版投标文件制作工具。软件运行需在国际互联网络通畅状态，投标人需注意更新，以免造成投标文件制作错误，如因此导致评标委员会否决其投标，责任自负。如有技术问题请联系0550-3801701，0512-58188516</w:t>
            </w:r>
            <w:r>
              <w:rPr>
                <w:rFonts w:hint="eastAsia" w:ascii="宋体" w:hAnsi="宋体" w:eastAsia="宋体" w:cs="宋体"/>
                <w:b w:val="0"/>
                <w:color w:val="auto"/>
                <w:kern w:val="2"/>
                <w:sz w:val="24"/>
                <w:szCs w:val="24"/>
                <w:highlight w:val="none"/>
                <w:lang w:eastAsia="zh-CN"/>
              </w:rPr>
              <w:t>。</w:t>
            </w:r>
          </w:p>
          <w:p w14:paraId="1FBA81D1">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（3）如果过程中出现招标文件更改，应以最后发布的招标答疑澄清文件中的模板制作本项目最新投标文件。</w:t>
            </w:r>
          </w:p>
          <w:p w14:paraId="3601E7E2">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 xml:space="preserve">（4）投标人应当用本单位CA数字证书制作投标文件，制作成功后进行投标文件上传。 </w:t>
            </w:r>
          </w:p>
          <w:p w14:paraId="068D74FF">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5）投标人须用CA数字证书盖章和加密投标文件，建议使用主锁。（如未办理CA数字证书请及时办理，网上办理和窗口办理均可。查看办理所需资料请登录滁州市公共资源交易中心网&gt;服务指南&gt;办事指南&gt;CA数字证书和电子签章。因未及时办理CA数字证书手续导致无法投标的，责任自负。</w:t>
            </w:r>
          </w:p>
          <w:p w14:paraId="76AE21C1">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（6）请投标人注意加密投标文件CA数字证书的有效期，不在有效期的CA数字证书无法解密投标文件。</w:t>
            </w:r>
          </w:p>
          <w:p w14:paraId="6C0D2CB2">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（7）投标人投标MAC地址或投标人联系人或联系电话相同的，由评标委员会否决其投标，并报告监管部门作不良行为处理和进一步调查。</w:t>
            </w:r>
          </w:p>
          <w:p w14:paraId="74C631BB">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（8）投标人单方面出现其他投标人材料的，由评标委员会否决其投标。</w:t>
            </w:r>
          </w:p>
          <w:p w14:paraId="371E3E0E">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9）评标时查询投标文件制作机器码、文件创建标识码及造价软件加密锁号。若存在投标文件制作机器码或创建标识码或造价软件加密锁号信息与其他投标人雷同的，由评标委员会否决其投标，依法依规予以处理。</w:t>
            </w:r>
          </w:p>
          <w:p w14:paraId="2590192C">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10）电子加密投标文件上传到系统后，需要投标企业和招标代理公司到开标截止时间后共同解锁，不存在商务报价等投标信息通过系统泄密的风险；投标截止时间前，已上传的投标文件也可以撤回修改。集中到开标截止时间前上传电子加密投标文件，可能出现由于投标企业制作电子投标文件不熟练、网络拥堵等不可预知的情况而且无法及时解决，丧失投标机会，请各投标企业提前制作、上传电子加密投标文件，否则由于无法及时上传电子加密投标文件而废标或无效投标的情况，责任自负！</w:t>
            </w:r>
          </w:p>
          <w:p w14:paraId="5A54456D">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6</w:t>
            </w:r>
            <w:r>
              <w:rPr>
                <w:rFonts w:hint="eastAsia" w:ascii="宋体" w:hAnsi="宋体" w:eastAsia="宋体" w:cs="宋体"/>
                <w:b w:val="0"/>
                <w:color w:val="auto"/>
                <w:kern w:val="2"/>
                <w:sz w:val="24"/>
                <w:szCs w:val="24"/>
                <w:highlight w:val="none"/>
                <w:lang w:eastAsia="zh-CN"/>
              </w:rPr>
              <w:t>、</w:t>
            </w:r>
            <w:r>
              <w:rPr>
                <w:rFonts w:hint="eastAsia" w:ascii="宋体" w:hAnsi="宋体" w:eastAsia="宋体" w:cs="宋体"/>
                <w:b w:val="0"/>
                <w:color w:val="auto"/>
                <w:kern w:val="2"/>
                <w:sz w:val="24"/>
                <w:szCs w:val="24"/>
                <w:highlight w:val="none"/>
              </w:rPr>
              <w:t>评标过程中的澄清、说明或补正：</w:t>
            </w:r>
          </w:p>
          <w:p w14:paraId="45B5B919">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（1）评标委员会通过网上招投标系统将需要澄清、说明或补正的内容以询标函的形式发送给投标人，投标人应安排专人登录网上招投标系统并保持在线状态，以便及时接收评标委员会可能发出的询标函。</w:t>
            </w:r>
          </w:p>
          <w:p w14:paraId="216342A2">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2）因投标人未登录网上招投标系统导致无法及时接收询标函（远程网上询标）或未在规定时间内按评标委员会要求进行澄清、说明或补正内容的视同投标人放弃澄清、说明或补正内容的权利，评标委员会可按对投标人不利的解释进行判定。</w:t>
            </w:r>
          </w:p>
          <w:p w14:paraId="57119214">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lang w:val="en-US" w:eastAsia="zh-CN"/>
              </w:rPr>
              <w:t>7</w:t>
            </w:r>
            <w:r>
              <w:rPr>
                <w:rFonts w:hint="eastAsia" w:ascii="宋体" w:hAnsi="宋体" w:eastAsia="宋体" w:cs="宋体"/>
                <w:b w:val="0"/>
                <w:color w:val="auto"/>
                <w:kern w:val="2"/>
                <w:sz w:val="24"/>
                <w:szCs w:val="24"/>
                <w:highlight w:val="none"/>
                <w:lang w:eastAsia="zh-CN"/>
              </w:rPr>
              <w:t>、</w:t>
            </w:r>
            <w:r>
              <w:rPr>
                <w:rFonts w:hint="eastAsia" w:ascii="宋体" w:hAnsi="宋体" w:eastAsia="宋体" w:cs="宋体"/>
                <w:b w:val="0"/>
                <w:color w:val="auto"/>
                <w:kern w:val="2"/>
                <w:sz w:val="24"/>
                <w:szCs w:val="24"/>
                <w:highlight w:val="none"/>
              </w:rPr>
              <w:t>同义词语：</w:t>
            </w:r>
          </w:p>
          <w:p w14:paraId="5B463980">
            <w:pPr>
              <w:pStyle w:val="48"/>
              <w:widowControl w:val="0"/>
              <w:spacing w:before="0" w:beforeAutospacing="0" w:after="0" w:afterAutospacing="0" w:line="440" w:lineRule="exact"/>
              <w:jc w:val="both"/>
              <w:rPr>
                <w:rFonts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招标文件第六章  投标文件格式、附件1“关于联合惩戒失信行为 加强信用查询管理的通知”等章节中 “招标人”、“供应商”，等同于“采购人”、“投标人”。</w:t>
            </w:r>
          </w:p>
          <w:p w14:paraId="3AC577FF">
            <w:pPr>
              <w:pStyle w:val="48"/>
              <w:widowControl w:val="0"/>
              <w:numPr>
                <w:ilvl w:val="0"/>
                <w:numId w:val="2"/>
              </w:numPr>
              <w:spacing w:before="0" w:beforeAutospacing="0" w:after="0" w:afterAutospacing="0" w:line="360" w:lineRule="auto"/>
              <w:jc w:val="both"/>
              <w:rPr>
                <w:rFonts w:hint="eastAsia" w:ascii="宋体" w:hAnsi="宋体" w:eastAsia="宋体" w:cs="宋体"/>
                <w:b w:val="0"/>
                <w:color w:val="auto"/>
                <w:kern w:val="2"/>
                <w:sz w:val="24"/>
                <w:szCs w:val="24"/>
                <w:highlight w:val="none"/>
              </w:rPr>
            </w:pPr>
            <w:r>
              <w:rPr>
                <w:rFonts w:hint="eastAsia" w:ascii="宋体" w:hAnsi="宋体" w:eastAsia="宋体" w:cs="宋体"/>
                <w:b w:val="0"/>
                <w:color w:val="auto"/>
                <w:kern w:val="2"/>
                <w:sz w:val="24"/>
                <w:szCs w:val="24"/>
                <w:highlight w:val="none"/>
              </w:rPr>
              <w:t>落实政府采购支持节能产品、环境标志产品政策。</w:t>
            </w:r>
          </w:p>
          <w:p w14:paraId="40540A7D">
            <w:pPr>
              <w:pStyle w:val="48"/>
              <w:widowControl w:val="0"/>
              <w:numPr>
                <w:ilvl w:val="0"/>
                <w:numId w:val="2"/>
              </w:numPr>
              <w:spacing w:before="0" w:beforeAutospacing="0" w:after="0" w:afterAutospacing="0" w:line="360" w:lineRule="auto"/>
              <w:jc w:val="both"/>
              <w:rPr>
                <w:rFonts w:hint="default" w:ascii="宋体" w:hAnsi="宋体" w:eastAsia="宋体" w:cs="宋体"/>
                <w:b w:val="0"/>
                <w:color w:val="auto"/>
                <w:kern w:val="2"/>
                <w:sz w:val="24"/>
                <w:szCs w:val="24"/>
                <w:highlight w:val="none"/>
                <w:lang w:val="en-US" w:eastAsia="zh-CN"/>
              </w:rPr>
            </w:pPr>
            <w:r>
              <w:rPr>
                <w:rFonts w:hint="eastAsia" w:ascii="宋体" w:hAnsi="宋体" w:eastAsia="宋体" w:cs="宋体"/>
                <w:b w:val="0"/>
                <w:color w:val="auto"/>
                <w:kern w:val="2"/>
                <w:sz w:val="24"/>
                <w:szCs w:val="24"/>
                <w:highlight w:val="none"/>
              </w:rPr>
              <w:t>系统中提供的表格与采购文件中不一致时，以采购文件中提供的表格格式为准。</w:t>
            </w:r>
          </w:p>
        </w:tc>
      </w:tr>
    </w:tbl>
    <w:p w14:paraId="6431A4B3">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5" w:name="_Toc14880"/>
      <w:bookmarkStart w:id="6" w:name="_Toc24882"/>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5"/>
      <w:bookmarkEnd w:id="6"/>
    </w:p>
    <w:p w14:paraId="668B370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242FBFF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176A4CA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1C59FE1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3D60C2AF">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420B64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117ADA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2A8E3D1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527672E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462FCD7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194BC378">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42BAB54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744A192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0497C7D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74AC4E3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1E53B49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4117412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46B35E0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19E5C0FC">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171D60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6297239E">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2F4C7AAE">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02CB6557">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02A415CB">
      <w:pPr>
        <w:spacing w:line="360" w:lineRule="auto"/>
        <w:ind w:firstLine="435"/>
        <w:rPr>
          <w:rFonts w:hint="eastAsia" w:asciiTheme="minorEastAsia" w:hAnsiTheme="minorEastAsia" w:eastAsiaTheme="minorEastAsia"/>
          <w:b/>
          <w:color w:val="auto"/>
          <w:sz w:val="24"/>
          <w:highlight w:val="none"/>
          <w:lang w:val="en-US" w:eastAsia="zh-CN"/>
        </w:rPr>
      </w:pPr>
      <w:r>
        <w:rPr>
          <w:rFonts w:hint="eastAsia" w:ascii="宋体" w:hAnsi="宋体" w:eastAsia="宋体"/>
          <w:color w:val="auto"/>
          <w:sz w:val="24"/>
          <w:highlight w:val="none"/>
        </w:rPr>
        <w:t>本项目采购人、采购代理机构、投标人、评标委员会的相关行为均受《中华人民共和国政府采购法》、《中华人民共和国政府采购法实施条例》</w:t>
      </w:r>
      <w:r>
        <w:rPr>
          <w:rFonts w:hint="eastAsia" w:ascii="宋体" w:hAnsi="宋体" w:eastAsia="宋体"/>
          <w:color w:val="auto"/>
          <w:sz w:val="24"/>
          <w:highlight w:val="none"/>
          <w:lang w:val="en-US" w:eastAsia="zh-CN"/>
        </w:rPr>
        <w:t>及</w:t>
      </w:r>
      <w:r>
        <w:rPr>
          <w:rFonts w:hint="eastAsia" w:ascii="宋体" w:hAnsi="宋体" w:eastAsia="宋体"/>
          <w:color w:val="auto"/>
          <w:sz w:val="24"/>
          <w:highlight w:val="none"/>
        </w:rPr>
        <w:t>本项目本级和上级财政部门、政府采购监督管理部门的政府采购有关规定的约束，其权利受到上述法律法规的保护。</w:t>
      </w:r>
    </w:p>
    <w:p w14:paraId="441050DA">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5.招标文件构成</w:t>
      </w:r>
    </w:p>
    <w:p w14:paraId="6558FB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59083EC0">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4A47DF31">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49A91E2F">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0FF1D7A8">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54446C9C">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0CCB890F">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543021DA">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055626F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3FCD7B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12DF3E12">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615063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投标人应认真阅读招标文件所有的事项、格式、条款和技术规范等。</w:t>
      </w:r>
    </w:p>
    <w:p w14:paraId="02D1D58D">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6.招标文件的澄清与修改</w:t>
      </w:r>
    </w:p>
    <w:p w14:paraId="25A987D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79AC70F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27C771F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7FC06321">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028A2520">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7.投标范围及投标文件中标准和计量单位的使用</w:t>
      </w:r>
    </w:p>
    <w:p w14:paraId="58F7AB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69609F5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1D2C9250">
      <w:pPr>
        <w:spacing w:line="360" w:lineRule="auto"/>
        <w:ind w:firstLine="435"/>
        <w:rPr>
          <w:rFonts w:asciiTheme="minorEastAsia" w:hAnsiTheme="minorEastAsia" w:eastAsiaTheme="minorEastAsia"/>
          <w:color w:val="auto"/>
          <w:sz w:val="24"/>
          <w:highlight w:val="none"/>
        </w:rPr>
      </w:pPr>
      <w:bookmarkStart w:id="7"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bookmarkEnd w:id="7"/>
    <w:p w14:paraId="569A83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7D208F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0F3B6DF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57AD6A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33ABD605">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8" w:name="_Hlk11703583"/>
      <w:r>
        <w:rPr>
          <w:rFonts w:hint="eastAsia" w:asciiTheme="minorEastAsia" w:hAnsiTheme="minorEastAsia" w:eastAsiaTheme="minorEastAsia"/>
          <w:color w:val="auto"/>
          <w:sz w:val="24"/>
          <w:highlight w:val="none"/>
          <w:lang w:val="en-US" w:eastAsia="zh-CN"/>
        </w:rPr>
        <w:t>等。</w:t>
      </w:r>
    </w:p>
    <w:bookmarkEnd w:id="8"/>
    <w:p w14:paraId="2796484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7D1F4E0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762E0D4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71D5DBC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574224E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46062A1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1898E52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32D04AF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34731D5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0130DC8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4F586CA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7573CD0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1B0FCDA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6A4B6FD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4CD7BE4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27A1AC3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547E1A9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7B75EB1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17ADBE1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0063C0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1CF202A0">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03CC385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7D0B94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6F4EBAF5">
      <w:pPr>
        <w:spacing w:line="360" w:lineRule="auto"/>
        <w:ind w:firstLine="435"/>
        <w:rPr>
          <w:rFonts w:hint="eastAsia" w:ascii="宋体" w:hAnsi="宋体" w:eastAsia="宋体" w:cs="宋体"/>
          <w:color w:val="auto"/>
          <w:sz w:val="24"/>
          <w:szCs w:val="24"/>
          <w:highlight w:val="none"/>
        </w:rPr>
      </w:pPr>
      <w:bookmarkStart w:id="9"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6566DEF0">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6CBAC1D">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9"/>
    <w:p w14:paraId="7A20BC7A">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4D1E9E7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1B584A4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47A9D7A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2E53AA1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066AB25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2EFF0B1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载明核心产品，多家投标人提供的核心产品品牌相同的，按第</w:t>
      </w: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3AC40EB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7CD5800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0961D7C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40A06FE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11859A8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3B79E89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5投标文件报价出现前后不一致的，按照下列规定修正：</w:t>
      </w:r>
    </w:p>
    <w:p w14:paraId="7AC4F985">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500075ED">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70A45A0E">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2BEEC7B3">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74F85533">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777D22E0">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42C6CD3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161C460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6BF222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4AC17E5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1079149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158696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46F1DAF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48FA6C1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28D4E7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63D80205">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75F5E2D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7D41E40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25A3CA5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3E28CAE7">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7A67630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7644AA9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6B923B4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1A6CAF4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2F4EBB2A">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4842AD6F">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259D140B">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6C7CBAE">
      <w:pPr>
        <w:pStyle w:val="4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6B04861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3000320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68C6DAE5">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2467CC2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7D5C060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10E041C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28EB21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4485257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6A49F7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25A4C4B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57D16F4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09C8316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455AC99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66BA1BE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02AB491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则所投产品为节能产品、环境标志产品、不发达地区或少数民族地区产品者优先；若报价相同且所投产品同为节能产品、环境标志产品、不发达地区或少数民族地区产品的，则采取评标委员会随机抽取的方式确定中标候选顺序。</w:t>
      </w:r>
    </w:p>
    <w:p w14:paraId="6D0045F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，则所投产品为节能产品、环境标志产品、不发达地区或少数民族地区产品者优先；若</w:t>
      </w:r>
      <w:r>
        <w:rPr>
          <w:rFonts w:asciiTheme="minorEastAsia" w:hAnsiTheme="minorEastAsia" w:eastAsiaTheme="minorEastAsia"/>
          <w:color w:val="auto"/>
          <w:sz w:val="24"/>
          <w:highlight w:val="none"/>
        </w:rPr>
        <w:t>得分与投标报价均相同</w:t>
      </w:r>
      <w:r>
        <w:rPr>
          <w:rFonts w:hint="eastAsia" w:asciiTheme="minorEastAsia" w:hAnsiTheme="minorEastAsia" w:eastAsiaTheme="minorEastAsia"/>
          <w:color w:val="auto"/>
          <w:sz w:val="24"/>
          <w:highlight w:val="none"/>
        </w:rPr>
        <w:t>且所投产品同为节能产品、环境标志产品、不发达地区或少数民族地区产品的，则采取评标委员会随机抽取的方式确定中标候选顺序。</w:t>
      </w:r>
    </w:p>
    <w:p w14:paraId="458195C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10CEB1F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483DBDB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1C255BB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AD5AB3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5D5B23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72CD76E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446F69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6E253DAF">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自中标人确定之日起2个工作日内，采购代理机构将在安徽省政府采购网（www.ccgp-anhui.gov.cn）上发布中标结果公告。</w:t>
      </w:r>
    </w:p>
    <w:p w14:paraId="5DB84F1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7B1004D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49AB74CD">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030B5C0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68615AA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212C7E3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468E6B5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15D50BC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C31348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4D8BF90C">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217A959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7EC9216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3DDD0C8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4C2233D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003355E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2A53AA1F">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655EA7B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4FA184DC">
      <w:pPr>
        <w:spacing w:line="360" w:lineRule="auto"/>
        <w:ind w:firstLine="437"/>
        <w:outlineLvl w:val="2"/>
        <w:rPr>
          <w:rFonts w:asciiTheme="minorEastAsia" w:hAnsiTheme="minorEastAsia" w:eastAsiaTheme="minorEastAsia"/>
          <w:b/>
          <w:color w:val="auto"/>
          <w:sz w:val="24"/>
          <w:highlight w:val="none"/>
        </w:rPr>
      </w:pPr>
      <w:bookmarkStart w:id="10" w:name="_Toc518923100"/>
      <w:bookmarkStart w:id="11" w:name="_Toc2583661"/>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10"/>
      <w:bookmarkEnd w:id="11"/>
    </w:p>
    <w:p w14:paraId="6D8CB0F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01A5B55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0A4EF0E7">
      <w:pPr>
        <w:spacing w:line="360" w:lineRule="auto"/>
        <w:ind w:firstLine="437"/>
        <w:outlineLvl w:val="2"/>
        <w:rPr>
          <w:rFonts w:asciiTheme="minorEastAsia" w:hAnsiTheme="minorEastAsia" w:eastAsiaTheme="minorEastAsia"/>
          <w:b/>
          <w:color w:val="auto"/>
          <w:sz w:val="24"/>
          <w:highlight w:val="none"/>
        </w:rPr>
      </w:pPr>
      <w:bookmarkStart w:id="12" w:name="_Toc518923101"/>
      <w:bookmarkStart w:id="13" w:name="_Toc2583662"/>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12"/>
      <w:bookmarkEnd w:id="13"/>
    </w:p>
    <w:p w14:paraId="334DF23C">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1EECE72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3125661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78D06F4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4C88D3EB">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366B3D43">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304C5FA7">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32.投诉</w:t>
      </w:r>
    </w:p>
    <w:p w14:paraId="137791EA">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highlight w:val="none"/>
        </w:rPr>
      </w:pPr>
      <w:r>
        <w:rPr>
          <w:rFonts w:hint="eastAsia" w:ascii="宋体" w:hAnsi="宋体" w:eastAsia="宋体"/>
          <w:color w:val="auto"/>
          <w:sz w:val="24"/>
          <w:highlight w:val="none"/>
        </w:rPr>
        <w:t>32.1质疑投标人对采购人、采购代理机构的答复不满意，或者采购人、采购代理机构未在规定的时间内答复的，可以在答复期满后十五个工作日内按有关规定，以书面形式（http://ggzy.chuzhou.gov.cn/fwzn/011001/011001001/011001001003/20200727/7fb88e17-63dd-4f17-b17c-290526c6eda8.html）向同级政府采购监督管理部门提出投诉或者线上提交投诉材料（http://ggzy.chuzhou.gov.cn/fwzn/011001/011001001/011001001003/20200221/b079d9ca-90f2-4cce-aa7c-94a444e7ac91.html）。</w:t>
      </w:r>
    </w:p>
    <w:p w14:paraId="7D7EC294">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highlight w:val="none"/>
        </w:rPr>
      </w:pPr>
      <w:r>
        <w:rPr>
          <w:rFonts w:hint="eastAsia" w:ascii="宋体" w:hAnsi="宋体" w:eastAsia="宋体"/>
          <w:color w:val="auto"/>
          <w:sz w:val="24"/>
          <w:highlight w:val="none"/>
        </w:rPr>
        <w:t>32.2政府采购监督管理部门应当在收到投诉后30个工作日内，对投诉事项作出处理决定，并以书面形式通知投诉人和与投诉事项有关的当事人，并在安徽省政府采购网公告。政府采购监督管理部门处理投诉事项，需要检验、检测、鉴定、专家评审以及需要投诉人补正材料的，所需时间不计算在投诉处理期限内。</w:t>
      </w:r>
    </w:p>
    <w:p w14:paraId="28A2EB76">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olor w:val="auto"/>
          <w:sz w:val="24"/>
          <w:highlight w:val="none"/>
        </w:rPr>
      </w:pPr>
      <w:r>
        <w:rPr>
          <w:rFonts w:hint="eastAsia" w:ascii="宋体" w:hAnsi="宋体" w:eastAsia="宋体"/>
          <w:color w:val="auto"/>
          <w:sz w:val="24"/>
          <w:highlight w:val="none"/>
        </w:rPr>
        <w:t>32.3政府采购监督管理部门在处理投诉事项期间，可以视具体情况书面通知采购人暂停采购活动，但暂停时间最长不得超过30日。</w:t>
      </w:r>
    </w:p>
    <w:p w14:paraId="7D840B3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723281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458CF41B">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2A9083E3">
      <w:pPr>
        <w:spacing w:line="360" w:lineRule="auto"/>
        <w:jc w:val="center"/>
        <w:outlineLvl w:val="0"/>
        <w:rPr>
          <w:rFonts w:hint="eastAsia" w:asciiTheme="minorEastAsia" w:hAnsiTheme="minorEastAsia" w:eastAsiaTheme="minorEastAsia"/>
          <w:b/>
          <w:color w:val="auto"/>
          <w:sz w:val="28"/>
          <w:highlight w:val="none"/>
          <w:lang w:eastAsia="zh-CN"/>
        </w:rPr>
      </w:pPr>
      <w:bookmarkStart w:id="14" w:name="_Toc10891"/>
      <w:r>
        <w:rPr>
          <w:rFonts w:hint="eastAsia" w:asciiTheme="minorEastAsia" w:hAnsiTheme="minorEastAsia" w:eastAsiaTheme="minorEastAsia"/>
          <w:b/>
          <w:color w:val="auto"/>
          <w:sz w:val="28"/>
          <w:highlight w:val="none"/>
        </w:rPr>
        <w:t>第三章  采购需求</w:t>
      </w:r>
      <w:bookmarkEnd w:id="14"/>
    </w:p>
    <w:p w14:paraId="155607F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4DAF85DA">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rPr>
        <w:t>政府采购进口产品管理办法</w:t>
      </w:r>
      <w:r>
        <w:rPr>
          <w:rFonts w:ascii="宋体" w:hAnsi="宋体" w:eastAsia="宋体"/>
          <w:color w:val="auto"/>
          <w:sz w:val="24"/>
          <w:szCs w:val="18"/>
          <w:highlight w:val="none"/>
        </w:rPr>
        <w:t>》及政府采购管理部门的相关规定，下列采购需求中</w:t>
      </w:r>
      <w:r>
        <w:rPr>
          <w:rFonts w:hint="eastAsia" w:ascii="宋体" w:hAnsi="宋体" w:eastAsia="宋体"/>
          <w:color w:val="auto"/>
          <w:sz w:val="24"/>
          <w:szCs w:val="18"/>
          <w:highlight w:val="none"/>
        </w:rPr>
        <w:t>标注进口产品的货物均</w:t>
      </w:r>
      <w:r>
        <w:rPr>
          <w:rFonts w:ascii="宋体" w:hAnsi="宋体" w:eastAsia="宋体"/>
          <w:color w:val="auto"/>
          <w:sz w:val="24"/>
          <w:szCs w:val="18"/>
          <w:highlight w:val="none"/>
        </w:rPr>
        <w:t>已履行相关论证手续，经核准采购进口</w:t>
      </w:r>
      <w:r>
        <w:rPr>
          <w:rFonts w:hint="eastAsia" w:ascii="宋体" w:hAnsi="宋体" w:eastAsia="宋体"/>
          <w:color w:val="auto"/>
          <w:sz w:val="24"/>
          <w:szCs w:val="18"/>
          <w:highlight w:val="none"/>
        </w:rPr>
        <w:t>产品</w:t>
      </w:r>
      <w:r>
        <w:rPr>
          <w:rFonts w:ascii="宋体" w:hAnsi="宋体" w:eastAsia="宋体"/>
          <w:color w:val="auto"/>
          <w:sz w:val="24"/>
          <w:szCs w:val="18"/>
          <w:highlight w:val="none"/>
        </w:rPr>
        <w:t>，但不限制满足招标文件要求的国内产品参与竞争</w:t>
      </w:r>
      <w:r>
        <w:rPr>
          <w:rFonts w:hint="eastAsia" w:ascii="宋体" w:hAnsi="宋体" w:eastAsia="宋体"/>
          <w:color w:val="auto"/>
          <w:sz w:val="24"/>
          <w:szCs w:val="18"/>
          <w:highlight w:val="none"/>
        </w:rPr>
        <w:t>。未标注进口产品的货物均</w:t>
      </w:r>
      <w:r>
        <w:rPr>
          <w:rFonts w:ascii="宋体" w:hAnsi="宋体" w:eastAsia="宋体"/>
          <w:color w:val="auto"/>
          <w:sz w:val="24"/>
          <w:szCs w:val="18"/>
          <w:highlight w:val="none"/>
        </w:rPr>
        <w:t>为拒绝采购进口产品</w:t>
      </w:r>
      <w:r>
        <w:rPr>
          <w:rFonts w:hint="eastAsia" w:ascii="宋体" w:hAnsi="宋体" w:eastAsia="宋体"/>
          <w:color w:val="auto"/>
          <w:sz w:val="24"/>
          <w:szCs w:val="18"/>
          <w:highlight w:val="none"/>
        </w:rPr>
        <w:t>。</w:t>
      </w:r>
    </w:p>
    <w:p w14:paraId="6CAF7AC6">
      <w:pPr>
        <w:spacing w:line="360" w:lineRule="auto"/>
        <w:ind w:firstLine="435"/>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w:t>
      </w:r>
      <w:r>
        <w:rPr>
          <w:rFonts w:hint="eastAsia" w:ascii="宋体" w:hAnsi="宋体" w:eastAsia="宋体"/>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w:t>
      </w:r>
    </w:p>
    <w:p w14:paraId="266272B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（1）如属于《节能产品政府采购品目清单》中政府强制采购的节能产品，则在投标文件中提供</w:t>
      </w:r>
      <w:r>
        <w:rPr>
          <w:rFonts w:hint="eastAsia" w:ascii="宋体" w:hAnsi="宋体" w:eastAsia="宋体" w:cs="宋体"/>
          <w:color w:val="auto"/>
          <w:sz w:val="24"/>
          <w:szCs w:val="24"/>
          <w:highlight w:val="none"/>
          <w:lang w:val="en-US" w:eastAsia="zh-CN"/>
        </w:rPr>
        <w:t>所投</w:t>
      </w:r>
      <w:r>
        <w:rPr>
          <w:rFonts w:hint="eastAsia" w:ascii="宋体" w:hAnsi="宋体" w:eastAsia="宋体" w:cs="宋体"/>
          <w:color w:val="auto"/>
          <w:sz w:val="24"/>
          <w:szCs w:val="24"/>
          <w:highlight w:val="none"/>
        </w:rPr>
        <w:t>产品须具有市场监管总局公布的《参与实施政府采购节能产品认证机构目录》中的认证机构出具的、处于有效期内的节能产品认证证书。</w:t>
      </w:r>
    </w:p>
    <w:p w14:paraId="412FB852">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3CEDBEE3">
      <w:pPr>
        <w:spacing w:line="360" w:lineRule="auto"/>
        <w:ind w:firstLine="435"/>
        <w:rPr>
          <w:rFonts w:hint="eastAsia" w:eastAsia="宋体"/>
          <w:color w:val="auto"/>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olor w:val="auto"/>
          <w:sz w:val="24"/>
          <w:szCs w:val="18"/>
          <w:highlight w:val="none"/>
        </w:rPr>
        <w:t>如采购人允许采用分包方式履行合同的，应当明确可以分包履行的相关内容</w:t>
      </w:r>
      <w:r>
        <w:rPr>
          <w:rFonts w:hint="eastAsia" w:ascii="宋体" w:hAnsi="宋体" w:eastAsia="宋体"/>
          <w:color w:val="auto"/>
          <w:sz w:val="24"/>
          <w:szCs w:val="18"/>
          <w:highlight w:val="none"/>
          <w:lang w:eastAsia="zh-CN"/>
        </w:rPr>
        <w:t>：</w:t>
      </w:r>
      <w:r>
        <w:rPr>
          <w:rFonts w:hint="eastAsia" w:ascii="宋体" w:hAnsi="宋体" w:eastAsia="宋体" w:cs="宋体"/>
          <w:b/>
          <w:bCs/>
          <w:color w:val="auto"/>
          <w:sz w:val="24"/>
          <w:szCs w:val="24"/>
          <w:highlight w:val="none"/>
          <w:lang w:val="en-US" w:eastAsia="zh-CN"/>
        </w:rPr>
        <w:t>本项目不允许分包</w:t>
      </w:r>
      <w:r>
        <w:rPr>
          <w:rFonts w:hint="eastAsia" w:ascii="宋体" w:hAnsi="宋体" w:eastAsia="宋体" w:cs="宋体"/>
          <w:color w:val="auto"/>
          <w:sz w:val="24"/>
          <w:szCs w:val="24"/>
          <w:highlight w:val="none"/>
          <w:lang w:val="en-US" w:eastAsia="zh-CN"/>
        </w:rPr>
        <w:t>。</w:t>
      </w:r>
    </w:p>
    <w:p w14:paraId="7DA6367F">
      <w:pPr>
        <w:spacing w:line="360" w:lineRule="auto"/>
        <w:ind w:firstLine="437"/>
        <w:outlineLvl w:val="1"/>
        <w:rPr>
          <w:rFonts w:ascii="宋体" w:hAnsi="宋体" w:eastAsia="宋体"/>
          <w:b/>
          <w:color w:val="auto"/>
          <w:sz w:val="24"/>
          <w:szCs w:val="18"/>
          <w:highlight w:val="none"/>
        </w:rPr>
      </w:pPr>
      <w:bookmarkStart w:id="15" w:name="_Toc32151"/>
      <w:bookmarkStart w:id="16" w:name="_Toc2554"/>
      <w:r>
        <w:rPr>
          <w:rFonts w:hint="eastAsia" w:ascii="宋体" w:hAnsi="宋体" w:eastAsia="宋体"/>
          <w:b/>
          <w:color w:val="auto"/>
          <w:sz w:val="24"/>
          <w:szCs w:val="18"/>
          <w:highlight w:val="none"/>
        </w:rPr>
        <w:t>一、采购需求前附表</w:t>
      </w:r>
      <w:bookmarkEnd w:id="15"/>
      <w:bookmarkEnd w:id="16"/>
    </w:p>
    <w:tbl>
      <w:tblPr>
        <w:tblStyle w:val="27"/>
        <w:tblW w:w="550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2026"/>
        <w:gridCol w:w="6592"/>
      </w:tblGrid>
      <w:tr w14:paraId="4B74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5" w:type="pct"/>
            <w:vAlign w:val="center"/>
          </w:tcPr>
          <w:p w14:paraId="29A4C650">
            <w:pPr>
              <w:pStyle w:val="49"/>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080" w:type="pct"/>
            <w:vAlign w:val="center"/>
          </w:tcPr>
          <w:p w14:paraId="0141ECE0">
            <w:pPr>
              <w:pStyle w:val="48"/>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514" w:type="pct"/>
            <w:vAlign w:val="center"/>
          </w:tcPr>
          <w:p w14:paraId="11F55382">
            <w:pPr>
              <w:pStyle w:val="48"/>
              <w:widowControl w:val="0"/>
              <w:spacing w:before="0" w:beforeAutospacing="0" w:after="0" w:afterAutospacing="0" w:line="360" w:lineRule="auto"/>
              <w:rPr>
                <w:rFonts w:ascii="宋体" w:hAnsi="宋体" w:eastAsia="宋体"/>
                <w:bCs w:val="0"/>
                <w:color w:val="auto"/>
                <w:sz w:val="24"/>
                <w:highlight w:val="none"/>
                <w:u w:val="none"/>
              </w:rPr>
            </w:pPr>
            <w:r>
              <w:rPr>
                <w:rFonts w:hint="eastAsia" w:ascii="宋体" w:hAnsi="宋体" w:eastAsia="宋体"/>
                <w:bCs w:val="0"/>
                <w:color w:val="auto"/>
                <w:sz w:val="24"/>
                <w:highlight w:val="none"/>
                <w:u w:val="none"/>
              </w:rPr>
              <w:t>内容、说明与要求</w:t>
            </w:r>
          </w:p>
        </w:tc>
      </w:tr>
      <w:tr w14:paraId="079BA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5" w:type="pct"/>
            <w:vAlign w:val="center"/>
          </w:tcPr>
          <w:p w14:paraId="74B25C8E">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080" w:type="pct"/>
            <w:vAlign w:val="center"/>
          </w:tcPr>
          <w:p w14:paraId="069DAAB5">
            <w:pPr>
              <w:pStyle w:val="48"/>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514" w:type="pct"/>
            <w:vAlign w:val="center"/>
          </w:tcPr>
          <w:p w14:paraId="0327E493">
            <w:pPr>
              <w:pStyle w:val="48"/>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rPr>
              <w:t>合同签订且具备实施条件后，支付合同价的40%预付款（预付款支付前，中标人须提供同等金额的见索即付保函），全部供货安装调试完毕并</w:t>
            </w:r>
            <w:r>
              <w:rPr>
                <w:rFonts w:hint="eastAsia" w:ascii="宋体" w:hAnsi="宋体" w:eastAsia="宋体"/>
                <w:b w:val="0"/>
                <w:color w:val="auto"/>
                <w:sz w:val="24"/>
                <w:highlight w:val="none"/>
                <w:lang w:val="en-US" w:eastAsia="zh-CN"/>
              </w:rPr>
              <w:t>经</w:t>
            </w:r>
            <w:r>
              <w:rPr>
                <w:rFonts w:hint="eastAsia" w:ascii="宋体" w:hAnsi="宋体" w:eastAsia="宋体"/>
                <w:b w:val="0"/>
                <w:color w:val="auto"/>
                <w:sz w:val="24"/>
                <w:highlight w:val="none"/>
              </w:rPr>
              <w:t>验收合格后，</w:t>
            </w:r>
            <w:r>
              <w:rPr>
                <w:rFonts w:hint="eastAsia" w:ascii="宋体" w:hAnsi="宋体" w:eastAsia="宋体"/>
                <w:b w:val="0"/>
                <w:color w:val="auto"/>
                <w:sz w:val="24"/>
                <w:highlight w:val="none"/>
                <w:lang w:val="en-US" w:eastAsia="zh-CN"/>
              </w:rPr>
              <w:t>采购人支付剩余合同价款。</w:t>
            </w:r>
          </w:p>
        </w:tc>
      </w:tr>
      <w:tr w14:paraId="205B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5" w:type="pct"/>
            <w:vAlign w:val="center"/>
          </w:tcPr>
          <w:p w14:paraId="4D75047D">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080" w:type="pct"/>
            <w:vAlign w:val="center"/>
          </w:tcPr>
          <w:p w14:paraId="0AEBE4CE">
            <w:pPr>
              <w:pStyle w:val="48"/>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514" w:type="pct"/>
            <w:vAlign w:val="center"/>
          </w:tcPr>
          <w:p w14:paraId="21512BD8">
            <w:pPr>
              <w:pStyle w:val="48"/>
              <w:widowControl w:val="0"/>
              <w:spacing w:before="0" w:beforeAutospacing="0" w:after="0" w:afterAutospacing="0" w:line="360" w:lineRule="auto"/>
              <w:jc w:val="both"/>
              <w:rPr>
                <w:rFonts w:hint="eastAsia" w:ascii="宋体" w:hAnsi="宋体" w:eastAsia="宋体"/>
                <w:b w:val="0"/>
                <w:color w:val="auto"/>
                <w:sz w:val="24"/>
                <w:highlight w:val="none"/>
                <w:u w:val="none"/>
              </w:rPr>
            </w:pPr>
            <w:r>
              <w:rPr>
                <w:rFonts w:hint="eastAsia" w:ascii="宋体" w:hAnsi="宋体" w:eastAsia="宋体"/>
                <w:b w:val="0"/>
                <w:color w:val="auto"/>
                <w:sz w:val="24"/>
                <w:highlight w:val="none"/>
                <w:u w:val="none"/>
                <w:lang w:eastAsia="zh-CN"/>
              </w:rPr>
              <w:t>滁州职业技术学院</w:t>
            </w:r>
            <w:r>
              <w:rPr>
                <w:rFonts w:hint="eastAsia" w:ascii="宋体" w:hAnsi="宋体" w:eastAsia="宋体"/>
                <w:b w:val="0"/>
                <w:color w:val="auto"/>
                <w:sz w:val="24"/>
                <w:highlight w:val="none"/>
                <w:u w:val="none"/>
              </w:rPr>
              <w:t>内，采购人指定地点。</w:t>
            </w:r>
          </w:p>
        </w:tc>
      </w:tr>
      <w:tr w14:paraId="7EC09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5" w:type="pct"/>
            <w:vAlign w:val="center"/>
          </w:tcPr>
          <w:p w14:paraId="7F6284B1">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080" w:type="pct"/>
            <w:vAlign w:val="center"/>
          </w:tcPr>
          <w:p w14:paraId="058151A1">
            <w:pPr>
              <w:pStyle w:val="48"/>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514" w:type="pct"/>
            <w:vAlign w:val="center"/>
          </w:tcPr>
          <w:p w14:paraId="53E10BA9">
            <w:pPr>
              <w:pStyle w:val="48"/>
              <w:widowControl w:val="0"/>
              <w:spacing w:before="0" w:beforeAutospacing="0" w:after="0" w:afterAutospacing="0" w:line="360" w:lineRule="auto"/>
              <w:jc w:val="both"/>
              <w:rPr>
                <w:rFonts w:ascii="宋体" w:hAnsi="宋体" w:eastAsia="宋体"/>
                <w:b w:val="0"/>
                <w:bCs w:val="0"/>
                <w:color w:val="auto"/>
                <w:sz w:val="24"/>
                <w:highlight w:val="none"/>
                <w:u w:val="none"/>
              </w:rPr>
            </w:pPr>
            <w:r>
              <w:rPr>
                <w:rFonts w:hint="eastAsia" w:asciiTheme="minorEastAsia" w:hAnsiTheme="minorEastAsia" w:eastAsiaTheme="minorEastAsia"/>
                <w:b w:val="0"/>
                <w:bCs w:val="0"/>
                <w:color w:val="auto"/>
                <w:sz w:val="24"/>
                <w:highlight w:val="none"/>
                <w:u w:val="none"/>
              </w:rPr>
              <w:t>自合同签订生效后，</w:t>
            </w:r>
            <w:r>
              <w:rPr>
                <w:rFonts w:hint="eastAsia" w:asciiTheme="minorEastAsia" w:hAnsiTheme="minorEastAsia" w:eastAsiaTheme="minorEastAsia"/>
                <w:b w:val="0"/>
                <w:bCs w:val="0"/>
                <w:color w:val="auto"/>
                <w:sz w:val="24"/>
                <w:highlight w:val="none"/>
                <w:u w:val="none"/>
                <w:lang w:eastAsia="zh-CN"/>
              </w:rPr>
              <w:t>接到采购人通知之日起50个日历天内完</w:t>
            </w:r>
            <w:r>
              <w:rPr>
                <w:rFonts w:hint="eastAsia" w:asciiTheme="minorEastAsia" w:hAnsiTheme="minorEastAsia" w:eastAsiaTheme="minorEastAsia"/>
                <w:b w:val="0"/>
                <w:bCs w:val="0"/>
                <w:color w:val="auto"/>
                <w:sz w:val="24"/>
                <w:highlight w:val="none"/>
                <w:u w:val="none"/>
              </w:rPr>
              <w:t>成货物的供货、安装、调试工作，并验收合格交付使用</w:t>
            </w:r>
            <w:r>
              <w:rPr>
                <w:rFonts w:hint="eastAsia" w:ascii="宋体" w:hAnsi="宋体" w:eastAsia="宋体" w:cs="宋体"/>
                <w:b w:val="0"/>
                <w:bCs w:val="0"/>
                <w:color w:val="auto"/>
                <w:kern w:val="2"/>
                <w:sz w:val="24"/>
                <w:szCs w:val="24"/>
                <w:highlight w:val="none"/>
                <w:u w:val="none"/>
                <w:lang w:val="en-US" w:eastAsia="zh-CN" w:bidi="ar"/>
              </w:rPr>
              <w:t>。</w:t>
            </w:r>
          </w:p>
        </w:tc>
      </w:tr>
      <w:tr w14:paraId="52C4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5" w:type="pct"/>
            <w:vAlign w:val="center"/>
          </w:tcPr>
          <w:p w14:paraId="0B7123DC">
            <w:pPr>
              <w:pStyle w:val="49"/>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080" w:type="pct"/>
            <w:vAlign w:val="center"/>
          </w:tcPr>
          <w:p w14:paraId="54AF5F5C">
            <w:pPr>
              <w:pStyle w:val="48"/>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514" w:type="pct"/>
            <w:vAlign w:val="center"/>
          </w:tcPr>
          <w:p w14:paraId="09071ED0">
            <w:pPr>
              <w:pStyle w:val="48"/>
              <w:widowControl w:val="0"/>
              <w:spacing w:before="0" w:beforeAutospacing="0" w:after="0" w:afterAutospacing="0" w:line="360" w:lineRule="auto"/>
              <w:jc w:val="both"/>
              <w:rPr>
                <w:rFonts w:ascii="宋体" w:hAnsi="宋体" w:eastAsia="宋体"/>
                <w:b w:val="0"/>
                <w:bCs w:val="0"/>
                <w:color w:val="auto"/>
                <w:sz w:val="24"/>
                <w:highlight w:val="none"/>
                <w:u w:val="none"/>
              </w:rPr>
            </w:pPr>
            <w:r>
              <w:rPr>
                <w:rFonts w:hint="eastAsia" w:asciiTheme="minorEastAsia" w:hAnsiTheme="minorEastAsia" w:eastAsiaTheme="minorEastAsia"/>
                <w:b w:val="0"/>
                <w:bCs w:val="0"/>
                <w:color w:val="auto"/>
                <w:sz w:val="24"/>
                <w:highlight w:val="none"/>
                <w:u w:val="none"/>
              </w:rPr>
              <w:t>验收合格之日起不少于</w:t>
            </w:r>
            <w:r>
              <w:rPr>
                <w:rFonts w:hint="eastAsia" w:asciiTheme="minorEastAsia" w:hAnsiTheme="minorEastAsia" w:eastAsiaTheme="minorEastAsia"/>
                <w:b w:val="0"/>
                <w:bCs w:val="0"/>
                <w:color w:val="auto"/>
                <w:sz w:val="24"/>
                <w:highlight w:val="none"/>
                <w:u w:val="none"/>
                <w:lang w:val="en-US" w:eastAsia="zh-CN"/>
              </w:rPr>
              <w:t>3</w:t>
            </w:r>
            <w:r>
              <w:rPr>
                <w:rFonts w:hint="eastAsia" w:asciiTheme="minorEastAsia" w:hAnsiTheme="minorEastAsia" w:eastAsiaTheme="minorEastAsia"/>
                <w:b w:val="0"/>
                <w:bCs w:val="0"/>
                <w:color w:val="auto"/>
                <w:sz w:val="24"/>
                <w:highlight w:val="none"/>
                <w:u w:val="none"/>
              </w:rPr>
              <w:t>年的免费质保</w:t>
            </w:r>
            <w:r>
              <w:rPr>
                <w:rFonts w:hint="eastAsia" w:asciiTheme="minorEastAsia" w:hAnsiTheme="minorEastAsia" w:eastAsiaTheme="minorEastAsia"/>
                <w:b w:val="0"/>
                <w:bCs w:val="0"/>
                <w:color w:val="auto"/>
                <w:sz w:val="24"/>
                <w:highlight w:val="none"/>
                <w:u w:val="none"/>
                <w:lang w:val="en-US" w:eastAsia="zh-CN"/>
              </w:rPr>
              <w:t>服务（自验收合格之日起），具体期限以中标人投标承诺为准。</w:t>
            </w:r>
          </w:p>
        </w:tc>
      </w:tr>
    </w:tbl>
    <w:p w14:paraId="40D1AA1F">
      <w:pPr>
        <w:spacing w:line="360" w:lineRule="auto"/>
        <w:ind w:firstLine="437"/>
        <w:outlineLvl w:val="1"/>
        <w:rPr>
          <w:rFonts w:hint="eastAsia" w:ascii="宋体" w:hAnsi="宋体" w:eastAsia="宋体"/>
          <w:b/>
          <w:bCs/>
          <w:color w:val="auto"/>
          <w:sz w:val="24"/>
          <w:szCs w:val="18"/>
          <w:highlight w:val="none"/>
        </w:rPr>
      </w:pPr>
      <w:bookmarkStart w:id="17" w:name="_Toc5944"/>
      <w:bookmarkStart w:id="18" w:name="_Toc7671"/>
    </w:p>
    <w:p w14:paraId="46078EAD">
      <w:pPr>
        <w:spacing w:line="360" w:lineRule="auto"/>
        <w:ind w:firstLine="437"/>
        <w:outlineLvl w:val="1"/>
        <w:rPr>
          <w:rFonts w:ascii="宋体" w:hAnsi="宋体" w:eastAsia="宋体"/>
          <w:b/>
          <w:bCs/>
          <w:color w:val="auto"/>
          <w:sz w:val="24"/>
          <w:szCs w:val="18"/>
          <w:highlight w:val="none"/>
        </w:rPr>
      </w:pPr>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17"/>
      <w:bookmarkEnd w:id="18"/>
    </w:p>
    <w:tbl>
      <w:tblPr>
        <w:tblStyle w:val="27"/>
        <w:tblW w:w="594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2005"/>
        <w:gridCol w:w="3350"/>
        <w:gridCol w:w="1363"/>
        <w:gridCol w:w="1192"/>
        <w:gridCol w:w="914"/>
        <w:gridCol w:w="651"/>
      </w:tblGrid>
      <w:tr w14:paraId="7F2BC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2" w:type="pct"/>
            <w:vAlign w:val="center"/>
          </w:tcPr>
          <w:p w14:paraId="4B56283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bookmarkStart w:id="19" w:name="_Toc7421"/>
            <w:bookmarkStart w:id="20" w:name="_Toc4843"/>
            <w:r>
              <w:rPr>
                <w:rFonts w:hint="eastAsia" w:ascii="宋体" w:hAnsi="宋体" w:eastAsia="宋体" w:cs="宋体"/>
                <w:b/>
                <w:bCs/>
                <w:color w:val="auto"/>
                <w:sz w:val="21"/>
                <w:szCs w:val="21"/>
                <w:highlight w:val="none"/>
              </w:rPr>
              <w:t>序号</w:t>
            </w:r>
          </w:p>
        </w:tc>
        <w:tc>
          <w:tcPr>
            <w:tcW w:w="989" w:type="pct"/>
            <w:vAlign w:val="center"/>
          </w:tcPr>
          <w:p w14:paraId="07EF377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货物名称</w:t>
            </w:r>
          </w:p>
        </w:tc>
        <w:tc>
          <w:tcPr>
            <w:tcW w:w="1653" w:type="pct"/>
            <w:vAlign w:val="center"/>
          </w:tcPr>
          <w:p w14:paraId="00A0D3A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技术参数及要求</w:t>
            </w:r>
          </w:p>
        </w:tc>
        <w:tc>
          <w:tcPr>
            <w:tcW w:w="672" w:type="pct"/>
            <w:vAlign w:val="center"/>
          </w:tcPr>
          <w:p w14:paraId="6F99E47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数量</w:t>
            </w:r>
          </w:p>
          <w:p w14:paraId="3662C57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（单位）</w:t>
            </w:r>
          </w:p>
        </w:tc>
        <w:tc>
          <w:tcPr>
            <w:tcW w:w="588" w:type="pct"/>
            <w:vAlign w:val="center"/>
          </w:tcPr>
          <w:p w14:paraId="5BDAA70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所属</w:t>
            </w:r>
          </w:p>
          <w:p w14:paraId="270AB99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行业</w:t>
            </w:r>
          </w:p>
        </w:tc>
        <w:tc>
          <w:tcPr>
            <w:tcW w:w="451" w:type="pct"/>
            <w:vAlign w:val="center"/>
          </w:tcPr>
          <w:p w14:paraId="3277212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是否为核心产品</w:t>
            </w:r>
          </w:p>
        </w:tc>
        <w:tc>
          <w:tcPr>
            <w:tcW w:w="321" w:type="pct"/>
            <w:vAlign w:val="center"/>
          </w:tcPr>
          <w:p w14:paraId="083430F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备注</w:t>
            </w:r>
          </w:p>
        </w:tc>
      </w:tr>
      <w:tr w14:paraId="27E6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2" w:type="pct"/>
            <w:vAlign w:val="center"/>
          </w:tcPr>
          <w:p w14:paraId="55458AE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989" w:type="pct"/>
            <w:vAlign w:val="center"/>
          </w:tcPr>
          <w:p w14:paraId="5ED773B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实验室智能化管控与服务平台</w:t>
            </w:r>
          </w:p>
        </w:tc>
        <w:tc>
          <w:tcPr>
            <w:tcW w:w="1653" w:type="pct"/>
            <w:vAlign w:val="center"/>
          </w:tcPr>
          <w:p w14:paraId="31355979">
            <w:pPr>
              <w:keepNext w:val="0"/>
              <w:keepLines w:val="0"/>
              <w:pageBreakBefore w:val="0"/>
              <w:widowControl/>
              <w:numPr>
                <w:ilvl w:val="0"/>
                <w:numId w:val="0"/>
              </w:numPr>
              <w:kinsoku/>
              <w:wordWrap w:val="0"/>
              <w:overflowPunct/>
              <w:topLinePunct w:val="0"/>
              <w:autoSpaceDE/>
              <w:autoSpaceDN/>
              <w:bidi w:val="0"/>
              <w:adjustRightInd/>
              <w:snapToGrid/>
              <w:spacing w:after="0" w:line="240" w:lineRule="auto"/>
              <w:jc w:val="center"/>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详见采购要求（性能参数）</w:t>
            </w:r>
          </w:p>
        </w:tc>
        <w:tc>
          <w:tcPr>
            <w:tcW w:w="672" w:type="pct"/>
            <w:vAlign w:val="center"/>
          </w:tcPr>
          <w:p w14:paraId="5D25EBB6">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0" w:firstLineChars="0"/>
              <w:jc w:val="center"/>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color w:val="auto"/>
                <w:kern w:val="0"/>
                <w:sz w:val="21"/>
                <w:szCs w:val="21"/>
                <w:highlight w:val="none"/>
                <w14:ligatures w14:val="none"/>
              </w:rPr>
              <w:t>1套</w:t>
            </w:r>
          </w:p>
        </w:tc>
        <w:tc>
          <w:tcPr>
            <w:tcW w:w="588" w:type="pct"/>
            <w:vAlign w:val="center"/>
          </w:tcPr>
          <w:p w14:paraId="3DB5CBB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kern w:val="2"/>
                <w:sz w:val="21"/>
                <w:szCs w:val="21"/>
                <w:highlight w:val="none"/>
                <w:lang w:val="en-US" w:eastAsia="zh-CN" w:bidi="ar"/>
              </w:rPr>
              <w:t>软件和信息技术服务业</w:t>
            </w:r>
          </w:p>
        </w:tc>
        <w:tc>
          <w:tcPr>
            <w:tcW w:w="451" w:type="pct"/>
            <w:vAlign w:val="center"/>
          </w:tcPr>
          <w:p w14:paraId="01060A5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是</w:t>
            </w:r>
          </w:p>
        </w:tc>
        <w:tc>
          <w:tcPr>
            <w:tcW w:w="321" w:type="pct"/>
            <w:vAlign w:val="center"/>
          </w:tcPr>
          <w:p w14:paraId="31587B6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Cs/>
                <w:color w:val="auto"/>
                <w:sz w:val="21"/>
                <w:szCs w:val="21"/>
                <w:highlight w:val="none"/>
                <w:lang w:eastAsia="zh-CN"/>
              </w:rPr>
            </w:pPr>
          </w:p>
        </w:tc>
      </w:tr>
    </w:tbl>
    <w:p w14:paraId="1FF3AD1A">
      <w:pPr>
        <w:spacing w:before="156" w:beforeLines="50" w:line="360" w:lineRule="auto"/>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采购要求（性能参数）</w:t>
      </w:r>
    </w:p>
    <w:p w14:paraId="2AADBA97">
      <w:pPr>
        <w:spacing w:before="156" w:beforeLines="50" w:line="360" w:lineRule="auto"/>
        <w:rPr>
          <w:rFonts w:ascii="宋体" w:hAnsi="宋体" w:eastAsia="宋体" w:cs="宋体"/>
          <w:b/>
          <w:bCs/>
          <w:color w:val="auto"/>
          <w:sz w:val="24"/>
          <w:highlight w:val="none"/>
        </w:rPr>
      </w:pPr>
      <w:r>
        <w:rPr>
          <w:rFonts w:hint="eastAsia" w:ascii="宋体" w:hAnsi="宋体" w:eastAsia="宋体" w:cs="宋体"/>
          <w:b/>
          <w:bCs/>
          <w:color w:val="auto"/>
          <w:sz w:val="24"/>
          <w:highlight w:val="none"/>
        </w:rPr>
        <w:t>（一）整体技术要求</w:t>
      </w:r>
    </w:p>
    <w:p w14:paraId="155C2FC7">
      <w:pPr>
        <w:pStyle w:val="55"/>
        <w:keepNext w:val="0"/>
        <w:keepLines w:val="0"/>
        <w:pageBreakBefore w:val="0"/>
        <w:widowControl w:val="0"/>
        <w:numPr>
          <w:ilvl w:val="0"/>
          <w:numId w:val="0"/>
        </w:numPr>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w:t>
      </w:r>
      <w:r>
        <w:rPr>
          <w:rFonts w:hint="eastAsia" w:ascii="宋体" w:hAnsi="宋体" w:eastAsia="宋体" w:cs="宋体"/>
          <w:b w:val="0"/>
          <w:bCs w:val="0"/>
          <w:color w:val="auto"/>
          <w:sz w:val="21"/>
          <w:szCs w:val="21"/>
          <w:highlight w:val="none"/>
        </w:rPr>
        <w:t>技术路线</w:t>
      </w:r>
    </w:p>
    <w:p w14:paraId="09C71D47">
      <w:pPr>
        <w:pStyle w:val="55"/>
        <w:keepNext w:val="0"/>
        <w:keepLines w:val="0"/>
        <w:pageBreakBefore w:val="0"/>
        <w:widowControl w:val="0"/>
        <w:numPr>
          <w:ilvl w:val="0"/>
          <w:numId w:val="0"/>
        </w:numPr>
        <w:kinsoku/>
        <w:wordWrap/>
        <w:overflowPunct/>
        <w:topLinePunct w:val="0"/>
        <w:autoSpaceDE/>
        <w:autoSpaceDN/>
        <w:bidi w:val="0"/>
        <w:spacing w:line="24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采用B/S架构，</w:t>
      </w:r>
      <w:r>
        <w:rPr>
          <w:rFonts w:hint="eastAsia" w:ascii="宋体" w:hAnsi="宋体" w:eastAsia="宋体" w:cs="宋体"/>
          <w:b w:val="0"/>
          <w:bCs w:val="0"/>
          <w:color w:val="auto"/>
          <w:sz w:val="21"/>
          <w:szCs w:val="21"/>
          <w:highlight w:val="none"/>
          <w:lang w:val="en-US" w:eastAsia="zh-CN"/>
        </w:rPr>
        <w:t>平台</w:t>
      </w:r>
      <w:r>
        <w:rPr>
          <w:rFonts w:hint="eastAsia" w:ascii="宋体" w:hAnsi="宋体" w:eastAsia="宋体" w:cs="宋体"/>
          <w:b w:val="0"/>
          <w:bCs w:val="0"/>
          <w:color w:val="auto"/>
          <w:sz w:val="21"/>
          <w:szCs w:val="21"/>
          <w:highlight w:val="none"/>
        </w:rPr>
        <w:t>与数据库分开部署，</w:t>
      </w:r>
      <w:r>
        <w:rPr>
          <w:rFonts w:hint="eastAsia" w:ascii="宋体" w:hAnsi="宋体" w:eastAsia="宋体" w:cs="宋体"/>
          <w:b w:val="0"/>
          <w:bCs w:val="0"/>
          <w:color w:val="auto"/>
          <w:sz w:val="21"/>
          <w:szCs w:val="21"/>
          <w:highlight w:val="none"/>
          <w:lang w:val="en-US" w:eastAsia="zh-CN"/>
        </w:rPr>
        <w:t>应完成本地化部署。</w:t>
      </w:r>
      <w:r>
        <w:rPr>
          <w:rFonts w:hint="eastAsia" w:ascii="宋体" w:hAnsi="宋体" w:eastAsia="宋体" w:cs="宋体"/>
          <w:b w:val="0"/>
          <w:bCs w:val="0"/>
          <w:color w:val="auto"/>
          <w:sz w:val="21"/>
          <w:szCs w:val="21"/>
          <w:highlight w:val="none"/>
        </w:rPr>
        <w:t>应用软件和中间件须同时支持Linux和windows部署，兼容国产系统。页面及第三方插件须同时兼容现有市场上各主流浏览器（如谷歌 Chrome、苹果 Safari、微软 Edge、火狐等）</w:t>
      </w:r>
    </w:p>
    <w:p w14:paraId="1A3B6FF6">
      <w:pPr>
        <w:pStyle w:val="55"/>
        <w:keepNext w:val="0"/>
        <w:keepLines w:val="0"/>
        <w:pageBreakBefore w:val="0"/>
        <w:widowControl w:val="0"/>
        <w:numPr>
          <w:ilvl w:val="0"/>
          <w:numId w:val="0"/>
        </w:numPr>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w:t>
      </w:r>
      <w:r>
        <w:rPr>
          <w:rFonts w:hint="eastAsia" w:ascii="宋体" w:hAnsi="宋体" w:eastAsia="宋体" w:cs="宋体"/>
          <w:b w:val="0"/>
          <w:bCs w:val="0"/>
          <w:color w:val="auto"/>
          <w:sz w:val="21"/>
          <w:szCs w:val="21"/>
          <w:highlight w:val="none"/>
        </w:rPr>
        <w:t>集成</w:t>
      </w:r>
    </w:p>
    <w:p w14:paraId="5C81181F">
      <w:pPr>
        <w:pStyle w:val="55"/>
        <w:keepNext w:val="0"/>
        <w:keepLines w:val="0"/>
        <w:pageBreakBefore w:val="0"/>
        <w:widowControl w:val="0"/>
        <w:numPr>
          <w:ilvl w:val="0"/>
          <w:numId w:val="0"/>
        </w:numPr>
        <w:kinsoku/>
        <w:wordWrap/>
        <w:overflowPunct/>
        <w:topLinePunct w:val="0"/>
        <w:autoSpaceDE/>
        <w:autoSpaceDN/>
        <w:bidi w:val="0"/>
        <w:spacing w:line="24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系统功能须支持企业微信接口，免费开放数据对接接口</w:t>
      </w:r>
      <w:r>
        <w:rPr>
          <w:rFonts w:hint="eastAsia" w:ascii="宋体" w:hAnsi="宋体" w:eastAsia="宋体" w:cs="宋体"/>
          <w:b w:val="0"/>
          <w:bCs w:val="0"/>
          <w:color w:val="auto"/>
          <w:sz w:val="21"/>
          <w:szCs w:val="21"/>
          <w:highlight w:val="none"/>
        </w:rPr>
        <w:t>。与教务管理系统、资产管理系统等现有平台对接，以上集成均要求遵守对接目标系统的规范。</w:t>
      </w:r>
    </w:p>
    <w:p w14:paraId="78DCF588">
      <w:pPr>
        <w:pStyle w:val="55"/>
        <w:keepNext w:val="0"/>
        <w:keepLines w:val="0"/>
        <w:pageBreakBefore w:val="0"/>
        <w:widowControl w:val="0"/>
        <w:numPr>
          <w:ilvl w:val="0"/>
          <w:numId w:val="0"/>
        </w:numPr>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w:t>
      </w:r>
      <w:r>
        <w:rPr>
          <w:rFonts w:hint="eastAsia" w:ascii="宋体" w:hAnsi="宋体" w:eastAsia="宋体" w:cs="宋体"/>
          <w:b w:val="0"/>
          <w:bCs w:val="0"/>
          <w:color w:val="auto"/>
          <w:sz w:val="21"/>
          <w:szCs w:val="21"/>
          <w:highlight w:val="none"/>
        </w:rPr>
        <w:t>数据</w:t>
      </w:r>
    </w:p>
    <w:p w14:paraId="5F8743B0">
      <w:pPr>
        <w:pStyle w:val="55"/>
        <w:keepNext w:val="0"/>
        <w:keepLines w:val="0"/>
        <w:pageBreakBefore w:val="0"/>
        <w:widowControl w:val="0"/>
        <w:numPr>
          <w:ilvl w:val="0"/>
          <w:numId w:val="0"/>
        </w:numPr>
        <w:kinsoku/>
        <w:wordWrap/>
        <w:overflowPunct/>
        <w:topLinePunct w:val="0"/>
        <w:autoSpaceDE/>
        <w:autoSpaceDN/>
        <w:bidi w:val="0"/>
        <w:spacing w:line="24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数据是学校的核心资产之一，本项目不得采取任何技术措施限制学校数据平台读取本次建设项目的全量业务数据。系统须</w:t>
      </w:r>
      <w:r>
        <w:rPr>
          <w:rFonts w:hint="eastAsia" w:ascii="宋体" w:hAnsi="宋体" w:eastAsia="宋体" w:cs="宋体"/>
          <w:b w:val="0"/>
          <w:bCs w:val="0"/>
          <w:color w:val="auto"/>
          <w:sz w:val="21"/>
          <w:szCs w:val="21"/>
          <w:highlight w:val="none"/>
          <w:lang w:val="en-US" w:eastAsia="zh-CN"/>
        </w:rPr>
        <w:t>提供</w:t>
      </w:r>
      <w:r>
        <w:rPr>
          <w:rFonts w:hint="eastAsia" w:ascii="宋体" w:hAnsi="宋体" w:eastAsia="宋体" w:cs="宋体"/>
          <w:b w:val="0"/>
          <w:bCs w:val="0"/>
          <w:color w:val="auto"/>
          <w:sz w:val="21"/>
          <w:szCs w:val="21"/>
          <w:highlight w:val="none"/>
        </w:rPr>
        <w:t>完整、规范的数据字典。涉及从学校数据平台获取第三方系统数据的共享，须与学校签订数据使用保密协议。</w:t>
      </w:r>
    </w:p>
    <w:p w14:paraId="2F26C008">
      <w:pPr>
        <w:pStyle w:val="55"/>
        <w:keepNext w:val="0"/>
        <w:keepLines w:val="0"/>
        <w:pageBreakBefore w:val="0"/>
        <w:widowControl w:val="0"/>
        <w:numPr>
          <w:ilvl w:val="0"/>
          <w:numId w:val="0"/>
        </w:numPr>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w:t>
      </w:r>
      <w:r>
        <w:rPr>
          <w:rFonts w:hint="eastAsia" w:ascii="宋体" w:hAnsi="宋体" w:eastAsia="宋体" w:cs="宋体"/>
          <w:b w:val="0"/>
          <w:bCs w:val="0"/>
          <w:color w:val="auto"/>
          <w:sz w:val="21"/>
          <w:szCs w:val="21"/>
          <w:highlight w:val="none"/>
        </w:rPr>
        <w:t>性能</w:t>
      </w:r>
    </w:p>
    <w:p w14:paraId="633C9C63">
      <w:pPr>
        <w:pStyle w:val="55"/>
        <w:keepNext w:val="0"/>
        <w:keepLines w:val="0"/>
        <w:pageBreakBefore w:val="0"/>
        <w:widowControl w:val="0"/>
        <w:numPr>
          <w:ilvl w:val="0"/>
          <w:numId w:val="0"/>
        </w:numPr>
        <w:kinsoku/>
        <w:wordWrap/>
        <w:overflowPunct/>
        <w:topLinePunct w:val="0"/>
        <w:autoSpaceDE/>
        <w:autoSpaceDN/>
        <w:bidi w:val="0"/>
        <w:spacing w:line="24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不得采取任何技术措施限制用户注册人数、并发使用人数、使用时间、使用次数等。应能够通过硬件扩展的方式提高系统并发处理能力，并且无条件根据校方支持的压力测试报告进行调优。</w:t>
      </w:r>
    </w:p>
    <w:p w14:paraId="03B8B6A5">
      <w:pPr>
        <w:pStyle w:val="55"/>
        <w:keepNext w:val="0"/>
        <w:keepLines w:val="0"/>
        <w:pageBreakBefore w:val="0"/>
        <w:widowControl w:val="0"/>
        <w:numPr>
          <w:ilvl w:val="0"/>
          <w:numId w:val="0"/>
        </w:numPr>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w:t>
      </w:r>
      <w:r>
        <w:rPr>
          <w:rFonts w:hint="eastAsia" w:ascii="宋体" w:hAnsi="宋体" w:eastAsia="宋体" w:cs="宋体"/>
          <w:b w:val="0"/>
          <w:bCs w:val="0"/>
          <w:color w:val="auto"/>
          <w:sz w:val="21"/>
          <w:szCs w:val="21"/>
          <w:highlight w:val="none"/>
        </w:rPr>
        <w:t>▲安全</w:t>
      </w:r>
    </w:p>
    <w:p w14:paraId="27487FEC">
      <w:pPr>
        <w:pStyle w:val="55"/>
        <w:keepNext w:val="0"/>
        <w:keepLines w:val="0"/>
        <w:pageBreakBefore w:val="0"/>
        <w:widowControl w:val="0"/>
        <w:numPr>
          <w:ilvl w:val="0"/>
          <w:numId w:val="0"/>
        </w:numPr>
        <w:kinsoku/>
        <w:wordWrap/>
        <w:overflowPunct/>
        <w:topLinePunct w:val="0"/>
        <w:autoSpaceDE/>
        <w:autoSpaceDN/>
        <w:bidi w:val="0"/>
        <w:spacing w:line="24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支持数据加密功能，在存储层自动对数据文件进行加密，内存处理时解密为明文，整个过程对用户完全透明，无需改变原有操作习惯。</w:t>
      </w:r>
      <w:r>
        <w:rPr>
          <w:rFonts w:hint="eastAsia" w:ascii="宋体" w:hAnsi="宋体" w:eastAsia="宋体" w:cs="宋体"/>
          <w:b w:val="0"/>
          <w:bCs w:val="0"/>
          <w:color w:val="auto"/>
          <w:sz w:val="21"/>
          <w:szCs w:val="21"/>
          <w:highlight w:val="none"/>
          <w:lang w:val="en-US" w:eastAsia="zh-CN"/>
        </w:rPr>
        <w:t>系统</w:t>
      </w:r>
      <w:r>
        <w:rPr>
          <w:rFonts w:hint="eastAsia" w:ascii="宋体" w:hAnsi="宋体" w:eastAsia="宋体" w:cs="宋体"/>
          <w:b w:val="0"/>
          <w:bCs w:val="0"/>
          <w:color w:val="auto"/>
          <w:sz w:val="21"/>
          <w:szCs w:val="21"/>
          <w:highlight w:val="none"/>
        </w:rPr>
        <w:t>兼顾高性能与安全性。密钥管理采用多层体系，数据加密密钥明文仅驻留内存，主密钥由外部密钥管理服务托管，密钥轮换无需全量解密，避免业务中断。存储层加密粒度精细至列级数据块，支持按列独立加解密，结合跳块读取机制，仅加载和处理所需列，最大化查询性能。数据处理遵循先压缩后加密、先解密后解压的顺序，兼顾存储效率与安全性。部署即生效，业务可无感接入。（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343BFBBE">
      <w:pPr>
        <w:pStyle w:val="55"/>
        <w:keepNext w:val="0"/>
        <w:keepLines w:val="0"/>
        <w:pageBreakBefore w:val="0"/>
        <w:widowControl w:val="0"/>
        <w:numPr>
          <w:ilvl w:val="0"/>
          <w:numId w:val="0"/>
        </w:numPr>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w:t>
      </w:r>
      <w:r>
        <w:rPr>
          <w:rFonts w:hint="eastAsia" w:ascii="宋体" w:hAnsi="宋体" w:eastAsia="宋体" w:cs="宋体"/>
          <w:b w:val="0"/>
          <w:bCs w:val="0"/>
          <w:color w:val="auto"/>
          <w:sz w:val="21"/>
          <w:szCs w:val="21"/>
          <w:highlight w:val="none"/>
        </w:rPr>
        <w:t>操作体验</w:t>
      </w:r>
    </w:p>
    <w:p w14:paraId="3E4C0B57">
      <w:pPr>
        <w:pStyle w:val="55"/>
        <w:keepNext w:val="0"/>
        <w:keepLines w:val="0"/>
        <w:pageBreakBefore w:val="0"/>
        <w:widowControl w:val="0"/>
        <w:numPr>
          <w:ilvl w:val="0"/>
          <w:numId w:val="0"/>
        </w:numPr>
        <w:kinsoku/>
        <w:wordWrap/>
        <w:overflowPunct/>
        <w:topLinePunct w:val="0"/>
        <w:autoSpaceDE/>
        <w:autoSpaceDN/>
        <w:bidi w:val="0"/>
        <w:spacing w:line="24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面向用户使用的模块（PC</w:t>
      </w:r>
      <w:r>
        <w:rPr>
          <w:rFonts w:hint="eastAsia" w:ascii="宋体" w:hAnsi="宋体" w:eastAsia="宋体" w:cs="宋体"/>
          <w:b w:val="0"/>
          <w:bCs w:val="0"/>
          <w:color w:val="auto"/>
          <w:sz w:val="21"/>
          <w:szCs w:val="21"/>
          <w:highlight w:val="none"/>
          <w:lang w:val="en-US" w:eastAsia="zh-CN"/>
        </w:rPr>
        <w:t>端</w:t>
      </w:r>
      <w:r>
        <w:rPr>
          <w:rFonts w:hint="eastAsia" w:ascii="宋体" w:hAnsi="宋体" w:eastAsia="宋体" w:cs="宋体"/>
          <w:b w:val="0"/>
          <w:bCs w:val="0"/>
          <w:color w:val="auto"/>
          <w:sz w:val="21"/>
          <w:szCs w:val="21"/>
          <w:highlight w:val="none"/>
        </w:rPr>
        <w:t>和移动端）</w:t>
      </w:r>
      <w:r>
        <w:rPr>
          <w:rFonts w:hint="eastAsia" w:ascii="宋体" w:hAnsi="宋体" w:eastAsia="宋体" w:cs="宋体"/>
          <w:b w:val="0"/>
          <w:bCs w:val="0"/>
          <w:color w:val="auto"/>
          <w:sz w:val="21"/>
          <w:szCs w:val="21"/>
          <w:highlight w:val="none"/>
          <w:lang w:val="en-US" w:eastAsia="zh-CN"/>
        </w:rPr>
        <w:t>简洁、大方</w:t>
      </w:r>
      <w:r>
        <w:rPr>
          <w:rFonts w:hint="eastAsia" w:ascii="宋体" w:hAnsi="宋体" w:eastAsia="宋体" w:cs="宋体"/>
          <w:b w:val="0"/>
          <w:bCs w:val="0"/>
          <w:color w:val="auto"/>
          <w:sz w:val="21"/>
          <w:szCs w:val="21"/>
          <w:highlight w:val="none"/>
        </w:rPr>
        <w:t>，UI风格应按照</w:t>
      </w:r>
      <w:r>
        <w:rPr>
          <w:rFonts w:hint="eastAsia" w:ascii="宋体" w:hAnsi="宋体" w:eastAsia="宋体" w:cs="宋体"/>
          <w:b w:val="0"/>
          <w:bCs w:val="0"/>
          <w:color w:val="auto"/>
          <w:sz w:val="21"/>
          <w:szCs w:val="21"/>
          <w:highlight w:val="none"/>
          <w:lang w:val="en-US" w:eastAsia="zh-CN"/>
        </w:rPr>
        <w:t>甲</w:t>
      </w:r>
      <w:r>
        <w:rPr>
          <w:rFonts w:hint="eastAsia" w:ascii="宋体" w:hAnsi="宋体" w:eastAsia="宋体" w:cs="宋体"/>
          <w:b w:val="0"/>
          <w:bCs w:val="0"/>
          <w:color w:val="auto"/>
          <w:sz w:val="21"/>
          <w:szCs w:val="21"/>
          <w:highlight w:val="none"/>
        </w:rPr>
        <w:t>方</w:t>
      </w:r>
      <w:r>
        <w:rPr>
          <w:rFonts w:hint="eastAsia" w:ascii="宋体" w:hAnsi="宋体" w:eastAsia="宋体" w:cs="宋体"/>
          <w:b w:val="0"/>
          <w:bCs w:val="0"/>
          <w:color w:val="auto"/>
          <w:sz w:val="21"/>
          <w:szCs w:val="21"/>
          <w:highlight w:val="none"/>
          <w:lang w:val="en-US" w:eastAsia="zh-CN"/>
        </w:rPr>
        <w:t>的实际</w:t>
      </w:r>
      <w:r>
        <w:rPr>
          <w:rFonts w:hint="eastAsia" w:ascii="宋体" w:hAnsi="宋体" w:eastAsia="宋体" w:cs="宋体"/>
          <w:b w:val="0"/>
          <w:bCs w:val="0"/>
          <w:color w:val="auto"/>
          <w:sz w:val="21"/>
          <w:szCs w:val="21"/>
          <w:highlight w:val="none"/>
        </w:rPr>
        <w:t>要求进行设计及实施。</w:t>
      </w:r>
    </w:p>
    <w:p w14:paraId="22CC854A">
      <w:pPr>
        <w:pStyle w:val="55"/>
        <w:keepNext w:val="0"/>
        <w:keepLines w:val="0"/>
        <w:pageBreakBefore w:val="0"/>
        <w:widowControl w:val="0"/>
        <w:numPr>
          <w:ilvl w:val="0"/>
          <w:numId w:val="0"/>
        </w:numPr>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7.</w:t>
      </w:r>
      <w:r>
        <w:rPr>
          <w:rFonts w:hint="eastAsia" w:ascii="宋体" w:hAnsi="宋体" w:eastAsia="宋体" w:cs="宋体"/>
          <w:b w:val="0"/>
          <w:bCs w:val="0"/>
          <w:color w:val="auto"/>
          <w:sz w:val="21"/>
          <w:szCs w:val="21"/>
          <w:highlight w:val="none"/>
        </w:rPr>
        <w:t>部署程序</w:t>
      </w:r>
    </w:p>
    <w:p w14:paraId="229B3816">
      <w:pPr>
        <w:pStyle w:val="55"/>
        <w:keepNext w:val="0"/>
        <w:keepLines w:val="0"/>
        <w:pageBreakBefore w:val="0"/>
        <w:widowControl w:val="0"/>
        <w:numPr>
          <w:ilvl w:val="0"/>
          <w:numId w:val="0"/>
        </w:numPr>
        <w:kinsoku/>
        <w:wordWrap/>
        <w:overflowPunct/>
        <w:topLinePunct w:val="0"/>
        <w:autoSpaceDE/>
        <w:autoSpaceDN/>
        <w:bidi w:val="0"/>
        <w:spacing w:line="24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本次项目要求交付所建系统的程序，且交付的程序应能够在校方支持的环境中部署测试，并保证与交付的生产系统版本一致。</w:t>
      </w:r>
    </w:p>
    <w:p w14:paraId="52C844EF">
      <w:pPr>
        <w:pStyle w:val="55"/>
        <w:keepNext w:val="0"/>
        <w:keepLines w:val="0"/>
        <w:pageBreakBefore w:val="0"/>
        <w:widowControl w:val="0"/>
        <w:numPr>
          <w:ilvl w:val="0"/>
          <w:numId w:val="0"/>
        </w:numPr>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8.</w:t>
      </w:r>
      <w:r>
        <w:rPr>
          <w:rFonts w:hint="eastAsia" w:ascii="宋体" w:hAnsi="宋体" w:eastAsia="宋体" w:cs="宋体"/>
          <w:b w:val="0"/>
          <w:bCs w:val="0"/>
          <w:color w:val="auto"/>
          <w:sz w:val="21"/>
          <w:szCs w:val="21"/>
          <w:highlight w:val="none"/>
        </w:rPr>
        <w:t>▲本软件系统</w:t>
      </w:r>
      <w:r>
        <w:rPr>
          <w:rFonts w:hint="eastAsia" w:ascii="宋体" w:hAnsi="宋体" w:eastAsia="宋体" w:cs="宋体"/>
          <w:b w:val="0"/>
          <w:bCs w:val="0"/>
          <w:color w:val="auto"/>
          <w:sz w:val="21"/>
          <w:szCs w:val="21"/>
          <w:highlight w:val="none"/>
          <w:lang w:val="en-US" w:eastAsia="zh-CN"/>
        </w:rPr>
        <w:t>应符合</w:t>
      </w:r>
      <w:r>
        <w:rPr>
          <w:rFonts w:hint="eastAsia" w:ascii="宋体" w:hAnsi="宋体" w:eastAsia="宋体" w:cs="宋体"/>
          <w:b w:val="0"/>
          <w:bCs w:val="0"/>
          <w:color w:val="auto"/>
          <w:sz w:val="21"/>
          <w:szCs w:val="21"/>
          <w:highlight w:val="none"/>
        </w:rPr>
        <w:t>《中华人民共和国网络安全法》、《数据安全法》等相关法律法规，符合 GB/T 22239-2019《信息安全技术网络安全等级保护基本要求》第二级（二级等保）安全要求，整体安全保护能力不低于二级等保标准，投标人须在投标文件中提供承诺函，承诺：所投软件系统能够通过网络安全等级保护二级测评，并在系统终验前配合采购人完成二级等保测评备案及整改工作。（投标人需提供承诺函）</w:t>
      </w:r>
    </w:p>
    <w:p w14:paraId="435C9CA3">
      <w:pPr>
        <w:keepNext w:val="0"/>
        <w:keepLines w:val="0"/>
        <w:pageBreakBefore w:val="0"/>
        <w:widowControl w:val="0"/>
        <w:kinsoku/>
        <w:wordWrap/>
        <w:overflowPunct/>
        <w:topLinePunct w:val="0"/>
        <w:autoSpaceDE/>
        <w:autoSpaceDN/>
        <w:bidi w:val="0"/>
        <w:spacing w:before="156" w:beforeLines="50"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（二）技术要求</w:t>
      </w:r>
    </w:p>
    <w:p w14:paraId="2B1E187B">
      <w:pPr>
        <w:keepNext w:val="0"/>
        <w:keepLines w:val="0"/>
        <w:pageBreakBefore w:val="0"/>
        <w:widowControl w:val="0"/>
        <w:kinsoku/>
        <w:wordWrap/>
        <w:overflowPunct/>
        <w:topLinePunct w:val="0"/>
        <w:autoSpaceDE/>
        <w:autoSpaceDN/>
        <w:bidi w:val="0"/>
        <w:spacing w:line="240" w:lineRule="auto"/>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实验实训室智能化管控平台，包含基础平台模块、实验实训室管理及展示模块、实验实训室安全检查管理模块、安全准入考试模块、安全制度管理模块、实验室建设项目管理模块、危化品管理模块、大型仪器设备论证及开放共享管理模块、按照教育部相关管理部门要求完成的数据上报模块，具体要求如下：</w:t>
      </w:r>
    </w:p>
    <w:p w14:paraId="3BE20906">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w:t>
      </w:r>
      <w:r>
        <w:rPr>
          <w:rFonts w:hint="eastAsia" w:ascii="宋体" w:hAnsi="宋体" w:eastAsia="宋体" w:cs="宋体"/>
          <w:b w:val="0"/>
          <w:bCs w:val="0"/>
          <w:color w:val="auto"/>
          <w:sz w:val="21"/>
          <w:szCs w:val="21"/>
          <w:highlight w:val="none"/>
        </w:rPr>
        <w:t>基础平台</w:t>
      </w:r>
    </w:p>
    <w:p w14:paraId="69810C22">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1.1.</w:t>
      </w:r>
      <w:r>
        <w:rPr>
          <w:rFonts w:hint="eastAsia" w:ascii="宋体" w:hAnsi="宋体" w:eastAsia="宋体" w:cs="宋体"/>
          <w:b w:val="0"/>
          <w:bCs w:val="0"/>
          <w:color w:val="auto"/>
          <w:sz w:val="21"/>
          <w:szCs w:val="21"/>
          <w:highlight w:val="none"/>
          <w:lang w:val="zh-CN"/>
        </w:rPr>
        <w:t>基础设置</w:t>
      </w:r>
    </w:p>
    <w:p w14:paraId="16BB763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1.1.1.</w:t>
      </w:r>
      <w:r>
        <w:rPr>
          <w:rFonts w:hint="eastAsia" w:ascii="宋体" w:hAnsi="宋体" w:eastAsia="宋体" w:cs="宋体"/>
          <w:b w:val="0"/>
          <w:bCs w:val="0"/>
          <w:color w:val="auto"/>
          <w:sz w:val="21"/>
          <w:szCs w:val="21"/>
          <w:highlight w:val="none"/>
        </w:rPr>
        <w:t>平台基于Java语言开发，服务器端兼容Windows与Linux操作系统，并支持国产处理器。</w:t>
      </w:r>
    </w:p>
    <w:p w14:paraId="30B27A6A">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1.1.2.</w:t>
      </w:r>
      <w:r>
        <w:rPr>
          <w:rFonts w:hint="eastAsia" w:ascii="宋体" w:hAnsi="宋体" w:eastAsia="宋体" w:cs="宋体"/>
          <w:b w:val="0"/>
          <w:bCs w:val="0"/>
          <w:color w:val="auto"/>
          <w:sz w:val="21"/>
          <w:szCs w:val="21"/>
          <w:highlight w:val="none"/>
        </w:rPr>
        <w:t>平台内置工作流引擎，支持用户自定义业务流程、灵活配置流程节点与审批人员，并可关联具体功能模块，实现流程驱动业务。</w:t>
      </w:r>
    </w:p>
    <w:p w14:paraId="4A0EFFF6">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1.1.3.</w:t>
      </w:r>
      <w:r>
        <w:rPr>
          <w:rFonts w:hint="eastAsia" w:ascii="宋体" w:hAnsi="宋体" w:eastAsia="宋体" w:cs="宋体"/>
          <w:b w:val="0"/>
          <w:bCs w:val="0"/>
          <w:color w:val="auto"/>
          <w:sz w:val="21"/>
          <w:szCs w:val="21"/>
          <w:highlight w:val="none"/>
        </w:rPr>
        <w:t>平台提供统一数据字典查询功能，用户可通过字典名称或字段编号精准查询数据库字段信息，无需直接访问服务器数据库。支持字典项的增、删、改、查等基础操作，支持系统灵活配置与管理。</w:t>
      </w:r>
    </w:p>
    <w:p w14:paraId="3C7E56D6">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1.1.4.</w:t>
      </w:r>
      <w:r>
        <w:rPr>
          <w:rFonts w:hint="eastAsia" w:ascii="宋体" w:hAnsi="宋体" w:eastAsia="宋体" w:cs="宋体"/>
          <w:b w:val="0"/>
          <w:bCs w:val="0"/>
          <w:color w:val="auto"/>
          <w:sz w:val="21"/>
          <w:szCs w:val="21"/>
          <w:highlight w:val="none"/>
        </w:rPr>
        <w:t>平台提供第三方应用接入配置功能，支持通过可视化配置方式完成第三方模块的接入，无需编写代码。</w:t>
      </w:r>
    </w:p>
    <w:p w14:paraId="55D61ABF">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1.1.5.</w:t>
      </w:r>
      <w:r>
        <w:rPr>
          <w:rFonts w:hint="eastAsia" w:ascii="宋体" w:hAnsi="宋体" w:eastAsia="宋体" w:cs="宋体"/>
          <w:b w:val="0"/>
          <w:bCs w:val="0"/>
          <w:color w:val="auto"/>
          <w:sz w:val="21"/>
          <w:szCs w:val="21"/>
          <w:highlight w:val="none"/>
        </w:rPr>
        <w:t>平台支持首页菜单、教师菜单、学生菜单的个性化配置。平台提供个人中心菜单管理功能，包括教师与学生个人中心菜单的自定义设置，支持菜单的新建、编辑、删除及子菜单的添加，并可根据用户角色动态展示相应菜单内容。</w:t>
      </w:r>
    </w:p>
    <w:p w14:paraId="11CCE469">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1.2.</w:t>
      </w:r>
      <w:r>
        <w:rPr>
          <w:rFonts w:hint="eastAsia" w:ascii="宋体" w:hAnsi="宋体" w:eastAsia="宋体" w:cs="宋体"/>
          <w:b w:val="0"/>
          <w:bCs w:val="0"/>
          <w:color w:val="auto"/>
          <w:sz w:val="21"/>
          <w:szCs w:val="21"/>
          <w:highlight w:val="none"/>
          <w:lang w:val="zh-CN"/>
        </w:rPr>
        <w:t>提供分布式部署</w:t>
      </w:r>
    </w:p>
    <w:p w14:paraId="7C634D8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1.2.1.</w:t>
      </w:r>
      <w:r>
        <w:rPr>
          <w:rFonts w:hint="eastAsia" w:ascii="宋体" w:hAnsi="宋体" w:eastAsia="宋体" w:cs="宋体"/>
          <w:b w:val="0"/>
          <w:bCs w:val="0"/>
          <w:color w:val="auto"/>
          <w:sz w:val="21"/>
          <w:szCs w:val="21"/>
          <w:highlight w:val="none"/>
        </w:rPr>
        <w:t>支持存储服务器的集中管理：可查看、新建、搜索和编辑系统中的存储服务器，并监控其存储空间、CPU及内存使用率等基础属性。</w:t>
      </w:r>
    </w:p>
    <w:p w14:paraId="08A16B5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1.2.2.</w:t>
      </w:r>
      <w:r>
        <w:rPr>
          <w:rFonts w:hint="eastAsia" w:ascii="宋体" w:hAnsi="宋体" w:eastAsia="宋体" w:cs="宋体"/>
          <w:b w:val="0"/>
          <w:bCs w:val="0"/>
          <w:color w:val="auto"/>
          <w:sz w:val="21"/>
          <w:szCs w:val="21"/>
          <w:highlight w:val="none"/>
        </w:rPr>
        <w:t>支持内外网访问地址的区分配置：可为存储服务器分别设置内网访问路径和外网访问地址</w:t>
      </w:r>
    </w:p>
    <w:p w14:paraId="33A0A148">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1.2.3.</w:t>
      </w:r>
      <w:r>
        <w:rPr>
          <w:rFonts w:hint="eastAsia" w:ascii="宋体" w:hAnsi="宋体" w:eastAsia="宋体" w:cs="宋体"/>
          <w:b w:val="0"/>
          <w:bCs w:val="0"/>
          <w:color w:val="auto"/>
          <w:sz w:val="21"/>
          <w:szCs w:val="21"/>
          <w:highlight w:val="none"/>
        </w:rPr>
        <w:t>支持文件服务的部署与监控：可在指定服务器上部署文件服务，并实时查看其运行状态、服务开启情况（如文件服务、直播服务）；</w:t>
      </w:r>
    </w:p>
    <w:p w14:paraId="34582079">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1.2.4.</w:t>
      </w:r>
      <w:r>
        <w:rPr>
          <w:rFonts w:hint="eastAsia" w:ascii="宋体" w:hAnsi="宋体" w:eastAsia="宋体" w:cs="宋体"/>
          <w:b w:val="0"/>
          <w:bCs w:val="0"/>
          <w:color w:val="auto"/>
          <w:sz w:val="21"/>
          <w:szCs w:val="21"/>
          <w:highlight w:val="none"/>
        </w:rPr>
        <w:t>支持服务器资源的任务指令执行配置：可设置和管理服务器上各类任务的执行资源，如视频转码、文档转换、非编转码的线程数及任务队列；</w:t>
      </w:r>
    </w:p>
    <w:p w14:paraId="33E28937">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1.2.5.</w:t>
      </w:r>
      <w:r>
        <w:rPr>
          <w:rFonts w:hint="eastAsia" w:ascii="宋体" w:hAnsi="宋体" w:eastAsia="宋体" w:cs="宋体"/>
          <w:b w:val="0"/>
          <w:bCs w:val="0"/>
          <w:color w:val="auto"/>
          <w:sz w:val="21"/>
          <w:szCs w:val="21"/>
          <w:highlight w:val="none"/>
        </w:rPr>
        <w:t>支持服务与存储资源的关联绑定：能将文件服务实例与后台的具体存储服务器（如主服务器）进行关联，实现存储资源的分配与管理；</w:t>
      </w:r>
    </w:p>
    <w:p w14:paraId="14B6D2D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1.2.6.</w:t>
      </w:r>
      <w:r>
        <w:rPr>
          <w:rFonts w:hint="eastAsia" w:ascii="宋体" w:hAnsi="宋体" w:eastAsia="宋体" w:cs="宋体"/>
          <w:b w:val="0"/>
          <w:bCs w:val="0"/>
          <w:color w:val="auto"/>
          <w:sz w:val="21"/>
          <w:szCs w:val="21"/>
          <w:highlight w:val="none"/>
        </w:rPr>
        <w:t>支持核心服务的快速操作：提供对文件服务进行设置、查看执行任务列表及删除服务等一键式操作功能。</w:t>
      </w:r>
    </w:p>
    <w:p w14:paraId="44C3E729">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1.3.</w:t>
      </w:r>
      <w:r>
        <w:rPr>
          <w:rFonts w:hint="eastAsia" w:ascii="宋体" w:hAnsi="宋体" w:eastAsia="宋体" w:cs="宋体"/>
          <w:b w:val="0"/>
          <w:bCs w:val="0"/>
          <w:color w:val="auto"/>
          <w:sz w:val="21"/>
          <w:szCs w:val="21"/>
          <w:highlight w:val="none"/>
          <w:lang w:val="zh-CN"/>
        </w:rPr>
        <w:t>组织机构</w:t>
      </w:r>
    </w:p>
    <w:p w14:paraId="2A87F44D">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1.3.1.</w:t>
      </w:r>
      <w:r>
        <w:rPr>
          <w:rFonts w:hint="eastAsia" w:ascii="宋体" w:hAnsi="宋体" w:eastAsia="宋体" w:cs="宋体"/>
          <w:b w:val="0"/>
          <w:bCs w:val="0"/>
          <w:color w:val="auto"/>
          <w:sz w:val="21"/>
          <w:szCs w:val="21"/>
          <w:highlight w:val="none"/>
        </w:rPr>
        <w:t>提供组织架构管理，支持与学校信息中心对接并同步组织架构与人员信息，同时支持批量导入与导出。支持创建用户临时账号并设置有效期，实现临时人员规范化管理。</w:t>
      </w:r>
    </w:p>
    <w:p w14:paraId="3CB3F0BC">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1.3.2.</w:t>
      </w:r>
      <w:r>
        <w:rPr>
          <w:rFonts w:hint="eastAsia" w:ascii="宋体" w:hAnsi="宋体" w:eastAsia="宋体" w:cs="宋体"/>
          <w:b w:val="0"/>
          <w:bCs w:val="0"/>
          <w:color w:val="auto"/>
          <w:sz w:val="21"/>
          <w:szCs w:val="21"/>
          <w:highlight w:val="none"/>
        </w:rPr>
        <w:t>提供安全责任体系管理功能，支持在同一界面集中管理校级、院级、实验室等各层级的安全责任人。</w:t>
      </w:r>
    </w:p>
    <w:p w14:paraId="3E40D693">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1.3.3.</w:t>
      </w:r>
      <w:r>
        <w:rPr>
          <w:rFonts w:hint="eastAsia" w:ascii="宋体" w:hAnsi="宋体" w:eastAsia="宋体" w:cs="宋体"/>
          <w:b w:val="0"/>
          <w:bCs w:val="0"/>
          <w:color w:val="auto"/>
          <w:sz w:val="21"/>
          <w:szCs w:val="21"/>
          <w:highlight w:val="none"/>
        </w:rPr>
        <w:t>▲提供校区与楼宇管理功能，支持根据实际情况管理校区、学院、楼宇等分布信息，并实现在线编辑。楼宇信息可关联地理经纬度并在地图中标记。（提供真实软件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206BD8DD">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1.3.4.</w:t>
      </w:r>
      <w:r>
        <w:rPr>
          <w:rFonts w:hint="eastAsia" w:ascii="宋体" w:hAnsi="宋体" w:eastAsia="宋体" w:cs="宋体"/>
          <w:b w:val="0"/>
          <w:bCs w:val="0"/>
          <w:color w:val="auto"/>
          <w:sz w:val="21"/>
          <w:szCs w:val="21"/>
          <w:highlight w:val="none"/>
        </w:rPr>
        <w:t>提供单位类型管理，支持管理员根据实际情况自定义设置单位类别。</w:t>
      </w:r>
    </w:p>
    <w:p w14:paraId="646B643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1.3.5.</w:t>
      </w:r>
      <w:r>
        <w:rPr>
          <w:rFonts w:hint="eastAsia" w:ascii="宋体" w:hAnsi="宋体" w:eastAsia="宋体" w:cs="宋体"/>
          <w:b w:val="0"/>
          <w:bCs w:val="0"/>
          <w:color w:val="auto"/>
          <w:sz w:val="21"/>
          <w:szCs w:val="21"/>
          <w:highlight w:val="none"/>
        </w:rPr>
        <w:t>组织架构具有高度可扩展性，管理员可根据学校实际情况，在系统中自定义学院与实验室房间之间的中间管理层级，支持多种类型定义，并可无限向下拓展，实现实验室单位的迁移与结构灵活调整。</w:t>
      </w:r>
    </w:p>
    <w:p w14:paraId="06F041DD">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1.4.</w:t>
      </w:r>
      <w:r>
        <w:rPr>
          <w:rFonts w:hint="eastAsia" w:ascii="宋体" w:hAnsi="宋体" w:eastAsia="宋体" w:cs="宋体"/>
          <w:b w:val="0"/>
          <w:bCs w:val="0"/>
          <w:color w:val="auto"/>
          <w:sz w:val="21"/>
          <w:szCs w:val="21"/>
          <w:highlight w:val="none"/>
          <w:lang w:val="zh-CN"/>
        </w:rPr>
        <w:t>人员管理</w:t>
      </w:r>
    </w:p>
    <w:p w14:paraId="4A1B716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1.4.1.</w:t>
      </w:r>
      <w:r>
        <w:rPr>
          <w:rFonts w:hint="eastAsia" w:ascii="宋体" w:hAnsi="宋体" w:eastAsia="宋体" w:cs="宋体"/>
          <w:b w:val="0"/>
          <w:bCs w:val="0"/>
          <w:color w:val="auto"/>
          <w:sz w:val="21"/>
          <w:szCs w:val="21"/>
          <w:highlight w:val="none"/>
        </w:rPr>
        <w:t>系统提供用户管理功能，根据教育行业特点，支持教职工、学生、供应商、校外人员等多类用户统一管理。</w:t>
      </w:r>
    </w:p>
    <w:p w14:paraId="19D99BFD">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1.4.2.</w:t>
      </w:r>
      <w:r>
        <w:rPr>
          <w:rFonts w:hint="eastAsia" w:ascii="宋体" w:hAnsi="宋体" w:eastAsia="宋体" w:cs="宋体"/>
          <w:b w:val="0"/>
          <w:bCs w:val="0"/>
          <w:color w:val="auto"/>
          <w:sz w:val="21"/>
          <w:szCs w:val="21"/>
          <w:highlight w:val="none"/>
        </w:rPr>
        <w:t>教职工管理支持手动录入与Excel批量导入。可管理的基本信息包含所属院系（部门）、姓名、工号、性别、邮箱等，并支持补充手机号、照片、个人简介。管理员可对教职工账号进行启用、停用、删除及密码重置等操作，支持按工号或姓名快速查找，并支持设置账号有效期。若对接学校现有用户系统，可实现数据同步。</w:t>
      </w:r>
    </w:p>
    <w:p w14:paraId="4C41F527">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1.4.3.</w:t>
      </w:r>
      <w:r>
        <w:rPr>
          <w:rFonts w:hint="eastAsia" w:ascii="宋体" w:hAnsi="宋体" w:eastAsia="宋体" w:cs="宋体"/>
          <w:b w:val="0"/>
          <w:bCs w:val="0"/>
          <w:color w:val="auto"/>
          <w:sz w:val="21"/>
          <w:szCs w:val="21"/>
          <w:highlight w:val="none"/>
        </w:rPr>
        <w:t>学生管理支持手动录入与Excel批量导入。可管理的信息包含学生姓名、学号、性别、手机号、邮箱等，支持关联所属院系。管理员可对学生账号进行启用、停用、删除及密码重置等操作，并支持设置账号有效期。</w:t>
      </w:r>
    </w:p>
    <w:p w14:paraId="1966B48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1.4.4.</w:t>
      </w:r>
      <w:r>
        <w:rPr>
          <w:rFonts w:hint="eastAsia" w:ascii="宋体" w:hAnsi="宋体" w:eastAsia="宋体" w:cs="宋体"/>
          <w:b w:val="0"/>
          <w:bCs w:val="0"/>
          <w:color w:val="auto"/>
          <w:sz w:val="21"/>
          <w:szCs w:val="21"/>
          <w:highlight w:val="none"/>
        </w:rPr>
        <w:t>供应商人员管理支持手动录入与Excel批量导入。可管理的信息包含姓名、登录名、性别、手机号、邮箱等，支持关联所属供应商。管理员可对供应商用户的账号进行启用、停用、删除及密码重置等操作，并支持设置账号有效期。</w:t>
      </w:r>
    </w:p>
    <w:p w14:paraId="1427A2D1">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1.4.5.</w:t>
      </w:r>
      <w:r>
        <w:rPr>
          <w:rFonts w:hint="eastAsia" w:ascii="宋体" w:hAnsi="宋体" w:eastAsia="宋体" w:cs="宋体"/>
          <w:b w:val="0"/>
          <w:bCs w:val="0"/>
          <w:color w:val="auto"/>
          <w:sz w:val="21"/>
          <w:szCs w:val="21"/>
          <w:highlight w:val="none"/>
        </w:rPr>
        <w:t>校外人员管理支持手动录入与Excel批量导入。可管理的信息包含姓名、登录名、性别、手机号、邮箱等。管理员可对校外人员账号进行启用、停用、删除及密码重置等操作，并支持设置账号有效期。</w:t>
      </w:r>
    </w:p>
    <w:p w14:paraId="4F9DD942">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1.5.</w:t>
      </w:r>
      <w:r>
        <w:rPr>
          <w:rFonts w:hint="eastAsia" w:ascii="宋体" w:hAnsi="宋体" w:eastAsia="宋体" w:cs="宋体"/>
          <w:b w:val="0"/>
          <w:bCs w:val="0"/>
          <w:color w:val="auto"/>
          <w:sz w:val="21"/>
          <w:szCs w:val="21"/>
          <w:highlight w:val="none"/>
          <w:lang w:val="zh-CN"/>
        </w:rPr>
        <w:t>教务信息管理</w:t>
      </w:r>
    </w:p>
    <w:p w14:paraId="75A48EB1">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1.5.1.</w:t>
      </w:r>
      <w:r>
        <w:rPr>
          <w:rFonts w:hint="eastAsia" w:ascii="宋体" w:hAnsi="宋体" w:eastAsia="宋体" w:cs="宋体"/>
          <w:b w:val="0"/>
          <w:bCs w:val="0"/>
          <w:color w:val="auto"/>
          <w:sz w:val="21"/>
          <w:szCs w:val="21"/>
          <w:highlight w:val="none"/>
        </w:rPr>
        <w:t>提供教务管理功能，课表支持与学校教务系统对接，实现课表数据同步与详情查看。</w:t>
      </w:r>
    </w:p>
    <w:p w14:paraId="450314B6">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1.5.2.</w:t>
      </w:r>
      <w:r>
        <w:rPr>
          <w:rFonts w:hint="eastAsia" w:ascii="宋体" w:hAnsi="宋体" w:eastAsia="宋体" w:cs="宋体"/>
          <w:b w:val="0"/>
          <w:bCs w:val="0"/>
          <w:color w:val="auto"/>
          <w:sz w:val="21"/>
          <w:szCs w:val="21"/>
          <w:highlight w:val="none"/>
        </w:rPr>
        <w:t>支持在系统中设置年度节假日，新增节日时可设定开始与结束日期。</w:t>
      </w:r>
    </w:p>
    <w:p w14:paraId="223E601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1.5.3.</w:t>
      </w:r>
      <w:r>
        <w:rPr>
          <w:rFonts w:hint="eastAsia" w:ascii="宋体" w:hAnsi="宋体" w:eastAsia="宋体" w:cs="宋体"/>
          <w:b w:val="0"/>
          <w:bCs w:val="0"/>
          <w:color w:val="auto"/>
          <w:sz w:val="21"/>
          <w:szCs w:val="21"/>
          <w:highlight w:val="none"/>
        </w:rPr>
        <w:t>提供学期管理功能，支持新增和编辑学期信息，包括学期适用范围、教师工作时间、学生学习时间等设置。</w:t>
      </w:r>
    </w:p>
    <w:p w14:paraId="4DF80666">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1.5.4.</w:t>
      </w:r>
      <w:r>
        <w:rPr>
          <w:rFonts w:hint="eastAsia" w:ascii="宋体" w:hAnsi="宋体" w:eastAsia="宋体" w:cs="宋体"/>
          <w:b w:val="0"/>
          <w:bCs w:val="0"/>
          <w:color w:val="auto"/>
          <w:sz w:val="21"/>
          <w:szCs w:val="21"/>
          <w:highlight w:val="none"/>
        </w:rPr>
        <w:t>提供班级与专业管理功能，支持班级信息维护及学习委员设置，并可自定义专业类型。</w:t>
      </w:r>
    </w:p>
    <w:p w14:paraId="3F1A66EC">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1.6.</w:t>
      </w:r>
      <w:r>
        <w:rPr>
          <w:rFonts w:hint="eastAsia" w:ascii="宋体" w:hAnsi="宋体" w:eastAsia="宋体" w:cs="宋体"/>
          <w:b w:val="0"/>
          <w:bCs w:val="0"/>
          <w:color w:val="auto"/>
          <w:sz w:val="21"/>
          <w:szCs w:val="21"/>
          <w:highlight w:val="none"/>
          <w:lang w:val="zh-CN"/>
        </w:rPr>
        <w:t>角色/权限管理</w:t>
      </w:r>
    </w:p>
    <w:p w14:paraId="72EB4CD7">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1.6.1.</w:t>
      </w:r>
      <w:r>
        <w:rPr>
          <w:rFonts w:hint="eastAsia" w:ascii="宋体" w:hAnsi="宋体" w:eastAsia="宋体" w:cs="宋体"/>
          <w:b w:val="0"/>
          <w:bCs w:val="0"/>
          <w:color w:val="auto"/>
          <w:sz w:val="21"/>
          <w:szCs w:val="21"/>
          <w:highlight w:val="none"/>
        </w:rPr>
        <w:t>系统提供角色管理功能，支持自定义角色名称、配置角色权限，并为角色灵活关联相应人员，实现权限与人员的绑定与管理。</w:t>
      </w:r>
    </w:p>
    <w:p w14:paraId="47EFBD88">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1.6.2.</w:t>
      </w:r>
      <w:r>
        <w:rPr>
          <w:rFonts w:hint="eastAsia" w:ascii="宋体" w:hAnsi="宋体" w:eastAsia="宋体" w:cs="宋体"/>
          <w:b w:val="0"/>
          <w:bCs w:val="0"/>
          <w:color w:val="auto"/>
          <w:sz w:val="21"/>
          <w:szCs w:val="21"/>
          <w:highlight w:val="none"/>
        </w:rPr>
        <w:t>平台支持基于角色进行功能权限控制，可按角色批量授权系统功能。</w:t>
      </w:r>
    </w:p>
    <w:p w14:paraId="5346D3C3">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1.6.3.</w:t>
      </w:r>
      <w:r>
        <w:rPr>
          <w:rFonts w:hint="eastAsia" w:ascii="宋体" w:hAnsi="宋体" w:eastAsia="宋体" w:cs="宋体"/>
          <w:b w:val="0"/>
          <w:bCs w:val="0"/>
          <w:color w:val="auto"/>
          <w:sz w:val="21"/>
          <w:szCs w:val="21"/>
          <w:highlight w:val="none"/>
        </w:rPr>
        <w:t>角色支持新建、编辑与删除操作。新建角色时可添加角色描述，支持为角色添加或移除用户，并自动统计角色下用户数量。支持为角色设置相应功能权限。</w:t>
      </w:r>
    </w:p>
    <w:p w14:paraId="5F36B30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1.6.4.</w:t>
      </w:r>
      <w:r>
        <w:rPr>
          <w:rFonts w:hint="eastAsia" w:ascii="宋体" w:hAnsi="宋体" w:eastAsia="宋体" w:cs="宋体"/>
          <w:b w:val="0"/>
          <w:bCs w:val="0"/>
          <w:color w:val="auto"/>
          <w:sz w:val="21"/>
          <w:szCs w:val="21"/>
          <w:highlight w:val="none"/>
        </w:rPr>
        <w:t>角色查找支持按角色名称进行模糊搜索，支持快速定位目标角色。</w:t>
      </w:r>
    </w:p>
    <w:p w14:paraId="507E4564">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1.7.</w:t>
      </w:r>
      <w:r>
        <w:rPr>
          <w:rFonts w:hint="eastAsia" w:ascii="宋体" w:hAnsi="宋体" w:eastAsia="宋体" w:cs="宋体"/>
          <w:b w:val="0"/>
          <w:bCs w:val="0"/>
          <w:color w:val="auto"/>
          <w:sz w:val="21"/>
          <w:szCs w:val="21"/>
          <w:highlight w:val="none"/>
          <w:lang w:val="zh-CN"/>
        </w:rPr>
        <w:t>日志查询</w:t>
      </w:r>
    </w:p>
    <w:p w14:paraId="1738FC3A">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1.7.1.</w:t>
      </w:r>
      <w:r>
        <w:rPr>
          <w:rFonts w:hint="eastAsia" w:ascii="宋体" w:hAnsi="宋体" w:eastAsia="宋体" w:cs="宋体"/>
          <w:b w:val="0"/>
          <w:bCs w:val="0"/>
          <w:color w:val="auto"/>
          <w:sz w:val="21"/>
          <w:szCs w:val="21"/>
          <w:highlight w:val="none"/>
        </w:rPr>
        <w:t>平台提供日志查询功能，包括登录日志与操作日志查询。</w:t>
      </w:r>
    </w:p>
    <w:p w14:paraId="0030E9F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1.7.2.</w:t>
      </w:r>
      <w:r>
        <w:rPr>
          <w:rFonts w:hint="eastAsia" w:ascii="宋体" w:hAnsi="宋体" w:eastAsia="宋体" w:cs="宋体"/>
          <w:b w:val="0"/>
          <w:bCs w:val="0"/>
          <w:color w:val="auto"/>
          <w:sz w:val="21"/>
          <w:szCs w:val="21"/>
          <w:highlight w:val="none"/>
        </w:rPr>
        <w:t>登录日志支持按时间段查询，可获取该时段内所有登录用户的用户名、IP地址、登录模块及登录时间；也支持按用户名查询该用户的全部登录记录，支持系统异常时人员操作追溯。</w:t>
      </w:r>
    </w:p>
    <w:p w14:paraId="6F8C07E9">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1.7.3.</w:t>
      </w:r>
      <w:r>
        <w:rPr>
          <w:rFonts w:hint="eastAsia" w:ascii="宋体" w:hAnsi="宋体" w:eastAsia="宋体" w:cs="宋体"/>
          <w:b w:val="0"/>
          <w:bCs w:val="0"/>
          <w:color w:val="auto"/>
          <w:sz w:val="21"/>
          <w:szCs w:val="21"/>
          <w:highlight w:val="none"/>
        </w:rPr>
        <w:t>操作日志支持按时间段查询用户的系统操作记录，信息包括操作用户名、IP地址、操作内容、功能模块及操作时间；也可按用户查询其全部操作日志。</w:t>
      </w:r>
    </w:p>
    <w:p w14:paraId="6A18606B">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w:t>
      </w:r>
      <w:r>
        <w:rPr>
          <w:rFonts w:hint="eastAsia" w:ascii="宋体" w:hAnsi="宋体" w:eastAsia="宋体" w:cs="宋体"/>
          <w:b w:val="0"/>
          <w:bCs w:val="0"/>
          <w:color w:val="auto"/>
          <w:sz w:val="21"/>
          <w:szCs w:val="21"/>
          <w:highlight w:val="none"/>
        </w:rPr>
        <w:t>实验室管理</w:t>
      </w:r>
    </w:p>
    <w:p w14:paraId="4437CACD">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2.1.</w:t>
      </w:r>
      <w:r>
        <w:rPr>
          <w:rFonts w:hint="eastAsia" w:ascii="宋体" w:hAnsi="宋体" w:eastAsia="宋体" w:cs="宋体"/>
          <w:b w:val="0"/>
          <w:bCs w:val="0"/>
          <w:color w:val="auto"/>
          <w:sz w:val="21"/>
          <w:szCs w:val="21"/>
          <w:highlight w:val="none"/>
          <w:lang w:val="zh-CN"/>
        </w:rPr>
        <w:t>实验室基础管理</w:t>
      </w:r>
    </w:p>
    <w:p w14:paraId="2B6C03D3">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2.1.1.</w:t>
      </w:r>
      <w:r>
        <w:rPr>
          <w:rFonts w:hint="eastAsia" w:ascii="宋体" w:hAnsi="宋体" w:eastAsia="宋体" w:cs="宋体"/>
          <w:b w:val="0"/>
          <w:bCs w:val="0"/>
          <w:color w:val="auto"/>
          <w:sz w:val="21"/>
          <w:szCs w:val="21"/>
          <w:highlight w:val="none"/>
        </w:rPr>
        <w:t>提供实验室基本信息管理功能，信息包括但不限于实验室名称、位置、简介、所属学院、面积、使用状态、建立时间、资质、分级分类等，并可根据实际需求调整各字段显示顺序。支持设置实验室负责人与安全员。</w:t>
      </w:r>
    </w:p>
    <w:p w14:paraId="69DB77F6">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2.1.2.</w:t>
      </w:r>
      <w:r>
        <w:rPr>
          <w:rFonts w:hint="eastAsia" w:ascii="宋体" w:hAnsi="宋体" w:eastAsia="宋体" w:cs="宋体"/>
          <w:b w:val="0"/>
          <w:bCs w:val="0"/>
          <w:color w:val="auto"/>
          <w:sz w:val="21"/>
          <w:szCs w:val="21"/>
          <w:highlight w:val="none"/>
        </w:rPr>
        <w:t>支持对实验室基本信息进行编辑、删除和复制操作，并支持导出实验室数据。</w:t>
      </w:r>
    </w:p>
    <w:p w14:paraId="23960F0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2.1.3.</w:t>
      </w:r>
      <w:r>
        <w:rPr>
          <w:rFonts w:hint="eastAsia" w:ascii="宋体" w:hAnsi="宋体" w:eastAsia="宋体" w:cs="宋体"/>
          <w:b w:val="0"/>
          <w:bCs w:val="0"/>
          <w:color w:val="auto"/>
          <w:sz w:val="21"/>
          <w:szCs w:val="21"/>
          <w:highlight w:val="none"/>
        </w:rPr>
        <w:t>支持手动新增实验室，并支持按模板批量导入实验室信息。</w:t>
      </w:r>
    </w:p>
    <w:p w14:paraId="4ECC5B2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2.1.4.</w:t>
      </w:r>
      <w:r>
        <w:rPr>
          <w:rFonts w:hint="eastAsia" w:ascii="宋体" w:hAnsi="宋体" w:eastAsia="宋体" w:cs="宋体"/>
          <w:b w:val="0"/>
          <w:bCs w:val="0"/>
          <w:color w:val="auto"/>
          <w:sz w:val="21"/>
          <w:szCs w:val="21"/>
          <w:highlight w:val="none"/>
        </w:rPr>
        <w:t>实验室的分级分类与危险源信息实现自动关联，当实验室的危险源因存放仪器设备或危化品变化时，系统可根据预设规则自动匹配对应的分级分类。</w:t>
      </w:r>
    </w:p>
    <w:p w14:paraId="10D1196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2.1.5.</w:t>
      </w:r>
      <w:r>
        <w:rPr>
          <w:rFonts w:hint="eastAsia" w:ascii="宋体" w:hAnsi="宋体" w:eastAsia="宋体" w:cs="宋体"/>
          <w:b w:val="0"/>
          <w:bCs w:val="0"/>
          <w:color w:val="auto"/>
          <w:sz w:val="21"/>
          <w:szCs w:val="21"/>
          <w:highlight w:val="none"/>
        </w:rPr>
        <w:t>支持授权实验室准入用户，可直接在线人工授权准入人员，也可对接培训同步获取准入人员名单。</w:t>
      </w:r>
    </w:p>
    <w:p w14:paraId="40C7FCB3">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2.2.</w:t>
      </w:r>
      <w:r>
        <w:rPr>
          <w:rFonts w:hint="eastAsia" w:ascii="宋体" w:hAnsi="宋体" w:eastAsia="宋体" w:cs="宋体"/>
          <w:b w:val="0"/>
          <w:bCs w:val="0"/>
          <w:color w:val="auto"/>
          <w:sz w:val="21"/>
          <w:szCs w:val="21"/>
          <w:highlight w:val="none"/>
          <w:lang w:val="zh-CN"/>
        </w:rPr>
        <w:t>实验室字段配置</w:t>
      </w:r>
    </w:p>
    <w:p w14:paraId="53364408">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2.2.1.</w:t>
      </w:r>
      <w:r>
        <w:rPr>
          <w:rFonts w:hint="eastAsia" w:ascii="宋体" w:hAnsi="宋体" w:eastAsia="宋体" w:cs="宋体"/>
          <w:b w:val="0"/>
          <w:bCs w:val="0"/>
          <w:color w:val="auto"/>
          <w:sz w:val="21"/>
          <w:szCs w:val="21"/>
          <w:highlight w:val="none"/>
        </w:rPr>
        <w:t>▲支持自定义配置实验室管理的字段属性，系统预置</w:t>
      </w:r>
      <w:r>
        <w:rPr>
          <w:rFonts w:hint="eastAsia" w:ascii="宋体" w:hAnsi="宋体" w:eastAsia="宋体" w:cs="宋体"/>
          <w:b w:val="0"/>
          <w:bCs w:val="0"/>
          <w:color w:val="auto"/>
          <w:sz w:val="21"/>
          <w:szCs w:val="21"/>
          <w:highlight w:val="none"/>
          <w:lang w:val="en-US" w:eastAsia="zh-CN"/>
        </w:rPr>
        <w:t>常用</w:t>
      </w:r>
      <w:r>
        <w:rPr>
          <w:rFonts w:hint="eastAsia" w:ascii="宋体" w:hAnsi="宋体" w:eastAsia="宋体" w:cs="宋体"/>
          <w:b w:val="0"/>
          <w:bCs w:val="0"/>
          <w:color w:val="auto"/>
          <w:sz w:val="21"/>
          <w:szCs w:val="21"/>
          <w:highlight w:val="none"/>
        </w:rPr>
        <w:t>实验室相关字段，管理员可根据实际管理需求选择并使用自定义字段，并支持对字段名称进行自定义修改，以及设置该字段是否显示、是否为必填项、是否只读以及调整排序顺序等功能。（提供真实软件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63DCBB0D">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2.2.2.</w:t>
      </w:r>
      <w:r>
        <w:rPr>
          <w:rFonts w:hint="eastAsia" w:ascii="宋体" w:hAnsi="宋体" w:eastAsia="宋体" w:cs="宋体"/>
          <w:b w:val="0"/>
          <w:bCs w:val="0"/>
          <w:color w:val="auto"/>
          <w:sz w:val="21"/>
          <w:szCs w:val="21"/>
          <w:highlight w:val="none"/>
        </w:rPr>
        <w:t>支持根据当前字段配置生成并下载对应的实验室信息导入模板，支持批量导入实验室信息。</w:t>
      </w:r>
    </w:p>
    <w:p w14:paraId="2600BAE4">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2.3.</w:t>
      </w:r>
      <w:r>
        <w:rPr>
          <w:rFonts w:hint="eastAsia" w:ascii="宋体" w:hAnsi="宋体" w:eastAsia="宋体" w:cs="宋体"/>
          <w:b w:val="0"/>
          <w:bCs w:val="0"/>
          <w:color w:val="auto"/>
          <w:sz w:val="21"/>
          <w:szCs w:val="21"/>
          <w:highlight w:val="none"/>
          <w:lang w:val="zh-CN"/>
        </w:rPr>
        <w:t>资质管理</w:t>
      </w:r>
    </w:p>
    <w:p w14:paraId="050E7627">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2.3.1.</w:t>
      </w:r>
      <w:r>
        <w:rPr>
          <w:rFonts w:hint="eastAsia" w:ascii="宋体" w:hAnsi="宋体" w:eastAsia="宋体" w:cs="宋体"/>
          <w:b w:val="0"/>
          <w:bCs w:val="0"/>
          <w:color w:val="auto"/>
          <w:sz w:val="21"/>
          <w:szCs w:val="21"/>
          <w:highlight w:val="none"/>
        </w:rPr>
        <w:t>提供实验室资质管理功能，支持按资质类别进行分类管理，并可根据资质类别、资质名称进行快速检索。</w:t>
      </w:r>
    </w:p>
    <w:p w14:paraId="16D767EC">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2.4.</w:t>
      </w:r>
      <w:r>
        <w:rPr>
          <w:rFonts w:hint="eastAsia" w:ascii="宋体" w:hAnsi="宋体" w:eastAsia="宋体" w:cs="宋体"/>
          <w:b w:val="0"/>
          <w:bCs w:val="0"/>
          <w:color w:val="auto"/>
          <w:sz w:val="21"/>
          <w:szCs w:val="21"/>
          <w:highlight w:val="none"/>
          <w:lang w:val="zh-CN"/>
        </w:rPr>
        <w:t>危险源管理</w:t>
      </w:r>
    </w:p>
    <w:p w14:paraId="60BA9396">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2.4.1.</w:t>
      </w:r>
      <w:r>
        <w:rPr>
          <w:rFonts w:hint="eastAsia" w:ascii="宋体" w:hAnsi="宋体" w:eastAsia="宋体" w:cs="宋体"/>
          <w:b w:val="0"/>
          <w:bCs w:val="0"/>
          <w:color w:val="auto"/>
          <w:sz w:val="21"/>
          <w:szCs w:val="21"/>
          <w:highlight w:val="none"/>
        </w:rPr>
        <w:t>▲提供实验室危险源管理功能，支持多类别划分；系统内置教育部发布的危险源库及风险评分信息。可设置危险源名称、简称、标识等，其中标识可用于安全信息牌展示。（提供真实软件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70BCCCF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2.4.2.</w:t>
      </w:r>
      <w:r>
        <w:rPr>
          <w:rFonts w:hint="eastAsia" w:ascii="宋体" w:hAnsi="宋体" w:eastAsia="宋体" w:cs="宋体"/>
          <w:b w:val="0"/>
          <w:bCs w:val="0"/>
          <w:color w:val="auto"/>
          <w:sz w:val="21"/>
          <w:szCs w:val="21"/>
          <w:highlight w:val="none"/>
        </w:rPr>
        <w:t>支持为不同危险源配置对应防护措施，当实验室人员勾选危险源时，系统自动关联并勾选相关防护措施。</w:t>
      </w:r>
    </w:p>
    <w:p w14:paraId="160EFF29">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2.5.</w:t>
      </w:r>
      <w:r>
        <w:rPr>
          <w:rFonts w:hint="eastAsia" w:ascii="宋体" w:hAnsi="宋体" w:eastAsia="宋体" w:cs="宋体"/>
          <w:b w:val="0"/>
          <w:bCs w:val="0"/>
          <w:color w:val="auto"/>
          <w:sz w:val="21"/>
          <w:szCs w:val="21"/>
          <w:highlight w:val="none"/>
          <w:lang w:val="zh-CN"/>
        </w:rPr>
        <w:t>防护要点管理</w:t>
      </w:r>
    </w:p>
    <w:p w14:paraId="585F97F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2.5.1.</w:t>
      </w:r>
      <w:r>
        <w:rPr>
          <w:rFonts w:hint="eastAsia" w:ascii="宋体" w:hAnsi="宋体" w:eastAsia="宋体" w:cs="宋体"/>
          <w:b w:val="0"/>
          <w:bCs w:val="0"/>
          <w:color w:val="auto"/>
          <w:sz w:val="21"/>
          <w:szCs w:val="21"/>
          <w:highlight w:val="none"/>
        </w:rPr>
        <w:t>提供防护要点管理功能，支持多类型划分；防护措施和安全提示在此页面管理。可设置防护措施/安全提示的名称、简称、标识等信息，其中标识可直接用于安全信息牌展示。</w:t>
      </w:r>
    </w:p>
    <w:p w14:paraId="6656CBC7">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2.6.</w:t>
      </w:r>
      <w:r>
        <w:rPr>
          <w:rFonts w:hint="eastAsia" w:ascii="宋体" w:hAnsi="宋体" w:eastAsia="宋体" w:cs="宋体"/>
          <w:b w:val="0"/>
          <w:bCs w:val="0"/>
          <w:color w:val="auto"/>
          <w:sz w:val="21"/>
          <w:szCs w:val="21"/>
          <w:highlight w:val="none"/>
          <w:lang w:val="zh-CN"/>
        </w:rPr>
        <w:t>风险标签管理</w:t>
      </w:r>
    </w:p>
    <w:p w14:paraId="2AD48FB3">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2.6.1.</w:t>
      </w:r>
      <w:r>
        <w:rPr>
          <w:rFonts w:hint="eastAsia" w:ascii="宋体" w:hAnsi="宋体" w:eastAsia="宋体" w:cs="宋体"/>
          <w:b w:val="0"/>
          <w:bCs w:val="0"/>
          <w:color w:val="auto"/>
          <w:sz w:val="21"/>
          <w:szCs w:val="21"/>
          <w:highlight w:val="none"/>
        </w:rPr>
        <w:t>系统内置风险标签管理功能，标签内容依据教育部相关文件归纳提取而成，当前已整理完毕，可直接使用。可根据学校要求更新标签内容。</w:t>
      </w:r>
    </w:p>
    <w:p w14:paraId="379989EA">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2.6.2.</w:t>
      </w:r>
      <w:r>
        <w:rPr>
          <w:rFonts w:hint="eastAsia" w:ascii="宋体" w:hAnsi="宋体" w:eastAsia="宋体" w:cs="宋体"/>
          <w:b w:val="0"/>
          <w:bCs w:val="0"/>
          <w:color w:val="auto"/>
          <w:sz w:val="21"/>
          <w:szCs w:val="21"/>
          <w:highlight w:val="none"/>
        </w:rPr>
        <w:t>支持新建风险标签，支持设置风险标签名称、关联危险源、配置判断条件与评分，并可定义实验室添加该标签后对应的分类与分级。当实验室添加风险标签后，系统可根据风险评价结果，自动推荐该实验室的分级与分类建议。</w:t>
      </w:r>
    </w:p>
    <w:p w14:paraId="184C9F37">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2.7.</w:t>
      </w:r>
      <w:r>
        <w:rPr>
          <w:rFonts w:hint="eastAsia" w:ascii="宋体" w:hAnsi="宋体" w:eastAsia="宋体" w:cs="宋体"/>
          <w:b w:val="0"/>
          <w:bCs w:val="0"/>
          <w:color w:val="auto"/>
          <w:sz w:val="21"/>
          <w:szCs w:val="21"/>
          <w:highlight w:val="none"/>
          <w:lang w:val="zh-CN"/>
        </w:rPr>
        <w:t>分级管理</w:t>
      </w:r>
    </w:p>
    <w:p w14:paraId="4E84C637">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2.7.1.</w:t>
      </w:r>
      <w:r>
        <w:rPr>
          <w:rFonts w:hint="eastAsia" w:ascii="宋体" w:hAnsi="宋体" w:eastAsia="宋体" w:cs="宋体"/>
          <w:b w:val="0"/>
          <w:bCs w:val="0"/>
          <w:color w:val="auto"/>
          <w:sz w:val="21"/>
          <w:szCs w:val="21"/>
          <w:highlight w:val="none"/>
        </w:rPr>
        <w:t>根据《高校实验室分级表》与《高校实验室安全风险评价表》，系统预置实验室Ⅰ、Ⅱ、Ⅲ、Ⅳ级标准内容，包含分级参考依据与对应管理要求，管理要求支持学校结合实际需求修改，并自动统计各风险等级实验室数量。</w:t>
      </w:r>
    </w:p>
    <w:p w14:paraId="56B4FF86">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2.7.2.</w:t>
      </w:r>
      <w:r>
        <w:rPr>
          <w:rFonts w:hint="eastAsia" w:ascii="宋体" w:hAnsi="宋体" w:eastAsia="宋体" w:cs="宋体"/>
          <w:b w:val="0"/>
          <w:bCs w:val="0"/>
          <w:color w:val="auto"/>
          <w:sz w:val="21"/>
          <w:szCs w:val="21"/>
          <w:highlight w:val="none"/>
        </w:rPr>
        <w:t>支持查看未分级实验室的数量及对应列表，支持管理人员跟进与完善。</w:t>
      </w:r>
    </w:p>
    <w:p w14:paraId="78BBA5D2">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2.8.</w:t>
      </w:r>
      <w:r>
        <w:rPr>
          <w:rFonts w:hint="eastAsia" w:ascii="宋体" w:hAnsi="宋体" w:eastAsia="宋体" w:cs="宋体"/>
          <w:b w:val="0"/>
          <w:bCs w:val="0"/>
          <w:color w:val="auto"/>
          <w:sz w:val="21"/>
          <w:szCs w:val="21"/>
          <w:highlight w:val="none"/>
          <w:lang w:val="zh-CN"/>
        </w:rPr>
        <w:t>分类管理</w:t>
      </w:r>
    </w:p>
    <w:p w14:paraId="51D569F1">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2.8.1.</w:t>
      </w:r>
      <w:r>
        <w:rPr>
          <w:rFonts w:hint="eastAsia" w:ascii="宋体" w:hAnsi="宋体" w:eastAsia="宋体" w:cs="宋体"/>
          <w:b w:val="0"/>
          <w:bCs w:val="0"/>
          <w:color w:val="auto"/>
          <w:sz w:val="21"/>
          <w:szCs w:val="21"/>
          <w:highlight w:val="none"/>
        </w:rPr>
        <w:t>提供实验室分类管理功能，分类依据主要为危险源类别，支持编辑分类参照依据及新增自定义分类，系统预设分类不可删除，可自动统计各类别下实验室数量。</w:t>
      </w:r>
    </w:p>
    <w:p w14:paraId="034E17C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2.8.2.</w:t>
      </w:r>
      <w:r>
        <w:rPr>
          <w:rFonts w:hint="eastAsia" w:ascii="宋体" w:hAnsi="宋体" w:eastAsia="宋体" w:cs="宋体"/>
          <w:b w:val="0"/>
          <w:bCs w:val="0"/>
          <w:color w:val="auto"/>
          <w:sz w:val="21"/>
          <w:szCs w:val="21"/>
          <w:highlight w:val="none"/>
        </w:rPr>
        <w:t>支持查看未分类实验室的数量及列表，支持管理人员进行补充分类操作。</w:t>
      </w:r>
    </w:p>
    <w:p w14:paraId="36D293FC">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2.9.</w:t>
      </w:r>
      <w:r>
        <w:rPr>
          <w:rFonts w:hint="eastAsia" w:ascii="宋体" w:hAnsi="宋体" w:eastAsia="宋体" w:cs="宋体"/>
          <w:b w:val="0"/>
          <w:bCs w:val="0"/>
          <w:color w:val="auto"/>
          <w:sz w:val="21"/>
          <w:szCs w:val="21"/>
          <w:highlight w:val="none"/>
          <w:lang w:val="zh-CN"/>
        </w:rPr>
        <w:t>安全信息牌</w:t>
      </w:r>
    </w:p>
    <w:p w14:paraId="478407C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2.9.1.</w:t>
      </w:r>
      <w:r>
        <w:rPr>
          <w:rFonts w:hint="eastAsia" w:ascii="宋体" w:hAnsi="宋体" w:eastAsia="宋体" w:cs="宋体"/>
          <w:b w:val="0"/>
          <w:bCs w:val="0"/>
          <w:color w:val="auto"/>
          <w:sz w:val="21"/>
          <w:szCs w:val="21"/>
          <w:highlight w:val="none"/>
        </w:rPr>
        <w:t>▲提供实验室安全信息牌生成功能，信息牌内容包括实验室基本信息，并可展示实验室风险等级、危险类别、防护措施、灭火要点与安全提示、实验室责任人及安全员等关键信息。（提供真实软件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2F2A75D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2.9.2.</w:t>
      </w:r>
      <w:r>
        <w:rPr>
          <w:rFonts w:hint="eastAsia" w:ascii="宋体" w:hAnsi="宋体" w:eastAsia="宋体" w:cs="宋体"/>
          <w:b w:val="0"/>
          <w:bCs w:val="0"/>
          <w:color w:val="auto"/>
          <w:sz w:val="21"/>
          <w:szCs w:val="21"/>
          <w:highlight w:val="none"/>
        </w:rPr>
        <w:t>支持不同校区自定义配置校园报警电话、校医院电话，并可在信息牌上展示。可根据实验室风险等级配置不同颜色进行区分。</w:t>
      </w:r>
    </w:p>
    <w:p w14:paraId="0AF6B2B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2.9.3.</w:t>
      </w:r>
      <w:r>
        <w:rPr>
          <w:rFonts w:hint="eastAsia" w:ascii="宋体" w:hAnsi="宋体" w:eastAsia="宋体" w:cs="宋体"/>
          <w:b w:val="0"/>
          <w:bCs w:val="0"/>
          <w:color w:val="auto"/>
          <w:sz w:val="21"/>
          <w:szCs w:val="21"/>
          <w:highlight w:val="none"/>
        </w:rPr>
        <w:t>支持按学院一键批量生成所属实验室的安全信息牌及独立二维码，二维码内容可由管理员自定义选定字段。支持通过校区、学院、楼宇、分级分类、建立时间等多条件筛选查询并导出对应实验室二维码。</w:t>
      </w:r>
    </w:p>
    <w:p w14:paraId="3531C2A9">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2.9.4.</w:t>
      </w:r>
      <w:r>
        <w:rPr>
          <w:rFonts w:hint="eastAsia" w:ascii="宋体" w:hAnsi="宋体" w:eastAsia="宋体" w:cs="宋体"/>
          <w:b w:val="0"/>
          <w:bCs w:val="0"/>
          <w:color w:val="auto"/>
          <w:sz w:val="21"/>
          <w:szCs w:val="21"/>
          <w:highlight w:val="none"/>
        </w:rPr>
        <w:t>提供安全提示配置功能，支持根据实验室分类设置安全提示内容，并在对应的安全信息牌中显示。</w:t>
      </w:r>
    </w:p>
    <w:p w14:paraId="5105942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2.9.5.</w:t>
      </w:r>
      <w:r>
        <w:rPr>
          <w:rFonts w:hint="eastAsia" w:ascii="宋体" w:hAnsi="宋体" w:eastAsia="宋体" w:cs="宋体"/>
          <w:b w:val="0"/>
          <w:bCs w:val="0"/>
          <w:color w:val="auto"/>
          <w:sz w:val="21"/>
          <w:szCs w:val="21"/>
          <w:highlight w:val="none"/>
        </w:rPr>
        <w:t>支持通过手机移动端扫描二维码快速定位并查看实验室基本信息，并可直接进行安全检查等业务操作。</w:t>
      </w:r>
    </w:p>
    <w:p w14:paraId="5E107B72">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2.10.</w:t>
      </w:r>
      <w:r>
        <w:rPr>
          <w:rFonts w:hint="eastAsia" w:ascii="宋体" w:hAnsi="宋体" w:eastAsia="宋体" w:cs="宋体"/>
          <w:b w:val="0"/>
          <w:bCs w:val="0"/>
          <w:color w:val="auto"/>
          <w:sz w:val="21"/>
          <w:szCs w:val="21"/>
          <w:highlight w:val="none"/>
          <w:lang w:val="zh-CN"/>
        </w:rPr>
        <w:t>数据看板</w:t>
      </w:r>
    </w:p>
    <w:p w14:paraId="395CACDD">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2.10.1.</w:t>
      </w:r>
      <w:r>
        <w:rPr>
          <w:rFonts w:hint="eastAsia" w:ascii="宋体" w:hAnsi="宋体" w:eastAsia="宋体" w:cs="宋体"/>
          <w:b w:val="0"/>
          <w:bCs w:val="0"/>
          <w:color w:val="auto"/>
          <w:sz w:val="21"/>
          <w:szCs w:val="21"/>
          <w:highlight w:val="none"/>
        </w:rPr>
        <w:t>支持校区、学院、楼宇等维度筛选查看实验室统计信息。</w:t>
      </w:r>
    </w:p>
    <w:p w14:paraId="33607C11">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2.10.2.</w:t>
      </w:r>
      <w:r>
        <w:rPr>
          <w:rFonts w:hint="eastAsia" w:ascii="宋体" w:hAnsi="宋体" w:eastAsia="宋体" w:cs="宋体"/>
          <w:b w:val="0"/>
          <w:bCs w:val="0"/>
          <w:color w:val="auto"/>
          <w:sz w:val="21"/>
          <w:szCs w:val="21"/>
          <w:highlight w:val="none"/>
        </w:rPr>
        <w:t>多维度统计概览：实时展示各维度下的实验室总数、仪器设备总量；按风险等级分级统计实验室数量；按化学类/生物类/辐射类/机电类/其他类等分类统计。</w:t>
      </w:r>
    </w:p>
    <w:p w14:paraId="17847397">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2.10.3.</w:t>
      </w:r>
      <w:r>
        <w:rPr>
          <w:rFonts w:hint="eastAsia" w:ascii="宋体" w:hAnsi="宋体" w:eastAsia="宋体" w:cs="宋体"/>
          <w:b w:val="0"/>
          <w:bCs w:val="0"/>
          <w:color w:val="auto"/>
          <w:sz w:val="21"/>
          <w:szCs w:val="21"/>
          <w:highlight w:val="none"/>
        </w:rPr>
        <w:t>可视化图表展示：实验室分级采用卡片式直观展示不同风险等级数量；实验室分类采用环形图呈现各类型占比分布；支持校区地图定位展示。</w:t>
      </w:r>
    </w:p>
    <w:p w14:paraId="4F533269">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2.10.4.</w:t>
      </w:r>
      <w:r>
        <w:rPr>
          <w:rFonts w:hint="eastAsia" w:ascii="宋体" w:hAnsi="宋体" w:eastAsia="宋体" w:cs="宋体"/>
          <w:b w:val="0"/>
          <w:bCs w:val="0"/>
          <w:color w:val="auto"/>
          <w:sz w:val="21"/>
          <w:szCs w:val="21"/>
          <w:highlight w:val="none"/>
        </w:rPr>
        <w:t>数据导出能力：各统计维度数据支持一键导出，支持线下分析与汇报使用。</w:t>
      </w:r>
    </w:p>
    <w:p w14:paraId="45C1B5B8">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2.10.5.</w:t>
      </w:r>
      <w:r>
        <w:rPr>
          <w:rFonts w:hint="eastAsia" w:ascii="宋体" w:hAnsi="宋体" w:eastAsia="宋体" w:cs="宋体"/>
          <w:b w:val="0"/>
          <w:bCs w:val="0"/>
          <w:color w:val="auto"/>
          <w:sz w:val="21"/>
          <w:szCs w:val="21"/>
          <w:highlight w:val="none"/>
        </w:rPr>
        <w:t>▲交互扩展：支持地图坐标点交互，点击楼宇点位可查看该楼宇内实验室列表及各实验室信息概览；点击具体实验室可支持跳转至详情页面；支持查看实验室预约次数；支持查看实验室风险等级填报进度。（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336529F0">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2.11.</w:t>
      </w:r>
      <w:r>
        <w:rPr>
          <w:rFonts w:hint="eastAsia" w:ascii="宋体" w:hAnsi="宋体" w:eastAsia="宋体" w:cs="宋体"/>
          <w:b w:val="0"/>
          <w:bCs w:val="0"/>
          <w:color w:val="auto"/>
          <w:sz w:val="21"/>
          <w:szCs w:val="21"/>
          <w:highlight w:val="none"/>
          <w:lang w:val="zh-CN"/>
        </w:rPr>
        <w:t>实验室使用率统计</w:t>
      </w:r>
    </w:p>
    <w:p w14:paraId="4B06AAB6">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2.11.1.</w:t>
      </w:r>
      <w:r>
        <w:rPr>
          <w:rFonts w:hint="eastAsia" w:ascii="宋体" w:hAnsi="宋体" w:eastAsia="宋体" w:cs="宋体"/>
          <w:b w:val="0"/>
          <w:bCs w:val="0"/>
          <w:color w:val="auto"/>
          <w:sz w:val="21"/>
          <w:szCs w:val="21"/>
          <w:highlight w:val="none"/>
        </w:rPr>
        <w:t>提供实验室使用率统计功能，支持按校区、学院、楼宇、实验室分级分类等多维度筛选查看。统计指标包含实验室总数、已使用实验室数、空闲实验室数、总使用人次、总使用时长等。</w:t>
      </w:r>
    </w:p>
    <w:p w14:paraId="59CFEFB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2.11.2.</w:t>
      </w:r>
      <w:r>
        <w:rPr>
          <w:rFonts w:hint="eastAsia" w:ascii="宋体" w:hAnsi="宋体" w:eastAsia="宋体" w:cs="宋体"/>
          <w:b w:val="0"/>
          <w:bCs w:val="0"/>
          <w:color w:val="auto"/>
          <w:sz w:val="21"/>
          <w:szCs w:val="21"/>
          <w:highlight w:val="none"/>
        </w:rPr>
        <w:t>支持按时间维度统计：支持按日、周、月、季度、学年、自定义时间段统计实验室使用率，使用率计算口径支持配置（按预约时段 / 按实际签到 / 按排课时段）。</w:t>
      </w:r>
    </w:p>
    <w:p w14:paraId="192D2DE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2.11.3.</w:t>
      </w:r>
      <w:r>
        <w:rPr>
          <w:rFonts w:hint="eastAsia" w:ascii="宋体" w:hAnsi="宋体" w:eastAsia="宋体" w:cs="宋体"/>
          <w:b w:val="0"/>
          <w:bCs w:val="0"/>
          <w:color w:val="auto"/>
          <w:sz w:val="21"/>
          <w:szCs w:val="21"/>
          <w:highlight w:val="none"/>
        </w:rPr>
        <w:t>支持按用途类型统计：区分教学实验、科研实验、开放共享等不同用途的使用率，分别统计各类型的使用人次、使用时长及占比。</w:t>
      </w:r>
    </w:p>
    <w:p w14:paraId="7545F31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2.11.4.</w:t>
      </w:r>
      <w:r>
        <w:rPr>
          <w:rFonts w:hint="eastAsia" w:ascii="宋体" w:hAnsi="宋体" w:eastAsia="宋体" w:cs="宋体"/>
          <w:b w:val="0"/>
          <w:bCs w:val="0"/>
          <w:color w:val="auto"/>
          <w:sz w:val="21"/>
          <w:szCs w:val="21"/>
          <w:highlight w:val="none"/>
        </w:rPr>
        <w:t>支持实验室使用率趋势分析：以折线图展示使用率随时间的变化趋势，支持同比、环比对比分析，辅助识别使用高峰与低谷时段。</w:t>
      </w:r>
    </w:p>
    <w:p w14:paraId="178CB2B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2.11.5.</w:t>
      </w:r>
      <w:r>
        <w:rPr>
          <w:rFonts w:hint="eastAsia" w:ascii="宋体" w:hAnsi="宋体" w:eastAsia="宋体" w:cs="宋体"/>
          <w:b w:val="0"/>
          <w:bCs w:val="0"/>
          <w:color w:val="auto"/>
          <w:sz w:val="21"/>
          <w:szCs w:val="21"/>
          <w:highlight w:val="none"/>
        </w:rPr>
        <w:t>支持实验室使用率排行：按使用率从高到低排行展示，支持按学院、楼宇等分组排行，便于发现低使用率实验室并优化资源配置。</w:t>
      </w:r>
    </w:p>
    <w:p w14:paraId="0BB0269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2.11.6.</w:t>
      </w:r>
      <w:r>
        <w:rPr>
          <w:rFonts w:hint="eastAsia" w:ascii="宋体" w:hAnsi="宋体" w:eastAsia="宋体" w:cs="宋体"/>
          <w:b w:val="0"/>
          <w:bCs w:val="0"/>
          <w:color w:val="auto"/>
          <w:sz w:val="21"/>
          <w:szCs w:val="21"/>
          <w:highlight w:val="none"/>
        </w:rPr>
        <w:t>支持低使用率预警：可设置使用率阈值，当实验室连续指定时间段内使用率低于阈值时，系统自动标记并推送提醒至相关管理人员。</w:t>
      </w:r>
    </w:p>
    <w:p w14:paraId="7FC6279A">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2.11.7.</w:t>
      </w:r>
      <w:r>
        <w:rPr>
          <w:rFonts w:hint="eastAsia" w:ascii="宋体" w:hAnsi="宋体" w:eastAsia="宋体" w:cs="宋体"/>
          <w:b w:val="0"/>
          <w:bCs w:val="0"/>
          <w:color w:val="auto"/>
          <w:sz w:val="21"/>
          <w:szCs w:val="21"/>
          <w:highlight w:val="none"/>
        </w:rPr>
        <w:t>支持实验室使用明细查询：可查看单个实验室的详细使用记录，包含每次使用的日期、时段、使用人、用途、时长等信息，支持导出明细数据。</w:t>
      </w:r>
    </w:p>
    <w:p w14:paraId="6FEA4597">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2.11.8.</w:t>
      </w:r>
      <w:r>
        <w:rPr>
          <w:rFonts w:hint="eastAsia" w:ascii="宋体" w:hAnsi="宋体" w:eastAsia="宋体" w:cs="宋体"/>
          <w:b w:val="0"/>
          <w:bCs w:val="0"/>
          <w:color w:val="auto"/>
          <w:sz w:val="21"/>
          <w:szCs w:val="21"/>
          <w:highlight w:val="none"/>
        </w:rPr>
        <w:t>支持数据导出与报表生成：各维度统计数据支持一键导出，支持按指定格式生成实验室使用率统计报表。</w:t>
      </w:r>
    </w:p>
    <w:p w14:paraId="097C9B6F">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2.12.</w:t>
      </w:r>
      <w:r>
        <w:rPr>
          <w:rFonts w:hint="eastAsia" w:ascii="宋体" w:hAnsi="宋体" w:eastAsia="宋体" w:cs="宋体"/>
          <w:b w:val="0"/>
          <w:bCs w:val="0"/>
          <w:color w:val="auto"/>
          <w:sz w:val="21"/>
          <w:szCs w:val="21"/>
          <w:highlight w:val="none"/>
          <w:lang w:val="zh-CN"/>
        </w:rPr>
        <w:t>实验室身份牌</w:t>
      </w:r>
    </w:p>
    <w:p w14:paraId="0C63A24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2.12.1.</w:t>
      </w:r>
      <w:r>
        <w:rPr>
          <w:rFonts w:hint="eastAsia" w:ascii="宋体" w:hAnsi="宋体" w:eastAsia="宋体" w:cs="宋体"/>
          <w:b w:val="0"/>
          <w:bCs w:val="0"/>
          <w:color w:val="auto"/>
          <w:sz w:val="21"/>
          <w:szCs w:val="21"/>
          <w:highlight w:val="none"/>
        </w:rPr>
        <w:t>实验室身份牌</w:t>
      </w:r>
    </w:p>
    <w:p w14:paraId="6554628A">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2.12.1.1.</w:t>
      </w:r>
      <w:r>
        <w:rPr>
          <w:rFonts w:hint="eastAsia" w:ascii="宋体" w:hAnsi="宋体" w:eastAsia="宋体" w:cs="宋体"/>
          <w:b w:val="0"/>
          <w:bCs w:val="0"/>
          <w:color w:val="auto"/>
          <w:sz w:val="21"/>
          <w:szCs w:val="21"/>
          <w:highlight w:val="none"/>
        </w:rPr>
        <w:t>提供实验室身份牌功能，支持根据用户权限展示对应实验室信息、功能入口及相关数据。实验室列表依据“安全责任体系”权限控制：校级管理者可查看所有实验室，二级单位管理者可查看本单位实验室，实验室负责人仅可查看本人管理实验室。</w:t>
      </w:r>
    </w:p>
    <w:p w14:paraId="0B65266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2.12.1.2.</w:t>
      </w:r>
      <w:r>
        <w:rPr>
          <w:rFonts w:hint="eastAsia" w:ascii="宋体" w:hAnsi="宋体" w:eastAsia="宋体" w:cs="宋体"/>
          <w:b w:val="0"/>
          <w:bCs w:val="0"/>
          <w:color w:val="auto"/>
          <w:sz w:val="21"/>
          <w:szCs w:val="21"/>
          <w:highlight w:val="none"/>
        </w:rPr>
        <w:t>▲实验室身份牌展示内容包括但不限于实验室名称、安全等级、所属院系、分类、位置、负责人、简介、实验室监控或照片、主要危险源、安全提示、防护措施、仪器设备及风险评估等信息，并支持基本信息编辑。（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6DB3F4B5">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2.12.1.3.</w:t>
      </w:r>
      <w:r>
        <w:rPr>
          <w:rFonts w:hint="eastAsia" w:ascii="宋体" w:hAnsi="宋体" w:eastAsia="宋体" w:cs="宋体"/>
          <w:b w:val="0"/>
          <w:bCs w:val="0"/>
          <w:color w:val="auto"/>
          <w:sz w:val="21"/>
          <w:szCs w:val="21"/>
          <w:highlight w:val="none"/>
        </w:rPr>
        <w:t>实验室身份牌提供快捷功能入口，可快速进入与该实验室相关的功能模块，如实验室管理、预约、安全检查等。</w:t>
      </w:r>
    </w:p>
    <w:p w14:paraId="2BBFBA84">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2.12.1.4.</w:t>
      </w:r>
      <w:r>
        <w:rPr>
          <w:rFonts w:hint="eastAsia" w:ascii="宋体" w:hAnsi="宋体" w:eastAsia="宋体" w:cs="宋体"/>
          <w:b w:val="0"/>
          <w:bCs w:val="0"/>
          <w:color w:val="auto"/>
          <w:sz w:val="21"/>
          <w:szCs w:val="21"/>
          <w:highlight w:val="none"/>
        </w:rPr>
        <w:t>身份牌展示内容不限于以上条目，可根据用户实际采购的模块及需求进行灵活调整。</w:t>
      </w:r>
    </w:p>
    <w:p w14:paraId="7563300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2.12.2.</w:t>
      </w:r>
      <w:r>
        <w:rPr>
          <w:rFonts w:hint="eastAsia" w:ascii="宋体" w:hAnsi="宋体" w:eastAsia="宋体" w:cs="宋体"/>
          <w:b w:val="0"/>
          <w:bCs w:val="0"/>
          <w:color w:val="auto"/>
          <w:sz w:val="21"/>
          <w:szCs w:val="21"/>
          <w:highlight w:val="none"/>
        </w:rPr>
        <w:t>实验室风险评估信息</w:t>
      </w:r>
    </w:p>
    <w:p w14:paraId="79370AE2">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2.12.2.1.</w:t>
      </w:r>
      <w:r>
        <w:rPr>
          <w:rFonts w:hint="eastAsia" w:ascii="宋体" w:hAnsi="宋体" w:eastAsia="宋体" w:cs="宋体"/>
          <w:b w:val="0"/>
          <w:bCs w:val="0"/>
          <w:color w:val="auto"/>
          <w:sz w:val="21"/>
          <w:szCs w:val="21"/>
          <w:highlight w:val="none"/>
        </w:rPr>
        <w:t>支持根据实验室实际情况，设置危险源、风险评分及对应的防护措施等信息。</w:t>
      </w:r>
    </w:p>
    <w:p w14:paraId="7CDE67E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2.12.2.2.</w:t>
      </w:r>
      <w:r>
        <w:rPr>
          <w:rFonts w:hint="eastAsia" w:ascii="宋体" w:hAnsi="宋体" w:eastAsia="宋体" w:cs="宋体"/>
          <w:b w:val="0"/>
          <w:bCs w:val="0"/>
          <w:color w:val="auto"/>
          <w:sz w:val="21"/>
          <w:szCs w:val="21"/>
          <w:highlight w:val="none"/>
        </w:rPr>
        <w:t>▲支持系统依据实验室存储的危化品、仪器设备等信息，结合风险标签自动识别危险源，并根据危险源完成实验室的分级分类评估。实验室人员可提交分级分类结果，经管理员审核后正式生效。系统将依据定性分级与风险评价两者中风险等级更高的结果，作为该实验室的最终风险等级，并可根据危险源性质自动进行分类。支持查看系统风险评估依据，并展示实验室危险源明细。（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30FD2C8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2.12.2.3.</w:t>
      </w:r>
      <w:r>
        <w:rPr>
          <w:rFonts w:hint="eastAsia" w:ascii="宋体" w:hAnsi="宋体" w:eastAsia="宋体" w:cs="宋体"/>
          <w:b w:val="0"/>
          <w:bCs w:val="0"/>
          <w:color w:val="auto"/>
          <w:sz w:val="21"/>
          <w:szCs w:val="21"/>
          <w:highlight w:val="none"/>
        </w:rPr>
        <w:t>系统内置基于相关文件的等级计算规则，包括定性规则与评分规则。管理员可根据风险标签配置相应判断条件，例如：选中“易燃易爆化学品”风险标签后，设置判断条件为“＞50 kg（L）”，则实验室的实际数量满足该条件即判定为Ⅰ级。</w:t>
      </w:r>
    </w:p>
    <w:p w14:paraId="7BA113D9">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2.12.3.</w:t>
      </w:r>
      <w:r>
        <w:rPr>
          <w:rFonts w:hint="eastAsia" w:ascii="宋体" w:hAnsi="宋体" w:eastAsia="宋体" w:cs="宋体"/>
          <w:b w:val="0"/>
          <w:bCs w:val="0"/>
          <w:color w:val="auto"/>
          <w:sz w:val="21"/>
          <w:szCs w:val="21"/>
          <w:highlight w:val="none"/>
        </w:rPr>
        <w:t>仪器设备查询与管理</w:t>
      </w:r>
    </w:p>
    <w:p w14:paraId="6D83548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2.12.3.1.</w:t>
      </w:r>
      <w:r>
        <w:rPr>
          <w:rFonts w:hint="eastAsia" w:ascii="宋体" w:hAnsi="宋体" w:eastAsia="宋体" w:cs="宋体"/>
          <w:b w:val="0"/>
          <w:bCs w:val="0"/>
          <w:color w:val="auto"/>
          <w:sz w:val="21"/>
          <w:szCs w:val="21"/>
          <w:highlight w:val="none"/>
        </w:rPr>
        <w:t>可在实验室身份牌中查看该实验室存放的仪器设备，以列表形式展示仪器名称、类型、管理人等信息，并支持按仪器名称或类型进行筛选。</w:t>
      </w:r>
    </w:p>
    <w:p w14:paraId="624DCF9F">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2.12.3.2.</w:t>
      </w:r>
      <w:r>
        <w:rPr>
          <w:rFonts w:hint="eastAsia" w:ascii="宋体" w:hAnsi="宋体" w:eastAsia="宋体" w:cs="宋体"/>
          <w:b w:val="0"/>
          <w:bCs w:val="0"/>
          <w:color w:val="auto"/>
          <w:sz w:val="21"/>
          <w:szCs w:val="21"/>
          <w:highlight w:val="none"/>
        </w:rPr>
        <w:t>支持对该实验室的仪器设备进行管理，包括从资产设备库中添加仪器、校准仪器实际存放位置。支持维护仪器设备的基本信息及关联危险源，系统可根据实验室内存放含危险源的仪器设备，自动识别并调整实验室的分级分类。</w:t>
      </w:r>
    </w:p>
    <w:p w14:paraId="5E230337">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2.12.3.3.</w:t>
      </w:r>
      <w:r>
        <w:rPr>
          <w:rFonts w:hint="eastAsia" w:ascii="宋体" w:hAnsi="宋体" w:eastAsia="宋体" w:cs="宋体"/>
          <w:b w:val="0"/>
          <w:bCs w:val="0"/>
          <w:color w:val="auto"/>
          <w:sz w:val="21"/>
          <w:szCs w:val="21"/>
          <w:highlight w:val="none"/>
        </w:rPr>
        <w:t>同时支持设备巡检管理，可查看仪器设备的巡检记录。</w:t>
      </w:r>
    </w:p>
    <w:p w14:paraId="003F49DF">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2.12.4.</w:t>
      </w:r>
      <w:r>
        <w:rPr>
          <w:rFonts w:hint="eastAsia" w:ascii="宋体" w:hAnsi="宋体" w:eastAsia="宋体" w:cs="宋体"/>
          <w:b w:val="0"/>
          <w:bCs w:val="0"/>
          <w:color w:val="auto"/>
          <w:sz w:val="21"/>
          <w:szCs w:val="21"/>
          <w:highlight w:val="none"/>
        </w:rPr>
        <w:t>可开出实验室课程管理</w:t>
      </w:r>
    </w:p>
    <w:p w14:paraId="1701B147">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2.12.4.1.</w:t>
      </w:r>
      <w:r>
        <w:rPr>
          <w:rFonts w:hint="eastAsia" w:ascii="宋体" w:hAnsi="宋体" w:eastAsia="宋体" w:cs="宋体"/>
          <w:b w:val="0"/>
          <w:bCs w:val="0"/>
          <w:color w:val="auto"/>
          <w:sz w:val="21"/>
          <w:szCs w:val="21"/>
          <w:highlight w:val="none"/>
        </w:rPr>
        <w:t>可开出实验室课程管理，支持新增、编辑、删除、导入课程；</w:t>
      </w:r>
    </w:p>
    <w:p w14:paraId="36FAAC4A">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2.12.4.2.</w:t>
      </w:r>
      <w:r>
        <w:rPr>
          <w:rFonts w:hint="eastAsia" w:ascii="宋体" w:hAnsi="宋体" w:eastAsia="宋体" w:cs="宋体"/>
          <w:b w:val="0"/>
          <w:bCs w:val="0"/>
          <w:color w:val="auto"/>
          <w:sz w:val="21"/>
          <w:szCs w:val="21"/>
          <w:highlight w:val="none"/>
        </w:rPr>
        <w:t>支持批量导入，包含实验室名称、可开出实验课程名称、可开出实验课程代码、校内专业（大类）名称、实验学时、备注等信息。</w:t>
      </w:r>
    </w:p>
    <w:p w14:paraId="49B05D4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2.12.5.</w:t>
      </w:r>
      <w:r>
        <w:rPr>
          <w:rFonts w:hint="eastAsia" w:ascii="宋体" w:hAnsi="宋体" w:eastAsia="宋体" w:cs="宋体"/>
          <w:b w:val="0"/>
          <w:bCs w:val="0"/>
          <w:color w:val="auto"/>
          <w:sz w:val="21"/>
          <w:szCs w:val="21"/>
          <w:highlight w:val="none"/>
        </w:rPr>
        <w:t>可开出实验室项目管理</w:t>
      </w:r>
    </w:p>
    <w:p w14:paraId="0DF6E993">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2.12.5.1.</w:t>
      </w:r>
      <w:r>
        <w:rPr>
          <w:rFonts w:hint="eastAsia" w:ascii="宋体" w:hAnsi="宋体" w:eastAsia="宋体" w:cs="宋体"/>
          <w:b w:val="0"/>
          <w:bCs w:val="0"/>
          <w:color w:val="auto"/>
          <w:sz w:val="21"/>
          <w:szCs w:val="21"/>
          <w:highlight w:val="none"/>
        </w:rPr>
        <w:t>可开出实验室项目管理，支持新增、编辑、删除、导入项目；</w:t>
      </w:r>
    </w:p>
    <w:p w14:paraId="546B6725">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2.12.5.2.</w:t>
      </w:r>
      <w:r>
        <w:rPr>
          <w:rFonts w:hint="eastAsia" w:ascii="宋体" w:hAnsi="宋体" w:eastAsia="宋体" w:cs="宋体"/>
          <w:b w:val="0"/>
          <w:bCs w:val="0"/>
          <w:color w:val="auto"/>
          <w:sz w:val="21"/>
          <w:szCs w:val="21"/>
          <w:highlight w:val="none"/>
        </w:rPr>
        <w:t>支持批量导入，包含实验室名称、可开出实验项目名称、可开出实验项目代码、实验类别、实验类型、所属学科、实验要求、实验者类别、校内实验人数、校外实验人数、每组人数、实验性质、实验范围、实验学时数等信息。</w:t>
      </w:r>
    </w:p>
    <w:p w14:paraId="3760DFDE">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w:t>
      </w:r>
      <w:r>
        <w:rPr>
          <w:rFonts w:hint="eastAsia" w:ascii="宋体" w:hAnsi="宋体" w:eastAsia="宋体" w:cs="宋体"/>
          <w:b w:val="0"/>
          <w:bCs w:val="0"/>
          <w:color w:val="auto"/>
          <w:sz w:val="21"/>
          <w:szCs w:val="21"/>
          <w:highlight w:val="none"/>
        </w:rPr>
        <w:t>大型仪器设备管理</w:t>
      </w:r>
    </w:p>
    <w:p w14:paraId="1A7910EE">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3.1.</w:t>
      </w:r>
      <w:r>
        <w:rPr>
          <w:rFonts w:hint="eastAsia" w:ascii="宋体" w:hAnsi="宋体" w:eastAsia="宋体" w:cs="宋体"/>
          <w:b w:val="0"/>
          <w:bCs w:val="0"/>
          <w:color w:val="auto"/>
          <w:sz w:val="21"/>
          <w:szCs w:val="21"/>
          <w:highlight w:val="none"/>
          <w:lang w:val="zh-CN"/>
        </w:rPr>
        <w:t>仪器设备管理</w:t>
      </w:r>
    </w:p>
    <w:p w14:paraId="318B46AA">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3.1.1.</w:t>
      </w:r>
      <w:r>
        <w:rPr>
          <w:rFonts w:hint="eastAsia" w:ascii="宋体" w:hAnsi="宋体" w:eastAsia="宋体" w:cs="宋体"/>
          <w:b w:val="0"/>
          <w:bCs w:val="0"/>
          <w:color w:val="auto"/>
          <w:sz w:val="21"/>
          <w:szCs w:val="21"/>
          <w:highlight w:val="none"/>
        </w:rPr>
        <w:t>提供仪器设备管理，可查看设备基础信息，包括设备资产编号、名称、可做实验项目、照片、型号、存放地点、管理人员、单价、采购日期、供应商、设备状态及巡检记录等。</w:t>
      </w:r>
    </w:p>
    <w:p w14:paraId="4722B72F">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3.1.2.</w:t>
      </w:r>
      <w:r>
        <w:rPr>
          <w:rFonts w:hint="eastAsia" w:ascii="宋体" w:hAnsi="宋体" w:eastAsia="宋体" w:cs="宋体"/>
          <w:b w:val="0"/>
          <w:bCs w:val="0"/>
          <w:color w:val="auto"/>
          <w:sz w:val="21"/>
          <w:szCs w:val="21"/>
          <w:highlight w:val="none"/>
        </w:rPr>
        <w:t>支持按经费来源、学院、实验室等维度分类统计，并可设置维保时间及年限。系统支持在维保到期前三个月、六个月自动多次发送预警信息，特种设备可按照年检要求提前一个月推送系统预警。</w:t>
      </w:r>
    </w:p>
    <w:p w14:paraId="19DA4E3C">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3.1.3.</w:t>
      </w:r>
      <w:r>
        <w:rPr>
          <w:rFonts w:hint="eastAsia" w:ascii="宋体" w:hAnsi="宋体" w:eastAsia="宋体" w:cs="宋体"/>
          <w:b w:val="0"/>
          <w:bCs w:val="0"/>
          <w:color w:val="auto"/>
          <w:sz w:val="21"/>
          <w:szCs w:val="21"/>
          <w:highlight w:val="none"/>
        </w:rPr>
        <w:t>支持与学校资产管理系统对接，按要求同步设备资产数据。</w:t>
      </w:r>
    </w:p>
    <w:p w14:paraId="66F80433">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3.1.4.</w:t>
      </w:r>
      <w:r>
        <w:rPr>
          <w:rFonts w:hint="eastAsia" w:ascii="宋体" w:hAnsi="宋体" w:eastAsia="宋体" w:cs="宋体"/>
          <w:b w:val="0"/>
          <w:bCs w:val="0"/>
          <w:color w:val="auto"/>
          <w:sz w:val="21"/>
          <w:szCs w:val="21"/>
          <w:highlight w:val="none"/>
        </w:rPr>
        <w:t>支持导出仪器设备信息，现有设备支持编辑基本信息或批量导入需要调整的仪器信息。</w:t>
      </w:r>
    </w:p>
    <w:p w14:paraId="53C5FF67">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3.1.5.</w:t>
      </w:r>
      <w:r>
        <w:rPr>
          <w:rFonts w:hint="eastAsia" w:ascii="宋体" w:hAnsi="宋体" w:eastAsia="宋体" w:cs="宋体"/>
          <w:b w:val="0"/>
          <w:bCs w:val="0"/>
          <w:color w:val="auto"/>
          <w:sz w:val="21"/>
          <w:szCs w:val="21"/>
          <w:highlight w:val="none"/>
        </w:rPr>
        <w:t>支持新增仪器设备，需填写设备名称、设备编号、存放地点、管理人员等关键信息。</w:t>
      </w:r>
    </w:p>
    <w:p w14:paraId="6DE3FB51">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3.2.</w:t>
      </w:r>
      <w:r>
        <w:rPr>
          <w:rFonts w:hint="eastAsia" w:ascii="宋体" w:hAnsi="宋体" w:eastAsia="宋体" w:cs="宋体"/>
          <w:b w:val="0"/>
          <w:bCs w:val="0"/>
          <w:color w:val="auto"/>
          <w:sz w:val="21"/>
          <w:szCs w:val="21"/>
          <w:highlight w:val="none"/>
          <w:lang w:val="zh-CN"/>
        </w:rPr>
        <w:t>仪器设备报修管理（</w:t>
      </w:r>
      <w:r>
        <w:rPr>
          <w:rFonts w:hint="eastAsia" w:ascii="宋体" w:hAnsi="宋体" w:eastAsia="宋体" w:cs="宋体"/>
          <w:b w:val="0"/>
          <w:bCs w:val="0"/>
          <w:color w:val="auto"/>
          <w:sz w:val="21"/>
          <w:szCs w:val="21"/>
          <w:highlight w:val="none"/>
        </w:rPr>
        <w:t>新增</w:t>
      </w:r>
      <w:r>
        <w:rPr>
          <w:rFonts w:hint="eastAsia" w:ascii="宋体" w:hAnsi="宋体" w:eastAsia="宋体" w:cs="宋体"/>
          <w:b w:val="0"/>
          <w:bCs w:val="0"/>
          <w:color w:val="auto"/>
          <w:sz w:val="21"/>
          <w:szCs w:val="21"/>
          <w:highlight w:val="none"/>
          <w:lang w:val="zh-CN"/>
        </w:rPr>
        <w:t>）</w:t>
      </w:r>
    </w:p>
    <w:p w14:paraId="5E2D37A7">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3.2.1.</w:t>
      </w:r>
      <w:r>
        <w:rPr>
          <w:rFonts w:hint="eastAsia" w:ascii="宋体" w:hAnsi="宋体" w:eastAsia="宋体" w:cs="宋体"/>
          <w:b w:val="0"/>
          <w:bCs w:val="0"/>
          <w:color w:val="auto"/>
          <w:sz w:val="21"/>
          <w:szCs w:val="21"/>
          <w:highlight w:val="none"/>
        </w:rPr>
        <w:t>提供仪器设备报修功能，支持用户在线提交报修申请，填写设备名称、设备编号、故障描述、故障等级（紧急/一般/轻微）、故障照片等信息。</w:t>
      </w:r>
    </w:p>
    <w:p w14:paraId="07BCEACC">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3.2.2.</w:t>
      </w:r>
      <w:r>
        <w:rPr>
          <w:rFonts w:hint="eastAsia" w:ascii="宋体" w:hAnsi="宋体" w:eastAsia="宋体" w:cs="宋体"/>
          <w:b w:val="0"/>
          <w:bCs w:val="0"/>
          <w:color w:val="auto"/>
          <w:sz w:val="21"/>
          <w:szCs w:val="21"/>
          <w:highlight w:val="none"/>
        </w:rPr>
        <w:t>支持多渠道发起报修：支持PC端、移动端发起报修申请，支持扫描仪器二维码快速定位设备并发起报修。</w:t>
      </w:r>
    </w:p>
    <w:p w14:paraId="75884183">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3.2.3.</w:t>
      </w:r>
      <w:r>
        <w:rPr>
          <w:rFonts w:hint="eastAsia" w:ascii="宋体" w:hAnsi="宋体" w:eastAsia="宋体" w:cs="宋体"/>
          <w:b w:val="0"/>
          <w:bCs w:val="0"/>
          <w:color w:val="auto"/>
          <w:sz w:val="21"/>
          <w:szCs w:val="21"/>
          <w:highlight w:val="none"/>
        </w:rPr>
        <w:t>支持报修流程管理：报修工单支持完整的流程状态跟踪，包括待接单→维修中→待验收→已完结等状态流转，各状态变更自动通知相关人员。</w:t>
      </w:r>
    </w:p>
    <w:p w14:paraId="074641A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3.2.4.</w:t>
      </w:r>
      <w:r>
        <w:rPr>
          <w:rFonts w:hint="eastAsia" w:ascii="宋体" w:hAnsi="宋体" w:eastAsia="宋体" w:cs="宋体"/>
          <w:b w:val="0"/>
          <w:bCs w:val="0"/>
          <w:color w:val="auto"/>
          <w:sz w:val="21"/>
          <w:szCs w:val="21"/>
          <w:highlight w:val="none"/>
        </w:rPr>
        <w:t>支持报修工单派发与分配：管理员可手动指派维修人员，也可按仪器所属学院、故障类型等规则自动派单给对应维修人员。</w:t>
      </w:r>
    </w:p>
    <w:p w14:paraId="2D50FE94">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3.2.5.</w:t>
      </w:r>
      <w:r>
        <w:rPr>
          <w:rFonts w:hint="eastAsia" w:ascii="宋体" w:hAnsi="宋体" w:eastAsia="宋体" w:cs="宋体"/>
          <w:b w:val="0"/>
          <w:bCs w:val="0"/>
          <w:color w:val="auto"/>
          <w:sz w:val="21"/>
          <w:szCs w:val="21"/>
          <w:highlight w:val="none"/>
        </w:rPr>
        <w:t>支持维修过程记录：维修人员可在工单中记录维修方案、更换配件、维修费用、维修时长等信息，并支持上传维修过程照片。</w:t>
      </w:r>
    </w:p>
    <w:p w14:paraId="174350F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3.2.6.</w:t>
      </w:r>
      <w:r>
        <w:rPr>
          <w:rFonts w:hint="eastAsia" w:ascii="宋体" w:hAnsi="宋体" w:eastAsia="宋体" w:cs="宋体"/>
          <w:b w:val="0"/>
          <w:bCs w:val="0"/>
          <w:color w:val="auto"/>
          <w:sz w:val="21"/>
          <w:szCs w:val="21"/>
          <w:highlight w:val="none"/>
        </w:rPr>
        <w:t>支持维修验收：报修人或设备管理人可对维修结果进行验收确认，验收不通过可退回重新维修并填写原因。</w:t>
      </w:r>
    </w:p>
    <w:p w14:paraId="0C865F2A">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3.2.7.</w:t>
      </w:r>
      <w:r>
        <w:rPr>
          <w:rFonts w:hint="eastAsia" w:ascii="宋体" w:hAnsi="宋体" w:eastAsia="宋体" w:cs="宋体"/>
          <w:b w:val="0"/>
          <w:bCs w:val="0"/>
          <w:color w:val="auto"/>
          <w:sz w:val="21"/>
          <w:szCs w:val="21"/>
          <w:highlight w:val="none"/>
        </w:rPr>
        <w:t>提供报修统计分析：支持按学院、仪器类别、故障类型、时间等多维度统计报修数据，包括报修总数、各状态工单数量、平均维修时长、故障类型分布等。</w:t>
      </w:r>
    </w:p>
    <w:p w14:paraId="19FD87A8">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3.2.8.</w:t>
      </w:r>
      <w:r>
        <w:rPr>
          <w:rFonts w:hint="eastAsia" w:ascii="宋体" w:hAnsi="宋体" w:eastAsia="宋体" w:cs="宋体"/>
          <w:b w:val="0"/>
          <w:bCs w:val="0"/>
          <w:color w:val="auto"/>
          <w:sz w:val="21"/>
          <w:szCs w:val="21"/>
          <w:highlight w:val="none"/>
        </w:rPr>
        <w:t>支持与维保管理联动：报修记录自动关联仪器设备的维保信息，维修完成后自动更新设备维保记录和状态（与3.1.2维保预警联动）。</w:t>
      </w:r>
    </w:p>
    <w:p w14:paraId="2E49F0C1">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3.2.9.</w:t>
      </w:r>
      <w:r>
        <w:rPr>
          <w:rFonts w:hint="eastAsia" w:ascii="宋体" w:hAnsi="宋体" w:eastAsia="宋体" w:cs="宋体"/>
          <w:b w:val="0"/>
          <w:bCs w:val="0"/>
          <w:color w:val="auto"/>
          <w:sz w:val="21"/>
          <w:szCs w:val="21"/>
          <w:highlight w:val="none"/>
        </w:rPr>
        <w:t>支持报修数据导出：支持按条件筛选导出报修工单明细及统计数据。</w:t>
      </w:r>
    </w:p>
    <w:p w14:paraId="65A5E2D8">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3.3.</w:t>
      </w:r>
      <w:r>
        <w:rPr>
          <w:rFonts w:hint="eastAsia" w:ascii="宋体" w:hAnsi="宋体" w:eastAsia="宋体" w:cs="宋体"/>
          <w:b w:val="0"/>
          <w:bCs w:val="0"/>
          <w:color w:val="auto"/>
          <w:sz w:val="21"/>
          <w:szCs w:val="21"/>
          <w:highlight w:val="none"/>
          <w:lang w:val="zh-CN"/>
        </w:rPr>
        <w:t>仪器设备论证管理（</w:t>
      </w:r>
      <w:r>
        <w:rPr>
          <w:rFonts w:hint="eastAsia" w:ascii="宋体" w:hAnsi="宋体" w:eastAsia="宋体" w:cs="宋体"/>
          <w:b w:val="0"/>
          <w:bCs w:val="0"/>
          <w:color w:val="auto"/>
          <w:sz w:val="21"/>
          <w:szCs w:val="21"/>
          <w:highlight w:val="none"/>
        </w:rPr>
        <w:t>新增</w:t>
      </w:r>
      <w:r>
        <w:rPr>
          <w:rFonts w:hint="eastAsia" w:ascii="宋体" w:hAnsi="宋体" w:eastAsia="宋体" w:cs="宋体"/>
          <w:b w:val="0"/>
          <w:bCs w:val="0"/>
          <w:color w:val="auto"/>
          <w:sz w:val="21"/>
          <w:szCs w:val="21"/>
          <w:highlight w:val="none"/>
          <w:lang w:val="zh-CN"/>
        </w:rPr>
        <w:t>）</w:t>
      </w:r>
    </w:p>
    <w:p w14:paraId="27FC644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3.3.1.</w:t>
      </w:r>
      <w:r>
        <w:rPr>
          <w:rFonts w:hint="eastAsia" w:ascii="宋体" w:hAnsi="宋体" w:eastAsia="宋体" w:cs="宋体"/>
          <w:b w:val="0"/>
          <w:bCs w:val="0"/>
          <w:color w:val="auto"/>
          <w:sz w:val="21"/>
          <w:szCs w:val="21"/>
          <w:highlight w:val="none"/>
          <w:lang w:val="zh-CN"/>
        </w:rPr>
        <w:t>论证申请与填报</w:t>
      </w:r>
    </w:p>
    <w:p w14:paraId="18A05356">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3.3.1.1.</w:t>
      </w:r>
      <w:r>
        <w:rPr>
          <w:rFonts w:hint="eastAsia" w:ascii="宋体" w:hAnsi="宋体" w:eastAsia="宋体" w:cs="宋体"/>
          <w:b w:val="0"/>
          <w:bCs w:val="0"/>
          <w:color w:val="auto"/>
          <w:sz w:val="21"/>
          <w:szCs w:val="21"/>
          <w:highlight w:val="none"/>
        </w:rPr>
        <w:t>提供大型仪器设备论证申请功能，申请人需填写设备基本信息（设备名称、规格型号、预估金额、数量、拟购单位等）及论证内容。</w:t>
      </w:r>
    </w:p>
    <w:p w14:paraId="59A9C5A9">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3.3.1.2.</w:t>
      </w:r>
      <w:r>
        <w:rPr>
          <w:rFonts w:hint="eastAsia" w:ascii="宋体" w:hAnsi="宋体" w:eastAsia="宋体" w:cs="宋体"/>
          <w:b w:val="0"/>
          <w:bCs w:val="0"/>
          <w:color w:val="auto"/>
          <w:sz w:val="21"/>
          <w:szCs w:val="21"/>
          <w:highlight w:val="none"/>
        </w:rPr>
        <w:t>论证内容需包含但不限于：购置必要性分析（现有同类设备使用情况及不满足需求的理由）、技术可行性分析（技术参数对比、选型依据）、经济效益分析（预计年使用机时、服务对象、共享范围、预期投资收益率）、场地及配套设施条件（安装场地、水电环境要求）。</w:t>
      </w:r>
    </w:p>
    <w:p w14:paraId="6110BFCE">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3.3.1.3.</w:t>
      </w:r>
      <w:r>
        <w:rPr>
          <w:rFonts w:hint="eastAsia" w:ascii="宋体" w:hAnsi="宋体" w:eastAsia="宋体" w:cs="宋体"/>
          <w:b w:val="0"/>
          <w:bCs w:val="0"/>
          <w:color w:val="auto"/>
          <w:sz w:val="21"/>
          <w:szCs w:val="21"/>
          <w:highlight w:val="none"/>
        </w:rPr>
        <w:t>支持上传论证报告附件，提供论证报告模板下载。</w:t>
      </w:r>
    </w:p>
    <w:p w14:paraId="5A9B32C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3.3.2.</w:t>
      </w:r>
      <w:r>
        <w:rPr>
          <w:rFonts w:hint="eastAsia" w:ascii="宋体" w:hAnsi="宋体" w:eastAsia="宋体" w:cs="宋体"/>
          <w:b w:val="0"/>
          <w:bCs w:val="0"/>
          <w:color w:val="auto"/>
          <w:sz w:val="21"/>
          <w:szCs w:val="21"/>
          <w:highlight w:val="none"/>
          <w:lang w:val="zh-CN"/>
        </w:rPr>
        <w:t>论证审核与专家评审</w:t>
      </w:r>
    </w:p>
    <w:p w14:paraId="0EF6E5B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3.3.2.1.</w:t>
      </w:r>
      <w:r>
        <w:rPr>
          <w:rFonts w:hint="eastAsia" w:ascii="宋体" w:hAnsi="宋体" w:eastAsia="宋体" w:cs="宋体"/>
          <w:b w:val="0"/>
          <w:bCs w:val="0"/>
          <w:color w:val="auto"/>
          <w:sz w:val="21"/>
          <w:szCs w:val="21"/>
          <w:highlight w:val="none"/>
        </w:rPr>
        <w:t>支持多级审核流程：申请→学院初审→职能部门复审→专家评审→学校审批，各级审核节点可自定义配置审核人员和审批规则。</w:t>
      </w:r>
    </w:p>
    <w:p w14:paraId="30D66708">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3.3.2.2.</w:t>
      </w:r>
      <w:r>
        <w:rPr>
          <w:rFonts w:hint="eastAsia" w:ascii="宋体" w:hAnsi="宋体" w:eastAsia="宋体" w:cs="宋体"/>
          <w:b w:val="0"/>
          <w:bCs w:val="0"/>
          <w:color w:val="auto"/>
          <w:sz w:val="21"/>
          <w:szCs w:val="21"/>
          <w:highlight w:val="none"/>
        </w:rPr>
        <w:t>支持专家评审环节：可从专家库中选择评审专家（不少于3名），支持设定评审时间和评审标准；评审专家在线查看论证材料并填写评审意见（同意/不同意/需修改），支持录入具体评审意见。</w:t>
      </w:r>
    </w:p>
    <w:p w14:paraId="2C3B6C6F">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3.3.2.3.</w:t>
      </w:r>
      <w:r>
        <w:rPr>
          <w:rFonts w:hint="eastAsia" w:ascii="宋体" w:hAnsi="宋体" w:eastAsia="宋体" w:cs="宋体"/>
          <w:b w:val="0"/>
          <w:bCs w:val="0"/>
          <w:color w:val="auto"/>
          <w:sz w:val="21"/>
          <w:szCs w:val="21"/>
          <w:highlight w:val="none"/>
        </w:rPr>
        <w:t>支持评审进度跟踪，展示当前论证申请所处节点和各环节审批状态。</w:t>
      </w:r>
    </w:p>
    <w:p w14:paraId="7EBB9F9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3.3.3.</w:t>
      </w:r>
      <w:r>
        <w:rPr>
          <w:rFonts w:hint="eastAsia" w:ascii="宋体" w:hAnsi="宋体" w:eastAsia="宋体" w:cs="宋体"/>
          <w:b w:val="0"/>
          <w:bCs w:val="0"/>
          <w:color w:val="auto"/>
          <w:sz w:val="21"/>
          <w:szCs w:val="21"/>
          <w:highlight w:val="none"/>
          <w:lang w:val="zh-CN"/>
        </w:rPr>
        <w:t>论证结果与项目库</w:t>
      </w:r>
    </w:p>
    <w:p w14:paraId="7EE61F58">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3.3.3.1.</w:t>
      </w:r>
      <w:r>
        <w:rPr>
          <w:rFonts w:hint="eastAsia" w:ascii="宋体" w:hAnsi="宋体" w:eastAsia="宋体" w:cs="宋体"/>
          <w:b w:val="0"/>
          <w:bCs w:val="0"/>
          <w:color w:val="auto"/>
          <w:sz w:val="21"/>
          <w:szCs w:val="21"/>
          <w:highlight w:val="none"/>
        </w:rPr>
        <w:t>论证通过后的设备自动进入"大型仪器设备购置项目库"，项目库列表展示设备名称、规格型号、预估金额、申报单位、论证通过时间、当前状态（待采购/采购中/已到货/已入库）。</w:t>
      </w:r>
    </w:p>
    <w:p w14:paraId="5D4D7BB6">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3.3.3.2.</w:t>
      </w:r>
      <w:r>
        <w:rPr>
          <w:rFonts w:hint="eastAsia" w:ascii="宋体" w:hAnsi="宋体" w:eastAsia="宋体" w:cs="宋体"/>
          <w:b w:val="0"/>
          <w:bCs w:val="0"/>
          <w:color w:val="auto"/>
          <w:sz w:val="21"/>
          <w:szCs w:val="21"/>
          <w:highlight w:val="none"/>
        </w:rPr>
        <w:t>支持按年度、学院、设备类别、金额区间等多维度筛选查询项目库数据，支持导出。</w:t>
      </w:r>
    </w:p>
    <w:p w14:paraId="008FE1FE">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3.4.</w:t>
      </w:r>
      <w:r>
        <w:rPr>
          <w:rFonts w:hint="eastAsia" w:ascii="宋体" w:hAnsi="宋体" w:eastAsia="宋体" w:cs="宋体"/>
          <w:b w:val="0"/>
          <w:bCs w:val="0"/>
          <w:color w:val="auto"/>
          <w:sz w:val="21"/>
          <w:szCs w:val="21"/>
          <w:highlight w:val="none"/>
          <w:lang w:val="zh-CN"/>
        </w:rPr>
        <w:t>仪器共享管理</w:t>
      </w:r>
    </w:p>
    <w:p w14:paraId="2ADD7DD4">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3.4.1.</w:t>
      </w:r>
      <w:r>
        <w:rPr>
          <w:rFonts w:hint="eastAsia" w:ascii="宋体" w:hAnsi="宋体" w:eastAsia="宋体" w:cs="宋体"/>
          <w:b w:val="0"/>
          <w:bCs w:val="0"/>
          <w:color w:val="auto"/>
          <w:sz w:val="21"/>
          <w:szCs w:val="21"/>
          <w:highlight w:val="none"/>
        </w:rPr>
        <w:t>提供共享仪器管理，支持设备按名称、编号、保管人关键词进行检索搜索。</w:t>
      </w:r>
    </w:p>
    <w:p w14:paraId="0E30FC78">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3.4.2.</w:t>
      </w:r>
      <w:r>
        <w:rPr>
          <w:rFonts w:hint="eastAsia" w:ascii="宋体" w:hAnsi="宋体" w:eastAsia="宋体" w:cs="宋体"/>
          <w:b w:val="0"/>
          <w:bCs w:val="0"/>
          <w:color w:val="auto"/>
          <w:sz w:val="21"/>
          <w:szCs w:val="21"/>
          <w:highlight w:val="none"/>
        </w:rPr>
        <w:t>提供同步共享仪器功能，随时主动更新。</w:t>
      </w:r>
    </w:p>
    <w:p w14:paraId="08524D6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3.4.3.</w:t>
      </w:r>
      <w:r>
        <w:rPr>
          <w:rFonts w:hint="eastAsia" w:ascii="宋体" w:hAnsi="宋体" w:eastAsia="宋体" w:cs="宋体"/>
          <w:b w:val="0"/>
          <w:bCs w:val="0"/>
          <w:color w:val="auto"/>
          <w:sz w:val="21"/>
          <w:szCs w:val="21"/>
          <w:highlight w:val="none"/>
        </w:rPr>
        <w:t>提供仪器共享默认设置：</w:t>
      </w:r>
    </w:p>
    <w:p w14:paraId="110E8E2A">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3.4.3.1.</w:t>
      </w:r>
      <w:r>
        <w:rPr>
          <w:rFonts w:hint="eastAsia" w:ascii="宋体" w:hAnsi="宋体" w:eastAsia="宋体" w:cs="宋体"/>
          <w:b w:val="0"/>
          <w:bCs w:val="0"/>
          <w:color w:val="auto"/>
          <w:sz w:val="21"/>
          <w:szCs w:val="21"/>
          <w:highlight w:val="none"/>
        </w:rPr>
        <w:t>▲共享时间设置：支持按照星期、日期、时间段三个维度灵活设定仪器设备的开放工作日；支持服务有效期管理：提供日历控件，支持设定共享服务的具体生效日期范围；支持以列表形式展示每日的具体开放时间段，并提供新增、修改及删除操作，支持设置多个时间段，实现精细化的时间管控。（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5281275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3.4.3.2.</w:t>
      </w:r>
      <w:r>
        <w:rPr>
          <w:rFonts w:hint="eastAsia" w:ascii="宋体" w:hAnsi="宋体" w:eastAsia="宋体" w:cs="宋体"/>
          <w:b w:val="0"/>
          <w:bCs w:val="0"/>
          <w:color w:val="auto"/>
          <w:sz w:val="21"/>
          <w:szCs w:val="21"/>
          <w:highlight w:val="none"/>
        </w:rPr>
        <w:t>▲计费默认设置：支持费用修改权限控制，支持配置是否允许设备保管人修改仪器的相关费用项。（提供真实软件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2C270C9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3.4.3.3.</w:t>
      </w:r>
      <w:r>
        <w:rPr>
          <w:rFonts w:hint="eastAsia" w:ascii="宋体" w:hAnsi="宋体" w:eastAsia="宋体" w:cs="宋体"/>
          <w:b w:val="0"/>
          <w:bCs w:val="0"/>
          <w:color w:val="auto"/>
          <w:sz w:val="21"/>
          <w:szCs w:val="21"/>
          <w:highlight w:val="none"/>
        </w:rPr>
        <w:t>支持未结算用户处理策略，针对未结算账户的处理机制，可开启“强制结算”模式，超出预约时间一定天数系统自动结算，也可对学生类人群进行信誉分。</w:t>
      </w:r>
    </w:p>
    <w:p w14:paraId="7119E80C">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3.4.3.4.</w:t>
      </w:r>
      <w:r>
        <w:rPr>
          <w:rFonts w:hint="eastAsia" w:ascii="宋体" w:hAnsi="宋体" w:eastAsia="宋体" w:cs="宋体"/>
          <w:b w:val="0"/>
          <w:bCs w:val="0"/>
          <w:color w:val="auto"/>
          <w:sz w:val="21"/>
          <w:szCs w:val="21"/>
          <w:highlight w:val="none"/>
        </w:rPr>
        <w:t>▲支持预约时限规则配置：支持设定预约申请的时间窗口，包括“最早提前”天数和“最晚提前”小时数。（提供真实软件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09E7F83E">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3.4.3.5.</w:t>
      </w:r>
      <w:r>
        <w:rPr>
          <w:rFonts w:hint="eastAsia" w:ascii="宋体" w:hAnsi="宋体" w:eastAsia="宋体" w:cs="宋体"/>
          <w:b w:val="0"/>
          <w:bCs w:val="0"/>
          <w:color w:val="auto"/>
          <w:sz w:val="21"/>
          <w:szCs w:val="21"/>
          <w:highlight w:val="none"/>
        </w:rPr>
        <w:t>支持上机与门禁时间容差设定：支持配置“预约提前上机”、“预约提前开门”及“预约延长开门”的具体分钟数，以规范用户的使用行为。</w:t>
      </w:r>
    </w:p>
    <w:p w14:paraId="232B1AF2">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3.4.3.6.</w:t>
      </w:r>
      <w:r>
        <w:rPr>
          <w:rFonts w:hint="eastAsia" w:ascii="宋体" w:hAnsi="宋体" w:eastAsia="宋体" w:cs="宋体"/>
          <w:b w:val="0"/>
          <w:bCs w:val="0"/>
          <w:color w:val="auto"/>
          <w:sz w:val="21"/>
          <w:szCs w:val="21"/>
          <w:highlight w:val="none"/>
        </w:rPr>
        <w:t>支持样品数量限制规则：支持设定预约时样品数是否为必填项，并支持配置具体的样品数量下限。</w:t>
      </w:r>
    </w:p>
    <w:p w14:paraId="47B58723">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3.4.4.</w:t>
      </w:r>
      <w:r>
        <w:rPr>
          <w:rFonts w:hint="eastAsia" w:ascii="宋体" w:hAnsi="宋体" w:eastAsia="宋体" w:cs="宋体"/>
          <w:b w:val="0"/>
          <w:bCs w:val="0"/>
          <w:color w:val="auto"/>
          <w:sz w:val="21"/>
          <w:szCs w:val="21"/>
          <w:highlight w:val="none"/>
        </w:rPr>
        <w:t>提供授权日志全程留痕：</w:t>
      </w:r>
    </w:p>
    <w:p w14:paraId="1A0E1FA9">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3.4.4.1.</w:t>
      </w:r>
      <w:r>
        <w:rPr>
          <w:rFonts w:hint="eastAsia" w:ascii="宋体" w:hAnsi="宋体" w:eastAsia="宋体" w:cs="宋体"/>
          <w:b w:val="0"/>
          <w:bCs w:val="0"/>
          <w:color w:val="auto"/>
          <w:sz w:val="21"/>
          <w:szCs w:val="21"/>
          <w:highlight w:val="none"/>
        </w:rPr>
        <w:t>支持按日期范围和仪器名称组合查询，允许管理员通过选择起止日期及输入仪器关键字进行精确筛选；</w:t>
      </w:r>
    </w:p>
    <w:p w14:paraId="2AE156FC">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3.4.4.2.</w:t>
      </w:r>
      <w:r>
        <w:rPr>
          <w:rFonts w:hint="eastAsia" w:ascii="宋体" w:hAnsi="宋体" w:eastAsia="宋体" w:cs="宋体"/>
          <w:b w:val="0"/>
          <w:bCs w:val="0"/>
          <w:color w:val="auto"/>
          <w:sz w:val="21"/>
          <w:szCs w:val="21"/>
          <w:highlight w:val="none"/>
        </w:rPr>
        <w:t>支持详细授权操作记录展示，能够清晰展示操作类型（新增、删除、更新）、具体仪器名称、被授权用户信息及授权等级。</w:t>
      </w:r>
    </w:p>
    <w:p w14:paraId="21D2CB0E">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3.4.4.3.</w:t>
      </w:r>
      <w:r>
        <w:rPr>
          <w:rFonts w:hint="eastAsia" w:ascii="宋体" w:hAnsi="宋体" w:eastAsia="宋体" w:cs="宋体"/>
          <w:b w:val="0"/>
          <w:bCs w:val="0"/>
          <w:color w:val="auto"/>
          <w:sz w:val="21"/>
          <w:szCs w:val="21"/>
          <w:highlight w:val="none"/>
        </w:rPr>
        <w:t>支持操作溯源信息记录，详细记录每一次操作的“操作IP”、“操作用户”以及精确到秒的“操作时间”。</w:t>
      </w:r>
    </w:p>
    <w:p w14:paraId="2EC492D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3.4.5.</w:t>
      </w:r>
      <w:r>
        <w:rPr>
          <w:rFonts w:hint="eastAsia" w:ascii="宋体" w:hAnsi="宋体" w:eastAsia="宋体" w:cs="宋体"/>
          <w:b w:val="0"/>
          <w:bCs w:val="0"/>
          <w:color w:val="auto"/>
          <w:sz w:val="21"/>
          <w:szCs w:val="21"/>
          <w:highlight w:val="none"/>
        </w:rPr>
        <w:t>提供预约记录查询：</w:t>
      </w:r>
    </w:p>
    <w:p w14:paraId="4641B87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3.4.5.1.</w:t>
      </w:r>
      <w:r>
        <w:rPr>
          <w:rFonts w:hint="eastAsia" w:ascii="宋体" w:hAnsi="宋体" w:eastAsia="宋体" w:cs="宋体"/>
          <w:b w:val="0"/>
          <w:bCs w:val="0"/>
          <w:color w:val="auto"/>
          <w:sz w:val="21"/>
          <w:szCs w:val="21"/>
          <w:highlight w:val="none"/>
        </w:rPr>
        <w:t>支持多维度组合查询：允许管理员通过日期范围、用户身份以及预约人、仪器名称、型号、编号等关键字进行筛选查询。</w:t>
      </w:r>
    </w:p>
    <w:p w14:paraId="624D9054">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3.4.5.2.</w:t>
      </w:r>
      <w:r>
        <w:rPr>
          <w:rFonts w:hint="eastAsia" w:ascii="宋体" w:hAnsi="宋体" w:eastAsia="宋体" w:cs="宋体"/>
          <w:b w:val="0"/>
          <w:bCs w:val="0"/>
          <w:color w:val="auto"/>
          <w:sz w:val="21"/>
          <w:szCs w:val="21"/>
          <w:highlight w:val="none"/>
        </w:rPr>
        <w:t>支持预约信息全面展示：设备编号、仪器名称/型号、预约时间段、预约机时、样品数、预约人及其身份和导师信息。</w:t>
      </w:r>
    </w:p>
    <w:p w14:paraId="54A6D914">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3.4.5.3.</w:t>
      </w:r>
      <w:r>
        <w:rPr>
          <w:rFonts w:hint="eastAsia" w:ascii="宋体" w:hAnsi="宋体" w:eastAsia="宋体" w:cs="宋体"/>
          <w:b w:val="0"/>
          <w:bCs w:val="0"/>
          <w:color w:val="auto"/>
          <w:sz w:val="21"/>
          <w:szCs w:val="21"/>
          <w:highlight w:val="none"/>
        </w:rPr>
        <w:t>支持预约流程状态跟踪：记录并显示预约申请的提交时间、费用、缴费方式以及当前状态。</w:t>
      </w:r>
    </w:p>
    <w:p w14:paraId="1FE2CA0E">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3.4.5.4.</w:t>
      </w:r>
      <w:r>
        <w:rPr>
          <w:rFonts w:hint="eastAsia" w:ascii="宋体" w:hAnsi="宋体" w:eastAsia="宋体" w:cs="宋体"/>
          <w:b w:val="0"/>
          <w:bCs w:val="0"/>
          <w:color w:val="auto"/>
          <w:sz w:val="21"/>
          <w:szCs w:val="21"/>
          <w:highlight w:val="none"/>
        </w:rPr>
        <w:t>支持数据导出功能：提供“导出”按钮，可将查询到的预约记录导出为文件，便于离线统计和分析。</w:t>
      </w:r>
    </w:p>
    <w:p w14:paraId="5A6E433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3.4.6.</w:t>
      </w:r>
      <w:r>
        <w:rPr>
          <w:rFonts w:hint="eastAsia" w:ascii="宋体" w:hAnsi="宋体" w:eastAsia="宋体" w:cs="宋体"/>
          <w:b w:val="0"/>
          <w:bCs w:val="0"/>
          <w:color w:val="auto"/>
          <w:sz w:val="21"/>
          <w:szCs w:val="21"/>
          <w:highlight w:val="none"/>
        </w:rPr>
        <w:t>提供委托记录查询：</w:t>
      </w:r>
    </w:p>
    <w:p w14:paraId="5316784A">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3.4.6.1.</w:t>
      </w:r>
      <w:r>
        <w:rPr>
          <w:rFonts w:hint="eastAsia" w:ascii="宋体" w:hAnsi="宋体" w:eastAsia="宋体" w:cs="宋体"/>
          <w:b w:val="0"/>
          <w:bCs w:val="0"/>
          <w:color w:val="auto"/>
          <w:sz w:val="21"/>
          <w:szCs w:val="21"/>
          <w:highlight w:val="none"/>
        </w:rPr>
        <w:t>支持多维度组合查询：允许管理员通过日期范围、用户身份以及委托人/仪器名称/型号/编号等关键字进行筛选查询。</w:t>
      </w:r>
    </w:p>
    <w:p w14:paraId="201195C3">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3.4.6.2.</w:t>
      </w:r>
      <w:r>
        <w:rPr>
          <w:rFonts w:hint="eastAsia" w:ascii="宋体" w:hAnsi="宋体" w:eastAsia="宋体" w:cs="宋体"/>
          <w:b w:val="0"/>
          <w:bCs w:val="0"/>
          <w:color w:val="auto"/>
          <w:sz w:val="21"/>
          <w:szCs w:val="21"/>
          <w:highlight w:val="none"/>
        </w:rPr>
        <w:t>支持委托信息全面展示：列表清晰展示设备编号、仪器名称/型号、委托申请时间、样品数、样品信息、委托人及其身份、费用及缴费方式。</w:t>
      </w:r>
    </w:p>
    <w:p w14:paraId="5DAB1C60">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3.4.6.3.</w:t>
      </w:r>
      <w:r>
        <w:rPr>
          <w:rFonts w:hint="eastAsia" w:ascii="宋体" w:hAnsi="宋体" w:eastAsia="宋体" w:cs="宋体"/>
          <w:b w:val="0"/>
          <w:bCs w:val="0"/>
          <w:color w:val="auto"/>
          <w:sz w:val="21"/>
          <w:szCs w:val="21"/>
          <w:highlight w:val="none"/>
        </w:rPr>
        <w:t>支持委托任务进度跟踪：记录并显示委托任务的完成时间、当前状态（审核中、已完成、未通过）以及未通过的原因。</w:t>
      </w:r>
    </w:p>
    <w:p w14:paraId="086C741B">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3.4.6.4.</w:t>
      </w:r>
      <w:r>
        <w:rPr>
          <w:rFonts w:hint="eastAsia" w:ascii="宋体" w:hAnsi="宋体" w:eastAsia="宋体" w:cs="宋体"/>
          <w:b w:val="0"/>
          <w:bCs w:val="0"/>
          <w:color w:val="auto"/>
          <w:sz w:val="21"/>
          <w:szCs w:val="21"/>
          <w:highlight w:val="none"/>
        </w:rPr>
        <w:t>支持数据导出功能：提供“导出”按钮，可将查询到的委托记录导出为文件，便于离线统计和分析。</w:t>
      </w:r>
    </w:p>
    <w:p w14:paraId="43AEF27F">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3.5.</w:t>
      </w:r>
      <w:r>
        <w:rPr>
          <w:rFonts w:hint="eastAsia" w:ascii="宋体" w:hAnsi="宋体" w:eastAsia="宋体" w:cs="宋体"/>
          <w:b w:val="0"/>
          <w:bCs w:val="0"/>
          <w:color w:val="auto"/>
          <w:sz w:val="21"/>
          <w:szCs w:val="21"/>
          <w:highlight w:val="none"/>
          <w:lang w:val="zh-CN"/>
        </w:rPr>
        <w:t>教师个人仪器管理</w:t>
      </w:r>
    </w:p>
    <w:p w14:paraId="2999BEF1">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3.5.1.</w:t>
      </w:r>
      <w:r>
        <w:rPr>
          <w:rFonts w:hint="eastAsia" w:ascii="宋体" w:hAnsi="宋体" w:eastAsia="宋体" w:cs="宋体"/>
          <w:b w:val="0"/>
          <w:bCs w:val="0"/>
          <w:color w:val="auto"/>
          <w:sz w:val="21"/>
          <w:szCs w:val="21"/>
          <w:highlight w:val="none"/>
        </w:rPr>
        <w:t>在教师个人中心，提供可视化日历视图，对其负责的仪器预约情况进行总览：支持负责人按本周、上一周、下一周等时间维度，以周历视图直观查看所有管辖仪器的预约时段占用概览，便于统筹安排。</w:t>
      </w:r>
    </w:p>
    <w:p w14:paraId="0A3EDE0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3.5.2.</w:t>
      </w:r>
      <w:r>
        <w:rPr>
          <w:rFonts w:hint="eastAsia" w:ascii="宋体" w:hAnsi="宋体" w:eastAsia="宋体" w:cs="宋体"/>
          <w:b w:val="0"/>
          <w:bCs w:val="0"/>
          <w:color w:val="auto"/>
          <w:sz w:val="21"/>
          <w:szCs w:val="21"/>
          <w:highlight w:val="none"/>
        </w:rPr>
        <w:t>提供仪器身份牌的集中展示与信息管理：支持负责人集中管理所负责仪器的核心身份信息，包括名称、资产编号、规格型号、存放位置、所属学院、使用状态、主要性能指标、使用统计数据（累计用时/费用等）及设备照片，形成完整的仪器电子档案。</w:t>
      </w:r>
    </w:p>
    <w:p w14:paraId="00D2816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3.5.3.</w:t>
      </w:r>
      <w:r>
        <w:rPr>
          <w:rFonts w:hint="eastAsia" w:ascii="宋体" w:hAnsi="宋体" w:eastAsia="宋体" w:cs="宋体"/>
          <w:b w:val="0"/>
          <w:bCs w:val="0"/>
          <w:color w:val="auto"/>
          <w:sz w:val="21"/>
          <w:szCs w:val="21"/>
          <w:highlight w:val="none"/>
        </w:rPr>
        <w:t>▲提供仪器开放时段的精细化自定义设置：支持仪器负责人灵活开启或关闭仪器预约，并自定义开放日期范围、每周开放的具体工作日、每日开放的时间段（可精确到分钟），支持设置多个时间段；支持设置预约账户余额门槛。（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66B90433">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3.5.4.</w:t>
      </w:r>
      <w:r>
        <w:rPr>
          <w:rFonts w:hint="eastAsia" w:ascii="宋体" w:hAnsi="宋体" w:eastAsia="宋体" w:cs="宋体"/>
          <w:b w:val="0"/>
          <w:bCs w:val="0"/>
          <w:color w:val="auto"/>
          <w:sz w:val="21"/>
          <w:szCs w:val="21"/>
          <w:highlight w:val="none"/>
        </w:rPr>
        <w:t>提供仪器状态的设置：支持根据实际设备情况，将设备调整为共享、维修、调试状态。</w:t>
      </w:r>
    </w:p>
    <w:p w14:paraId="6C38B123">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3.5.5.</w:t>
      </w:r>
      <w:r>
        <w:rPr>
          <w:rFonts w:hint="eastAsia" w:ascii="宋体" w:hAnsi="宋体" w:eastAsia="宋体" w:cs="宋体"/>
          <w:b w:val="0"/>
          <w:bCs w:val="0"/>
          <w:color w:val="auto"/>
          <w:sz w:val="21"/>
          <w:szCs w:val="21"/>
          <w:highlight w:val="none"/>
        </w:rPr>
        <w:t>▲提供共享范围与计费策略的多层级灵活配置：每台仪器提供自主测试与委托测试两种共享模式，每种模式可单独设置不同的共享范围（院内、校内、校外）；提供按使用时间、按使用次数、按样品数、自定义收费四种计费方式，并可为不同用户群体（院内、校内、校外）设定差异化的收费标准（单价），可为不同业务设定附加的收费标准（单价）。（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78A92FC9">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3.5.6.</w:t>
      </w:r>
      <w:r>
        <w:rPr>
          <w:rFonts w:hint="eastAsia" w:ascii="宋体" w:hAnsi="宋体" w:eastAsia="宋体" w:cs="宋体"/>
          <w:b w:val="0"/>
          <w:bCs w:val="0"/>
          <w:color w:val="auto"/>
          <w:sz w:val="21"/>
          <w:szCs w:val="21"/>
          <w:highlight w:val="none"/>
        </w:rPr>
        <w:t>▲提供高级预约规则与行为管理策略的定制：支持负责人自定义预约期限，默认为系统全局设置；支持强制要求预约时填写样品数并设定下限；支持对未及时结算的用户启用自动强制结算和、扣除信誉分（仅限学生）等管理规则，以规范用户使用行为。（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3A5A78C9">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3.5.7.</w:t>
      </w:r>
      <w:r>
        <w:rPr>
          <w:rFonts w:hint="eastAsia" w:ascii="宋体" w:hAnsi="宋体" w:eastAsia="宋体" w:cs="宋体"/>
          <w:b w:val="0"/>
          <w:bCs w:val="0"/>
          <w:color w:val="auto"/>
          <w:sz w:val="21"/>
          <w:szCs w:val="21"/>
          <w:highlight w:val="none"/>
        </w:rPr>
        <w:t>提供已预约用户（预约名录）的分角色管理：支持负责人查看和管理被授权使用本仪器的教师和学生名单，可按身份筛选，并可查看其信誉分等信息，实现对预约用户的分角色精细化管理。</w:t>
      </w:r>
    </w:p>
    <w:p w14:paraId="3BD8864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3.5.8.</w:t>
      </w:r>
      <w:r>
        <w:rPr>
          <w:rFonts w:hint="eastAsia" w:ascii="宋体" w:hAnsi="宋体" w:eastAsia="宋体" w:cs="宋体"/>
          <w:b w:val="0"/>
          <w:bCs w:val="0"/>
          <w:color w:val="auto"/>
          <w:sz w:val="21"/>
          <w:szCs w:val="21"/>
          <w:highlight w:val="none"/>
        </w:rPr>
        <w:t>提供自主测试预约记录的全面查询与追溯：支持负责人按时间、预约人等条件，查询和追溯所有“自主测试”预约的详细信息，包括编号、预约时间、机时、预约人、费用、状态等，并提支持导出功能。</w:t>
      </w:r>
    </w:p>
    <w:p w14:paraId="7CA4CBD3">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3.5.9.</w:t>
      </w:r>
      <w:r>
        <w:rPr>
          <w:rFonts w:hint="eastAsia" w:ascii="宋体" w:hAnsi="宋体" w:eastAsia="宋体" w:cs="宋体"/>
          <w:b w:val="0"/>
          <w:bCs w:val="0"/>
          <w:color w:val="auto"/>
          <w:sz w:val="21"/>
          <w:szCs w:val="21"/>
          <w:highlight w:val="none"/>
        </w:rPr>
        <w:t>提供委托测试委托记录的全面查询与追溯：支持负责人按时间、送样人等条件，查询和追溯所有“委托测试”的详细信息，包括样品数、样品信息、费用、完成时间、状态等，并支持导出功能。</w:t>
      </w:r>
    </w:p>
    <w:p w14:paraId="592C6306">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3.5.10.</w:t>
      </w:r>
      <w:r>
        <w:rPr>
          <w:rFonts w:hint="eastAsia" w:ascii="宋体" w:hAnsi="宋体" w:eastAsia="宋体" w:cs="宋体"/>
          <w:b w:val="0"/>
          <w:bCs w:val="0"/>
          <w:color w:val="auto"/>
          <w:sz w:val="21"/>
          <w:szCs w:val="21"/>
          <w:highlight w:val="none"/>
        </w:rPr>
        <w:t>提供仪器操作视频资料的关联与管理：支持负责人为仪器关联教学或操作视频，方便用户在实验室门牌上学习规范操作，提升设备使用安全与效率。</w:t>
      </w:r>
    </w:p>
    <w:p w14:paraId="16DFC34F">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3.6.</w:t>
      </w:r>
      <w:r>
        <w:rPr>
          <w:rFonts w:hint="eastAsia" w:ascii="宋体" w:hAnsi="宋体" w:eastAsia="宋体" w:cs="宋体"/>
          <w:b w:val="0"/>
          <w:bCs w:val="0"/>
          <w:color w:val="auto"/>
          <w:sz w:val="21"/>
          <w:szCs w:val="21"/>
          <w:highlight w:val="none"/>
        </w:rPr>
        <w:t>课题组管理</w:t>
      </w:r>
    </w:p>
    <w:p w14:paraId="21547748">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3.6.1.</w:t>
      </w:r>
      <w:r>
        <w:rPr>
          <w:rFonts w:hint="eastAsia" w:ascii="宋体" w:hAnsi="宋体" w:eastAsia="宋体" w:cs="宋体"/>
          <w:b w:val="0"/>
          <w:bCs w:val="0"/>
          <w:color w:val="auto"/>
          <w:sz w:val="21"/>
          <w:szCs w:val="21"/>
          <w:highlight w:val="none"/>
          <w:lang w:val="zh-CN"/>
        </w:rPr>
        <w:t>支持课题组的创建与初始化：支持用户（通常是教师或负责人）新建课题组，在弹出的表单中定义课题组的名称、类型（教学/科研）、所属学院，并填写课题组简介，从而完成一个新课题组的创建与基本信息初始化；</w:t>
      </w:r>
    </w:p>
    <w:p w14:paraId="4070C6D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3.6.2.</w:t>
      </w:r>
      <w:r>
        <w:rPr>
          <w:rFonts w:hint="eastAsia" w:ascii="宋体" w:hAnsi="宋体" w:eastAsia="宋体" w:cs="宋体"/>
          <w:b w:val="0"/>
          <w:bCs w:val="0"/>
          <w:color w:val="auto"/>
          <w:sz w:val="21"/>
          <w:szCs w:val="21"/>
          <w:highlight w:val="none"/>
          <w:lang w:val="zh-CN"/>
        </w:rPr>
        <w:t>同一用户支持创建多个课题组；</w:t>
      </w:r>
    </w:p>
    <w:p w14:paraId="418A17F4">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3.6.3.</w:t>
      </w:r>
      <w:r>
        <w:rPr>
          <w:rFonts w:hint="eastAsia" w:ascii="宋体" w:hAnsi="宋体" w:eastAsia="宋体" w:cs="宋体"/>
          <w:b w:val="0"/>
          <w:bCs w:val="0"/>
          <w:color w:val="auto"/>
          <w:sz w:val="21"/>
          <w:szCs w:val="21"/>
          <w:highlight w:val="none"/>
          <w:lang w:val="zh-CN"/>
        </w:rPr>
        <w:t>提供课题组的集中查看与状态管理：支持用户在我创建的和我加入的标签页下，分别查看自己创建或已加入的所有课题组列表，列表以卡片形式展示课题组的名称、类型、所属学院、简介、成员数量等关键信息，并可对其状态进行切换管理；</w:t>
      </w:r>
    </w:p>
    <w:p w14:paraId="69C5B54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3.6.4.</w:t>
      </w:r>
      <w:r>
        <w:rPr>
          <w:rFonts w:hint="eastAsia" w:ascii="宋体" w:hAnsi="宋体" w:eastAsia="宋体" w:cs="宋体"/>
          <w:b w:val="0"/>
          <w:bCs w:val="0"/>
          <w:color w:val="auto"/>
          <w:sz w:val="21"/>
          <w:szCs w:val="21"/>
          <w:highlight w:val="none"/>
          <w:lang w:val="zh-CN"/>
        </w:rPr>
        <w:t>提供课题组成员的动态管理：支持负责人对现有成员进行管理，可通过点击添加成员或新增成员按钮添加新成员，并具备批量清退等功能对成员身份进行维护；</w:t>
      </w:r>
    </w:p>
    <w:p w14:paraId="60C8ED4A">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3.6.5.</w:t>
      </w:r>
      <w:r>
        <w:rPr>
          <w:rFonts w:hint="eastAsia" w:ascii="宋体" w:hAnsi="宋体" w:eastAsia="宋体" w:cs="宋体"/>
          <w:b w:val="0"/>
          <w:bCs w:val="0"/>
          <w:color w:val="auto"/>
          <w:sz w:val="21"/>
          <w:szCs w:val="21"/>
          <w:highlight w:val="none"/>
          <w:lang w:val="zh-CN"/>
        </w:rPr>
        <w:t>支持申请加入已有课题组：支持用户（学生或其他教师）申请加入课题组，向该课题组的负责人提交加入申请，须通过导师审核，且支持加入多个课题组；</w:t>
      </w:r>
    </w:p>
    <w:p w14:paraId="17441111">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3.6.6.</w:t>
      </w:r>
      <w:r>
        <w:rPr>
          <w:rFonts w:hint="eastAsia" w:ascii="宋体" w:hAnsi="宋体" w:eastAsia="宋体" w:cs="宋体"/>
          <w:b w:val="0"/>
          <w:bCs w:val="0"/>
          <w:color w:val="auto"/>
          <w:sz w:val="21"/>
          <w:szCs w:val="21"/>
          <w:highlight w:val="none"/>
          <w:lang w:val="zh-CN"/>
        </w:rPr>
        <w:t>支持课题组的搜索与筛选：支持用户在课题组列表页面上方的搜索框中，输入课题组名称进行快速检索，以在众多课题组中精准定位目标。</w:t>
      </w:r>
    </w:p>
    <w:p w14:paraId="294F8335">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3.7.</w:t>
      </w:r>
      <w:r>
        <w:rPr>
          <w:rFonts w:hint="eastAsia" w:ascii="宋体" w:hAnsi="宋体" w:eastAsia="宋体" w:cs="宋体"/>
          <w:b w:val="0"/>
          <w:bCs w:val="0"/>
          <w:color w:val="auto"/>
          <w:sz w:val="21"/>
          <w:szCs w:val="21"/>
          <w:highlight w:val="none"/>
          <w:lang w:val="zh-CN"/>
        </w:rPr>
        <w:t>仪器准入培训管理</w:t>
      </w:r>
    </w:p>
    <w:p w14:paraId="6A694D69">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3.7.1.</w:t>
      </w:r>
      <w:r>
        <w:rPr>
          <w:rFonts w:hint="eastAsia" w:ascii="宋体" w:hAnsi="宋体" w:eastAsia="宋体" w:cs="宋体"/>
          <w:b w:val="0"/>
          <w:bCs w:val="0"/>
          <w:color w:val="auto"/>
          <w:sz w:val="21"/>
          <w:szCs w:val="21"/>
          <w:highlight w:val="none"/>
        </w:rPr>
        <w:t>管理员端</w:t>
      </w:r>
    </w:p>
    <w:p w14:paraId="64CBA815">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3.7.1.1.</w:t>
      </w:r>
      <w:r>
        <w:rPr>
          <w:rFonts w:hint="eastAsia" w:ascii="宋体" w:hAnsi="宋体" w:eastAsia="宋体" w:cs="宋体"/>
          <w:b w:val="0"/>
          <w:bCs w:val="0"/>
          <w:color w:val="auto"/>
          <w:sz w:val="21"/>
          <w:szCs w:val="21"/>
          <w:highlight w:val="none"/>
        </w:rPr>
        <w:t>提供培训课程设置功能，支持对培训课程进行基础信息管理。</w:t>
      </w:r>
    </w:p>
    <w:p w14:paraId="73FC1FE4">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3.7.1.2.</w:t>
      </w:r>
      <w:r>
        <w:rPr>
          <w:rFonts w:hint="eastAsia" w:ascii="宋体" w:hAnsi="宋体" w:eastAsia="宋体" w:cs="宋体"/>
          <w:b w:val="0"/>
          <w:bCs w:val="0"/>
          <w:color w:val="auto"/>
          <w:sz w:val="21"/>
          <w:szCs w:val="21"/>
          <w:highlight w:val="none"/>
        </w:rPr>
        <w:t>提供学习题库管理功能，支持对题库内容的管理；支持导出。</w:t>
      </w:r>
    </w:p>
    <w:p w14:paraId="2A606E1B">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3.7.1.3.</w:t>
      </w:r>
      <w:r>
        <w:rPr>
          <w:rFonts w:hint="eastAsia" w:ascii="宋体" w:hAnsi="宋体" w:eastAsia="宋体" w:cs="宋体"/>
          <w:b w:val="0"/>
          <w:bCs w:val="0"/>
          <w:color w:val="auto"/>
          <w:sz w:val="21"/>
          <w:szCs w:val="21"/>
          <w:highlight w:val="none"/>
        </w:rPr>
        <w:t>提供仪器培训管理功能，支持查看培训时间、关联试卷预览、参与者、成绩查询、统计分析以及删除。</w:t>
      </w:r>
    </w:p>
    <w:p w14:paraId="506CDA73">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3.7.1.4.</w:t>
      </w:r>
      <w:r>
        <w:rPr>
          <w:rFonts w:hint="eastAsia" w:ascii="宋体" w:hAnsi="宋体" w:eastAsia="宋体" w:cs="宋体"/>
          <w:b w:val="0"/>
          <w:bCs w:val="0"/>
          <w:color w:val="auto"/>
          <w:sz w:val="21"/>
          <w:szCs w:val="21"/>
          <w:highlight w:val="none"/>
        </w:rPr>
        <w:t>成绩查询功能，支持按条件查询成绩并支持导出。</w:t>
      </w:r>
    </w:p>
    <w:p w14:paraId="7B05430B">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3.7.1.5.</w:t>
      </w:r>
      <w:r>
        <w:rPr>
          <w:rFonts w:hint="eastAsia" w:ascii="宋体" w:hAnsi="宋体" w:eastAsia="宋体" w:cs="宋体"/>
          <w:b w:val="0"/>
          <w:bCs w:val="0"/>
          <w:color w:val="auto"/>
          <w:sz w:val="21"/>
          <w:szCs w:val="21"/>
          <w:highlight w:val="none"/>
        </w:rPr>
        <w:t>提供统计分析功能，支持以图表形式展示培训相关的数据统计。</w:t>
      </w:r>
    </w:p>
    <w:p w14:paraId="13E9F1F6">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3.7.1.6.</w:t>
      </w:r>
      <w:r>
        <w:rPr>
          <w:rFonts w:hint="eastAsia" w:ascii="宋体" w:hAnsi="宋体" w:eastAsia="宋体" w:cs="宋体"/>
          <w:b w:val="0"/>
          <w:bCs w:val="0"/>
          <w:color w:val="auto"/>
          <w:sz w:val="21"/>
          <w:szCs w:val="21"/>
          <w:highlight w:val="none"/>
        </w:rPr>
        <w:t>提供答卷查看功能，支持查看学员的具体答题详情。</w:t>
      </w:r>
    </w:p>
    <w:p w14:paraId="10F432AD">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3.7.1.7.</w:t>
      </w:r>
      <w:r>
        <w:rPr>
          <w:rFonts w:hint="eastAsia" w:ascii="宋体" w:hAnsi="宋体" w:eastAsia="宋体" w:cs="宋体"/>
          <w:b w:val="0"/>
          <w:bCs w:val="0"/>
          <w:color w:val="auto"/>
          <w:sz w:val="21"/>
          <w:szCs w:val="21"/>
          <w:highlight w:val="none"/>
        </w:rPr>
        <w:t>提供预约审核记录、培训考核记录查询功能，支持按培训创建时间及仪器名称查看历史审核记录。</w:t>
      </w:r>
    </w:p>
    <w:p w14:paraId="0348D53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3.7.1.8.</w:t>
      </w:r>
      <w:r>
        <w:rPr>
          <w:rFonts w:hint="eastAsia" w:ascii="宋体" w:hAnsi="宋体" w:eastAsia="宋体" w:cs="宋体"/>
          <w:b w:val="0"/>
          <w:bCs w:val="0"/>
          <w:color w:val="auto"/>
          <w:sz w:val="21"/>
          <w:szCs w:val="21"/>
          <w:highlight w:val="none"/>
        </w:rPr>
        <w:t>提供准入许可管理，支持查看仪器的累计参加考核总人数和累计通过考核人数，以及这些人的考核详情；且支持按年度和活动名称再详情中检索，且支持导出数据文件。</w:t>
      </w:r>
    </w:p>
    <w:p w14:paraId="1C277113">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3.7.2.</w:t>
      </w:r>
      <w:r>
        <w:rPr>
          <w:rFonts w:hint="eastAsia" w:ascii="宋体" w:hAnsi="宋体" w:eastAsia="宋体" w:cs="宋体"/>
          <w:b w:val="0"/>
          <w:bCs w:val="0"/>
          <w:color w:val="auto"/>
          <w:sz w:val="21"/>
          <w:szCs w:val="21"/>
          <w:highlight w:val="none"/>
        </w:rPr>
        <w:t>教师端</w:t>
      </w:r>
    </w:p>
    <w:p w14:paraId="3029A93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3.7.2.1.</w:t>
      </w:r>
      <w:r>
        <w:rPr>
          <w:rFonts w:hint="eastAsia" w:ascii="宋体" w:hAnsi="宋体" w:eastAsia="宋体" w:cs="宋体"/>
          <w:b w:val="0"/>
          <w:bCs w:val="0"/>
          <w:color w:val="auto"/>
          <w:sz w:val="21"/>
          <w:szCs w:val="21"/>
          <w:highlight w:val="none"/>
        </w:rPr>
        <w:t>提供教师数据统计工作台，支持教师查看名下负责的仪器培训数据、考核通过率等关键指标。</w:t>
      </w:r>
    </w:p>
    <w:p w14:paraId="494C8BA0">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3.7.2.2.</w:t>
      </w:r>
      <w:r>
        <w:rPr>
          <w:rFonts w:hint="eastAsia" w:ascii="宋体" w:hAnsi="宋体" w:eastAsia="宋体" w:cs="宋体"/>
          <w:b w:val="0"/>
          <w:bCs w:val="0"/>
          <w:color w:val="auto"/>
          <w:sz w:val="21"/>
          <w:szCs w:val="21"/>
          <w:highlight w:val="none"/>
        </w:rPr>
        <w:t>提供创建仪器培训活动功能，支持教师选择具体设备并发布新的培训计划。</w:t>
      </w:r>
    </w:p>
    <w:p w14:paraId="18955643">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3.7.2.3.</w:t>
      </w:r>
      <w:r>
        <w:rPr>
          <w:rFonts w:hint="eastAsia" w:ascii="宋体" w:hAnsi="宋体" w:eastAsia="宋体" w:cs="宋体"/>
          <w:b w:val="0"/>
          <w:bCs w:val="0"/>
          <w:color w:val="auto"/>
          <w:sz w:val="21"/>
          <w:szCs w:val="21"/>
          <w:highlight w:val="none"/>
        </w:rPr>
        <w:t>支持仪器培训的全生命周期管理，包括培训时间安排、关联试卷查看、参与者管理及成绩查询。</w:t>
      </w:r>
    </w:p>
    <w:p w14:paraId="341B19B7">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3.7.2.4.</w:t>
      </w:r>
      <w:r>
        <w:rPr>
          <w:rFonts w:hint="eastAsia" w:ascii="宋体" w:hAnsi="宋体" w:eastAsia="宋体" w:cs="宋体"/>
          <w:b w:val="0"/>
          <w:bCs w:val="0"/>
          <w:color w:val="auto"/>
          <w:sz w:val="21"/>
          <w:szCs w:val="21"/>
          <w:highlight w:val="none"/>
        </w:rPr>
        <w:t>提供仪器课程设置功能，支持教师将负责的仪器与特定培训课程、题库进行绑定。</w:t>
      </w:r>
    </w:p>
    <w:p w14:paraId="0EB63F00">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3.7.2.5.</w:t>
      </w:r>
      <w:r>
        <w:rPr>
          <w:rFonts w:hint="eastAsia" w:ascii="宋体" w:hAnsi="宋体" w:eastAsia="宋体" w:cs="宋体"/>
          <w:b w:val="0"/>
          <w:bCs w:val="0"/>
          <w:color w:val="auto"/>
          <w:sz w:val="21"/>
          <w:szCs w:val="21"/>
          <w:highlight w:val="none"/>
        </w:rPr>
        <w:t>提供预约审核功能，支持教师处理所负责仪器的预约申请。</w:t>
      </w:r>
    </w:p>
    <w:p w14:paraId="009B9B5A">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3.7.2.6.</w:t>
      </w:r>
      <w:r>
        <w:rPr>
          <w:rFonts w:hint="eastAsia" w:ascii="宋体" w:hAnsi="宋体" w:eastAsia="宋体" w:cs="宋体"/>
          <w:b w:val="0"/>
          <w:bCs w:val="0"/>
          <w:color w:val="auto"/>
          <w:sz w:val="21"/>
          <w:szCs w:val="21"/>
          <w:highlight w:val="none"/>
        </w:rPr>
        <w:t>提供培训考核功能，支持教师对线下培训的学员进行线上登记考核结果。</w:t>
      </w:r>
    </w:p>
    <w:p w14:paraId="6CA36F9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3.7.3.</w:t>
      </w:r>
      <w:r>
        <w:rPr>
          <w:rFonts w:hint="eastAsia" w:ascii="宋体" w:hAnsi="宋体" w:eastAsia="宋体" w:cs="宋体"/>
          <w:b w:val="0"/>
          <w:bCs w:val="0"/>
          <w:color w:val="auto"/>
          <w:sz w:val="21"/>
          <w:szCs w:val="21"/>
          <w:highlight w:val="none"/>
        </w:rPr>
        <w:t>学生端</w:t>
      </w:r>
    </w:p>
    <w:p w14:paraId="54FCA78E">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3.7.3.1.</w:t>
      </w:r>
      <w:r>
        <w:rPr>
          <w:rFonts w:hint="eastAsia" w:ascii="宋体" w:hAnsi="宋体" w:eastAsia="宋体" w:cs="宋体"/>
          <w:b w:val="0"/>
          <w:bCs w:val="0"/>
          <w:color w:val="auto"/>
          <w:sz w:val="21"/>
          <w:szCs w:val="21"/>
          <w:highlight w:val="none"/>
        </w:rPr>
        <w:t>提供学员培训入口，支持学员查看培训状态（未考试、及格、不及格）。</w:t>
      </w:r>
    </w:p>
    <w:p w14:paraId="7BB4E4B3">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3.7.3.2.</w:t>
      </w:r>
      <w:r>
        <w:rPr>
          <w:rFonts w:hint="eastAsia" w:ascii="宋体" w:hAnsi="宋体" w:eastAsia="宋体" w:cs="宋体"/>
          <w:b w:val="0"/>
          <w:bCs w:val="0"/>
          <w:color w:val="auto"/>
          <w:sz w:val="21"/>
          <w:szCs w:val="21"/>
          <w:highlight w:val="none"/>
        </w:rPr>
        <w:t>提供在线学习与考试入口，支持学员进入不同仪器的课程学习、进行模拟考试及正式考核。</w:t>
      </w:r>
    </w:p>
    <w:p w14:paraId="65B6995E">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3.7.3.3.</w:t>
      </w:r>
      <w:r>
        <w:rPr>
          <w:rFonts w:hint="eastAsia" w:ascii="宋体" w:hAnsi="宋体" w:eastAsia="宋体" w:cs="宋体"/>
          <w:b w:val="0"/>
          <w:bCs w:val="0"/>
          <w:color w:val="auto"/>
          <w:sz w:val="21"/>
          <w:szCs w:val="21"/>
          <w:highlight w:val="none"/>
        </w:rPr>
        <w:t>提供多种参与方式，可根据需要报名；也支持指定人员参数，被指定属于强制参加。</w:t>
      </w:r>
    </w:p>
    <w:p w14:paraId="29268C08">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3.7.3.4.</w:t>
      </w:r>
      <w:r>
        <w:rPr>
          <w:rFonts w:hint="eastAsia" w:ascii="宋体" w:hAnsi="宋体" w:eastAsia="宋体" w:cs="宋体"/>
          <w:b w:val="0"/>
          <w:bCs w:val="0"/>
          <w:color w:val="auto"/>
          <w:sz w:val="21"/>
          <w:szCs w:val="21"/>
          <w:highlight w:val="none"/>
        </w:rPr>
        <w:t>通过仪器培训准入考试的人员方具备仪器预约的资格。</w:t>
      </w:r>
    </w:p>
    <w:p w14:paraId="46D6E36D">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w:t>
      </w:r>
      <w:r>
        <w:rPr>
          <w:rFonts w:hint="eastAsia" w:ascii="宋体" w:hAnsi="宋体" w:eastAsia="宋体" w:cs="宋体"/>
          <w:b w:val="0"/>
          <w:bCs w:val="0"/>
          <w:color w:val="auto"/>
          <w:sz w:val="21"/>
          <w:szCs w:val="21"/>
          <w:highlight w:val="none"/>
        </w:rPr>
        <w:t>仪器在线预约</w:t>
      </w:r>
    </w:p>
    <w:p w14:paraId="3CDFA23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3.8.1.</w:t>
      </w:r>
      <w:r>
        <w:rPr>
          <w:rFonts w:hint="eastAsia" w:ascii="宋体" w:hAnsi="宋体" w:eastAsia="宋体" w:cs="宋体"/>
          <w:b w:val="0"/>
          <w:bCs w:val="0"/>
          <w:color w:val="auto"/>
          <w:sz w:val="21"/>
          <w:szCs w:val="21"/>
          <w:highlight w:val="none"/>
        </w:rPr>
        <w:t>自主测试预约</w:t>
      </w:r>
    </w:p>
    <w:p w14:paraId="6A5FEF99">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3.8.1.1.</w:t>
      </w:r>
      <w:r>
        <w:rPr>
          <w:rFonts w:hint="eastAsia" w:ascii="宋体" w:hAnsi="宋体" w:eastAsia="宋体" w:cs="宋体"/>
          <w:b w:val="0"/>
          <w:bCs w:val="0"/>
          <w:color w:val="auto"/>
          <w:sz w:val="21"/>
          <w:szCs w:val="21"/>
          <w:highlight w:val="none"/>
        </w:rPr>
        <w:t>支持用户在线选择预约仪器、预约时间、填写项目信息到预约完成的四步标准化预约流程（仪器预约→选择仪器→选择时间→填写项目信息→预约完成），并在自主测试列表页面集中查看、管理所有预约申请。</w:t>
      </w:r>
    </w:p>
    <w:p w14:paraId="7D77C0EE">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3.8.1.2.</w:t>
      </w:r>
      <w:r>
        <w:rPr>
          <w:rFonts w:hint="eastAsia" w:ascii="宋体" w:hAnsi="宋体" w:eastAsia="宋体" w:cs="宋体"/>
          <w:b w:val="0"/>
          <w:bCs w:val="0"/>
          <w:color w:val="auto"/>
          <w:sz w:val="21"/>
          <w:szCs w:val="21"/>
          <w:highlight w:val="none"/>
        </w:rPr>
        <w:t>支持预约时选择个人账户或课题组账户进行扣费；通过审核的预约申请，可导出预约单PDF文件，便于打印继续线下流程。</w:t>
      </w:r>
    </w:p>
    <w:p w14:paraId="7631706E">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3.8.1.3.</w:t>
      </w:r>
      <w:r>
        <w:rPr>
          <w:rFonts w:hint="eastAsia" w:ascii="宋体" w:hAnsi="宋体" w:eastAsia="宋体" w:cs="宋体"/>
          <w:b w:val="0"/>
          <w:bCs w:val="0"/>
          <w:color w:val="auto"/>
          <w:sz w:val="21"/>
          <w:szCs w:val="21"/>
          <w:highlight w:val="none"/>
        </w:rPr>
        <w:t>提供预约流程步骤条指引，清晰指引用户当前的业务进度；支持一键快捷发起新的自主测试预约申请；预约详情采用图文结合方式展示仪器图例、检测仪器名称及编号、所属实验室、预约时段及审核情况，信息展示直观清晰。</w:t>
      </w:r>
    </w:p>
    <w:p w14:paraId="61B32378">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3.8.2.</w:t>
      </w:r>
      <w:r>
        <w:rPr>
          <w:rFonts w:hint="eastAsia" w:ascii="宋体" w:hAnsi="宋体" w:eastAsia="宋体" w:cs="宋体"/>
          <w:b w:val="0"/>
          <w:bCs w:val="0"/>
          <w:color w:val="auto"/>
          <w:sz w:val="21"/>
          <w:szCs w:val="21"/>
          <w:highlight w:val="none"/>
        </w:rPr>
        <w:t>委托测试预约</w:t>
      </w:r>
    </w:p>
    <w:p w14:paraId="3064A802">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3.8.2.1.</w:t>
      </w:r>
      <w:r>
        <w:rPr>
          <w:rFonts w:hint="eastAsia" w:ascii="宋体" w:hAnsi="宋体" w:eastAsia="宋体" w:cs="宋体"/>
          <w:b w:val="0"/>
          <w:bCs w:val="0"/>
          <w:color w:val="auto"/>
          <w:sz w:val="21"/>
          <w:szCs w:val="21"/>
          <w:highlight w:val="none"/>
        </w:rPr>
        <w:t>提供独立的委托测试入口，支持选择仪器、样品描述、联系方式、期望完成时间等定制化步骤，并可在委托服务列表页面集中管理与追踪委托申请。</w:t>
      </w:r>
    </w:p>
    <w:p w14:paraId="208E2068">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3.8.2.2.</w:t>
      </w:r>
      <w:r>
        <w:rPr>
          <w:rFonts w:hint="eastAsia" w:ascii="宋体" w:hAnsi="宋体" w:eastAsia="宋体" w:cs="宋体"/>
          <w:b w:val="0"/>
          <w:bCs w:val="0"/>
          <w:color w:val="auto"/>
          <w:sz w:val="21"/>
          <w:szCs w:val="21"/>
          <w:highlight w:val="none"/>
        </w:rPr>
        <w:t>支持一键快捷发起新的委托测试预约申请。</w:t>
      </w:r>
    </w:p>
    <w:p w14:paraId="077DFACB">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3.8.2.3.</w:t>
      </w:r>
      <w:r>
        <w:rPr>
          <w:rFonts w:hint="eastAsia" w:ascii="宋体" w:hAnsi="宋体" w:eastAsia="宋体" w:cs="宋体"/>
          <w:b w:val="0"/>
          <w:bCs w:val="0"/>
          <w:color w:val="auto"/>
          <w:sz w:val="21"/>
          <w:szCs w:val="21"/>
          <w:highlight w:val="none"/>
        </w:rPr>
        <w:t>当用户选择不支持预约的仪器时，系统会提示说明。</w:t>
      </w:r>
    </w:p>
    <w:p w14:paraId="070AFC64">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3.8.3.</w:t>
      </w:r>
      <w:r>
        <w:rPr>
          <w:rFonts w:hint="eastAsia" w:ascii="宋体" w:hAnsi="宋体" w:eastAsia="宋体" w:cs="宋体"/>
          <w:b w:val="0"/>
          <w:bCs w:val="0"/>
          <w:color w:val="auto"/>
          <w:sz w:val="21"/>
          <w:szCs w:val="21"/>
          <w:highlight w:val="none"/>
        </w:rPr>
        <w:t>预约审核</w:t>
      </w:r>
    </w:p>
    <w:p w14:paraId="4B81361C">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3.8.3.1.</w:t>
      </w:r>
      <w:r>
        <w:rPr>
          <w:rFonts w:hint="eastAsia" w:ascii="宋体" w:hAnsi="宋体" w:eastAsia="宋体" w:cs="宋体"/>
          <w:b w:val="0"/>
          <w:bCs w:val="0"/>
          <w:color w:val="auto"/>
          <w:sz w:val="21"/>
          <w:szCs w:val="21"/>
          <w:highlight w:val="none"/>
        </w:rPr>
        <w:t>提供预约申请的审核与流程化管理：系统提供自主测试审核与委托测试审核模块，支持管理员对待审核的预约申请进行审批操作，并以列表形式展示申请详情、状态（待审核、已通过、未通过）及审核人信息，实现流程闭环。</w:t>
      </w:r>
    </w:p>
    <w:p w14:paraId="3705A956">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3.8.4.</w:t>
      </w:r>
      <w:r>
        <w:rPr>
          <w:rFonts w:hint="eastAsia" w:ascii="宋体" w:hAnsi="宋体" w:eastAsia="宋体" w:cs="宋体"/>
          <w:b w:val="0"/>
          <w:bCs w:val="0"/>
          <w:color w:val="auto"/>
          <w:sz w:val="21"/>
          <w:szCs w:val="21"/>
          <w:highlight w:val="none"/>
        </w:rPr>
        <w:t>预约记录查询与管理</w:t>
      </w:r>
    </w:p>
    <w:p w14:paraId="6F3E27EC">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3.8.4.1.</w:t>
      </w:r>
      <w:r>
        <w:rPr>
          <w:rFonts w:hint="eastAsia" w:ascii="宋体" w:hAnsi="宋体" w:eastAsia="宋体" w:cs="宋体"/>
          <w:b w:val="0"/>
          <w:bCs w:val="0"/>
          <w:color w:val="auto"/>
          <w:sz w:val="21"/>
          <w:szCs w:val="21"/>
          <w:highlight w:val="none"/>
        </w:rPr>
        <w:t>提供预约记录的多条件查询与筛选：在预约列表、审核列表等各个界面，均支持按状态、申请时间、仪器名称/编号、申请人等多种条件进行组合查询与筛选，便于快速定位目标记录；</w:t>
      </w:r>
    </w:p>
    <w:p w14:paraId="3E8E8737">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3.8.4.2.</w:t>
      </w:r>
      <w:r>
        <w:rPr>
          <w:rFonts w:hint="eastAsia" w:ascii="宋体" w:hAnsi="宋体" w:eastAsia="宋体" w:cs="宋体"/>
          <w:b w:val="0"/>
          <w:bCs w:val="0"/>
          <w:color w:val="auto"/>
          <w:sz w:val="21"/>
          <w:szCs w:val="21"/>
          <w:highlight w:val="none"/>
        </w:rPr>
        <w:t>支持按测试类型切换管理：提供自主测试、委托测试和使用评价标签页，允许用户在不同业务模式下查看和管理预约记录；</w:t>
      </w:r>
    </w:p>
    <w:p w14:paraId="7CE613D5">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3.8.4.3.</w:t>
      </w:r>
      <w:r>
        <w:rPr>
          <w:rFonts w:hint="eastAsia" w:ascii="宋体" w:hAnsi="宋体" w:eastAsia="宋体" w:cs="宋体"/>
          <w:b w:val="0"/>
          <w:bCs w:val="0"/>
          <w:color w:val="auto"/>
          <w:sz w:val="21"/>
          <w:szCs w:val="21"/>
          <w:highlight w:val="none"/>
        </w:rPr>
        <w:t>支持按审核状态筛选：提供状态下拉筛选框，并直观展示待审核、已通过、未通过的记录数量统计，方便用户快速定位特定状态的预约；</w:t>
      </w:r>
    </w:p>
    <w:p w14:paraId="2193BDD4">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3.8.4.4.</w:t>
      </w:r>
      <w:r>
        <w:rPr>
          <w:rFonts w:hint="eastAsia" w:ascii="宋体" w:hAnsi="宋体" w:eastAsia="宋体" w:cs="宋体"/>
          <w:b w:val="0"/>
          <w:bCs w:val="0"/>
          <w:color w:val="auto"/>
          <w:sz w:val="21"/>
          <w:szCs w:val="21"/>
          <w:highlight w:val="none"/>
        </w:rPr>
        <w:t>支持按仪器名称或编号、状态检索查找特定的仪器预约记录；</w:t>
      </w:r>
    </w:p>
    <w:p w14:paraId="3BE633A0">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3.8.4.5.</w:t>
      </w:r>
      <w:r>
        <w:rPr>
          <w:rFonts w:hint="eastAsia" w:ascii="宋体" w:hAnsi="宋体" w:eastAsia="宋体" w:cs="宋体"/>
          <w:b w:val="0"/>
          <w:bCs w:val="0"/>
          <w:color w:val="auto"/>
          <w:sz w:val="21"/>
          <w:szCs w:val="21"/>
          <w:highlight w:val="none"/>
        </w:rPr>
        <w:t>提供预约记录的快速操作与状态追踪：支持用户进行查看、修改、取消等操作，并可通过列表清晰追踪每条申请的实时状态；</w:t>
      </w:r>
    </w:p>
    <w:p w14:paraId="09575127">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3.8.4.6.</w:t>
      </w:r>
      <w:r>
        <w:rPr>
          <w:rFonts w:hint="eastAsia" w:ascii="宋体" w:hAnsi="宋体" w:eastAsia="宋体" w:cs="宋体"/>
          <w:b w:val="0"/>
          <w:bCs w:val="0"/>
          <w:color w:val="auto"/>
          <w:sz w:val="21"/>
          <w:szCs w:val="21"/>
          <w:highlight w:val="none"/>
        </w:rPr>
        <w:t>支持撤销操作：需在预约时段开始前24小时撤销。</w:t>
      </w:r>
    </w:p>
    <w:p w14:paraId="75D0F857">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3.8.5.</w:t>
      </w:r>
      <w:r>
        <w:rPr>
          <w:rFonts w:hint="eastAsia" w:ascii="宋体" w:hAnsi="宋体" w:eastAsia="宋体" w:cs="宋体"/>
          <w:b w:val="0"/>
          <w:bCs w:val="0"/>
          <w:color w:val="auto"/>
          <w:sz w:val="21"/>
          <w:szCs w:val="21"/>
          <w:highlight w:val="none"/>
        </w:rPr>
        <w:t>费用与账户关联</w:t>
      </w:r>
    </w:p>
    <w:p w14:paraId="6CD4242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3.8.5.1.</w:t>
      </w:r>
      <w:r>
        <w:rPr>
          <w:rFonts w:hint="eastAsia" w:ascii="宋体" w:hAnsi="宋体" w:eastAsia="宋体" w:cs="宋体"/>
          <w:b w:val="0"/>
          <w:bCs w:val="0"/>
          <w:color w:val="auto"/>
          <w:sz w:val="21"/>
          <w:szCs w:val="21"/>
          <w:highlight w:val="none"/>
        </w:rPr>
        <w:t>系统支持多身份维度统计数据查看，支持集中展示自主测试消费、委托测试消费、累计消费与账户余额信息，并提供详细的费用流水列表，清晰记录每笔与仪器预约相关的消费明细（流水ID、结算时间、仪器、消费类型、申请人、小计等），实现预约、消费、账户的一体化管理；</w:t>
      </w:r>
    </w:p>
    <w:p w14:paraId="217AEFDD">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3.8.5.2.</w:t>
      </w:r>
      <w:r>
        <w:rPr>
          <w:rFonts w:hint="eastAsia" w:ascii="宋体" w:hAnsi="宋体" w:eastAsia="宋体" w:cs="宋体"/>
          <w:b w:val="0"/>
          <w:bCs w:val="0"/>
          <w:color w:val="auto"/>
          <w:sz w:val="21"/>
          <w:szCs w:val="21"/>
          <w:highlight w:val="none"/>
        </w:rPr>
        <w:t>支持数据导出：在"账户费用"等模块提供明细导出功能，方便用户将消费记录等数据导出，用于存档或线下分析。</w:t>
      </w:r>
    </w:p>
    <w:p w14:paraId="0450BE17">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3.8.6.</w:t>
      </w:r>
      <w:r>
        <w:rPr>
          <w:rFonts w:hint="eastAsia" w:ascii="宋体" w:hAnsi="宋体" w:eastAsia="宋体" w:cs="宋体"/>
          <w:b w:val="0"/>
          <w:bCs w:val="0"/>
          <w:color w:val="auto"/>
          <w:sz w:val="21"/>
          <w:szCs w:val="21"/>
          <w:highlight w:val="none"/>
        </w:rPr>
        <w:t>移动端预约</w:t>
      </w:r>
    </w:p>
    <w:p w14:paraId="289932CD">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3.8.6.1.</w:t>
      </w:r>
      <w:r>
        <w:rPr>
          <w:rFonts w:hint="eastAsia" w:ascii="宋体" w:hAnsi="宋体" w:eastAsia="宋体" w:cs="宋体"/>
          <w:b w:val="0"/>
          <w:bCs w:val="0"/>
          <w:color w:val="auto"/>
          <w:sz w:val="21"/>
          <w:szCs w:val="21"/>
          <w:highlight w:val="none"/>
        </w:rPr>
        <w:t>提供移动端预约、审核业务；移动端预约时，用户可选择只显示可预约的仪器；</w:t>
      </w:r>
    </w:p>
    <w:p w14:paraId="183EB007">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3.8.6.2.</w:t>
      </w:r>
      <w:r>
        <w:rPr>
          <w:rFonts w:hint="eastAsia" w:ascii="宋体" w:hAnsi="宋体" w:eastAsia="宋体" w:cs="宋体"/>
          <w:b w:val="0"/>
          <w:bCs w:val="0"/>
          <w:color w:val="auto"/>
          <w:sz w:val="21"/>
          <w:szCs w:val="21"/>
          <w:highlight w:val="none"/>
        </w:rPr>
        <w:t>支持在移动端快捷发起新的自主测试或委托测试预约申请。</w:t>
      </w:r>
    </w:p>
    <w:p w14:paraId="37F3AFF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3.8.7.</w:t>
      </w:r>
      <w:r>
        <w:rPr>
          <w:rFonts w:hint="eastAsia" w:ascii="宋体" w:hAnsi="宋体" w:eastAsia="宋体" w:cs="宋体"/>
          <w:b w:val="0"/>
          <w:bCs w:val="0"/>
          <w:color w:val="auto"/>
          <w:sz w:val="21"/>
          <w:szCs w:val="21"/>
          <w:highlight w:val="none"/>
        </w:rPr>
        <w:t>使用评价</w:t>
      </w:r>
    </w:p>
    <w:p w14:paraId="1AB1A19F">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3.8.7.1.</w:t>
      </w:r>
      <w:r>
        <w:rPr>
          <w:rFonts w:hint="eastAsia" w:ascii="宋体" w:hAnsi="宋体" w:eastAsia="宋体" w:cs="宋体"/>
          <w:b w:val="0"/>
          <w:bCs w:val="0"/>
          <w:color w:val="auto"/>
          <w:sz w:val="21"/>
          <w:szCs w:val="21"/>
          <w:highlight w:val="none"/>
        </w:rPr>
        <w:t>提供评价功能：支持对已完成使用的仪器进行评价，在完成一次自主测试或委托测试后，用户可在"使用评价"页面为对应的仪器设备或委托服务提交评分与文字评价；</w:t>
      </w:r>
    </w:p>
    <w:p w14:paraId="4E982E69">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709" w:leftChars="0" w:hanging="567"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3.9.</w:t>
      </w:r>
      <w:r>
        <w:rPr>
          <w:rFonts w:hint="eastAsia" w:ascii="宋体" w:hAnsi="宋体" w:eastAsia="宋体" w:cs="宋体"/>
          <w:b w:val="0"/>
          <w:bCs w:val="0"/>
          <w:color w:val="auto"/>
          <w:sz w:val="21"/>
          <w:szCs w:val="21"/>
          <w:highlight w:val="none"/>
        </w:rPr>
        <w:t>费用管理</w:t>
      </w:r>
    </w:p>
    <w:p w14:paraId="3F3952BA">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3.9.1.</w:t>
      </w:r>
      <w:r>
        <w:rPr>
          <w:rFonts w:hint="eastAsia" w:ascii="宋体" w:hAnsi="宋体" w:eastAsia="宋体" w:cs="宋体"/>
          <w:b w:val="0"/>
          <w:bCs w:val="0"/>
          <w:color w:val="auto"/>
          <w:sz w:val="21"/>
          <w:szCs w:val="21"/>
          <w:highlight w:val="none"/>
        </w:rPr>
        <w:t>系统提供费用管理功能，支持对自主测试与委托测试费用的分类统计与管理：提供独立的账单管理页面，分别统计和展示自主测试（按机时）与委托测试（按机时和样品数）的费用情况；</w:t>
      </w:r>
    </w:p>
    <w:p w14:paraId="1527889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3.9.2.</w:t>
      </w:r>
      <w:r>
        <w:rPr>
          <w:rFonts w:hint="eastAsia" w:ascii="宋体" w:hAnsi="宋体" w:eastAsia="宋体" w:cs="宋体"/>
          <w:b w:val="0"/>
          <w:bCs w:val="0"/>
          <w:color w:val="auto"/>
          <w:sz w:val="21"/>
          <w:szCs w:val="21"/>
          <w:highlight w:val="none"/>
        </w:rPr>
        <w:t>提供多维度、可视化的费用总览：可从学院、仪器、用户及流水四个维度对费用进行统计查询，并以卡片形式清晰展示总费用、总机时、总样品数、总预存金额等核心汇总数据；</w:t>
      </w:r>
    </w:p>
    <w:p w14:paraId="28AF7BE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3.9.3.</w:t>
      </w:r>
      <w:r>
        <w:rPr>
          <w:rFonts w:hint="eastAsia" w:ascii="宋体" w:hAnsi="宋体" w:eastAsia="宋体" w:cs="宋体"/>
          <w:b w:val="0"/>
          <w:bCs w:val="0"/>
          <w:color w:val="auto"/>
          <w:sz w:val="21"/>
          <w:szCs w:val="21"/>
          <w:highlight w:val="none"/>
        </w:rPr>
        <w:t>提供预存费用的集中管理与记录追踪：可统一管理各学院/单位的预存与赠送费用金额，并提供详细的流水记录，记录每笔充值的时间、人员、单位、类型、金额及操作人，实现资金流转的透明化与可追溯；</w:t>
      </w:r>
    </w:p>
    <w:p w14:paraId="6F30C9C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3.9.4.</w:t>
      </w:r>
      <w:r>
        <w:rPr>
          <w:rFonts w:hint="eastAsia" w:ascii="宋体" w:hAnsi="宋体" w:eastAsia="宋体" w:cs="宋体"/>
          <w:b w:val="0"/>
          <w:bCs w:val="0"/>
          <w:color w:val="auto"/>
          <w:sz w:val="21"/>
          <w:szCs w:val="21"/>
          <w:highlight w:val="none"/>
        </w:rPr>
        <w:t>提供灵活的查询与筛选功能：可根据日期范围、学院/单位、仪器名称、用户姓名等多种条件组合查询，并可通过“搜索”和“导出”功能快速定位与获取数据。</w:t>
      </w:r>
    </w:p>
    <w:p w14:paraId="3DB972A4">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3.9.5.</w:t>
      </w:r>
      <w:r>
        <w:rPr>
          <w:rFonts w:hint="eastAsia" w:ascii="宋体" w:hAnsi="宋体" w:eastAsia="宋体" w:cs="宋体"/>
          <w:b w:val="0"/>
          <w:bCs w:val="0"/>
          <w:color w:val="auto"/>
          <w:sz w:val="21"/>
          <w:szCs w:val="21"/>
          <w:highlight w:val="none"/>
        </w:rPr>
        <w:t>支持账单详情与流水记录的逐级穿透查看：在各级统计列表中均设有查看详情或账单预览按钮，允许用户从汇总数据下钻到具体的预约记录、费用明细及账单详情，实现费用的精细化对账；</w:t>
      </w:r>
    </w:p>
    <w:p w14:paraId="10F9118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3.9.6.</w:t>
      </w:r>
      <w:r>
        <w:rPr>
          <w:rFonts w:hint="eastAsia" w:ascii="宋体" w:hAnsi="宋体" w:eastAsia="宋体" w:cs="宋体"/>
          <w:b w:val="0"/>
          <w:bCs w:val="0"/>
          <w:color w:val="auto"/>
          <w:sz w:val="21"/>
          <w:szCs w:val="21"/>
          <w:highlight w:val="none"/>
        </w:rPr>
        <w:t>▲支持费用流水的完整记录与操作留痕：详细记录每一笔测试费用的生成过程，包括预约仪器、使用时间、预约人、计费人、生成时间、机时/样品数及费用，为费用核对与审计提供完整依据。（提供真实软件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7562A1A0">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3.10.</w:t>
      </w:r>
      <w:r>
        <w:rPr>
          <w:rFonts w:hint="eastAsia" w:ascii="宋体" w:hAnsi="宋体" w:eastAsia="宋体" w:cs="宋体"/>
          <w:b w:val="0"/>
          <w:bCs w:val="0"/>
          <w:color w:val="auto"/>
          <w:sz w:val="21"/>
          <w:szCs w:val="21"/>
          <w:highlight w:val="none"/>
          <w:lang w:val="zh-CN"/>
        </w:rPr>
        <w:t>预存记录</w:t>
      </w:r>
    </w:p>
    <w:p w14:paraId="63DF620C">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3.10.1.</w:t>
      </w:r>
      <w:r>
        <w:rPr>
          <w:rFonts w:hint="eastAsia" w:ascii="宋体" w:hAnsi="宋体" w:eastAsia="宋体" w:cs="宋体"/>
          <w:b w:val="0"/>
          <w:bCs w:val="0"/>
          <w:color w:val="auto"/>
          <w:sz w:val="21"/>
          <w:szCs w:val="21"/>
          <w:highlight w:val="none"/>
        </w:rPr>
        <w:t>按学院统计维度：</w:t>
      </w:r>
    </w:p>
    <w:p w14:paraId="0BC147FF">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3.10.1.1.</w:t>
      </w:r>
      <w:r>
        <w:rPr>
          <w:rFonts w:hint="eastAsia" w:ascii="宋体" w:hAnsi="宋体" w:eastAsia="宋体" w:cs="宋体"/>
          <w:b w:val="0"/>
          <w:bCs w:val="0"/>
          <w:color w:val="auto"/>
          <w:sz w:val="21"/>
          <w:szCs w:val="21"/>
          <w:highlight w:val="none"/>
        </w:rPr>
        <w:t>支持聚合显示其对应的资金情况；</w:t>
      </w:r>
    </w:p>
    <w:p w14:paraId="10F3A8C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3.10.1.2.</w:t>
      </w:r>
      <w:r>
        <w:rPr>
          <w:rFonts w:hint="eastAsia" w:ascii="宋体" w:hAnsi="宋体" w:eastAsia="宋体" w:cs="宋体"/>
          <w:b w:val="0"/>
          <w:bCs w:val="0"/>
          <w:color w:val="auto"/>
          <w:sz w:val="21"/>
          <w:szCs w:val="21"/>
          <w:highlight w:val="none"/>
        </w:rPr>
        <w:t>支持分类金额展示：预存金额、赠送金额和总金额数据，清晰区分资金来源构成；</w:t>
      </w:r>
    </w:p>
    <w:p w14:paraId="6E9DA08B">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3.10.1.3.</w:t>
      </w:r>
      <w:r>
        <w:rPr>
          <w:rFonts w:hint="eastAsia" w:ascii="宋体" w:hAnsi="宋体" w:eastAsia="宋体" w:cs="宋体"/>
          <w:b w:val="0"/>
          <w:bCs w:val="0"/>
          <w:color w:val="auto"/>
          <w:sz w:val="21"/>
          <w:szCs w:val="21"/>
          <w:highlight w:val="none"/>
        </w:rPr>
        <w:t>支持按学院名称检索；按日期段检索；支持查看详情：每一行记录后设有“查看详情”链接，支持用户点击跳转查看该学院具体的资金变动明细。</w:t>
      </w:r>
    </w:p>
    <w:p w14:paraId="3024E9AF">
      <w:pPr>
        <w:pStyle w:val="4"/>
        <w:keepNext w:val="0"/>
        <w:keepLines w:val="0"/>
        <w:pageBreakBefore w:val="0"/>
        <w:widowControl w:val="0"/>
        <w:numPr>
          <w:ilvl w:val="2"/>
          <w:numId w:val="0"/>
        </w:numPr>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3.10.2.</w:t>
      </w:r>
      <w:r>
        <w:rPr>
          <w:rFonts w:hint="eastAsia" w:ascii="宋体" w:hAnsi="宋体" w:eastAsia="宋体" w:cs="宋体"/>
          <w:b w:val="0"/>
          <w:bCs w:val="0"/>
          <w:color w:val="auto"/>
          <w:sz w:val="21"/>
          <w:szCs w:val="21"/>
          <w:highlight w:val="none"/>
        </w:rPr>
        <w:t>流水维度：</w:t>
      </w:r>
    </w:p>
    <w:p w14:paraId="1325BBB7">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3.10.2.1.</w:t>
      </w:r>
      <w:r>
        <w:rPr>
          <w:rFonts w:hint="eastAsia" w:ascii="宋体" w:hAnsi="宋体" w:eastAsia="宋体" w:cs="宋体"/>
          <w:b w:val="0"/>
          <w:bCs w:val="0"/>
          <w:color w:val="auto"/>
          <w:sz w:val="21"/>
          <w:szCs w:val="21"/>
          <w:highlight w:val="none"/>
        </w:rPr>
        <w:t>支持按交易明细展示数据：以单笔交易为粒度，逐条展示每一次的充值记录。</w:t>
      </w:r>
    </w:p>
    <w:p w14:paraId="299F067E">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3.10.2.2.</w:t>
      </w:r>
      <w:r>
        <w:rPr>
          <w:rFonts w:hint="eastAsia" w:ascii="宋体" w:hAnsi="宋体" w:eastAsia="宋体" w:cs="宋体"/>
          <w:b w:val="0"/>
          <w:bCs w:val="0"/>
          <w:color w:val="auto"/>
          <w:sz w:val="21"/>
          <w:szCs w:val="21"/>
          <w:highlight w:val="none"/>
        </w:rPr>
        <w:t>支持多维度信息展示：流水ID、时间、充值人、充值单位、充值类型、充值金额(元)以及操作人等关键字段；</w:t>
      </w:r>
    </w:p>
    <w:p w14:paraId="54C8CD4A">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3.10.2.3.</w:t>
      </w:r>
      <w:r>
        <w:rPr>
          <w:rFonts w:hint="eastAsia" w:ascii="宋体" w:hAnsi="宋体" w:eastAsia="宋体" w:cs="宋体"/>
          <w:b w:val="0"/>
          <w:bCs w:val="0"/>
          <w:color w:val="auto"/>
          <w:sz w:val="21"/>
          <w:szCs w:val="21"/>
          <w:highlight w:val="none"/>
        </w:rPr>
        <w:t>支持搜索功能：允许用户输入充值人姓名、学院名称或单位名称进行查询；支持按日期范围检索。</w:t>
      </w:r>
    </w:p>
    <w:p w14:paraId="36786E98">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3.11.</w:t>
      </w:r>
      <w:r>
        <w:rPr>
          <w:rFonts w:hint="eastAsia" w:ascii="宋体" w:hAnsi="宋体" w:eastAsia="宋体" w:cs="宋体"/>
          <w:b w:val="0"/>
          <w:bCs w:val="0"/>
          <w:color w:val="auto"/>
          <w:sz w:val="21"/>
          <w:szCs w:val="21"/>
          <w:highlight w:val="none"/>
        </w:rPr>
        <w:t>账单管理</w:t>
      </w:r>
    </w:p>
    <w:p w14:paraId="45378779">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3.11.1.</w:t>
      </w:r>
      <w:r>
        <w:rPr>
          <w:rFonts w:hint="eastAsia" w:ascii="宋体" w:hAnsi="宋体" w:eastAsia="宋体" w:cs="宋体"/>
          <w:b w:val="0"/>
          <w:bCs w:val="0"/>
          <w:color w:val="auto"/>
          <w:sz w:val="21"/>
          <w:szCs w:val="21"/>
          <w:highlight w:val="none"/>
        </w:rPr>
        <w:t>提供账单管理，支持按共享模式分类管理账单：支持对两种不同服务模式产生的费用进行分类查询与独立管理；支持按审核状态筛选：提供状态下拉筛选框，并直观展示待审核、已通过、未通过的记录数量统计，方便用户快速定位特定状态的预约；</w:t>
      </w:r>
    </w:p>
    <w:p w14:paraId="7E550704">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3.11.2.</w:t>
      </w:r>
      <w:r>
        <w:rPr>
          <w:rFonts w:hint="eastAsia" w:ascii="宋体" w:hAnsi="宋体" w:eastAsia="宋体" w:cs="宋体"/>
          <w:b w:val="0"/>
          <w:bCs w:val="0"/>
          <w:color w:val="auto"/>
          <w:sz w:val="21"/>
          <w:szCs w:val="21"/>
          <w:highlight w:val="none"/>
          <w:lang w:val="zh-CN"/>
        </w:rPr>
        <w:t>账单支持多维度复合条件筛选：可根据状态（待结算、已结算、已取消）、申请时间区间以及预约人类型（教师、学生）等多种条件进行账单组合查询，实现账单记录的精准定位；</w:t>
      </w:r>
    </w:p>
    <w:p w14:paraId="1EFB316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3.11.3.</w:t>
      </w:r>
      <w:r>
        <w:rPr>
          <w:rFonts w:hint="eastAsia" w:ascii="宋体" w:hAnsi="宋体" w:eastAsia="宋体" w:cs="宋体"/>
          <w:b w:val="0"/>
          <w:bCs w:val="0"/>
          <w:color w:val="auto"/>
          <w:sz w:val="21"/>
          <w:szCs w:val="21"/>
          <w:highlight w:val="none"/>
          <w:lang w:val="zh-CN"/>
        </w:rPr>
        <w:t>提供账单核心信息的结构化展示：在账单列表中，支持查看每条账单记录的编号、预约仪器、预约使用时间、申请时间、预约人及状态等关键信息，便于快速了解和追溯；</w:t>
      </w:r>
    </w:p>
    <w:p w14:paraId="25A2BCC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3.11.4.</w:t>
      </w:r>
      <w:r>
        <w:rPr>
          <w:rFonts w:hint="eastAsia" w:ascii="宋体" w:hAnsi="宋体" w:eastAsia="宋体" w:cs="宋体"/>
          <w:b w:val="0"/>
          <w:bCs w:val="0"/>
          <w:color w:val="auto"/>
          <w:sz w:val="21"/>
          <w:szCs w:val="21"/>
          <w:highlight w:val="none"/>
          <w:lang w:val="zh-CN"/>
        </w:rPr>
        <w:t>支持基于状态的快捷筛选与流程管理：通过状态选择器，支持用户一键筛选待结算、已结算或已取消的账单，直观区分账单处理阶段，辅助完成结算、对账等流程化管理操作；只有完成结算动作，才会从目标账户中扣除相应费用；</w:t>
      </w:r>
    </w:p>
    <w:p w14:paraId="6F318E1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3.11.5.</w:t>
      </w:r>
      <w:r>
        <w:rPr>
          <w:rFonts w:hint="eastAsia" w:ascii="宋体" w:hAnsi="宋体" w:eastAsia="宋体" w:cs="宋体"/>
          <w:b w:val="0"/>
          <w:bCs w:val="0"/>
          <w:color w:val="auto"/>
          <w:sz w:val="21"/>
          <w:szCs w:val="21"/>
          <w:highlight w:val="none"/>
          <w:lang w:val="zh-CN"/>
        </w:rPr>
        <w:t>支持修改结算项，仪器负责人可根据预约者实际使用情况调整收费项目、项目数量或者预约时段；</w:t>
      </w:r>
    </w:p>
    <w:p w14:paraId="5B23DF3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3.11.6.</w:t>
      </w:r>
      <w:r>
        <w:rPr>
          <w:rFonts w:hint="eastAsia" w:ascii="宋体" w:hAnsi="宋体" w:eastAsia="宋体" w:cs="宋体"/>
          <w:b w:val="0"/>
          <w:bCs w:val="0"/>
          <w:color w:val="auto"/>
          <w:sz w:val="21"/>
          <w:szCs w:val="21"/>
          <w:highlight w:val="none"/>
          <w:lang w:val="zh-CN"/>
        </w:rPr>
        <w:t>支持结算修改，支持对已结算账单进行修改，重新结算；</w:t>
      </w:r>
    </w:p>
    <w:p w14:paraId="0A3828DD">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3.11.7.</w:t>
      </w:r>
      <w:r>
        <w:rPr>
          <w:rFonts w:hint="eastAsia" w:ascii="宋体" w:hAnsi="宋体" w:eastAsia="宋体" w:cs="宋体"/>
          <w:b w:val="0"/>
          <w:bCs w:val="0"/>
          <w:color w:val="auto"/>
          <w:sz w:val="21"/>
          <w:szCs w:val="21"/>
          <w:highlight w:val="none"/>
          <w:lang w:val="zh-CN"/>
        </w:rPr>
        <w:t>提供导出、打印结算账单。</w:t>
      </w:r>
    </w:p>
    <w:p w14:paraId="278469DF">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3.12.</w:t>
      </w:r>
      <w:r>
        <w:rPr>
          <w:rFonts w:hint="eastAsia" w:ascii="宋体" w:hAnsi="宋体" w:eastAsia="宋体" w:cs="宋体"/>
          <w:b w:val="0"/>
          <w:bCs w:val="0"/>
          <w:color w:val="auto"/>
          <w:sz w:val="21"/>
          <w:szCs w:val="21"/>
          <w:highlight w:val="none"/>
          <w:lang w:val="zh-CN"/>
        </w:rPr>
        <w:t>提供评价管理</w:t>
      </w:r>
    </w:p>
    <w:p w14:paraId="1DDE63B6">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3.12.1.</w:t>
      </w:r>
      <w:r>
        <w:rPr>
          <w:rFonts w:hint="eastAsia" w:ascii="宋体" w:hAnsi="宋体" w:eastAsia="宋体" w:cs="宋体"/>
          <w:b w:val="0"/>
          <w:bCs w:val="0"/>
          <w:color w:val="auto"/>
          <w:sz w:val="21"/>
          <w:szCs w:val="21"/>
          <w:highlight w:val="none"/>
        </w:rPr>
        <w:t>提供师生评价功能，支持教师与学生评价的分区独立管理：将评价功能分为“教师评价”与“学生评分”两大独立模块，便于针对不同对象进行分类管理与数据隔离；</w:t>
      </w:r>
    </w:p>
    <w:p w14:paraId="77A3EC78">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3.12.2.</w:t>
      </w:r>
      <w:r>
        <w:rPr>
          <w:rFonts w:hint="eastAsia" w:ascii="宋体" w:hAnsi="宋体" w:eastAsia="宋体" w:cs="宋体"/>
          <w:b w:val="0"/>
          <w:bCs w:val="0"/>
          <w:color w:val="auto"/>
          <w:sz w:val="21"/>
          <w:szCs w:val="21"/>
          <w:highlight w:val="none"/>
        </w:rPr>
        <w:t>支持多维度组合搜索：在两个模块中，均可通过姓名与学院等关键信息进行组合查询，快速定位特定教师或学生的评价记录；</w:t>
      </w:r>
    </w:p>
    <w:p w14:paraId="66B3B00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3.12.3.</w:t>
      </w:r>
      <w:r>
        <w:rPr>
          <w:rFonts w:hint="eastAsia" w:ascii="宋体" w:hAnsi="宋体" w:eastAsia="宋体" w:cs="宋体"/>
          <w:b w:val="0"/>
          <w:bCs w:val="0"/>
          <w:color w:val="auto"/>
          <w:sz w:val="21"/>
          <w:szCs w:val="21"/>
          <w:highlight w:val="none"/>
        </w:rPr>
        <w:t>提供全面的评价信息展示与追溯：在教师评价模块中，可查看教师姓名、所属学院、所关联的仪器信息、具体评分、详细评价内容、评价人及评价时间，形成完整的评价闭环；</w:t>
      </w:r>
    </w:p>
    <w:p w14:paraId="1673EC4F">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3.12.4.</w:t>
      </w:r>
      <w:r>
        <w:rPr>
          <w:rFonts w:hint="eastAsia" w:ascii="宋体" w:hAnsi="宋体" w:eastAsia="宋体" w:cs="宋体"/>
          <w:b w:val="0"/>
          <w:bCs w:val="0"/>
          <w:color w:val="auto"/>
          <w:sz w:val="21"/>
          <w:szCs w:val="21"/>
          <w:highlight w:val="none"/>
        </w:rPr>
        <w:t>提供核心评分数据的结构化呈现：在学生评分模块中，可集中查看学生姓名、所属学院、所得评分、评分人及评分时间，聚焦核心评分结果与来源；</w:t>
      </w:r>
    </w:p>
    <w:p w14:paraId="783D5349">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3.12.5.</w:t>
      </w:r>
      <w:r>
        <w:rPr>
          <w:rFonts w:hint="eastAsia" w:ascii="宋体" w:hAnsi="宋体" w:eastAsia="宋体" w:cs="宋体"/>
          <w:b w:val="0"/>
          <w:bCs w:val="0"/>
          <w:color w:val="auto"/>
          <w:sz w:val="21"/>
          <w:szCs w:val="21"/>
          <w:highlight w:val="none"/>
        </w:rPr>
        <w:t>支持评价记录的分页浏览：用户可自定义每页显示条数，并浏览不同页码的评价记录，便于管理大量数据；</w:t>
      </w:r>
    </w:p>
    <w:p w14:paraId="63B10763">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3.12.6.</w:t>
      </w:r>
      <w:r>
        <w:rPr>
          <w:rFonts w:hint="eastAsia" w:ascii="宋体" w:hAnsi="宋体" w:eastAsia="宋体" w:cs="宋体"/>
          <w:b w:val="0"/>
          <w:bCs w:val="0"/>
          <w:color w:val="auto"/>
          <w:sz w:val="21"/>
          <w:szCs w:val="21"/>
          <w:highlight w:val="none"/>
        </w:rPr>
        <w:t>支持评价体系的角色化应用：通过区分教师评价与学生评分，明确评价者与被评价者的角色，构建了双向的评价体系，可用于教学反馈、服务评估等多种场景</w:t>
      </w:r>
    </w:p>
    <w:p w14:paraId="19754226">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3.13.</w:t>
      </w:r>
      <w:r>
        <w:rPr>
          <w:rFonts w:hint="eastAsia" w:ascii="宋体" w:hAnsi="宋体" w:eastAsia="宋体" w:cs="宋体"/>
          <w:b w:val="0"/>
          <w:bCs w:val="0"/>
          <w:color w:val="auto"/>
          <w:sz w:val="21"/>
          <w:szCs w:val="21"/>
          <w:highlight w:val="none"/>
        </w:rPr>
        <w:t>数据</w:t>
      </w:r>
      <w:r>
        <w:rPr>
          <w:rFonts w:hint="eastAsia" w:ascii="宋体" w:hAnsi="宋体" w:eastAsia="宋体" w:cs="宋体"/>
          <w:b w:val="0"/>
          <w:bCs w:val="0"/>
          <w:color w:val="auto"/>
          <w:sz w:val="21"/>
          <w:szCs w:val="21"/>
          <w:highlight w:val="none"/>
          <w:lang w:val="zh-CN"/>
        </w:rPr>
        <w:t>统计</w:t>
      </w:r>
    </w:p>
    <w:p w14:paraId="427775D6">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3.13.1.</w:t>
      </w:r>
      <w:r>
        <w:rPr>
          <w:rFonts w:hint="eastAsia" w:ascii="宋体" w:hAnsi="宋体" w:eastAsia="宋体" w:cs="宋体"/>
          <w:b w:val="0"/>
          <w:bCs w:val="0"/>
          <w:color w:val="auto"/>
          <w:sz w:val="21"/>
          <w:szCs w:val="21"/>
          <w:highlight w:val="none"/>
        </w:rPr>
        <w:t>按流水明细统计</w:t>
      </w:r>
    </w:p>
    <w:p w14:paraId="6E7A053C">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3.13.1.1.</w:t>
      </w:r>
      <w:r>
        <w:rPr>
          <w:rFonts w:hint="eastAsia" w:ascii="宋体" w:hAnsi="宋体" w:eastAsia="宋体" w:cs="宋体"/>
          <w:b w:val="0"/>
          <w:bCs w:val="0"/>
          <w:color w:val="auto"/>
          <w:sz w:val="21"/>
          <w:szCs w:val="21"/>
          <w:highlight w:val="none"/>
        </w:rPr>
        <w:t>▲支持流水明细的多维度组合筛选：允许管理员通过选择学院、预约类型、预约人身份、区域以及起止日期进行精确过滤，并支持输入仪器名称、设备编号或预约人进行搜索。（提供真实软件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4E69057E">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3.13.1.2.</w:t>
      </w:r>
      <w:r>
        <w:rPr>
          <w:rFonts w:hint="eastAsia" w:ascii="宋体" w:hAnsi="宋体" w:eastAsia="宋体" w:cs="宋体"/>
          <w:b w:val="0"/>
          <w:bCs w:val="0"/>
          <w:color w:val="auto"/>
          <w:sz w:val="21"/>
          <w:szCs w:val="21"/>
          <w:highlight w:val="none"/>
        </w:rPr>
        <w:t>支持预约详情全览：详细展示每一条预约记录，涵盖仪器设备信息、所属实验室与学院、预约类型、预约时段、预约机时、样品数量、用电量、预约人、预约人身份、导师、费用、缴费方式、区域等。</w:t>
      </w:r>
    </w:p>
    <w:p w14:paraId="2E04A50A">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3.13.1.3.</w:t>
      </w:r>
      <w:r>
        <w:rPr>
          <w:rFonts w:hint="eastAsia" w:ascii="宋体" w:hAnsi="宋体" w:eastAsia="宋体" w:cs="宋体"/>
          <w:b w:val="0"/>
          <w:bCs w:val="0"/>
          <w:color w:val="auto"/>
          <w:sz w:val="21"/>
          <w:szCs w:val="21"/>
          <w:highlight w:val="none"/>
        </w:rPr>
        <w:t>支持实时数据汇总：实时显示当前筛选条件下的“预约统计”总数及“累计收入”总金额。</w:t>
      </w:r>
    </w:p>
    <w:p w14:paraId="033C4A8D">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3.13.1.4.</w:t>
      </w:r>
      <w:r>
        <w:rPr>
          <w:rFonts w:hint="eastAsia" w:ascii="宋体" w:hAnsi="宋体" w:eastAsia="宋体" w:cs="宋体"/>
          <w:b w:val="0"/>
          <w:bCs w:val="0"/>
          <w:color w:val="auto"/>
          <w:sz w:val="21"/>
          <w:szCs w:val="21"/>
          <w:highlight w:val="none"/>
        </w:rPr>
        <w:t>支持数据导出：提供“导出”功能，可将筛选后的流水明细导出。</w:t>
      </w:r>
    </w:p>
    <w:p w14:paraId="3B04B58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3.13.2.</w:t>
      </w:r>
      <w:r>
        <w:rPr>
          <w:rFonts w:hint="eastAsia" w:ascii="宋体" w:hAnsi="宋体" w:eastAsia="宋体" w:cs="宋体"/>
          <w:b w:val="0"/>
          <w:bCs w:val="0"/>
          <w:color w:val="auto"/>
          <w:sz w:val="21"/>
          <w:szCs w:val="21"/>
          <w:highlight w:val="none"/>
        </w:rPr>
        <w:t>按学院统计</w:t>
      </w:r>
    </w:p>
    <w:p w14:paraId="3EB3C4C5">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3.13.2.1.</w:t>
      </w:r>
      <w:r>
        <w:rPr>
          <w:rFonts w:hint="eastAsia" w:ascii="宋体" w:hAnsi="宋体" w:eastAsia="宋体" w:cs="宋体"/>
          <w:b w:val="0"/>
          <w:bCs w:val="0"/>
          <w:color w:val="auto"/>
          <w:sz w:val="21"/>
          <w:szCs w:val="21"/>
          <w:highlight w:val="none"/>
        </w:rPr>
        <w:t>支持院系级资产效益对比：以学院为单位，横向对比各学院的设备原值、本年度收入、累计总收入、本年度使用机时等关键指标；</w:t>
      </w:r>
    </w:p>
    <w:p w14:paraId="11909F2C">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3.13.2.2.</w:t>
      </w:r>
      <w:r>
        <w:rPr>
          <w:rFonts w:hint="eastAsia" w:ascii="宋体" w:hAnsi="宋体" w:eastAsia="宋体" w:cs="宋体"/>
          <w:b w:val="0"/>
          <w:bCs w:val="0"/>
          <w:color w:val="auto"/>
          <w:sz w:val="21"/>
          <w:szCs w:val="21"/>
          <w:highlight w:val="none"/>
        </w:rPr>
        <w:t>支持核心绩效指标计算：自动计算并展示“年度投资收益率”、“总投资收益率”及“年度利用率”，帮助评估各学院的设备投入产出比；</w:t>
      </w:r>
    </w:p>
    <w:p w14:paraId="74371A25">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3.13.2.3.</w:t>
      </w:r>
      <w:r>
        <w:rPr>
          <w:rFonts w:hint="eastAsia" w:ascii="宋体" w:hAnsi="宋体" w:eastAsia="宋体" w:cs="宋体"/>
          <w:b w:val="0"/>
          <w:bCs w:val="0"/>
          <w:color w:val="auto"/>
          <w:sz w:val="21"/>
          <w:szCs w:val="21"/>
          <w:highlight w:val="none"/>
        </w:rPr>
        <w:t>支持学院名称检索：提供输入框，允许快速查找特定学院的统计报表。</w:t>
      </w:r>
    </w:p>
    <w:p w14:paraId="00F3025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3.13.3.</w:t>
      </w:r>
      <w:r>
        <w:rPr>
          <w:rFonts w:hint="eastAsia" w:ascii="宋体" w:hAnsi="宋体" w:eastAsia="宋体" w:cs="宋体"/>
          <w:b w:val="0"/>
          <w:bCs w:val="0"/>
          <w:color w:val="auto"/>
          <w:sz w:val="21"/>
          <w:szCs w:val="21"/>
          <w:highlight w:val="none"/>
        </w:rPr>
        <w:t>全校年度汇总</w:t>
      </w:r>
    </w:p>
    <w:p w14:paraId="05AE8C78">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3.13.3.1.</w:t>
      </w:r>
      <w:r>
        <w:rPr>
          <w:rFonts w:hint="eastAsia" w:ascii="宋体" w:hAnsi="宋体" w:eastAsia="宋体" w:cs="宋体"/>
          <w:b w:val="0"/>
          <w:bCs w:val="0"/>
          <w:color w:val="auto"/>
          <w:sz w:val="21"/>
          <w:szCs w:val="21"/>
          <w:highlight w:val="none"/>
        </w:rPr>
        <w:t>支持全校年度趋势分析：按年度纵向展示全校共享仪器的整体运营数据，包括设备原值总额、年度收入变化及机时利用情况。</w:t>
      </w:r>
    </w:p>
    <w:p w14:paraId="144F938A">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3.13.3.2.</w:t>
      </w:r>
      <w:r>
        <w:rPr>
          <w:rFonts w:hint="eastAsia" w:ascii="宋体" w:hAnsi="宋体" w:eastAsia="宋体" w:cs="宋体"/>
          <w:b w:val="0"/>
          <w:bCs w:val="0"/>
          <w:color w:val="auto"/>
          <w:sz w:val="21"/>
          <w:szCs w:val="21"/>
          <w:highlight w:val="none"/>
        </w:rPr>
        <w:t>支持统一指标公式展示：页面底部明确列出“年度投资收益率”、“总投资收益率”和“年度利用率”的计算公式及取值规则，确保统计口径透明。</w:t>
      </w:r>
    </w:p>
    <w:p w14:paraId="4BDBE019">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3.13.3.3.</w:t>
      </w:r>
      <w:r>
        <w:rPr>
          <w:rFonts w:hint="eastAsia" w:ascii="宋体" w:hAnsi="宋体" w:eastAsia="宋体" w:cs="宋体"/>
          <w:b w:val="0"/>
          <w:bCs w:val="0"/>
          <w:color w:val="auto"/>
          <w:sz w:val="21"/>
          <w:szCs w:val="21"/>
          <w:highlight w:val="none"/>
        </w:rPr>
        <w:t>支持全校数据导出：提供“导出”功能，支持将全校年度汇总报表导出。</w:t>
      </w:r>
    </w:p>
    <w:p w14:paraId="4D3101CD">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3.13.4.</w:t>
      </w:r>
      <w:r>
        <w:rPr>
          <w:rFonts w:hint="eastAsia" w:ascii="宋体" w:hAnsi="宋体" w:eastAsia="宋体" w:cs="宋体"/>
          <w:b w:val="0"/>
          <w:bCs w:val="0"/>
          <w:color w:val="auto"/>
          <w:sz w:val="21"/>
          <w:szCs w:val="21"/>
          <w:highlight w:val="none"/>
        </w:rPr>
        <w:t>提供数据统计，基于导师、仪器负责人、院系负责人四类角色的职责差异，构建分层数据权限体系，实现统计数据的精准差异化展示；以自主测试和委托测试两大类别，分别展示个人所管理仪器的累计预约次数、总机时、相关消费/收入等核心统计数据，并清晰呈现共享仪器总数，提供全局概览；</w:t>
      </w:r>
    </w:p>
    <w:p w14:paraId="6C1EE81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bookmarkStart w:id="21" w:name="OLE_LINK3"/>
      <w:r>
        <w:rPr>
          <w:rFonts w:hint="eastAsia" w:ascii="宋体" w:hAnsi="宋体" w:eastAsia="宋体" w:cs="宋体"/>
          <w:b w:val="0"/>
          <w:bCs w:val="0"/>
          <w:color w:val="auto"/>
          <w:kern w:val="2"/>
          <w:sz w:val="21"/>
          <w:szCs w:val="21"/>
          <w:highlight w:val="none"/>
          <w:lang w:val="en-US" w:eastAsia="zh-CN" w:bidi="ar-SA"/>
          <w14:ligatures w14:val="standardContextual"/>
        </w:rPr>
        <w:t>3.13.5.</w:t>
      </w:r>
      <w:r>
        <w:rPr>
          <w:rFonts w:hint="eastAsia" w:ascii="宋体" w:hAnsi="宋体" w:eastAsia="宋体" w:cs="宋体"/>
          <w:b w:val="0"/>
          <w:bCs w:val="0"/>
          <w:color w:val="auto"/>
          <w:sz w:val="21"/>
          <w:szCs w:val="21"/>
          <w:highlight w:val="none"/>
        </w:rPr>
        <w:t>提供多维度、可视化的数据统计与分析：在数据统计界面，提供预约次数（近6个月）的趋势折线图，以及仪器预约排行TOP10的对比图表，支持从整体趋势和仪器热度两个维度进行数据分析。</w:t>
      </w:r>
    </w:p>
    <w:p w14:paraId="78BBAE26">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3.14.</w:t>
      </w:r>
      <w:r>
        <w:rPr>
          <w:rFonts w:hint="eastAsia" w:ascii="宋体" w:hAnsi="宋体" w:eastAsia="宋体" w:cs="宋体"/>
          <w:b w:val="0"/>
          <w:bCs w:val="0"/>
          <w:color w:val="auto"/>
          <w:sz w:val="21"/>
          <w:szCs w:val="21"/>
          <w:highlight w:val="none"/>
        </w:rPr>
        <w:t>仪器使用率统计</w:t>
      </w:r>
    </w:p>
    <w:p w14:paraId="5314CD2F">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3.14.1.</w:t>
      </w:r>
      <w:r>
        <w:rPr>
          <w:rFonts w:hint="eastAsia" w:ascii="宋体" w:hAnsi="宋体" w:eastAsia="宋体" w:cs="宋体"/>
          <w:b w:val="0"/>
          <w:bCs w:val="0"/>
          <w:color w:val="auto"/>
          <w:sz w:val="21"/>
          <w:szCs w:val="21"/>
          <w:highlight w:val="none"/>
        </w:rPr>
        <w:t>提供仪器设备使用率统计功能，支持按学院、实验室、仪器类别、仪器状态等多维度筛选查看。统计指标包含仪器总数、已共享仪器数、在用仪器数、闲置仪器数、总使用机时、总使用人次等。</w:t>
      </w:r>
    </w:p>
    <w:p w14:paraId="601054C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3.14.2.</w:t>
      </w:r>
      <w:r>
        <w:rPr>
          <w:rFonts w:hint="eastAsia" w:ascii="宋体" w:hAnsi="宋体" w:eastAsia="宋体" w:cs="宋体"/>
          <w:b w:val="0"/>
          <w:bCs w:val="0"/>
          <w:color w:val="auto"/>
          <w:sz w:val="21"/>
          <w:szCs w:val="21"/>
          <w:highlight w:val="none"/>
        </w:rPr>
        <w:t>支持按时间维度统计：支持按日、周、月、季度、学年、自定义时间段统计仪器使用率，使用率计算口径支持按预约机时 / 实际使用机时 / 开放机时等方式配置。</w:t>
      </w:r>
    </w:p>
    <w:p w14:paraId="6D90FB74">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3.14.3.</w:t>
      </w:r>
      <w:r>
        <w:rPr>
          <w:rFonts w:hint="eastAsia" w:ascii="宋体" w:hAnsi="宋体" w:eastAsia="宋体" w:cs="宋体"/>
          <w:b w:val="0"/>
          <w:bCs w:val="0"/>
          <w:color w:val="auto"/>
          <w:sz w:val="21"/>
          <w:szCs w:val="21"/>
          <w:highlight w:val="none"/>
        </w:rPr>
        <w:t>支持单台仪器使用率分析：可查看单台仪器的使用率、使用频次、使用时段分布、使用者身份分布（教师/学生/校外）、收入情况等详细数据，以图表直观展示。</w:t>
      </w:r>
    </w:p>
    <w:p w14:paraId="6E0B94F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3.14.4.</w:t>
      </w:r>
      <w:r>
        <w:rPr>
          <w:rFonts w:hint="eastAsia" w:ascii="宋体" w:hAnsi="宋体" w:eastAsia="宋体" w:cs="宋体"/>
          <w:b w:val="0"/>
          <w:bCs w:val="0"/>
          <w:color w:val="auto"/>
          <w:sz w:val="21"/>
          <w:szCs w:val="21"/>
          <w:highlight w:val="none"/>
        </w:rPr>
        <w:t>支持仪器使用率趋势分析：以折线图展示使用率随时间的变化趋势，支持同比、环比对比分析，辅助识别使用高峰与闲置时段。</w:t>
      </w:r>
    </w:p>
    <w:p w14:paraId="4D5DA88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3.14.5.</w:t>
      </w:r>
      <w:r>
        <w:rPr>
          <w:rFonts w:hint="eastAsia" w:ascii="宋体" w:hAnsi="宋体" w:eastAsia="宋体" w:cs="宋体"/>
          <w:b w:val="0"/>
          <w:bCs w:val="0"/>
          <w:color w:val="auto"/>
          <w:sz w:val="21"/>
          <w:szCs w:val="21"/>
          <w:highlight w:val="none"/>
        </w:rPr>
        <w:t>支持仪器使用率排行：按使用率从高到低排行展示，支持按学院、仪器类别等分组排行，便于发现低使用率仪器并优化共享策略。</w:t>
      </w:r>
    </w:p>
    <w:p w14:paraId="1D165DA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3.14.6.</w:t>
      </w:r>
      <w:r>
        <w:rPr>
          <w:rFonts w:hint="eastAsia" w:ascii="宋体" w:hAnsi="宋体" w:eastAsia="宋体" w:cs="宋体"/>
          <w:b w:val="0"/>
          <w:bCs w:val="0"/>
          <w:color w:val="auto"/>
          <w:sz w:val="21"/>
          <w:szCs w:val="21"/>
          <w:highlight w:val="none"/>
        </w:rPr>
        <w:t>支持低使用率预警：可设置使用率阈值，当仪器连续指定时间段内使用率低于阈值时，系统自动标记并推送提醒至相关管理人员，辅助闲置设备盘活决策。</w:t>
      </w:r>
    </w:p>
    <w:p w14:paraId="7E1425CF">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3.14.7.</w:t>
      </w:r>
      <w:r>
        <w:rPr>
          <w:rFonts w:hint="eastAsia" w:ascii="宋体" w:hAnsi="宋体" w:eastAsia="宋体" w:cs="宋体"/>
          <w:b w:val="0"/>
          <w:bCs w:val="0"/>
          <w:color w:val="auto"/>
          <w:sz w:val="21"/>
          <w:szCs w:val="21"/>
          <w:highlight w:val="none"/>
        </w:rPr>
        <w:t>支持数据导出与报表生成：各维度统计数据支持一键导出，支持按指定格式生成仪器使用率统计报表。</w:t>
      </w:r>
    </w:p>
    <w:bookmarkEnd w:id="21"/>
    <w:p w14:paraId="65FB7B58">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w:t>
      </w:r>
      <w:r>
        <w:rPr>
          <w:rFonts w:hint="eastAsia" w:ascii="宋体" w:hAnsi="宋体" w:eastAsia="宋体" w:cs="宋体"/>
          <w:b w:val="0"/>
          <w:bCs w:val="0"/>
          <w:color w:val="auto"/>
          <w:sz w:val="21"/>
          <w:szCs w:val="21"/>
          <w:highlight w:val="none"/>
        </w:rPr>
        <w:t>安全准入考试</w:t>
      </w:r>
    </w:p>
    <w:p w14:paraId="7BB7D6A0">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4.1.</w:t>
      </w:r>
      <w:r>
        <w:rPr>
          <w:rFonts w:hint="eastAsia" w:ascii="宋体" w:hAnsi="宋体" w:eastAsia="宋体" w:cs="宋体"/>
          <w:b w:val="0"/>
          <w:bCs w:val="0"/>
          <w:color w:val="auto"/>
          <w:sz w:val="21"/>
          <w:szCs w:val="21"/>
          <w:highlight w:val="none"/>
        </w:rPr>
        <w:t>安全学习</w:t>
      </w:r>
    </w:p>
    <w:p w14:paraId="56B1BB66">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4.1.1.</w:t>
      </w:r>
      <w:r>
        <w:rPr>
          <w:rFonts w:hint="eastAsia" w:ascii="宋体" w:hAnsi="宋体" w:eastAsia="宋体" w:cs="宋体"/>
          <w:b w:val="0"/>
          <w:bCs w:val="0"/>
          <w:color w:val="auto"/>
          <w:sz w:val="21"/>
          <w:szCs w:val="21"/>
          <w:highlight w:val="none"/>
        </w:rPr>
        <w:t>用户在安全认证模块可进行安全学习，包括试题学习、文章学习和视频学习。系统需显示学习进度（已学习课时/应学习课时）。</w:t>
      </w:r>
    </w:p>
    <w:p w14:paraId="3745B70C">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4.1.2.</w:t>
      </w:r>
      <w:r>
        <w:rPr>
          <w:rFonts w:hint="eastAsia" w:ascii="宋体" w:hAnsi="宋体" w:eastAsia="宋体" w:cs="宋体"/>
          <w:b w:val="0"/>
          <w:bCs w:val="0"/>
          <w:color w:val="auto"/>
          <w:sz w:val="21"/>
          <w:szCs w:val="21"/>
          <w:highlight w:val="none"/>
        </w:rPr>
        <w:t>▲试题学习时需支持一键显示或隐藏所有答案，也可单独显示或隐藏某题答案；可按照试题类型（单选题、多选题、判断题）进行查询学习。（提供真实软件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70674057">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4.1.3.</w:t>
      </w:r>
      <w:r>
        <w:rPr>
          <w:rFonts w:hint="eastAsia" w:ascii="宋体" w:hAnsi="宋体" w:eastAsia="宋体" w:cs="宋体"/>
          <w:b w:val="0"/>
          <w:bCs w:val="0"/>
          <w:color w:val="auto"/>
          <w:sz w:val="21"/>
          <w:szCs w:val="21"/>
          <w:highlight w:val="none"/>
        </w:rPr>
        <w:t>文章学习需能按照分类筛选，展示文章标题、上传时间、发布人及分类信息。</w:t>
      </w:r>
    </w:p>
    <w:p w14:paraId="441C4D8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4.1.4.</w:t>
      </w:r>
      <w:r>
        <w:rPr>
          <w:rFonts w:hint="eastAsia" w:ascii="宋体" w:hAnsi="宋体" w:eastAsia="宋体" w:cs="宋体"/>
          <w:b w:val="0"/>
          <w:bCs w:val="0"/>
          <w:color w:val="auto"/>
          <w:sz w:val="21"/>
          <w:szCs w:val="21"/>
          <w:highlight w:val="none"/>
        </w:rPr>
        <w:t>视频学习需以列表形式展示，包含视频缩略图、标题、上传时间、发布人及分类信息；需支持全屏观看。对添加了标注等非编处理的视频，学习时需同步显示标注内容。</w:t>
      </w:r>
    </w:p>
    <w:p w14:paraId="0CD8157C">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4.2.</w:t>
      </w:r>
      <w:r>
        <w:rPr>
          <w:rFonts w:hint="eastAsia" w:ascii="宋体" w:hAnsi="宋体" w:eastAsia="宋体" w:cs="宋体"/>
          <w:b w:val="0"/>
          <w:bCs w:val="0"/>
          <w:color w:val="auto"/>
          <w:sz w:val="21"/>
          <w:szCs w:val="21"/>
          <w:highlight w:val="none"/>
        </w:rPr>
        <w:t>模拟考试</w:t>
      </w:r>
    </w:p>
    <w:p w14:paraId="58BCE1C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4.2.1.</w:t>
      </w:r>
      <w:r>
        <w:rPr>
          <w:rFonts w:hint="eastAsia" w:ascii="宋体" w:hAnsi="宋体" w:eastAsia="宋体" w:cs="宋体"/>
          <w:b w:val="0"/>
          <w:bCs w:val="0"/>
          <w:color w:val="auto"/>
          <w:sz w:val="21"/>
          <w:szCs w:val="21"/>
          <w:highlight w:val="none"/>
        </w:rPr>
        <w:t>提供模拟考试功能，用户在安全认证模块进行模拟考试，按照后台设置的模拟考试参数，自动生成模拟试卷。</w:t>
      </w:r>
    </w:p>
    <w:p w14:paraId="612F78AC">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4.2.2.</w:t>
      </w:r>
      <w:r>
        <w:rPr>
          <w:rFonts w:hint="eastAsia" w:ascii="宋体" w:hAnsi="宋体" w:eastAsia="宋体" w:cs="宋体"/>
          <w:b w:val="0"/>
          <w:bCs w:val="0"/>
          <w:color w:val="auto"/>
          <w:sz w:val="21"/>
          <w:szCs w:val="21"/>
          <w:highlight w:val="none"/>
        </w:rPr>
        <w:t>答题时需提供答题卡导航，按题型分区展示题号，已答和未答题号以不同颜色区分，支持点击题号快速跳转；可按照需要增大或减小字体。交卷后，需能自动阅卷统分。</w:t>
      </w:r>
    </w:p>
    <w:p w14:paraId="75353A58">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4.3.</w:t>
      </w:r>
      <w:r>
        <w:rPr>
          <w:rFonts w:hint="eastAsia" w:ascii="宋体" w:hAnsi="宋体" w:eastAsia="宋体" w:cs="宋体"/>
          <w:b w:val="0"/>
          <w:bCs w:val="0"/>
          <w:color w:val="auto"/>
          <w:sz w:val="21"/>
          <w:szCs w:val="21"/>
          <w:highlight w:val="none"/>
        </w:rPr>
        <w:t>安全认证考试及成绩管理</w:t>
      </w:r>
    </w:p>
    <w:p w14:paraId="160C3656">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4.3.1.</w:t>
      </w:r>
      <w:r>
        <w:rPr>
          <w:rFonts w:hint="eastAsia" w:ascii="宋体" w:hAnsi="宋体" w:eastAsia="宋体" w:cs="宋体"/>
          <w:b w:val="0"/>
          <w:bCs w:val="0"/>
          <w:color w:val="auto"/>
          <w:sz w:val="21"/>
          <w:szCs w:val="21"/>
          <w:highlight w:val="none"/>
        </w:rPr>
        <w:t>提供安全认证考试，用户需在完成规定学时后方可参加考试；考试页面显示当前可参加的考试及开始考试按钮，用户在设置的有效期内参加考试，考试后自动统分。</w:t>
      </w:r>
    </w:p>
    <w:p w14:paraId="6D8D382A">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4.3.2.</w:t>
      </w:r>
      <w:r>
        <w:rPr>
          <w:rFonts w:hint="eastAsia" w:ascii="宋体" w:hAnsi="宋体" w:eastAsia="宋体" w:cs="宋体"/>
          <w:b w:val="0"/>
          <w:bCs w:val="0"/>
          <w:color w:val="auto"/>
          <w:sz w:val="21"/>
          <w:szCs w:val="21"/>
          <w:highlight w:val="none"/>
        </w:rPr>
        <w:t>考试不通过，可重考，重考次数后台需可设置；考试通过后，发放安全认证证书。</w:t>
      </w:r>
    </w:p>
    <w:p w14:paraId="5DB08291">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4.3.3.</w:t>
      </w:r>
      <w:r>
        <w:rPr>
          <w:rFonts w:hint="eastAsia" w:ascii="宋体" w:hAnsi="宋体" w:eastAsia="宋体" w:cs="宋体"/>
          <w:b w:val="0"/>
          <w:bCs w:val="0"/>
          <w:color w:val="auto"/>
          <w:sz w:val="21"/>
          <w:szCs w:val="21"/>
          <w:highlight w:val="none"/>
        </w:rPr>
        <w:t>可在安全认证模块查看自己参加安全考试的次数和成绩，成绩列表需显示考试日期、成绩及考试结果。</w:t>
      </w:r>
    </w:p>
    <w:p w14:paraId="578DD050">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4.4.</w:t>
      </w:r>
      <w:r>
        <w:rPr>
          <w:rFonts w:hint="eastAsia" w:ascii="宋体" w:hAnsi="宋体" w:eastAsia="宋体" w:cs="宋体"/>
          <w:b w:val="0"/>
          <w:bCs w:val="0"/>
          <w:color w:val="auto"/>
          <w:sz w:val="21"/>
          <w:szCs w:val="21"/>
          <w:highlight w:val="none"/>
        </w:rPr>
        <w:t>安全承诺书签署</w:t>
      </w:r>
    </w:p>
    <w:p w14:paraId="767D6C8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4.4.1.</w:t>
      </w:r>
      <w:r>
        <w:rPr>
          <w:rFonts w:hint="eastAsia" w:ascii="宋体" w:hAnsi="宋体" w:eastAsia="宋体" w:cs="宋体"/>
          <w:b w:val="0"/>
          <w:bCs w:val="0"/>
          <w:color w:val="auto"/>
          <w:sz w:val="21"/>
          <w:szCs w:val="21"/>
          <w:highlight w:val="none"/>
        </w:rPr>
        <w:t>提供安全承诺书的在线阅读与签署功能，支持移动端扫码签署；安全承诺书需支持下载。</w:t>
      </w:r>
    </w:p>
    <w:p w14:paraId="44B913E4">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4.5.</w:t>
      </w:r>
      <w:r>
        <w:rPr>
          <w:rFonts w:hint="eastAsia" w:ascii="宋体" w:hAnsi="宋体" w:eastAsia="宋体" w:cs="宋体"/>
          <w:b w:val="0"/>
          <w:bCs w:val="0"/>
          <w:color w:val="auto"/>
          <w:sz w:val="21"/>
          <w:szCs w:val="21"/>
          <w:highlight w:val="none"/>
        </w:rPr>
        <w:t>安全资料库管理</w:t>
      </w:r>
    </w:p>
    <w:p w14:paraId="0B3CE92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4.5.1.</w:t>
      </w:r>
      <w:r>
        <w:rPr>
          <w:rFonts w:hint="eastAsia" w:ascii="宋体" w:hAnsi="宋体" w:eastAsia="宋体" w:cs="宋体"/>
          <w:b w:val="0"/>
          <w:bCs w:val="0"/>
          <w:color w:val="auto"/>
          <w:sz w:val="21"/>
          <w:szCs w:val="21"/>
          <w:highlight w:val="none"/>
        </w:rPr>
        <w:t>提供安全资料库管理，可管理文章、视频等安全资料。</w:t>
      </w:r>
    </w:p>
    <w:p w14:paraId="3AC81531">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4.5.2.</w:t>
      </w:r>
      <w:r>
        <w:rPr>
          <w:rFonts w:hint="eastAsia" w:ascii="宋体" w:hAnsi="宋体" w:eastAsia="宋体" w:cs="宋体"/>
          <w:b w:val="0"/>
          <w:bCs w:val="0"/>
          <w:color w:val="auto"/>
          <w:sz w:val="21"/>
          <w:szCs w:val="21"/>
          <w:highlight w:val="none"/>
        </w:rPr>
        <w:t>文章需能分类管理，可添加子分类，分类不限级别。前台安全学习页面可按分类筛选文章。</w:t>
      </w:r>
    </w:p>
    <w:p w14:paraId="28E1C4D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4.5.3.</w:t>
      </w:r>
      <w:r>
        <w:rPr>
          <w:rFonts w:hint="eastAsia" w:ascii="宋体" w:hAnsi="宋体" w:eastAsia="宋体" w:cs="宋体"/>
          <w:b w:val="0"/>
          <w:bCs w:val="0"/>
          <w:color w:val="auto"/>
          <w:sz w:val="21"/>
          <w:szCs w:val="21"/>
          <w:highlight w:val="none"/>
        </w:rPr>
        <w:t>提供文章新增、编辑、删除功能，新增文章时选择所属分类，添加标题和文章内容，内容需可添加文字、图片等。</w:t>
      </w:r>
    </w:p>
    <w:p w14:paraId="7849C70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4.5.4.</w:t>
      </w:r>
      <w:r>
        <w:rPr>
          <w:rFonts w:hint="eastAsia" w:ascii="宋体" w:hAnsi="宋体" w:eastAsia="宋体" w:cs="宋体"/>
          <w:b w:val="0"/>
          <w:bCs w:val="0"/>
          <w:color w:val="auto"/>
          <w:sz w:val="21"/>
          <w:szCs w:val="21"/>
          <w:highlight w:val="none"/>
        </w:rPr>
        <w:t>支持视频上传，上传时可选择所属分类和标签，支持设置上传格式限制，可查看上传状态和进度。</w:t>
      </w:r>
    </w:p>
    <w:p w14:paraId="4165E7C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4.5.5.</w:t>
      </w:r>
      <w:r>
        <w:rPr>
          <w:rFonts w:hint="eastAsia" w:ascii="宋体" w:hAnsi="宋体" w:eastAsia="宋体" w:cs="宋体"/>
          <w:b w:val="0"/>
          <w:bCs w:val="0"/>
          <w:color w:val="auto"/>
          <w:sz w:val="21"/>
          <w:szCs w:val="21"/>
          <w:highlight w:val="none"/>
        </w:rPr>
        <w:t>提供资源列表管理所有上传到平台的资源，可按资源类型、分类等进行筛选，支持批量删除。资源列表中需可查看每个资源的信息，包括资源类型、大小、播放时长、分辨率、所属分类、上传用户、上传时间，可自动统计该资源被浏览和下载的次数。</w:t>
      </w:r>
    </w:p>
    <w:p w14:paraId="0729840D">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4.5.6.</w:t>
      </w:r>
      <w:r>
        <w:rPr>
          <w:rFonts w:hint="eastAsia" w:ascii="宋体" w:hAnsi="宋体" w:eastAsia="宋体" w:cs="宋体"/>
          <w:b w:val="0"/>
          <w:bCs w:val="0"/>
          <w:color w:val="auto"/>
          <w:sz w:val="21"/>
          <w:szCs w:val="21"/>
          <w:highlight w:val="none"/>
        </w:rPr>
        <w:t>▲视频资源需提供非编管理，方便教师自行编辑视频，非编需包含视频的剪裁、分集、标注、添加字幕等。剪裁需能根据用户需求自行添加分段，填写该段视频名称和分类，获取开始和结束时间，需具有快捷操作方式，如键盘左键可后退、右键可前进、向上键逐秒暂停、向下键取消逐秒暂停等，剪裁结果需能预览和保存；视频标注需可按用户需求添加节点，选择标注的时间并填写标题。（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1F595691">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4.5.7.</w:t>
      </w:r>
      <w:r>
        <w:rPr>
          <w:rFonts w:hint="eastAsia" w:ascii="宋体" w:hAnsi="宋体" w:eastAsia="宋体" w:cs="宋体"/>
          <w:b w:val="0"/>
          <w:bCs w:val="0"/>
          <w:color w:val="auto"/>
          <w:sz w:val="21"/>
          <w:szCs w:val="21"/>
          <w:highlight w:val="none"/>
        </w:rPr>
        <w:t>提供视频封面设置，可自行上传图片作为资源的封面，视频资源上传时需能自动截取视频中的某一画面作为封面，对截图不满意的需支持本地上传图片作为视频的封面。</w:t>
      </w:r>
    </w:p>
    <w:p w14:paraId="415AB9F0">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4.6.</w:t>
      </w:r>
      <w:r>
        <w:rPr>
          <w:rFonts w:hint="eastAsia" w:ascii="宋体" w:hAnsi="宋体" w:eastAsia="宋体" w:cs="宋体"/>
          <w:b w:val="0"/>
          <w:bCs w:val="0"/>
          <w:color w:val="auto"/>
          <w:sz w:val="21"/>
          <w:szCs w:val="21"/>
          <w:highlight w:val="none"/>
        </w:rPr>
        <w:t>安全认证考试管理</w:t>
      </w:r>
    </w:p>
    <w:p w14:paraId="509C0E0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4.6.1.</w:t>
      </w:r>
      <w:r>
        <w:rPr>
          <w:rFonts w:hint="eastAsia" w:ascii="宋体" w:hAnsi="宋体" w:eastAsia="宋体" w:cs="宋体"/>
          <w:b w:val="0"/>
          <w:bCs w:val="0"/>
          <w:color w:val="auto"/>
          <w:sz w:val="21"/>
          <w:szCs w:val="21"/>
          <w:highlight w:val="none"/>
        </w:rPr>
        <w:t>提供考试题库管理，可对试题进行分组管理；支持试题的单个新增、批量导入和导出。</w:t>
      </w:r>
    </w:p>
    <w:p w14:paraId="0DD39E61">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4.6.2.</w:t>
      </w:r>
      <w:r>
        <w:rPr>
          <w:rFonts w:hint="eastAsia" w:ascii="宋体" w:hAnsi="宋体" w:eastAsia="宋体" w:cs="宋体"/>
          <w:b w:val="0"/>
          <w:bCs w:val="0"/>
          <w:color w:val="auto"/>
          <w:sz w:val="21"/>
          <w:szCs w:val="21"/>
          <w:highlight w:val="none"/>
        </w:rPr>
        <w:t>试题类型需支持单选题、多选题和判断题；新增试题时需可进行难度设置，支持选项编辑及正确答案设置，需支持答案解析的编写。</w:t>
      </w:r>
    </w:p>
    <w:p w14:paraId="0A6FB5AD">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4.6.3.</w:t>
      </w:r>
      <w:r>
        <w:rPr>
          <w:rFonts w:hint="eastAsia" w:ascii="宋体" w:hAnsi="宋体" w:eastAsia="宋体" w:cs="宋体"/>
          <w:b w:val="0"/>
          <w:bCs w:val="0"/>
          <w:color w:val="auto"/>
          <w:sz w:val="21"/>
          <w:szCs w:val="21"/>
          <w:highlight w:val="none"/>
        </w:rPr>
        <w:t>支持防作弊和安全认证考试设置，支持设定防作弊机制（如选项顺序随机），设置考试期限、答卷时间（可设为不限）、答卷次数（可设为不限）、总分、及格分、每类题型的题量及难度等基本信息。考试设置需支持勾选是否关联安全承诺书。</w:t>
      </w:r>
    </w:p>
    <w:p w14:paraId="20B3D82C">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4.6.4.</w:t>
      </w:r>
      <w:r>
        <w:rPr>
          <w:rFonts w:hint="eastAsia" w:ascii="宋体" w:hAnsi="宋体" w:eastAsia="宋体" w:cs="宋体"/>
          <w:b w:val="0"/>
          <w:bCs w:val="0"/>
          <w:color w:val="auto"/>
          <w:sz w:val="21"/>
          <w:szCs w:val="21"/>
          <w:highlight w:val="none"/>
        </w:rPr>
        <w:t>根据设定的题目数量和难度，系统自动生成试卷。</w:t>
      </w:r>
    </w:p>
    <w:p w14:paraId="2031A76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4.6.5.</w:t>
      </w:r>
      <w:r>
        <w:rPr>
          <w:rFonts w:hint="eastAsia" w:ascii="宋体" w:hAnsi="宋体" w:eastAsia="宋体" w:cs="宋体"/>
          <w:b w:val="0"/>
          <w:bCs w:val="0"/>
          <w:color w:val="auto"/>
          <w:sz w:val="21"/>
          <w:szCs w:val="21"/>
          <w:highlight w:val="none"/>
        </w:rPr>
        <w:t>▲提供模拟考试设置，模拟考试功能可开启和关闭。可设置模拟考试的基本信息，如总分、及格分、答题时间，以及各题型的试题数量和每题分值。模拟考试的试题来自于考试题库，按照设置的题目数量随机生成。（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67BC0FE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4.6.6.</w:t>
      </w:r>
      <w:r>
        <w:rPr>
          <w:rFonts w:hint="eastAsia" w:ascii="宋体" w:hAnsi="宋体" w:eastAsia="宋体" w:cs="宋体"/>
          <w:b w:val="0"/>
          <w:bCs w:val="0"/>
          <w:color w:val="auto"/>
          <w:sz w:val="21"/>
          <w:szCs w:val="21"/>
          <w:highlight w:val="none"/>
        </w:rPr>
        <w:t>提供考试统计，可统计每次安全认证考试的参加人数、通过人数；通过查看详情可查看每位学生的姓名、学号、考试成绩、是否通过及考试起止时间，支持导出考试记录。</w:t>
      </w:r>
    </w:p>
    <w:p w14:paraId="34BAA47A">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4.7.</w:t>
      </w:r>
      <w:r>
        <w:rPr>
          <w:rFonts w:hint="eastAsia" w:ascii="宋体" w:hAnsi="宋体" w:eastAsia="宋体" w:cs="宋体"/>
          <w:b w:val="0"/>
          <w:bCs w:val="0"/>
          <w:color w:val="auto"/>
          <w:sz w:val="21"/>
          <w:szCs w:val="21"/>
          <w:highlight w:val="none"/>
        </w:rPr>
        <w:t>承诺书设置</w:t>
      </w:r>
    </w:p>
    <w:p w14:paraId="77449F74">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4.7.1.</w:t>
      </w:r>
      <w:r>
        <w:rPr>
          <w:rFonts w:hint="eastAsia" w:ascii="宋体" w:hAnsi="宋体" w:eastAsia="宋体" w:cs="宋体"/>
          <w:b w:val="0"/>
          <w:bCs w:val="0"/>
          <w:color w:val="auto"/>
          <w:sz w:val="21"/>
          <w:szCs w:val="21"/>
          <w:highlight w:val="none"/>
        </w:rPr>
        <w:t>提供承诺书设置，学校可根据实际情况自行编辑承诺书的标题和内容，编辑内容需支持富文本编辑（包括加粗、斜体、下划线、字体、字号、对齐方式、插入链接、图片、表格等），并支持添加附件。</w:t>
      </w:r>
    </w:p>
    <w:p w14:paraId="1EA61BC1">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4.8.</w:t>
      </w:r>
      <w:r>
        <w:rPr>
          <w:rFonts w:hint="eastAsia" w:ascii="宋体" w:hAnsi="宋体" w:eastAsia="宋体" w:cs="宋体"/>
          <w:b w:val="0"/>
          <w:bCs w:val="0"/>
          <w:color w:val="auto"/>
          <w:sz w:val="21"/>
          <w:szCs w:val="21"/>
          <w:highlight w:val="none"/>
        </w:rPr>
        <w:t>认证管理</w:t>
      </w:r>
    </w:p>
    <w:p w14:paraId="65838344">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4.8.1.</w:t>
      </w:r>
      <w:r>
        <w:rPr>
          <w:rFonts w:hint="eastAsia" w:ascii="宋体" w:hAnsi="宋体" w:eastAsia="宋体" w:cs="宋体"/>
          <w:b w:val="0"/>
          <w:bCs w:val="0"/>
          <w:color w:val="auto"/>
          <w:sz w:val="21"/>
          <w:szCs w:val="21"/>
          <w:highlight w:val="none"/>
        </w:rPr>
        <w:t>提供认证管理，可按教师和学生分类查看用户的安全认证情况。</w:t>
      </w:r>
    </w:p>
    <w:p w14:paraId="014FC4D6">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4.8.2.</w:t>
      </w:r>
      <w:r>
        <w:rPr>
          <w:rFonts w:hint="eastAsia" w:ascii="宋体" w:hAnsi="宋体" w:eastAsia="宋体" w:cs="宋体"/>
          <w:b w:val="0"/>
          <w:bCs w:val="0"/>
          <w:color w:val="auto"/>
          <w:sz w:val="21"/>
          <w:szCs w:val="21"/>
          <w:highlight w:val="none"/>
        </w:rPr>
        <w:t>支持查看每个用户的安全认证详情，包括承诺书是否已签署、安全认证考试参加的次数、认证结果、安全认证证书是否已获得。需支持按照承诺书签署情况、安全认证考试结果进行筛选，也可按姓名、工号或学号精准查询，支持数据导出。</w:t>
      </w:r>
    </w:p>
    <w:p w14:paraId="4B7469F2">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4.9.</w:t>
      </w:r>
      <w:r>
        <w:rPr>
          <w:rFonts w:hint="eastAsia" w:ascii="宋体" w:hAnsi="宋体" w:eastAsia="宋体" w:cs="宋体"/>
          <w:b w:val="0"/>
          <w:bCs w:val="0"/>
          <w:color w:val="auto"/>
          <w:sz w:val="21"/>
          <w:szCs w:val="21"/>
          <w:highlight w:val="none"/>
        </w:rPr>
        <w:t>移动端功能</w:t>
      </w:r>
    </w:p>
    <w:p w14:paraId="4A7F60C4">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4.9.1.</w:t>
      </w:r>
      <w:r>
        <w:rPr>
          <w:rFonts w:hint="eastAsia" w:ascii="宋体" w:hAnsi="宋体" w:eastAsia="宋体" w:cs="宋体"/>
          <w:b w:val="0"/>
          <w:bCs w:val="0"/>
          <w:color w:val="auto"/>
          <w:sz w:val="21"/>
          <w:szCs w:val="21"/>
          <w:highlight w:val="none"/>
        </w:rPr>
        <w:t>提供移动端安全学习功能，包括试题学习、文章学习和视频学习，试题学习时可隐藏或显示答案。</w:t>
      </w:r>
    </w:p>
    <w:p w14:paraId="4B6B52E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4.9.2.</w:t>
      </w:r>
      <w:r>
        <w:rPr>
          <w:rFonts w:hint="eastAsia" w:ascii="宋体" w:hAnsi="宋体" w:eastAsia="宋体" w:cs="宋体"/>
          <w:b w:val="0"/>
          <w:bCs w:val="0"/>
          <w:color w:val="auto"/>
          <w:sz w:val="21"/>
          <w:szCs w:val="21"/>
          <w:highlight w:val="none"/>
        </w:rPr>
        <w:t>提供移动端模拟考试功能。</w:t>
      </w:r>
    </w:p>
    <w:p w14:paraId="50C2AB1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4.9.3.</w:t>
      </w:r>
      <w:r>
        <w:rPr>
          <w:rFonts w:hint="eastAsia" w:ascii="宋体" w:hAnsi="宋体" w:eastAsia="宋体" w:cs="宋体"/>
          <w:b w:val="0"/>
          <w:bCs w:val="0"/>
          <w:color w:val="auto"/>
          <w:sz w:val="21"/>
          <w:szCs w:val="21"/>
          <w:highlight w:val="none"/>
        </w:rPr>
        <w:t>提供移动端在线考试功能，支持用户在移动端答题、提交试卷，系统自动阅卷统分。</w:t>
      </w:r>
    </w:p>
    <w:p w14:paraId="7D2FBF3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4.9.4.</w:t>
      </w:r>
      <w:r>
        <w:rPr>
          <w:rFonts w:hint="eastAsia" w:ascii="宋体" w:hAnsi="宋体" w:eastAsia="宋体" w:cs="宋体"/>
          <w:b w:val="0"/>
          <w:bCs w:val="0"/>
          <w:color w:val="auto"/>
          <w:sz w:val="21"/>
          <w:szCs w:val="21"/>
          <w:highlight w:val="none"/>
        </w:rPr>
        <w:t>提供移动端成绩查询功能。</w:t>
      </w:r>
    </w:p>
    <w:p w14:paraId="203FAC4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4.9.5.</w:t>
      </w:r>
      <w:r>
        <w:rPr>
          <w:rFonts w:hint="eastAsia" w:ascii="宋体" w:hAnsi="宋体" w:eastAsia="宋体" w:cs="宋体"/>
          <w:b w:val="0"/>
          <w:bCs w:val="0"/>
          <w:color w:val="auto"/>
          <w:sz w:val="21"/>
          <w:szCs w:val="21"/>
          <w:highlight w:val="none"/>
        </w:rPr>
        <w:t>提供移动端安全承诺书扫描签署功能。</w:t>
      </w:r>
    </w:p>
    <w:p w14:paraId="6C3F0641">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w:t>
      </w:r>
      <w:r>
        <w:rPr>
          <w:rFonts w:hint="eastAsia" w:ascii="宋体" w:hAnsi="宋体" w:eastAsia="宋体" w:cs="宋体"/>
          <w:b w:val="0"/>
          <w:bCs w:val="0"/>
          <w:color w:val="auto"/>
          <w:sz w:val="21"/>
          <w:szCs w:val="21"/>
          <w:highlight w:val="none"/>
        </w:rPr>
        <w:t>实验室开放管理</w:t>
      </w:r>
    </w:p>
    <w:p w14:paraId="48DFD484">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5.1.</w:t>
      </w:r>
      <w:r>
        <w:rPr>
          <w:rFonts w:hint="eastAsia" w:ascii="宋体" w:hAnsi="宋体" w:eastAsia="宋体" w:cs="宋体"/>
          <w:b w:val="0"/>
          <w:bCs w:val="0"/>
          <w:color w:val="auto"/>
          <w:sz w:val="21"/>
          <w:szCs w:val="21"/>
          <w:highlight w:val="none"/>
          <w:lang w:val="zh-CN"/>
        </w:rPr>
        <w:t>实验室开放管理</w:t>
      </w:r>
    </w:p>
    <w:p w14:paraId="4DE8965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5.1.1.</w:t>
      </w:r>
      <w:r>
        <w:rPr>
          <w:rFonts w:hint="eastAsia" w:ascii="宋体" w:hAnsi="宋体" w:eastAsia="宋体" w:cs="宋体"/>
          <w:b w:val="0"/>
          <w:bCs w:val="0"/>
          <w:color w:val="auto"/>
          <w:sz w:val="21"/>
          <w:szCs w:val="21"/>
          <w:highlight w:val="none"/>
        </w:rPr>
        <w:t>支持在实验室开放管理模块直接管理本模块的角色，支持设置用户角色及该模块中的对应权限。</w:t>
      </w:r>
    </w:p>
    <w:p w14:paraId="6EDD090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5.1.2.</w:t>
      </w:r>
      <w:r>
        <w:rPr>
          <w:rFonts w:hint="eastAsia" w:ascii="宋体" w:hAnsi="宋体" w:eastAsia="宋体" w:cs="宋体"/>
          <w:b w:val="0"/>
          <w:bCs w:val="0"/>
          <w:color w:val="auto"/>
          <w:sz w:val="21"/>
          <w:szCs w:val="21"/>
          <w:highlight w:val="none"/>
        </w:rPr>
        <w:t>支持自定义审批流程，可根据预约人员身份、预约时段类型（如工作日、节假日等）配置不同的审批流程。</w:t>
      </w:r>
    </w:p>
    <w:p w14:paraId="13CD7A8C">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5.1.3.</w:t>
      </w:r>
      <w:r>
        <w:rPr>
          <w:rFonts w:hint="eastAsia" w:ascii="宋体" w:hAnsi="宋体" w:eastAsia="宋体" w:cs="宋体"/>
          <w:b w:val="0"/>
          <w:bCs w:val="0"/>
          <w:color w:val="auto"/>
          <w:sz w:val="21"/>
          <w:szCs w:val="21"/>
          <w:highlight w:val="none"/>
        </w:rPr>
        <w:t>▲提供全校实验室预约通用开放时间段设置，支持对节假日开放时间进行自定义管理；开放时间段可新增、编辑和删除。单个实验室可复制校级初始配置。（提供真实软件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202786DF">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5.1.4.</w:t>
      </w:r>
      <w:r>
        <w:rPr>
          <w:rFonts w:hint="eastAsia" w:ascii="宋体" w:hAnsi="宋体" w:eastAsia="宋体" w:cs="宋体"/>
          <w:b w:val="0"/>
          <w:bCs w:val="0"/>
          <w:color w:val="auto"/>
          <w:sz w:val="21"/>
          <w:szCs w:val="21"/>
          <w:highlight w:val="none"/>
        </w:rPr>
        <w:t>提供黑名单管理功能，支持将用户加入黑名单，并设置限制范围（实验室）及限制结束日期，同时支持提前解封黑名单用户。</w:t>
      </w:r>
    </w:p>
    <w:p w14:paraId="276DE84A">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5.1.5.</w:t>
      </w:r>
      <w:r>
        <w:rPr>
          <w:rFonts w:hint="eastAsia" w:ascii="宋体" w:hAnsi="宋体" w:eastAsia="宋体" w:cs="宋体"/>
          <w:b w:val="0"/>
          <w:bCs w:val="0"/>
          <w:color w:val="auto"/>
          <w:sz w:val="21"/>
          <w:szCs w:val="21"/>
          <w:highlight w:val="none"/>
        </w:rPr>
        <w:t>提供节假日管理功能，管理员可维护节假日名称、起止日期等信息，支持维护院系或校级节假日值班表，预约人员可在预约页面查看值班表。</w:t>
      </w:r>
    </w:p>
    <w:p w14:paraId="3E75191A">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5.2.</w:t>
      </w:r>
      <w:r>
        <w:rPr>
          <w:rFonts w:hint="eastAsia" w:ascii="宋体" w:hAnsi="宋体" w:eastAsia="宋体" w:cs="宋体"/>
          <w:b w:val="0"/>
          <w:bCs w:val="0"/>
          <w:color w:val="auto"/>
          <w:sz w:val="21"/>
          <w:szCs w:val="21"/>
          <w:highlight w:val="none"/>
          <w:lang w:val="zh-CN"/>
        </w:rPr>
        <w:t>实验室预约管理</w:t>
      </w:r>
    </w:p>
    <w:p w14:paraId="2D50D97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5.2.1.</w:t>
      </w:r>
      <w:r>
        <w:rPr>
          <w:rFonts w:hint="eastAsia" w:ascii="宋体" w:hAnsi="宋体" w:eastAsia="宋体" w:cs="宋体"/>
          <w:b w:val="0"/>
          <w:bCs w:val="0"/>
          <w:color w:val="auto"/>
          <w:sz w:val="21"/>
          <w:szCs w:val="21"/>
          <w:highlight w:val="none"/>
        </w:rPr>
        <w:t>提供开放实验室信息管理功能，实验室基本信息可从基础信息管理中自动获取，管理员可在此基础上完善照片、介绍、开放时间等设置。</w:t>
      </w:r>
    </w:p>
    <w:p w14:paraId="11B31D4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5.2.2.</w:t>
      </w:r>
      <w:r>
        <w:rPr>
          <w:rFonts w:hint="eastAsia" w:ascii="宋体" w:hAnsi="宋体" w:eastAsia="宋体" w:cs="宋体"/>
          <w:b w:val="0"/>
          <w:bCs w:val="0"/>
          <w:color w:val="auto"/>
          <w:sz w:val="21"/>
          <w:szCs w:val="21"/>
          <w:highlight w:val="none"/>
        </w:rPr>
        <w:t>在实验室非教学时间，支持设置预约对象限制、允许提前预约天数及具体开放日期。可复制校级开放时段配置，也可针对单个实验室单独设置开放时间。</w:t>
      </w:r>
    </w:p>
    <w:p w14:paraId="293826F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5.2.3.</w:t>
      </w:r>
      <w:r>
        <w:rPr>
          <w:rFonts w:hint="eastAsia" w:ascii="宋体" w:hAnsi="宋体" w:eastAsia="宋体" w:cs="宋体"/>
          <w:b w:val="0"/>
          <w:bCs w:val="0"/>
          <w:color w:val="auto"/>
          <w:sz w:val="21"/>
          <w:szCs w:val="21"/>
          <w:highlight w:val="none"/>
        </w:rPr>
        <w:t>▲提供实验室占用管理功能，管理员因会议、节假日等特殊原因需临时占用实验室时，可在平台进行占用设置；支持一次性批量占用多个实验室；支持添加周期性（每周）占用信息。（提供真实软件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2657070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5.2.4.</w:t>
      </w:r>
      <w:r>
        <w:rPr>
          <w:rFonts w:hint="eastAsia" w:ascii="宋体" w:hAnsi="宋体" w:eastAsia="宋体" w:cs="宋体"/>
          <w:b w:val="0"/>
          <w:bCs w:val="0"/>
          <w:color w:val="auto"/>
          <w:sz w:val="21"/>
          <w:szCs w:val="21"/>
          <w:highlight w:val="none"/>
        </w:rPr>
        <w:t>支持设置实验室准入条件，包括校级准入、院级准入、实验室准入，允许选择一个或多个准入条件组合控制。</w:t>
      </w:r>
    </w:p>
    <w:p w14:paraId="73B509C1">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5.3.</w:t>
      </w:r>
      <w:r>
        <w:rPr>
          <w:rFonts w:hint="eastAsia" w:ascii="宋体" w:hAnsi="宋体" w:eastAsia="宋体" w:cs="宋体"/>
          <w:b w:val="0"/>
          <w:bCs w:val="0"/>
          <w:color w:val="auto"/>
          <w:sz w:val="21"/>
          <w:szCs w:val="21"/>
          <w:highlight w:val="none"/>
          <w:lang w:val="zh-CN"/>
        </w:rPr>
        <w:t>实验室预约</w:t>
      </w:r>
    </w:p>
    <w:p w14:paraId="03442123">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5.3.1.</w:t>
      </w:r>
      <w:r>
        <w:rPr>
          <w:rFonts w:hint="eastAsia" w:ascii="宋体" w:hAnsi="宋体" w:eastAsia="宋体" w:cs="宋体"/>
          <w:b w:val="0"/>
          <w:bCs w:val="0"/>
          <w:color w:val="auto"/>
          <w:sz w:val="21"/>
          <w:szCs w:val="21"/>
          <w:highlight w:val="none"/>
        </w:rPr>
        <w:t>提供预约控制：支持全局开放或关闭学生预约功能。</w:t>
      </w:r>
    </w:p>
    <w:p w14:paraId="67B7DE1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5.3.2.</w:t>
      </w:r>
      <w:r>
        <w:rPr>
          <w:rFonts w:hint="eastAsia" w:ascii="宋体" w:hAnsi="宋体" w:eastAsia="宋体" w:cs="宋体"/>
          <w:b w:val="0"/>
          <w:bCs w:val="0"/>
          <w:color w:val="auto"/>
          <w:sz w:val="21"/>
          <w:szCs w:val="21"/>
          <w:highlight w:val="none"/>
        </w:rPr>
        <w:t>在线预约功能：用户可通过网页端选择实验室及使用时间段进行预约。</w:t>
      </w:r>
    </w:p>
    <w:p w14:paraId="13D099F7">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5.3.3.</w:t>
      </w:r>
      <w:r>
        <w:rPr>
          <w:rFonts w:hint="eastAsia" w:ascii="宋体" w:hAnsi="宋体" w:eastAsia="宋体" w:cs="宋体"/>
          <w:b w:val="0"/>
          <w:bCs w:val="0"/>
          <w:color w:val="auto"/>
          <w:sz w:val="21"/>
          <w:szCs w:val="21"/>
          <w:highlight w:val="none"/>
        </w:rPr>
        <w:t>提供实验室列表功能：实验室列表展示所有实验室，实验室列表按可预约状态优先排序、统计并显示该用户已预约的次数；当前不可预约的实验室明确标注具体原因（如暂停开放等）。支持一键筛选当前可预约的实验室。</w:t>
      </w:r>
    </w:p>
    <w:p w14:paraId="60502C1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5.3.4.</w:t>
      </w:r>
      <w:r>
        <w:rPr>
          <w:rFonts w:hint="eastAsia" w:ascii="宋体" w:hAnsi="宋体" w:eastAsia="宋体" w:cs="宋体"/>
          <w:b w:val="0"/>
          <w:bCs w:val="0"/>
          <w:color w:val="auto"/>
          <w:sz w:val="21"/>
          <w:szCs w:val="21"/>
          <w:highlight w:val="none"/>
        </w:rPr>
        <w:t>▲多时段预约：支持同时预约单个实验室的多个日期的多个时间段，预约页面直观展示实验室信息；支持按日期筛选时段，展示未开放、可预约、已占用等时段状态。预约时需选择预约用途，系统根据不同用途类型智能展示对应的填写表单，支持以下场景：预约用途选择：提供下拉选择，包含教学、课题、科研、竞赛、毕设、其他等6种预设用途类型。动态表单联动：根据所选用途类型，系统自动展示对应的字段内容，选择"教学"时，展示"授课班级"选择字段；选择"课题"时，展示"课题名称"选择字段（关联课题组管理模块）；选择"科研"时，展示"科研名称"输入字段；选择"竞赛/毕设/其他"时，展示"备注"输入字段。（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148139A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5.3.5.</w:t>
      </w:r>
      <w:r>
        <w:rPr>
          <w:rFonts w:hint="eastAsia" w:ascii="宋体" w:hAnsi="宋体" w:eastAsia="宋体" w:cs="宋体"/>
          <w:b w:val="0"/>
          <w:bCs w:val="0"/>
          <w:color w:val="auto"/>
          <w:sz w:val="21"/>
          <w:szCs w:val="21"/>
          <w:highlight w:val="none"/>
        </w:rPr>
        <w:t>多类型预约：系统支持两种预约类型，根据校历分为通用预约、节假日预约。通用预约：校历规定的非教学时段（正常工作日的课余时间及周末）；节假日预约：寒暑假及法定节假日期间的特殊预约（需额外审核）。</w:t>
      </w:r>
    </w:p>
    <w:p w14:paraId="3C8C7901">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5.3.6.</w:t>
      </w:r>
      <w:r>
        <w:rPr>
          <w:rFonts w:hint="eastAsia" w:ascii="宋体" w:hAnsi="宋体" w:eastAsia="宋体" w:cs="宋体"/>
          <w:b w:val="0"/>
          <w:bCs w:val="0"/>
          <w:color w:val="auto"/>
          <w:sz w:val="21"/>
          <w:szCs w:val="21"/>
          <w:highlight w:val="none"/>
        </w:rPr>
        <w:t>预约审核流程：提供完整的预约审核功能，支持按审批流程流转。</w:t>
      </w:r>
    </w:p>
    <w:p w14:paraId="740AF8F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5.3.7.</w:t>
      </w:r>
      <w:r>
        <w:rPr>
          <w:rFonts w:hint="eastAsia" w:ascii="宋体" w:hAnsi="宋体" w:eastAsia="宋体" w:cs="宋体"/>
          <w:b w:val="0"/>
          <w:bCs w:val="0"/>
          <w:color w:val="auto"/>
          <w:sz w:val="21"/>
          <w:szCs w:val="21"/>
          <w:highlight w:val="none"/>
        </w:rPr>
        <w:t>预约记录管理：预约人可查看本人预约记录及审核进度；支持撤销未审核的预约、查看审核详情及当前审批人；</w:t>
      </w:r>
    </w:p>
    <w:p w14:paraId="63FD5718">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5.3.8.</w:t>
      </w:r>
      <w:r>
        <w:rPr>
          <w:rFonts w:hint="eastAsia" w:ascii="宋体" w:hAnsi="宋体" w:eastAsia="宋体" w:cs="宋体"/>
          <w:b w:val="0"/>
          <w:bCs w:val="0"/>
          <w:color w:val="auto"/>
          <w:sz w:val="21"/>
          <w:szCs w:val="21"/>
          <w:highlight w:val="none"/>
        </w:rPr>
        <w:t>支持导出预约记录；支持按学院、预约类型、实验室等多维度筛选记录。</w:t>
      </w:r>
    </w:p>
    <w:p w14:paraId="0903253D">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5.4.</w:t>
      </w:r>
      <w:r>
        <w:rPr>
          <w:rFonts w:hint="eastAsia" w:ascii="宋体" w:hAnsi="宋体" w:eastAsia="宋体" w:cs="宋体"/>
          <w:b w:val="0"/>
          <w:bCs w:val="0"/>
          <w:color w:val="auto"/>
          <w:sz w:val="21"/>
          <w:szCs w:val="21"/>
          <w:highlight w:val="none"/>
          <w:lang w:val="zh-CN"/>
        </w:rPr>
        <w:t>数据统计与分析</w:t>
      </w:r>
    </w:p>
    <w:p w14:paraId="58B84FC1">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5.4.1.</w:t>
      </w:r>
      <w:r>
        <w:rPr>
          <w:rFonts w:hint="eastAsia" w:ascii="宋体" w:hAnsi="宋体" w:eastAsia="宋体" w:cs="宋体"/>
          <w:b w:val="0"/>
          <w:bCs w:val="0"/>
          <w:color w:val="auto"/>
          <w:sz w:val="21"/>
          <w:szCs w:val="21"/>
          <w:highlight w:val="none"/>
        </w:rPr>
        <w:t>系统支持记录实验室预约、使用时长等实际使用数据，通过多维度数据分析为管理决策提供支撑。</w:t>
      </w:r>
    </w:p>
    <w:p w14:paraId="75BB8A8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5.4.2.</w:t>
      </w:r>
      <w:r>
        <w:rPr>
          <w:rFonts w:hint="eastAsia" w:ascii="宋体" w:hAnsi="宋体" w:eastAsia="宋体" w:cs="宋体"/>
          <w:b w:val="0"/>
          <w:bCs w:val="0"/>
          <w:color w:val="auto"/>
          <w:sz w:val="21"/>
          <w:szCs w:val="21"/>
          <w:highlight w:val="none"/>
        </w:rPr>
        <w:t>▲支持根据权限查看预约视图，包括周视图、月视图、学期视图。校级管理员可通过学院、实验室、预约人、负责人等条件查询预约数据视图。（提供真实软件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58E43777">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5.4.3.</w:t>
      </w:r>
      <w:r>
        <w:rPr>
          <w:rFonts w:hint="eastAsia" w:ascii="宋体" w:hAnsi="宋体" w:eastAsia="宋体" w:cs="宋体"/>
          <w:b w:val="0"/>
          <w:bCs w:val="0"/>
          <w:color w:val="auto"/>
          <w:sz w:val="21"/>
          <w:szCs w:val="21"/>
          <w:highlight w:val="none"/>
        </w:rPr>
        <w:t>提供多维度实验室预约数据统计，包括但不限于按学院、实验室分级、预约类型、预约时间等维度进行分析。</w:t>
      </w:r>
    </w:p>
    <w:p w14:paraId="4630C20C">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5.4.4.</w:t>
      </w:r>
      <w:r>
        <w:rPr>
          <w:rFonts w:hint="eastAsia" w:ascii="宋体" w:hAnsi="宋体" w:eastAsia="宋体" w:cs="宋体"/>
          <w:b w:val="0"/>
          <w:bCs w:val="0"/>
          <w:color w:val="auto"/>
          <w:sz w:val="21"/>
          <w:szCs w:val="21"/>
          <w:highlight w:val="none"/>
        </w:rPr>
        <w:t>支持按学院统计各实验室不同预约类型情况，数据包括预约人数、预约实验室数、预约次数、预约总时长（小时）、实际使用次数、实际使用总时长（小时）等，并支持导出；支持按实验室统计不同预约类型数据，并支持导出。</w:t>
      </w:r>
    </w:p>
    <w:p w14:paraId="57911CD3">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5.4.5.</w:t>
      </w:r>
      <w:r>
        <w:rPr>
          <w:rFonts w:hint="eastAsia" w:ascii="宋体" w:hAnsi="宋体" w:eastAsia="宋体" w:cs="宋体"/>
          <w:b w:val="0"/>
          <w:bCs w:val="0"/>
          <w:color w:val="auto"/>
          <w:sz w:val="21"/>
          <w:szCs w:val="21"/>
          <w:highlight w:val="none"/>
        </w:rPr>
        <w:t>支持按预约人统计其预约次数与时长，支持按实验室负责人统计其管辖实验室的预约数据，并支持数据导出。</w:t>
      </w:r>
    </w:p>
    <w:p w14:paraId="750BBC04">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5.4.6.</w:t>
      </w:r>
      <w:r>
        <w:rPr>
          <w:rFonts w:hint="eastAsia" w:ascii="宋体" w:hAnsi="宋体" w:eastAsia="宋体" w:cs="宋体"/>
          <w:b w:val="0"/>
          <w:bCs w:val="0"/>
          <w:color w:val="auto"/>
          <w:sz w:val="21"/>
          <w:szCs w:val="21"/>
          <w:highlight w:val="none"/>
        </w:rPr>
        <w:t>支持按学期统计各层级实验室不同预约类型数据，并支持导出。</w:t>
      </w:r>
    </w:p>
    <w:p w14:paraId="3F7A9EA9">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5.5.</w:t>
      </w:r>
      <w:r>
        <w:rPr>
          <w:rFonts w:hint="eastAsia" w:ascii="宋体" w:hAnsi="宋体" w:eastAsia="宋体" w:cs="宋体"/>
          <w:b w:val="0"/>
          <w:bCs w:val="0"/>
          <w:color w:val="auto"/>
          <w:sz w:val="21"/>
          <w:szCs w:val="21"/>
          <w:highlight w:val="none"/>
          <w:lang w:val="zh-CN"/>
        </w:rPr>
        <w:t>移动端功能</w:t>
      </w:r>
    </w:p>
    <w:p w14:paraId="0650E33D">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5.5.1.</w:t>
      </w:r>
      <w:r>
        <w:rPr>
          <w:rFonts w:hint="eastAsia" w:ascii="宋体" w:hAnsi="宋体" w:eastAsia="宋体" w:cs="宋体"/>
          <w:b w:val="0"/>
          <w:bCs w:val="0"/>
          <w:color w:val="auto"/>
          <w:sz w:val="21"/>
          <w:szCs w:val="21"/>
          <w:highlight w:val="none"/>
        </w:rPr>
        <w:t>提供移动端预约功能，可通过手机端选择实验室及使用时间段进行预约，预约时需填写危险源、安全措施等信息，支持上传安全承诺书及项目风险评估表附件（支持图片、PDF格式），并需勾选确认安全承诺后方可提交。预约流程分为三步：选择时间→安全风险评估→提交成功，流程进度实时可视化展示。</w:t>
      </w:r>
    </w:p>
    <w:p w14:paraId="0FBB3A0C">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5.5.2.</w:t>
      </w:r>
      <w:r>
        <w:rPr>
          <w:rFonts w:hint="eastAsia" w:ascii="宋体" w:hAnsi="宋体" w:eastAsia="宋体" w:cs="宋体"/>
          <w:b w:val="0"/>
          <w:bCs w:val="0"/>
          <w:color w:val="auto"/>
          <w:sz w:val="21"/>
          <w:szCs w:val="21"/>
          <w:highlight w:val="none"/>
        </w:rPr>
        <w:t>▲移动端支持多时段预约：用户可同时预约单个实验室的多个日期的多个时间段，时段以网格形式直观展示，未开放、可预约、已占用、已选择四种状态以不同颜色区分；已选时段以列表形式展示，支持逐条删除调整。（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5AEA103D">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5.5.3.</w:t>
      </w:r>
      <w:r>
        <w:rPr>
          <w:rFonts w:hint="eastAsia" w:ascii="宋体" w:hAnsi="宋体" w:eastAsia="宋体" w:cs="宋体"/>
          <w:b w:val="0"/>
          <w:bCs w:val="0"/>
          <w:color w:val="auto"/>
          <w:sz w:val="21"/>
          <w:szCs w:val="21"/>
          <w:highlight w:val="none"/>
        </w:rPr>
        <w:t>提供移动端预约记录管理：以卡片形式展示提交时间、审核状态、实验室名称、预约时段等信息；支持按实验室名称搜索及多维度筛选；支持查看审核详情及当前审批人。</w:t>
      </w:r>
    </w:p>
    <w:p w14:paraId="7C5BE533">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5.5.4.</w:t>
      </w:r>
      <w:r>
        <w:rPr>
          <w:rFonts w:hint="eastAsia" w:ascii="宋体" w:hAnsi="宋体" w:eastAsia="宋体" w:cs="宋体"/>
          <w:b w:val="0"/>
          <w:bCs w:val="0"/>
          <w:color w:val="auto"/>
          <w:sz w:val="21"/>
          <w:szCs w:val="21"/>
          <w:highlight w:val="none"/>
        </w:rPr>
        <w:t>提供移动端预约审核功能。</w:t>
      </w:r>
    </w:p>
    <w:p w14:paraId="5E38DED6">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w:t>
      </w:r>
      <w:r>
        <w:rPr>
          <w:rFonts w:hint="eastAsia" w:ascii="宋体" w:hAnsi="宋体" w:eastAsia="宋体" w:cs="宋体"/>
          <w:b w:val="0"/>
          <w:bCs w:val="0"/>
          <w:color w:val="auto"/>
          <w:sz w:val="21"/>
          <w:szCs w:val="21"/>
          <w:highlight w:val="none"/>
        </w:rPr>
        <w:t>安全检查</w:t>
      </w:r>
    </w:p>
    <w:p w14:paraId="46C99B79">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6.1.</w:t>
      </w:r>
      <w:r>
        <w:rPr>
          <w:rFonts w:hint="eastAsia" w:ascii="宋体" w:hAnsi="宋体" w:eastAsia="宋体" w:cs="宋体"/>
          <w:b w:val="0"/>
          <w:bCs w:val="0"/>
          <w:color w:val="auto"/>
          <w:sz w:val="21"/>
          <w:szCs w:val="21"/>
          <w:highlight w:val="none"/>
          <w:lang w:val="zh-CN"/>
        </w:rPr>
        <w:t>安全检查设置与管理</w:t>
      </w:r>
    </w:p>
    <w:p w14:paraId="3F5E41B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6.1.1.</w:t>
      </w:r>
      <w:r>
        <w:rPr>
          <w:rFonts w:hint="eastAsia" w:ascii="宋体" w:hAnsi="宋体" w:eastAsia="宋体" w:cs="宋体"/>
          <w:b w:val="0"/>
          <w:bCs w:val="0"/>
          <w:color w:val="auto"/>
          <w:sz w:val="21"/>
          <w:szCs w:val="21"/>
          <w:highlight w:val="none"/>
        </w:rPr>
        <w:t>标准化与自定义检查库</w:t>
      </w:r>
    </w:p>
    <w:p w14:paraId="3A7BF6C3">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▲系统内置教育部发布的标准化安全检查项，并支持学校根据实际管理需求灵活增减、自定义配置检查内容。该标准库全面适配日常检查、部门（院系）检查及专项检查等各类检查场景。（提供真实软件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7B61FC87">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p>
    <w:p w14:paraId="5F01D646">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6.1.2.</w:t>
      </w:r>
      <w:r>
        <w:rPr>
          <w:rFonts w:hint="eastAsia" w:ascii="宋体" w:hAnsi="宋体" w:eastAsia="宋体" w:cs="宋体"/>
          <w:b w:val="0"/>
          <w:bCs w:val="0"/>
          <w:color w:val="auto"/>
          <w:sz w:val="21"/>
          <w:szCs w:val="21"/>
          <w:highlight w:val="none"/>
        </w:rPr>
        <w:t>日常检查配置</w:t>
      </w:r>
    </w:p>
    <w:p w14:paraId="6486290C">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支持周期化任务配置，默认按日生成计划；系统可自动结合教务日历剔除节假日与寒暑假，实现检查计划的自动化排期，提供自动生成开关；支持通过站内信等多通道推送任务提醒，并可定期向指定人员推送日常检查报告。</w:t>
      </w:r>
    </w:p>
    <w:p w14:paraId="09E1A79A">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6.1.3.</w:t>
      </w:r>
      <w:r>
        <w:rPr>
          <w:rFonts w:hint="eastAsia" w:ascii="宋体" w:hAnsi="宋体" w:eastAsia="宋体" w:cs="宋体"/>
          <w:b w:val="0"/>
          <w:bCs w:val="0"/>
          <w:color w:val="auto"/>
          <w:sz w:val="21"/>
          <w:szCs w:val="21"/>
          <w:highlight w:val="none"/>
        </w:rPr>
        <w:t>部门（院系）检查管理</w:t>
      </w:r>
    </w:p>
    <w:p w14:paraId="30E76430">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具备管理层级督办机制，对未按时发起的检查活动，自动向实验室中心主任发送预警提醒；支持多维度检索及查看全链路检查信息（含发起人、时间、范围、结果等），并支持批量删除记录；支持定期推送部门检查报告。</w:t>
      </w:r>
    </w:p>
    <w:p w14:paraId="37FB437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6.1.4.</w:t>
      </w:r>
      <w:r>
        <w:rPr>
          <w:rFonts w:hint="eastAsia" w:ascii="宋体" w:hAnsi="宋体" w:eastAsia="宋体" w:cs="宋体"/>
          <w:b w:val="0"/>
          <w:bCs w:val="0"/>
          <w:color w:val="auto"/>
          <w:sz w:val="21"/>
          <w:szCs w:val="21"/>
          <w:highlight w:val="none"/>
        </w:rPr>
        <w:t>专项检查管理</w:t>
      </w:r>
    </w:p>
    <w:p w14:paraId="3D588872">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面向特定安全主题设立专项任务，提供未发起检查的定向领导督办提醒；支持对专项检查进行全流程深度管理与复盘，可查看包括发起详情、检查结果在内的完整信息，支持组合检索与记录清理；支持定期向决策层推送专项检查报告。</w:t>
      </w:r>
    </w:p>
    <w:p w14:paraId="0877513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6.1.5.</w:t>
      </w:r>
      <w:r>
        <w:rPr>
          <w:rFonts w:hint="eastAsia" w:ascii="宋体" w:hAnsi="宋体" w:eastAsia="宋体" w:cs="宋体"/>
          <w:b w:val="0"/>
          <w:bCs w:val="0"/>
          <w:color w:val="auto"/>
          <w:sz w:val="21"/>
          <w:szCs w:val="21"/>
          <w:highlight w:val="none"/>
        </w:rPr>
        <w:t>值日打卡设置与管理</w:t>
      </w:r>
    </w:p>
    <w:p w14:paraId="647254C2">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6.1.5.1.</w:t>
      </w:r>
      <w:r>
        <w:rPr>
          <w:rFonts w:hint="eastAsia" w:ascii="宋体" w:hAnsi="宋体" w:eastAsia="宋体" w:cs="宋体"/>
          <w:b w:val="0"/>
          <w:bCs w:val="0"/>
          <w:color w:val="auto"/>
          <w:sz w:val="21"/>
          <w:szCs w:val="21"/>
          <w:highlight w:val="none"/>
        </w:rPr>
        <w:t>▲结合教育部一二级风险实验室“实验结束必巡”的要求，支持各实验室负责人设置安全员（或值日学生）负责每日安全值日并打卡记录，进行安全自检，登记检查信息，包括“四防五关一查”、需求报告、异常报告等，自动形成值日台账；（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112A8AC5">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6.1.5.2.</w:t>
      </w:r>
      <w:r>
        <w:rPr>
          <w:rFonts w:hint="eastAsia" w:ascii="宋体" w:hAnsi="宋体" w:eastAsia="宋体" w:cs="宋体"/>
          <w:b w:val="0"/>
          <w:bCs w:val="0"/>
          <w:color w:val="auto"/>
          <w:sz w:val="21"/>
          <w:szCs w:val="21"/>
          <w:highlight w:val="none"/>
        </w:rPr>
        <w:t>系统可将当日值日情况反馈给实验室负责人，每周汇总形成周报（可编辑），实验室负责人确认后提交给实验室中心负责人，学院每月督促检查，支持查询台账记录；</w:t>
      </w:r>
    </w:p>
    <w:p w14:paraId="281A5773">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6.1.5.3.</w:t>
      </w:r>
      <w:r>
        <w:rPr>
          <w:rFonts w:hint="eastAsia" w:ascii="宋体" w:hAnsi="宋体" w:eastAsia="宋体" w:cs="宋体"/>
          <w:b w:val="0"/>
          <w:bCs w:val="0"/>
          <w:color w:val="auto"/>
          <w:sz w:val="21"/>
          <w:szCs w:val="21"/>
          <w:highlight w:val="none"/>
        </w:rPr>
        <w:t>提供移动端操作，支持值日人员搜索实验室，并进行相关实验室的值日打卡操作；</w:t>
      </w:r>
    </w:p>
    <w:p w14:paraId="15998CE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6.1.5.4.</w:t>
      </w:r>
      <w:r>
        <w:rPr>
          <w:rFonts w:hint="eastAsia" w:ascii="宋体" w:hAnsi="宋体" w:eastAsia="宋体" w:cs="宋体"/>
          <w:b w:val="0"/>
          <w:bCs w:val="0"/>
          <w:color w:val="auto"/>
          <w:sz w:val="21"/>
          <w:szCs w:val="21"/>
          <w:highlight w:val="none"/>
        </w:rPr>
        <w:t>提供值日台账，汇总显示所有值日打卡记录，包括日期、实验室、打卡时间、打开状态、打卡人、四防检查、五关检查、一查检查、检查结果、需求报告、隐患报告等信息；支持按时间、打卡状态、打卡人、实验室等维度检索；支持导出Excel文件；</w:t>
      </w:r>
    </w:p>
    <w:p w14:paraId="3EBE4CC2">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6.1.5.5.</w:t>
      </w:r>
      <w:r>
        <w:rPr>
          <w:rFonts w:hint="eastAsia" w:ascii="宋体" w:hAnsi="宋体" w:eastAsia="宋体" w:cs="宋体"/>
          <w:b w:val="0"/>
          <w:bCs w:val="0"/>
          <w:color w:val="auto"/>
          <w:sz w:val="21"/>
          <w:szCs w:val="21"/>
          <w:highlight w:val="none"/>
        </w:rPr>
        <w:t>提供值日周报，系统根据每日台账数据，每周自动汇总生成实验室安全周报，内容包含实验室名称、检查次数、异常问题数量、整改完成率等统计指标，实验室负责人在线审核周报内容，确认数据准确性后提交至学院层级；</w:t>
      </w:r>
    </w:p>
    <w:p w14:paraId="25939116">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6.1.5.6.</w:t>
      </w:r>
      <w:r>
        <w:rPr>
          <w:rFonts w:hint="eastAsia" w:ascii="宋体" w:hAnsi="宋体" w:eastAsia="宋体" w:cs="宋体"/>
          <w:b w:val="0"/>
          <w:bCs w:val="0"/>
          <w:color w:val="auto"/>
          <w:sz w:val="21"/>
          <w:szCs w:val="21"/>
          <w:highlight w:val="none"/>
        </w:rPr>
        <w:t>提供值日打卡规则配置，可在系统配置值日打卡规则，检查人员可指定实验室安全员或学生。</w:t>
      </w:r>
    </w:p>
    <w:p w14:paraId="2931ADF8">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6.1.6.</w:t>
      </w:r>
      <w:r>
        <w:rPr>
          <w:rFonts w:hint="eastAsia" w:ascii="宋体" w:hAnsi="宋体" w:eastAsia="宋体" w:cs="宋体"/>
          <w:b w:val="0"/>
          <w:bCs w:val="0"/>
          <w:color w:val="auto"/>
          <w:sz w:val="21"/>
          <w:szCs w:val="21"/>
          <w:highlight w:val="none"/>
        </w:rPr>
        <w:t>安全检查配置管理</w:t>
      </w:r>
    </w:p>
    <w:p w14:paraId="71EBC6AD">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6.1.6.1.</w:t>
      </w:r>
      <w:r>
        <w:rPr>
          <w:rFonts w:hint="eastAsia" w:ascii="宋体" w:hAnsi="宋体" w:eastAsia="宋体" w:cs="宋体"/>
          <w:b w:val="0"/>
          <w:bCs w:val="0"/>
          <w:color w:val="auto"/>
          <w:sz w:val="21"/>
          <w:szCs w:val="21"/>
          <w:highlight w:val="none"/>
        </w:rPr>
        <w:t>提供异常隐患类型管理，可自定义隐患类型，包含隐患信息及描述，可新增、编辑、删除和查找隐患类型；</w:t>
      </w:r>
    </w:p>
    <w:p w14:paraId="7D31D4E7">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6.1.6.2.</w:t>
      </w:r>
      <w:r>
        <w:rPr>
          <w:rFonts w:hint="eastAsia" w:ascii="宋体" w:hAnsi="宋体" w:eastAsia="宋体" w:cs="宋体"/>
          <w:b w:val="0"/>
          <w:bCs w:val="0"/>
          <w:color w:val="auto"/>
          <w:sz w:val="21"/>
          <w:szCs w:val="21"/>
          <w:highlight w:val="none"/>
        </w:rPr>
        <w:t>提供安全隐患级别管理，可自定义隐患级别，每个隐患级别可添加处理意见，隐患级别可新增、编辑、删除或查询；</w:t>
      </w:r>
    </w:p>
    <w:p w14:paraId="7BC19E12">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6.1.6.3.</w:t>
      </w:r>
      <w:r>
        <w:rPr>
          <w:rFonts w:hint="eastAsia" w:ascii="宋体" w:hAnsi="宋体" w:eastAsia="宋体" w:cs="宋体"/>
          <w:b w:val="0"/>
          <w:bCs w:val="0"/>
          <w:color w:val="auto"/>
          <w:sz w:val="21"/>
          <w:szCs w:val="21"/>
          <w:highlight w:val="none"/>
        </w:rPr>
        <w:t>提供检查项目库管理，系统内置教育部高等学校实验室安全检查项目表，支持自主创建、编辑和维护个性化的检查项目，实现基础检查指标库的信息化管理；实现开展检查上报隐患项时关联检查指标；</w:t>
      </w:r>
    </w:p>
    <w:p w14:paraId="4DDA17FE">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6.1.6.4.</w:t>
      </w:r>
      <w:r>
        <w:rPr>
          <w:rFonts w:hint="eastAsia" w:ascii="宋体" w:hAnsi="宋体" w:eastAsia="宋体" w:cs="宋体"/>
          <w:b w:val="0"/>
          <w:bCs w:val="0"/>
          <w:color w:val="auto"/>
          <w:sz w:val="21"/>
          <w:szCs w:val="21"/>
          <w:highlight w:val="none"/>
        </w:rPr>
        <w:t>提供隐患审核流程管理，支持用户自定义设置隐患处理审核的流程；</w:t>
      </w:r>
    </w:p>
    <w:p w14:paraId="42D74410">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6.1.6.5.</w:t>
      </w:r>
      <w:r>
        <w:rPr>
          <w:rFonts w:hint="eastAsia" w:ascii="宋体" w:hAnsi="宋体" w:eastAsia="宋体" w:cs="宋体"/>
          <w:b w:val="0"/>
          <w:bCs w:val="0"/>
          <w:color w:val="auto"/>
          <w:sz w:val="21"/>
          <w:szCs w:val="21"/>
          <w:highlight w:val="none"/>
        </w:rPr>
        <w:t>提供通知管理，包括隐患提交通知和隐患复核通知，支持自定义设定通知目标。</w:t>
      </w:r>
    </w:p>
    <w:p w14:paraId="575AFD04">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6.1.7.</w:t>
      </w:r>
      <w:r>
        <w:rPr>
          <w:rFonts w:hint="eastAsia" w:ascii="宋体" w:hAnsi="宋体" w:eastAsia="宋体" w:cs="宋体"/>
          <w:b w:val="0"/>
          <w:bCs w:val="0"/>
          <w:color w:val="auto"/>
          <w:sz w:val="21"/>
          <w:szCs w:val="21"/>
          <w:highlight w:val="none"/>
        </w:rPr>
        <w:t>安全监督管理</w:t>
      </w:r>
    </w:p>
    <w:p w14:paraId="58A96F2C">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6.1.7.1.</w:t>
      </w:r>
      <w:r>
        <w:rPr>
          <w:rFonts w:hint="eastAsia" w:ascii="宋体" w:hAnsi="宋体" w:eastAsia="宋体" w:cs="宋体"/>
          <w:b w:val="0"/>
          <w:bCs w:val="0"/>
          <w:color w:val="auto"/>
          <w:sz w:val="21"/>
          <w:szCs w:val="21"/>
          <w:highlight w:val="none"/>
        </w:rPr>
        <w:t>安全监督包含随手拍和安全月报。</w:t>
      </w:r>
    </w:p>
    <w:p w14:paraId="771ADA53">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6.1.7.2.</w:t>
      </w:r>
      <w:r>
        <w:rPr>
          <w:rFonts w:hint="eastAsia" w:ascii="宋体" w:hAnsi="宋体" w:eastAsia="宋体" w:cs="宋体"/>
          <w:b w:val="0"/>
          <w:bCs w:val="0"/>
          <w:color w:val="auto"/>
          <w:sz w:val="21"/>
          <w:szCs w:val="21"/>
          <w:highlight w:val="none"/>
        </w:rPr>
        <w:t>提供随手拍，用户可随时在移动端或PC端发起随手拍，向实验室负责人上报发现的安全隐患信息及照片；支持按流水、按实训室、按学院维度显示所有的随手拍记录；支持按院级、隐患类型、上报时间、上报人等条件检索；支持导出Excel文件；</w:t>
      </w:r>
    </w:p>
    <w:p w14:paraId="5C369F35">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6.1.7.3.</w:t>
      </w:r>
      <w:r>
        <w:rPr>
          <w:rFonts w:hint="eastAsia" w:ascii="宋体" w:hAnsi="宋体" w:eastAsia="宋体" w:cs="宋体"/>
          <w:b w:val="0"/>
          <w:bCs w:val="0"/>
          <w:color w:val="auto"/>
          <w:sz w:val="21"/>
          <w:szCs w:val="21"/>
          <w:highlight w:val="none"/>
        </w:rPr>
        <w:t>提供安全月报，可基于日常的检查情况生成学院的安全月报，上报学校管理部门审核；系统根据每日数据，每月自动生成实验室安全月报，报告内容包含上报时间、月份、上报人、学院、实验室数量、检查次数、隐患项数、整改处理等统计指标及详情；支持按流水、按学院维度展示所有月报记录；支持按月份、院系、上报人等维度进行安全月报检索。</w:t>
      </w:r>
    </w:p>
    <w:p w14:paraId="3686943D">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6.1.8.</w:t>
      </w:r>
      <w:r>
        <w:rPr>
          <w:rFonts w:hint="eastAsia" w:ascii="宋体" w:hAnsi="宋体" w:eastAsia="宋体" w:cs="宋体"/>
          <w:b w:val="0"/>
          <w:bCs w:val="0"/>
          <w:color w:val="auto"/>
          <w:sz w:val="21"/>
          <w:szCs w:val="21"/>
          <w:highlight w:val="none"/>
        </w:rPr>
        <w:t>数据统计与分析</w:t>
      </w:r>
    </w:p>
    <w:p w14:paraId="63F1B5C9">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6.1.8.1.</w:t>
      </w:r>
      <w:r>
        <w:rPr>
          <w:rFonts w:hint="eastAsia" w:ascii="宋体" w:hAnsi="宋体" w:eastAsia="宋体" w:cs="宋体"/>
          <w:b w:val="0"/>
          <w:bCs w:val="0"/>
          <w:color w:val="auto"/>
          <w:sz w:val="21"/>
          <w:szCs w:val="21"/>
          <w:highlight w:val="none"/>
        </w:rPr>
        <w:t>管理后台提供安全检查的全部数据统计与分析</w:t>
      </w:r>
    </w:p>
    <w:p w14:paraId="4AD7C0C0">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6.1.8.2.</w:t>
      </w:r>
      <w:r>
        <w:rPr>
          <w:rFonts w:hint="eastAsia" w:ascii="宋体" w:hAnsi="宋体" w:eastAsia="宋体" w:cs="宋体"/>
          <w:b w:val="0"/>
          <w:bCs w:val="0"/>
          <w:color w:val="auto"/>
          <w:sz w:val="21"/>
          <w:szCs w:val="21"/>
          <w:highlight w:val="none"/>
        </w:rPr>
        <w:t>支持以表格形式集中呈现实验室日常/部门/专项检查记录，内容包含编号、实训室名称、所属院系、负责人、检查次数、隐患数量等关键字段，默认按检查日期排序，支持用户快速定位目标实验室的检查概况。</w:t>
      </w:r>
    </w:p>
    <w:p w14:paraId="520A72B2">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6.1.8.3.</w:t>
      </w:r>
      <w:r>
        <w:rPr>
          <w:rFonts w:hint="eastAsia" w:ascii="宋体" w:hAnsi="宋体" w:eastAsia="宋体" w:cs="宋体"/>
          <w:b w:val="0"/>
          <w:bCs w:val="0"/>
          <w:color w:val="auto"/>
          <w:sz w:val="21"/>
          <w:szCs w:val="21"/>
          <w:highlight w:val="none"/>
        </w:rPr>
        <w:t>提供按院系、实验室名称、检查日期等字段组合筛选条件，可通过搜索框或下拉菜单精准过滤数据，满足按周、月或特定实验室的统计数据求。</w:t>
      </w:r>
    </w:p>
    <w:p w14:paraId="75DEF48C">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6.1.8.4.</w:t>
      </w:r>
      <w:r>
        <w:rPr>
          <w:rFonts w:hint="eastAsia" w:ascii="宋体" w:hAnsi="宋体" w:eastAsia="宋体" w:cs="宋体"/>
          <w:b w:val="0"/>
          <w:bCs w:val="0"/>
          <w:color w:val="auto"/>
          <w:sz w:val="21"/>
          <w:szCs w:val="21"/>
          <w:highlight w:val="none"/>
        </w:rPr>
        <w:t>▲数据统计提供“选择导出”和“全部导出”功能，用户可批量勾选单条或多条检查记录，或直接导出当前筛选条件下的全部数据，生成标准化Excel格式文件，便于存档、汇报或进一步分析。（提供真实软件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05588F8E">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6.1.8.5.</w:t>
      </w:r>
      <w:r>
        <w:rPr>
          <w:rFonts w:hint="eastAsia" w:ascii="宋体" w:hAnsi="宋体" w:eastAsia="宋体" w:cs="宋体"/>
          <w:b w:val="0"/>
          <w:bCs w:val="0"/>
          <w:color w:val="auto"/>
          <w:sz w:val="21"/>
          <w:szCs w:val="21"/>
          <w:highlight w:val="none"/>
        </w:rPr>
        <w:t>系统提供深度的隐患分析功能。各检查项通过‘隐患数’字段直观展示安全隐患的发生频次，并支持穿透查看详情，涵盖涉事实验室、所属学院及具体统计数量，从而赋能管理层精准定位问题，提升决策效率。</w:t>
      </w:r>
    </w:p>
    <w:p w14:paraId="3187F542">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6.1.8.6.</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数据统计结果支持联动系统“隐患分析”模块生成可视化图表，并为周报、月报提供数据基础，辅助学院层级监督整改进度及管理效能评估。（提供真实软件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47D8A112">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6.2.</w:t>
      </w:r>
      <w:r>
        <w:rPr>
          <w:rFonts w:hint="eastAsia" w:ascii="宋体" w:hAnsi="宋体" w:eastAsia="宋体" w:cs="宋体"/>
          <w:b w:val="0"/>
          <w:bCs w:val="0"/>
          <w:color w:val="auto"/>
          <w:sz w:val="21"/>
          <w:szCs w:val="21"/>
          <w:highlight w:val="none"/>
          <w:lang w:val="zh-CN"/>
        </w:rPr>
        <w:t>安全检查</w:t>
      </w:r>
    </w:p>
    <w:p w14:paraId="5CA7FCF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6.2.1.</w:t>
      </w:r>
      <w:r>
        <w:rPr>
          <w:rFonts w:hint="eastAsia" w:ascii="宋体" w:hAnsi="宋体" w:eastAsia="宋体" w:cs="宋体"/>
          <w:b w:val="0"/>
          <w:bCs w:val="0"/>
          <w:color w:val="auto"/>
          <w:sz w:val="21"/>
          <w:szCs w:val="21"/>
          <w:highlight w:val="none"/>
        </w:rPr>
        <w:t>日常检查</w:t>
      </w:r>
    </w:p>
    <w:p w14:paraId="339F756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6.2.1.1.</w:t>
      </w:r>
      <w:r>
        <w:rPr>
          <w:rFonts w:hint="eastAsia" w:ascii="宋体" w:hAnsi="宋体" w:eastAsia="宋体" w:cs="宋体"/>
          <w:b w:val="0"/>
          <w:bCs w:val="0"/>
          <w:color w:val="auto"/>
          <w:sz w:val="21"/>
          <w:szCs w:val="21"/>
          <w:highlight w:val="none"/>
        </w:rPr>
        <w:t>提供日常检查功能，实验室负责人对自己负责的实验室进行日常检查，默认检查结果正常；若有隐患，可选择有隐患的检查项，上传现场照片或视频，标记标记“异常”状态；</w:t>
      </w:r>
    </w:p>
    <w:p w14:paraId="0766DD30">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6.2.1.2.</w:t>
      </w:r>
      <w:r>
        <w:rPr>
          <w:rFonts w:hint="eastAsia" w:ascii="宋体" w:hAnsi="宋体" w:eastAsia="宋体" w:cs="宋体"/>
          <w:b w:val="0"/>
          <w:bCs w:val="0"/>
          <w:color w:val="auto"/>
          <w:sz w:val="21"/>
          <w:szCs w:val="21"/>
          <w:highlight w:val="none"/>
        </w:rPr>
        <w:t>系统按预设周期（默认每个工作日）自动生成检查任务分配至指定实验室负责人；</w:t>
      </w:r>
    </w:p>
    <w:p w14:paraId="104030D7">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6.2.1.3.</w:t>
      </w:r>
      <w:r>
        <w:rPr>
          <w:rFonts w:hint="eastAsia" w:ascii="宋体" w:hAnsi="宋体" w:eastAsia="宋体" w:cs="宋体"/>
          <w:b w:val="0"/>
          <w:bCs w:val="0"/>
          <w:color w:val="auto"/>
          <w:sz w:val="21"/>
          <w:szCs w:val="21"/>
          <w:highlight w:val="none"/>
        </w:rPr>
        <w:t>支持集中呈现用户当前全部检查任务，显示信息包括序号、检查日期、实验室名称、安全等级、所属院系、检查记录人、状态（待检查/未检查/正常/异常）及操作栏；</w:t>
      </w:r>
    </w:p>
    <w:p w14:paraId="099E56A4">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6.2.1.4.</w:t>
      </w:r>
      <w:r>
        <w:rPr>
          <w:rFonts w:hint="eastAsia" w:ascii="宋体" w:hAnsi="宋体" w:eastAsia="宋体" w:cs="宋体"/>
          <w:b w:val="0"/>
          <w:bCs w:val="0"/>
          <w:color w:val="auto"/>
          <w:sz w:val="21"/>
          <w:szCs w:val="21"/>
          <w:highlight w:val="none"/>
        </w:rPr>
        <w:t>支持实时汇总检查进度，实时统计未检查、正常、异常数据，直观反映实验室整体安全执行情况，便于优先级管理；</w:t>
      </w:r>
    </w:p>
    <w:p w14:paraId="1A6E7D57">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6.2.1.5.</w:t>
      </w:r>
      <w:r>
        <w:rPr>
          <w:rFonts w:hint="eastAsia" w:ascii="宋体" w:hAnsi="宋体" w:eastAsia="宋体" w:cs="宋体"/>
          <w:b w:val="0"/>
          <w:bCs w:val="0"/>
          <w:color w:val="auto"/>
          <w:sz w:val="21"/>
          <w:szCs w:val="21"/>
          <w:highlight w:val="none"/>
        </w:rPr>
        <w:t>支持按实验室名称、院系、安全等级、发起时间等条件精准过滤任务，快速定位特定实验室的历史检查记录；</w:t>
      </w:r>
    </w:p>
    <w:p w14:paraId="1BCB2915">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6.2.1.6.</w:t>
      </w:r>
      <w:r>
        <w:rPr>
          <w:rFonts w:hint="eastAsia" w:ascii="宋体" w:hAnsi="宋体" w:eastAsia="宋体" w:cs="宋体"/>
          <w:b w:val="0"/>
          <w:bCs w:val="0"/>
          <w:color w:val="auto"/>
          <w:sz w:val="21"/>
          <w:szCs w:val="21"/>
          <w:highlight w:val="none"/>
        </w:rPr>
        <w:t>支持完整保留每次检查的日期、执行人、安全等级及检查状态等信息，方便追溯责任人并预警管理漏洞。</w:t>
      </w:r>
    </w:p>
    <w:p w14:paraId="5BF3C02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6.2.2.</w:t>
      </w:r>
      <w:r>
        <w:rPr>
          <w:rFonts w:hint="eastAsia" w:ascii="宋体" w:hAnsi="宋体" w:eastAsia="宋体" w:cs="宋体"/>
          <w:b w:val="0"/>
          <w:bCs w:val="0"/>
          <w:color w:val="auto"/>
          <w:sz w:val="21"/>
          <w:szCs w:val="21"/>
          <w:highlight w:val="none"/>
        </w:rPr>
        <w:t>部门（院系）检查</w:t>
      </w:r>
    </w:p>
    <w:p w14:paraId="311E7FFD">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6.2.2.1.</w:t>
      </w:r>
      <w:r>
        <w:rPr>
          <w:rFonts w:hint="eastAsia" w:ascii="宋体" w:hAnsi="宋体" w:eastAsia="宋体" w:cs="宋体"/>
          <w:b w:val="0"/>
          <w:bCs w:val="0"/>
          <w:color w:val="auto"/>
          <w:sz w:val="21"/>
          <w:szCs w:val="21"/>
          <w:highlight w:val="none"/>
        </w:rPr>
        <w:t>▲提供部门检查的检查计划任务发布：院级管理员依据学校或学院要求，按照实验室安全等级分类，发起院级检查计划，实现学院内部的实验室安全管理体系；支持按安全等级、分类、位置检索实验室；支持批量设置检查人，且支持指定多人同时检查；支持发布提醒信息，提醒检查人和实验室负责人；（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7A20EA1E">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6.2.2.2.</w:t>
      </w:r>
      <w:r>
        <w:rPr>
          <w:rFonts w:hint="eastAsia" w:ascii="宋体" w:hAnsi="宋体" w:eastAsia="宋体" w:cs="宋体"/>
          <w:b w:val="0"/>
          <w:bCs w:val="0"/>
          <w:color w:val="auto"/>
          <w:sz w:val="21"/>
          <w:szCs w:val="21"/>
          <w:highlight w:val="none"/>
        </w:rPr>
        <w:t>执行检查：被指定的检查员根据检查计划或任务，对实验室进行检查，可通过电脑或移动端填报检查情况；记录隐患信息，选择存在隐患的检查项（可按照级联展开选择)、填写隐患描述、上传隐患照片等，形成隐患记录，并形成整改任务到实验室负责人；</w:t>
      </w:r>
    </w:p>
    <w:p w14:paraId="5BC27F9A">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6.2.2.3.</w:t>
      </w:r>
      <w:r>
        <w:rPr>
          <w:rFonts w:hint="eastAsia" w:ascii="宋体" w:hAnsi="宋体" w:eastAsia="宋体" w:cs="宋体"/>
          <w:b w:val="0"/>
          <w:bCs w:val="0"/>
          <w:color w:val="auto"/>
          <w:sz w:val="21"/>
          <w:szCs w:val="21"/>
          <w:highlight w:val="none"/>
        </w:rPr>
        <w:t>院系层级仅可查看本单位实验室检查数据，实验室中心主任仅可查看本中心下属的实验室数据，确保信息隔离与合规性；</w:t>
      </w:r>
    </w:p>
    <w:p w14:paraId="4FA616C7">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6.2.2.4.</w:t>
      </w:r>
      <w:r>
        <w:rPr>
          <w:rFonts w:hint="eastAsia" w:ascii="宋体" w:hAnsi="宋体" w:eastAsia="宋体" w:cs="宋体"/>
          <w:b w:val="0"/>
          <w:bCs w:val="0"/>
          <w:color w:val="auto"/>
          <w:sz w:val="21"/>
          <w:szCs w:val="21"/>
          <w:highlight w:val="none"/>
        </w:rPr>
        <w:t>按角色权限展示：系统提供部门检查管理、我参与的、异常追踪三个菜单，角色不同所见不同。</w:t>
      </w:r>
    </w:p>
    <w:p w14:paraId="31C4B659">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6.2.3.</w:t>
      </w:r>
      <w:r>
        <w:rPr>
          <w:rFonts w:hint="eastAsia" w:ascii="宋体" w:hAnsi="宋体" w:eastAsia="宋体" w:cs="宋体"/>
          <w:b w:val="0"/>
          <w:bCs w:val="0"/>
          <w:color w:val="auto"/>
          <w:sz w:val="21"/>
          <w:szCs w:val="21"/>
          <w:highlight w:val="none"/>
        </w:rPr>
        <w:t>专项检查</w:t>
      </w:r>
    </w:p>
    <w:p w14:paraId="629436F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6.2.3.1.</w:t>
      </w:r>
      <w:r>
        <w:rPr>
          <w:rFonts w:hint="eastAsia" w:ascii="宋体" w:hAnsi="宋体" w:eastAsia="宋体" w:cs="宋体"/>
          <w:b w:val="0"/>
          <w:bCs w:val="0"/>
          <w:color w:val="auto"/>
          <w:sz w:val="21"/>
          <w:szCs w:val="21"/>
          <w:highlight w:val="none"/>
        </w:rPr>
        <w:t>提供专项检查的检查计划任务发布：支持校管理员依据学校要求，以及实验室安全等级分类，发起校级检查计划，实现学校、学院（部门）、实验室的三级管理体系；支持按学院、安全等级、分类、位置检索实验室；支持批量设置检查人，且支持指定多人同时检查；支持发布提醒信息，提醒检查人和实验室负责人；</w:t>
      </w:r>
    </w:p>
    <w:p w14:paraId="6B0CA7BF">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6.2.3.2.</w:t>
      </w:r>
      <w:r>
        <w:rPr>
          <w:rFonts w:hint="eastAsia" w:ascii="宋体" w:hAnsi="宋体" w:eastAsia="宋体" w:cs="宋体"/>
          <w:b w:val="0"/>
          <w:bCs w:val="0"/>
          <w:color w:val="auto"/>
          <w:sz w:val="21"/>
          <w:szCs w:val="21"/>
          <w:highlight w:val="none"/>
        </w:rPr>
        <w:t>执行检查：被指定的检查员根据检查计划或任务，对实验室进行检查，可通过电脑或移动端填报检查情况；记录隐患信息，选择存在隐患的检查项（可按照级联展开选择)、填写隐患描述、上传隐患照片等，形成隐患记录，并形成整改任务到实验室负责人；支持一键全部检查，指定多人检查，只需要一个人检查即可；</w:t>
      </w:r>
    </w:p>
    <w:p w14:paraId="5F8C2F50">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6.2.3.3.</w:t>
      </w:r>
      <w:r>
        <w:rPr>
          <w:rFonts w:hint="eastAsia" w:ascii="宋体" w:hAnsi="宋体" w:eastAsia="宋体" w:cs="宋体"/>
          <w:b w:val="0"/>
          <w:bCs w:val="0"/>
          <w:color w:val="auto"/>
          <w:sz w:val="21"/>
          <w:szCs w:val="21"/>
          <w:highlight w:val="none"/>
        </w:rPr>
        <w:t>校级管理员可查看所有专项检查实验室的数据；</w:t>
      </w:r>
    </w:p>
    <w:p w14:paraId="200003AE">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6.2.3.4.</w:t>
      </w:r>
      <w:r>
        <w:rPr>
          <w:rFonts w:hint="eastAsia" w:ascii="宋体" w:hAnsi="宋体" w:eastAsia="宋体" w:cs="宋体"/>
          <w:b w:val="0"/>
          <w:bCs w:val="0"/>
          <w:color w:val="auto"/>
          <w:sz w:val="21"/>
          <w:szCs w:val="21"/>
          <w:highlight w:val="none"/>
        </w:rPr>
        <w:t>按角色权限展示：系统提供专项检查管理、我参与的、异常追踪三菜单，角色不同所见不同。</w:t>
      </w:r>
    </w:p>
    <w:p w14:paraId="3B99E81A">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6.2.4.</w:t>
      </w:r>
      <w:r>
        <w:rPr>
          <w:rFonts w:hint="eastAsia" w:ascii="宋体" w:hAnsi="宋体" w:eastAsia="宋体" w:cs="宋体"/>
          <w:b w:val="0"/>
          <w:bCs w:val="0"/>
          <w:color w:val="auto"/>
          <w:sz w:val="21"/>
          <w:szCs w:val="21"/>
          <w:highlight w:val="none"/>
        </w:rPr>
        <w:t>隐患处理</w:t>
      </w:r>
    </w:p>
    <w:p w14:paraId="1A6A08A3">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6.2.4.1.</w:t>
      </w:r>
      <w:r>
        <w:rPr>
          <w:rFonts w:hint="eastAsia" w:ascii="宋体" w:hAnsi="宋体" w:eastAsia="宋体" w:cs="宋体"/>
          <w:b w:val="0"/>
          <w:bCs w:val="0"/>
          <w:color w:val="auto"/>
          <w:sz w:val="21"/>
          <w:szCs w:val="21"/>
          <w:highlight w:val="none"/>
        </w:rPr>
        <w:t>提供隐患处理功能，支持实验室负责人在移动端或PC端,对需要整改的隐患按照整改时限及要求进行整改，处理完成后在系统中记录，进入隐患处理复核阶段；</w:t>
      </w:r>
    </w:p>
    <w:p w14:paraId="70DA0ADC">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6.2.4.2.</w:t>
      </w:r>
      <w:r>
        <w:rPr>
          <w:rFonts w:hint="eastAsia" w:ascii="宋体" w:hAnsi="宋体" w:eastAsia="宋体" w:cs="宋体"/>
          <w:b w:val="0"/>
          <w:bCs w:val="0"/>
          <w:color w:val="auto"/>
          <w:sz w:val="21"/>
          <w:szCs w:val="21"/>
          <w:highlight w:val="none"/>
        </w:rPr>
        <w:t>提供隐患处理复核功能，按照角色权限提供待复核列表，有权限的用户进行复核处理。如果在后台配置了隐患审核流程，则需要先经过隐患审核通过才能进入复核阶段；</w:t>
      </w:r>
    </w:p>
    <w:p w14:paraId="77DF9C38">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6.2.4.3.</w:t>
      </w:r>
      <w:r>
        <w:rPr>
          <w:rFonts w:hint="eastAsia" w:ascii="宋体" w:hAnsi="宋体" w:eastAsia="宋体" w:cs="宋体"/>
          <w:b w:val="0"/>
          <w:bCs w:val="0"/>
          <w:color w:val="auto"/>
          <w:sz w:val="21"/>
          <w:szCs w:val="21"/>
          <w:highlight w:val="none"/>
        </w:rPr>
        <w:t>系统提供隐患处理“待处理、待审核、待复核、已完成”四个菜单，自动统计数量，角色不同所见不同；</w:t>
      </w:r>
    </w:p>
    <w:p w14:paraId="58790BC0">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6.2.4.4.</w:t>
      </w:r>
      <w:r>
        <w:rPr>
          <w:rFonts w:hint="eastAsia" w:ascii="宋体" w:hAnsi="宋体" w:eastAsia="宋体" w:cs="宋体"/>
          <w:b w:val="0"/>
          <w:bCs w:val="0"/>
          <w:color w:val="auto"/>
          <w:sz w:val="21"/>
          <w:szCs w:val="21"/>
          <w:highlight w:val="none"/>
        </w:rPr>
        <w:t>提供隐患整改报告，包含实验室安全检查基本信息及隐患、处理、复核等信息。</w:t>
      </w:r>
    </w:p>
    <w:p w14:paraId="36C4A4E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6.2.5.</w:t>
      </w:r>
      <w:r>
        <w:rPr>
          <w:rFonts w:hint="eastAsia" w:ascii="宋体" w:hAnsi="宋体" w:eastAsia="宋体" w:cs="宋体"/>
          <w:b w:val="0"/>
          <w:bCs w:val="0"/>
          <w:color w:val="auto"/>
          <w:sz w:val="21"/>
          <w:szCs w:val="21"/>
          <w:highlight w:val="none"/>
        </w:rPr>
        <w:t>检查记录</w:t>
      </w:r>
    </w:p>
    <w:p w14:paraId="30F64DAA">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6.2.5.1.</w:t>
      </w:r>
      <w:r>
        <w:rPr>
          <w:rFonts w:hint="eastAsia" w:ascii="宋体" w:hAnsi="宋体" w:eastAsia="宋体" w:cs="宋体"/>
          <w:b w:val="0"/>
          <w:bCs w:val="0"/>
          <w:color w:val="auto"/>
          <w:sz w:val="21"/>
          <w:szCs w:val="21"/>
          <w:highlight w:val="none"/>
        </w:rPr>
        <w:t>提供以表格形式呈现全部检查记录（日常检查、部门检查、专项检查），信息包括序号、实验室名称、安全等级、负责人、检查次数、检查详情等关键信息，默认按时间倒序排列，用户可快速定位目标实验室的历史检查概况；</w:t>
      </w:r>
    </w:p>
    <w:p w14:paraId="740E4B3F">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6.2.5.2.</w:t>
      </w:r>
      <w:r>
        <w:rPr>
          <w:rFonts w:hint="eastAsia" w:ascii="宋体" w:hAnsi="宋体" w:eastAsia="宋体" w:cs="宋体"/>
          <w:b w:val="0"/>
          <w:bCs w:val="0"/>
          <w:color w:val="auto"/>
          <w:sz w:val="21"/>
          <w:szCs w:val="21"/>
          <w:highlight w:val="none"/>
        </w:rPr>
        <w:t>支持通过实验室名称、安全等级等条件组合筛选检录记录；</w:t>
      </w:r>
    </w:p>
    <w:p w14:paraId="63699D94">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6.2.5.3.</w:t>
      </w:r>
      <w:r>
        <w:rPr>
          <w:rFonts w:hint="eastAsia" w:ascii="宋体" w:hAnsi="宋体" w:eastAsia="宋体" w:cs="宋体"/>
          <w:b w:val="0"/>
          <w:bCs w:val="0"/>
          <w:color w:val="auto"/>
          <w:sz w:val="21"/>
          <w:szCs w:val="21"/>
          <w:highlight w:val="none"/>
        </w:rPr>
        <w:t>提供检查详情的查看，可查看单次检查的完整信息，包括检查时间、执行人、检查项结果；</w:t>
      </w:r>
    </w:p>
    <w:p w14:paraId="65CF33F8">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6.2.5.4.</w:t>
      </w:r>
      <w:r>
        <w:rPr>
          <w:rFonts w:hint="eastAsia" w:ascii="宋体" w:hAnsi="宋体" w:eastAsia="宋体" w:cs="宋体"/>
          <w:b w:val="0"/>
          <w:bCs w:val="0"/>
          <w:color w:val="auto"/>
          <w:sz w:val="21"/>
          <w:szCs w:val="21"/>
          <w:highlight w:val="none"/>
        </w:rPr>
        <w:t>实验室负责人仅可查看和管理所属实验室的记录，院系管理员只能查看本部门记录，不可跨部门访问，确保数据隔离与合规性；</w:t>
      </w:r>
    </w:p>
    <w:p w14:paraId="59099EF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6.2.6.</w:t>
      </w:r>
      <w:r>
        <w:rPr>
          <w:rFonts w:hint="eastAsia" w:ascii="宋体" w:hAnsi="宋体" w:eastAsia="宋体" w:cs="宋体"/>
          <w:b w:val="0"/>
          <w:bCs w:val="0"/>
          <w:color w:val="auto"/>
          <w:sz w:val="21"/>
          <w:szCs w:val="21"/>
          <w:highlight w:val="none"/>
        </w:rPr>
        <w:t>复查记录</w:t>
      </w:r>
    </w:p>
    <w:p w14:paraId="612341F7">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6.2.6.1.</w:t>
      </w:r>
      <w:r>
        <w:rPr>
          <w:rFonts w:hint="eastAsia" w:ascii="宋体" w:hAnsi="宋体" w:eastAsia="宋体" w:cs="宋体"/>
          <w:b w:val="0"/>
          <w:bCs w:val="0"/>
          <w:color w:val="auto"/>
          <w:sz w:val="21"/>
          <w:szCs w:val="21"/>
          <w:highlight w:val="none"/>
        </w:rPr>
        <w:t>提供以表格形式呈现全部待复查或已完成的隐患整改任务，信息包括序号、隐患上报时间、隐患上报人、实训室、安全等级、负责人、处理人、处理时间、复核时间等，支持按时间、安全等级等维度检索，直观呈现隐患处理进度；</w:t>
      </w:r>
    </w:p>
    <w:p w14:paraId="20A68656">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6.2.6.2.</w:t>
      </w:r>
      <w:r>
        <w:rPr>
          <w:rFonts w:hint="eastAsia" w:ascii="宋体" w:hAnsi="宋体" w:eastAsia="宋体" w:cs="宋体"/>
          <w:b w:val="0"/>
          <w:bCs w:val="0"/>
          <w:color w:val="auto"/>
          <w:sz w:val="21"/>
          <w:szCs w:val="21"/>
          <w:highlight w:val="none"/>
        </w:rPr>
        <w:t>支持通过安全等级区分隐患风险程度，结合处理时间、复核时间等信息标记整改进展，强化高风险任务的优先级管理。</w:t>
      </w:r>
    </w:p>
    <w:p w14:paraId="2F7C5068">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6.2.6.3.</w:t>
      </w:r>
      <w:r>
        <w:rPr>
          <w:rFonts w:hint="eastAsia" w:ascii="宋体" w:hAnsi="宋体" w:eastAsia="宋体" w:cs="宋体"/>
          <w:b w:val="0"/>
          <w:bCs w:val="0"/>
          <w:color w:val="auto"/>
          <w:sz w:val="21"/>
          <w:szCs w:val="21"/>
          <w:highlight w:val="none"/>
        </w:rPr>
        <w:t>支持导出为Excel文件，字段包含实训室名称、隐患上报时间、隐患上报人、安全等级、负责人、处理人、处理时间、复核人、复核时间等，满足迎检汇报、内部审计及档案管理求。</w:t>
      </w:r>
    </w:p>
    <w:p w14:paraId="4F258457">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6.2.7.</w:t>
      </w:r>
      <w:r>
        <w:rPr>
          <w:rFonts w:hint="eastAsia" w:ascii="宋体" w:hAnsi="宋体" w:eastAsia="宋体" w:cs="宋体"/>
          <w:b w:val="0"/>
          <w:bCs w:val="0"/>
          <w:color w:val="auto"/>
          <w:sz w:val="21"/>
          <w:szCs w:val="21"/>
          <w:highlight w:val="none"/>
        </w:rPr>
        <w:t>随手拍</w:t>
      </w:r>
    </w:p>
    <w:p w14:paraId="6D52E049">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6.2.7.1.</w:t>
      </w:r>
      <w:r>
        <w:rPr>
          <w:rFonts w:hint="eastAsia" w:ascii="宋体" w:hAnsi="宋体" w:eastAsia="宋体" w:cs="宋体"/>
          <w:b w:val="0"/>
          <w:bCs w:val="0"/>
          <w:color w:val="auto"/>
          <w:sz w:val="21"/>
          <w:szCs w:val="21"/>
          <w:highlight w:val="none"/>
        </w:rPr>
        <w:t>提供随手拍功能，随时可用移动端或PC端发起随手拍，记录反馈实验室中发现的隐患问题；</w:t>
      </w:r>
    </w:p>
    <w:p w14:paraId="3288DF92">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6.2.7.2.</w:t>
      </w:r>
      <w:r>
        <w:rPr>
          <w:rFonts w:hint="eastAsia" w:ascii="宋体" w:hAnsi="宋体" w:eastAsia="宋体" w:cs="宋体"/>
          <w:b w:val="0"/>
          <w:bCs w:val="0"/>
          <w:color w:val="auto"/>
          <w:sz w:val="21"/>
          <w:szCs w:val="21"/>
          <w:highlight w:val="none"/>
        </w:rPr>
        <w:t>▲随手拍需提供移动端拍照上传功能，发现问题时可选择实验室及实时填报异常问题，并拍照上传，满足现场隐患的即时留痕并上报。（提供真实软件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2171AE7B">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6.2.7.3.</w:t>
      </w:r>
      <w:r>
        <w:rPr>
          <w:rFonts w:hint="eastAsia" w:ascii="宋体" w:hAnsi="宋体" w:eastAsia="宋体" w:cs="宋体"/>
          <w:b w:val="0"/>
          <w:bCs w:val="0"/>
          <w:color w:val="auto"/>
          <w:sz w:val="21"/>
          <w:szCs w:val="21"/>
          <w:highlight w:val="none"/>
        </w:rPr>
        <w:t>所有上报、编辑、删除操作系统均能记录操作人、时间戳及IP地址，符合教育部实验室安全审计规范。</w:t>
      </w:r>
    </w:p>
    <w:p w14:paraId="213F78C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6.2.7.4.</w:t>
      </w:r>
      <w:r>
        <w:rPr>
          <w:rFonts w:hint="eastAsia" w:ascii="宋体" w:hAnsi="宋体" w:eastAsia="宋体" w:cs="宋体"/>
          <w:b w:val="0"/>
          <w:bCs w:val="0"/>
          <w:color w:val="auto"/>
          <w:sz w:val="21"/>
          <w:szCs w:val="21"/>
          <w:highlight w:val="none"/>
        </w:rPr>
        <w:t>系统自动记录所有的随手拍内容，支持按照异常类型和上报时间查询。</w:t>
      </w:r>
    </w:p>
    <w:p w14:paraId="1B08565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6.2.8.</w:t>
      </w:r>
      <w:r>
        <w:rPr>
          <w:rFonts w:hint="eastAsia" w:ascii="宋体" w:hAnsi="宋体" w:eastAsia="宋体" w:cs="宋体"/>
          <w:b w:val="0"/>
          <w:bCs w:val="0"/>
          <w:color w:val="auto"/>
          <w:sz w:val="21"/>
          <w:szCs w:val="21"/>
          <w:highlight w:val="none"/>
        </w:rPr>
        <w:t>安全月报与月报审阅</w:t>
      </w:r>
    </w:p>
    <w:p w14:paraId="38000AB9">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bookmarkStart w:id="22" w:name="OLE_LINK4"/>
      <w:r>
        <w:rPr>
          <w:rFonts w:hint="eastAsia" w:ascii="宋体" w:hAnsi="宋体" w:eastAsia="宋体" w:cs="宋体"/>
          <w:b w:val="0"/>
          <w:bCs w:val="0"/>
          <w:color w:val="auto"/>
          <w:kern w:val="2"/>
          <w:sz w:val="21"/>
          <w:szCs w:val="21"/>
          <w:highlight w:val="none"/>
          <w:lang w:val="en-US" w:eastAsia="zh-CN" w:bidi="ar-SA"/>
          <w14:ligatures w14:val="standardContextual"/>
        </w:rPr>
        <w:t>6.2.8.1.</w:t>
      </w:r>
      <w:r>
        <w:rPr>
          <w:rFonts w:hint="eastAsia" w:ascii="宋体" w:hAnsi="宋体" w:eastAsia="宋体" w:cs="宋体"/>
          <w:b w:val="0"/>
          <w:bCs w:val="0"/>
          <w:color w:val="auto"/>
          <w:sz w:val="21"/>
          <w:szCs w:val="21"/>
          <w:highlight w:val="none"/>
        </w:rPr>
        <w:t>▲系统应能自动抓取当月“主要工作、安全检查、异常整改、事故事件”等全模块数据，依据标准化模板自动生成包含“学院、月份、实验室数量、应/实检查次数、隐患项数、整改率”等核心指标的《安全月报》，并支持导出PDF或Word格式。（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bookmarkEnd w:id="22"/>
    <w:p w14:paraId="29C1449B">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6.2.8.2.</w:t>
      </w:r>
      <w:r>
        <w:rPr>
          <w:rFonts w:hint="eastAsia" w:ascii="宋体" w:hAnsi="宋体" w:eastAsia="宋体" w:cs="宋体"/>
          <w:b w:val="0"/>
          <w:bCs w:val="0"/>
          <w:color w:val="auto"/>
          <w:sz w:val="21"/>
          <w:szCs w:val="21"/>
          <w:highlight w:val="none"/>
        </w:rPr>
        <w:t>支持查看月报检查明细，内容包括各实验室检查覆盖率、隐患类型分布、整改完成率等扩展信息，支持补充文字说明，报告支持编辑修改；</w:t>
      </w:r>
    </w:p>
    <w:p w14:paraId="7671BCAE">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6.2.8.3.</w:t>
      </w:r>
      <w:r>
        <w:rPr>
          <w:rFonts w:hint="eastAsia" w:ascii="宋体" w:hAnsi="宋体" w:eastAsia="宋体" w:cs="宋体"/>
          <w:b w:val="0"/>
          <w:bCs w:val="0"/>
          <w:color w:val="auto"/>
          <w:sz w:val="21"/>
          <w:szCs w:val="21"/>
          <w:highlight w:val="none"/>
        </w:rPr>
        <w:t>提供上报功能，支持月报提交至学院或校级管理部门，院系管理员可审阅安全月报内容并反馈意见，达到审阅督促目的；</w:t>
      </w:r>
    </w:p>
    <w:p w14:paraId="04605F44">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6.2.8.4.</w:t>
      </w:r>
      <w:r>
        <w:rPr>
          <w:rFonts w:hint="eastAsia" w:ascii="宋体" w:hAnsi="宋体" w:eastAsia="宋体" w:cs="宋体"/>
          <w:b w:val="0"/>
          <w:bCs w:val="0"/>
          <w:color w:val="auto"/>
          <w:sz w:val="21"/>
          <w:szCs w:val="21"/>
          <w:highlight w:val="none"/>
        </w:rPr>
        <w:t>支持通过“年份”下拉菜单快速定位目标月份的月报记录，支持按“学院”过滤跨部门数据，以适配多层级管理求。</w:t>
      </w:r>
    </w:p>
    <w:p w14:paraId="00337784">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6.2.8.5.</w:t>
      </w:r>
      <w:r>
        <w:rPr>
          <w:rFonts w:hint="eastAsia" w:ascii="宋体" w:hAnsi="宋体" w:eastAsia="宋体" w:cs="宋体"/>
          <w:b w:val="0"/>
          <w:bCs w:val="0"/>
          <w:color w:val="auto"/>
          <w:sz w:val="21"/>
          <w:szCs w:val="21"/>
          <w:highlight w:val="none"/>
        </w:rPr>
        <w:t>▲相关领导负责审阅管辖范围内的实验室负责人提交上来的安全月报，并提出指导意见；（提供真实软件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517CC530">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6.2.8.6.</w:t>
      </w:r>
      <w:r>
        <w:rPr>
          <w:rFonts w:hint="eastAsia" w:ascii="宋体" w:hAnsi="宋体" w:eastAsia="宋体" w:cs="宋体"/>
          <w:b w:val="0"/>
          <w:bCs w:val="0"/>
          <w:color w:val="auto"/>
          <w:sz w:val="21"/>
          <w:szCs w:val="21"/>
          <w:highlight w:val="none"/>
        </w:rPr>
        <w:t>支持按行政归属、时间范围精准检索查看目标数据。</w:t>
      </w:r>
    </w:p>
    <w:p w14:paraId="3AA5B228">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6.2.8.7.</w:t>
      </w:r>
      <w:r>
        <w:rPr>
          <w:rFonts w:hint="eastAsia" w:ascii="宋体" w:hAnsi="宋体" w:eastAsia="宋体" w:cs="宋体"/>
          <w:b w:val="0"/>
          <w:bCs w:val="0"/>
          <w:color w:val="auto"/>
          <w:sz w:val="21"/>
          <w:szCs w:val="21"/>
          <w:highlight w:val="none"/>
        </w:rPr>
        <w:t>支持查看审阅记录；</w:t>
      </w:r>
    </w:p>
    <w:p w14:paraId="01B08A18">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6.2.8.8.</w:t>
      </w:r>
      <w:r>
        <w:rPr>
          <w:rFonts w:hint="eastAsia" w:ascii="宋体" w:hAnsi="宋体" w:eastAsia="宋体" w:cs="宋体"/>
          <w:b w:val="0"/>
          <w:bCs w:val="0"/>
          <w:color w:val="auto"/>
          <w:sz w:val="21"/>
          <w:szCs w:val="21"/>
          <w:highlight w:val="none"/>
        </w:rPr>
        <w:t>提供下载安全月报；</w:t>
      </w:r>
    </w:p>
    <w:p w14:paraId="6CAE5ADC">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6.2.9.</w:t>
      </w:r>
      <w:r>
        <w:rPr>
          <w:rFonts w:hint="eastAsia" w:ascii="宋体" w:hAnsi="宋体" w:eastAsia="宋体" w:cs="宋体"/>
          <w:b w:val="0"/>
          <w:bCs w:val="0"/>
          <w:color w:val="auto"/>
          <w:sz w:val="21"/>
          <w:szCs w:val="21"/>
          <w:highlight w:val="none"/>
        </w:rPr>
        <w:t>值日打卡</w:t>
      </w:r>
    </w:p>
    <w:p w14:paraId="77E0A734">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6.2.9.1.</w:t>
      </w:r>
      <w:r>
        <w:rPr>
          <w:rFonts w:hint="eastAsia" w:ascii="宋体" w:hAnsi="宋体" w:eastAsia="宋体" w:cs="宋体"/>
          <w:b w:val="0"/>
          <w:bCs w:val="0"/>
          <w:color w:val="auto"/>
          <w:sz w:val="21"/>
          <w:szCs w:val="21"/>
          <w:highlight w:val="none"/>
        </w:rPr>
        <w:t>值日人员通过移动端选择实验室，完成每日实验室值日打卡，记录检查时间、检查人、实验室名称等基础信息；</w:t>
      </w:r>
    </w:p>
    <w:p w14:paraId="007B5B46">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6.2.9.2.</w:t>
      </w:r>
      <w:r>
        <w:rPr>
          <w:rFonts w:hint="eastAsia" w:ascii="宋体" w:hAnsi="宋体" w:eastAsia="宋体" w:cs="宋体"/>
          <w:b w:val="0"/>
          <w:bCs w:val="0"/>
          <w:color w:val="auto"/>
          <w:sz w:val="21"/>
          <w:szCs w:val="21"/>
          <w:highlight w:val="none"/>
        </w:rPr>
        <w:t>▲提供值日打卡功能，具有“四防五关一查”检查项（防火、防盗、防破坏、防灾害事故；关水、关电、关气、关门、关窗；检查仪器设备），可上传照片作为异常证据；（提供真实软件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176936C4">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6.2.9.3.</w:t>
      </w:r>
      <w:r>
        <w:rPr>
          <w:rFonts w:hint="eastAsia" w:ascii="宋体" w:hAnsi="宋体" w:eastAsia="宋体" w:cs="宋体"/>
          <w:b w:val="0"/>
          <w:bCs w:val="0"/>
          <w:color w:val="auto"/>
          <w:sz w:val="21"/>
          <w:szCs w:val="21"/>
          <w:highlight w:val="none"/>
        </w:rPr>
        <w:t>值日打卡时，可选择“正常”或“异常”状态。若选择异常，需填写问题详情，并自动触发异常报告流程，异常情况自动通知实验室负责人；</w:t>
      </w:r>
    </w:p>
    <w:p w14:paraId="3A66C8BC">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6.2.9.4.</w:t>
      </w:r>
      <w:r>
        <w:rPr>
          <w:rFonts w:hint="eastAsia" w:ascii="宋体" w:hAnsi="宋体" w:eastAsia="宋体" w:cs="宋体"/>
          <w:b w:val="0"/>
          <w:bCs w:val="0"/>
          <w:color w:val="auto"/>
          <w:sz w:val="21"/>
          <w:szCs w:val="21"/>
          <w:highlight w:val="none"/>
        </w:rPr>
        <w:t>支持按日期、实验室或状态筛选值日记录，记录可导出，满足存档与迎检求；</w:t>
      </w:r>
    </w:p>
    <w:p w14:paraId="142F96E0">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6.2.9.5.</w:t>
      </w:r>
      <w:r>
        <w:rPr>
          <w:rFonts w:hint="eastAsia" w:ascii="宋体" w:hAnsi="宋体" w:eastAsia="宋体" w:cs="宋体"/>
          <w:b w:val="0"/>
          <w:bCs w:val="0"/>
          <w:color w:val="auto"/>
          <w:sz w:val="21"/>
          <w:szCs w:val="21"/>
          <w:highlight w:val="none"/>
        </w:rPr>
        <w:t>系统可按周自动抓取值日记录数据，生成包含“年度、周次、实验室、日期范围、生成时间”等字段的值日周报列表，支持按年份、月份筛选查看；</w:t>
      </w:r>
    </w:p>
    <w:p w14:paraId="00BBBE96">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6.2.9.6.</w:t>
      </w:r>
      <w:r>
        <w:rPr>
          <w:rFonts w:hint="eastAsia" w:ascii="宋体" w:hAnsi="宋体" w:eastAsia="宋体" w:cs="宋体"/>
          <w:b w:val="0"/>
          <w:bCs w:val="0"/>
          <w:color w:val="auto"/>
          <w:sz w:val="21"/>
          <w:szCs w:val="21"/>
          <w:highlight w:val="none"/>
        </w:rPr>
        <w:t>提供值日生设置，当该工作由学生来负责时，实验室负责人可设置实验室关联的值日生名单，支持按“学生姓名、联系方式”录入信息，支持自动生成值日排班表，并支持动态调整排班；当该工作由安全员负责时无需此项设置。</w:t>
      </w:r>
    </w:p>
    <w:p w14:paraId="3D8B1E3D">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6.2.9.7.</w:t>
      </w:r>
      <w:r>
        <w:rPr>
          <w:rFonts w:hint="eastAsia" w:ascii="宋体" w:hAnsi="宋体" w:eastAsia="宋体" w:cs="宋体"/>
          <w:b w:val="0"/>
          <w:bCs w:val="0"/>
          <w:color w:val="auto"/>
          <w:sz w:val="21"/>
          <w:szCs w:val="21"/>
          <w:highlight w:val="none"/>
        </w:rPr>
        <w:t>结合日历视图高亮显示值日日期，支持回溯今天、更新值日表等操作，以便灵活应对人员变动或临时任务调整。</w:t>
      </w:r>
    </w:p>
    <w:p w14:paraId="1D13E846">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6.2.9.8.</w:t>
      </w:r>
      <w:r>
        <w:rPr>
          <w:rFonts w:hint="eastAsia" w:ascii="宋体" w:hAnsi="宋体" w:eastAsia="宋体" w:cs="宋体"/>
          <w:b w:val="0"/>
          <w:bCs w:val="0"/>
          <w:color w:val="auto"/>
          <w:sz w:val="21"/>
          <w:szCs w:val="21"/>
          <w:highlight w:val="none"/>
        </w:rPr>
        <w:t>系统自动记录最后一次设置时间，确保排班信息可追溯，当前示例显示值日生人数为0，能自动提示补充人员配置；</w:t>
      </w:r>
    </w:p>
    <w:p w14:paraId="1FC289C4">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6.2.10.</w:t>
      </w:r>
      <w:r>
        <w:rPr>
          <w:rFonts w:hint="eastAsia" w:ascii="宋体" w:hAnsi="宋体" w:eastAsia="宋体" w:cs="宋体"/>
          <w:b w:val="0"/>
          <w:bCs w:val="0"/>
          <w:color w:val="auto"/>
          <w:sz w:val="21"/>
          <w:szCs w:val="21"/>
          <w:highlight w:val="none"/>
        </w:rPr>
        <w:t>数据统计</w:t>
      </w:r>
    </w:p>
    <w:p w14:paraId="052BF0DC">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6.2.10.1.</w:t>
      </w:r>
      <w:r>
        <w:rPr>
          <w:rFonts w:hint="eastAsia" w:ascii="宋体" w:hAnsi="宋体" w:eastAsia="宋体" w:cs="宋体"/>
          <w:b w:val="0"/>
          <w:bCs w:val="0"/>
          <w:color w:val="auto"/>
          <w:sz w:val="21"/>
          <w:szCs w:val="21"/>
          <w:highlight w:val="none"/>
        </w:rPr>
        <w:t>根据用户身份和权限，在用户个人中心显示安全检查的不同功能和统计数据，供用户进行查看和操作。</w:t>
      </w:r>
    </w:p>
    <w:p w14:paraId="01C3D46F">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6.2.10.2.</w:t>
      </w:r>
      <w:r>
        <w:rPr>
          <w:rFonts w:hint="eastAsia" w:ascii="宋体" w:hAnsi="宋体" w:eastAsia="宋体" w:cs="宋体"/>
          <w:b w:val="0"/>
          <w:bCs w:val="0"/>
          <w:color w:val="auto"/>
          <w:sz w:val="21"/>
          <w:szCs w:val="21"/>
          <w:highlight w:val="none"/>
        </w:rPr>
        <w:t>自动统计用户实验室日常检查的已检查、未检查数据；日常检查默认提供本周数据，支持本月、本年、去年数据的筛选；部门检查和专项检查默认自动统计本月已检查和异常隐患数据，支持本季度、本年、去年数据的筛选；</w:t>
      </w:r>
    </w:p>
    <w:p w14:paraId="50B955C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6.2.10.3.</w:t>
      </w:r>
      <w:r>
        <w:rPr>
          <w:rFonts w:hint="eastAsia" w:ascii="宋体" w:hAnsi="宋体" w:eastAsia="宋体" w:cs="宋体"/>
          <w:b w:val="0"/>
          <w:bCs w:val="0"/>
          <w:color w:val="auto"/>
          <w:sz w:val="21"/>
          <w:szCs w:val="21"/>
          <w:highlight w:val="none"/>
        </w:rPr>
        <w:t>提供隐患处理统计数据，包括已处理、未处理统计；</w:t>
      </w:r>
    </w:p>
    <w:p w14:paraId="711BA62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6.2.10.4.</w:t>
      </w:r>
      <w:r>
        <w:rPr>
          <w:rFonts w:hint="eastAsia" w:ascii="宋体" w:hAnsi="宋体" w:eastAsia="宋体" w:cs="宋体"/>
          <w:b w:val="0"/>
          <w:bCs w:val="0"/>
          <w:color w:val="auto"/>
          <w:sz w:val="21"/>
          <w:szCs w:val="21"/>
          <w:highlight w:val="none"/>
        </w:rPr>
        <w:t>提供近六个月的检查次数数据图表和隐患复查情况数据图表；</w:t>
      </w:r>
    </w:p>
    <w:p w14:paraId="4CC128BD">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6.2.10.5.</w:t>
      </w:r>
      <w:r>
        <w:rPr>
          <w:rFonts w:hint="eastAsia" w:ascii="宋体" w:hAnsi="宋体" w:eastAsia="宋体" w:cs="宋体"/>
          <w:b w:val="0"/>
          <w:bCs w:val="0"/>
          <w:color w:val="auto"/>
          <w:sz w:val="21"/>
          <w:szCs w:val="21"/>
          <w:highlight w:val="none"/>
        </w:rPr>
        <w:t>提供上报有隐患的实验室TOP10排行。</w:t>
      </w:r>
    </w:p>
    <w:p w14:paraId="2944B1F4">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6.3.</w:t>
      </w:r>
      <w:r>
        <w:rPr>
          <w:rFonts w:hint="eastAsia" w:ascii="宋体" w:hAnsi="宋体" w:eastAsia="宋体" w:cs="宋体"/>
          <w:b w:val="0"/>
          <w:bCs w:val="0"/>
          <w:color w:val="auto"/>
          <w:sz w:val="21"/>
          <w:szCs w:val="21"/>
          <w:highlight w:val="none"/>
          <w:lang w:val="zh-CN"/>
        </w:rPr>
        <w:t>移动端功能</w:t>
      </w:r>
    </w:p>
    <w:p w14:paraId="4B6BA89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6.3.1.</w:t>
      </w:r>
      <w:r>
        <w:rPr>
          <w:rFonts w:hint="eastAsia" w:ascii="宋体" w:hAnsi="宋体" w:eastAsia="宋体" w:cs="宋体"/>
          <w:b w:val="0"/>
          <w:bCs w:val="0"/>
          <w:color w:val="auto"/>
          <w:sz w:val="21"/>
          <w:szCs w:val="21"/>
          <w:highlight w:val="none"/>
        </w:rPr>
        <w:t>提供移动端的日常检查、部门检查、专项检查功能，相关用户在移动端记录检查项；</w:t>
      </w:r>
    </w:p>
    <w:p w14:paraId="7C2EB517">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6.3.2.</w:t>
      </w:r>
      <w:r>
        <w:rPr>
          <w:rFonts w:hint="eastAsia" w:ascii="宋体" w:hAnsi="宋体" w:eastAsia="宋体" w:cs="宋体"/>
          <w:b w:val="0"/>
          <w:bCs w:val="0"/>
          <w:color w:val="auto"/>
          <w:sz w:val="21"/>
          <w:szCs w:val="21"/>
          <w:highlight w:val="none"/>
        </w:rPr>
        <w:t>提供移动端隐患处理功能，对需要整改的隐患按照整改时限及要求整改后，在移动端记录；</w:t>
      </w:r>
    </w:p>
    <w:p w14:paraId="26E61B3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6.3.3.</w:t>
      </w:r>
      <w:r>
        <w:rPr>
          <w:rFonts w:hint="eastAsia" w:ascii="宋体" w:hAnsi="宋体" w:eastAsia="宋体" w:cs="宋体"/>
          <w:b w:val="0"/>
          <w:bCs w:val="0"/>
          <w:color w:val="auto"/>
          <w:sz w:val="21"/>
          <w:szCs w:val="21"/>
          <w:highlight w:val="none"/>
        </w:rPr>
        <w:t>提供移动端随手拍和值日台功能。</w:t>
      </w:r>
    </w:p>
    <w:p w14:paraId="64AE90A6">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7.</w:t>
      </w:r>
      <w:r>
        <w:rPr>
          <w:rFonts w:hint="eastAsia" w:ascii="宋体" w:hAnsi="宋体" w:eastAsia="宋体" w:cs="宋体"/>
          <w:b w:val="0"/>
          <w:bCs w:val="0"/>
          <w:color w:val="auto"/>
          <w:sz w:val="21"/>
          <w:szCs w:val="21"/>
          <w:highlight w:val="none"/>
        </w:rPr>
        <w:t>安全制度管理</w:t>
      </w:r>
    </w:p>
    <w:p w14:paraId="17F02CB0">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7.1.</w:t>
      </w:r>
      <w:r>
        <w:rPr>
          <w:rFonts w:hint="eastAsia" w:ascii="宋体" w:hAnsi="宋体" w:eastAsia="宋体" w:cs="宋体"/>
          <w:b w:val="0"/>
          <w:bCs w:val="0"/>
          <w:color w:val="auto"/>
          <w:sz w:val="21"/>
          <w:szCs w:val="21"/>
          <w:highlight w:val="none"/>
          <w:lang w:val="zh-CN"/>
        </w:rPr>
        <w:t>制度分类管理</w:t>
      </w:r>
    </w:p>
    <w:p w14:paraId="73EF237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7.1.1.</w:t>
      </w:r>
      <w:r>
        <w:rPr>
          <w:rFonts w:hint="eastAsia" w:ascii="宋体" w:hAnsi="宋体" w:eastAsia="宋体" w:cs="宋体"/>
          <w:b w:val="0"/>
          <w:bCs w:val="0"/>
          <w:color w:val="auto"/>
          <w:sz w:val="21"/>
          <w:szCs w:val="21"/>
          <w:highlight w:val="none"/>
        </w:rPr>
        <w:t>提供安全制度分类管理功能，支持按层级分类，包括国家法规、行业标准、校级制度、院级制度、实验室制度等多级分类，支持无限级扩展；支持按类型分类，包括安全管理制度、操作规程、应急预案等。</w:t>
      </w:r>
    </w:p>
    <w:p w14:paraId="3831848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7.1.2.</w:t>
      </w:r>
      <w:r>
        <w:rPr>
          <w:rFonts w:hint="eastAsia" w:ascii="宋体" w:hAnsi="宋体" w:eastAsia="宋体" w:cs="宋体"/>
          <w:b w:val="0"/>
          <w:bCs w:val="0"/>
          <w:color w:val="auto"/>
          <w:sz w:val="21"/>
          <w:szCs w:val="21"/>
          <w:highlight w:val="none"/>
        </w:rPr>
        <w:t>支持分类的新增、编辑、删除、排序操作，支持按分类名称检索。</w:t>
      </w:r>
    </w:p>
    <w:p w14:paraId="5EB5C3CC">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7.2.</w:t>
      </w:r>
      <w:r>
        <w:rPr>
          <w:rFonts w:hint="eastAsia" w:ascii="宋体" w:hAnsi="宋体" w:eastAsia="宋体" w:cs="宋体"/>
          <w:b w:val="0"/>
          <w:bCs w:val="0"/>
          <w:color w:val="auto"/>
          <w:sz w:val="21"/>
          <w:szCs w:val="21"/>
          <w:highlight w:val="none"/>
          <w:lang w:val="zh-CN"/>
        </w:rPr>
        <w:t>制度文件管理</w:t>
      </w:r>
    </w:p>
    <w:p w14:paraId="7E254F0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7.2.1.</w:t>
      </w:r>
      <w:r>
        <w:rPr>
          <w:rFonts w:hint="eastAsia" w:ascii="宋体" w:hAnsi="宋体" w:eastAsia="宋体" w:cs="宋体"/>
          <w:b w:val="0"/>
          <w:bCs w:val="0"/>
          <w:color w:val="auto"/>
          <w:sz w:val="21"/>
          <w:szCs w:val="21"/>
          <w:highlight w:val="none"/>
        </w:rPr>
        <w:t>提供安全制度文件的创建功能，支持上传PDF、Word等格式文件作为制度附件。</w:t>
      </w:r>
    </w:p>
    <w:p w14:paraId="7855012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7.2.2.</w:t>
      </w:r>
      <w:r>
        <w:rPr>
          <w:rFonts w:hint="eastAsia" w:ascii="宋体" w:hAnsi="宋体" w:eastAsia="宋体" w:cs="宋体"/>
          <w:b w:val="0"/>
          <w:bCs w:val="0"/>
          <w:color w:val="auto"/>
          <w:sz w:val="21"/>
          <w:szCs w:val="21"/>
          <w:highlight w:val="none"/>
        </w:rPr>
        <w:t>提供制度文件审核与发布流程：制度文件创建后，支持配置审核流程，经审核通过后发布；未发布的制度文件为草稿状态，可继续编辑修改。</w:t>
      </w:r>
    </w:p>
    <w:p w14:paraId="70191D23">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7.2.3.</w:t>
      </w:r>
      <w:r>
        <w:rPr>
          <w:rFonts w:hint="eastAsia" w:ascii="宋体" w:hAnsi="宋体" w:eastAsia="宋体" w:cs="宋体"/>
          <w:b w:val="0"/>
          <w:bCs w:val="0"/>
          <w:color w:val="auto"/>
          <w:sz w:val="21"/>
          <w:szCs w:val="21"/>
          <w:highlight w:val="none"/>
        </w:rPr>
        <w:t>支持按制度名称、分类、发布状态、生效日期等多维度检索制度文件。</w:t>
      </w:r>
    </w:p>
    <w:p w14:paraId="0E7FB2F1">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7.2.4.</w:t>
      </w:r>
      <w:r>
        <w:rPr>
          <w:rFonts w:hint="eastAsia" w:ascii="宋体" w:hAnsi="宋体" w:eastAsia="宋体" w:cs="宋体"/>
          <w:b w:val="0"/>
          <w:bCs w:val="0"/>
          <w:color w:val="auto"/>
          <w:sz w:val="21"/>
          <w:szCs w:val="21"/>
          <w:highlight w:val="none"/>
        </w:rPr>
        <w:t>提供制度文件的批量导入与导出功能。</w:t>
      </w:r>
    </w:p>
    <w:p w14:paraId="54007854">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7.3.</w:t>
      </w:r>
      <w:r>
        <w:rPr>
          <w:rFonts w:hint="eastAsia" w:ascii="宋体" w:hAnsi="宋体" w:eastAsia="宋体" w:cs="宋体"/>
          <w:b w:val="0"/>
          <w:bCs w:val="0"/>
          <w:color w:val="auto"/>
          <w:sz w:val="21"/>
          <w:szCs w:val="21"/>
          <w:highlight w:val="none"/>
          <w:lang w:val="zh-CN"/>
        </w:rPr>
        <w:t>操作规程管理</w:t>
      </w:r>
    </w:p>
    <w:p w14:paraId="311511DF">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7.3.1.</w:t>
      </w:r>
      <w:r>
        <w:rPr>
          <w:rFonts w:hint="eastAsia" w:ascii="宋体" w:hAnsi="宋体" w:eastAsia="宋体" w:cs="宋体"/>
          <w:b w:val="0"/>
          <w:bCs w:val="0"/>
          <w:color w:val="auto"/>
          <w:sz w:val="21"/>
          <w:szCs w:val="21"/>
          <w:highlight w:val="none"/>
        </w:rPr>
        <w:t>提供实验室操作规程管理功能，支持按实验室分类（化学类/生物类/辐射类/机电类/其他类）关联对应的操作规程模板。</w:t>
      </w:r>
    </w:p>
    <w:p w14:paraId="105B6C4F">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7.3.2.</w:t>
      </w:r>
      <w:r>
        <w:rPr>
          <w:rFonts w:hint="eastAsia" w:ascii="宋体" w:hAnsi="宋体" w:eastAsia="宋体" w:cs="宋体"/>
          <w:b w:val="0"/>
          <w:bCs w:val="0"/>
          <w:color w:val="auto"/>
          <w:sz w:val="21"/>
          <w:szCs w:val="21"/>
          <w:highlight w:val="none"/>
        </w:rPr>
        <w:t>支持实验室负责人为本实验室创建自定义操作规程，内容可包含实验步骤、安全注意事项、应急处理流程等，支持关联图片、视频等多媒体资源。</w:t>
      </w:r>
    </w:p>
    <w:p w14:paraId="1E56D371">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7.3.3.</w:t>
      </w:r>
      <w:r>
        <w:rPr>
          <w:rFonts w:hint="eastAsia" w:ascii="宋体" w:hAnsi="宋体" w:eastAsia="宋体" w:cs="宋体"/>
          <w:b w:val="0"/>
          <w:bCs w:val="0"/>
          <w:color w:val="auto"/>
          <w:sz w:val="21"/>
          <w:szCs w:val="21"/>
          <w:highlight w:val="none"/>
        </w:rPr>
        <w:t>支持操作规程的审核发布流程，发布后在实验室身份牌和班牌上自动展示。</w:t>
      </w:r>
    </w:p>
    <w:p w14:paraId="03FA4722">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8.</w:t>
      </w:r>
      <w:r>
        <w:rPr>
          <w:rFonts w:hint="eastAsia" w:ascii="宋体" w:hAnsi="宋体" w:eastAsia="宋体" w:cs="宋体"/>
          <w:b w:val="0"/>
          <w:bCs w:val="0"/>
          <w:color w:val="auto"/>
          <w:sz w:val="21"/>
          <w:szCs w:val="21"/>
          <w:highlight w:val="none"/>
        </w:rPr>
        <w:t>数据上报</w:t>
      </w:r>
    </w:p>
    <w:p w14:paraId="338795DB">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8.1.</w:t>
      </w:r>
      <w:r>
        <w:rPr>
          <w:rFonts w:hint="eastAsia" w:ascii="宋体" w:hAnsi="宋体" w:eastAsia="宋体" w:cs="宋体"/>
          <w:b w:val="0"/>
          <w:bCs w:val="0"/>
          <w:color w:val="auto"/>
          <w:sz w:val="21"/>
          <w:szCs w:val="21"/>
          <w:highlight w:val="none"/>
          <w:lang w:val="zh-CN"/>
        </w:rPr>
        <w:t>数据上报基础设置</w:t>
      </w:r>
    </w:p>
    <w:p w14:paraId="738CB65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8.1.1.</w:t>
      </w:r>
      <w:r>
        <w:rPr>
          <w:rFonts w:hint="eastAsia" w:ascii="宋体" w:hAnsi="宋体" w:eastAsia="宋体" w:cs="宋体"/>
          <w:b w:val="0"/>
          <w:bCs w:val="0"/>
          <w:color w:val="auto"/>
          <w:sz w:val="21"/>
          <w:szCs w:val="21"/>
          <w:highlight w:val="none"/>
        </w:rPr>
        <w:t>提供角色权限管理功能，支持管理员配置不同角色及对应权限。</w:t>
      </w:r>
    </w:p>
    <w:p w14:paraId="783D1CBF">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8.1.2.</w:t>
      </w:r>
      <w:r>
        <w:rPr>
          <w:rFonts w:hint="eastAsia" w:ascii="宋体" w:hAnsi="宋体" w:eastAsia="宋体" w:cs="宋体"/>
          <w:b w:val="0"/>
          <w:bCs w:val="0"/>
          <w:color w:val="auto"/>
          <w:sz w:val="21"/>
          <w:szCs w:val="21"/>
          <w:highlight w:val="none"/>
        </w:rPr>
        <w:t>提供基表权限管理，支持管理员根据角色自定义各基表字段的查看、编辑、导出权限，通过权限锁定保障数据的准确性与安全性。</w:t>
      </w:r>
    </w:p>
    <w:p w14:paraId="5B84BB1A">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8.1.3.</w:t>
      </w:r>
      <w:r>
        <w:rPr>
          <w:rFonts w:hint="eastAsia" w:ascii="宋体" w:hAnsi="宋体" w:eastAsia="宋体" w:cs="宋体"/>
          <w:b w:val="0"/>
          <w:bCs w:val="0"/>
          <w:color w:val="auto"/>
          <w:sz w:val="21"/>
          <w:szCs w:val="21"/>
          <w:highlight w:val="none"/>
        </w:rPr>
        <w:t>支持自定义审核流程，审核层级及每一级的审核人员均可灵活配置。</w:t>
      </w:r>
    </w:p>
    <w:p w14:paraId="0E0ACE0F">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8.2.</w:t>
      </w:r>
      <w:r>
        <w:rPr>
          <w:rFonts w:hint="eastAsia" w:ascii="宋体" w:hAnsi="宋体" w:eastAsia="宋体" w:cs="宋体"/>
          <w:b w:val="0"/>
          <w:bCs w:val="0"/>
          <w:color w:val="auto"/>
          <w:sz w:val="21"/>
          <w:szCs w:val="21"/>
          <w:highlight w:val="none"/>
          <w:lang w:val="zh-CN"/>
        </w:rPr>
        <w:t>填报任务管理</w:t>
      </w:r>
    </w:p>
    <w:p w14:paraId="4F8FC15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8.2.1.</w:t>
      </w:r>
      <w:r>
        <w:rPr>
          <w:rFonts w:hint="eastAsia" w:ascii="宋体" w:hAnsi="宋体" w:eastAsia="宋体" w:cs="宋体"/>
          <w:b w:val="0"/>
          <w:bCs w:val="0"/>
          <w:color w:val="auto"/>
          <w:sz w:val="21"/>
          <w:szCs w:val="21"/>
          <w:highlight w:val="none"/>
        </w:rPr>
        <w:t>支持填表任务管理，可进行新增、编辑和删除等操作；支持一键复制往年填报任务。</w:t>
      </w:r>
    </w:p>
    <w:p w14:paraId="58F9AAD5">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8.2.2.</w:t>
      </w:r>
      <w:r>
        <w:rPr>
          <w:rFonts w:hint="eastAsia" w:ascii="宋体" w:hAnsi="宋体" w:eastAsia="宋体" w:cs="宋体"/>
          <w:b w:val="0"/>
          <w:bCs w:val="0"/>
          <w:color w:val="auto"/>
          <w:sz w:val="21"/>
          <w:szCs w:val="21"/>
          <w:highlight w:val="none"/>
        </w:rPr>
        <w:t>实现“学校-二级单位（学院）-实验室”三级管理体系，各级责任人按角色分工完成信息统计、审核与上报工作。实验室端填写数据并提交至学院；学院审核数据并上报至学校；校级进行终审后，可导出报表文件上报教育部。</w:t>
      </w:r>
    </w:p>
    <w:p w14:paraId="7D1B80FF">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8.2.3.</w:t>
      </w:r>
      <w:r>
        <w:rPr>
          <w:rFonts w:hint="eastAsia" w:ascii="宋体" w:hAnsi="宋体" w:eastAsia="宋体" w:cs="宋体"/>
          <w:b w:val="0"/>
          <w:bCs w:val="0"/>
          <w:color w:val="auto"/>
          <w:sz w:val="21"/>
          <w:szCs w:val="21"/>
          <w:highlight w:val="none"/>
        </w:rPr>
        <w:t>提供填报通知管理功能，可统一发布填报通知，支持上传培训PPT、常见问题解答、各表模板及填报说明等文档，支持实验室相关人员查看和下载。</w:t>
      </w:r>
    </w:p>
    <w:p w14:paraId="2330ABC0">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8.2.4.</w:t>
      </w:r>
      <w:r>
        <w:rPr>
          <w:rFonts w:hint="eastAsia" w:ascii="宋体" w:hAnsi="宋体" w:eastAsia="宋体" w:cs="宋体"/>
          <w:b w:val="0"/>
          <w:bCs w:val="0"/>
          <w:color w:val="auto"/>
          <w:sz w:val="21"/>
          <w:szCs w:val="21"/>
          <w:highlight w:val="none"/>
        </w:rPr>
        <w:t>提供上报单位管理功能，支持指定填报人员。支持批量导入填报人员，并可查看与导出上报单位列表。</w:t>
      </w:r>
    </w:p>
    <w:p w14:paraId="03C9A62E">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8.2.5 </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可完成教育部及相关上级部门要求的数据填报和表格填报功能，文件数据格式要求与教育部等部门要求保持一致。</w:t>
      </w:r>
      <w:r>
        <w:rPr>
          <w:rFonts w:hint="eastAsia" w:ascii="宋体" w:hAnsi="宋体" w:eastAsia="宋体" w:cs="宋体"/>
          <w:b w:val="0"/>
          <w:bCs w:val="0"/>
          <w:color w:val="auto"/>
          <w:sz w:val="21"/>
          <w:szCs w:val="21"/>
          <w:highlight w:val="none"/>
        </w:rPr>
        <w:t>（提供真实软件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1D39BAFF">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8.3.</w:t>
      </w:r>
      <w:r>
        <w:rPr>
          <w:rFonts w:hint="eastAsia" w:ascii="宋体" w:hAnsi="宋体" w:eastAsia="宋体" w:cs="宋体"/>
          <w:b w:val="0"/>
          <w:bCs w:val="0"/>
          <w:color w:val="auto"/>
          <w:sz w:val="21"/>
          <w:szCs w:val="21"/>
          <w:highlight w:val="none"/>
          <w:lang w:val="zh-CN"/>
        </w:rPr>
        <w:t>数据上报与审核</w:t>
      </w:r>
    </w:p>
    <w:p w14:paraId="4AC77EBC">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8.3.1.</w:t>
      </w:r>
      <w:r>
        <w:rPr>
          <w:rFonts w:hint="eastAsia" w:ascii="宋体" w:hAnsi="宋体" w:eastAsia="宋体" w:cs="宋体"/>
          <w:b w:val="0"/>
          <w:bCs w:val="0"/>
          <w:color w:val="auto"/>
          <w:sz w:val="21"/>
          <w:szCs w:val="21"/>
          <w:highlight w:val="none"/>
        </w:rPr>
        <w:t>支持与各业务系统对接，自动同步业务系统中的基表数据；支持按模板导入数据或复制往年上报数据，简化填报流程；同时支持逐条新增数据；所有操作自动记录系统操作日志，包含操作人员、操作时间、操作内容、IP地址等信息。</w:t>
      </w:r>
    </w:p>
    <w:p w14:paraId="6255D1A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8.3.2.</w:t>
      </w:r>
      <w:r>
        <w:rPr>
          <w:rFonts w:hint="eastAsia" w:ascii="宋体" w:hAnsi="宋体" w:eastAsia="宋体" w:cs="宋体"/>
          <w:b w:val="0"/>
          <w:bCs w:val="0"/>
          <w:color w:val="auto"/>
          <w:sz w:val="21"/>
          <w:szCs w:val="21"/>
          <w:highlight w:val="none"/>
        </w:rPr>
        <w:t>填报人员可逐项填报各基表数据并提交，提交后对应数据将自动锁定，不可随意修改。系统提供数据检测功能，可依据教育部填报要求校验数据，确保填报内容准确完整。</w:t>
      </w:r>
    </w:p>
    <w:p w14:paraId="1159E2D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8.3.3.</w:t>
      </w:r>
      <w:r>
        <w:rPr>
          <w:rFonts w:hint="eastAsia" w:ascii="宋体" w:hAnsi="宋体" w:eastAsia="宋体" w:cs="宋体"/>
          <w:b w:val="0"/>
          <w:bCs w:val="0"/>
          <w:color w:val="auto"/>
          <w:sz w:val="21"/>
          <w:szCs w:val="21"/>
          <w:highlight w:val="none"/>
        </w:rPr>
        <w:t>提供填报数据分级审核功能，按预设审核流程逐级进行审核；校级审核员可对学院上报的全部数据进行批量审核，也可按单位逐条审核。</w:t>
      </w:r>
    </w:p>
    <w:p w14:paraId="405F4744">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8.3.4.</w:t>
      </w:r>
      <w:r>
        <w:rPr>
          <w:rFonts w:hint="eastAsia" w:ascii="宋体" w:hAnsi="宋体" w:eastAsia="宋体" w:cs="宋体"/>
          <w:b w:val="0"/>
          <w:bCs w:val="0"/>
          <w:color w:val="auto"/>
          <w:sz w:val="21"/>
          <w:szCs w:val="21"/>
          <w:highlight w:val="none"/>
        </w:rPr>
        <w:t>管理员可对已锁定的基表进行解锁操作，支持对单个基表解锁，允许填报人员继续填报；对于关联其他基表的数据，当源数据发生变更时可自动同步更新。</w:t>
      </w:r>
    </w:p>
    <w:p w14:paraId="223DBF4A">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8.3.5.</w:t>
      </w:r>
      <w:r>
        <w:rPr>
          <w:rFonts w:hint="eastAsia" w:ascii="宋体" w:hAnsi="宋体" w:eastAsia="宋体" w:cs="宋体"/>
          <w:b w:val="0"/>
          <w:bCs w:val="0"/>
          <w:color w:val="auto"/>
          <w:sz w:val="21"/>
          <w:szCs w:val="21"/>
          <w:highlight w:val="none"/>
        </w:rPr>
        <w:t>提供上报进度查看功能，自动统计各单位填报中、审核中、已完成的数量。各级管理单位可查看下属单位各基表的详细填报进度。</w:t>
      </w:r>
    </w:p>
    <w:p w14:paraId="35E04D94">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8.3.6.</w:t>
      </w:r>
      <w:r>
        <w:rPr>
          <w:rFonts w:hint="eastAsia" w:ascii="宋体" w:hAnsi="宋体" w:eastAsia="宋体" w:cs="宋体"/>
          <w:b w:val="0"/>
          <w:bCs w:val="0"/>
          <w:color w:val="auto"/>
          <w:sz w:val="21"/>
          <w:szCs w:val="21"/>
          <w:highlight w:val="none"/>
        </w:rPr>
        <w:t>各上报单位提交数据并经校级终审确认无误后，系统自动汇总生成上报综表，无需手工录入。各基表与综表数据均支持导出为文件，支持上报至教育部网报系统。</w:t>
      </w:r>
    </w:p>
    <w:p w14:paraId="790CFC7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8.3.7.</w:t>
      </w:r>
      <w:r>
        <w:rPr>
          <w:rFonts w:hint="eastAsia" w:ascii="宋体" w:hAnsi="宋体" w:eastAsia="宋体" w:cs="宋体"/>
          <w:b w:val="0"/>
          <w:bCs w:val="0"/>
          <w:color w:val="auto"/>
          <w:sz w:val="21"/>
          <w:szCs w:val="21"/>
          <w:highlight w:val="none"/>
        </w:rPr>
        <w:t>支持查看历年上报数据，并可按需导出历史数据文件（TXT格式）。</w:t>
      </w:r>
    </w:p>
    <w:p w14:paraId="1A5868B6">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8.3.8 </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可完成教育部及相关上级部门要求的数据上报功能，文件数据格式要求与教育部等部门要求保持一致。</w:t>
      </w:r>
      <w:r>
        <w:rPr>
          <w:rFonts w:hint="eastAsia" w:ascii="宋体" w:hAnsi="宋体" w:eastAsia="宋体" w:cs="宋体"/>
          <w:b w:val="0"/>
          <w:bCs w:val="0"/>
          <w:color w:val="auto"/>
          <w:sz w:val="21"/>
          <w:szCs w:val="21"/>
          <w:highlight w:val="none"/>
        </w:rPr>
        <w:t>（提供真实软件</w:t>
      </w:r>
      <w:r>
        <w:rPr>
          <w:rFonts w:hint="eastAsia" w:ascii="宋体" w:hAnsi="宋体" w:eastAsia="宋体" w:cs="宋体"/>
          <w:b w:val="0"/>
          <w:bCs w:val="0"/>
          <w:color w:val="auto"/>
          <w:sz w:val="21"/>
          <w:szCs w:val="21"/>
          <w:highlight w:val="none"/>
          <w:lang w:val="en-US" w:eastAsia="zh-CN"/>
        </w:rPr>
        <w:t>功能</w:t>
      </w:r>
      <w:r>
        <w:rPr>
          <w:rFonts w:hint="eastAsia" w:ascii="宋体" w:hAnsi="宋体" w:eastAsia="宋体" w:cs="宋体"/>
          <w:b w:val="0"/>
          <w:bCs w:val="0"/>
          <w:color w:val="auto"/>
          <w:sz w:val="21"/>
          <w:szCs w:val="21"/>
          <w:highlight w:val="none"/>
        </w:rPr>
        <w:t>截图证明）</w:t>
      </w:r>
    </w:p>
    <w:p w14:paraId="2723C9A4">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p>
    <w:p w14:paraId="023EF319">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w:t>
      </w:r>
      <w:r>
        <w:rPr>
          <w:rFonts w:hint="eastAsia" w:ascii="宋体" w:hAnsi="宋体" w:eastAsia="宋体" w:cs="宋体"/>
          <w:b w:val="0"/>
          <w:bCs w:val="0"/>
          <w:color w:val="auto"/>
          <w:sz w:val="21"/>
          <w:szCs w:val="21"/>
          <w:highlight w:val="none"/>
        </w:rPr>
        <w:t>实验室项目管理</w:t>
      </w:r>
    </w:p>
    <w:p w14:paraId="4400B5A9">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9.1.</w:t>
      </w:r>
      <w:r>
        <w:rPr>
          <w:rFonts w:hint="eastAsia" w:ascii="宋体" w:hAnsi="宋体" w:eastAsia="宋体" w:cs="宋体"/>
          <w:b w:val="0"/>
          <w:bCs w:val="0"/>
          <w:color w:val="auto"/>
          <w:sz w:val="21"/>
          <w:szCs w:val="21"/>
          <w:highlight w:val="none"/>
          <w:lang w:val="zh-CN"/>
        </w:rPr>
        <w:t>实验室建设项目管理</w:t>
      </w:r>
    </w:p>
    <w:p w14:paraId="6A45FB59">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9.1.1.</w:t>
      </w:r>
      <w:r>
        <w:rPr>
          <w:rFonts w:hint="eastAsia" w:ascii="宋体" w:hAnsi="宋体" w:eastAsia="宋体" w:cs="宋体"/>
          <w:b w:val="0"/>
          <w:bCs w:val="0"/>
          <w:color w:val="auto"/>
          <w:sz w:val="21"/>
          <w:szCs w:val="21"/>
          <w:highlight w:val="none"/>
        </w:rPr>
        <w:t>项目申请与信息填报</w:t>
      </w:r>
    </w:p>
    <w:p w14:paraId="19C865D8">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9.1.1.1.</w:t>
      </w:r>
      <w:r>
        <w:rPr>
          <w:rFonts w:hint="eastAsia" w:ascii="宋体" w:hAnsi="宋体" w:eastAsia="宋体" w:cs="宋体"/>
          <w:b w:val="0"/>
          <w:bCs w:val="0"/>
          <w:color w:val="auto"/>
          <w:sz w:val="21"/>
          <w:szCs w:val="21"/>
          <w:highlight w:val="none"/>
        </w:rPr>
        <w:t>支持项目负责人在线发起实验室建设项目的立项申请；</w:t>
      </w:r>
    </w:p>
    <w:p w14:paraId="37F7C126">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9.1.1.2.</w:t>
      </w:r>
      <w:r>
        <w:rPr>
          <w:rFonts w:hint="eastAsia" w:ascii="宋体" w:hAnsi="宋体" w:eastAsia="宋体" w:cs="宋体"/>
          <w:b w:val="0"/>
          <w:bCs w:val="0"/>
          <w:color w:val="auto"/>
          <w:sz w:val="21"/>
          <w:szCs w:val="21"/>
          <w:highlight w:val="none"/>
        </w:rPr>
        <w:t>项目基本信息采集：支持填写所属学院、实验中心、项目名称、项目负责人、建设类型（新建/改建/扩建）、建设地点、建设面积、经费来源（上级财政/学校自有/学院及项目单位/其他）等核心信息。</w:t>
      </w:r>
    </w:p>
    <w:p w14:paraId="36B992B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9.1.1.3.</w:t>
      </w:r>
      <w:r>
        <w:rPr>
          <w:rFonts w:hint="eastAsia" w:ascii="宋体" w:hAnsi="宋体" w:eastAsia="宋体" w:cs="宋体"/>
          <w:b w:val="0"/>
          <w:bCs w:val="0"/>
          <w:color w:val="auto"/>
          <w:sz w:val="21"/>
          <w:szCs w:val="21"/>
          <w:highlight w:val="none"/>
        </w:rPr>
        <w:t>立项材料上传：支持上传“实验室建设立项申请表”等必要附件，系统限定支持.doc/.docx/.pdf格式文件，并提供模板下载链接，确保申报材料规范完整。</w:t>
      </w:r>
    </w:p>
    <w:p w14:paraId="083D5982">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9.1.1.4.</w:t>
      </w:r>
      <w:r>
        <w:rPr>
          <w:rFonts w:hint="eastAsia" w:ascii="宋体" w:hAnsi="宋体" w:eastAsia="宋体" w:cs="宋体"/>
          <w:b w:val="0"/>
          <w:bCs w:val="0"/>
          <w:color w:val="auto"/>
          <w:sz w:val="21"/>
          <w:szCs w:val="21"/>
          <w:highlight w:val="none"/>
        </w:rPr>
        <w:t>申请提交：支持将填写完整、附件齐全的项目申请正式提交，进入后续审核流程。</w:t>
      </w:r>
    </w:p>
    <w:p w14:paraId="349F9576">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9.1.2.</w:t>
      </w:r>
      <w:r>
        <w:rPr>
          <w:rFonts w:hint="eastAsia" w:ascii="宋体" w:hAnsi="宋体" w:eastAsia="宋体" w:cs="宋体"/>
          <w:b w:val="0"/>
          <w:bCs w:val="0"/>
          <w:color w:val="auto"/>
          <w:sz w:val="21"/>
          <w:szCs w:val="21"/>
          <w:highlight w:val="none"/>
        </w:rPr>
        <w:t>项目审核与进度管理</w:t>
      </w:r>
    </w:p>
    <w:p w14:paraId="6935A369">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9.1.2.1.</w:t>
      </w:r>
      <w:r>
        <w:rPr>
          <w:rFonts w:hint="eastAsia" w:ascii="宋体" w:hAnsi="宋体" w:eastAsia="宋体" w:cs="宋体"/>
          <w:b w:val="0"/>
          <w:bCs w:val="0"/>
          <w:color w:val="auto"/>
          <w:sz w:val="21"/>
          <w:szCs w:val="21"/>
          <w:highlight w:val="none"/>
        </w:rPr>
        <w:t>支持项目在线上按预设流程逐级流转与审批，覆盖项目全生命周期；</w:t>
      </w:r>
    </w:p>
    <w:p w14:paraId="49CAE14A">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9.1.2.2.</w:t>
      </w:r>
      <w:r>
        <w:rPr>
          <w:rFonts w:hint="eastAsia" w:ascii="宋体" w:hAnsi="宋体" w:eastAsia="宋体" w:cs="宋体"/>
          <w:b w:val="0"/>
          <w:bCs w:val="0"/>
          <w:color w:val="auto"/>
          <w:sz w:val="21"/>
          <w:szCs w:val="21"/>
          <w:highlight w:val="none"/>
        </w:rPr>
        <w:t>项目审核：支持审核人对申请内容进行初步审核，给出“通过/驳回”意见，系统记录审核时间与意见。</w:t>
      </w:r>
    </w:p>
    <w:p w14:paraId="0731AE2D">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9.1.2.3.</w:t>
      </w:r>
      <w:r>
        <w:rPr>
          <w:rFonts w:hint="eastAsia" w:ascii="宋体" w:hAnsi="宋体" w:eastAsia="宋体" w:cs="宋体"/>
          <w:b w:val="0"/>
          <w:bCs w:val="0"/>
          <w:color w:val="auto"/>
          <w:sz w:val="21"/>
          <w:szCs w:val="21"/>
          <w:highlight w:val="none"/>
        </w:rPr>
        <w:t>项目评审：支持在审核通过后进入专家或相关部门评审环节，记录评审结论。</w:t>
      </w:r>
    </w:p>
    <w:p w14:paraId="17F3A31B">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9.1.2.4.</w:t>
      </w:r>
      <w:r>
        <w:rPr>
          <w:rFonts w:hint="eastAsia" w:ascii="宋体" w:hAnsi="宋体" w:eastAsia="宋体" w:cs="宋体"/>
          <w:b w:val="0"/>
          <w:bCs w:val="0"/>
          <w:color w:val="auto"/>
          <w:sz w:val="21"/>
          <w:szCs w:val="21"/>
          <w:highlight w:val="none"/>
        </w:rPr>
        <w:t>进度跟踪：支持以流程图或列表形式，实时查看每个项目所处的当前节点（如“项目申请”“项目审核”“项目评审”）、各环节的审批状态（待处理/已通过/被驳回）及处理时间。</w:t>
      </w:r>
    </w:p>
    <w:p w14:paraId="78C50378">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9.1.2.5.</w:t>
      </w:r>
      <w:r>
        <w:rPr>
          <w:rFonts w:hint="eastAsia" w:ascii="宋体" w:hAnsi="宋体" w:eastAsia="宋体" w:cs="宋体"/>
          <w:b w:val="0"/>
          <w:bCs w:val="0"/>
          <w:color w:val="auto"/>
          <w:sz w:val="21"/>
          <w:szCs w:val="21"/>
          <w:highlight w:val="none"/>
        </w:rPr>
        <w:t>多维度查询与筛选：支持按所属学院、实验中心、年度、建设类型、状态、经费来源、项目名称、项目负责人、申请时间等多个维度进行组合筛选与查询。</w:t>
      </w:r>
    </w:p>
    <w:p w14:paraId="3923096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9.1.3.</w:t>
      </w:r>
      <w:r>
        <w:rPr>
          <w:rFonts w:hint="eastAsia" w:ascii="宋体" w:hAnsi="宋体" w:eastAsia="宋体" w:cs="宋体"/>
          <w:b w:val="0"/>
          <w:bCs w:val="0"/>
          <w:color w:val="auto"/>
          <w:sz w:val="21"/>
          <w:szCs w:val="21"/>
          <w:highlight w:val="none"/>
        </w:rPr>
        <w:t>项目管理与数据查询</w:t>
      </w:r>
    </w:p>
    <w:p w14:paraId="102D9DF3">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9.1.3.1.</w:t>
      </w:r>
      <w:r>
        <w:rPr>
          <w:rFonts w:hint="eastAsia" w:ascii="宋体" w:hAnsi="宋体" w:eastAsia="宋体" w:cs="宋体"/>
          <w:b w:val="0"/>
          <w:bCs w:val="0"/>
          <w:color w:val="auto"/>
          <w:sz w:val="21"/>
          <w:szCs w:val="21"/>
          <w:highlight w:val="none"/>
        </w:rPr>
        <w:t>为管理人员提供项目数据的集中展示、批量处理与导出；</w:t>
      </w:r>
    </w:p>
    <w:p w14:paraId="411136B7">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9.1.3.2.</w:t>
      </w:r>
      <w:r>
        <w:rPr>
          <w:rFonts w:hint="eastAsia" w:ascii="宋体" w:hAnsi="宋体" w:eastAsia="宋体" w:cs="宋体"/>
          <w:b w:val="0"/>
          <w:bCs w:val="0"/>
          <w:color w:val="auto"/>
          <w:sz w:val="21"/>
          <w:szCs w:val="21"/>
          <w:highlight w:val="none"/>
        </w:rPr>
        <w:t>项目列表展示：支持在“项目申请”“项目进度”“项目审核”等不同视图下，以表格形式展示项目关键信息，包括项目编号、项目名称、负责人、建设类型、地点、面积、经费来源、立项申请表、实验中心、所属学院等。</w:t>
      </w:r>
    </w:p>
    <w:p w14:paraId="4C6CD03D">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9.1.3.3.</w:t>
      </w:r>
      <w:r>
        <w:rPr>
          <w:rFonts w:hint="eastAsia" w:ascii="宋体" w:hAnsi="宋体" w:eastAsia="宋体" w:cs="宋体"/>
          <w:b w:val="0"/>
          <w:bCs w:val="0"/>
          <w:color w:val="auto"/>
          <w:sz w:val="21"/>
          <w:szCs w:val="21"/>
          <w:highlight w:val="none"/>
        </w:rPr>
        <w:t>批量审核：支持勾选多个项目进行批量审核操作，提高管理效率。</w:t>
      </w:r>
    </w:p>
    <w:p w14:paraId="057D9220">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9.1.3.4.</w:t>
      </w:r>
      <w:r>
        <w:rPr>
          <w:rFonts w:hint="eastAsia" w:ascii="宋体" w:hAnsi="宋体" w:eastAsia="宋体" w:cs="宋体"/>
          <w:b w:val="0"/>
          <w:bCs w:val="0"/>
          <w:color w:val="auto"/>
          <w:sz w:val="21"/>
          <w:szCs w:val="21"/>
          <w:highlight w:val="none"/>
        </w:rPr>
        <w:t>数据导出：支持将当前列表中的项目数据导出为文件（Excel），便于离线分析与存档。</w:t>
      </w:r>
    </w:p>
    <w:p w14:paraId="3D5B808F">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9.1.3.5.</w:t>
      </w:r>
      <w:r>
        <w:rPr>
          <w:rFonts w:hint="eastAsia" w:ascii="宋体" w:hAnsi="宋体" w:eastAsia="宋体" w:cs="宋体"/>
          <w:b w:val="0"/>
          <w:bCs w:val="0"/>
          <w:color w:val="auto"/>
          <w:sz w:val="21"/>
          <w:szCs w:val="21"/>
          <w:highlight w:val="none"/>
        </w:rPr>
        <w:t>状态统计：支持显示“查询项目数”，直观反映当前筛选条件下的项目总量。</w:t>
      </w:r>
    </w:p>
    <w:p w14:paraId="7A5FCAD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9.1.4.</w:t>
      </w:r>
      <w:r>
        <w:rPr>
          <w:rFonts w:hint="eastAsia" w:ascii="宋体" w:hAnsi="宋体" w:eastAsia="宋体" w:cs="宋体"/>
          <w:b w:val="0"/>
          <w:bCs w:val="0"/>
          <w:color w:val="auto"/>
          <w:sz w:val="21"/>
          <w:szCs w:val="21"/>
          <w:highlight w:val="none"/>
        </w:rPr>
        <w:t>流程管理与状态更新</w:t>
      </w:r>
    </w:p>
    <w:p w14:paraId="47F63CC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9.1.4.1.</w:t>
      </w:r>
      <w:r>
        <w:rPr>
          <w:rFonts w:hint="eastAsia" w:ascii="宋体" w:hAnsi="宋体" w:eastAsia="宋体" w:cs="宋体"/>
          <w:b w:val="0"/>
          <w:bCs w:val="0"/>
          <w:color w:val="auto"/>
          <w:sz w:val="21"/>
          <w:szCs w:val="21"/>
          <w:highlight w:val="none"/>
        </w:rPr>
        <w:t>流程节点控制：系统强制按“项目申请→项目审核→项目评审”顺序推进，确保流程合规。</w:t>
      </w:r>
    </w:p>
    <w:p w14:paraId="4C85821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9.1.4.2.</w:t>
      </w:r>
      <w:r>
        <w:rPr>
          <w:rFonts w:hint="eastAsia" w:ascii="宋体" w:hAnsi="宋体" w:eastAsia="宋体" w:cs="宋体"/>
          <w:b w:val="0"/>
          <w:bCs w:val="0"/>
          <w:color w:val="auto"/>
          <w:sz w:val="21"/>
          <w:szCs w:val="21"/>
          <w:highlight w:val="none"/>
        </w:rPr>
        <w:t>状态同步更新：项目在各节点处理完成后，系统自动更新整体状态（如“待审核”“审核中”“已通过”），并同步至所有相关视图。</w:t>
      </w:r>
    </w:p>
    <w:p w14:paraId="6B691CAF">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9.2.</w:t>
      </w:r>
      <w:r>
        <w:rPr>
          <w:rFonts w:hint="eastAsia" w:ascii="宋体" w:hAnsi="宋体" w:eastAsia="宋体" w:cs="宋体"/>
          <w:b w:val="0"/>
          <w:bCs w:val="0"/>
          <w:color w:val="auto"/>
          <w:sz w:val="21"/>
          <w:szCs w:val="21"/>
          <w:highlight w:val="none"/>
          <w:lang w:val="zh-CN"/>
        </w:rPr>
        <w:t>移动端功能</w:t>
      </w:r>
    </w:p>
    <w:p w14:paraId="5C70B8A9">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9.2.1.</w:t>
      </w:r>
      <w:r>
        <w:rPr>
          <w:rFonts w:hint="eastAsia" w:ascii="宋体" w:hAnsi="宋体" w:eastAsia="宋体" w:cs="宋体"/>
          <w:b w:val="0"/>
          <w:bCs w:val="0"/>
          <w:color w:val="auto"/>
          <w:sz w:val="21"/>
          <w:szCs w:val="21"/>
          <w:highlight w:val="none"/>
        </w:rPr>
        <w:t>提供移动端专家评估/评审功能。</w:t>
      </w:r>
    </w:p>
    <w:p w14:paraId="38DBAABB">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10.</w:t>
      </w:r>
      <w:r>
        <w:rPr>
          <w:rFonts w:hint="eastAsia" w:ascii="宋体" w:hAnsi="宋体" w:eastAsia="宋体" w:cs="宋体"/>
          <w:b w:val="0"/>
          <w:bCs w:val="0"/>
          <w:color w:val="auto"/>
          <w:sz w:val="21"/>
          <w:szCs w:val="21"/>
          <w:highlight w:val="none"/>
        </w:rPr>
        <w:t>危化品管理</w:t>
      </w:r>
    </w:p>
    <w:p w14:paraId="5E3198A1">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配合</w:t>
      </w:r>
      <w:r>
        <w:rPr>
          <w:rFonts w:hint="eastAsia" w:ascii="宋体" w:hAnsi="宋体" w:eastAsia="宋体" w:cs="宋体"/>
          <w:b w:val="0"/>
          <w:bCs w:val="0"/>
          <w:color w:val="auto"/>
          <w:sz w:val="21"/>
          <w:szCs w:val="21"/>
          <w:highlight w:val="none"/>
          <w:lang w:val="en-US" w:eastAsia="zh-CN"/>
        </w:rPr>
        <w:t>打印机等设备</w:t>
      </w:r>
      <w:r>
        <w:rPr>
          <w:rFonts w:hint="eastAsia" w:ascii="宋体" w:hAnsi="宋体" w:eastAsia="宋体" w:cs="宋体"/>
          <w:b w:val="0"/>
          <w:bCs w:val="0"/>
          <w:color w:val="auto"/>
          <w:sz w:val="21"/>
          <w:szCs w:val="21"/>
          <w:highlight w:val="none"/>
        </w:rPr>
        <w:t>，实现标签打印、出入库、在线申购、领用、注销等全生命周期管理。</w:t>
      </w:r>
    </w:p>
    <w:p w14:paraId="2FB94A61">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10.1.</w:t>
      </w:r>
      <w:r>
        <w:rPr>
          <w:rFonts w:hint="eastAsia" w:ascii="宋体" w:hAnsi="宋体" w:eastAsia="宋体" w:cs="宋体"/>
          <w:b w:val="0"/>
          <w:bCs w:val="0"/>
          <w:color w:val="auto"/>
          <w:sz w:val="21"/>
          <w:szCs w:val="21"/>
          <w:highlight w:val="none"/>
          <w:lang w:val="zh-CN"/>
        </w:rPr>
        <w:t>危化品基础管理</w:t>
      </w:r>
    </w:p>
    <w:p w14:paraId="726748AC">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10.1.1.</w:t>
      </w:r>
      <w:r>
        <w:rPr>
          <w:rFonts w:hint="eastAsia" w:ascii="宋体" w:hAnsi="宋体" w:eastAsia="宋体" w:cs="宋体"/>
          <w:b w:val="0"/>
          <w:bCs w:val="0"/>
          <w:color w:val="auto"/>
          <w:sz w:val="21"/>
          <w:szCs w:val="21"/>
          <w:highlight w:val="none"/>
        </w:rPr>
        <w:t>提供角色管理功能，支持自定义角色名称、角色说明与状态，支持为角色配置权限与关联用户，支持新增、编辑、删除与批量删除。</w:t>
      </w:r>
    </w:p>
    <w:p w14:paraId="7F5BDBBA">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10.1.2.</w:t>
      </w:r>
      <w:r>
        <w:rPr>
          <w:rFonts w:hint="eastAsia" w:ascii="宋体" w:hAnsi="宋体" w:eastAsia="宋体" w:cs="宋体"/>
          <w:b w:val="0"/>
          <w:bCs w:val="0"/>
          <w:color w:val="auto"/>
          <w:sz w:val="21"/>
          <w:szCs w:val="21"/>
          <w:highlight w:val="none"/>
        </w:rPr>
        <w:t>提供审批流程管理，可根据不同业务流程（科研申购、教学应用申购、废弃物处理等）设置相应审批规则。</w:t>
      </w:r>
    </w:p>
    <w:p w14:paraId="1E96AE21">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10.1.3.</w:t>
      </w:r>
      <w:r>
        <w:rPr>
          <w:rFonts w:hint="eastAsia" w:ascii="宋体" w:hAnsi="宋体" w:eastAsia="宋体" w:cs="宋体"/>
          <w:b w:val="0"/>
          <w:bCs w:val="0"/>
          <w:color w:val="auto"/>
          <w:sz w:val="21"/>
          <w:szCs w:val="21"/>
          <w:highlight w:val="none"/>
        </w:rPr>
        <w:t>权限管理：支持按角色配置功能模块的访问与操作权限。</w:t>
      </w:r>
    </w:p>
    <w:p w14:paraId="2BEF7DD3">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10.1.4.</w:t>
      </w:r>
      <w:r>
        <w:rPr>
          <w:rFonts w:hint="eastAsia" w:ascii="宋体" w:hAnsi="宋体" w:eastAsia="宋体" w:cs="宋体"/>
          <w:b w:val="0"/>
          <w:bCs w:val="0"/>
          <w:color w:val="auto"/>
          <w:sz w:val="21"/>
          <w:szCs w:val="21"/>
          <w:highlight w:val="none"/>
        </w:rPr>
        <w:t>仓库管理：提供仓库管理功能，支持配置仓库名称、级别、管理员、位置等信息，支持状态管理。</w:t>
      </w:r>
    </w:p>
    <w:p w14:paraId="1DBACA57">
      <w:pPr>
        <w:pStyle w:val="4"/>
        <w:keepNext w:val="0"/>
        <w:keepLines w:val="0"/>
        <w:numPr>
          <w:ilvl w:val="0"/>
          <w:numId w:val="0"/>
        </w:numPr>
        <w:tabs>
          <w:tab w:val="left" w:pos="360"/>
        </w:tabs>
        <w:spacing w:before="156" w:beforeLines="50" w:line="240" w:lineRule="auto"/>
        <w:ind w:leftChars="0"/>
        <w:rPr>
          <w:rFonts w:ascii="宋体" w:hAnsi="宋体" w:eastAsia="宋体"/>
          <w:color w:val="auto"/>
          <w:sz w:val="24"/>
          <w:szCs w:val="24"/>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10.1.5.</w:t>
      </w:r>
      <w:r>
        <w:rPr>
          <w:rFonts w:hint="eastAsia" w:ascii="宋体" w:hAnsi="宋体" w:eastAsia="宋体" w:cs="宋体"/>
          <w:b w:val="0"/>
          <w:bCs w:val="0"/>
          <w:color w:val="auto"/>
          <w:sz w:val="21"/>
          <w:szCs w:val="21"/>
          <w:highlight w:val="none"/>
        </w:rPr>
        <w:t>消息提醒设置：系统内置库存预警、过期提醒、审核通知等标准提醒模板，支持自定义提醒内容与推送目标。</w:t>
      </w:r>
    </w:p>
    <w:p w14:paraId="3EBB3E76">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p>
    <w:p w14:paraId="26BCA4ED">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10.2.</w:t>
      </w:r>
      <w:r>
        <w:rPr>
          <w:rFonts w:hint="eastAsia" w:ascii="宋体" w:hAnsi="宋体" w:eastAsia="宋体" w:cs="宋体"/>
          <w:b w:val="0"/>
          <w:bCs w:val="0"/>
          <w:color w:val="auto"/>
          <w:sz w:val="21"/>
          <w:szCs w:val="21"/>
          <w:highlight w:val="none"/>
          <w:lang w:val="zh-CN"/>
        </w:rPr>
        <w:t>危化品管理</w:t>
      </w:r>
    </w:p>
    <w:p w14:paraId="3E0DCE97">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10.2.1</w:t>
      </w:r>
      <w:r>
        <w:rPr>
          <w:rFonts w:hint="eastAsia" w:ascii="宋体" w:hAnsi="宋体" w:eastAsia="宋体" w:cs="宋体"/>
          <w:b w:val="0"/>
          <w:bCs w:val="0"/>
          <w:color w:val="auto"/>
          <w:sz w:val="21"/>
          <w:szCs w:val="21"/>
          <w:highlight w:val="none"/>
        </w:rPr>
        <w:t>危化品品名库：统一维护学校危化品的标准品名信息，字段包括：危化品分类、危化品品名、英文名称、别名、CAS号、危化品型号、危化品单位、所属仓库；支持新增、编辑、删除与批量删除，支持按名称搜索。</w:t>
      </w:r>
    </w:p>
    <w:p w14:paraId="32BB4468">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10.2.2</w:t>
      </w:r>
      <w:r>
        <w:rPr>
          <w:rFonts w:hint="eastAsia" w:ascii="宋体" w:hAnsi="宋体" w:eastAsia="宋体" w:cs="宋体"/>
          <w:b w:val="0"/>
          <w:bCs w:val="0"/>
          <w:color w:val="auto"/>
          <w:sz w:val="21"/>
          <w:szCs w:val="21"/>
          <w:highlight w:val="none"/>
        </w:rPr>
        <w:t>危化品库：列表展示字段包括：危化品名称、危化品分类、规格/型号、库存上限、库存下限、库存数量、单位、存储位置、货位、备注；支持按分类和仓库筛选，支持按名称搜索，支持勾选"显示零库存"；每条记录支持查看基础信息、入库记录、安全说明与库存日志。</w:t>
      </w:r>
    </w:p>
    <w:p w14:paraId="553C238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10.2.3</w:t>
      </w:r>
      <w:r>
        <w:rPr>
          <w:rFonts w:hint="eastAsia" w:ascii="宋体" w:hAnsi="宋体" w:eastAsia="宋体" w:cs="宋体"/>
          <w:b w:val="0"/>
          <w:bCs w:val="0"/>
          <w:color w:val="auto"/>
          <w:sz w:val="21"/>
          <w:szCs w:val="21"/>
          <w:highlight w:val="none"/>
        </w:rPr>
        <w:t>危化品分类：提供分类管理功能，支持新增、编辑、删除分类与子分类；支持设置分类标签，支持分类排序与展开折叠。</w:t>
      </w:r>
    </w:p>
    <w:p w14:paraId="7F2C7C8F">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 xml:space="preserve">10.2.4 </w:t>
      </w:r>
      <w:r>
        <w:rPr>
          <w:rFonts w:hint="eastAsia" w:ascii="宋体" w:hAnsi="宋体" w:eastAsia="宋体" w:cs="宋体"/>
          <w:b w:val="0"/>
          <w:bCs w:val="0"/>
          <w:color w:val="auto"/>
          <w:sz w:val="21"/>
          <w:szCs w:val="21"/>
          <w:highlight w:val="none"/>
        </w:rPr>
        <w:t>▲库存日志：提供库存操作日志查询，字段包括：操作时间、操作人、危化品名称、规格/型号、供应商、批号/生产日期、过期时间、操作类型（单品入库/单品出库/领用出库等）、操作数量、剩余数量、存储位置；支持按操作类型、操作时间范围筛选，支持按操作人或危化品名称搜索，支持导出。（提供真实软件功能截图证明）</w:t>
      </w:r>
    </w:p>
    <w:p w14:paraId="729FF162">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10.3.</w:t>
      </w:r>
      <w:r>
        <w:rPr>
          <w:rFonts w:hint="eastAsia" w:ascii="宋体" w:hAnsi="宋体" w:eastAsia="宋体" w:cs="宋体"/>
          <w:b w:val="0"/>
          <w:bCs w:val="0"/>
          <w:color w:val="auto"/>
          <w:sz w:val="21"/>
          <w:szCs w:val="21"/>
          <w:highlight w:val="none"/>
          <w:lang w:val="en-US" w:eastAsia="zh-CN"/>
        </w:rPr>
        <w:t>综合记录</w:t>
      </w:r>
      <w:r>
        <w:rPr>
          <w:rFonts w:hint="eastAsia" w:ascii="宋体" w:hAnsi="宋体" w:eastAsia="宋体" w:cs="宋体"/>
          <w:b w:val="0"/>
          <w:bCs w:val="0"/>
          <w:color w:val="auto"/>
          <w:sz w:val="21"/>
          <w:szCs w:val="21"/>
          <w:highlight w:val="none"/>
          <w:lang w:val="zh-CN"/>
        </w:rPr>
        <w:t>管理</w:t>
      </w:r>
    </w:p>
    <w:p w14:paraId="48EED581">
      <w:pPr>
        <w:pStyle w:val="4"/>
        <w:keepNext w:val="0"/>
        <w:keepLines w:val="0"/>
        <w:numPr>
          <w:ilvl w:val="0"/>
          <w:numId w:val="0"/>
        </w:numPr>
        <w:spacing w:before="156" w:beforeLines="50" w:line="240" w:lineRule="auto"/>
        <w:ind w:leftChars="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14:ligatures w14:val="standardContextual"/>
        </w:rPr>
        <w:t>10</w:t>
      </w:r>
      <w:r>
        <w:rPr>
          <w:rFonts w:hint="eastAsia" w:ascii="宋体" w:hAnsi="宋体" w:eastAsia="宋体" w:cs="宋体"/>
          <w:b w:val="0"/>
          <w:bCs w:val="0"/>
          <w:color w:val="auto"/>
          <w:kern w:val="2"/>
          <w:sz w:val="21"/>
          <w:szCs w:val="21"/>
          <w:highlight w:val="none"/>
          <w:lang w:val="en-US" w:eastAsia="zh-CN" w:bidi="ar-SA"/>
        </w:rPr>
        <w:t>.3.1 申购记录：集中查询所有申购记录，展示申请时间、申购人、院系、申购清单、审核状态，支持按时间范围与院系筛选，支持导出记录与导出清单。</w:t>
      </w:r>
    </w:p>
    <w:p w14:paraId="0D818524">
      <w:pPr>
        <w:pStyle w:val="4"/>
        <w:keepNext w:val="0"/>
        <w:keepLines w:val="0"/>
        <w:numPr>
          <w:ilvl w:val="0"/>
          <w:numId w:val="0"/>
        </w:numPr>
        <w:spacing w:before="156" w:beforeLines="50" w:line="240" w:lineRule="auto"/>
        <w:ind w:leftChars="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10.3.2申领记录：集中查询所有申领记录，展示申请时间、申领人、学院、申领清单、审核状态，支持按时间范围与院系筛选，支持导出。</w:t>
      </w:r>
    </w:p>
    <w:p w14:paraId="3CDD704C">
      <w:pPr>
        <w:pStyle w:val="4"/>
        <w:keepNext w:val="0"/>
        <w:keepLines w:val="0"/>
        <w:numPr>
          <w:ilvl w:val="0"/>
          <w:numId w:val="0"/>
        </w:numPr>
        <w:spacing w:before="156" w:beforeLines="50" w:line="240" w:lineRule="auto"/>
        <w:ind w:leftChars="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10.3.3回收记录：集中查询所有回收记录，展示回收时间、递交人、递交人学院、回收物品、计量、单位、处理方式、处理人、照片，支持按时间范围与院系筛选，支持导出。</w:t>
      </w:r>
    </w:p>
    <w:p w14:paraId="1629F29F">
      <w:pPr>
        <w:pStyle w:val="4"/>
        <w:keepNext w:val="0"/>
        <w:keepLines w:val="0"/>
        <w:numPr>
          <w:ilvl w:val="0"/>
          <w:numId w:val="0"/>
        </w:numPr>
        <w:spacing w:before="156" w:beforeLines="50" w:line="240" w:lineRule="auto"/>
        <w:ind w:leftChars="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10.3.4 ▲盘点记录：集中查询所有盘点记录，展示盘点编号、盘点开始日期、盘点结束日期、盘点人、盘点仓库、盈亏详情，支持按时间范围筛选，支持导出。（提供真实软件功能截图证明）</w:t>
      </w:r>
    </w:p>
    <w:p w14:paraId="40EEAD38">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10.4.</w:t>
      </w:r>
      <w:r>
        <w:rPr>
          <w:rFonts w:hint="eastAsia" w:ascii="宋体" w:hAnsi="宋体" w:eastAsia="宋体" w:cs="宋体"/>
          <w:b w:val="0"/>
          <w:bCs w:val="0"/>
          <w:color w:val="auto"/>
          <w:sz w:val="21"/>
          <w:szCs w:val="21"/>
          <w:highlight w:val="none"/>
          <w:lang w:val="zh-CN"/>
        </w:rPr>
        <w:t>在线申购</w:t>
      </w:r>
    </w:p>
    <w:p w14:paraId="51D56D9F">
      <w:pPr>
        <w:pStyle w:val="4"/>
        <w:keepNext w:val="0"/>
        <w:keepLines w:val="0"/>
        <w:numPr>
          <w:ilvl w:val="0"/>
          <w:numId w:val="0"/>
        </w:numPr>
        <w:spacing w:before="156" w:beforeLines="50" w:line="240" w:lineRule="auto"/>
        <w:ind w:leftChars="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14:ligatures w14:val="standardContextual"/>
        </w:rPr>
        <w:t>10.4.1.</w:t>
      </w:r>
      <w:r>
        <w:rPr>
          <w:rFonts w:hint="eastAsia" w:ascii="宋体" w:hAnsi="宋体" w:eastAsia="宋体" w:cs="宋体"/>
          <w:b w:val="0"/>
          <w:bCs w:val="0"/>
          <w:color w:val="auto"/>
          <w:kern w:val="2"/>
          <w:sz w:val="21"/>
          <w:szCs w:val="21"/>
          <w:highlight w:val="none"/>
          <w:lang w:val="en-US" w:eastAsia="zh-CN" w:bidi="ar-SA"/>
        </w:rPr>
        <w:t>▲申购统计：支持按危化品或按申购人两种视角查看申购数据，展示危化品名称、英文名称、别名、CAS号、分类、规格型号、申购总数，支持按时间范围筛选，支持导出。（提供真实软件功能截图证明）</w:t>
      </w:r>
    </w:p>
    <w:p w14:paraId="03DB54D7">
      <w:pPr>
        <w:pStyle w:val="4"/>
        <w:keepNext w:val="0"/>
        <w:keepLines w:val="0"/>
        <w:numPr>
          <w:ilvl w:val="0"/>
          <w:numId w:val="0"/>
        </w:numPr>
        <w:spacing w:before="156" w:beforeLines="50" w:line="240" w:lineRule="auto"/>
        <w:ind w:leftChars="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10.4.2 申领统计：支持按危化品或按申领人两种视角查看申领数据，展示危化品名称、英文名称、别名、CAS号、分类、规格型号、申领总数，支持按时间范围筛选，支持导出。</w:t>
      </w:r>
    </w:p>
    <w:p w14:paraId="10527B0C">
      <w:pPr>
        <w:pStyle w:val="4"/>
        <w:keepNext w:val="0"/>
        <w:keepLines w:val="0"/>
        <w:numPr>
          <w:ilvl w:val="0"/>
          <w:numId w:val="0"/>
        </w:numPr>
        <w:spacing w:before="156" w:beforeLines="50" w:line="240" w:lineRule="auto"/>
        <w:ind w:leftChars="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10.4.3 库存统计：按危化品维度展示当前库存数据，包括分类、规格型号、库存数量等，支持导出。</w:t>
      </w:r>
    </w:p>
    <w:p w14:paraId="47474504">
      <w:pPr>
        <w:pStyle w:val="4"/>
        <w:keepNext w:val="0"/>
        <w:keepLines w:val="0"/>
        <w:numPr>
          <w:ilvl w:val="0"/>
          <w:numId w:val="0"/>
        </w:numPr>
        <w:spacing w:before="156" w:beforeLines="50" w:line="240" w:lineRule="auto"/>
        <w:ind w:leftChars="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10.4.4 出库统计：支持按危化品或按领用人两种视角查看出库数据，展示危化品名称、分类、规格/型号、单位、出库总数，支持按时间范围筛选，支持导出。</w:t>
      </w:r>
    </w:p>
    <w:p w14:paraId="3CCCFB9C">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zh-CN" w:eastAsia="zh-CN" w:bidi="ar-SA"/>
          <w14:ligatures w14:val="standardContextual"/>
        </w:rPr>
        <w:t>10.5.</w:t>
      </w:r>
      <w:r>
        <w:rPr>
          <w:rFonts w:hint="eastAsia" w:ascii="宋体" w:hAnsi="宋体" w:eastAsia="宋体" w:cs="宋体"/>
          <w:b w:val="0"/>
          <w:bCs w:val="0"/>
          <w:color w:val="auto"/>
          <w:sz w:val="21"/>
          <w:szCs w:val="21"/>
          <w:highlight w:val="none"/>
          <w:lang w:val="en-US" w:eastAsia="zh-CN"/>
        </w:rPr>
        <w:t>过程追溯</w:t>
      </w:r>
    </w:p>
    <w:p w14:paraId="7B60C088">
      <w:pPr>
        <w:pStyle w:val="4"/>
        <w:keepNext w:val="0"/>
        <w:keepLines w:val="0"/>
        <w:numPr>
          <w:ilvl w:val="0"/>
          <w:numId w:val="0"/>
        </w:numPr>
        <w:spacing w:before="156" w:beforeLines="50" w:line="240" w:lineRule="auto"/>
        <w:ind w:leftChars="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10.5.1 入库过程：记录入库时间、存放位置、监控视频，支持查看与打包下载，支持按入库时间筛选，支持导出。</w:t>
      </w:r>
    </w:p>
    <w:p w14:paraId="49C711CC">
      <w:pPr>
        <w:pStyle w:val="4"/>
        <w:keepNext w:val="0"/>
        <w:keepLines w:val="0"/>
        <w:numPr>
          <w:ilvl w:val="0"/>
          <w:numId w:val="0"/>
        </w:numPr>
        <w:spacing w:before="156" w:beforeLines="50" w:line="240" w:lineRule="auto"/>
        <w:ind w:leftChars="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10.5.2 领用使用过程：记录领用时间、领取人、领取清单、使用时间、使用人、使用地点、监控视频、照片/视频，支持查看与打包下载，支持按使用日期筛选，支持导出。</w:t>
      </w:r>
    </w:p>
    <w:p w14:paraId="7502AAA1">
      <w:pPr>
        <w:pStyle w:val="4"/>
        <w:keepNext w:val="0"/>
        <w:keepLines w:val="0"/>
        <w:numPr>
          <w:ilvl w:val="0"/>
          <w:numId w:val="0"/>
        </w:numPr>
        <w:spacing w:before="156" w:beforeLines="50" w:line="240" w:lineRule="auto"/>
        <w:ind w:leftChars="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10.5.3▲销毁过程：记录销毁时间、销毁清单、执行人、执行方式、地点、监控视频、照片、签字与合同，支持查看与打包下载，支持按销毁日期筛选，支持导出。（提供真实软件功能截图证明）</w:t>
      </w:r>
    </w:p>
    <w:p w14:paraId="0258D56F">
      <w:pPr>
        <w:pStyle w:val="4"/>
        <w:keepNext w:val="0"/>
        <w:keepLines w:val="0"/>
        <w:numPr>
          <w:ilvl w:val="0"/>
          <w:numId w:val="0"/>
        </w:numPr>
        <w:spacing w:before="156" w:beforeLines="50" w:line="240" w:lineRule="auto"/>
        <w:ind w:leftChars="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10.5.4 盘点过程：记录盘点编号、盘点时间、存放位置、监控视频，支持查看与打包下载，支持按盘点时间筛选，支持导出。</w:t>
      </w:r>
    </w:p>
    <w:p w14:paraId="2500A8DE">
      <w:pPr>
        <w:pStyle w:val="4"/>
        <w:keepNext w:val="0"/>
        <w:keepLines w:val="0"/>
        <w:numPr>
          <w:ilvl w:val="0"/>
          <w:numId w:val="0"/>
        </w:numPr>
        <w:spacing w:before="156" w:beforeLines="50" w:line="240" w:lineRule="auto"/>
        <w:ind w:leftChars="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10.5.5过程追溯提供证据保存设置功能，支持配置各环节需要留存的证据类型（监控、照片、签字、合同等），所有证据支持打包下载。</w:t>
      </w:r>
    </w:p>
    <w:p w14:paraId="255B0034">
      <w:pPr>
        <w:pStyle w:val="4"/>
        <w:keepNext w:val="0"/>
        <w:keepLines w:val="0"/>
        <w:numPr>
          <w:ilvl w:val="0"/>
          <w:numId w:val="0"/>
        </w:numPr>
        <w:spacing w:before="156" w:beforeLines="50" w:line="240" w:lineRule="auto"/>
        <w:ind w:leftChars="0"/>
        <w:rPr>
          <w:rFonts w:hint="eastAsia" w:ascii="宋体" w:hAnsi="宋体" w:eastAsia="宋体" w:cs="宋体"/>
          <w:b w:val="0"/>
          <w:bCs w:val="0"/>
          <w:color w:val="auto"/>
          <w:kern w:val="2"/>
          <w:sz w:val="21"/>
          <w:szCs w:val="21"/>
          <w:highlight w:val="none"/>
          <w:lang w:val="zh-CN" w:eastAsia="zh-CN" w:bidi="ar-SA"/>
        </w:rPr>
      </w:pPr>
      <w:r>
        <w:rPr>
          <w:rFonts w:hint="eastAsia" w:ascii="宋体" w:hAnsi="宋体" w:eastAsia="宋体" w:cs="宋体"/>
          <w:b w:val="0"/>
          <w:bCs w:val="0"/>
          <w:color w:val="auto"/>
          <w:kern w:val="2"/>
          <w:sz w:val="21"/>
          <w:szCs w:val="21"/>
          <w:highlight w:val="none"/>
          <w:lang w:val="zh-CN" w:eastAsia="zh-CN" w:bidi="ar-SA"/>
        </w:rPr>
        <w:t>10.6标签打印</w:t>
      </w:r>
    </w:p>
    <w:p w14:paraId="493EBD85">
      <w:pPr>
        <w:pStyle w:val="4"/>
        <w:keepNext w:val="0"/>
        <w:keepLines w:val="0"/>
        <w:numPr>
          <w:ilvl w:val="0"/>
          <w:numId w:val="0"/>
        </w:numPr>
        <w:spacing w:before="156" w:beforeLines="50" w:line="240" w:lineRule="auto"/>
        <w:ind w:leftChars="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提供标签打印功能，支持连接危化品库专用打印机，选择危化品后预览标签内容（包含危化品名称、英文名称、CAS号、分类、规格、单位、负责人等信息），支持设置打印数量并执行打印。</w:t>
      </w:r>
    </w:p>
    <w:p w14:paraId="6751350C">
      <w:pPr>
        <w:pStyle w:val="4"/>
        <w:keepNext w:val="0"/>
        <w:keepLines w:val="0"/>
        <w:numPr>
          <w:ilvl w:val="0"/>
          <w:numId w:val="0"/>
        </w:numPr>
        <w:spacing w:before="156" w:beforeLines="50" w:line="240" w:lineRule="auto"/>
        <w:ind w:leftChars="0"/>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10.</w:t>
      </w:r>
      <w:r>
        <w:rPr>
          <w:rFonts w:hint="eastAsia" w:ascii="宋体" w:hAnsi="宋体" w:eastAsia="宋体" w:cs="宋体"/>
          <w:b w:val="0"/>
          <w:bCs w:val="0"/>
          <w:color w:val="auto"/>
          <w:kern w:val="2"/>
          <w:sz w:val="21"/>
          <w:szCs w:val="21"/>
          <w:highlight w:val="none"/>
          <w:lang w:val="en-US" w:eastAsia="zh-CN" w:bidi="ar-SA"/>
          <w14:ligatures w14:val="standardContextual"/>
        </w:rPr>
        <w:t>7</w:t>
      </w:r>
      <w:r>
        <w:rPr>
          <w:rFonts w:hint="eastAsia" w:ascii="宋体" w:hAnsi="宋体" w:eastAsia="宋体" w:cs="宋体"/>
          <w:b w:val="0"/>
          <w:bCs w:val="0"/>
          <w:color w:val="auto"/>
          <w:kern w:val="2"/>
          <w:sz w:val="21"/>
          <w:szCs w:val="21"/>
          <w:highlight w:val="none"/>
          <w:lang w:val="zh-CN" w:eastAsia="zh-CN" w:bidi="ar-SA"/>
          <w14:ligatures w14:val="standardContextual"/>
        </w:rPr>
        <w:t>.</w:t>
      </w:r>
      <w:r>
        <w:rPr>
          <w:rFonts w:hint="eastAsia" w:ascii="宋体" w:hAnsi="宋体" w:eastAsia="宋体" w:cs="宋体"/>
          <w:b w:val="0"/>
          <w:bCs w:val="0"/>
          <w:color w:val="auto"/>
          <w:sz w:val="21"/>
          <w:szCs w:val="21"/>
          <w:highlight w:val="none"/>
          <w:lang w:val="zh-CN"/>
        </w:rPr>
        <w:t>危化品领用管理</w:t>
      </w:r>
    </w:p>
    <w:p w14:paraId="4BD14E71">
      <w:pPr>
        <w:pStyle w:val="4"/>
        <w:keepNext w:val="0"/>
        <w:keepLines w:val="0"/>
        <w:numPr>
          <w:ilvl w:val="0"/>
          <w:numId w:val="0"/>
        </w:numPr>
        <w:spacing w:before="156" w:beforeLines="50" w:line="240" w:lineRule="auto"/>
        <w:ind w:leftChars="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10.7.1实时展示危化品种类数与库存总量，支持按分类筛选，支持按名称搜索；10.7.2支持危化品入库操作，包括单品入库、批量入库与扫码入库（配合标签扫描枪），入库时填写供应商、批号/生产日期、过期日期、存储位置等信息；</w:t>
      </w:r>
    </w:p>
    <w:p w14:paraId="37BB32D1">
      <w:pPr>
        <w:pStyle w:val="4"/>
        <w:keepNext w:val="0"/>
        <w:keepLines w:val="0"/>
        <w:numPr>
          <w:ilvl w:val="0"/>
          <w:numId w:val="0"/>
        </w:numPr>
        <w:spacing w:before="156" w:beforeLines="50" w:line="240" w:lineRule="auto"/>
        <w:ind w:leftChars="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10.7.3支持危化品出库操作，提供单品出库与扫码出库两种方式，扫码出库需使用配套扫描枪完成；</w:t>
      </w:r>
    </w:p>
    <w:p w14:paraId="2352ABE5">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10.7.</w:t>
      </w:r>
      <w:r>
        <w:rPr>
          <w:rFonts w:hint="eastAsia" w:ascii="宋体" w:hAnsi="宋体" w:eastAsia="宋体" w:cs="宋体"/>
          <w:b w:val="0"/>
          <w:bCs w:val="0"/>
          <w:color w:val="auto"/>
          <w:sz w:val="21"/>
          <w:szCs w:val="21"/>
          <w:highlight w:val="none"/>
          <w:lang w:val="zh-CN"/>
        </w:rPr>
        <w:t>危化品注销</w:t>
      </w:r>
    </w:p>
    <w:p w14:paraId="35992B63">
      <w:pPr>
        <w:pStyle w:val="4"/>
        <w:keepNext w:val="0"/>
        <w:keepLines w:val="0"/>
        <w:pageBreakBefore w:val="0"/>
        <w:widowControl w:val="0"/>
        <w:kinsoku/>
        <w:wordWrap/>
        <w:overflowPunct/>
        <w:topLinePunct w:val="0"/>
        <w:autoSpaceDE/>
        <w:autoSpaceDN/>
        <w:bidi w:val="0"/>
        <w:spacing w:before="156" w:beforeLines="50"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注销申请：试剂使用完毕后支持提交注销申请，系统支持配置注销审核流程，并可查看申请记录及已注销试剂列表。</w:t>
      </w:r>
    </w:p>
    <w:p w14:paraId="50223B79">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10.8.</w:t>
      </w:r>
      <w:r>
        <w:rPr>
          <w:rFonts w:hint="eastAsia" w:ascii="宋体" w:hAnsi="宋体" w:eastAsia="宋体" w:cs="宋体"/>
          <w:b w:val="0"/>
          <w:bCs w:val="0"/>
          <w:color w:val="auto"/>
          <w:sz w:val="21"/>
          <w:szCs w:val="21"/>
          <w:highlight w:val="none"/>
          <w:lang w:val="zh-CN"/>
        </w:rPr>
        <w:t>废弃物管理</w:t>
      </w:r>
    </w:p>
    <w:p w14:paraId="4BEF3836">
      <w:pPr>
        <w:pStyle w:val="4"/>
        <w:keepNext w:val="0"/>
        <w:keepLines w:val="0"/>
        <w:pageBreakBefore w:val="0"/>
        <w:widowControl w:val="0"/>
        <w:kinsoku/>
        <w:wordWrap/>
        <w:overflowPunct/>
        <w:topLinePunct w:val="0"/>
        <w:autoSpaceDE/>
        <w:autoSpaceDN/>
        <w:bidi w:val="0"/>
        <w:spacing w:before="156" w:beforeLines="50"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 xml:space="preserve">10.8.1 </w:t>
      </w:r>
      <w:r>
        <w:rPr>
          <w:rFonts w:hint="eastAsia" w:ascii="宋体" w:hAnsi="宋体" w:eastAsia="宋体" w:cs="宋体"/>
          <w:b w:val="0"/>
          <w:bCs w:val="0"/>
          <w:color w:val="auto"/>
          <w:sz w:val="21"/>
          <w:szCs w:val="21"/>
          <w:highlight w:val="none"/>
        </w:rPr>
        <w:t>提供危化品在线申购功能，申请人选择联合申购人后，上传申购清单并提交，自动进入危化品管理员审批流程；</w:t>
      </w:r>
    </w:p>
    <w:p w14:paraId="334C5320">
      <w:pPr>
        <w:pStyle w:val="4"/>
        <w:keepNext w:val="0"/>
        <w:keepLines w:val="0"/>
        <w:pageBreakBefore w:val="0"/>
        <w:widowControl w:val="0"/>
        <w:kinsoku/>
        <w:wordWrap/>
        <w:overflowPunct/>
        <w:topLinePunct w:val="0"/>
        <w:autoSpaceDE/>
        <w:autoSpaceDN/>
        <w:bidi w:val="0"/>
        <w:spacing w:before="156" w:beforeLines="50"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 xml:space="preserve">10.8.2 </w:t>
      </w:r>
      <w:r>
        <w:rPr>
          <w:rFonts w:hint="eastAsia" w:ascii="宋体" w:hAnsi="宋体" w:eastAsia="宋体" w:cs="宋体"/>
          <w:b w:val="0"/>
          <w:bCs w:val="0"/>
          <w:color w:val="auto"/>
          <w:sz w:val="21"/>
          <w:szCs w:val="21"/>
          <w:highlight w:val="none"/>
        </w:rPr>
        <w:t>支持选择联合申购人，可从系统人员中搜索并添加；</w:t>
      </w:r>
    </w:p>
    <w:p w14:paraId="121DAE7F">
      <w:pPr>
        <w:pStyle w:val="4"/>
        <w:keepNext w:val="0"/>
        <w:keepLines w:val="0"/>
        <w:pageBreakBefore w:val="0"/>
        <w:widowControl w:val="0"/>
        <w:kinsoku/>
        <w:wordWrap/>
        <w:overflowPunct/>
        <w:topLinePunct w:val="0"/>
        <w:autoSpaceDE/>
        <w:autoSpaceDN/>
        <w:bidi w:val="0"/>
        <w:spacing w:before="156" w:beforeLines="50"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 xml:space="preserve">10.8.3 </w:t>
      </w:r>
      <w:r>
        <w:rPr>
          <w:rFonts w:hint="eastAsia" w:ascii="宋体" w:hAnsi="宋体" w:eastAsia="宋体" w:cs="宋体"/>
          <w:b w:val="0"/>
          <w:bCs w:val="0"/>
          <w:color w:val="auto"/>
          <w:sz w:val="21"/>
          <w:szCs w:val="21"/>
          <w:highlight w:val="none"/>
        </w:rPr>
        <w:t>支持下载申购清单模板，按模板填写后上传，系统自动校验清单数据；</w:t>
      </w:r>
    </w:p>
    <w:p w14:paraId="17BBF6A3">
      <w:pPr>
        <w:pStyle w:val="4"/>
        <w:keepNext w:val="0"/>
        <w:keepLines w:val="0"/>
        <w:pageBreakBefore w:val="0"/>
        <w:widowControl w:val="0"/>
        <w:kinsoku/>
        <w:wordWrap/>
        <w:overflowPunct/>
        <w:topLinePunct w:val="0"/>
        <w:autoSpaceDE/>
        <w:autoSpaceDN/>
        <w:bidi w:val="0"/>
        <w:spacing w:before="156" w:beforeLines="50"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 xml:space="preserve">10.8.4 </w:t>
      </w:r>
      <w:r>
        <w:rPr>
          <w:rFonts w:hint="eastAsia" w:ascii="宋体" w:hAnsi="宋体" w:eastAsia="宋体" w:cs="宋体"/>
          <w:b w:val="0"/>
          <w:bCs w:val="0"/>
          <w:color w:val="auto"/>
          <w:sz w:val="21"/>
          <w:szCs w:val="21"/>
          <w:highlight w:val="none"/>
        </w:rPr>
        <w:t>申购列表展示申请时间、申购人、审核状态（待审核/已通过/未通过），支持按状态与申请时间筛选；</w:t>
      </w:r>
    </w:p>
    <w:p w14:paraId="20F17D0B">
      <w:pPr>
        <w:pStyle w:val="4"/>
        <w:keepNext w:val="0"/>
        <w:keepLines w:val="0"/>
        <w:pageBreakBefore w:val="0"/>
        <w:widowControl w:val="0"/>
        <w:kinsoku/>
        <w:wordWrap/>
        <w:overflowPunct/>
        <w:topLinePunct w:val="0"/>
        <w:autoSpaceDE/>
        <w:autoSpaceDN/>
        <w:bidi w:val="0"/>
        <w:spacing w:before="156" w:beforeLines="50"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 xml:space="preserve">10.8.5 </w:t>
      </w:r>
      <w:r>
        <w:rPr>
          <w:rFonts w:hint="eastAsia" w:ascii="宋体" w:hAnsi="宋体" w:eastAsia="宋体" w:cs="宋体"/>
          <w:b w:val="0"/>
          <w:bCs w:val="0"/>
          <w:color w:val="auto"/>
          <w:sz w:val="21"/>
          <w:szCs w:val="21"/>
          <w:highlight w:val="none"/>
        </w:rPr>
        <w:t>支持查看审核详情，展示各级审批人、审批时间与审批结果。</w:t>
      </w:r>
    </w:p>
    <w:p w14:paraId="6B56E0D1">
      <w:pPr>
        <w:pStyle w:val="4"/>
        <w:keepNext w:val="0"/>
        <w:keepLines w:val="0"/>
        <w:pageBreakBefore w:val="0"/>
        <w:widowControl w:val="0"/>
        <w:kinsoku/>
        <w:wordWrap/>
        <w:overflowPunct/>
        <w:topLinePunct w:val="0"/>
        <w:autoSpaceDE/>
        <w:autoSpaceDN/>
        <w:bidi w:val="0"/>
        <w:spacing w:before="156" w:beforeLines="50"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 xml:space="preserve">10.8.6 </w:t>
      </w:r>
      <w:r>
        <w:rPr>
          <w:rFonts w:hint="eastAsia" w:ascii="宋体" w:hAnsi="宋体" w:eastAsia="宋体" w:cs="宋体"/>
          <w:b w:val="0"/>
          <w:bCs w:val="0"/>
          <w:color w:val="auto"/>
          <w:sz w:val="21"/>
          <w:szCs w:val="21"/>
          <w:highlight w:val="none"/>
        </w:rPr>
        <w:t>审核列表按状态统计待审核、已通过、未通过数量，支持按状态、申请时间筛选；</w:t>
      </w:r>
    </w:p>
    <w:p w14:paraId="7EFB9940">
      <w:pPr>
        <w:pStyle w:val="4"/>
        <w:keepNext w:val="0"/>
        <w:keepLines w:val="0"/>
        <w:pageBreakBefore w:val="0"/>
        <w:widowControl w:val="0"/>
        <w:kinsoku/>
        <w:wordWrap/>
        <w:overflowPunct/>
        <w:topLinePunct w:val="0"/>
        <w:autoSpaceDE/>
        <w:autoSpaceDN/>
        <w:bidi w:val="0"/>
        <w:spacing w:before="156" w:beforeLines="50"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 xml:space="preserve">10.8.7 </w:t>
      </w:r>
      <w:r>
        <w:rPr>
          <w:rFonts w:hint="eastAsia" w:ascii="宋体" w:hAnsi="宋体" w:eastAsia="宋体" w:cs="宋体"/>
          <w:b w:val="0"/>
          <w:bCs w:val="0"/>
          <w:color w:val="auto"/>
          <w:sz w:val="21"/>
          <w:szCs w:val="21"/>
          <w:highlight w:val="none"/>
        </w:rPr>
        <w:t>审批人可查看申购清单原始明细与核减后明细，支持驳回或数量核减。</w:t>
      </w:r>
    </w:p>
    <w:p w14:paraId="62AA707E">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10.9.</w:t>
      </w:r>
      <w:r>
        <w:rPr>
          <w:rFonts w:hint="eastAsia" w:ascii="宋体" w:hAnsi="宋体" w:eastAsia="宋体" w:cs="宋体"/>
          <w:b w:val="0"/>
          <w:bCs w:val="0"/>
          <w:color w:val="auto"/>
          <w:kern w:val="2"/>
          <w:sz w:val="21"/>
          <w:szCs w:val="21"/>
          <w:highlight w:val="none"/>
          <w:lang w:val="zh-CN" w:eastAsia="zh-CN" w:bidi="ar-SA"/>
        </w:rPr>
        <w:t>申领与审核</w:t>
      </w:r>
    </w:p>
    <w:p w14:paraId="64465207">
      <w:pPr>
        <w:pStyle w:val="4"/>
        <w:keepNext w:val="0"/>
        <w:keepLines w:val="0"/>
        <w:pageBreakBefore w:val="0"/>
        <w:widowControl w:val="0"/>
        <w:kinsoku/>
        <w:wordWrap/>
        <w:overflowPunct/>
        <w:topLinePunct w:val="0"/>
        <w:autoSpaceDE/>
        <w:autoSpaceDN/>
        <w:bidi w:val="0"/>
        <w:spacing w:before="156" w:beforeLines="50" w:line="240" w:lineRule="auto"/>
        <w:textAlignment w:val="auto"/>
        <w:rPr>
          <w:rFonts w:hint="eastAsia" w:ascii="宋体" w:hAnsi="宋体" w:eastAsia="宋体" w:cs="宋体"/>
          <w:b w:val="0"/>
          <w:bCs w:val="0"/>
          <w:color w:val="auto"/>
          <w:sz w:val="21"/>
          <w:szCs w:val="21"/>
          <w:highlight w:val="none"/>
          <w:lang w:val="zh-CN" w:eastAsia="zh-CN"/>
        </w:rPr>
      </w:pPr>
      <w:r>
        <w:rPr>
          <w:rFonts w:hint="eastAsia" w:ascii="宋体" w:hAnsi="宋体" w:eastAsia="宋体" w:cs="宋体"/>
          <w:b w:val="0"/>
          <w:bCs w:val="0"/>
          <w:color w:val="auto"/>
          <w:sz w:val="21"/>
          <w:szCs w:val="21"/>
          <w:highlight w:val="none"/>
          <w:lang w:val="en-US" w:eastAsia="zh-CN"/>
        </w:rPr>
        <w:t xml:space="preserve">10.9.1 </w:t>
      </w:r>
      <w:r>
        <w:rPr>
          <w:rFonts w:hint="eastAsia" w:ascii="宋体" w:hAnsi="宋体" w:eastAsia="宋体" w:cs="宋体"/>
          <w:b w:val="0"/>
          <w:bCs w:val="0"/>
          <w:color w:val="auto"/>
          <w:sz w:val="21"/>
          <w:szCs w:val="21"/>
          <w:highlight w:val="none"/>
          <w:lang w:val="zh-CN" w:eastAsia="zh-CN"/>
        </w:rPr>
        <w:t>提供危化品在线申领功能，申领人选择联合申请人后，上传申领清单并提交，自动进入危化品管理员审批流程；</w:t>
      </w:r>
    </w:p>
    <w:p w14:paraId="78C5C4AF">
      <w:pPr>
        <w:pStyle w:val="4"/>
        <w:keepNext w:val="0"/>
        <w:keepLines w:val="0"/>
        <w:pageBreakBefore w:val="0"/>
        <w:widowControl w:val="0"/>
        <w:kinsoku/>
        <w:wordWrap/>
        <w:overflowPunct/>
        <w:topLinePunct w:val="0"/>
        <w:autoSpaceDE/>
        <w:autoSpaceDN/>
        <w:bidi w:val="0"/>
        <w:spacing w:before="156" w:beforeLines="50" w:line="240" w:lineRule="auto"/>
        <w:textAlignment w:val="auto"/>
        <w:rPr>
          <w:rFonts w:hint="eastAsia" w:ascii="宋体" w:hAnsi="宋体" w:eastAsia="宋体" w:cs="宋体"/>
          <w:b w:val="0"/>
          <w:bCs w:val="0"/>
          <w:color w:val="auto"/>
          <w:sz w:val="21"/>
          <w:szCs w:val="21"/>
          <w:highlight w:val="none"/>
          <w:lang w:val="zh-CN" w:eastAsia="zh-CN"/>
        </w:rPr>
      </w:pPr>
      <w:r>
        <w:rPr>
          <w:rFonts w:hint="eastAsia" w:ascii="宋体" w:hAnsi="宋体" w:eastAsia="宋体" w:cs="宋体"/>
          <w:b w:val="0"/>
          <w:bCs w:val="0"/>
          <w:color w:val="auto"/>
          <w:sz w:val="21"/>
          <w:szCs w:val="21"/>
          <w:highlight w:val="none"/>
          <w:lang w:val="en-US" w:eastAsia="zh-CN"/>
        </w:rPr>
        <w:t xml:space="preserve">10.9.2 </w:t>
      </w:r>
      <w:r>
        <w:rPr>
          <w:rFonts w:hint="eastAsia" w:ascii="宋体" w:hAnsi="宋体" w:eastAsia="宋体" w:cs="宋体"/>
          <w:b w:val="0"/>
          <w:bCs w:val="0"/>
          <w:color w:val="auto"/>
          <w:sz w:val="21"/>
          <w:szCs w:val="21"/>
          <w:highlight w:val="none"/>
          <w:lang w:val="zh-CN" w:eastAsia="zh-CN"/>
        </w:rPr>
        <w:t>支持选择联合申请人，可从系统人员中搜索并添加；</w:t>
      </w:r>
    </w:p>
    <w:p w14:paraId="56176E3A">
      <w:pPr>
        <w:pStyle w:val="4"/>
        <w:keepNext w:val="0"/>
        <w:keepLines w:val="0"/>
        <w:pageBreakBefore w:val="0"/>
        <w:widowControl w:val="0"/>
        <w:kinsoku/>
        <w:wordWrap/>
        <w:overflowPunct/>
        <w:topLinePunct w:val="0"/>
        <w:autoSpaceDE/>
        <w:autoSpaceDN/>
        <w:bidi w:val="0"/>
        <w:spacing w:before="156" w:beforeLines="50" w:line="240" w:lineRule="auto"/>
        <w:textAlignment w:val="auto"/>
        <w:rPr>
          <w:rFonts w:hint="eastAsia" w:ascii="宋体" w:hAnsi="宋体" w:eastAsia="宋体" w:cs="宋体"/>
          <w:b w:val="0"/>
          <w:bCs w:val="0"/>
          <w:color w:val="auto"/>
          <w:sz w:val="21"/>
          <w:szCs w:val="21"/>
          <w:highlight w:val="none"/>
          <w:lang w:val="zh-CN" w:eastAsia="zh-CN"/>
        </w:rPr>
      </w:pPr>
      <w:r>
        <w:rPr>
          <w:rFonts w:hint="eastAsia" w:ascii="宋体" w:hAnsi="宋体" w:eastAsia="宋体" w:cs="宋体"/>
          <w:b w:val="0"/>
          <w:bCs w:val="0"/>
          <w:color w:val="auto"/>
          <w:sz w:val="21"/>
          <w:szCs w:val="21"/>
          <w:highlight w:val="none"/>
          <w:lang w:val="en-US" w:eastAsia="zh-CN"/>
        </w:rPr>
        <w:t>10.9.3</w:t>
      </w:r>
      <w:r>
        <w:rPr>
          <w:rFonts w:hint="eastAsia" w:ascii="宋体" w:hAnsi="宋体" w:eastAsia="宋体" w:cs="宋体"/>
          <w:b w:val="0"/>
          <w:bCs w:val="0"/>
          <w:color w:val="auto"/>
          <w:sz w:val="21"/>
          <w:szCs w:val="21"/>
          <w:highlight w:val="none"/>
          <w:lang w:val="zh-CN" w:eastAsia="zh-CN"/>
        </w:rPr>
        <w:t>支持下载申领清单模板，按模板填写后上传，系统自动校验清单数据；</w:t>
      </w:r>
    </w:p>
    <w:p w14:paraId="5BEC7C43">
      <w:pPr>
        <w:pStyle w:val="4"/>
        <w:keepNext w:val="0"/>
        <w:keepLines w:val="0"/>
        <w:pageBreakBefore w:val="0"/>
        <w:widowControl w:val="0"/>
        <w:kinsoku/>
        <w:wordWrap/>
        <w:overflowPunct/>
        <w:topLinePunct w:val="0"/>
        <w:autoSpaceDE/>
        <w:autoSpaceDN/>
        <w:bidi w:val="0"/>
        <w:spacing w:before="156" w:beforeLines="50" w:line="240" w:lineRule="auto"/>
        <w:textAlignment w:val="auto"/>
        <w:rPr>
          <w:rFonts w:hint="eastAsia" w:ascii="宋体" w:hAnsi="宋体" w:eastAsia="宋体" w:cs="宋体"/>
          <w:b w:val="0"/>
          <w:bCs w:val="0"/>
          <w:color w:val="auto"/>
          <w:sz w:val="21"/>
          <w:szCs w:val="21"/>
          <w:highlight w:val="none"/>
          <w:lang w:val="zh-CN" w:eastAsia="zh-CN"/>
        </w:rPr>
      </w:pPr>
      <w:r>
        <w:rPr>
          <w:rFonts w:hint="eastAsia" w:ascii="宋体" w:hAnsi="宋体" w:eastAsia="宋体" w:cs="宋体"/>
          <w:b w:val="0"/>
          <w:bCs w:val="0"/>
          <w:color w:val="auto"/>
          <w:sz w:val="21"/>
          <w:szCs w:val="21"/>
          <w:highlight w:val="none"/>
          <w:lang w:val="en-US" w:eastAsia="zh-CN"/>
        </w:rPr>
        <w:t xml:space="preserve">10.9.4 </w:t>
      </w:r>
      <w:r>
        <w:rPr>
          <w:rFonts w:hint="eastAsia" w:ascii="宋体" w:hAnsi="宋体" w:eastAsia="宋体" w:cs="宋体"/>
          <w:b w:val="0"/>
          <w:bCs w:val="0"/>
          <w:color w:val="auto"/>
          <w:sz w:val="21"/>
          <w:szCs w:val="21"/>
          <w:highlight w:val="none"/>
          <w:lang w:val="zh-CN" w:eastAsia="zh-CN"/>
        </w:rPr>
        <w:t>申领列表展示申请时间、申领人、申领清单、审核结果与审核详情，支持按状态与申请时间筛选。</w:t>
      </w:r>
    </w:p>
    <w:p w14:paraId="1A680456">
      <w:pPr>
        <w:pStyle w:val="4"/>
        <w:keepNext w:val="0"/>
        <w:keepLines w:val="0"/>
        <w:pageBreakBefore w:val="0"/>
        <w:widowControl w:val="0"/>
        <w:kinsoku/>
        <w:wordWrap/>
        <w:overflowPunct/>
        <w:topLinePunct w:val="0"/>
        <w:autoSpaceDE/>
        <w:autoSpaceDN/>
        <w:bidi w:val="0"/>
        <w:spacing w:before="156" w:beforeLines="50" w:line="240" w:lineRule="auto"/>
        <w:textAlignment w:val="auto"/>
        <w:rPr>
          <w:rFonts w:hint="eastAsia" w:ascii="宋体" w:hAnsi="宋体" w:eastAsia="宋体" w:cs="宋体"/>
          <w:b w:val="0"/>
          <w:bCs w:val="0"/>
          <w:color w:val="auto"/>
          <w:sz w:val="21"/>
          <w:szCs w:val="21"/>
          <w:highlight w:val="none"/>
          <w:lang w:val="zh-CN" w:eastAsia="zh-CN"/>
        </w:rPr>
      </w:pPr>
      <w:r>
        <w:rPr>
          <w:rFonts w:hint="eastAsia" w:ascii="宋体" w:hAnsi="宋体" w:eastAsia="宋体" w:cs="宋体"/>
          <w:b w:val="0"/>
          <w:bCs w:val="0"/>
          <w:color w:val="auto"/>
          <w:sz w:val="21"/>
          <w:szCs w:val="21"/>
          <w:highlight w:val="none"/>
          <w:lang w:val="en-US" w:eastAsia="zh-CN"/>
        </w:rPr>
        <w:t xml:space="preserve">10.9.5 </w:t>
      </w:r>
      <w:r>
        <w:rPr>
          <w:rFonts w:hint="eastAsia" w:ascii="宋体" w:hAnsi="宋体" w:eastAsia="宋体" w:cs="宋体"/>
          <w:b w:val="0"/>
          <w:bCs w:val="0"/>
          <w:color w:val="auto"/>
          <w:sz w:val="21"/>
          <w:szCs w:val="21"/>
          <w:highlight w:val="none"/>
          <w:lang w:val="zh-CN" w:eastAsia="zh-CN"/>
        </w:rPr>
        <w:t>支持多级审批流程，列表展示申领时间、申领人、学院、申领清单、审核状态与审核详情；</w:t>
      </w:r>
    </w:p>
    <w:p w14:paraId="237B2399">
      <w:pPr>
        <w:pStyle w:val="4"/>
        <w:keepNext w:val="0"/>
        <w:keepLines w:val="0"/>
        <w:pageBreakBefore w:val="0"/>
        <w:widowControl w:val="0"/>
        <w:kinsoku/>
        <w:wordWrap/>
        <w:overflowPunct/>
        <w:topLinePunct w:val="0"/>
        <w:autoSpaceDE/>
        <w:autoSpaceDN/>
        <w:bidi w:val="0"/>
        <w:spacing w:before="156" w:beforeLines="50" w:line="240" w:lineRule="auto"/>
        <w:textAlignment w:val="auto"/>
        <w:rPr>
          <w:rFonts w:hint="eastAsia" w:ascii="宋体" w:hAnsi="宋体" w:eastAsia="宋体" w:cs="宋体"/>
          <w:b w:val="0"/>
          <w:bCs w:val="0"/>
          <w:color w:val="auto"/>
          <w:sz w:val="21"/>
          <w:szCs w:val="21"/>
          <w:highlight w:val="none"/>
          <w:lang w:val="zh-CN" w:eastAsia="zh-CN"/>
        </w:rPr>
      </w:pPr>
      <w:r>
        <w:rPr>
          <w:rFonts w:hint="eastAsia" w:ascii="宋体" w:hAnsi="宋体" w:eastAsia="宋体" w:cs="宋体"/>
          <w:b w:val="0"/>
          <w:bCs w:val="0"/>
          <w:color w:val="auto"/>
          <w:sz w:val="21"/>
          <w:szCs w:val="21"/>
          <w:highlight w:val="none"/>
          <w:lang w:val="en-US" w:eastAsia="zh-CN"/>
        </w:rPr>
        <w:t xml:space="preserve">10.9.6 </w:t>
      </w:r>
      <w:r>
        <w:rPr>
          <w:rFonts w:hint="eastAsia" w:ascii="宋体" w:hAnsi="宋体" w:eastAsia="宋体" w:cs="宋体"/>
          <w:b w:val="0"/>
          <w:bCs w:val="0"/>
          <w:color w:val="auto"/>
          <w:sz w:val="21"/>
          <w:szCs w:val="21"/>
          <w:highlight w:val="none"/>
          <w:lang w:val="zh-CN" w:eastAsia="zh-CN"/>
        </w:rPr>
        <w:t>审核人可查看申领清单原始明细，支持通过、驳回或数量核减操作，并可查看审核记录。</w:t>
      </w:r>
    </w:p>
    <w:p w14:paraId="25F2C3EE">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kern w:val="2"/>
          <w:sz w:val="21"/>
          <w:szCs w:val="21"/>
          <w:highlight w:val="none"/>
          <w:lang w:val="zh-CN" w:eastAsia="zh-CN" w:bidi="ar-SA"/>
          <w14:ligatures w14:val="standardContextual"/>
        </w:rPr>
        <w:t>10.10.</w:t>
      </w:r>
      <w:r>
        <w:rPr>
          <w:rFonts w:hint="eastAsia" w:ascii="宋体" w:hAnsi="宋体" w:eastAsia="宋体" w:cs="宋体"/>
          <w:b w:val="0"/>
          <w:bCs w:val="0"/>
          <w:color w:val="auto"/>
          <w:sz w:val="21"/>
          <w:szCs w:val="21"/>
          <w:highlight w:val="none"/>
          <w:lang w:val="en-US" w:eastAsia="zh-CN"/>
        </w:rPr>
        <w:t>危化品领用</w:t>
      </w:r>
    </w:p>
    <w:p w14:paraId="22F3230B">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kern w:val="2"/>
          <w:sz w:val="21"/>
          <w:szCs w:val="21"/>
          <w:highlight w:val="none"/>
          <w:lang w:val="zh-CN" w:eastAsia="zh-CN" w:bidi="ar-SA"/>
          <w14:ligatures w14:val="standardContextual"/>
        </w:rPr>
      </w:pPr>
      <w:r>
        <w:rPr>
          <w:rFonts w:hint="eastAsia" w:ascii="宋体" w:hAnsi="宋体" w:eastAsia="宋体" w:cs="宋体"/>
          <w:b w:val="0"/>
          <w:bCs w:val="0"/>
          <w:color w:val="auto"/>
          <w:kern w:val="2"/>
          <w:sz w:val="21"/>
          <w:szCs w:val="21"/>
          <w:highlight w:val="none"/>
          <w:lang w:val="zh-CN" w:eastAsia="zh-CN" w:bidi="ar-SA"/>
          <w14:ligatures w14:val="standardContextual"/>
        </w:rPr>
        <w:t>提供领用管理功能，申领审核通过后可进行领用登记，记录领用人、领用清单与领取时间。</w:t>
      </w:r>
    </w:p>
    <w:p w14:paraId="64943483">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kern w:val="2"/>
          <w:sz w:val="21"/>
          <w:szCs w:val="21"/>
          <w:highlight w:val="none"/>
          <w:lang w:val="zh-CN" w:eastAsia="zh-CN" w:bidi="ar-SA"/>
          <w14:ligatures w14:val="standardContextual"/>
        </w:rPr>
      </w:pPr>
      <w:r>
        <w:rPr>
          <w:rFonts w:hint="eastAsia" w:ascii="宋体" w:hAnsi="宋体" w:eastAsia="宋体" w:cs="宋体"/>
          <w:b w:val="0"/>
          <w:bCs w:val="0"/>
          <w:color w:val="auto"/>
          <w:kern w:val="2"/>
          <w:sz w:val="21"/>
          <w:szCs w:val="21"/>
          <w:highlight w:val="none"/>
          <w:lang w:val="zh-CN" w:eastAsia="zh-CN" w:bidi="ar-SA"/>
          <w14:ligatures w14:val="standardContextual"/>
        </w:rPr>
        <w:t>10.11危化品使用</w:t>
      </w:r>
    </w:p>
    <w:p w14:paraId="24AF656D">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0" w:leftChars="0" w:firstLine="0" w:firstLineChars="0"/>
        <w:jc w:val="left"/>
        <w:textAlignment w:val="auto"/>
        <w:rPr>
          <w:rFonts w:hint="eastAsia" w:ascii="宋体" w:hAnsi="宋体" w:eastAsia="宋体" w:cs="宋体"/>
          <w:b w:val="0"/>
          <w:bCs w:val="0"/>
          <w:color w:val="auto"/>
          <w:kern w:val="2"/>
          <w:sz w:val="21"/>
          <w:szCs w:val="21"/>
          <w:highlight w:val="none"/>
          <w:lang w:val="zh-CN" w:eastAsia="zh-CN" w:bidi="ar-SA"/>
          <w14:ligatures w14:val="standardContextual"/>
        </w:rPr>
      </w:pPr>
      <w:r>
        <w:rPr>
          <w:rFonts w:hint="eastAsia" w:ascii="宋体" w:hAnsi="宋体" w:eastAsia="宋体" w:cs="宋体"/>
          <w:b w:val="0"/>
          <w:bCs w:val="0"/>
          <w:color w:val="auto"/>
          <w:kern w:val="2"/>
          <w:sz w:val="21"/>
          <w:szCs w:val="21"/>
          <w:highlight w:val="none"/>
          <w:lang w:val="en-US" w:eastAsia="zh-CN" w:bidi="ar-SA"/>
          <w14:ligatures w14:val="standardContextual"/>
        </w:rPr>
        <w:t>10.11.1</w:t>
      </w:r>
      <w:r>
        <w:rPr>
          <w:rFonts w:hint="eastAsia" w:ascii="宋体" w:hAnsi="宋体" w:eastAsia="宋体" w:cs="宋体"/>
          <w:b w:val="0"/>
          <w:bCs w:val="0"/>
          <w:color w:val="auto"/>
          <w:kern w:val="2"/>
          <w:sz w:val="21"/>
          <w:szCs w:val="21"/>
          <w:highlight w:val="none"/>
          <w:lang w:val="zh-CN" w:eastAsia="zh-CN" w:bidi="ar-SA"/>
          <w14:ligatures w14:val="standardContextual"/>
        </w:rPr>
        <w:t>提供使用记录功能，使用列表顶部实时统计本年度使用次数与累计次数；支持按使用日期筛选，列表展示领用时间、领取清单、领取人、使用时间；</w:t>
      </w:r>
    </w:p>
    <w:p w14:paraId="77D2C649">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0" w:leftChars="0" w:firstLine="0" w:firstLineChars="0"/>
        <w:jc w:val="left"/>
        <w:textAlignment w:val="auto"/>
        <w:rPr>
          <w:rFonts w:hint="eastAsia" w:ascii="宋体" w:hAnsi="宋体" w:eastAsia="宋体" w:cs="宋体"/>
          <w:b w:val="0"/>
          <w:bCs w:val="0"/>
          <w:color w:val="auto"/>
          <w:kern w:val="2"/>
          <w:sz w:val="21"/>
          <w:szCs w:val="21"/>
          <w:highlight w:val="none"/>
          <w:lang w:val="zh-CN" w:eastAsia="zh-CN" w:bidi="ar-SA"/>
          <w14:ligatures w14:val="standardContextual"/>
        </w:rPr>
      </w:pPr>
      <w:r>
        <w:rPr>
          <w:rFonts w:hint="eastAsia" w:ascii="宋体" w:hAnsi="宋体" w:eastAsia="宋体" w:cs="宋体"/>
          <w:b w:val="0"/>
          <w:bCs w:val="0"/>
          <w:color w:val="auto"/>
          <w:kern w:val="2"/>
          <w:sz w:val="21"/>
          <w:szCs w:val="21"/>
          <w:highlight w:val="none"/>
          <w:lang w:val="en-US" w:eastAsia="zh-CN" w:bidi="ar-SA"/>
          <w14:ligatures w14:val="standardContextual"/>
        </w:rPr>
        <w:t>10.11.2</w:t>
      </w:r>
      <w:r>
        <w:rPr>
          <w:rFonts w:hint="eastAsia" w:ascii="宋体" w:hAnsi="宋体" w:eastAsia="宋体" w:cs="宋体"/>
          <w:b w:val="0"/>
          <w:bCs w:val="0"/>
          <w:color w:val="auto"/>
          <w:kern w:val="2"/>
          <w:sz w:val="21"/>
          <w:szCs w:val="21"/>
          <w:highlight w:val="none"/>
          <w:lang w:val="zh-CN" w:eastAsia="zh-CN" w:bidi="ar-SA"/>
          <w14:ligatures w14:val="standardContextual"/>
        </w:rPr>
        <w:t>填写使用记录时，需选择使用人、填写使用地点与使用时间</w:t>
      </w:r>
      <w:r>
        <w:rPr>
          <w:rFonts w:hint="eastAsia" w:ascii="宋体" w:hAnsi="宋体" w:eastAsia="宋体" w:cs="宋体"/>
          <w:b w:val="0"/>
          <w:bCs w:val="0"/>
          <w:color w:val="auto"/>
          <w:kern w:val="2"/>
          <w:sz w:val="21"/>
          <w:szCs w:val="21"/>
          <w:highlight w:val="none"/>
          <w:lang w:val="en-US" w:eastAsia="zh-CN" w:bidi="ar-SA"/>
          <w14:ligatures w14:val="standardContextual"/>
        </w:rPr>
        <w:t>等信息</w:t>
      </w:r>
      <w:r>
        <w:rPr>
          <w:rFonts w:hint="eastAsia" w:ascii="宋体" w:hAnsi="宋体" w:eastAsia="宋体" w:cs="宋体"/>
          <w:b w:val="0"/>
          <w:bCs w:val="0"/>
          <w:color w:val="auto"/>
          <w:kern w:val="2"/>
          <w:sz w:val="21"/>
          <w:szCs w:val="21"/>
          <w:highlight w:val="none"/>
          <w:lang w:val="zh-CN" w:eastAsia="zh-CN" w:bidi="ar-SA"/>
          <w14:ligatures w14:val="standardContextual"/>
        </w:rPr>
        <w:t>；支持勾选</w:t>
      </w:r>
      <w:r>
        <w:rPr>
          <w:rFonts w:hint="eastAsia" w:ascii="宋体" w:hAnsi="宋体" w:eastAsia="宋体" w:cs="宋体"/>
          <w:b w:val="0"/>
          <w:bCs w:val="0"/>
          <w:color w:val="auto"/>
          <w:kern w:val="2"/>
          <w:sz w:val="21"/>
          <w:szCs w:val="21"/>
          <w:highlight w:val="none"/>
          <w:lang w:val="en-US" w:eastAsia="zh-CN" w:bidi="ar-SA"/>
          <w14:ligatures w14:val="standardContextual"/>
        </w:rPr>
        <w:t>相关</w:t>
      </w:r>
      <w:r>
        <w:rPr>
          <w:rFonts w:hint="eastAsia" w:ascii="宋体" w:hAnsi="宋体" w:eastAsia="宋体" w:cs="宋体"/>
          <w:b w:val="0"/>
          <w:bCs w:val="0"/>
          <w:color w:val="auto"/>
          <w:kern w:val="2"/>
          <w:sz w:val="21"/>
          <w:szCs w:val="21"/>
          <w:highlight w:val="none"/>
          <w:lang w:val="zh-CN" w:eastAsia="zh-CN" w:bidi="ar-SA"/>
          <w14:ligatures w14:val="standardContextual"/>
        </w:rPr>
        <w:t>确认</w:t>
      </w:r>
      <w:r>
        <w:rPr>
          <w:rFonts w:hint="eastAsia" w:ascii="宋体" w:hAnsi="宋体" w:eastAsia="宋体" w:cs="宋体"/>
          <w:b w:val="0"/>
          <w:bCs w:val="0"/>
          <w:color w:val="auto"/>
          <w:kern w:val="2"/>
          <w:sz w:val="21"/>
          <w:szCs w:val="21"/>
          <w:highlight w:val="none"/>
          <w:lang w:val="en-US" w:eastAsia="zh-CN" w:bidi="ar-SA"/>
          <w14:ligatures w14:val="standardContextual"/>
        </w:rPr>
        <w:t>选项</w:t>
      </w:r>
      <w:r>
        <w:rPr>
          <w:rFonts w:hint="eastAsia" w:ascii="宋体" w:hAnsi="宋体" w:eastAsia="宋体" w:cs="宋体"/>
          <w:b w:val="0"/>
          <w:bCs w:val="0"/>
          <w:color w:val="auto"/>
          <w:kern w:val="2"/>
          <w:sz w:val="21"/>
          <w:szCs w:val="21"/>
          <w:highlight w:val="none"/>
          <w:lang w:val="zh-CN" w:eastAsia="zh-CN" w:bidi="ar-SA"/>
          <w14:ligatures w14:val="standardContextual"/>
        </w:rPr>
        <w:t>。</w:t>
      </w:r>
    </w:p>
    <w:p w14:paraId="6C0DC77E">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0" w:leftChars="0" w:firstLine="0" w:firstLineChars="0"/>
        <w:jc w:val="left"/>
        <w:textAlignment w:val="auto"/>
        <w:rPr>
          <w:rFonts w:hint="eastAsia" w:ascii="宋体" w:hAnsi="宋体" w:eastAsia="宋体" w:cs="宋体"/>
          <w:b w:val="0"/>
          <w:bCs w:val="0"/>
          <w:color w:val="auto"/>
          <w:kern w:val="2"/>
          <w:sz w:val="21"/>
          <w:szCs w:val="21"/>
          <w:highlight w:val="none"/>
          <w:lang w:val="zh-CN" w:eastAsia="zh-CN" w:bidi="ar-SA"/>
          <w14:ligatures w14:val="standardContextual"/>
        </w:rPr>
      </w:pPr>
      <w:r>
        <w:rPr>
          <w:rFonts w:hint="eastAsia" w:ascii="宋体" w:hAnsi="宋体" w:eastAsia="宋体" w:cs="宋体"/>
          <w:b w:val="0"/>
          <w:bCs w:val="0"/>
          <w:color w:val="auto"/>
          <w:kern w:val="2"/>
          <w:sz w:val="21"/>
          <w:szCs w:val="21"/>
          <w:highlight w:val="none"/>
          <w:lang w:val="zh-CN" w:eastAsia="zh-CN" w:bidi="ar-SA"/>
          <w14:ligatures w14:val="standardContextual"/>
        </w:rPr>
        <w:t>10.12危化品回收</w:t>
      </w:r>
    </w:p>
    <w:p w14:paraId="67AB190B">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0" w:leftChars="0" w:firstLine="0" w:firstLineChars="0"/>
        <w:jc w:val="left"/>
        <w:textAlignment w:val="auto"/>
        <w:rPr>
          <w:rFonts w:hint="eastAsia" w:ascii="宋体" w:hAnsi="宋体" w:eastAsia="宋体" w:cs="宋体"/>
          <w:b w:val="0"/>
          <w:bCs w:val="0"/>
          <w:color w:val="auto"/>
          <w:kern w:val="2"/>
          <w:sz w:val="21"/>
          <w:szCs w:val="21"/>
          <w:highlight w:val="none"/>
          <w:lang w:val="zh-CN" w:eastAsia="zh-CN" w:bidi="ar-SA"/>
          <w14:ligatures w14:val="standardContextual"/>
        </w:rPr>
      </w:pPr>
      <w:r>
        <w:rPr>
          <w:rFonts w:hint="eastAsia" w:ascii="宋体" w:hAnsi="宋体" w:eastAsia="宋体" w:cs="宋体"/>
          <w:b w:val="0"/>
          <w:bCs w:val="0"/>
          <w:color w:val="auto"/>
          <w:kern w:val="2"/>
          <w:sz w:val="21"/>
          <w:szCs w:val="21"/>
          <w:highlight w:val="none"/>
          <w:lang w:val="en-US" w:eastAsia="zh-CN" w:bidi="ar-SA"/>
          <w14:ligatures w14:val="standardContextual"/>
        </w:rPr>
        <w:t xml:space="preserve">10.12.1 </w:t>
      </w:r>
      <w:r>
        <w:rPr>
          <w:rFonts w:hint="eastAsia" w:ascii="宋体" w:hAnsi="宋体" w:eastAsia="宋体" w:cs="宋体"/>
          <w:b w:val="0"/>
          <w:bCs w:val="0"/>
          <w:color w:val="auto"/>
          <w:kern w:val="2"/>
          <w:sz w:val="21"/>
          <w:szCs w:val="21"/>
          <w:highlight w:val="none"/>
          <w:lang w:val="zh-CN" w:eastAsia="zh-CN" w:bidi="ar-SA"/>
          <w14:ligatures w14:val="standardContextual"/>
        </w:rPr>
        <w:t>提供回收管理功能，记录递交人、回收物品、计量、单位、处理方式（如集中存放等）；</w:t>
      </w:r>
    </w:p>
    <w:p w14:paraId="29ECA6F8">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0" w:leftChars="0" w:firstLine="0" w:firstLineChars="0"/>
        <w:jc w:val="left"/>
        <w:textAlignment w:val="auto"/>
        <w:rPr>
          <w:rFonts w:hint="eastAsia" w:ascii="宋体" w:hAnsi="宋体" w:eastAsia="宋体" w:cs="宋体"/>
          <w:b w:val="0"/>
          <w:bCs w:val="0"/>
          <w:color w:val="auto"/>
          <w:kern w:val="2"/>
          <w:sz w:val="21"/>
          <w:szCs w:val="21"/>
          <w:highlight w:val="none"/>
          <w:lang w:val="zh-CN" w:eastAsia="zh-CN" w:bidi="ar-SA"/>
          <w14:ligatures w14:val="standardContextual"/>
        </w:rPr>
      </w:pPr>
      <w:r>
        <w:rPr>
          <w:rFonts w:hint="eastAsia" w:ascii="宋体" w:hAnsi="宋体" w:eastAsia="宋体" w:cs="宋体"/>
          <w:b w:val="0"/>
          <w:bCs w:val="0"/>
          <w:color w:val="auto"/>
          <w:kern w:val="2"/>
          <w:sz w:val="21"/>
          <w:szCs w:val="21"/>
          <w:highlight w:val="none"/>
          <w:lang w:val="en-US" w:eastAsia="zh-CN" w:bidi="ar-SA"/>
          <w14:ligatures w14:val="standardContextual"/>
        </w:rPr>
        <w:t xml:space="preserve">10.12.2 </w:t>
      </w:r>
      <w:r>
        <w:rPr>
          <w:rFonts w:hint="eastAsia" w:ascii="宋体" w:hAnsi="宋体" w:eastAsia="宋体" w:cs="宋体"/>
          <w:b w:val="0"/>
          <w:bCs w:val="0"/>
          <w:color w:val="auto"/>
          <w:kern w:val="2"/>
          <w:sz w:val="21"/>
          <w:szCs w:val="21"/>
          <w:highlight w:val="none"/>
          <w:lang w:val="zh-CN" w:eastAsia="zh-CN" w:bidi="ar-SA"/>
          <w14:ligatures w14:val="standardContextual"/>
        </w:rPr>
        <w:t>支持上传现场照片，支持对回收记录进行查看与编辑。</w:t>
      </w:r>
    </w:p>
    <w:p w14:paraId="76CE481D">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0" w:leftChars="0" w:firstLine="0" w:firstLineChars="0"/>
        <w:jc w:val="left"/>
        <w:textAlignment w:val="auto"/>
        <w:rPr>
          <w:rFonts w:hint="eastAsia" w:ascii="宋体" w:hAnsi="宋体" w:eastAsia="宋体" w:cs="宋体"/>
          <w:b w:val="0"/>
          <w:bCs w:val="0"/>
          <w:color w:val="auto"/>
          <w:kern w:val="2"/>
          <w:sz w:val="21"/>
          <w:szCs w:val="21"/>
          <w:highlight w:val="none"/>
          <w:lang w:val="zh-CN" w:eastAsia="zh-CN" w:bidi="ar-SA"/>
          <w14:ligatures w14:val="standardContextual"/>
        </w:rPr>
      </w:pPr>
      <w:r>
        <w:rPr>
          <w:rFonts w:hint="eastAsia" w:ascii="宋体" w:hAnsi="宋体" w:eastAsia="宋体" w:cs="宋体"/>
          <w:b w:val="0"/>
          <w:bCs w:val="0"/>
          <w:color w:val="auto"/>
          <w:kern w:val="2"/>
          <w:sz w:val="21"/>
          <w:szCs w:val="21"/>
          <w:highlight w:val="none"/>
          <w:lang w:val="zh-CN" w:eastAsia="zh-CN" w:bidi="ar-SA"/>
          <w14:ligatures w14:val="standardContextual"/>
        </w:rPr>
        <w:t>10.13危化品销毁</w:t>
      </w:r>
    </w:p>
    <w:p w14:paraId="62B18070">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0" w:leftChars="0" w:firstLine="0" w:firstLineChars="0"/>
        <w:jc w:val="left"/>
        <w:textAlignment w:val="auto"/>
        <w:rPr>
          <w:rFonts w:hint="eastAsia" w:ascii="宋体" w:hAnsi="宋体" w:eastAsia="宋体" w:cs="宋体"/>
          <w:b w:val="0"/>
          <w:bCs w:val="0"/>
          <w:color w:val="auto"/>
          <w:kern w:val="2"/>
          <w:sz w:val="21"/>
          <w:szCs w:val="21"/>
          <w:highlight w:val="none"/>
          <w:lang w:val="en-US" w:eastAsia="zh-CN" w:bidi="ar-SA"/>
          <w14:ligatures w14:val="standardContextual"/>
        </w:rPr>
      </w:pPr>
      <w:r>
        <w:rPr>
          <w:rFonts w:hint="eastAsia" w:ascii="宋体" w:hAnsi="宋体" w:eastAsia="宋体" w:cs="宋体"/>
          <w:b w:val="0"/>
          <w:bCs w:val="0"/>
          <w:color w:val="auto"/>
          <w:kern w:val="2"/>
          <w:sz w:val="21"/>
          <w:szCs w:val="21"/>
          <w:highlight w:val="none"/>
          <w:lang w:val="en-US" w:eastAsia="zh-CN" w:bidi="ar-SA"/>
          <w14:ligatures w14:val="standardContextual"/>
        </w:rPr>
        <w:t>10.13.1 提供销毁管理功能，填写发生时间、结束时间、执行人、处理方式、处理地点；</w:t>
      </w:r>
    </w:p>
    <w:p w14:paraId="4E9924EC">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0" w:leftChars="0" w:firstLine="0" w:firstLineChars="0"/>
        <w:jc w:val="left"/>
        <w:textAlignment w:val="auto"/>
        <w:rPr>
          <w:rFonts w:hint="eastAsia" w:ascii="宋体" w:hAnsi="宋体" w:eastAsia="宋体" w:cs="宋体"/>
          <w:b w:val="0"/>
          <w:bCs w:val="0"/>
          <w:color w:val="auto"/>
          <w:kern w:val="2"/>
          <w:sz w:val="21"/>
          <w:szCs w:val="21"/>
          <w:highlight w:val="none"/>
          <w:lang w:val="en-US" w:eastAsia="zh-CN" w:bidi="ar-SA"/>
          <w14:ligatures w14:val="standardContextual"/>
        </w:rPr>
      </w:pPr>
      <w:r>
        <w:rPr>
          <w:rFonts w:hint="eastAsia" w:ascii="宋体" w:hAnsi="宋体" w:eastAsia="宋体" w:cs="宋体"/>
          <w:b w:val="0"/>
          <w:bCs w:val="0"/>
          <w:color w:val="auto"/>
          <w:kern w:val="2"/>
          <w:sz w:val="21"/>
          <w:szCs w:val="21"/>
          <w:highlight w:val="none"/>
          <w:lang w:val="en-US" w:eastAsia="zh-CN" w:bidi="ar-SA"/>
          <w14:ligatures w14:val="standardContextual"/>
        </w:rPr>
        <w:t>10.13.2 支持上传销毁清单（提供模板下载）、监控视频及现场照片。</w:t>
      </w:r>
    </w:p>
    <w:p w14:paraId="642A6293">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0" w:leftChars="0" w:firstLine="0" w:firstLineChars="0"/>
        <w:jc w:val="left"/>
        <w:textAlignment w:val="auto"/>
        <w:rPr>
          <w:rFonts w:hint="eastAsia" w:ascii="宋体" w:hAnsi="宋体" w:eastAsia="宋体" w:cs="宋体"/>
          <w:b w:val="0"/>
          <w:bCs w:val="0"/>
          <w:color w:val="auto"/>
          <w:kern w:val="2"/>
          <w:sz w:val="21"/>
          <w:szCs w:val="21"/>
          <w:highlight w:val="none"/>
          <w:lang w:val="zh-CN" w:eastAsia="zh-CN" w:bidi="ar-SA"/>
          <w14:ligatures w14:val="standardContextual"/>
        </w:rPr>
      </w:pPr>
      <w:r>
        <w:rPr>
          <w:rFonts w:hint="eastAsia" w:ascii="宋体" w:hAnsi="宋体" w:eastAsia="宋体" w:cs="宋体"/>
          <w:b w:val="0"/>
          <w:bCs w:val="0"/>
          <w:color w:val="auto"/>
          <w:kern w:val="2"/>
          <w:sz w:val="21"/>
          <w:szCs w:val="21"/>
          <w:highlight w:val="none"/>
          <w:lang w:val="zh-CN" w:eastAsia="zh-CN" w:bidi="ar-SA"/>
          <w14:ligatures w14:val="standardContextual"/>
        </w:rPr>
        <w:t>10.14危化品盘点</w:t>
      </w:r>
    </w:p>
    <w:p w14:paraId="4914905F">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0" w:leftChars="0" w:firstLine="0" w:firstLineChars="0"/>
        <w:jc w:val="left"/>
        <w:textAlignment w:val="auto"/>
        <w:rPr>
          <w:rFonts w:hint="eastAsia" w:ascii="宋体" w:hAnsi="宋体" w:eastAsia="宋体" w:cs="宋体"/>
          <w:b w:val="0"/>
          <w:bCs w:val="0"/>
          <w:color w:val="auto"/>
          <w:kern w:val="2"/>
          <w:sz w:val="21"/>
          <w:szCs w:val="21"/>
          <w:highlight w:val="none"/>
          <w:lang w:val="en-US" w:eastAsia="zh-CN" w:bidi="ar-SA"/>
          <w14:ligatures w14:val="standardContextual"/>
        </w:rPr>
      </w:pPr>
      <w:r>
        <w:rPr>
          <w:rFonts w:hint="eastAsia" w:ascii="宋体" w:hAnsi="宋体" w:eastAsia="宋体" w:cs="宋体"/>
          <w:b w:val="0"/>
          <w:bCs w:val="0"/>
          <w:color w:val="auto"/>
          <w:kern w:val="2"/>
          <w:sz w:val="21"/>
          <w:szCs w:val="21"/>
          <w:highlight w:val="none"/>
          <w:lang w:val="en-US" w:eastAsia="zh-CN" w:bidi="ar-SA"/>
          <w14:ligatures w14:val="standardContextual"/>
        </w:rPr>
        <w:t>10.14.1提供危化品盘点功能，设置盘点仓库、开始与结束时间，盘点期间库存锁定不可出入库。</w:t>
      </w:r>
    </w:p>
    <w:p w14:paraId="34F366BA">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0" w:leftChars="0" w:firstLine="0" w:firstLineChars="0"/>
        <w:jc w:val="left"/>
        <w:textAlignment w:val="auto"/>
        <w:rPr>
          <w:rFonts w:hint="eastAsia" w:ascii="宋体" w:hAnsi="宋体" w:eastAsia="宋体" w:cs="宋体"/>
          <w:b w:val="0"/>
          <w:bCs w:val="0"/>
          <w:color w:val="auto"/>
          <w:kern w:val="2"/>
          <w:sz w:val="21"/>
          <w:szCs w:val="21"/>
          <w:highlight w:val="none"/>
          <w:lang w:val="en-US" w:eastAsia="zh-CN" w:bidi="ar-SA"/>
          <w14:ligatures w14:val="standardContextual"/>
        </w:rPr>
      </w:pPr>
      <w:r>
        <w:rPr>
          <w:rFonts w:hint="eastAsia" w:ascii="宋体" w:hAnsi="宋体" w:eastAsia="宋体" w:cs="宋体"/>
          <w:b w:val="0"/>
          <w:bCs w:val="0"/>
          <w:color w:val="auto"/>
          <w:kern w:val="2"/>
          <w:sz w:val="21"/>
          <w:szCs w:val="21"/>
          <w:highlight w:val="none"/>
          <w:lang w:val="en-US" w:eastAsia="zh-CN" w:bidi="ar-SA"/>
          <w14:ligatures w14:val="standardContextual"/>
        </w:rPr>
        <w:t>10.14.2 盘点时，可输入盘点后实际库存。</w:t>
      </w:r>
    </w:p>
    <w:p w14:paraId="73A8EA42">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w:t>
      </w:r>
      <w:r>
        <w:rPr>
          <w:rFonts w:hint="eastAsia" w:ascii="宋体" w:hAnsi="宋体" w:eastAsia="宋体" w:cs="宋体"/>
          <w:b w:val="0"/>
          <w:bCs w:val="0"/>
          <w:color w:val="auto"/>
          <w:sz w:val="21"/>
          <w:szCs w:val="21"/>
          <w:highlight w:val="none"/>
        </w:rPr>
        <w:t>实验室门户管理</w:t>
      </w:r>
    </w:p>
    <w:p w14:paraId="322FDDA3">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11.1.</w:t>
      </w:r>
      <w:r>
        <w:rPr>
          <w:rFonts w:hint="eastAsia" w:ascii="宋体" w:hAnsi="宋体" w:eastAsia="宋体" w:cs="宋体"/>
          <w:b w:val="0"/>
          <w:bCs w:val="0"/>
          <w:color w:val="auto"/>
          <w:sz w:val="21"/>
          <w:szCs w:val="21"/>
          <w:highlight w:val="none"/>
          <w:lang w:val="zh-CN"/>
        </w:rPr>
        <w:t>门户内容管理</w:t>
      </w:r>
    </w:p>
    <w:p w14:paraId="71569333">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11.1.1.</w:t>
      </w:r>
      <w:r>
        <w:rPr>
          <w:rFonts w:hint="eastAsia" w:ascii="宋体" w:hAnsi="宋体" w:eastAsia="宋体" w:cs="宋体"/>
          <w:b w:val="0"/>
          <w:bCs w:val="0"/>
          <w:color w:val="auto"/>
          <w:sz w:val="21"/>
          <w:szCs w:val="21"/>
          <w:highlight w:val="none"/>
        </w:rPr>
        <w:t>首页海报</w:t>
      </w:r>
    </w:p>
    <w:p w14:paraId="2159F554">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11.1.1.1.</w:t>
      </w:r>
      <w:r>
        <w:rPr>
          <w:rFonts w:hint="eastAsia" w:ascii="宋体" w:hAnsi="宋体" w:eastAsia="宋体" w:cs="宋体"/>
          <w:b w:val="0"/>
          <w:bCs w:val="0"/>
          <w:color w:val="auto"/>
          <w:sz w:val="21"/>
          <w:szCs w:val="21"/>
          <w:highlight w:val="none"/>
        </w:rPr>
        <w:t>提供首页海报管理功能，支持海报的新增、删除、编辑、查询等基础操作；支持发布前预览效果，发布后可在门户首页展示；支持调整海报在首页的展示顺序。</w:t>
      </w:r>
    </w:p>
    <w:p w14:paraId="13255D47">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11.1.1.2.</w:t>
      </w:r>
      <w:r>
        <w:rPr>
          <w:rFonts w:hint="eastAsia" w:ascii="宋体" w:hAnsi="宋体" w:eastAsia="宋体" w:cs="宋体"/>
          <w:b w:val="0"/>
          <w:bCs w:val="0"/>
          <w:color w:val="auto"/>
          <w:sz w:val="21"/>
          <w:szCs w:val="21"/>
          <w:highlight w:val="none"/>
        </w:rPr>
        <w:t>海报发布后在首页显示，可取消发布，取消发布后不再展示；已取消发布的海报支持重新编辑后再次发布。</w:t>
      </w:r>
    </w:p>
    <w:p w14:paraId="1B782464">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11.1.1.3.</w:t>
      </w:r>
      <w:r>
        <w:rPr>
          <w:rFonts w:hint="eastAsia" w:ascii="宋体" w:hAnsi="宋体" w:eastAsia="宋体" w:cs="宋体"/>
          <w:b w:val="0"/>
          <w:bCs w:val="0"/>
          <w:color w:val="auto"/>
          <w:sz w:val="21"/>
          <w:szCs w:val="21"/>
          <w:highlight w:val="none"/>
        </w:rPr>
        <w:t>支持点击海报后在新窗口打开所配置的链接。</w:t>
      </w:r>
    </w:p>
    <w:p w14:paraId="6B18E19F">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11.1.2.</w:t>
      </w:r>
      <w:r>
        <w:rPr>
          <w:rFonts w:hint="eastAsia" w:ascii="宋体" w:hAnsi="宋体" w:eastAsia="宋体" w:cs="宋体"/>
          <w:b w:val="0"/>
          <w:bCs w:val="0"/>
          <w:color w:val="auto"/>
          <w:sz w:val="21"/>
          <w:szCs w:val="21"/>
          <w:highlight w:val="none"/>
        </w:rPr>
        <w:t>通知公告管理</w:t>
      </w:r>
    </w:p>
    <w:p w14:paraId="34949409">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11.1.2.1.</w:t>
      </w:r>
      <w:r>
        <w:rPr>
          <w:rFonts w:hint="eastAsia" w:ascii="宋体" w:hAnsi="宋体" w:eastAsia="宋体" w:cs="宋体"/>
          <w:b w:val="0"/>
          <w:bCs w:val="0"/>
          <w:color w:val="auto"/>
          <w:sz w:val="21"/>
          <w:szCs w:val="21"/>
          <w:highlight w:val="none"/>
        </w:rPr>
        <w:t>提供通知公告管理功能，支持增删改查等基础操作。支持发布前内容预览，预览效果与前台展示完全一致，包含字体样式、颜色、换行、图片大小与位置等格式。</w:t>
      </w:r>
    </w:p>
    <w:p w14:paraId="4300001A">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11.1.2.2.</w:t>
      </w:r>
      <w:r>
        <w:rPr>
          <w:rFonts w:hint="eastAsia" w:ascii="宋体" w:hAnsi="宋体" w:eastAsia="宋体" w:cs="宋体"/>
          <w:b w:val="0"/>
          <w:bCs w:val="0"/>
          <w:color w:val="auto"/>
          <w:sz w:val="21"/>
          <w:szCs w:val="21"/>
          <w:highlight w:val="none"/>
        </w:rPr>
        <w:t>发布后可在门户首页查看，支持调整通知公告的展示顺序。首页点击公告列表可新窗口打开查看详情。</w:t>
      </w:r>
    </w:p>
    <w:p w14:paraId="7210AF52">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11.1.2.3.</w:t>
      </w:r>
      <w:r>
        <w:rPr>
          <w:rFonts w:hint="eastAsia" w:ascii="宋体" w:hAnsi="宋体" w:eastAsia="宋体" w:cs="宋体"/>
          <w:b w:val="0"/>
          <w:bCs w:val="0"/>
          <w:color w:val="auto"/>
          <w:sz w:val="21"/>
          <w:szCs w:val="21"/>
          <w:highlight w:val="none"/>
        </w:rPr>
        <w:t>支持取消发布，取消后公告在首页不再展示，支持取消后重新编辑并再次发布。公告内容支持图片、附件、视频等多种格式。</w:t>
      </w:r>
    </w:p>
    <w:p w14:paraId="0522E0BE">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11.1.3.</w:t>
      </w:r>
      <w:r>
        <w:rPr>
          <w:rFonts w:hint="eastAsia" w:ascii="宋体" w:hAnsi="宋体" w:eastAsia="宋体" w:cs="宋体"/>
          <w:b w:val="0"/>
          <w:bCs w:val="0"/>
          <w:color w:val="auto"/>
          <w:sz w:val="21"/>
          <w:szCs w:val="21"/>
          <w:highlight w:val="none"/>
        </w:rPr>
        <w:t>最新动态管理</w:t>
      </w:r>
    </w:p>
    <w:p w14:paraId="2614878E">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11.1.3.1.</w:t>
      </w:r>
      <w:r>
        <w:rPr>
          <w:rFonts w:hint="eastAsia" w:ascii="宋体" w:hAnsi="宋体" w:eastAsia="宋体" w:cs="宋体"/>
          <w:b w:val="0"/>
          <w:bCs w:val="0"/>
          <w:color w:val="auto"/>
          <w:sz w:val="21"/>
          <w:szCs w:val="21"/>
          <w:highlight w:val="none"/>
        </w:rPr>
        <w:t>提供最新动态管理功能，支持增删改查等基础操作。支持发布前内容预览，预览效果与前台展示完全一致，包括字体样式、颜色、换行、图片大小与位置等格式。</w:t>
      </w:r>
    </w:p>
    <w:p w14:paraId="7CA124B4">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11.1.3.2.</w:t>
      </w:r>
      <w:r>
        <w:rPr>
          <w:rFonts w:hint="eastAsia" w:ascii="宋体" w:hAnsi="宋体" w:eastAsia="宋体" w:cs="宋体"/>
          <w:b w:val="0"/>
          <w:bCs w:val="0"/>
          <w:color w:val="auto"/>
          <w:sz w:val="21"/>
          <w:szCs w:val="21"/>
          <w:highlight w:val="none"/>
        </w:rPr>
        <w:t>发布后可在门户首页查看，支持调整动态展示顺序。首页点击动态列表可新窗口打开查看详情。</w:t>
      </w:r>
    </w:p>
    <w:p w14:paraId="4D0A1097">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11.1.3.3.</w:t>
      </w:r>
      <w:r>
        <w:rPr>
          <w:rFonts w:hint="eastAsia" w:ascii="宋体" w:hAnsi="宋体" w:eastAsia="宋体" w:cs="宋体"/>
          <w:b w:val="0"/>
          <w:bCs w:val="0"/>
          <w:color w:val="auto"/>
          <w:sz w:val="21"/>
          <w:szCs w:val="21"/>
          <w:highlight w:val="none"/>
        </w:rPr>
        <w:t>支持取消发布，取消后动态在首页不再展示，支持取消后重新编辑并再次发布。动态内容支持图片、附件、视频等多种格式。</w:t>
      </w:r>
    </w:p>
    <w:p w14:paraId="162B4CCC">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11.1.4.</w:t>
      </w:r>
      <w:r>
        <w:rPr>
          <w:rFonts w:hint="eastAsia" w:ascii="宋体" w:hAnsi="宋体" w:eastAsia="宋体" w:cs="宋体"/>
          <w:b w:val="0"/>
          <w:bCs w:val="0"/>
          <w:color w:val="auto"/>
          <w:sz w:val="21"/>
          <w:szCs w:val="21"/>
          <w:highlight w:val="none"/>
        </w:rPr>
        <w:t>规章政策管理</w:t>
      </w:r>
    </w:p>
    <w:p w14:paraId="162DDCB8">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11.1.4.1.</w:t>
      </w:r>
      <w:r>
        <w:rPr>
          <w:rFonts w:hint="eastAsia" w:ascii="宋体" w:hAnsi="宋体" w:eastAsia="宋体" w:cs="宋体"/>
          <w:b w:val="0"/>
          <w:bCs w:val="0"/>
          <w:color w:val="auto"/>
          <w:sz w:val="21"/>
          <w:szCs w:val="21"/>
          <w:highlight w:val="none"/>
        </w:rPr>
        <w:t>提供规章政策管理功能，支持增删改查等基础操作。支持发布前内容预览，预览效果与前台展示完全一致，包括字体样式、颜色、换行、图片大小与位置等格式。</w:t>
      </w:r>
    </w:p>
    <w:p w14:paraId="7879319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11.1.4.2.</w:t>
      </w:r>
      <w:r>
        <w:rPr>
          <w:rFonts w:hint="eastAsia" w:ascii="宋体" w:hAnsi="宋体" w:eastAsia="宋体" w:cs="宋体"/>
          <w:b w:val="0"/>
          <w:bCs w:val="0"/>
          <w:color w:val="auto"/>
          <w:sz w:val="21"/>
          <w:szCs w:val="21"/>
          <w:highlight w:val="none"/>
        </w:rPr>
        <w:t>发布后可在门户首页查看，支持调整规章政策在首页的展示顺序。首页点击列表可新窗口打开查看详情。</w:t>
      </w:r>
    </w:p>
    <w:p w14:paraId="5C6F86C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11.1.4.3.</w:t>
      </w:r>
      <w:r>
        <w:rPr>
          <w:rFonts w:hint="eastAsia" w:ascii="宋体" w:hAnsi="宋体" w:eastAsia="宋体" w:cs="宋体"/>
          <w:b w:val="0"/>
          <w:bCs w:val="0"/>
          <w:color w:val="auto"/>
          <w:sz w:val="21"/>
          <w:szCs w:val="21"/>
          <w:highlight w:val="none"/>
        </w:rPr>
        <w:t>支持取消发布，取消后规章政策在首页不再展示，支持取消后重新编辑并再次发布。内容支持图片、附件、视频等多种格式。</w:t>
      </w:r>
    </w:p>
    <w:p w14:paraId="3D91765A">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11.1.5.</w:t>
      </w:r>
      <w:r>
        <w:rPr>
          <w:rFonts w:hint="eastAsia" w:ascii="宋体" w:hAnsi="宋体" w:eastAsia="宋体" w:cs="宋体"/>
          <w:b w:val="0"/>
          <w:bCs w:val="0"/>
          <w:color w:val="auto"/>
          <w:sz w:val="21"/>
          <w:szCs w:val="21"/>
          <w:highlight w:val="none"/>
        </w:rPr>
        <w:t>友情链接管理</w:t>
      </w:r>
    </w:p>
    <w:p w14:paraId="1076252D">
      <w:pPr>
        <w:pStyle w:val="5"/>
        <w:keepNext w:val="0"/>
        <w:keepLines w:val="0"/>
        <w:pageBreakBefore w:val="0"/>
        <w:widowControl w:val="0"/>
        <w:kinsoku/>
        <w:wordWrap/>
        <w:overflowPunct/>
        <w:topLinePunct w:val="0"/>
        <w:autoSpaceDE/>
        <w:autoSpaceDN/>
        <w:bidi w:val="0"/>
        <w:adjustRightInd w:val="0"/>
        <w:snapToGrid w:val="0"/>
        <w:spacing w:before="156" w:beforeLines="50" w:after="0" w:line="240" w:lineRule="auto"/>
        <w:ind w:left="57"/>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提供友情链接管理功能，支持增删改查等基础操作。友情链接在门户首页展示，点击可在新页面打开链接。</w:t>
      </w:r>
    </w:p>
    <w:p w14:paraId="1F7CF7F5">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11.2.</w:t>
      </w:r>
      <w:r>
        <w:rPr>
          <w:rFonts w:hint="eastAsia" w:ascii="宋体" w:hAnsi="宋体" w:eastAsia="宋体" w:cs="宋体"/>
          <w:b w:val="0"/>
          <w:bCs w:val="0"/>
          <w:color w:val="auto"/>
          <w:sz w:val="21"/>
          <w:szCs w:val="21"/>
          <w:highlight w:val="none"/>
          <w:lang w:val="zh-CN"/>
        </w:rPr>
        <w:t>门户首页展示</w:t>
      </w:r>
    </w:p>
    <w:p w14:paraId="184125DB">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11.2.1.</w:t>
      </w:r>
      <w:r>
        <w:rPr>
          <w:rFonts w:hint="eastAsia" w:ascii="宋体" w:hAnsi="宋体" w:eastAsia="宋体" w:cs="宋体"/>
          <w:b w:val="0"/>
          <w:bCs w:val="0"/>
          <w:color w:val="auto"/>
          <w:sz w:val="21"/>
          <w:szCs w:val="21"/>
          <w:highlight w:val="none"/>
        </w:rPr>
        <w:t>支持根据实际管理需求对门户首页进行个性化定制。各业务子模块保持统一的界面风格与操作流程，满足实验室管理人员对系统集中化、大数据高性能处理的需求。支持各级用户通过WEB浏览器进行操作，系统具备良好的开放性与可扩展性，界面设计友好、易学易用。</w:t>
      </w:r>
    </w:p>
    <w:p w14:paraId="165610B6">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11.2.2.</w:t>
      </w:r>
      <w:r>
        <w:rPr>
          <w:rFonts w:hint="eastAsia" w:ascii="宋体" w:hAnsi="宋体" w:eastAsia="宋体" w:cs="宋体"/>
          <w:b w:val="0"/>
          <w:bCs w:val="0"/>
          <w:color w:val="auto"/>
          <w:sz w:val="21"/>
          <w:szCs w:val="21"/>
          <w:highlight w:val="none"/>
        </w:rPr>
        <w:t>支持与统一身份认证系统对接，实现单点登录功能。</w:t>
      </w:r>
    </w:p>
    <w:p w14:paraId="7ECBDAE6">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12.</w:t>
      </w:r>
      <w:r>
        <w:rPr>
          <w:rFonts w:hint="eastAsia" w:ascii="宋体" w:hAnsi="宋体" w:eastAsia="宋体" w:cs="宋体"/>
          <w:b w:val="0"/>
          <w:bCs w:val="0"/>
          <w:color w:val="auto"/>
          <w:sz w:val="21"/>
          <w:szCs w:val="21"/>
          <w:highlight w:val="none"/>
        </w:rPr>
        <w:t>消息代办中心</w:t>
      </w:r>
    </w:p>
    <w:p w14:paraId="6D99A004">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12.1.</w:t>
      </w:r>
      <w:r>
        <w:rPr>
          <w:rFonts w:hint="eastAsia" w:ascii="宋体" w:hAnsi="宋体" w:eastAsia="宋体" w:cs="宋体"/>
          <w:b w:val="0"/>
          <w:bCs w:val="0"/>
          <w:color w:val="auto"/>
          <w:sz w:val="21"/>
          <w:szCs w:val="21"/>
          <w:highlight w:val="none"/>
          <w:lang w:val="zh-CN"/>
        </w:rPr>
        <w:t>消息管理</w:t>
      </w:r>
    </w:p>
    <w:p w14:paraId="399C9A09">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12.1.1.</w:t>
      </w:r>
      <w:r>
        <w:rPr>
          <w:rFonts w:hint="eastAsia" w:ascii="宋体" w:hAnsi="宋体" w:eastAsia="宋体" w:cs="宋体"/>
          <w:b w:val="0"/>
          <w:bCs w:val="0"/>
          <w:color w:val="auto"/>
          <w:sz w:val="21"/>
          <w:szCs w:val="21"/>
          <w:highlight w:val="none"/>
          <w:lang w:val="zh-CN"/>
        </w:rPr>
        <w:t>消息模板管理</w:t>
      </w:r>
    </w:p>
    <w:p w14:paraId="47CE2A5A">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12.1.1.1.</w:t>
      </w:r>
      <w:r>
        <w:rPr>
          <w:rFonts w:hint="eastAsia" w:ascii="宋体" w:hAnsi="宋体" w:eastAsia="宋体" w:cs="宋体"/>
          <w:b w:val="0"/>
          <w:bCs w:val="0"/>
          <w:color w:val="auto"/>
          <w:sz w:val="21"/>
          <w:szCs w:val="21"/>
          <w:highlight w:val="none"/>
        </w:rPr>
        <w:t>系统提供消息管理，支持多类型的消息模板集中设置与管理：可在统一界面中，对通知、警告、提醒等多种类型的消息模板进行新增、查看、筛选、搜索和状态（开启/关闭）控制；</w:t>
      </w:r>
    </w:p>
    <w:p w14:paraId="4B3BABCA">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12.1.1.2.</w:t>
      </w:r>
      <w:r>
        <w:rPr>
          <w:rFonts w:hint="eastAsia" w:ascii="宋体" w:hAnsi="宋体" w:eastAsia="宋体" w:cs="宋体"/>
          <w:b w:val="0"/>
          <w:bCs w:val="0"/>
          <w:color w:val="auto"/>
          <w:sz w:val="21"/>
          <w:szCs w:val="21"/>
          <w:highlight w:val="none"/>
        </w:rPr>
        <w:t>支持灵活的消息模板内容编辑：可对指定模板（如账号到期提醒）的模板名称和内容进行编辑，并通过变量（如${userName}）实现消息内容的动态生成与个性化；</w:t>
      </w:r>
    </w:p>
    <w:p w14:paraId="4B3A5034">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12.1.1.3.</w:t>
      </w:r>
      <w:r>
        <w:rPr>
          <w:rFonts w:hint="eastAsia" w:ascii="宋体" w:hAnsi="宋体" w:eastAsia="宋体" w:cs="宋体"/>
          <w:b w:val="0"/>
          <w:bCs w:val="0"/>
          <w:color w:val="auto"/>
          <w:sz w:val="21"/>
          <w:szCs w:val="21"/>
          <w:highlight w:val="none"/>
        </w:rPr>
        <w:t>提供模板变量说明与预览：在编辑模板内容时，提供清晰的变量含义说明和内容示例预览，确保模板配置的准确性和易用性；</w:t>
      </w:r>
    </w:p>
    <w:p w14:paraId="1723C358">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12.1.1.4.</w:t>
      </w:r>
      <w:r>
        <w:rPr>
          <w:rFonts w:hint="eastAsia" w:ascii="宋体" w:hAnsi="宋体" w:eastAsia="宋体" w:cs="宋体"/>
          <w:b w:val="0"/>
          <w:bCs w:val="0"/>
          <w:color w:val="auto"/>
          <w:sz w:val="21"/>
          <w:szCs w:val="21"/>
          <w:highlight w:val="none"/>
        </w:rPr>
        <w:t>提供全平台的消息发送记录追溯：可按发送时间、收件人等条件，查询所有已发送消息的详细记录，包括发送时间、收件人、提醒项、具体内容、消息类型、发送状态（是否已读）及阅读时间；</w:t>
      </w:r>
    </w:p>
    <w:p w14:paraId="5209C263">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12.1.1.5.</w:t>
      </w:r>
      <w:r>
        <w:rPr>
          <w:rFonts w:hint="eastAsia" w:ascii="宋体" w:hAnsi="宋体" w:eastAsia="宋体" w:cs="宋体"/>
          <w:b w:val="0"/>
          <w:bCs w:val="0"/>
          <w:color w:val="auto"/>
          <w:sz w:val="21"/>
          <w:szCs w:val="21"/>
          <w:highlight w:val="none"/>
        </w:rPr>
        <w:t>提供消息模板的分类型筛选与全局搜索：可根据“模板类型”快速筛选消息模板，并能通过关键词对模板或收件人进行全局搜索，实现高效的信息定位；</w:t>
      </w:r>
    </w:p>
    <w:p w14:paraId="5B732B60">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12.1.1.6.</w:t>
      </w:r>
      <w:r>
        <w:rPr>
          <w:rFonts w:hint="eastAsia" w:ascii="宋体" w:hAnsi="宋体" w:eastAsia="宋体" w:cs="宋体"/>
          <w:b w:val="0"/>
          <w:bCs w:val="0"/>
          <w:color w:val="auto"/>
          <w:sz w:val="21"/>
          <w:szCs w:val="21"/>
          <w:highlight w:val="none"/>
        </w:rPr>
        <w:t>支持消息记录的统计分析：通过列表和分页展示所有历史消息，清晰呈现消息的发送情况、阅读状态，为分析消息触达效果提供数据基础。</w:t>
      </w:r>
    </w:p>
    <w:p w14:paraId="6C53F2CA">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12.1.2.</w:t>
      </w:r>
      <w:r>
        <w:rPr>
          <w:rFonts w:hint="eastAsia" w:ascii="宋体" w:hAnsi="宋体" w:eastAsia="宋体" w:cs="宋体"/>
          <w:b w:val="0"/>
          <w:bCs w:val="0"/>
          <w:color w:val="auto"/>
          <w:sz w:val="21"/>
          <w:szCs w:val="21"/>
          <w:highlight w:val="none"/>
          <w:lang w:val="zh-CN"/>
        </w:rPr>
        <w:t>消息收发中心</w:t>
      </w:r>
    </w:p>
    <w:p w14:paraId="6B96255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12.1.2.1.</w:t>
      </w:r>
      <w:r>
        <w:rPr>
          <w:rFonts w:hint="eastAsia" w:ascii="宋体" w:hAnsi="宋体" w:eastAsia="宋体" w:cs="宋体"/>
          <w:b w:val="0"/>
          <w:bCs w:val="0"/>
          <w:color w:val="auto"/>
          <w:sz w:val="21"/>
          <w:szCs w:val="21"/>
          <w:highlight w:val="none"/>
        </w:rPr>
        <w:t>提供消息管理功能，支持根据实际管理需求配置消息模板，包括消息名称、类型、启用状态及内容模板等。支持查看消息记录，包括收件人、标题、类型、状态、发送时间等，并支持多条件组合查询与消息详情查看。</w:t>
      </w:r>
    </w:p>
    <w:p w14:paraId="7A2290E1">
      <w:pPr>
        <w:pStyle w:val="5"/>
        <w:keepNext w:val="0"/>
        <w:keepLines w:val="0"/>
        <w:pageBreakBefore w:val="0"/>
        <w:widowControl w:val="0"/>
        <w:numPr>
          <w:ilvl w:val="3"/>
          <w:numId w:val="0"/>
        </w:numPr>
        <w:kinsoku/>
        <w:wordWrap/>
        <w:overflowPunct/>
        <w:topLinePunct w:val="0"/>
        <w:autoSpaceDE/>
        <w:autoSpaceDN/>
        <w:bidi w:val="0"/>
        <w:adjustRightInd w:val="0"/>
        <w:snapToGrid w:val="0"/>
        <w:spacing w:before="156" w:beforeLines="50" w:after="0" w:line="240" w:lineRule="auto"/>
        <w:ind w:left="57"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12.1.2.2.</w:t>
      </w:r>
      <w:r>
        <w:rPr>
          <w:rFonts w:hint="eastAsia" w:ascii="宋体" w:hAnsi="宋体" w:eastAsia="宋体" w:cs="宋体"/>
          <w:b w:val="0"/>
          <w:bCs w:val="0"/>
          <w:color w:val="auto"/>
          <w:sz w:val="21"/>
          <w:szCs w:val="21"/>
          <w:highlight w:val="none"/>
        </w:rPr>
        <w:t>实现系统所有消息统一接入消息中心，支持电脑端与手机端消息统一管理，用户可在任一终端查看与处理消息。支持按已读、未读等状态筛选消息，并实现跨终端消息状态同步，例如手机端阅读后电脑端自动标记为已读。</w:t>
      </w:r>
    </w:p>
    <w:p w14:paraId="1B1CFCB4">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12.2.</w:t>
      </w:r>
      <w:r>
        <w:rPr>
          <w:rFonts w:hint="eastAsia" w:ascii="宋体" w:hAnsi="宋体" w:eastAsia="宋体" w:cs="宋体"/>
          <w:b w:val="0"/>
          <w:bCs w:val="0"/>
          <w:color w:val="auto"/>
          <w:sz w:val="21"/>
          <w:szCs w:val="21"/>
          <w:highlight w:val="none"/>
          <w:lang w:val="zh-CN"/>
        </w:rPr>
        <w:t>待办中心</w:t>
      </w:r>
    </w:p>
    <w:p w14:paraId="42174DB2">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12.2.1.</w:t>
      </w:r>
      <w:r>
        <w:rPr>
          <w:rFonts w:hint="eastAsia" w:ascii="宋体" w:hAnsi="宋体" w:eastAsia="宋体" w:cs="宋体"/>
          <w:b w:val="0"/>
          <w:bCs w:val="0"/>
          <w:color w:val="auto"/>
          <w:sz w:val="21"/>
          <w:szCs w:val="21"/>
          <w:highlight w:val="none"/>
        </w:rPr>
        <w:t>实现系统待办任务接入待办中心，支持电脑端、手机端等多终端统一管理与处理，用户可在任一终端查看和处理待办事项。</w:t>
      </w:r>
    </w:p>
    <w:p w14:paraId="130C8A5F">
      <w:pPr>
        <w:pStyle w:val="4"/>
        <w:keepNext w:val="0"/>
        <w:keepLines w:val="0"/>
        <w:pageBreakBefore w:val="0"/>
        <w:widowControl w:val="0"/>
        <w:numPr>
          <w:ilvl w:val="2"/>
          <w:numId w:val="0"/>
        </w:numPr>
        <w:tabs>
          <w:tab w:val="left" w:pos="360"/>
        </w:tabs>
        <w:kinsoku/>
        <w:wordWrap/>
        <w:overflowPunct/>
        <w:topLinePunct w:val="0"/>
        <w:autoSpaceDE/>
        <w:autoSpaceDN/>
        <w:bidi w:val="0"/>
        <w:spacing w:before="156" w:beforeLines="50" w:line="240" w:lineRule="auto"/>
        <w:ind w:left="0" w:leftChars="0" w:firstLine="0" w:firstLineChars="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kern w:val="2"/>
          <w:sz w:val="21"/>
          <w:szCs w:val="21"/>
          <w:highlight w:val="none"/>
          <w:lang w:val="en-US" w:eastAsia="zh-CN" w:bidi="ar-SA"/>
          <w14:ligatures w14:val="standardContextual"/>
        </w:rPr>
        <w:t>12.2.2.</w:t>
      </w:r>
      <w:r>
        <w:rPr>
          <w:rFonts w:hint="eastAsia" w:ascii="宋体" w:hAnsi="宋体" w:eastAsia="宋体" w:cs="宋体"/>
          <w:b w:val="0"/>
          <w:bCs w:val="0"/>
          <w:color w:val="auto"/>
          <w:sz w:val="21"/>
          <w:szCs w:val="21"/>
          <w:highlight w:val="none"/>
        </w:rPr>
        <w:t>支持按已办、未办等状态筛选和操作待办任务；待办流程处理完成后，系统自动向相关责任人发送消息通知。</w:t>
      </w:r>
    </w:p>
    <w:p w14:paraId="602E5A4B">
      <w:pPr>
        <w:pStyle w:val="3"/>
        <w:keepNext w:val="0"/>
        <w:keepLines w:val="0"/>
        <w:pageBreakBefore w:val="0"/>
        <w:widowControl w:val="0"/>
        <w:numPr>
          <w:ilvl w:val="1"/>
          <w:numId w:val="0"/>
        </w:numPr>
        <w:kinsoku/>
        <w:wordWrap/>
        <w:overflowPunct/>
        <w:topLinePunct w:val="0"/>
        <w:autoSpaceDE/>
        <w:autoSpaceDN/>
        <w:bidi w:val="0"/>
        <w:spacing w:before="156" w:beforeLines="50" w:line="240" w:lineRule="auto"/>
        <w:ind w:left="576" w:leftChars="0" w:hanging="576" w:firstLineChars="0"/>
        <w:textAlignment w:val="auto"/>
        <w:rPr>
          <w:rFonts w:hint="eastAsia" w:ascii="宋体" w:hAnsi="宋体" w:eastAsia="宋体" w:cs="宋体"/>
          <w:b w:val="0"/>
          <w:bCs w:val="0"/>
          <w:color w:val="auto"/>
          <w:sz w:val="21"/>
          <w:szCs w:val="21"/>
          <w:highlight w:val="none"/>
          <w:lang w:val="zh-CN"/>
        </w:rPr>
      </w:pPr>
      <w:r>
        <w:rPr>
          <w:rFonts w:hint="eastAsia" w:ascii="宋体" w:hAnsi="宋体" w:eastAsia="宋体" w:cs="宋体"/>
          <w:b w:val="0"/>
          <w:bCs w:val="0"/>
          <w:color w:val="auto"/>
          <w:kern w:val="2"/>
          <w:sz w:val="21"/>
          <w:szCs w:val="21"/>
          <w:highlight w:val="none"/>
          <w:lang w:val="zh-CN" w:eastAsia="zh-CN" w:bidi="ar-SA"/>
          <w14:ligatures w14:val="standardContextual"/>
        </w:rPr>
        <w:t>12.3.</w:t>
      </w:r>
      <w:r>
        <w:rPr>
          <w:rFonts w:hint="eastAsia" w:ascii="宋体" w:hAnsi="宋体" w:eastAsia="宋体" w:cs="宋体"/>
          <w:b w:val="0"/>
          <w:bCs w:val="0"/>
          <w:color w:val="auto"/>
          <w:sz w:val="21"/>
          <w:szCs w:val="21"/>
          <w:highlight w:val="none"/>
          <w:lang w:val="zh-CN"/>
        </w:rPr>
        <w:t>移动端功能</w:t>
      </w:r>
    </w:p>
    <w:p w14:paraId="335CFCE4">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提供我的消息与待办的移动端功能。</w:t>
      </w:r>
    </w:p>
    <w:p w14:paraId="6BBCF63B">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p>
    <w:p w14:paraId="79075CF2">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四</w:t>
      </w:r>
      <w:r>
        <w:rPr>
          <w:rFonts w:hint="eastAsia" w:ascii="宋体" w:hAnsi="宋体" w:eastAsia="宋体" w:cs="宋体"/>
          <w:b w:val="0"/>
          <w:bCs w:val="0"/>
          <w:color w:val="auto"/>
          <w:sz w:val="21"/>
          <w:szCs w:val="21"/>
          <w:highlight w:val="none"/>
        </w:rPr>
        <w:t>、安装调试要求</w:t>
      </w:r>
    </w:p>
    <w:p w14:paraId="3AE9D709">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1.项目实施的地点：滁州职业技术学院</w:t>
      </w:r>
    </w:p>
    <w:p w14:paraId="584023EE">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2.项目交付或者实施的时间要求：合同签订后</w:t>
      </w:r>
      <w:r>
        <w:rPr>
          <w:rFonts w:hint="eastAsia" w:ascii="宋体" w:hAnsi="宋体" w:eastAsia="宋体" w:cs="宋体"/>
          <w:b w:val="0"/>
          <w:bCs w:val="0"/>
          <w:color w:val="auto"/>
          <w:sz w:val="21"/>
          <w:szCs w:val="21"/>
          <w:highlight w:val="none"/>
          <w:u w:val="single"/>
        </w:rPr>
        <w:t xml:space="preserve"> 50 </w:t>
      </w:r>
      <w:r>
        <w:rPr>
          <w:rFonts w:hint="eastAsia" w:ascii="宋体" w:hAnsi="宋体" w:eastAsia="宋体" w:cs="宋体"/>
          <w:b w:val="0"/>
          <w:bCs w:val="0"/>
          <w:color w:val="auto"/>
          <w:sz w:val="21"/>
          <w:szCs w:val="21"/>
          <w:highlight w:val="none"/>
        </w:rPr>
        <w:t>日内。中标人应保证在要求时间内完成全部货物的供货、安装、调试和培训工作,符合国家标准、行业规范和合同等相关文件的要求。</w:t>
      </w:r>
    </w:p>
    <w:p w14:paraId="2FAF4963">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履约验收方案及验收标准：货物安装完成正常运行后，由供货商提出验收申请，承办单位同意后，按照学校验收的权限，相关部门及人员形成验收小组，验收小组根据采购文件、投标文件、合同等约定的内容对项目进行综合运行验收。如验收达不到规定要求，采购人有权要求其进行整改，直至到达验收标准为止，供应商若违约，采购人将依法追究相应法律责任。</w:t>
      </w:r>
    </w:p>
    <w:p w14:paraId="4D0ACB0B">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五</w:t>
      </w:r>
      <w:r>
        <w:rPr>
          <w:rFonts w:hint="eastAsia" w:ascii="宋体" w:hAnsi="宋体" w:eastAsia="宋体" w:cs="宋体"/>
          <w:b w:val="0"/>
          <w:bCs w:val="0"/>
          <w:color w:val="auto"/>
          <w:sz w:val="21"/>
          <w:szCs w:val="21"/>
          <w:highlight w:val="none"/>
        </w:rPr>
        <w:t>、售后服务及培训要求</w:t>
      </w:r>
    </w:p>
    <w:p w14:paraId="1E195EE1">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1.本项目免费质保期要求：不低于</w:t>
      </w: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年</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以中标人承诺为准</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。免费质保期从货物供货、安装、调试正常且经综合运行验收合格后开始计算。免费质保期以整个项目为单位进行响应。</w:t>
      </w:r>
    </w:p>
    <w:p w14:paraId="74F0D1C3">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2.售后及服务标准要求：</w:t>
      </w:r>
    </w:p>
    <w:p w14:paraId="44203514">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软件要求：供应商提供 7*24 小时(包含节假日）的售后服务，2小时内响应问题，8 小时内解决问题。对于重大紧急故障需提供现场维保服务，6小时内到达现场，12 小时内解决问题。如不能按时解决，供应商承诺提供提供备用方案。故障排除后公司出具书面故障诊断报告备案。</w:t>
      </w:r>
    </w:p>
    <w:p w14:paraId="50DFF67F">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3.对学校用户人员提供系统技术培训，直至其能掌握系统的使用、维护和管理等工作要求。</w:t>
      </w:r>
    </w:p>
    <w:p w14:paraId="6A8C7A61">
      <w:pPr>
        <w:keepNext w:val="0"/>
        <w:keepLines w:val="0"/>
        <w:pageBreakBefore w:val="0"/>
        <w:widowControl w:val="0"/>
        <w:kinsoku/>
        <w:wordWrap/>
        <w:overflowPunct/>
        <w:topLinePunct w:val="0"/>
        <w:autoSpaceDE/>
        <w:autoSpaceDN/>
        <w:bidi w:val="0"/>
        <w:spacing w:line="240" w:lineRule="auto"/>
        <w:textAlignment w:val="auto"/>
        <w:rPr>
          <w:rFonts w:hint="eastAsia" w:ascii="宋体" w:hAnsi="宋体" w:eastAsia="宋体"/>
          <w:b/>
          <w:bCs w:val="0"/>
          <w:color w:val="auto"/>
          <w:sz w:val="21"/>
          <w:szCs w:val="21"/>
          <w:highlight w:val="none"/>
        </w:rPr>
      </w:pPr>
      <w:r>
        <w:rPr>
          <w:rFonts w:hint="eastAsia" w:ascii="宋体" w:hAnsi="宋体" w:eastAsia="宋体" w:cs="宋体"/>
          <w:b w:val="0"/>
          <w:bCs w:val="0"/>
          <w:color w:val="auto"/>
          <w:sz w:val="21"/>
          <w:szCs w:val="21"/>
          <w:highlight w:val="none"/>
        </w:rPr>
        <w:t>4.质保期内软件提供免费升级服务。</w:t>
      </w:r>
    </w:p>
    <w:p w14:paraId="0FEB54EC">
      <w:pPr>
        <w:keepNext w:val="0"/>
        <w:keepLines w:val="0"/>
        <w:pageBreakBefore w:val="0"/>
        <w:widowControl w:val="0"/>
        <w:kinsoku/>
        <w:wordWrap/>
        <w:overflowPunct/>
        <w:topLinePunct w:val="0"/>
        <w:autoSpaceDE/>
        <w:autoSpaceDN/>
        <w:bidi w:val="0"/>
        <w:adjustRightInd/>
        <w:snapToGrid/>
        <w:spacing w:line="520" w:lineRule="exact"/>
        <w:ind w:firstLine="437"/>
        <w:jc w:val="left"/>
        <w:textAlignment w:val="auto"/>
        <w:rPr>
          <w:rFonts w:hint="eastAsia" w:ascii="宋体" w:hAnsi="宋体" w:eastAsia="宋体"/>
          <w:b/>
          <w:bCs w:val="0"/>
          <w:color w:val="auto"/>
          <w:sz w:val="21"/>
          <w:szCs w:val="21"/>
          <w:highlight w:val="none"/>
          <w:lang w:eastAsia="zh-CN"/>
        </w:rPr>
      </w:pPr>
      <w:r>
        <w:rPr>
          <w:rFonts w:hint="eastAsia" w:ascii="宋体" w:hAnsi="宋体" w:eastAsia="宋体"/>
          <w:b/>
          <w:bCs w:val="0"/>
          <w:color w:val="auto"/>
          <w:sz w:val="21"/>
          <w:szCs w:val="21"/>
          <w:highlight w:val="none"/>
        </w:rPr>
        <w:t>注：</w:t>
      </w:r>
      <w:r>
        <w:rPr>
          <w:rFonts w:hint="eastAsia" w:ascii="宋体" w:hAnsi="宋体" w:eastAsia="宋体"/>
          <w:b/>
          <w:bCs w:val="0"/>
          <w:color w:val="auto"/>
          <w:sz w:val="21"/>
          <w:szCs w:val="21"/>
          <w:highlight w:val="none"/>
          <w:lang w:val="en-US" w:eastAsia="zh-CN"/>
        </w:rPr>
        <w:t>项目实施前，采购人有权要求中标人到采购人单位对功能逐条演示，演示内容包含但不限于参数、性能测试等，若中标人演示结果不满足招标文件技术标准、拒绝配合现场演示或逾期未完成演示，采购人有权上报相关部门，按相关法律处理</w:t>
      </w:r>
      <w:r>
        <w:rPr>
          <w:rFonts w:hint="eastAsia" w:ascii="宋体" w:hAnsi="宋体" w:eastAsia="宋体"/>
          <w:b/>
          <w:bCs w:val="0"/>
          <w:color w:val="auto"/>
          <w:sz w:val="21"/>
          <w:szCs w:val="21"/>
          <w:highlight w:val="none"/>
          <w:lang w:eastAsia="zh-CN"/>
        </w:rPr>
        <w:t>。</w:t>
      </w:r>
    </w:p>
    <w:bookmarkEnd w:id="19"/>
    <w:bookmarkEnd w:id="20"/>
    <w:p w14:paraId="67ABBF6D">
      <w:pPr>
        <w:spacing w:line="360" w:lineRule="auto"/>
        <w:ind w:firstLine="437"/>
        <w:rPr>
          <w:rFonts w:hint="eastAsia"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br w:type="page"/>
      </w:r>
      <w:bookmarkStart w:id="75" w:name="_GoBack"/>
      <w:bookmarkEnd w:id="75"/>
    </w:p>
    <w:p w14:paraId="15699A42">
      <w:pPr>
        <w:pStyle w:val="13"/>
        <w:rPr>
          <w:rFonts w:hint="eastAsia"/>
          <w:color w:val="auto"/>
          <w:highlight w:val="none"/>
          <w:lang w:val="en-US" w:eastAsia="zh-CN"/>
        </w:rPr>
      </w:pPr>
    </w:p>
    <w:p w14:paraId="6B965827">
      <w:pPr>
        <w:spacing w:line="360" w:lineRule="auto"/>
        <w:jc w:val="center"/>
        <w:outlineLvl w:val="0"/>
        <w:rPr>
          <w:rFonts w:asciiTheme="minorEastAsia" w:hAnsiTheme="minorEastAsia" w:eastAsiaTheme="minorEastAsia"/>
          <w:b/>
          <w:color w:val="auto"/>
          <w:sz w:val="28"/>
          <w:highlight w:val="none"/>
        </w:rPr>
      </w:pPr>
      <w:bookmarkStart w:id="23" w:name="_Toc16417"/>
      <w:r>
        <w:rPr>
          <w:rFonts w:hint="eastAsia" w:asciiTheme="minorEastAsia" w:hAnsiTheme="minorEastAsia" w:eastAsiaTheme="minorEastAsia"/>
          <w:b/>
          <w:color w:val="auto"/>
          <w:sz w:val="28"/>
          <w:highlight w:val="none"/>
        </w:rPr>
        <w:t>第四章  评标方法和标准（综合评分法）</w:t>
      </w:r>
      <w:bookmarkEnd w:id="23"/>
    </w:p>
    <w:p w14:paraId="40F2FCC7">
      <w:pPr>
        <w:spacing w:line="360" w:lineRule="auto"/>
        <w:ind w:firstLine="437"/>
        <w:outlineLvl w:val="1"/>
        <w:rPr>
          <w:rFonts w:asciiTheme="minorEastAsia" w:hAnsiTheme="minorEastAsia" w:eastAsiaTheme="minorEastAsia"/>
          <w:b/>
          <w:color w:val="auto"/>
          <w:sz w:val="24"/>
          <w:highlight w:val="none"/>
        </w:rPr>
      </w:pPr>
      <w:bookmarkStart w:id="24" w:name="_Toc11823"/>
      <w:bookmarkStart w:id="25" w:name="_Toc1246"/>
      <w:r>
        <w:rPr>
          <w:rFonts w:hint="eastAsia" w:asciiTheme="minorEastAsia" w:hAnsiTheme="minorEastAsia" w:eastAsiaTheme="minorEastAsia"/>
          <w:b/>
          <w:color w:val="auto"/>
          <w:sz w:val="24"/>
          <w:highlight w:val="none"/>
        </w:rPr>
        <w:t>一、总则</w:t>
      </w:r>
      <w:bookmarkEnd w:id="24"/>
      <w:bookmarkEnd w:id="25"/>
    </w:p>
    <w:p w14:paraId="452C0C4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19003A87">
      <w:pPr>
        <w:spacing w:line="360" w:lineRule="auto"/>
        <w:ind w:firstLine="437"/>
        <w:outlineLvl w:val="1"/>
        <w:rPr>
          <w:rFonts w:asciiTheme="minorEastAsia" w:hAnsiTheme="minorEastAsia" w:eastAsiaTheme="minorEastAsia"/>
          <w:b/>
          <w:color w:val="auto"/>
          <w:sz w:val="24"/>
          <w:highlight w:val="none"/>
        </w:rPr>
      </w:pPr>
      <w:bookmarkStart w:id="26" w:name="_Toc31871"/>
      <w:bookmarkStart w:id="27" w:name="_Toc13117"/>
      <w:r>
        <w:rPr>
          <w:rFonts w:hint="eastAsia" w:asciiTheme="minorEastAsia" w:hAnsiTheme="minorEastAsia" w:eastAsiaTheme="minorEastAsia"/>
          <w:b/>
          <w:color w:val="auto"/>
          <w:sz w:val="24"/>
          <w:highlight w:val="none"/>
        </w:rPr>
        <w:t>二、评标方法</w:t>
      </w:r>
      <w:bookmarkEnd w:id="26"/>
      <w:bookmarkEnd w:id="27"/>
    </w:p>
    <w:p w14:paraId="15FA0B6B">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7"/>
        <w:tblW w:w="53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1648"/>
        <w:gridCol w:w="4558"/>
        <w:gridCol w:w="2222"/>
      </w:tblGrid>
      <w:tr w14:paraId="14E88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7AA36EA0">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32D0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tcBorders>
              <w:bottom w:val="single" w:color="auto" w:sz="4" w:space="0"/>
            </w:tcBorders>
            <w:vAlign w:val="center"/>
          </w:tcPr>
          <w:p w14:paraId="4F9E7D62">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07" w:type="pct"/>
            <w:tcBorders>
              <w:bottom w:val="single" w:color="auto" w:sz="4" w:space="0"/>
            </w:tcBorders>
            <w:vAlign w:val="center"/>
          </w:tcPr>
          <w:p w14:paraId="243C5417">
            <w:pPr>
              <w:pStyle w:val="49"/>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审查因素</w:t>
            </w:r>
          </w:p>
        </w:tc>
        <w:tc>
          <w:tcPr>
            <w:tcW w:w="2509" w:type="pct"/>
            <w:tcBorders>
              <w:bottom w:val="single" w:color="auto" w:sz="4" w:space="0"/>
            </w:tcBorders>
            <w:vAlign w:val="center"/>
          </w:tcPr>
          <w:p w14:paraId="371EE5C9">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审查内容</w:t>
            </w:r>
          </w:p>
        </w:tc>
        <w:tc>
          <w:tcPr>
            <w:tcW w:w="1222" w:type="pct"/>
            <w:tcBorders>
              <w:bottom w:val="single" w:color="auto" w:sz="4" w:space="0"/>
            </w:tcBorders>
            <w:vAlign w:val="center"/>
          </w:tcPr>
          <w:p w14:paraId="1D0C6F01">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24ABF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61" w:type="pct"/>
            <w:tcBorders>
              <w:bottom w:val="single" w:color="auto" w:sz="4" w:space="0"/>
            </w:tcBorders>
            <w:vAlign w:val="center"/>
          </w:tcPr>
          <w:p w14:paraId="407D4A0A">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07" w:type="pct"/>
            <w:tcBorders>
              <w:bottom w:val="single" w:color="auto" w:sz="4" w:space="0"/>
            </w:tcBorders>
            <w:vAlign w:val="center"/>
          </w:tcPr>
          <w:p w14:paraId="1DADF2CF">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509" w:type="pct"/>
            <w:tcBorders>
              <w:bottom w:val="single" w:color="auto" w:sz="4" w:space="0"/>
            </w:tcBorders>
            <w:vAlign w:val="center"/>
          </w:tcPr>
          <w:p w14:paraId="3CF99E2E">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41B3EFE9">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7B18B1FA">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4A19916B">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337598C8">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222" w:type="pct"/>
            <w:vAlign w:val="center"/>
          </w:tcPr>
          <w:p w14:paraId="1BE0D141">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6D6B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61" w:type="pct"/>
            <w:tcBorders>
              <w:bottom w:val="single" w:color="auto" w:sz="4" w:space="0"/>
            </w:tcBorders>
            <w:vAlign w:val="center"/>
          </w:tcPr>
          <w:p w14:paraId="127E6386">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07" w:type="pct"/>
            <w:tcBorders>
              <w:bottom w:val="single" w:color="auto" w:sz="4" w:space="0"/>
            </w:tcBorders>
            <w:vAlign w:val="center"/>
          </w:tcPr>
          <w:p w14:paraId="012AEF30">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509" w:type="pct"/>
            <w:tcBorders>
              <w:bottom w:val="single" w:color="auto" w:sz="4" w:space="0"/>
            </w:tcBorders>
            <w:vAlign w:val="center"/>
          </w:tcPr>
          <w:p w14:paraId="34D12226">
            <w:pPr>
              <w:spacing w:after="50" w:line="360" w:lineRule="auto"/>
              <w:ind w:right="-1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lang w:val="en-US" w:eastAsia="zh-CN"/>
              </w:rPr>
              <w:t>提</w:t>
            </w:r>
            <w:r>
              <w:rPr>
                <w:rFonts w:ascii="宋体" w:hAnsi="宋体" w:eastAsia="宋体" w:cs="宋体"/>
                <w:color w:val="auto"/>
                <w:spacing w:val="-2"/>
                <w:sz w:val="24"/>
                <w:szCs w:val="24"/>
                <w:highlight w:val="none"/>
              </w:rPr>
              <w:t>供符合招标文件要求的《投标人资格声明书》</w:t>
            </w:r>
            <w:r>
              <w:rPr>
                <w:rFonts w:hint="eastAsia" w:ascii="宋体" w:hAnsi="宋体" w:eastAsia="宋体" w:cs="宋体"/>
                <w:color w:val="auto"/>
                <w:spacing w:val="-2"/>
                <w:sz w:val="24"/>
                <w:szCs w:val="24"/>
                <w:highlight w:val="none"/>
                <w:lang w:eastAsia="zh-CN"/>
              </w:rPr>
              <w:t>。</w:t>
            </w:r>
          </w:p>
        </w:tc>
        <w:tc>
          <w:tcPr>
            <w:tcW w:w="1222" w:type="pct"/>
            <w:vAlign w:val="center"/>
          </w:tcPr>
          <w:p w14:paraId="441BE2C2">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29EDF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tcBorders>
              <w:bottom w:val="single" w:color="auto" w:sz="4" w:space="0"/>
            </w:tcBorders>
            <w:vAlign w:val="center"/>
          </w:tcPr>
          <w:p w14:paraId="082548D4">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07" w:type="pct"/>
            <w:tcBorders>
              <w:bottom w:val="single" w:color="auto" w:sz="4" w:space="0"/>
            </w:tcBorders>
            <w:vAlign w:val="center"/>
          </w:tcPr>
          <w:p w14:paraId="02737486">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509" w:type="pct"/>
            <w:tcBorders>
              <w:bottom w:val="single" w:color="auto" w:sz="4" w:space="0"/>
            </w:tcBorders>
            <w:vAlign w:val="center"/>
          </w:tcPr>
          <w:p w14:paraId="47D16C40">
            <w:pPr>
              <w:spacing w:after="50" w:line="360" w:lineRule="auto"/>
              <w:ind w:right="-10"/>
              <w:jc w:val="left"/>
              <w:rPr>
                <w:rFonts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投标人不得存在投标人须知正文第14.2 条中的不良信用记录情形</w:t>
            </w:r>
          </w:p>
        </w:tc>
        <w:tc>
          <w:tcPr>
            <w:tcW w:w="1222" w:type="pct"/>
            <w:tcBorders>
              <w:bottom w:val="single" w:color="auto" w:sz="4" w:space="0"/>
            </w:tcBorders>
            <w:vAlign w:val="center"/>
          </w:tcPr>
          <w:p w14:paraId="315A4780">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无须投标人</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供，由采购人或采购代理机构查询。</w:t>
            </w:r>
          </w:p>
        </w:tc>
      </w:tr>
      <w:tr w14:paraId="083D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tcBorders>
              <w:bottom w:val="single" w:color="auto" w:sz="4" w:space="0"/>
            </w:tcBorders>
            <w:shd w:val="clear" w:color="auto" w:fill="auto"/>
            <w:vAlign w:val="center"/>
          </w:tcPr>
          <w:p w14:paraId="681570D0">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4</w:t>
            </w:r>
          </w:p>
        </w:tc>
        <w:tc>
          <w:tcPr>
            <w:tcW w:w="907" w:type="pct"/>
            <w:tcBorders>
              <w:bottom w:val="single" w:color="auto" w:sz="4" w:space="0"/>
            </w:tcBorders>
            <w:shd w:val="clear" w:color="auto" w:fill="auto"/>
            <w:vAlign w:val="center"/>
          </w:tcPr>
          <w:p w14:paraId="066F5997">
            <w:pPr>
              <w:spacing w:after="50" w:line="360" w:lineRule="auto"/>
              <w:ind w:right="-10" w:rightChars="0"/>
              <w:jc w:val="center"/>
              <w:rPr>
                <w:rFonts w:hint="eastAsia" w:ascii="Calibri" w:hAnsi="Calibri" w:eastAsia="@仿宋_GB2312" w:cs="Times New Roman"/>
                <w:color w:val="auto"/>
                <w:kern w:val="2"/>
                <w:sz w:val="24"/>
                <w:szCs w:val="24"/>
                <w:highlight w:val="none"/>
                <w:lang w:val="en-US" w:eastAsia="zh-CN" w:bidi="ar-SA"/>
              </w:rPr>
            </w:pPr>
            <w:r>
              <w:rPr>
                <w:rFonts w:hint="eastAsia" w:ascii="宋体" w:hAnsi="宋体" w:eastAsia="宋体" w:cs="宋体"/>
                <w:color w:val="auto"/>
                <w:sz w:val="24"/>
                <w:szCs w:val="24"/>
                <w:highlight w:val="none"/>
              </w:rPr>
              <w:t>中小企业证明文件（</w:t>
            </w:r>
            <w:r>
              <w:rPr>
                <w:rFonts w:hint="eastAsia" w:ascii="宋体" w:hAnsi="宋体" w:eastAsia="宋体" w:cs="宋体"/>
                <w:i/>
                <w:iCs/>
                <w:color w:val="auto"/>
                <w:sz w:val="24"/>
                <w:szCs w:val="24"/>
                <w:highlight w:val="none"/>
                <w:lang w:val="en-US" w:eastAsia="zh-CN"/>
              </w:rPr>
              <w:t>适用于</w:t>
            </w:r>
            <w:r>
              <w:rPr>
                <w:rFonts w:hint="eastAsia" w:ascii="宋体" w:hAnsi="宋体" w:eastAsia="宋体" w:cs="宋体"/>
                <w:i/>
                <w:iCs/>
                <w:color w:val="auto"/>
                <w:sz w:val="24"/>
                <w:szCs w:val="24"/>
                <w:highlight w:val="none"/>
              </w:rPr>
              <w:t>专门面向中小企业采购项目</w:t>
            </w:r>
            <w:r>
              <w:rPr>
                <w:rFonts w:hint="eastAsia" w:ascii="宋体" w:hAnsi="宋体" w:eastAsia="宋体" w:cs="宋体"/>
                <w:i/>
                <w:iCs/>
                <w:color w:val="auto"/>
                <w:sz w:val="24"/>
                <w:szCs w:val="24"/>
                <w:highlight w:val="none"/>
                <w:lang w:val="en-US" w:eastAsia="zh-CN"/>
              </w:rPr>
              <w:t>或预留中小企业采购份额项目</w:t>
            </w:r>
            <w:r>
              <w:rPr>
                <w:rFonts w:hint="eastAsia" w:ascii="宋体" w:hAnsi="宋体" w:eastAsia="宋体" w:cs="宋体"/>
                <w:color w:val="auto"/>
                <w:sz w:val="24"/>
                <w:szCs w:val="24"/>
                <w:highlight w:val="none"/>
              </w:rPr>
              <w:t>）</w:t>
            </w:r>
          </w:p>
        </w:tc>
        <w:tc>
          <w:tcPr>
            <w:tcW w:w="2509" w:type="pct"/>
            <w:tcBorders>
              <w:bottom w:val="single" w:color="auto" w:sz="4" w:space="0"/>
            </w:tcBorders>
            <w:shd w:val="clear" w:color="auto" w:fill="auto"/>
            <w:vAlign w:val="top"/>
          </w:tcPr>
          <w:p w14:paraId="1AE65900">
            <w:pPr>
              <w:spacing w:after="50" w:line="360" w:lineRule="auto"/>
              <w:ind w:right="-10"/>
              <w:jc w:val="left"/>
              <w:rPr>
                <w:rFonts w:hint="eastAsia" w:ascii="宋体" w:hAnsi="宋体" w:eastAsia="宋体" w:cs="宋体"/>
                <w:color w:val="auto"/>
                <w:sz w:val="24"/>
                <w:szCs w:val="24"/>
                <w:highlight w:val="none"/>
                <w:lang w:eastAsia="zh-CN"/>
              </w:rPr>
            </w:pPr>
            <w:r>
              <w:rPr>
                <w:rFonts w:hint="eastAsia" w:ascii="宋体" w:hAnsi="宋体" w:eastAsia="宋体"/>
                <w:color w:val="auto"/>
                <w:sz w:val="24"/>
                <w:szCs w:val="28"/>
                <w:highlight w:val="none"/>
              </w:rPr>
              <w:t>符合</w:t>
            </w:r>
            <w:r>
              <w:rPr>
                <w:rFonts w:hint="eastAsia" w:ascii="宋体" w:hAnsi="宋体" w:eastAsia="宋体"/>
                <w:color w:val="auto"/>
                <w:sz w:val="24"/>
                <w:szCs w:val="28"/>
                <w:highlight w:val="none"/>
                <w:lang w:val="en-US" w:eastAsia="zh-CN"/>
              </w:rPr>
              <w:t>申请人的</w:t>
            </w:r>
            <w:r>
              <w:rPr>
                <w:rFonts w:hint="eastAsia" w:ascii="宋体" w:hAnsi="宋体" w:eastAsia="宋体"/>
                <w:color w:val="auto"/>
                <w:sz w:val="24"/>
                <w:szCs w:val="28"/>
                <w:highlight w:val="none"/>
              </w:rPr>
              <w:t>资格</w:t>
            </w:r>
            <w:r>
              <w:rPr>
                <w:rFonts w:hint="eastAsia" w:ascii="宋体" w:hAnsi="宋体" w:eastAsia="宋体"/>
                <w:color w:val="auto"/>
                <w:sz w:val="24"/>
                <w:szCs w:val="28"/>
                <w:highlight w:val="none"/>
                <w:lang w:val="en-US" w:eastAsia="zh-CN"/>
              </w:rPr>
              <w:t>要求</w:t>
            </w:r>
            <w:r>
              <w:rPr>
                <w:rFonts w:hint="eastAsia" w:ascii="宋体" w:hAnsi="宋体" w:eastAsia="宋体"/>
                <w:color w:val="auto"/>
                <w:sz w:val="24"/>
                <w:szCs w:val="28"/>
                <w:highlight w:val="none"/>
              </w:rPr>
              <w:t>中落实政府采购政策需满足的资格要求</w:t>
            </w:r>
            <w:r>
              <w:rPr>
                <w:rFonts w:hint="eastAsia" w:ascii="宋体" w:hAnsi="宋体" w:eastAsia="宋体"/>
                <w:color w:val="auto"/>
                <w:sz w:val="24"/>
                <w:szCs w:val="28"/>
                <w:highlight w:val="none"/>
                <w:lang w:eastAsia="zh-CN"/>
              </w:rPr>
              <w:t>：</w:t>
            </w:r>
          </w:p>
          <w:p w14:paraId="783A4D27">
            <w:pPr>
              <w:spacing w:after="50" w:line="360" w:lineRule="auto"/>
              <w:ind w:right="-10" w:rightChars="0"/>
              <w:jc w:val="left"/>
              <w:rPr>
                <w:rFonts w:hint="eastAsia" w:ascii="Calibri" w:hAnsi="Calibri" w:eastAsia="@仿宋_GB2312" w:cs="Times New Roman"/>
                <w:color w:val="auto"/>
                <w:kern w:val="2"/>
                <w:sz w:val="24"/>
                <w:szCs w:val="22"/>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专门面向中小企业采购</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供《中小企业声明函》或《残疾人福利性单位声明函》或由省级以上监狱管理局、戒毒管理局（含新疆生产建设兵团）出具的属于监狱企业的证明文件。</w:t>
            </w:r>
          </w:p>
        </w:tc>
        <w:tc>
          <w:tcPr>
            <w:tcW w:w="1222" w:type="pct"/>
            <w:tcBorders>
              <w:bottom w:val="single" w:color="auto" w:sz="4" w:space="0"/>
            </w:tcBorders>
            <w:shd w:val="clear" w:color="auto" w:fill="auto"/>
            <w:vAlign w:val="center"/>
          </w:tcPr>
          <w:p w14:paraId="6EA96734">
            <w:pPr>
              <w:spacing w:after="50" w:line="360" w:lineRule="auto"/>
              <w:ind w:right="-10" w:rightChars="0"/>
              <w:jc w:val="center"/>
              <w:rPr>
                <w:rFonts w:hint="eastAsia" w:ascii="@仿宋_GB2312" w:hAnsi="@仿宋_GB2312" w:eastAsia="@仿宋_GB2312" w:cs="Times New Roman"/>
                <w:color w:val="auto"/>
                <w:kern w:val="2"/>
                <w:sz w:val="24"/>
                <w:szCs w:val="22"/>
                <w:highlight w:val="none"/>
                <w:lang w:val="en-US" w:eastAsia="zh-CN" w:bidi="ar-SA"/>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5F47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tcBorders>
              <w:bottom w:val="single" w:color="auto" w:sz="4" w:space="0"/>
            </w:tcBorders>
            <w:vAlign w:val="center"/>
          </w:tcPr>
          <w:p w14:paraId="664A078A">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5</w:t>
            </w:r>
          </w:p>
        </w:tc>
        <w:tc>
          <w:tcPr>
            <w:tcW w:w="907" w:type="pct"/>
            <w:tcBorders>
              <w:bottom w:val="single" w:color="auto" w:sz="4" w:space="0"/>
            </w:tcBorders>
            <w:vAlign w:val="center"/>
          </w:tcPr>
          <w:p w14:paraId="7C7ECFC8">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2509" w:type="pct"/>
            <w:tcBorders>
              <w:bottom w:val="single" w:color="auto" w:sz="4" w:space="0"/>
            </w:tcBorders>
            <w:vAlign w:val="center"/>
          </w:tcPr>
          <w:p w14:paraId="147D1961">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如有，见第一章《投标邀请》</w:t>
            </w:r>
          </w:p>
        </w:tc>
        <w:tc>
          <w:tcPr>
            <w:tcW w:w="1222" w:type="pct"/>
            <w:tcBorders>
              <w:bottom w:val="single" w:color="auto" w:sz="4" w:space="0"/>
            </w:tcBorders>
            <w:vAlign w:val="center"/>
          </w:tcPr>
          <w:p w14:paraId="704B93CD">
            <w:pPr>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7304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14:paraId="16C19114">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6</w:t>
            </w:r>
          </w:p>
        </w:tc>
        <w:tc>
          <w:tcPr>
            <w:tcW w:w="907" w:type="pct"/>
            <w:vAlign w:val="center"/>
          </w:tcPr>
          <w:p w14:paraId="333EDF74">
            <w:pPr>
              <w:spacing w:after="50" w:line="360" w:lineRule="auto"/>
              <w:ind w:right="-10"/>
              <w:jc w:val="both"/>
              <w:rPr>
                <w:rFonts w:ascii="宋体" w:hAnsi="宋体" w:eastAsia="宋体" w:cs="宋体"/>
                <w:color w:val="auto"/>
                <w:spacing w:val="10"/>
                <w:sz w:val="24"/>
                <w:szCs w:val="24"/>
                <w:highlight w:val="none"/>
                <w:lang w:val="en-US" w:eastAsia="zh-CN"/>
              </w:rPr>
            </w:pPr>
            <w:r>
              <w:rPr>
                <w:rFonts w:ascii="宋体" w:hAnsi="宋体" w:eastAsia="宋体" w:cs="宋体"/>
                <w:color w:val="auto"/>
                <w:spacing w:val="10"/>
                <w:sz w:val="24"/>
                <w:szCs w:val="24"/>
                <w:highlight w:val="none"/>
              </w:rPr>
              <w:t>本项目的特定资格要求</w:t>
            </w:r>
          </w:p>
        </w:tc>
        <w:tc>
          <w:tcPr>
            <w:tcW w:w="2509" w:type="pct"/>
            <w:vAlign w:val="center"/>
          </w:tcPr>
          <w:p w14:paraId="2F4CEE26">
            <w:pPr>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如有，见第一章《投标邀请》</w:t>
            </w:r>
          </w:p>
        </w:tc>
        <w:tc>
          <w:tcPr>
            <w:tcW w:w="1222" w:type="pct"/>
            <w:vAlign w:val="center"/>
          </w:tcPr>
          <w:p w14:paraId="5E7F5A21">
            <w:pPr>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7E14A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1" w:type="pct"/>
            <w:vAlign w:val="center"/>
          </w:tcPr>
          <w:p w14:paraId="57A89D35">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7</w:t>
            </w:r>
          </w:p>
        </w:tc>
        <w:tc>
          <w:tcPr>
            <w:tcW w:w="907" w:type="pct"/>
            <w:shd w:val="clear" w:color="auto" w:fill="auto"/>
            <w:vAlign w:val="center"/>
          </w:tcPr>
          <w:p w14:paraId="3CCAAD1C">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center"/>
              <w:rPr>
                <w:rFonts w:ascii="宋体" w:hAnsi="宋体" w:eastAsia="宋体" w:cs="宋体"/>
                <w:color w:val="auto"/>
                <w:spacing w:val="10"/>
                <w:kern w:val="2"/>
                <w:sz w:val="24"/>
                <w:szCs w:val="24"/>
                <w:highlight w:val="none"/>
                <w:lang w:val="en-US" w:eastAsia="zh-CN" w:bidi="ar-SA"/>
              </w:rPr>
            </w:pPr>
            <w:r>
              <w:rPr>
                <w:rFonts w:hint="eastAsia" w:ascii="宋体" w:hAnsi="宋体" w:eastAsia="宋体" w:cs="宋体"/>
                <w:color w:val="auto"/>
                <w:sz w:val="24"/>
                <w:szCs w:val="24"/>
                <w:highlight w:val="none"/>
              </w:rPr>
              <w:t>诚信投标承诺书</w:t>
            </w:r>
          </w:p>
        </w:tc>
        <w:tc>
          <w:tcPr>
            <w:tcW w:w="2509" w:type="pct"/>
            <w:shd w:val="clear" w:color="auto" w:fill="auto"/>
            <w:vAlign w:val="center"/>
          </w:tcPr>
          <w:p w14:paraId="723C1A4D">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both"/>
              <w:rPr>
                <w:rFonts w:ascii="宋体" w:hAnsi="宋体" w:eastAsia="宋体" w:cs="宋体"/>
                <w:color w:val="auto"/>
                <w:spacing w:val="10"/>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en-US" w:bidi="ar-SA"/>
              </w:rPr>
              <w:t>格式、填写要求符合招标文件规定并加盖投标人电子签章</w:t>
            </w:r>
          </w:p>
        </w:tc>
        <w:tc>
          <w:tcPr>
            <w:tcW w:w="1222" w:type="pct"/>
            <w:shd w:val="clear" w:color="auto" w:fill="auto"/>
            <w:vAlign w:val="center"/>
          </w:tcPr>
          <w:p w14:paraId="2219E7F7">
            <w:pPr>
              <w:keepNext w:val="0"/>
              <w:keepLines w:val="0"/>
              <w:pageBreakBefore w:val="0"/>
              <w:suppressLineNumbers w:val="0"/>
              <w:kinsoku/>
              <w:wordWrap w:val="0"/>
              <w:overflowPunct/>
              <w:topLinePunct w:val="0"/>
              <w:bidi w:val="0"/>
              <w:spacing w:before="0" w:beforeAutospacing="0" w:after="50" w:afterAutospacing="0" w:line="360" w:lineRule="auto"/>
              <w:ind w:left="0" w:leftChars="0" w:right="-10" w:rightChars="0"/>
              <w:jc w:val="both"/>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olor w:val="auto"/>
                <w:sz w:val="24"/>
                <w:szCs w:val="20"/>
                <w:highlight w:val="none"/>
              </w:rPr>
              <w:t>详见第六章投标文件格式</w:t>
            </w:r>
            <w:r>
              <w:rPr>
                <w:rFonts w:hint="eastAsia" w:ascii="宋体" w:hAnsi="宋体" w:eastAsia="宋体"/>
                <w:color w:val="auto"/>
                <w:sz w:val="24"/>
                <w:szCs w:val="20"/>
                <w:highlight w:val="none"/>
                <w:lang w:eastAsia="zh-CN"/>
              </w:rPr>
              <w:t>。</w:t>
            </w:r>
          </w:p>
        </w:tc>
      </w:tr>
    </w:tbl>
    <w:p w14:paraId="55AF4D28">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18177E23">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6DF0830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7"/>
        <w:tblW w:w="57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1755"/>
        <w:gridCol w:w="4065"/>
        <w:gridCol w:w="3292"/>
      </w:tblGrid>
      <w:tr w14:paraId="1B5DB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1A94A6BC">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1A4F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389" w:type="pct"/>
            <w:tcBorders>
              <w:bottom w:val="single" w:color="auto" w:sz="4" w:space="0"/>
            </w:tcBorders>
            <w:vAlign w:val="center"/>
          </w:tcPr>
          <w:p w14:paraId="08946194">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888" w:type="pct"/>
            <w:tcBorders>
              <w:bottom w:val="single" w:color="auto" w:sz="4" w:space="0"/>
            </w:tcBorders>
            <w:vAlign w:val="center"/>
          </w:tcPr>
          <w:p w14:paraId="649F8995">
            <w:pPr>
              <w:pStyle w:val="49"/>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2057" w:type="pct"/>
            <w:tcBorders>
              <w:bottom w:val="single" w:color="auto" w:sz="4" w:space="0"/>
            </w:tcBorders>
            <w:vAlign w:val="center"/>
          </w:tcPr>
          <w:p w14:paraId="1C259D3B">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1664" w:type="pct"/>
            <w:tcBorders>
              <w:bottom w:val="single" w:color="auto" w:sz="4" w:space="0"/>
            </w:tcBorders>
            <w:vAlign w:val="center"/>
          </w:tcPr>
          <w:p w14:paraId="3BA59AED">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067CF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6D2E0CDC">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888" w:type="pct"/>
            <w:vAlign w:val="center"/>
          </w:tcPr>
          <w:p w14:paraId="064BD31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2057" w:type="pct"/>
            <w:vAlign w:val="center"/>
          </w:tcPr>
          <w:p w14:paraId="12B6F02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664" w:type="pct"/>
            <w:vAlign w:val="center"/>
          </w:tcPr>
          <w:p w14:paraId="682645EF">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27FD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7D028780">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888" w:type="pct"/>
            <w:vAlign w:val="center"/>
          </w:tcPr>
          <w:p w14:paraId="70C36BA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2057" w:type="pct"/>
            <w:vAlign w:val="center"/>
          </w:tcPr>
          <w:p w14:paraId="63B95A2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664" w:type="pct"/>
            <w:vAlign w:val="center"/>
          </w:tcPr>
          <w:p w14:paraId="493832BF">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71B51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493CD69B">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888" w:type="pct"/>
            <w:vAlign w:val="center"/>
          </w:tcPr>
          <w:p w14:paraId="701CC25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2057" w:type="pct"/>
            <w:vAlign w:val="center"/>
          </w:tcPr>
          <w:p w14:paraId="10DC427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664" w:type="pct"/>
            <w:vAlign w:val="center"/>
          </w:tcPr>
          <w:p w14:paraId="3A9CD998">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54CE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4739EA85">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888" w:type="pct"/>
            <w:vAlign w:val="center"/>
          </w:tcPr>
          <w:p w14:paraId="55239D4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2057" w:type="pct"/>
            <w:vAlign w:val="center"/>
          </w:tcPr>
          <w:p w14:paraId="0EBDC92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664" w:type="pct"/>
            <w:vAlign w:val="center"/>
          </w:tcPr>
          <w:p w14:paraId="7DC542D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1F9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05A6FAAB">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888" w:type="pct"/>
            <w:vAlign w:val="center"/>
          </w:tcPr>
          <w:p w14:paraId="2A2CB6E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2057" w:type="pct"/>
            <w:vAlign w:val="center"/>
          </w:tcPr>
          <w:p w14:paraId="7D11CD40">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664" w:type="pct"/>
            <w:vAlign w:val="center"/>
          </w:tcPr>
          <w:p w14:paraId="3D81E242">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757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58C46AFA">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888" w:type="pct"/>
            <w:vAlign w:val="center"/>
          </w:tcPr>
          <w:p w14:paraId="1789D08F">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2057" w:type="pct"/>
            <w:vAlign w:val="center"/>
          </w:tcPr>
          <w:p w14:paraId="44E5AE3B">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w:t>
            </w:r>
            <w:r>
              <w:rPr>
                <w:rFonts w:hint="eastAsia" w:asciiTheme="minorEastAsia" w:hAnsiTheme="minorEastAsia" w:eastAsiaTheme="minorEastAsia"/>
                <w:color w:val="auto"/>
                <w:sz w:val="24"/>
                <w:szCs w:val="28"/>
                <w:highlight w:val="none"/>
                <w:lang w:val="en-US" w:eastAsia="zh-CN"/>
              </w:rPr>
              <w:t>等实质性要求</w:t>
            </w:r>
          </w:p>
        </w:tc>
        <w:tc>
          <w:tcPr>
            <w:tcW w:w="1664" w:type="pct"/>
            <w:vAlign w:val="center"/>
          </w:tcPr>
          <w:p w14:paraId="15BE4ED7">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753B3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vAlign w:val="center"/>
          </w:tcPr>
          <w:p w14:paraId="63A774CC">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7</w:t>
            </w:r>
          </w:p>
        </w:tc>
        <w:tc>
          <w:tcPr>
            <w:tcW w:w="888" w:type="pct"/>
            <w:vAlign w:val="center"/>
          </w:tcPr>
          <w:p w14:paraId="140A5F50">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2057" w:type="pct"/>
            <w:vAlign w:val="center"/>
          </w:tcPr>
          <w:p w14:paraId="2BC4FFA5">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实质性要求</w:t>
            </w:r>
          </w:p>
        </w:tc>
        <w:tc>
          <w:tcPr>
            <w:tcW w:w="1664" w:type="pct"/>
            <w:vAlign w:val="center"/>
          </w:tcPr>
          <w:p w14:paraId="29F64EF9">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57EA51C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67184F48">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7"/>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34ED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5A52B513">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0D33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0D4BAEE5">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4AB2951F">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7115AC1C">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5813270A">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3C25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05" w:type="dxa"/>
            <w:tcBorders>
              <w:bottom w:val="single" w:color="auto" w:sz="4" w:space="0"/>
            </w:tcBorders>
            <w:vAlign w:val="center"/>
          </w:tcPr>
          <w:p w14:paraId="7F09F1D5">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6C1832D2">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5640C2A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1EF5DF4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47E2B8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0424D77D">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0E47FB0E">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136CA053">
            <w:pPr>
              <w:pStyle w:val="9"/>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7E79CD60">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6C180251">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084348AB">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6BCD984F">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5A7B51F4">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6AF277C1">
      <w:pPr>
        <w:pStyle w:val="9"/>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3E59760B">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70D2673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7250154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rPr>
        <w:t>%。具体评分细则如下：</w:t>
      </w:r>
    </w:p>
    <w:tbl>
      <w:tblPr>
        <w:tblStyle w:val="27"/>
        <w:tblW w:w="59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6"/>
        <w:gridCol w:w="1221"/>
        <w:gridCol w:w="6321"/>
        <w:gridCol w:w="1189"/>
      </w:tblGrid>
      <w:tr w14:paraId="72DB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02" w:type="pct"/>
            <w:tcBorders>
              <w:top w:val="single" w:color="auto" w:sz="4" w:space="0"/>
              <w:left w:val="single" w:color="auto" w:sz="4" w:space="0"/>
              <w:bottom w:val="single" w:color="auto" w:sz="4" w:space="0"/>
              <w:right w:val="single" w:color="auto" w:sz="4" w:space="0"/>
            </w:tcBorders>
            <w:vAlign w:val="center"/>
          </w:tcPr>
          <w:p w14:paraId="6709C4CE">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类别</w:t>
            </w:r>
          </w:p>
        </w:tc>
        <w:tc>
          <w:tcPr>
            <w:tcW w:w="601" w:type="pct"/>
            <w:tcBorders>
              <w:top w:val="single" w:color="auto" w:sz="4" w:space="0"/>
              <w:left w:val="single" w:color="auto" w:sz="4" w:space="0"/>
              <w:bottom w:val="single" w:color="auto" w:sz="4" w:space="0"/>
              <w:right w:val="single" w:color="auto" w:sz="4" w:space="0"/>
            </w:tcBorders>
            <w:vAlign w:val="center"/>
          </w:tcPr>
          <w:p w14:paraId="203EED6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评分内容</w:t>
            </w:r>
          </w:p>
        </w:tc>
        <w:tc>
          <w:tcPr>
            <w:tcW w:w="3111" w:type="pct"/>
            <w:tcBorders>
              <w:top w:val="single" w:color="auto" w:sz="4" w:space="0"/>
              <w:left w:val="single" w:color="auto" w:sz="4" w:space="0"/>
              <w:bottom w:val="single" w:color="auto" w:sz="4" w:space="0"/>
              <w:right w:val="single" w:color="auto" w:sz="4" w:space="0"/>
            </w:tcBorders>
            <w:vAlign w:val="center"/>
          </w:tcPr>
          <w:p w14:paraId="1175DF2D">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c>
          <w:tcPr>
            <w:tcW w:w="584" w:type="pct"/>
            <w:tcBorders>
              <w:top w:val="single" w:color="auto" w:sz="4" w:space="0"/>
              <w:left w:val="single" w:color="auto" w:sz="4" w:space="0"/>
              <w:bottom w:val="single" w:color="auto" w:sz="4" w:space="0"/>
              <w:right w:val="single" w:color="auto" w:sz="4" w:space="0"/>
            </w:tcBorders>
            <w:vAlign w:val="center"/>
          </w:tcPr>
          <w:p w14:paraId="746CC116">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分值范围</w:t>
            </w:r>
          </w:p>
        </w:tc>
      </w:tr>
      <w:tr w14:paraId="3AA0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restart"/>
            <w:tcBorders>
              <w:top w:val="single" w:color="auto" w:sz="4" w:space="0"/>
              <w:left w:val="single" w:color="auto" w:sz="4" w:space="0"/>
              <w:right w:val="single" w:color="auto" w:sz="4" w:space="0"/>
            </w:tcBorders>
            <w:vAlign w:val="center"/>
          </w:tcPr>
          <w:p w14:paraId="46C1FA19">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技术资信分</w:t>
            </w:r>
          </w:p>
          <w:p w14:paraId="57FF7EC0">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70</w:t>
            </w:r>
            <w:r>
              <w:rPr>
                <w:rFonts w:hint="eastAsia" w:ascii="宋体" w:hAnsi="宋体" w:eastAsia="宋体" w:cs="宋体"/>
                <w:color w:val="auto"/>
                <w:sz w:val="24"/>
                <w:szCs w:val="24"/>
                <w:highlight w:val="none"/>
              </w:rPr>
              <w:t>分）</w:t>
            </w:r>
          </w:p>
        </w:tc>
        <w:tc>
          <w:tcPr>
            <w:tcW w:w="601" w:type="pct"/>
            <w:tcBorders>
              <w:top w:val="single" w:color="auto" w:sz="4" w:space="0"/>
              <w:left w:val="single" w:color="auto" w:sz="4" w:space="0"/>
              <w:bottom w:val="single" w:color="auto" w:sz="4" w:space="0"/>
              <w:right w:val="single" w:color="auto" w:sz="4" w:space="0"/>
            </w:tcBorders>
            <w:vAlign w:val="center"/>
          </w:tcPr>
          <w:p w14:paraId="5FDFA0CF">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投标人业绩</w:t>
            </w:r>
          </w:p>
        </w:tc>
        <w:tc>
          <w:tcPr>
            <w:tcW w:w="3111" w:type="pct"/>
            <w:tcBorders>
              <w:top w:val="single" w:color="auto" w:sz="4" w:space="0"/>
              <w:left w:val="single" w:color="auto" w:sz="4" w:space="0"/>
              <w:bottom w:val="single" w:color="auto" w:sz="4" w:space="0"/>
              <w:right w:val="single" w:color="auto" w:sz="4" w:space="0"/>
            </w:tcBorders>
            <w:vAlign w:val="center"/>
          </w:tcPr>
          <w:p w14:paraId="1ABF9F5A">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自202</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eastAsia="zh-CN"/>
              </w:rPr>
              <w:t>年1月1日</w:t>
            </w:r>
            <w:r>
              <w:rPr>
                <w:rFonts w:hint="eastAsia" w:ascii="宋体" w:hAnsi="宋体" w:eastAsia="宋体" w:cs="宋体"/>
                <w:color w:val="auto"/>
                <w:sz w:val="24"/>
                <w:szCs w:val="24"/>
                <w:highlight w:val="none"/>
                <w:lang w:val="en-US" w:eastAsia="zh-CN"/>
              </w:rPr>
              <w:t>至投标截止日</w:t>
            </w:r>
            <w:r>
              <w:rPr>
                <w:rFonts w:hint="eastAsia" w:ascii="宋体" w:hAnsi="宋体" w:eastAsia="宋体" w:cs="宋体"/>
                <w:color w:val="auto"/>
                <w:sz w:val="24"/>
                <w:highlight w:val="none"/>
              </w:rPr>
              <w:t>（以合同签订时间为准）</w:t>
            </w:r>
            <w:r>
              <w:rPr>
                <w:rFonts w:hint="eastAsia" w:ascii="宋体" w:hAnsi="宋体" w:eastAsia="宋体" w:cs="宋体"/>
                <w:color w:val="auto"/>
                <w:sz w:val="24"/>
                <w:szCs w:val="24"/>
                <w:highlight w:val="none"/>
                <w:lang w:val="zh-CN" w:eastAsia="zh-CN"/>
              </w:rPr>
              <w:t>，投标人</w:t>
            </w:r>
            <w:r>
              <w:rPr>
                <w:rFonts w:hint="eastAsia" w:ascii="宋体" w:hAnsi="宋体" w:eastAsia="宋体" w:cs="宋体"/>
                <w:color w:val="auto"/>
                <w:sz w:val="24"/>
                <w:szCs w:val="24"/>
                <w:highlight w:val="none"/>
                <w:lang w:val="en-US" w:eastAsia="zh-CN"/>
              </w:rPr>
              <w:t>具有实验室管理平台项目供货安装内容的业绩</w:t>
            </w:r>
            <w:r>
              <w:rPr>
                <w:rFonts w:hint="eastAsia" w:ascii="宋体" w:hAnsi="宋体" w:eastAsia="宋体" w:cs="宋体"/>
                <w:color w:val="auto"/>
                <w:sz w:val="24"/>
                <w:szCs w:val="24"/>
                <w:highlight w:val="none"/>
                <w:lang w:val="zh-CN" w:eastAsia="zh-CN"/>
              </w:rPr>
              <w:t>，每提供</w:t>
            </w:r>
            <w:r>
              <w:rPr>
                <w:rFonts w:hint="eastAsia" w:ascii="宋体" w:hAnsi="宋体" w:eastAsia="宋体" w:cs="宋体"/>
                <w:color w:val="auto"/>
                <w:sz w:val="24"/>
                <w:szCs w:val="24"/>
                <w:highlight w:val="none"/>
                <w:lang w:val="en-US" w:eastAsia="zh-CN"/>
              </w:rPr>
              <w:t>1个</w:t>
            </w:r>
            <w:r>
              <w:rPr>
                <w:rFonts w:hint="eastAsia" w:ascii="宋体" w:hAnsi="宋体" w:eastAsia="宋体" w:cs="宋体"/>
                <w:color w:val="auto"/>
                <w:sz w:val="24"/>
                <w:szCs w:val="24"/>
                <w:highlight w:val="none"/>
                <w:lang w:val="zh-CN" w:eastAsia="zh-CN"/>
              </w:rPr>
              <w:t>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分，</w:t>
            </w:r>
            <w:r>
              <w:rPr>
                <w:rFonts w:hint="eastAsia" w:ascii="宋体" w:hAnsi="宋体" w:eastAsia="宋体" w:cs="宋体"/>
                <w:color w:val="auto"/>
                <w:sz w:val="24"/>
                <w:szCs w:val="24"/>
                <w:highlight w:val="none"/>
                <w:lang w:val="en-US" w:eastAsia="zh-CN"/>
              </w:rPr>
              <w:t>其他的不得分，满分4分。</w:t>
            </w:r>
          </w:p>
          <w:p w14:paraId="538BBEA2">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注：①投标文件中提供业绩合同扫描件；若合同材料中无法体现签订时间、供货内容等关键评审因素的，须另附业主（合同甲方）出具的证明材料，未提供或提供不全的不得分。</w:t>
            </w:r>
          </w:p>
          <w:p w14:paraId="63DDD3FC">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val="en-US" w:eastAsia="zh-CN"/>
              </w:rPr>
              <w:t>②提供的项目业绩只计算评标分值对应的项目数量，按照排列顺序从首个业绩开始评审至对应数量，超出部分不进行评审。对应数量内业绩不符合招标文件要求不得分的，不再补充评审超出部分业绩。如：提供2个业绩即得满分的，按照投标文件排序评审第一、第二项业绩，其余超出部分不再评审。</w:t>
            </w:r>
          </w:p>
        </w:tc>
        <w:tc>
          <w:tcPr>
            <w:tcW w:w="584" w:type="pct"/>
            <w:tcBorders>
              <w:top w:val="single" w:color="auto" w:sz="4" w:space="0"/>
              <w:left w:val="single" w:color="auto" w:sz="4" w:space="0"/>
              <w:bottom w:val="single" w:color="auto" w:sz="4" w:space="0"/>
              <w:right w:val="single" w:color="auto" w:sz="4" w:space="0"/>
            </w:tcBorders>
            <w:vAlign w:val="center"/>
          </w:tcPr>
          <w:p w14:paraId="15D6AA5E">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0-4分</w:t>
            </w:r>
          </w:p>
        </w:tc>
      </w:tr>
      <w:tr w14:paraId="43329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09CA6D50">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sz w:val="24"/>
                <w:szCs w:val="24"/>
                <w:highlight w:val="none"/>
              </w:rPr>
            </w:pPr>
          </w:p>
        </w:tc>
        <w:tc>
          <w:tcPr>
            <w:tcW w:w="601" w:type="pct"/>
            <w:tcBorders>
              <w:top w:val="single" w:color="auto" w:sz="4" w:space="0"/>
              <w:left w:val="single" w:color="auto" w:sz="4" w:space="0"/>
              <w:bottom w:val="single" w:color="auto" w:sz="4" w:space="0"/>
              <w:right w:val="single" w:color="auto" w:sz="4" w:space="0"/>
            </w:tcBorders>
            <w:vAlign w:val="center"/>
          </w:tcPr>
          <w:p w14:paraId="5380848D">
            <w:pPr>
              <w:keepNext w:val="0"/>
              <w:keepLines w:val="0"/>
              <w:pageBreakBefore w:val="0"/>
              <w:widowControl w:val="0"/>
              <w:kinsoku/>
              <w:wordWrap/>
              <w:overflowPunct/>
              <w:topLinePunct w:val="0"/>
              <w:autoSpaceDE/>
              <w:autoSpaceDN/>
              <w:bidi w:val="0"/>
              <w:spacing w:line="500" w:lineRule="exact"/>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投标人实力</w:t>
            </w:r>
          </w:p>
        </w:tc>
        <w:tc>
          <w:tcPr>
            <w:tcW w:w="3111" w:type="pct"/>
            <w:tcBorders>
              <w:top w:val="single" w:color="auto" w:sz="4" w:space="0"/>
              <w:left w:val="single" w:color="auto" w:sz="4" w:space="0"/>
              <w:bottom w:val="single" w:color="auto" w:sz="4" w:space="0"/>
              <w:right w:val="single" w:color="auto" w:sz="4" w:space="0"/>
            </w:tcBorders>
            <w:vAlign w:val="center"/>
          </w:tcPr>
          <w:p w14:paraId="57734CFB">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提供实验室管理系统、移动端、在线考试软件、数据可视化分析、在线非编系统等与项目相关的软件著作权证书。</w:t>
            </w:r>
          </w:p>
          <w:p w14:paraId="07DC8518">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每提供1个得2分，本项满分6分。</w:t>
            </w:r>
          </w:p>
          <w:p w14:paraId="6CB6542D">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未提供得 0 分。</w:t>
            </w:r>
          </w:p>
        </w:tc>
        <w:tc>
          <w:tcPr>
            <w:tcW w:w="584" w:type="pct"/>
            <w:tcBorders>
              <w:top w:val="single" w:color="auto" w:sz="4" w:space="0"/>
              <w:left w:val="single" w:color="auto" w:sz="4" w:space="0"/>
              <w:bottom w:val="single" w:color="auto" w:sz="4" w:space="0"/>
              <w:right w:val="single" w:color="auto" w:sz="4" w:space="0"/>
            </w:tcBorders>
            <w:vAlign w:val="center"/>
          </w:tcPr>
          <w:p w14:paraId="7D0FA58F">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0-6分</w:t>
            </w:r>
          </w:p>
        </w:tc>
      </w:tr>
      <w:tr w14:paraId="646E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7822B7C3">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601" w:type="pct"/>
            <w:tcBorders>
              <w:top w:val="single" w:color="auto" w:sz="4" w:space="0"/>
              <w:left w:val="single" w:color="auto" w:sz="4" w:space="0"/>
              <w:bottom w:val="single" w:color="auto" w:sz="4" w:space="0"/>
              <w:right w:val="single" w:color="auto" w:sz="4" w:space="0"/>
            </w:tcBorders>
            <w:vAlign w:val="center"/>
          </w:tcPr>
          <w:p w14:paraId="7FCF9B8D">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sz w:val="24"/>
                <w:szCs w:val="24"/>
                <w:highlight w:val="none"/>
                <w:lang w:val="en-US"/>
              </w:rPr>
            </w:pPr>
            <w:r>
              <w:rPr>
                <w:rFonts w:hint="eastAsia" w:ascii="宋体" w:hAnsi="宋体" w:eastAsia="宋体" w:cs="宋体"/>
                <w:bCs/>
                <w:color w:val="auto"/>
                <w:sz w:val="24"/>
                <w:szCs w:val="24"/>
                <w:highlight w:val="none"/>
              </w:rPr>
              <w:t>技术参数响应</w:t>
            </w:r>
          </w:p>
        </w:tc>
        <w:tc>
          <w:tcPr>
            <w:tcW w:w="3111" w:type="pct"/>
            <w:tcBorders>
              <w:top w:val="single" w:color="auto" w:sz="4" w:space="0"/>
              <w:left w:val="single" w:color="auto" w:sz="4" w:space="0"/>
              <w:bottom w:val="single" w:color="auto" w:sz="4" w:space="0"/>
              <w:right w:val="single" w:color="auto" w:sz="4" w:space="0"/>
            </w:tcBorders>
            <w:vAlign w:val="center"/>
          </w:tcPr>
          <w:p w14:paraId="1202DDFE">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（1）投标人所投产品的技术参数、性能、质量等要求的响应情况进行评分。</w:t>
            </w:r>
          </w:p>
          <w:p w14:paraId="5266773D">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加“▲”项内容为重要条款或重要技术指标，需在投标文件中提供相关证明材料，每1个“▲”项加 1 分。</w:t>
            </w:r>
          </w:p>
          <w:p w14:paraId="049D7A1F">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备注：投标人若提供虚假响应或虚假材料则取消中标资格。</w:t>
            </w:r>
          </w:p>
          <w:p w14:paraId="04E46E9E">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本项最高得 40分，最低得 0 分。 </w:t>
            </w:r>
          </w:p>
          <w:p w14:paraId="070145CC">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未标“▲”的为一般参数，投标文件中无需列明，但在合同签订后将作为履约验收的依据，投标人在投标文件中提供上述参数全部响应的承诺函或逐条响应均可，承诺函格式自拟，承诺函格式自拟，否则按无效标处理。 </w:t>
            </w:r>
          </w:p>
          <w:p w14:paraId="4D5880C7">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注：（1）如某项标识中包含多条技术参数或要求，则该项标识所含内容均需满足或优于招标文件要求，否则不予认可。 </w:t>
            </w:r>
          </w:p>
          <w:p w14:paraId="496F2D69">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本项内所有内容技术参数响应情况投标人须依据所投产品如实填写，若自填响应或正偏离，供货时实际产品不响应或负偏离；或未按投标时的承诺提供合格的检测报告的；采购人有权上报相关部门，按相关法律处理。</w:t>
            </w:r>
          </w:p>
        </w:tc>
        <w:tc>
          <w:tcPr>
            <w:tcW w:w="584" w:type="pct"/>
            <w:tcBorders>
              <w:top w:val="single" w:color="auto" w:sz="4" w:space="0"/>
              <w:left w:val="single" w:color="auto" w:sz="4" w:space="0"/>
              <w:bottom w:val="single" w:color="auto" w:sz="4" w:space="0"/>
              <w:right w:val="single" w:color="auto" w:sz="4" w:space="0"/>
            </w:tcBorders>
            <w:vAlign w:val="center"/>
          </w:tcPr>
          <w:p w14:paraId="3B9C3852">
            <w:pPr>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Cs/>
                <w:color w:val="auto"/>
                <w:sz w:val="24"/>
                <w:highlight w:val="none"/>
              </w:rPr>
              <w:t>0-</w:t>
            </w:r>
            <w:r>
              <w:rPr>
                <w:rFonts w:hint="eastAsia" w:ascii="宋体" w:hAnsi="宋体" w:eastAsia="宋体" w:cs="宋体"/>
                <w:bCs/>
                <w:color w:val="auto"/>
                <w:sz w:val="24"/>
                <w:highlight w:val="none"/>
                <w:lang w:val="en-US" w:eastAsia="zh-CN"/>
              </w:rPr>
              <w:t>4</w:t>
            </w:r>
            <w:r>
              <w:rPr>
                <w:rFonts w:hint="eastAsia" w:ascii="宋体" w:hAnsi="宋体" w:eastAsia="宋体" w:cs="宋体"/>
                <w:bCs/>
                <w:color w:val="auto"/>
                <w:sz w:val="24"/>
                <w:highlight w:val="none"/>
              </w:rPr>
              <w:t>0分</w:t>
            </w:r>
          </w:p>
        </w:tc>
      </w:tr>
      <w:tr w14:paraId="5521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4E7CDD80">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vAlign w:val="center"/>
          </w:tcPr>
          <w:p w14:paraId="00DFCAC4">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供货安装（调试）方案</w:t>
            </w:r>
          </w:p>
          <w:p w14:paraId="086C0544">
            <w:pPr>
              <w:jc w:val="center"/>
              <w:rPr>
                <w:rFonts w:hint="eastAsia" w:ascii="宋体" w:hAnsi="宋体" w:eastAsia="宋体" w:cs="宋体"/>
                <w:bCs/>
                <w:color w:val="auto"/>
                <w:sz w:val="24"/>
                <w:szCs w:val="24"/>
                <w:highlight w:val="none"/>
              </w:rPr>
            </w:pPr>
          </w:p>
        </w:tc>
        <w:tc>
          <w:tcPr>
            <w:tcW w:w="6321" w:type="dxa"/>
            <w:tcBorders>
              <w:top w:val="single" w:color="auto" w:sz="4" w:space="0"/>
              <w:left w:val="single" w:color="auto" w:sz="4" w:space="0"/>
              <w:bottom w:val="single" w:color="auto" w:sz="4" w:space="0"/>
              <w:right w:val="single" w:color="auto" w:sz="4" w:space="0"/>
            </w:tcBorders>
            <w:vAlign w:val="top"/>
          </w:tcPr>
          <w:p w14:paraId="42640028">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根据投标人投标文件中提供的供货安装（调试）方案、质量控制保障体系、质量控制措施，由评标委员会根据上述内容进行综合评审： </w:t>
            </w:r>
          </w:p>
          <w:p w14:paraId="5900410C">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（1）供货安装、验收等实施方案详尽，施工进度、质量、安全保证方案及措施和协同配合方案完整且符合项目实际情况的，得5分； </w:t>
            </w:r>
          </w:p>
          <w:p w14:paraId="567E7D9F">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（2）供货安装、验收等实施方案齐全，施工进度、质量、安全保证方案及措施和协同配合方案简单且符合实际情况的，得3分； </w:t>
            </w:r>
          </w:p>
          <w:p w14:paraId="5B159E43">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（3）供货安装、验收内容简单，施工进度、质量、安全保证方案及措施和协同配合方案存在缺项，需要进一步完善的，得1分； </w:t>
            </w:r>
          </w:p>
          <w:p w14:paraId="2550A9F8">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（4）未提供的不得分。</w:t>
            </w:r>
          </w:p>
        </w:tc>
        <w:tc>
          <w:tcPr>
            <w:tcW w:w="1187" w:type="dxa"/>
            <w:tcBorders>
              <w:top w:val="single" w:color="auto" w:sz="4" w:space="0"/>
              <w:left w:val="single" w:color="auto" w:sz="4" w:space="0"/>
              <w:bottom w:val="single" w:color="auto" w:sz="4" w:space="0"/>
              <w:right w:val="single" w:color="auto" w:sz="4" w:space="0"/>
            </w:tcBorders>
            <w:vAlign w:val="center"/>
          </w:tcPr>
          <w:p w14:paraId="2021514B">
            <w:pPr>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highlight w:val="none"/>
              </w:rPr>
              <w:t>0</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lang w:val="en-US" w:eastAsia="zh-CN"/>
              </w:rPr>
              <w:t>5</w:t>
            </w:r>
            <w:r>
              <w:rPr>
                <w:rFonts w:hint="eastAsia" w:ascii="宋体" w:hAnsi="宋体" w:eastAsia="宋体" w:cs="宋体"/>
                <w:color w:val="auto"/>
                <w:sz w:val="24"/>
                <w:highlight w:val="none"/>
              </w:rPr>
              <w:t>分</w:t>
            </w:r>
          </w:p>
        </w:tc>
      </w:tr>
      <w:tr w14:paraId="5969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0865ABF0">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601" w:type="pct"/>
            <w:tcBorders>
              <w:top w:val="single" w:color="auto" w:sz="4" w:space="0"/>
              <w:left w:val="single" w:color="auto" w:sz="4" w:space="0"/>
              <w:bottom w:val="single" w:color="auto" w:sz="4" w:space="0"/>
              <w:right w:val="single" w:color="auto" w:sz="4" w:space="0"/>
            </w:tcBorders>
            <w:vAlign w:val="center"/>
          </w:tcPr>
          <w:p w14:paraId="0BDEF2EC">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售后服务方案</w:t>
            </w:r>
          </w:p>
        </w:tc>
        <w:tc>
          <w:tcPr>
            <w:tcW w:w="3111" w:type="pct"/>
            <w:tcBorders>
              <w:top w:val="single" w:color="auto" w:sz="4" w:space="0"/>
              <w:left w:val="single" w:color="auto" w:sz="4" w:space="0"/>
              <w:bottom w:val="single" w:color="auto" w:sz="4" w:space="0"/>
              <w:right w:val="single" w:color="auto" w:sz="4" w:space="0"/>
            </w:tcBorders>
            <w:vAlign w:val="center"/>
          </w:tcPr>
          <w:p w14:paraId="0B1FDF1F">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方案内容应详实、科学合理，售后服务响应时间，售后服务人员配备充足，能满足项目后期的维保需要。</w:t>
            </w:r>
          </w:p>
          <w:p w14:paraId="3E4A8C5D">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（1）售后服务措施详尽、维修响应时间及时、备件供应保障充足、人员售后配置详细、远程报修服务方案全面、实时维修统计详尽，能保障采购人获得高质量售后服务的，得5分。</w:t>
            </w:r>
          </w:p>
          <w:p w14:paraId="27BD5757">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（2）售后服务措施完整、维修响应时间及时、具有备件供应保障措施、配置售后人员、具有远程报修服务的，得3分。 </w:t>
            </w:r>
          </w:p>
          <w:p w14:paraId="16664F43">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（3）售后服务措施、维修响应时间、备件供应保障、配置售后人员、远程报修服务措施不全或存在不足的，得1分。 </w:t>
            </w:r>
          </w:p>
          <w:p w14:paraId="2BD20FC6">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（4）方案不能满足项目要求或未提供的不得分。</w:t>
            </w:r>
          </w:p>
        </w:tc>
        <w:tc>
          <w:tcPr>
            <w:tcW w:w="584" w:type="pct"/>
            <w:tcBorders>
              <w:top w:val="single" w:color="auto" w:sz="4" w:space="0"/>
              <w:left w:val="single" w:color="auto" w:sz="4" w:space="0"/>
              <w:bottom w:val="single" w:color="auto" w:sz="4" w:space="0"/>
              <w:right w:val="single" w:color="auto" w:sz="4" w:space="0"/>
            </w:tcBorders>
            <w:vAlign w:val="center"/>
          </w:tcPr>
          <w:p w14:paraId="6CAB46A6">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0-5分</w:t>
            </w:r>
          </w:p>
        </w:tc>
      </w:tr>
      <w:tr w14:paraId="010A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19B5A18F">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601" w:type="pct"/>
            <w:tcBorders>
              <w:top w:val="single" w:color="auto" w:sz="4" w:space="0"/>
              <w:left w:val="single" w:color="auto" w:sz="4" w:space="0"/>
              <w:bottom w:val="single" w:color="auto" w:sz="4" w:space="0"/>
              <w:right w:val="single" w:color="auto" w:sz="4" w:space="0"/>
            </w:tcBorders>
            <w:vAlign w:val="center"/>
          </w:tcPr>
          <w:p w14:paraId="43FDD931">
            <w:pPr>
              <w:widowControl/>
              <w:rPr>
                <w:rFonts w:hint="eastAsia" w:ascii="宋体" w:hAnsi="宋体" w:eastAsia="宋体" w:cs="宋体"/>
                <w:color w:val="auto"/>
                <w:sz w:val="24"/>
                <w:szCs w:val="24"/>
                <w:highlight w:val="none"/>
              </w:rPr>
            </w:pPr>
            <w:r>
              <w:rPr>
                <w:rFonts w:hint="eastAsia" w:ascii="宋体" w:hAnsi="宋体" w:eastAsia="宋体" w:cs="宋体"/>
                <w:color w:val="auto"/>
                <w:kern w:val="0"/>
                <w:sz w:val="24"/>
                <w:highlight w:val="none"/>
                <w:lang w:bidi="ar"/>
              </w:rPr>
              <w:t>培训方案</w:t>
            </w:r>
          </w:p>
        </w:tc>
        <w:tc>
          <w:tcPr>
            <w:tcW w:w="6321" w:type="dxa"/>
            <w:tcBorders>
              <w:top w:val="single" w:color="auto" w:sz="4" w:space="0"/>
              <w:left w:val="single" w:color="auto" w:sz="4" w:space="0"/>
              <w:bottom w:val="single" w:color="auto" w:sz="4" w:space="0"/>
              <w:right w:val="single" w:color="auto" w:sz="4" w:space="0"/>
            </w:tcBorders>
            <w:vAlign w:val="top"/>
          </w:tcPr>
          <w:p w14:paraId="36A435F8">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培训方案能体现针对不同的对象来区分培训内容并提供相关培训材料，包括项目建成移交后进行技术培训，教学使用等培训方案、培训目标；培训对象及内容；培训考核及培训队伍计划方案。提供完善的应用培训方案（内容包括培训内容、培训时间、培训地点、培训对象、培训人员等）。 </w:t>
            </w:r>
          </w:p>
          <w:p w14:paraId="689B0663">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（1）培训方案详见完善，培训内容丰富，重点突出，培训计划详尽，满足项目实施要求，得5分； </w:t>
            </w:r>
          </w:p>
          <w:p w14:paraId="3C17972E">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（2）方案内容完整，有培训重点，培训计划清晰，方案实施内容明确，得3分； </w:t>
            </w:r>
          </w:p>
          <w:p w14:paraId="77B4EFF2">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（3）方案内容简单，计划流程逻辑不通，存在不足，得1分； </w:t>
            </w:r>
          </w:p>
          <w:p w14:paraId="644C6EEC">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（4）未提供的不得分。</w:t>
            </w:r>
          </w:p>
        </w:tc>
        <w:tc>
          <w:tcPr>
            <w:tcW w:w="1189" w:type="dxa"/>
            <w:tcBorders>
              <w:top w:val="single" w:color="auto" w:sz="4" w:space="0"/>
              <w:left w:val="single" w:color="auto" w:sz="4" w:space="0"/>
              <w:bottom w:val="single" w:color="auto" w:sz="4" w:space="0"/>
              <w:right w:val="single" w:color="auto" w:sz="4" w:space="0"/>
            </w:tcBorders>
            <w:vAlign w:val="center"/>
          </w:tcPr>
          <w:p w14:paraId="2FE94CAD">
            <w:pPr>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highlight w:val="none"/>
              </w:rPr>
              <w:t>0-</w:t>
            </w:r>
            <w:r>
              <w:rPr>
                <w:rFonts w:hint="eastAsia" w:ascii="宋体" w:hAnsi="宋体" w:eastAsia="宋体" w:cs="宋体"/>
                <w:bCs/>
                <w:color w:val="auto"/>
                <w:sz w:val="24"/>
                <w:highlight w:val="none"/>
              </w:rPr>
              <w:t>5</w:t>
            </w:r>
            <w:r>
              <w:rPr>
                <w:rFonts w:hint="eastAsia" w:ascii="宋体" w:hAnsi="宋体" w:eastAsia="宋体" w:cs="宋体"/>
                <w:color w:val="auto"/>
                <w:sz w:val="24"/>
                <w:highlight w:val="none"/>
              </w:rPr>
              <w:t>分</w:t>
            </w:r>
          </w:p>
        </w:tc>
      </w:tr>
      <w:tr w14:paraId="69D8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vMerge w:val="continue"/>
            <w:tcBorders>
              <w:left w:val="single" w:color="auto" w:sz="4" w:space="0"/>
              <w:right w:val="single" w:color="auto" w:sz="4" w:space="0"/>
            </w:tcBorders>
            <w:vAlign w:val="center"/>
          </w:tcPr>
          <w:p w14:paraId="0BD16E89">
            <w:pPr>
              <w:keepNext w:val="0"/>
              <w:keepLines w:val="0"/>
              <w:pageBreakBefore w:val="0"/>
              <w:widowControl w:val="0"/>
              <w:kinsoku/>
              <w:wordWrap/>
              <w:overflowPunct/>
              <w:topLinePunct w:val="0"/>
              <w:autoSpaceDE/>
              <w:autoSpaceDN/>
              <w:bidi w:val="0"/>
              <w:spacing w:line="500" w:lineRule="exact"/>
              <w:ind w:firstLine="435"/>
              <w:jc w:val="center"/>
              <w:textAlignment w:val="auto"/>
              <w:rPr>
                <w:rFonts w:hint="eastAsia" w:ascii="宋体" w:hAnsi="宋体" w:eastAsia="宋体" w:cs="宋体"/>
                <w:b/>
                <w:bCs/>
                <w:color w:val="auto"/>
                <w:sz w:val="24"/>
                <w:szCs w:val="24"/>
                <w:highlight w:val="none"/>
              </w:rPr>
            </w:pPr>
          </w:p>
        </w:tc>
        <w:tc>
          <w:tcPr>
            <w:tcW w:w="601" w:type="pct"/>
            <w:tcBorders>
              <w:top w:val="single" w:color="auto" w:sz="4" w:space="0"/>
              <w:left w:val="single" w:color="auto" w:sz="4" w:space="0"/>
              <w:bottom w:val="single" w:color="auto" w:sz="4" w:space="0"/>
              <w:right w:val="single" w:color="auto" w:sz="4" w:space="0"/>
            </w:tcBorders>
            <w:vAlign w:val="center"/>
          </w:tcPr>
          <w:p w14:paraId="63E62BF6">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质保期</w:t>
            </w:r>
          </w:p>
        </w:tc>
        <w:tc>
          <w:tcPr>
            <w:tcW w:w="3111" w:type="pct"/>
            <w:tcBorders>
              <w:top w:val="single" w:color="auto" w:sz="4" w:space="0"/>
              <w:left w:val="single" w:color="auto" w:sz="4" w:space="0"/>
              <w:bottom w:val="single" w:color="auto" w:sz="4" w:space="0"/>
              <w:right w:val="single" w:color="auto" w:sz="4" w:space="0"/>
            </w:tcBorders>
            <w:vAlign w:val="center"/>
          </w:tcPr>
          <w:p w14:paraId="37A5C0B8">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val="en-US" w:eastAsia="zh-CN"/>
              </w:rPr>
              <w:t>承诺招标文件要求的</w:t>
            </w:r>
            <w:r>
              <w:rPr>
                <w:rFonts w:hint="eastAsia" w:ascii="宋体" w:hAnsi="宋体" w:eastAsia="宋体" w:cs="宋体"/>
                <w:color w:val="auto"/>
                <w:sz w:val="24"/>
                <w:szCs w:val="24"/>
                <w:highlight w:val="none"/>
              </w:rPr>
              <w:t>免费维保期3年</w:t>
            </w:r>
            <w:r>
              <w:rPr>
                <w:rFonts w:hint="eastAsia" w:ascii="宋体" w:hAnsi="宋体" w:eastAsia="宋体" w:cs="宋体"/>
                <w:color w:val="auto"/>
                <w:sz w:val="24"/>
                <w:szCs w:val="24"/>
                <w:highlight w:val="none"/>
                <w:lang w:val="en-US" w:eastAsia="zh-CN"/>
              </w:rPr>
              <w:t>得1分，在次</w:t>
            </w:r>
            <w:r>
              <w:rPr>
                <w:rFonts w:hint="eastAsia" w:ascii="宋体" w:hAnsi="宋体" w:eastAsia="宋体" w:cs="宋体"/>
                <w:color w:val="auto"/>
                <w:sz w:val="24"/>
                <w:szCs w:val="24"/>
                <w:highlight w:val="none"/>
              </w:rPr>
              <w:t>基础上每增加1年加</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分，本项满分</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14:paraId="2E2345CD">
            <w:pPr>
              <w:keepNext w:val="0"/>
              <w:keepLines w:val="0"/>
              <w:pageBreakBefore w:val="0"/>
              <w:widowControl w:val="0"/>
              <w:kinsoku/>
              <w:wordWrap/>
              <w:overflowPunct/>
              <w:topLinePunct w:val="0"/>
              <w:autoSpaceDE/>
              <w:autoSpaceDN/>
              <w:bidi w:val="0"/>
              <w:spacing w:line="500" w:lineRule="exact"/>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注：以投标人承诺的免费质保期为准。提供承诺函扫描件。</w:t>
            </w:r>
          </w:p>
        </w:tc>
        <w:tc>
          <w:tcPr>
            <w:tcW w:w="584" w:type="pct"/>
            <w:tcBorders>
              <w:top w:val="single" w:color="auto" w:sz="4" w:space="0"/>
              <w:left w:val="single" w:color="auto" w:sz="4" w:space="0"/>
              <w:bottom w:val="single" w:color="auto" w:sz="4" w:space="0"/>
              <w:right w:val="single" w:color="auto" w:sz="4" w:space="0"/>
            </w:tcBorders>
            <w:vAlign w:val="center"/>
          </w:tcPr>
          <w:p w14:paraId="36884C08">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0-5分</w:t>
            </w:r>
          </w:p>
        </w:tc>
      </w:tr>
      <w:tr w14:paraId="2C6FA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2" w:type="pct"/>
            <w:tcBorders>
              <w:left w:val="single" w:color="auto" w:sz="4" w:space="0"/>
              <w:right w:val="single" w:color="auto" w:sz="4" w:space="0"/>
            </w:tcBorders>
            <w:vAlign w:val="center"/>
          </w:tcPr>
          <w:p w14:paraId="721104F1">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w:t>
            </w:r>
          </w:p>
          <w:p w14:paraId="440C1EC2">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w:t>
            </w:r>
          </w:p>
        </w:tc>
        <w:tc>
          <w:tcPr>
            <w:tcW w:w="4297" w:type="pct"/>
            <w:gridSpan w:val="3"/>
            <w:tcBorders>
              <w:top w:val="single" w:color="auto" w:sz="4" w:space="0"/>
              <w:left w:val="single" w:color="auto" w:sz="4" w:space="0"/>
              <w:bottom w:val="single" w:color="auto" w:sz="4" w:space="0"/>
              <w:right w:val="single" w:color="auto" w:sz="4" w:space="0"/>
            </w:tcBorders>
            <w:vAlign w:val="center"/>
          </w:tcPr>
          <w:p w14:paraId="2B3B09A5">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价格分统一采用低价优先法，即满足招标文件要求且投标价格最低的投标报价为评标基准价，其价格分为满分</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分。其他投标人的价格分统一按照下列公式计算：</w:t>
            </w:r>
          </w:p>
          <w:p w14:paraId="3BD84423">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投标报价得分＝（评标基准价/投标报价）×</w:t>
            </w:r>
            <w:r>
              <w:rPr>
                <w:rFonts w:hint="eastAsia" w:ascii="宋体" w:hAnsi="宋体" w:eastAsia="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％×100</w:t>
            </w:r>
          </w:p>
        </w:tc>
      </w:tr>
    </w:tbl>
    <w:p w14:paraId="6480B0D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1A753B2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46D7BC4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p>
    <w:p w14:paraId="0CDAFAAB">
      <w:pPr>
        <w:spacing w:line="360" w:lineRule="auto"/>
        <w:ind w:firstLine="435"/>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三、无效投标条款</w:t>
      </w:r>
    </w:p>
    <w:p w14:paraId="7594377B">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投标文件有下列情形之一的,其投标文件拒收:</w:t>
      </w:r>
    </w:p>
    <w:p w14:paraId="4505CEA5">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 未在开标截止时间前通过网上招标投标系统递交有效电子投标文件的，开标系统不予接收，投标将被拒绝。</w:t>
      </w:r>
    </w:p>
    <w:p w14:paraId="401CFC10">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eastAsia="zh-CN"/>
        </w:rPr>
        <w:t>2</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lang w:eastAsia="zh-CN"/>
        </w:rPr>
        <w:t>投标企业接到远程解密指令后，须在规定时间内解密。因投标人自身原因导致投标文件在规定时间内未能解密、解密失败或解密超时，投标文件无效；解密时间：从本项目解密程序开始时计时，至完成投标文件解密时间，不得超过60分钟，否则投标文件将被拒绝。</w:t>
      </w:r>
    </w:p>
    <w:p w14:paraId="1B29DEA4">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3.2投标人有下列情形之一的,资格审查后其投标作无效投标处理：</w:t>
      </w:r>
    </w:p>
    <w:p w14:paraId="35328921">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(1)投标人为本项目提供招标代理服务的；</w:t>
      </w:r>
    </w:p>
    <w:p w14:paraId="52AAE1CF">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(2)投标人与在本项目代理机构存在相互任职或工作的；</w:t>
      </w:r>
    </w:p>
    <w:p w14:paraId="4775A99E">
      <w:pPr>
        <w:keepNext w:val="0"/>
        <w:keepLines w:val="0"/>
        <w:widowControl w:val="0"/>
        <w:suppressLineNumbers w:val="0"/>
        <w:spacing w:before="0" w:beforeAutospacing="0" w:after="0" w:afterAutospacing="0" w:line="360" w:lineRule="auto"/>
        <w:ind w:left="0" w:right="0" w:firstLine="435"/>
        <w:jc w:val="both"/>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lang w:eastAsia="zh-CN"/>
        </w:rPr>
        <w:t>)</w:t>
      </w:r>
      <w:r>
        <w:rPr>
          <w:rFonts w:hint="eastAsia" w:ascii="宋体" w:hAnsi="宋体" w:eastAsia="宋体" w:cs="宋体"/>
          <w:color w:val="auto"/>
          <w:kern w:val="0"/>
          <w:sz w:val="24"/>
          <w:szCs w:val="24"/>
          <w:highlight w:val="none"/>
          <w:lang w:val="en-US" w:eastAsia="zh-CN" w:bidi="ar"/>
        </w:rPr>
        <w:t>与采购人存在利害关系可能影响采购公正性的法人、其他组织或者个人；</w:t>
      </w:r>
    </w:p>
    <w:p w14:paraId="0B1A8A7A">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)招标公告写明专门面向中小企业采购，投标人提供的货物非中小企业制造的；</w:t>
      </w:r>
    </w:p>
    <w:p w14:paraId="0ABD5D3F">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)要求供应商以联合体形式参加采购活动，投标人非联合体或者联合协议中中小企业合同金额未达到应当达到的比例；</w:t>
      </w:r>
    </w:p>
    <w:p w14:paraId="52799888">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)要求获得采购合同的供应商向中小企业分包，投标人未提供分包意向协议或者分包意向协议中中小企业合同金额未达到应当达到的比例；</w:t>
      </w:r>
    </w:p>
    <w:p w14:paraId="301B786B">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)评标专家无法查看并检验电子投标文件中相关资料的；</w:t>
      </w:r>
    </w:p>
    <w:p w14:paraId="39E5E036">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lang w:eastAsia="zh-CN"/>
        </w:rPr>
        <w:t>)联合体投标未提交联合体协议的；</w:t>
      </w:r>
    </w:p>
    <w:p w14:paraId="33E09394">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lang w:eastAsia="zh-CN"/>
        </w:rPr>
        <w:t>)责令停产停业的；</w:t>
      </w:r>
    </w:p>
    <w:p w14:paraId="694766D7">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10</w:t>
      </w:r>
      <w:r>
        <w:rPr>
          <w:rFonts w:hint="eastAsia" w:ascii="宋体" w:hAnsi="宋体" w:eastAsia="宋体" w:cs="宋体"/>
          <w:color w:val="auto"/>
          <w:sz w:val="24"/>
          <w:highlight w:val="none"/>
          <w:lang w:eastAsia="zh-CN"/>
        </w:rPr>
        <w:t>)暂停或者取消参与政府采购项目资格的；</w:t>
      </w:r>
    </w:p>
    <w:p w14:paraId="7B07B6CB">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11</w:t>
      </w:r>
      <w:r>
        <w:rPr>
          <w:rFonts w:hint="eastAsia" w:ascii="宋体" w:hAnsi="宋体" w:eastAsia="宋体" w:cs="宋体"/>
          <w:color w:val="auto"/>
          <w:sz w:val="24"/>
          <w:highlight w:val="none"/>
          <w:lang w:eastAsia="zh-CN"/>
        </w:rPr>
        <w:t>)投标人单位负责人为同一人或者存在直接控股、管理关系的不同单位的；</w:t>
      </w:r>
    </w:p>
    <w:p w14:paraId="685C9260">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)投标人基本资格条件和特定资格条件中有一项及以上不符合要求的；</w:t>
      </w:r>
    </w:p>
    <w:p w14:paraId="6F807C14">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13</w:t>
      </w:r>
      <w:r>
        <w:rPr>
          <w:rFonts w:hint="eastAsia" w:ascii="宋体" w:hAnsi="宋体" w:eastAsia="宋体" w:cs="宋体"/>
          <w:color w:val="auto"/>
          <w:sz w:val="24"/>
          <w:highlight w:val="none"/>
          <w:lang w:eastAsia="zh-CN"/>
        </w:rPr>
        <w:t>)开标时查询投标文件制作机器码、文件创建标识码及造价软件加密锁号。若存在投标文件制作机器码或创建标识码或造价软件加密锁号信息与其他投标人雷同的，投标无效、进行信用信息披露，行政监管部门将依据线索依法查处；</w:t>
      </w:r>
    </w:p>
    <w:p w14:paraId="755BEC78">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)其它情形，经评标委员会委提出按无效投标处理，并经公共资源交易监督部门核准的；</w:t>
      </w:r>
    </w:p>
    <w:p w14:paraId="6936367D">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)投标人投标MAC地址</w:t>
      </w:r>
      <w:r>
        <w:rPr>
          <w:rFonts w:hint="eastAsia" w:ascii="宋体" w:hAnsi="宋体" w:eastAsia="宋体" w:cs="宋体"/>
          <w:color w:val="auto"/>
          <w:sz w:val="24"/>
          <w:highlight w:val="none"/>
          <w:lang w:val="en-US" w:eastAsia="zh-CN"/>
        </w:rPr>
        <w:t>一致</w:t>
      </w:r>
      <w:r>
        <w:rPr>
          <w:rFonts w:hint="eastAsia" w:ascii="宋体" w:hAnsi="宋体" w:eastAsia="宋体" w:cs="宋体"/>
          <w:color w:val="auto"/>
          <w:sz w:val="24"/>
          <w:highlight w:val="none"/>
          <w:lang w:eastAsia="zh-CN"/>
        </w:rPr>
        <w:t>，由评标委员会否决其投标；</w:t>
      </w:r>
    </w:p>
    <w:p w14:paraId="575B0A83">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)投标人单方面出现其他投标人材料的；</w:t>
      </w:r>
    </w:p>
    <w:p w14:paraId="56E2446A">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投标人联系人或联系电话相同的，</w:t>
      </w:r>
      <w:r>
        <w:rPr>
          <w:rFonts w:hint="eastAsia" w:ascii="宋体" w:hAnsi="宋体" w:eastAsia="宋体" w:cs="宋体"/>
          <w:color w:val="auto"/>
          <w:sz w:val="24"/>
          <w:highlight w:val="none"/>
          <w:lang w:eastAsia="zh-CN"/>
        </w:rPr>
        <w:t>由评标委员会否决其投标</w:t>
      </w:r>
      <w:r>
        <w:rPr>
          <w:rFonts w:hint="eastAsia" w:ascii="宋体" w:hAnsi="宋体" w:eastAsia="宋体" w:cs="宋体"/>
          <w:color w:val="auto"/>
          <w:sz w:val="24"/>
          <w:highlight w:val="none"/>
          <w:lang w:val="en-US" w:eastAsia="zh-CN"/>
        </w:rPr>
        <w:t>，并报告监管部门作不良行为处理和进一步调查；</w:t>
      </w:r>
    </w:p>
    <w:p w14:paraId="2440855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lang w:eastAsia="zh-CN"/>
        </w:rPr>
        <w:t>)招标公告未写明允许采购进口产品，投标人所投产品为进口产品的；</w:t>
      </w:r>
    </w:p>
    <w:p w14:paraId="247941F0">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lang w:eastAsia="zh-CN"/>
        </w:rPr>
        <w:t>)招标文件规定的其它无效投标情形。</w:t>
      </w:r>
    </w:p>
    <w:p w14:paraId="2CB80996">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3.3 投标人有下列情形之一的,符合性审查后其投标按无效投标处理：</w:t>
      </w:r>
    </w:p>
    <w:p w14:paraId="453137BB">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(1)投标文件签字、盖章不全，经评标委员会一致认定对开评标内容有实质性影响并经公共资源交易监督部门核准的；</w:t>
      </w:r>
    </w:p>
    <w:p w14:paraId="3E85C9DA">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(2)未按规定的格式填写导致实质性内容不全以及实质上不响应，或者关键字迹模糊、无法辨认； 经公共资源交易监督部门核准的；</w:t>
      </w:r>
    </w:p>
    <w:p w14:paraId="76891FC1">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(3)同一投标人提交两个以上不同的投标文件或者投标报价，但招标文件规定提交备选方案的除外；</w:t>
      </w:r>
    </w:p>
    <w:p w14:paraId="0962A3A7">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(4)投标文件没有对招标文件的实质性要求和条件作出响应;</w:t>
      </w:r>
    </w:p>
    <w:p w14:paraId="1AAE4741">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(5)投标报价超出规定的投标限价或公布的采购预算的或投标人的投标报价各项单价高于招标文件给定的单价最高限价；</w:t>
      </w:r>
    </w:p>
    <w:p w14:paraId="05107459">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(6)不按评标委员会要求澄清、说明或补正的，或者评标委员会根据招标文件的规定对投标文件的计算错误进行修正后，投标人不接受修正的投标报价的。</w:t>
      </w:r>
    </w:p>
    <w:p w14:paraId="5B98E2E1">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(7)其它情形，经评标委员会委提出按无效投标处理，并经公共资源交易监督部门核准的；</w:t>
      </w:r>
    </w:p>
    <w:p w14:paraId="7FB30D08">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(8)投标文件含有采购人不能接受的附加条件的；</w:t>
      </w:r>
    </w:p>
    <w:p w14:paraId="435356D6">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(9)招标文件规定的其它无效投标情形。</w:t>
      </w:r>
    </w:p>
    <w:p w14:paraId="35C1DB4B">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3.4 投标人有下列情形之一的, 详细评审后其投标按无效投标处理：</w:t>
      </w:r>
    </w:p>
    <w:p w14:paraId="5D8A6494">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(1)投标产品不符合必须强制执行的国家标准的；</w:t>
      </w:r>
    </w:p>
    <w:p w14:paraId="11B41F07">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(2)投标人有串通投标、弄虚作假、行贿等违法行为；</w:t>
      </w:r>
    </w:p>
    <w:p w14:paraId="60DC975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(3)投标文件含有违反国家法律、法规的内容，或附有采购人不能接受的条件的；</w:t>
      </w:r>
    </w:p>
    <w:p w14:paraId="0A5536CC">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lang w:eastAsia="zh-CN"/>
        </w:rPr>
        <w:t>)拒不确认评标委员会评审修正的投标无效；</w:t>
      </w:r>
    </w:p>
    <w:p w14:paraId="5216B962">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lang w:eastAsia="zh-CN"/>
        </w:rPr>
        <w:t>)其它情形，经评标委员会委提出按无效投标处理，并经公共资源交易监督部门核准的；</w:t>
      </w:r>
    </w:p>
    <w:p w14:paraId="787AA10F">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lang w:eastAsia="zh-CN"/>
        </w:rPr>
        <w:t>)招标文件规定的其它无效投标情形。</w:t>
      </w:r>
      <w:r>
        <w:rPr>
          <w:rFonts w:asciiTheme="minorEastAsia" w:hAnsiTheme="minorEastAsia" w:eastAsiaTheme="minorEastAsia"/>
          <w:color w:val="auto"/>
          <w:sz w:val="24"/>
          <w:highlight w:val="none"/>
        </w:rPr>
        <w:br w:type="page"/>
      </w:r>
    </w:p>
    <w:p w14:paraId="4A47C5B8">
      <w:pPr>
        <w:spacing w:line="360" w:lineRule="auto"/>
        <w:jc w:val="center"/>
        <w:outlineLvl w:val="0"/>
        <w:rPr>
          <w:rFonts w:hint="eastAsia" w:asciiTheme="minorEastAsia" w:hAnsiTheme="minorEastAsia" w:eastAsiaTheme="minorEastAsia"/>
          <w:b/>
          <w:color w:val="auto"/>
          <w:sz w:val="28"/>
          <w:highlight w:val="none"/>
          <w:lang w:eastAsia="zh-CN"/>
        </w:rPr>
      </w:pPr>
      <w:bookmarkStart w:id="28" w:name="_Toc468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28"/>
    </w:p>
    <w:p w14:paraId="0A040B82">
      <w:pPr>
        <w:pStyle w:val="10"/>
        <w:pageBreakBefore w:val="0"/>
        <w:kinsoku/>
        <w:wordWrap/>
        <w:overflowPunct/>
        <w:topLinePunct w:val="0"/>
        <w:bidi w:val="0"/>
        <w:spacing w:after="0" w:line="360" w:lineRule="auto"/>
        <w:jc w:val="both"/>
        <w:textAlignment w:val="auto"/>
        <w:rPr>
          <w:rFonts w:hint="eastAsia" w:ascii="宋体" w:hAnsi="宋体" w:eastAsia="宋体" w:cs="宋体"/>
          <w:b/>
          <w:bCs/>
          <w:color w:val="auto"/>
          <w:spacing w:val="-20"/>
          <w:kern w:val="44"/>
          <w:sz w:val="24"/>
          <w:szCs w:val="24"/>
          <w:highlight w:val="none"/>
        </w:rPr>
      </w:pPr>
    </w:p>
    <w:p w14:paraId="23F0A728">
      <w:pPr>
        <w:pStyle w:val="10"/>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3DAA10CD">
      <w:pPr>
        <w:spacing w:line="360" w:lineRule="auto"/>
        <w:jc w:val="center"/>
        <w:outlineLvl w:val="1"/>
        <w:rPr>
          <w:rFonts w:hint="eastAsia" w:ascii="宋体" w:hAnsi="宋体" w:eastAsia="宋体"/>
          <w:b/>
          <w:color w:val="auto"/>
          <w:sz w:val="24"/>
          <w:highlight w:val="none"/>
        </w:rPr>
      </w:pPr>
    </w:p>
    <w:p w14:paraId="538BA661">
      <w:pPr>
        <w:spacing w:line="360" w:lineRule="auto"/>
        <w:jc w:val="center"/>
        <w:outlineLvl w:val="1"/>
        <w:rPr>
          <w:rFonts w:hint="eastAsia" w:ascii="宋体" w:hAnsi="宋体" w:eastAsia="宋体"/>
          <w:b/>
          <w:color w:val="auto"/>
          <w:sz w:val="24"/>
          <w:highlight w:val="none"/>
        </w:rPr>
      </w:pPr>
    </w:p>
    <w:p w14:paraId="63E2269C">
      <w:pPr>
        <w:spacing w:line="360" w:lineRule="auto"/>
        <w:jc w:val="center"/>
        <w:outlineLvl w:val="1"/>
        <w:rPr>
          <w:rFonts w:hint="eastAsia" w:ascii="宋体" w:hAnsi="宋体" w:eastAsia="宋体"/>
          <w:b/>
          <w:color w:val="auto"/>
          <w:sz w:val="24"/>
          <w:highlight w:val="none"/>
        </w:rPr>
      </w:pPr>
    </w:p>
    <w:p w14:paraId="63AE34A2">
      <w:pPr>
        <w:spacing w:line="360" w:lineRule="auto"/>
        <w:jc w:val="center"/>
        <w:outlineLvl w:val="1"/>
        <w:rPr>
          <w:rFonts w:ascii="宋体" w:hAnsi="宋体" w:eastAsia="宋体"/>
          <w:b/>
          <w:color w:val="auto"/>
          <w:sz w:val="24"/>
          <w:highlight w:val="none"/>
        </w:rPr>
      </w:pPr>
    </w:p>
    <w:p w14:paraId="53E1927C">
      <w:pPr>
        <w:spacing w:line="360" w:lineRule="auto"/>
        <w:jc w:val="center"/>
        <w:outlineLvl w:val="1"/>
        <w:rPr>
          <w:rFonts w:ascii="宋体" w:hAnsi="宋体" w:eastAsia="宋体"/>
          <w:b/>
          <w:color w:val="auto"/>
          <w:sz w:val="24"/>
          <w:highlight w:val="none"/>
        </w:rPr>
      </w:pPr>
    </w:p>
    <w:p w14:paraId="0E127C13">
      <w:pPr>
        <w:spacing w:line="480" w:lineRule="auto"/>
        <w:jc w:val="center"/>
        <w:rPr>
          <w:rFonts w:ascii="宋体" w:hAnsi="宋体" w:eastAsia="宋体" w:cs="Times New Roman"/>
          <w:b/>
          <w:color w:val="auto"/>
          <w:sz w:val="24"/>
          <w:szCs w:val="24"/>
          <w:highlight w:val="none"/>
        </w:rPr>
      </w:pPr>
    </w:p>
    <w:p w14:paraId="1132E96F">
      <w:pPr>
        <w:spacing w:line="480" w:lineRule="auto"/>
        <w:jc w:val="center"/>
        <w:rPr>
          <w:rFonts w:ascii="宋体" w:hAnsi="宋体" w:eastAsia="宋体" w:cs="Times New Roman"/>
          <w:b/>
          <w:color w:val="auto"/>
          <w:sz w:val="24"/>
          <w:szCs w:val="24"/>
          <w:highlight w:val="none"/>
        </w:rPr>
      </w:pPr>
    </w:p>
    <w:p w14:paraId="712CF83B">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项目名称：</w:t>
      </w:r>
      <w:r>
        <w:rPr>
          <w:rFonts w:hint="eastAsia" w:ascii="宋体" w:hAnsi="宋体" w:eastAsia="宋体" w:cs="Times New Roman"/>
          <w:color w:val="auto"/>
          <w:sz w:val="24"/>
          <w:szCs w:val="24"/>
          <w:highlight w:val="none"/>
          <w:u w:val="single"/>
          <w:lang w:val="en-US" w:eastAsia="zh-CN"/>
        </w:rPr>
        <w:t>滁州职业技术学院实验室智能化管控与服务平台项目</w:t>
      </w:r>
    </w:p>
    <w:p w14:paraId="35D66C83">
      <w:pPr>
        <w:spacing w:before="120" w:line="480" w:lineRule="auto"/>
        <w:ind w:left="96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项目编号：</w:t>
      </w:r>
      <w:r>
        <w:rPr>
          <w:rFonts w:hint="eastAsia" w:ascii="宋体" w:hAnsi="宋体" w:eastAsia="宋体" w:cs="Times New Roman"/>
          <w:color w:val="auto"/>
          <w:sz w:val="24"/>
          <w:szCs w:val="24"/>
          <w:highlight w:val="none"/>
          <w:u w:val="single"/>
          <w:lang w:val="en-US" w:eastAsia="zh-CN"/>
        </w:rPr>
        <w:t xml:space="preserve">                                  </w:t>
      </w:r>
    </w:p>
    <w:p w14:paraId="1E46D5EC">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甲方（采购人）：</w:t>
      </w:r>
      <w:r>
        <w:rPr>
          <w:rFonts w:hint="eastAsia" w:ascii="宋体" w:hAnsi="宋体" w:eastAsia="宋体" w:cs="Times New Roman"/>
          <w:color w:val="auto"/>
          <w:sz w:val="24"/>
          <w:szCs w:val="24"/>
          <w:highlight w:val="none"/>
          <w:u w:val="single"/>
        </w:rPr>
        <w:t xml:space="preserve">     </w:t>
      </w:r>
      <w:r>
        <w:rPr>
          <w:rFonts w:hint="eastAsia" w:ascii="宋体" w:hAnsi="宋体" w:eastAsia="宋体"/>
          <w:color w:val="auto"/>
          <w:sz w:val="24"/>
          <w:highlight w:val="none"/>
          <w:u w:val="single"/>
          <w:lang w:eastAsia="zh-CN"/>
        </w:rPr>
        <w:t>滁州职业技术学院</w:t>
      </w:r>
      <w:r>
        <w:rPr>
          <w:rFonts w:hint="eastAsia" w:ascii="宋体" w:hAnsi="宋体" w:eastAsia="宋体" w:cs="Times New Roman"/>
          <w:color w:val="auto"/>
          <w:sz w:val="24"/>
          <w:szCs w:val="24"/>
          <w:highlight w:val="none"/>
          <w:u w:val="single"/>
        </w:rPr>
        <w:t xml:space="preserve">     </w:t>
      </w:r>
    </w:p>
    <w:p w14:paraId="5126A5DF">
      <w:pPr>
        <w:spacing w:before="120" w:line="480" w:lineRule="auto"/>
        <w:ind w:left="96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乙方（中标人）：</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r>
        <w:rPr>
          <w:rFonts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u w:val="single"/>
        </w:rPr>
        <w:t xml:space="preserve">                  </w:t>
      </w:r>
    </w:p>
    <w:p w14:paraId="037FECB5">
      <w:pPr>
        <w:spacing w:before="120" w:line="480" w:lineRule="auto"/>
        <w:ind w:firstLine="960" w:firstLineChars="400"/>
        <w:rPr>
          <w:rFonts w:ascii="宋体" w:hAnsi="宋体" w:eastAsia="宋体" w:cs="Times New Roman"/>
          <w:color w:val="auto"/>
          <w:sz w:val="24"/>
          <w:szCs w:val="24"/>
          <w:highlight w:val="none"/>
          <w:u w:val="single"/>
        </w:rPr>
      </w:pPr>
      <w:r>
        <w:rPr>
          <w:rFonts w:hint="eastAsia" w:ascii="宋体" w:hAnsi="宋体" w:eastAsia="宋体" w:cs="Times New Roman"/>
          <w:color w:val="auto"/>
          <w:sz w:val="24"/>
          <w:szCs w:val="24"/>
          <w:highlight w:val="none"/>
        </w:rPr>
        <w:t>签订地：</w:t>
      </w:r>
      <w:r>
        <w:rPr>
          <w:rFonts w:hint="eastAsia" w:ascii="宋体" w:hAnsi="宋体" w:eastAsia="宋体" w:cs="Times New Roman"/>
          <w:color w:val="auto"/>
          <w:sz w:val="24"/>
          <w:szCs w:val="24"/>
          <w:highlight w:val="none"/>
          <w:u w:val="single"/>
        </w:rPr>
        <w:t xml:space="preserve">                                     </w:t>
      </w:r>
    </w:p>
    <w:p w14:paraId="646E8AAC">
      <w:pPr>
        <w:spacing w:before="120" w:line="480" w:lineRule="auto"/>
        <w:ind w:firstLine="960" w:firstLineChars="4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签订日期：</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u w:val="single"/>
        </w:rPr>
        <w:t xml:space="preserve">       </w:t>
      </w:r>
      <w:r>
        <w:rPr>
          <w:rFonts w:hint="eastAsia" w:ascii="宋体" w:hAnsi="宋体" w:eastAsia="宋体" w:cs="Times New Roman"/>
          <w:color w:val="auto"/>
          <w:sz w:val="24"/>
          <w:szCs w:val="24"/>
          <w:highlight w:val="none"/>
        </w:rPr>
        <w:t>日</w:t>
      </w:r>
    </w:p>
    <w:p w14:paraId="55CB0FA3">
      <w:pPr>
        <w:widowControl/>
        <w:jc w:val="lef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br w:type="page"/>
      </w:r>
    </w:p>
    <w:p w14:paraId="73E450BC">
      <w:pPr>
        <w:spacing w:line="360" w:lineRule="auto"/>
        <w:jc w:val="center"/>
        <w:outlineLvl w:val="1"/>
        <w:rPr>
          <w:rFonts w:hint="eastAsia" w:ascii="宋体" w:hAnsi="宋体" w:eastAsia="宋体"/>
          <w:b/>
          <w:color w:val="auto"/>
          <w:sz w:val="24"/>
          <w:szCs w:val="24"/>
          <w:highlight w:val="none"/>
        </w:rPr>
      </w:pPr>
      <w:r>
        <w:rPr>
          <w:rFonts w:hint="eastAsia" w:ascii="宋体" w:hAnsi="宋体" w:eastAsia="宋体" w:cs="宋体"/>
          <w:b/>
          <w:color w:val="auto"/>
          <w:sz w:val="24"/>
          <w:szCs w:val="24"/>
          <w:highlight w:val="none"/>
          <w:lang w:bidi="ar"/>
        </w:rPr>
        <w:t>第一节</w:t>
      </w:r>
      <w:r>
        <w:rPr>
          <w:rFonts w:hint="eastAsia" w:ascii="宋体" w:hAnsi="宋体" w:eastAsia="宋体"/>
          <w:b/>
          <w:color w:val="auto"/>
          <w:sz w:val="24"/>
          <w:szCs w:val="24"/>
          <w:highlight w:val="none"/>
          <w:lang w:bidi="ar"/>
        </w:rPr>
        <w:t xml:space="preserve"> </w:t>
      </w:r>
      <w:r>
        <w:rPr>
          <w:rFonts w:hint="eastAsia" w:ascii="宋体" w:hAnsi="宋体" w:eastAsia="宋体" w:cs="宋体"/>
          <w:b/>
          <w:color w:val="auto"/>
          <w:sz w:val="24"/>
          <w:szCs w:val="24"/>
          <w:highlight w:val="none"/>
          <w:lang w:bidi="ar"/>
        </w:rPr>
        <w:t>政府采购合同协议书</w:t>
      </w:r>
    </w:p>
    <w:p w14:paraId="13A0667A">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39680E77">
      <w:pPr>
        <w:adjustRightInd w:val="0"/>
        <w:snapToGrid w:val="0"/>
        <w:spacing w:line="360" w:lineRule="auto"/>
        <w:ind w:left="4800" w:hanging="4800" w:hangingChars="2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甲方（全称）：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（采购人、受采购人委托签订合同的单位或采购文件约定的合同甲方）</w:t>
      </w:r>
    </w:p>
    <w:p w14:paraId="0FDA6C79">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乙方1（全称）：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（供应商）</w:t>
      </w:r>
    </w:p>
    <w:p w14:paraId="463858A4">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乙方2（全称）：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（联合体成员供应商或其他合同主体）（如有）</w:t>
      </w:r>
    </w:p>
    <w:p w14:paraId="748409BC">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乙方3（全称）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（联合体成员供应商或其他合同主体）（如有）</w:t>
      </w:r>
    </w:p>
    <w:p w14:paraId="07D24CE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w:t>
      </w:r>
    </w:p>
    <w:p w14:paraId="4EC1B4DF">
      <w:pPr>
        <w:pStyle w:val="22"/>
        <w:adjustRightInd w:val="0"/>
        <w:snapToGrid w:val="0"/>
        <w:spacing w:before="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627D711D">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项目信息</w:t>
      </w:r>
    </w:p>
    <w:p w14:paraId="12EEC1A8">
      <w:pPr>
        <w:numPr>
          <w:ilvl w:val="0"/>
          <w:numId w:val="4"/>
        </w:numPr>
        <w:adjustRightInd w:val="0"/>
        <w:snapToGrid w:val="0"/>
        <w:spacing w:line="360" w:lineRule="auto"/>
        <w:ind w:firstLine="480" w:firstLineChars="200"/>
        <w:rPr>
          <w:rFonts w:hint="eastAsia" w:ascii="宋体" w:hAnsi="宋体" w:eastAsia="宋体" w:cs="宋体"/>
          <w:color w:val="auto"/>
          <w:sz w:val="24"/>
          <w:szCs w:val="24"/>
          <w:highlight w:val="none"/>
          <w:u w:val="single"/>
          <w:lang w:bidi="ar"/>
        </w:rPr>
      </w:pPr>
      <w:r>
        <w:rPr>
          <w:rFonts w:hint="eastAsia" w:ascii="宋体" w:hAnsi="宋体" w:eastAsia="宋体" w:cs="宋体"/>
          <w:color w:val="auto"/>
          <w:sz w:val="24"/>
          <w:szCs w:val="24"/>
          <w:highlight w:val="none"/>
          <w:lang w:bidi="ar"/>
        </w:rPr>
        <w:t>采购项目名称：</w:t>
      </w:r>
      <w:r>
        <w:rPr>
          <w:rFonts w:hint="eastAsia" w:ascii="宋体" w:hAnsi="宋体" w:eastAsia="宋体" w:cs="宋体"/>
          <w:color w:val="auto"/>
          <w:sz w:val="24"/>
          <w:szCs w:val="24"/>
          <w:highlight w:val="none"/>
          <w:u w:val="single"/>
          <w:lang w:eastAsia="zh-CN" w:bidi="ar"/>
        </w:rPr>
        <w:t>滁州职业技术学院实验室智能化管控与服务平台项目</w:t>
      </w:r>
      <w:r>
        <w:rPr>
          <w:rFonts w:hint="eastAsia" w:ascii="宋体" w:hAnsi="宋体" w:eastAsia="宋体" w:cs="宋体"/>
          <w:color w:val="auto"/>
          <w:sz w:val="24"/>
          <w:szCs w:val="24"/>
          <w:highlight w:val="none"/>
          <w:u w:val="single"/>
          <w:lang w:bidi="ar"/>
        </w:rPr>
        <w:t xml:space="preserve"> </w:t>
      </w:r>
    </w:p>
    <w:p w14:paraId="74BEC77C">
      <w:pPr>
        <w:numPr>
          <w:ilvl w:val="0"/>
          <w:numId w:val="0"/>
        </w:numPr>
        <w:adjustRightInd w:val="0"/>
        <w:snapToGrid w:val="0"/>
        <w:spacing w:line="360" w:lineRule="auto"/>
        <w:ind w:firstLine="1200" w:firstLineChars="5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采购项目编号：</w:t>
      </w:r>
      <w:r>
        <w:rPr>
          <w:rFonts w:hint="eastAsia" w:ascii="宋体" w:hAnsi="宋体" w:eastAsia="宋体" w:cs="宋体"/>
          <w:color w:val="auto"/>
          <w:sz w:val="24"/>
          <w:szCs w:val="24"/>
          <w:highlight w:val="none"/>
          <w:u w:val="single"/>
          <w:lang w:bidi="ar"/>
        </w:rPr>
        <w:t xml:space="preserve">          </w:t>
      </w:r>
    </w:p>
    <w:p w14:paraId="7BCED115">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（2）采购计划编号：</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32B4B11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（3）项目内容：</w:t>
      </w:r>
    </w:p>
    <w:p w14:paraId="236C072E">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采购标的及数量（台/套/个/架/组等）：</w:t>
      </w:r>
      <w:r>
        <w:rPr>
          <w:rFonts w:hint="eastAsia" w:ascii="宋体" w:hAnsi="宋体" w:eastAsia="宋体" w:cs="宋体"/>
          <w:color w:val="auto"/>
          <w:sz w:val="24"/>
          <w:szCs w:val="24"/>
          <w:highlight w:val="none"/>
          <w:u w:val="single"/>
          <w:lang w:bidi="ar"/>
        </w:rPr>
        <w:t xml:space="preserve">   详见采购需求    </w:t>
      </w:r>
      <w:r>
        <w:rPr>
          <w:rFonts w:hint="eastAsia" w:ascii="宋体" w:hAnsi="宋体" w:eastAsia="宋体" w:cs="宋体"/>
          <w:color w:val="auto"/>
          <w:sz w:val="24"/>
          <w:szCs w:val="24"/>
          <w:highlight w:val="none"/>
          <w:lang w:bidi="ar"/>
        </w:rPr>
        <w:t xml:space="preserve">            </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1DA8C601">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品牌：</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规格型号：</w:t>
      </w:r>
      <w:r>
        <w:rPr>
          <w:rFonts w:hint="eastAsia" w:ascii="宋体" w:hAnsi="宋体" w:eastAsia="宋体" w:cs="宋体"/>
          <w:color w:val="auto"/>
          <w:sz w:val="24"/>
          <w:szCs w:val="24"/>
          <w:highlight w:val="none"/>
          <w:u w:val="single"/>
          <w:lang w:bidi="ar"/>
        </w:rPr>
        <w:t xml:space="preserve">    /       </w:t>
      </w:r>
    </w:p>
    <w:p w14:paraId="224DD6D7">
      <w:pPr>
        <w:adjustRightInd w:val="0"/>
        <w:snapToGrid w:val="0"/>
        <w:spacing w:line="360" w:lineRule="auto"/>
        <w:ind w:firstLine="1080" w:firstLineChars="45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采购标的的技术要求、商务要求具体见附件。</w:t>
      </w:r>
    </w:p>
    <w:p w14:paraId="32877FA3">
      <w:pPr>
        <w:adjustRightInd w:val="0"/>
        <w:snapToGrid w:val="0"/>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①涉及信息类产品，请填写该产品关键部件的品牌、型号：</w:t>
      </w:r>
    </w:p>
    <w:p w14:paraId="579F48A6">
      <w:pPr>
        <w:adjustRightInd w:val="0"/>
        <w:snapToGrid w:val="0"/>
        <w:spacing w:line="360" w:lineRule="auto"/>
        <w:ind w:firstLine="480" w:firstLineChars="200"/>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lang w:bidi="ar"/>
        </w:rPr>
        <w:t xml:space="preserve">     标的名称：</w:t>
      </w:r>
      <w:r>
        <w:rPr>
          <w:rFonts w:hint="eastAsia" w:ascii="宋体" w:hAnsi="宋体" w:eastAsia="宋体" w:cs="宋体"/>
          <w:color w:val="auto"/>
          <w:kern w:val="0"/>
          <w:sz w:val="24"/>
          <w:szCs w:val="24"/>
          <w:highlight w:val="none"/>
          <w:u w:val="single"/>
          <w:lang w:bidi="ar"/>
        </w:rPr>
        <w:t xml:space="preserve">                         </w:t>
      </w:r>
    </w:p>
    <w:p w14:paraId="0492D29F">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关键部件：</w:t>
      </w:r>
      <w:r>
        <w:rPr>
          <w:rFonts w:hint="eastAsia" w:ascii="宋体" w:hAnsi="宋体" w:eastAsia="宋体" w:cs="宋体"/>
          <w:color w:val="auto"/>
          <w:kern w:val="0"/>
          <w:sz w:val="24"/>
          <w:szCs w:val="24"/>
          <w:highlight w:val="none"/>
          <w:u w:val="single"/>
          <w:lang w:bidi="ar"/>
        </w:rPr>
        <w:t xml:space="preserve">          </w:t>
      </w:r>
      <w:r>
        <w:rPr>
          <w:rFonts w:hint="eastAsia" w:ascii="宋体" w:hAnsi="宋体" w:eastAsia="宋体" w:cs="宋体"/>
          <w:color w:val="auto"/>
          <w:kern w:val="0"/>
          <w:sz w:val="24"/>
          <w:szCs w:val="24"/>
          <w:highlight w:val="none"/>
          <w:lang w:bidi="ar"/>
        </w:rPr>
        <w:t xml:space="preserve"> </w:t>
      </w:r>
      <w:r>
        <w:rPr>
          <w:rFonts w:hint="eastAsia" w:ascii="宋体" w:hAnsi="宋体" w:eastAsia="宋体" w:cs="宋体"/>
          <w:color w:val="auto"/>
          <w:sz w:val="24"/>
          <w:szCs w:val="24"/>
          <w:highlight w:val="none"/>
          <w:lang w:bidi="ar"/>
        </w:rPr>
        <w:t>品牌：</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型号：</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 xml:space="preserve"> </w:t>
      </w:r>
    </w:p>
    <w:p w14:paraId="68A929D0">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kern w:val="2"/>
          <w:szCs w:val="24"/>
          <w:highlight w:val="none"/>
          <w:lang w:bidi="ar"/>
        </w:rPr>
        <w:t>关键部件</w:t>
      </w:r>
      <w:r>
        <w:rPr>
          <w:rFonts w:hint="eastAsia" w:ascii="宋体" w:hAnsi="宋体" w:eastAsia="宋体" w:cs="宋体"/>
          <w:color w:val="auto"/>
          <w:szCs w:val="24"/>
          <w:highlight w:val="none"/>
          <w:lang w:bidi="ar"/>
        </w:rPr>
        <w:t>：</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品牌：</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型号：</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w:t>
      </w:r>
    </w:p>
    <w:p w14:paraId="540F8826">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关键部件：</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品牌：</w:t>
      </w:r>
      <w:r>
        <w:rPr>
          <w:rFonts w:hint="eastAsia" w:ascii="宋体" w:hAnsi="宋体" w:eastAsia="宋体" w:cs="宋体"/>
          <w:color w:val="auto"/>
          <w:szCs w:val="24"/>
          <w:highlight w:val="none"/>
          <w:u w:val="single"/>
          <w:lang w:bidi="ar"/>
        </w:rPr>
        <w:t xml:space="preserve">        </w:t>
      </w:r>
      <w:r>
        <w:rPr>
          <w:rFonts w:hint="eastAsia" w:ascii="宋体" w:hAnsi="宋体" w:eastAsia="宋体" w:cs="宋体"/>
          <w:color w:val="auto"/>
          <w:szCs w:val="24"/>
          <w:highlight w:val="none"/>
          <w:lang w:bidi="ar"/>
        </w:rPr>
        <w:t xml:space="preserve"> 型号：</w:t>
      </w:r>
      <w:r>
        <w:rPr>
          <w:rFonts w:hint="eastAsia" w:ascii="宋体" w:hAnsi="宋体" w:eastAsia="宋体" w:cs="宋体"/>
          <w:color w:val="auto"/>
          <w:szCs w:val="24"/>
          <w:highlight w:val="none"/>
          <w:u w:val="single"/>
          <w:lang w:bidi="ar"/>
        </w:rPr>
        <w:t xml:space="preserve">       </w:t>
      </w:r>
    </w:p>
    <w:p w14:paraId="784C6678">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lang w:bidi="ar"/>
        </w:rPr>
      </w:pPr>
      <w:r>
        <w:rPr>
          <w:rFonts w:hint="eastAsia" w:ascii="宋体" w:hAnsi="宋体" w:eastAsia="宋体" w:cs="宋体"/>
          <w:color w:val="auto"/>
          <w:szCs w:val="24"/>
          <w:highlight w:val="none"/>
          <w:lang w:bidi="ar"/>
        </w:rPr>
        <w:t>（注：关键部件是指财政部会同有关部门发布的政府采购需求标准规定的需要通过国家有关部门指定的测评机构开展的安全可靠测评的软硬件，如CPU芯片、操作系统、数据库等。）</w:t>
      </w:r>
    </w:p>
    <w:p w14:paraId="192CE798">
      <w:pPr>
        <w:adjustRightInd w:val="0"/>
        <w:snapToGrid w:val="0"/>
        <w:spacing w:line="360" w:lineRule="auto"/>
        <w:ind w:firstLine="1080" w:firstLineChars="4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②</w:t>
      </w:r>
      <w:r>
        <w:rPr>
          <w:rFonts w:hint="eastAsia" w:ascii="宋体" w:hAnsi="宋体" w:eastAsia="宋体" w:cs="宋体"/>
          <w:color w:val="auto"/>
          <w:kern w:val="0"/>
          <w:sz w:val="24"/>
          <w:szCs w:val="24"/>
          <w:highlight w:val="none"/>
          <w:lang w:bidi="ar"/>
        </w:rPr>
        <w:t>涉及车辆采购，请填写是否属于新能源汽车：</w:t>
      </w:r>
    </w:p>
    <w:p w14:paraId="6B75F51E">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□是，《政府采购品目分类目录》底级品目名称：</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数量：</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金额：</w:t>
      </w:r>
      <w:r>
        <w:rPr>
          <w:rFonts w:hint="eastAsia" w:ascii="宋体" w:hAnsi="宋体" w:eastAsia="宋体" w:cs="宋体"/>
          <w:color w:val="auto"/>
          <w:szCs w:val="24"/>
          <w:highlight w:val="none"/>
          <w:u w:val="single"/>
          <w:lang w:bidi="ar"/>
        </w:rPr>
        <w:t xml:space="preserve"> /  </w:t>
      </w:r>
      <w:r>
        <w:rPr>
          <w:rFonts w:hint="eastAsia" w:ascii="宋体" w:hAnsi="宋体" w:eastAsia="宋体" w:cs="宋体"/>
          <w:color w:val="auto"/>
          <w:szCs w:val="24"/>
          <w:highlight w:val="none"/>
          <w:lang w:bidi="ar"/>
        </w:rPr>
        <w:t xml:space="preserve"> </w:t>
      </w:r>
    </w:p>
    <w:p w14:paraId="07684058">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☑否</w:t>
      </w:r>
    </w:p>
    <w:p w14:paraId="155B97EC">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（4）政府采购组织形式：</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 xml:space="preserve">政府集中采购  □部门集中采购  </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分散采购</w:t>
      </w:r>
    </w:p>
    <w:p w14:paraId="7F8FD6C9">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（5）政府采购方式：☑公开招标 □邀请招标 □竞争性谈判 □竞争性磋商</w:t>
      </w:r>
    </w:p>
    <w:p w14:paraId="24E95DA2">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lang w:bidi="ar"/>
        </w:rPr>
        <w:t xml:space="preserve">                  □询价 □单一来源 □框架协议 □其他：</w:t>
      </w:r>
      <w:r>
        <w:rPr>
          <w:rFonts w:hint="eastAsia" w:ascii="宋体" w:hAnsi="宋体" w:eastAsia="宋体" w:cs="宋体"/>
          <w:color w:val="auto"/>
          <w:szCs w:val="24"/>
          <w:highlight w:val="none"/>
          <w:u w:val="single"/>
          <w:lang w:bidi="ar"/>
        </w:rPr>
        <w:t xml:space="preserve">   /   </w:t>
      </w:r>
    </w:p>
    <w:p w14:paraId="0506D579">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（6）</w:t>
      </w:r>
      <w:r>
        <w:rPr>
          <w:rFonts w:hint="eastAsia" w:ascii="宋体" w:hAnsi="宋体" w:eastAsia="宋体" w:cs="宋体"/>
          <w:color w:val="auto"/>
          <w:sz w:val="24"/>
          <w:szCs w:val="24"/>
          <w:highlight w:val="none"/>
          <w:lang w:bidi="ar"/>
        </w:rPr>
        <w:t>中标（成交）采购标的制造商是否为中小企业：</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是      □否</w:t>
      </w:r>
    </w:p>
    <w:p w14:paraId="3609D2C6">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本合同是否为专门面向中小企业的采购合同（中小企业预留合同）：</w:t>
      </w:r>
      <w:r>
        <w:rPr>
          <w:rFonts w:hint="eastAsia" w:ascii="宋体" w:hAnsi="宋体" w:eastAsia="宋体" w:cs="宋体"/>
          <w:iCs/>
          <w:color w:val="auto"/>
          <w:sz w:val="24"/>
          <w:szCs w:val="24"/>
          <w:highlight w:val="none"/>
          <w:lang w:eastAsia="zh-CN" w:bidi="ar"/>
        </w:rPr>
        <w:t>☑</w:t>
      </w:r>
      <w:r>
        <w:rPr>
          <w:rFonts w:hint="eastAsia" w:ascii="宋体" w:hAnsi="宋体" w:eastAsia="宋体" w:cs="宋体"/>
          <w:iCs/>
          <w:color w:val="auto"/>
          <w:sz w:val="24"/>
          <w:szCs w:val="24"/>
          <w:highlight w:val="none"/>
          <w:lang w:bidi="ar"/>
        </w:rPr>
        <w:t xml:space="preserve">是    </w:t>
      </w:r>
      <w:r>
        <w:rPr>
          <w:rFonts w:hint="eastAsia" w:ascii="宋体" w:hAnsi="宋体" w:eastAsia="宋体" w:cs="宋体"/>
          <w:iCs/>
          <w:color w:val="auto"/>
          <w:sz w:val="24"/>
          <w:szCs w:val="24"/>
          <w:highlight w:val="none"/>
          <w:lang w:eastAsia="zh-CN" w:bidi="ar"/>
        </w:rPr>
        <w:t>□</w:t>
      </w:r>
      <w:r>
        <w:rPr>
          <w:rFonts w:hint="eastAsia" w:ascii="宋体" w:hAnsi="宋体" w:eastAsia="宋体" w:cs="宋体"/>
          <w:iCs/>
          <w:color w:val="auto"/>
          <w:sz w:val="24"/>
          <w:szCs w:val="24"/>
          <w:highlight w:val="none"/>
          <w:lang w:bidi="ar"/>
        </w:rPr>
        <w:t>否</w:t>
      </w:r>
    </w:p>
    <w:p w14:paraId="41B61BAE">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若本项目不专门面向中小企业采购，是否给予小微企业评审优惠：</w:t>
      </w:r>
      <w:r>
        <w:rPr>
          <w:rFonts w:hint="eastAsia" w:ascii="宋体" w:hAnsi="宋体" w:eastAsia="宋体" w:cs="宋体"/>
          <w:iCs/>
          <w:color w:val="auto"/>
          <w:sz w:val="24"/>
          <w:szCs w:val="24"/>
          <w:highlight w:val="none"/>
          <w:lang w:eastAsia="zh-CN" w:bidi="ar"/>
        </w:rPr>
        <w:t>□</w:t>
      </w:r>
      <w:r>
        <w:rPr>
          <w:rFonts w:hint="eastAsia" w:ascii="宋体" w:hAnsi="宋体" w:eastAsia="宋体" w:cs="宋体"/>
          <w:iCs/>
          <w:color w:val="auto"/>
          <w:sz w:val="24"/>
          <w:szCs w:val="24"/>
          <w:highlight w:val="none"/>
          <w:lang w:bidi="ar"/>
        </w:rPr>
        <w:t>是   □否</w:t>
      </w:r>
    </w:p>
    <w:p w14:paraId="44591194">
      <w:pPr>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中标（成交）采购标的制造商是否为残疾人福利性单位：</w:t>
      </w:r>
      <w:r>
        <w:rPr>
          <w:rFonts w:hint="eastAsia" w:ascii="宋体" w:hAnsi="宋体" w:eastAsia="宋体" w:cs="宋体"/>
          <w:iCs/>
          <w:color w:val="auto"/>
          <w:sz w:val="24"/>
          <w:szCs w:val="24"/>
          <w:highlight w:val="none"/>
          <w:lang w:bidi="ar"/>
        </w:rPr>
        <w:t>□是   □否</w:t>
      </w:r>
    </w:p>
    <w:p w14:paraId="60E5205E">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中标（成交）采购标的制造商是否为监狱企业：</w:t>
      </w:r>
      <w:r>
        <w:rPr>
          <w:rFonts w:hint="eastAsia" w:ascii="宋体" w:hAnsi="宋体" w:eastAsia="宋体" w:cs="宋体"/>
          <w:iCs/>
          <w:color w:val="auto"/>
          <w:sz w:val="24"/>
          <w:szCs w:val="24"/>
          <w:highlight w:val="none"/>
          <w:lang w:bidi="ar"/>
        </w:rPr>
        <w:t>□是      □否</w:t>
      </w:r>
    </w:p>
    <w:p w14:paraId="5432EAF3">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（7）合同是否分包：</w:t>
      </w:r>
      <w:r>
        <w:rPr>
          <w:rFonts w:hint="eastAsia" w:ascii="宋体" w:hAnsi="宋体" w:eastAsia="宋体" w:cs="宋体"/>
          <w:iCs/>
          <w:color w:val="auto"/>
          <w:sz w:val="24"/>
          <w:szCs w:val="24"/>
          <w:highlight w:val="none"/>
          <w:lang w:bidi="ar"/>
        </w:rPr>
        <w:t>□是       ☑否</w:t>
      </w:r>
    </w:p>
    <w:p w14:paraId="5B5130FF">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分包主要内容：</w:t>
      </w:r>
      <w:r>
        <w:rPr>
          <w:rFonts w:hint="eastAsia" w:ascii="宋体" w:hAnsi="宋体" w:eastAsia="宋体" w:cs="宋体"/>
          <w:color w:val="auto"/>
          <w:sz w:val="24"/>
          <w:szCs w:val="24"/>
          <w:highlight w:val="none"/>
          <w:u w:val="single"/>
          <w:lang w:bidi="ar"/>
        </w:rPr>
        <w:t xml:space="preserve">     /                                      </w:t>
      </w:r>
    </w:p>
    <w:p w14:paraId="4EC7F7D8">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分包供应商/制造商名称（如供应商和制造商不同，请分别填写）：</w:t>
      </w:r>
    </w:p>
    <w:p w14:paraId="70FA5010">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 xml:space="preserve">                /                                         </w:t>
      </w:r>
    </w:p>
    <w:p w14:paraId="664F65F3">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分包供应商/制造商类型（如果供应商和制造商不同，只填写制造商类型）：</w:t>
      </w:r>
    </w:p>
    <w:p w14:paraId="1618BF0D">
      <w:pPr>
        <w:adjustRightInd w:val="0"/>
        <w:snapToGrid w:val="0"/>
        <w:spacing w:line="360" w:lineRule="auto"/>
        <w:ind w:firstLine="960" w:firstLineChars="400"/>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□大型企业  □中型企业  □小微型企业  </w:t>
      </w:r>
    </w:p>
    <w:p w14:paraId="30FC4137">
      <w:pPr>
        <w:adjustRightInd w:val="0"/>
        <w:snapToGrid w:val="0"/>
        <w:spacing w:line="360" w:lineRule="auto"/>
        <w:ind w:firstLine="960" w:firstLineChars="400"/>
        <w:rPr>
          <w:rFonts w:hint="eastAsia" w:ascii="宋体" w:hAnsi="宋体" w:eastAsia="宋体" w:cs="宋体"/>
          <w:color w:val="auto"/>
          <w:sz w:val="24"/>
          <w:szCs w:val="24"/>
          <w:highlight w:val="none"/>
          <w:lang w:bidi="ar"/>
        </w:rPr>
      </w:pPr>
      <w:r>
        <w:rPr>
          <w:rFonts w:hint="eastAsia" w:ascii="宋体" w:hAnsi="宋体" w:eastAsia="宋体" w:cs="宋体"/>
          <w:iCs/>
          <w:color w:val="auto"/>
          <w:sz w:val="24"/>
          <w:szCs w:val="24"/>
          <w:highlight w:val="none"/>
          <w:lang w:bidi="ar"/>
        </w:rPr>
        <w:t>□残疾人福利性单位 □监狱企业 □其他</w:t>
      </w:r>
    </w:p>
    <w:p w14:paraId="67332396">
      <w:pPr>
        <w:adjustRightInd w:val="0"/>
        <w:snapToGrid w:val="0"/>
        <w:spacing w:line="360" w:lineRule="auto"/>
        <w:ind w:firstLine="480" w:firstLineChars="200"/>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（8）中标（成交）供应商是否为外商投资企业：</w:t>
      </w:r>
      <w:r>
        <w:rPr>
          <w:rFonts w:hint="eastAsia" w:ascii="宋体" w:hAnsi="宋体" w:eastAsia="宋体" w:cs="宋体"/>
          <w:iCs/>
          <w:color w:val="auto"/>
          <w:sz w:val="24"/>
          <w:szCs w:val="24"/>
          <w:highlight w:val="none"/>
          <w:lang w:bidi="ar"/>
        </w:rPr>
        <w:t>□是       □否</w:t>
      </w:r>
    </w:p>
    <w:p w14:paraId="061F6F47">
      <w:pPr>
        <w:pStyle w:val="22"/>
        <w:widowControl/>
        <w:tabs>
          <w:tab w:val="left" w:pos="1340"/>
        </w:tabs>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lang w:bidi="ar"/>
        </w:rPr>
        <w:t xml:space="preserve">    外商投资企业类型：</w:t>
      </w:r>
      <w:r>
        <w:rPr>
          <w:rFonts w:hint="eastAsia" w:ascii="宋体" w:hAnsi="宋体" w:eastAsia="宋体" w:cs="宋体"/>
          <w:iCs/>
          <w:color w:val="auto"/>
          <w:szCs w:val="24"/>
          <w:highlight w:val="none"/>
          <w:lang w:bidi="ar"/>
        </w:rPr>
        <w:t>□</w:t>
      </w:r>
      <w:r>
        <w:rPr>
          <w:rFonts w:hint="eastAsia" w:ascii="宋体" w:hAnsi="宋体" w:eastAsia="宋体" w:cs="宋体"/>
          <w:color w:val="auto"/>
          <w:szCs w:val="24"/>
          <w:highlight w:val="none"/>
          <w:lang w:bidi="ar"/>
        </w:rPr>
        <w:t xml:space="preserve">全部由外国投资者投资  </w:t>
      </w:r>
      <w:r>
        <w:rPr>
          <w:rFonts w:hint="eastAsia" w:ascii="宋体" w:hAnsi="宋体" w:eastAsia="宋体" w:cs="宋体"/>
          <w:iCs/>
          <w:color w:val="auto"/>
          <w:szCs w:val="24"/>
          <w:highlight w:val="none"/>
          <w:lang w:bidi="ar"/>
        </w:rPr>
        <w:t>□部分由外国投资者投资</w:t>
      </w:r>
    </w:p>
    <w:p w14:paraId="09C4060B">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（9）是否涉及进口产品：</w:t>
      </w:r>
    </w:p>
    <w:p w14:paraId="0319B47B">
      <w:pPr>
        <w:adjustRightInd w:val="0"/>
        <w:snapToGrid w:val="0"/>
        <w:spacing w:line="360" w:lineRule="auto"/>
        <w:ind w:firstLine="960" w:firstLineChars="4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□是，《政府采购品目分类目录》底级品目名称：</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金额：</w:t>
      </w:r>
      <w:r>
        <w:rPr>
          <w:rFonts w:hint="eastAsia" w:ascii="宋体" w:hAnsi="宋体" w:eastAsia="宋体" w:cs="宋体"/>
          <w:color w:val="auto"/>
          <w:sz w:val="24"/>
          <w:szCs w:val="24"/>
          <w:highlight w:val="none"/>
          <w:u w:val="single"/>
          <w:lang w:bidi="ar"/>
        </w:rPr>
        <w:t xml:space="preserve">  /     </w:t>
      </w:r>
    </w:p>
    <w:p w14:paraId="5C29F57B">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国别：</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品牌：</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规格型号：</w:t>
      </w:r>
      <w:r>
        <w:rPr>
          <w:rFonts w:hint="eastAsia" w:ascii="宋体" w:hAnsi="宋体" w:eastAsia="宋体" w:cs="宋体"/>
          <w:color w:val="auto"/>
          <w:sz w:val="24"/>
          <w:szCs w:val="24"/>
          <w:highlight w:val="none"/>
          <w:u w:val="single"/>
          <w:lang w:bidi="ar"/>
        </w:rPr>
        <w:t xml:space="preserve">   /   </w:t>
      </w:r>
      <w:r>
        <w:rPr>
          <w:rFonts w:hint="eastAsia" w:ascii="宋体" w:hAnsi="宋体" w:eastAsia="宋体" w:cs="宋体"/>
          <w:color w:val="auto"/>
          <w:sz w:val="24"/>
          <w:szCs w:val="24"/>
          <w:highlight w:val="none"/>
          <w:lang w:bidi="ar"/>
        </w:rPr>
        <w:t xml:space="preserve">      </w:t>
      </w:r>
    </w:p>
    <w:p w14:paraId="55A5431D">
      <w:pPr>
        <w:adjustRightInd w:val="0"/>
        <w:snapToGrid w:val="0"/>
        <w:spacing w:line="360" w:lineRule="auto"/>
        <w:ind w:firstLine="960" w:firstLineChars="400"/>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 xml:space="preserve"> ☑否</w:t>
      </w:r>
    </w:p>
    <w:p w14:paraId="63580CC1">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（10）是否涉及节能产品：</w:t>
      </w:r>
    </w:p>
    <w:p w14:paraId="3987266B">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color w:val="auto"/>
          <w:sz w:val="24"/>
          <w:szCs w:val="24"/>
          <w:highlight w:val="none"/>
          <w:lang w:bidi="ar"/>
        </w:rPr>
        <w:t xml:space="preserve">         □是，《节能产品政府采购品目清单》的底级品目名称：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iCs/>
          <w:color w:val="auto"/>
          <w:sz w:val="24"/>
          <w:szCs w:val="24"/>
          <w:highlight w:val="none"/>
          <w:lang w:bidi="ar"/>
        </w:rPr>
        <w:t xml:space="preserve">     </w:t>
      </w:r>
    </w:p>
    <w:p w14:paraId="2BFCBF00">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0B7B2FCA">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 xml:space="preserve">         </w:t>
      </w:r>
      <w:r>
        <w:rPr>
          <w:rFonts w:hint="eastAsia" w:ascii="宋体" w:hAnsi="宋体" w:eastAsia="宋体" w:cs="宋体"/>
          <w:color w:val="auto"/>
          <w:sz w:val="24"/>
          <w:szCs w:val="24"/>
          <w:highlight w:val="none"/>
          <w:lang w:eastAsia="zh-CN" w:bidi="ar"/>
        </w:rPr>
        <w:t>□</w:t>
      </w:r>
      <w:r>
        <w:rPr>
          <w:rFonts w:hint="eastAsia" w:ascii="宋体" w:hAnsi="宋体" w:eastAsia="宋体" w:cs="宋体"/>
          <w:color w:val="auto"/>
          <w:sz w:val="24"/>
          <w:szCs w:val="24"/>
          <w:highlight w:val="none"/>
          <w:lang w:bidi="ar"/>
        </w:rPr>
        <w:t>否</w:t>
      </w:r>
    </w:p>
    <w:p w14:paraId="022CB4DD">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是否涉及环境标志产品：</w:t>
      </w:r>
    </w:p>
    <w:p w14:paraId="101CC026">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□是，《环境标志产品政府采购品目清单》的底级品目名称：</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iCs/>
          <w:color w:val="auto"/>
          <w:sz w:val="24"/>
          <w:szCs w:val="24"/>
          <w:highlight w:val="none"/>
          <w:lang w:bidi="ar"/>
        </w:rPr>
        <w:t xml:space="preserve"> </w:t>
      </w:r>
    </w:p>
    <w:p w14:paraId="7CE64E3F">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7542504E">
      <w:pPr>
        <w:tabs>
          <w:tab w:val="left" w:pos="740"/>
        </w:tabs>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 xml:space="preserve">         </w:t>
      </w:r>
      <w:r>
        <w:rPr>
          <w:rFonts w:hint="eastAsia" w:ascii="宋体" w:hAnsi="宋体" w:eastAsia="宋体" w:cs="宋体"/>
          <w:color w:val="auto"/>
          <w:sz w:val="24"/>
          <w:szCs w:val="24"/>
          <w:highlight w:val="none"/>
          <w:lang w:bidi="ar"/>
        </w:rPr>
        <w:t>□否</w:t>
      </w:r>
    </w:p>
    <w:p w14:paraId="3B169834">
      <w:pPr>
        <w:pStyle w:val="22"/>
        <w:widowControl/>
        <w:autoSpaceDE w:val="0"/>
        <w:autoSpaceDN w:val="0"/>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szCs w:val="24"/>
          <w:highlight w:val="none"/>
          <w:lang w:bidi="ar"/>
        </w:rPr>
        <w:t xml:space="preserve">          </w:t>
      </w:r>
      <w:r>
        <w:rPr>
          <w:rFonts w:hint="eastAsia" w:ascii="宋体" w:hAnsi="宋体" w:eastAsia="宋体" w:cs="宋体"/>
          <w:color w:val="auto"/>
          <w:kern w:val="2"/>
          <w:szCs w:val="24"/>
          <w:highlight w:val="none"/>
          <w:lang w:bidi="ar"/>
        </w:rPr>
        <w:t xml:space="preserve">是否涉及绿色产品： </w:t>
      </w:r>
    </w:p>
    <w:p w14:paraId="662F9E34">
      <w:pPr>
        <w:pStyle w:val="22"/>
        <w:widowControl/>
        <w:autoSpaceDE w:val="0"/>
        <w:autoSpaceDN w:val="0"/>
        <w:adjustRightInd w:val="0"/>
        <w:spacing w:before="0" w:beforeAutospacing="0" w:after="0" w:afterAutospacing="0" w:line="360" w:lineRule="auto"/>
        <w:ind w:firstLine="420"/>
        <w:rPr>
          <w:rFonts w:hint="eastAsia" w:ascii="宋体" w:hAnsi="宋体" w:eastAsia="宋体" w:cs="宋体"/>
          <w:color w:val="auto"/>
          <w:szCs w:val="24"/>
          <w:highlight w:val="none"/>
          <w:u w:val="single"/>
        </w:rPr>
      </w:pPr>
      <w:r>
        <w:rPr>
          <w:rFonts w:hint="eastAsia" w:ascii="宋体" w:hAnsi="宋体" w:eastAsia="宋体" w:cs="宋体"/>
          <w:color w:val="auto"/>
          <w:kern w:val="2"/>
          <w:szCs w:val="24"/>
          <w:highlight w:val="none"/>
          <w:lang w:bidi="ar"/>
        </w:rPr>
        <w:t xml:space="preserve">     □是，绿色产品政府采购相关政策确定的底级品目名称：</w:t>
      </w:r>
      <w:r>
        <w:rPr>
          <w:rFonts w:hint="eastAsia" w:ascii="宋体" w:hAnsi="宋体" w:eastAsia="宋体" w:cs="宋体"/>
          <w:color w:val="auto"/>
          <w:szCs w:val="24"/>
          <w:highlight w:val="none"/>
          <w:u w:val="single"/>
          <w:lang w:bidi="ar"/>
        </w:rPr>
        <w:t xml:space="preserve">         </w:t>
      </w:r>
    </w:p>
    <w:p w14:paraId="7BF46C01">
      <w:pPr>
        <w:tabs>
          <w:tab w:val="left" w:pos="740"/>
        </w:tabs>
        <w:adjustRightInd w:val="0"/>
        <w:snapToGrid w:val="0"/>
        <w:spacing w:line="360" w:lineRule="auto"/>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 xml:space="preserve">                □强制采购       □优先采购    </w:t>
      </w:r>
    </w:p>
    <w:p w14:paraId="62B8BCA7">
      <w:pPr>
        <w:pStyle w:val="22"/>
        <w:widowControl/>
        <w:autoSpaceDE w:val="0"/>
        <w:autoSpaceDN w:val="0"/>
        <w:adjustRightInd w:val="0"/>
        <w:spacing w:before="0" w:beforeAutospacing="0" w:after="0" w:afterAutospacing="0" w:line="360" w:lineRule="auto"/>
        <w:ind w:firstLine="420"/>
        <w:rPr>
          <w:rFonts w:hint="eastAsia" w:ascii="宋体" w:hAnsi="宋体" w:eastAsia="宋体" w:cs="宋体"/>
          <w:color w:val="auto"/>
          <w:kern w:val="2"/>
          <w:szCs w:val="24"/>
          <w:highlight w:val="none"/>
          <w:lang w:bidi="ar"/>
        </w:rPr>
      </w:pPr>
      <w:r>
        <w:rPr>
          <w:rFonts w:hint="eastAsia" w:ascii="宋体" w:hAnsi="宋体" w:eastAsia="宋体" w:cs="宋体"/>
          <w:color w:val="auto"/>
          <w:kern w:val="2"/>
          <w:szCs w:val="24"/>
          <w:highlight w:val="none"/>
          <w:lang w:bidi="ar"/>
        </w:rPr>
        <w:t xml:space="preserve">     □否</w:t>
      </w:r>
    </w:p>
    <w:p w14:paraId="607309CE">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（11）涉及商品包装和快递包装的，是否参考《商品包装政府采购需求标准（试行）》、《快递包装政府采购需求标准（试行）》明确产品及相关快递服务的具体包装要求：</w:t>
      </w:r>
    </w:p>
    <w:p w14:paraId="4764CD1E">
      <w:pPr>
        <w:adjustRightInd w:val="0"/>
        <w:snapToGrid w:val="0"/>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☑是       □否      □不涉及</w:t>
      </w:r>
    </w:p>
    <w:p w14:paraId="07764A3E">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合同金额</w:t>
      </w:r>
    </w:p>
    <w:p w14:paraId="0A86C93A">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（1）合同金额小写：</w:t>
      </w:r>
      <w:r>
        <w:rPr>
          <w:rFonts w:hint="eastAsia" w:ascii="宋体" w:hAnsi="宋体" w:eastAsia="宋体" w:cs="宋体"/>
          <w:color w:val="auto"/>
          <w:sz w:val="24"/>
          <w:szCs w:val="24"/>
          <w:highlight w:val="none"/>
          <w:u w:val="single"/>
          <w:lang w:bidi="ar"/>
        </w:rPr>
        <w:t xml:space="preserve">                           </w:t>
      </w:r>
    </w:p>
    <w:p w14:paraId="7AA144D3">
      <w:pPr>
        <w:adjustRightInd w:val="0"/>
        <w:snapToGrid w:val="0"/>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大写：</w:t>
      </w:r>
      <w:r>
        <w:rPr>
          <w:rFonts w:hint="eastAsia" w:ascii="宋体" w:hAnsi="宋体" w:eastAsia="宋体" w:cs="宋体"/>
          <w:color w:val="auto"/>
          <w:sz w:val="24"/>
          <w:szCs w:val="24"/>
          <w:highlight w:val="none"/>
          <w:u w:val="single"/>
          <w:lang w:bidi="ar"/>
        </w:rPr>
        <w:t xml:space="preserve">                           </w:t>
      </w:r>
    </w:p>
    <w:p w14:paraId="512CC38F">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分包金额（如有）小写：</w:t>
      </w:r>
      <w:r>
        <w:rPr>
          <w:rFonts w:hint="eastAsia" w:ascii="宋体" w:hAnsi="宋体" w:eastAsia="宋体" w:cs="宋体"/>
          <w:color w:val="auto"/>
          <w:sz w:val="24"/>
          <w:szCs w:val="24"/>
          <w:highlight w:val="none"/>
          <w:u w:val="single"/>
          <w:lang w:bidi="ar"/>
        </w:rPr>
        <w:t xml:space="preserve">    /              </w:t>
      </w:r>
    </w:p>
    <w:p w14:paraId="25CCDBEA">
      <w:pPr>
        <w:adjustRightInd w:val="0"/>
        <w:snapToGrid w:val="0"/>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 xml:space="preserve">                     大写：</w:t>
      </w:r>
      <w:r>
        <w:rPr>
          <w:rFonts w:hint="eastAsia" w:ascii="宋体" w:hAnsi="宋体" w:eastAsia="宋体" w:cs="宋体"/>
          <w:color w:val="auto"/>
          <w:sz w:val="24"/>
          <w:szCs w:val="24"/>
          <w:highlight w:val="none"/>
          <w:u w:val="single"/>
          <w:lang w:bidi="ar"/>
        </w:rPr>
        <w:t xml:space="preserve">       /               </w:t>
      </w:r>
    </w:p>
    <w:p w14:paraId="4D0A37EE">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（注：固定单价合同应填写单价和最高限价）</w:t>
      </w:r>
    </w:p>
    <w:p w14:paraId="1F6C7D80">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（2）合同定价方式（采用组合定价方式的，可以勾选多项）：</w:t>
      </w:r>
    </w:p>
    <w:p w14:paraId="14BAE25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iCs/>
          <w:color w:val="auto"/>
          <w:sz w:val="24"/>
          <w:szCs w:val="24"/>
          <w:highlight w:val="none"/>
          <w:lang w:bidi="ar"/>
        </w:rPr>
        <w:t>□固定总价 ☑固定单价 □固定费率 □成本补偿 □绩效激励 □其他</w:t>
      </w:r>
      <w:r>
        <w:rPr>
          <w:rFonts w:hint="eastAsia" w:ascii="宋体" w:hAnsi="宋体" w:eastAsia="宋体" w:cs="宋体"/>
          <w:color w:val="auto"/>
          <w:sz w:val="24"/>
          <w:szCs w:val="24"/>
          <w:highlight w:val="none"/>
          <w:u w:val="single"/>
          <w:lang w:bidi="ar"/>
        </w:rPr>
        <w:t xml:space="preserve">  /    </w:t>
      </w:r>
    </w:p>
    <w:p w14:paraId="34FD118C">
      <w:pPr>
        <w:pStyle w:val="22"/>
        <w:spacing w:before="0" w:beforeAutospacing="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（3）付款方式（按项目实际勾选填写）：</w:t>
      </w:r>
    </w:p>
    <w:p w14:paraId="5E515C81">
      <w:pPr>
        <w:adjustRightInd w:val="0"/>
        <w:snapToGrid w:val="0"/>
        <w:spacing w:line="360" w:lineRule="auto"/>
        <w:ind w:firstLine="720" w:firstLineChars="3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□全额付款：</w:t>
      </w:r>
      <w:r>
        <w:rPr>
          <w:rFonts w:hint="eastAsia" w:ascii="宋体" w:hAnsi="宋体" w:eastAsia="宋体" w:cs="宋体"/>
          <w:color w:val="auto"/>
          <w:sz w:val="24"/>
          <w:szCs w:val="24"/>
          <w:highlight w:val="none"/>
          <w:u w:val="single"/>
          <w:lang w:bidi="ar"/>
        </w:rPr>
        <w:t xml:space="preserve">    /                    </w:t>
      </w:r>
    </w:p>
    <w:p w14:paraId="73F2B4DC">
      <w:pPr>
        <w:snapToGrid w:val="0"/>
        <w:spacing w:line="360" w:lineRule="auto"/>
        <w:ind w:firstLine="720" w:firstLineChars="300"/>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lang w:bidi="ar"/>
        </w:rPr>
        <w:t>☑分期付款：</w:t>
      </w:r>
      <w:r>
        <w:rPr>
          <w:rFonts w:hint="eastAsia" w:ascii="宋体" w:hAnsi="宋体" w:eastAsia="宋体" w:cs="宋体"/>
          <w:color w:val="auto"/>
          <w:sz w:val="24"/>
          <w:szCs w:val="24"/>
          <w:highlight w:val="none"/>
          <w:u w:val="single"/>
          <w:lang w:eastAsia="zh-CN" w:bidi="ar"/>
        </w:rPr>
        <w:t>合同签订且具备实施条件后，支付合同价的40%预付款（预付款支付前，</w:t>
      </w:r>
      <w:r>
        <w:rPr>
          <w:rFonts w:hint="eastAsia" w:ascii="宋体" w:hAnsi="宋体" w:eastAsia="宋体" w:cs="宋体"/>
          <w:color w:val="auto"/>
          <w:sz w:val="24"/>
          <w:szCs w:val="24"/>
          <w:highlight w:val="none"/>
          <w:u w:val="single"/>
          <w:lang w:val="en-US" w:eastAsia="zh-CN" w:bidi="ar"/>
        </w:rPr>
        <w:t>乙方</w:t>
      </w:r>
      <w:r>
        <w:rPr>
          <w:rFonts w:hint="eastAsia" w:ascii="宋体" w:hAnsi="宋体" w:eastAsia="宋体" w:cs="宋体"/>
          <w:color w:val="auto"/>
          <w:sz w:val="24"/>
          <w:szCs w:val="24"/>
          <w:highlight w:val="none"/>
          <w:u w:val="single"/>
          <w:lang w:eastAsia="zh-CN" w:bidi="ar"/>
        </w:rPr>
        <w:t>须提供同等金额的见索即付保函），全部供货安装调试完毕并经验收合格后，</w:t>
      </w:r>
      <w:r>
        <w:rPr>
          <w:rFonts w:hint="eastAsia" w:ascii="宋体" w:hAnsi="宋体" w:eastAsia="宋体" w:cs="宋体"/>
          <w:color w:val="auto"/>
          <w:sz w:val="24"/>
          <w:szCs w:val="24"/>
          <w:highlight w:val="none"/>
          <w:u w:val="single"/>
          <w:lang w:val="en-US" w:eastAsia="zh-CN" w:bidi="ar"/>
        </w:rPr>
        <w:t>甲方</w:t>
      </w:r>
      <w:r>
        <w:rPr>
          <w:rFonts w:hint="eastAsia" w:ascii="宋体" w:hAnsi="宋体" w:eastAsia="宋体" w:cs="宋体"/>
          <w:color w:val="auto"/>
          <w:sz w:val="24"/>
          <w:szCs w:val="24"/>
          <w:highlight w:val="none"/>
          <w:u w:val="single"/>
          <w:lang w:eastAsia="zh-CN" w:bidi="ar"/>
        </w:rPr>
        <w:t>支付剩余合同价款。</w:t>
      </w:r>
    </w:p>
    <w:p w14:paraId="35C62F4C">
      <w:pPr>
        <w:snapToGrid w:val="0"/>
        <w:spacing w:line="360" w:lineRule="auto"/>
        <w:ind w:firstLine="720" w:firstLineChars="3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bidi="ar"/>
        </w:rPr>
        <w:t>其中涉及预付款的：</w:t>
      </w:r>
      <w:r>
        <w:rPr>
          <w:rFonts w:hint="eastAsia" w:ascii="宋体" w:hAnsi="宋体" w:eastAsia="宋体" w:cs="宋体"/>
          <w:color w:val="auto"/>
          <w:sz w:val="24"/>
          <w:szCs w:val="24"/>
          <w:highlight w:val="none"/>
          <w:u w:val="single"/>
          <w:lang w:bidi="ar"/>
        </w:rPr>
        <w:t xml:space="preserve"> 合同签订且具备实施条件后，支付合同价的40%预付款（预付款支付前，</w:t>
      </w:r>
      <w:r>
        <w:rPr>
          <w:rFonts w:hint="eastAsia" w:ascii="宋体" w:hAnsi="宋体" w:eastAsia="宋体" w:cs="宋体"/>
          <w:color w:val="auto"/>
          <w:sz w:val="24"/>
          <w:szCs w:val="24"/>
          <w:highlight w:val="none"/>
          <w:u w:val="single"/>
          <w:lang w:val="en-US" w:eastAsia="zh-CN" w:bidi="ar"/>
        </w:rPr>
        <w:t>乙方</w:t>
      </w:r>
      <w:r>
        <w:rPr>
          <w:rFonts w:hint="eastAsia" w:ascii="宋体" w:hAnsi="宋体" w:eastAsia="宋体" w:cs="宋体"/>
          <w:color w:val="auto"/>
          <w:sz w:val="24"/>
          <w:szCs w:val="24"/>
          <w:highlight w:val="none"/>
          <w:u w:val="single"/>
          <w:lang w:bidi="ar"/>
        </w:rPr>
        <w:t>须提供同等金额的见索即付保函）</w:t>
      </w:r>
      <w:r>
        <w:rPr>
          <w:rFonts w:hint="eastAsia" w:ascii="宋体" w:hAnsi="宋体" w:eastAsia="宋体" w:cs="宋体"/>
          <w:color w:val="auto"/>
          <w:sz w:val="24"/>
          <w:szCs w:val="24"/>
          <w:highlight w:val="none"/>
          <w:u w:val="single"/>
          <w:lang w:eastAsia="zh-CN" w:bidi="ar"/>
        </w:rPr>
        <w:t>。</w:t>
      </w:r>
    </w:p>
    <w:p w14:paraId="0C081154">
      <w:pPr>
        <w:adjustRightInd w:val="0"/>
        <w:snapToGrid w:val="0"/>
        <w:spacing w:line="360" w:lineRule="auto"/>
        <w:ind w:firstLine="720" w:firstLineChars="3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□成本补偿：</w:t>
      </w:r>
      <w:r>
        <w:rPr>
          <w:rFonts w:hint="eastAsia" w:ascii="宋体" w:hAnsi="宋体" w:eastAsia="宋体" w:cs="宋体"/>
          <w:color w:val="auto"/>
          <w:sz w:val="24"/>
          <w:szCs w:val="24"/>
          <w:highlight w:val="none"/>
          <w:u w:val="single"/>
          <w:lang w:bidi="ar"/>
        </w:rPr>
        <w:t xml:space="preserve">      /    </w:t>
      </w:r>
    </w:p>
    <w:p w14:paraId="4C2B0E91">
      <w:pPr>
        <w:adjustRightInd w:val="0"/>
        <w:snapToGrid w:val="0"/>
        <w:spacing w:line="360" w:lineRule="auto"/>
        <w:ind w:firstLine="720" w:firstLineChars="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□绩效激励：</w:t>
      </w:r>
      <w:r>
        <w:rPr>
          <w:rFonts w:hint="eastAsia" w:ascii="宋体" w:hAnsi="宋体" w:eastAsia="宋体" w:cs="宋体"/>
          <w:color w:val="auto"/>
          <w:sz w:val="24"/>
          <w:szCs w:val="24"/>
          <w:highlight w:val="none"/>
          <w:u w:val="single"/>
          <w:lang w:bidi="ar"/>
        </w:rPr>
        <w:t xml:space="preserve">      /    </w:t>
      </w:r>
    </w:p>
    <w:p w14:paraId="44BB3FF7">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lang w:bidi="ar"/>
        </w:rPr>
        <w:t>合同履行</w:t>
      </w:r>
    </w:p>
    <w:p w14:paraId="7739B8C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（1）起始日期：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日，完成日期：</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511D80BE">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bidi="ar"/>
        </w:rPr>
        <w:t>（2）履约地点</w:t>
      </w:r>
      <w:r>
        <w:rPr>
          <w:rFonts w:hint="eastAsia" w:ascii="宋体" w:hAnsi="宋体" w:eastAsia="宋体" w:cs="宋体"/>
          <w:bCs/>
          <w:color w:val="auto"/>
          <w:sz w:val="24"/>
          <w:szCs w:val="24"/>
          <w:highlight w:val="none"/>
          <w:lang w:bidi="ar"/>
        </w:rPr>
        <w:t>：</w:t>
      </w:r>
      <w:r>
        <w:rPr>
          <w:rFonts w:hint="eastAsia" w:ascii="宋体" w:hAnsi="宋体" w:eastAsia="宋体" w:cs="宋体"/>
          <w:color w:val="auto"/>
          <w:sz w:val="24"/>
          <w:szCs w:val="24"/>
          <w:highlight w:val="none"/>
          <w:u w:val="single"/>
          <w:lang w:bidi="ar"/>
        </w:rPr>
        <w:t xml:space="preserve">  采购人指定地点          </w:t>
      </w:r>
    </w:p>
    <w:p w14:paraId="02064237">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（3）履约担保：</w:t>
      </w:r>
      <w:r>
        <w:rPr>
          <w:rFonts w:hint="eastAsia" w:ascii="宋体" w:hAnsi="宋体" w:eastAsia="宋体" w:cs="宋体"/>
          <w:color w:val="auto"/>
          <w:sz w:val="24"/>
          <w:szCs w:val="24"/>
          <w:highlight w:val="none"/>
          <w:lang w:bidi="ar"/>
        </w:rPr>
        <w:t>是否收取履约保证金：☑是    □否</w:t>
      </w:r>
    </w:p>
    <w:p w14:paraId="7EAFD1AE">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bCs/>
          <w:color w:val="auto"/>
          <w:szCs w:val="24"/>
          <w:highlight w:val="none"/>
          <w:lang w:bidi="ar"/>
        </w:rPr>
        <w:t xml:space="preserve">  </w:t>
      </w:r>
      <w:r>
        <w:rPr>
          <w:rFonts w:hint="eastAsia" w:ascii="宋体" w:hAnsi="宋体" w:eastAsia="宋体" w:cs="宋体"/>
          <w:color w:val="auto"/>
          <w:szCs w:val="24"/>
          <w:highlight w:val="none"/>
          <w:lang w:bidi="ar"/>
        </w:rPr>
        <w:t xml:space="preserve">  收取履约保证金形式：</w:t>
      </w:r>
      <w:r>
        <w:rPr>
          <w:rFonts w:hint="eastAsia" w:ascii="宋体" w:hAnsi="宋体" w:eastAsia="宋体" w:cs="宋体"/>
          <w:bCs/>
          <w:color w:val="auto"/>
          <w:szCs w:val="24"/>
          <w:highlight w:val="none"/>
          <w:u w:val="single"/>
          <w:lang w:bidi="ar"/>
        </w:rPr>
        <w:t xml:space="preserve">                            </w:t>
      </w:r>
    </w:p>
    <w:p w14:paraId="66D5DA92">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收取履约保证金金额：</w:t>
      </w:r>
      <w:r>
        <w:rPr>
          <w:rFonts w:hint="eastAsia" w:ascii="宋体" w:hAnsi="宋体" w:eastAsia="宋体" w:cs="宋体"/>
          <w:bCs/>
          <w:color w:val="auto"/>
          <w:szCs w:val="24"/>
          <w:highlight w:val="none"/>
          <w:u w:val="single"/>
          <w:lang w:bidi="ar"/>
        </w:rPr>
        <w:t xml:space="preserve">                            </w:t>
      </w:r>
    </w:p>
    <w:p w14:paraId="19743025">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 xml:space="preserve">    履约担保期限：</w:t>
      </w:r>
      <w:r>
        <w:rPr>
          <w:rFonts w:hint="eastAsia" w:ascii="宋体" w:hAnsi="宋体" w:eastAsia="宋体" w:cs="宋体"/>
          <w:bCs/>
          <w:color w:val="auto"/>
          <w:sz w:val="24"/>
          <w:szCs w:val="24"/>
          <w:highlight w:val="none"/>
          <w:u w:val="single"/>
          <w:lang w:bidi="ar"/>
        </w:rPr>
        <w:t xml:space="preserve">                                  </w:t>
      </w:r>
    </w:p>
    <w:p w14:paraId="2A8BFBE1">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（4）分期履行要求：</w:t>
      </w:r>
      <w:r>
        <w:rPr>
          <w:rFonts w:hint="eastAsia" w:ascii="宋体" w:hAnsi="宋体" w:eastAsia="宋体" w:cs="宋体"/>
          <w:bCs/>
          <w:color w:val="auto"/>
          <w:sz w:val="24"/>
          <w:szCs w:val="24"/>
          <w:highlight w:val="none"/>
          <w:u w:val="single"/>
          <w:lang w:bidi="ar"/>
        </w:rPr>
        <w:t xml:space="preserve">   /                                                   </w:t>
      </w:r>
    </w:p>
    <w:p w14:paraId="43536D79">
      <w:pPr>
        <w:adjustRightInd w:val="0"/>
        <w:snapToGrid w:val="0"/>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lang w:bidi="ar"/>
        </w:rPr>
        <w:t>（5）风险处置措施和替代方案：</w:t>
      </w:r>
      <w:r>
        <w:rPr>
          <w:rFonts w:hint="eastAsia" w:ascii="宋体" w:hAnsi="宋体" w:eastAsia="宋体" w:cs="宋体"/>
          <w:color w:val="auto"/>
          <w:sz w:val="24"/>
          <w:szCs w:val="24"/>
          <w:highlight w:val="none"/>
          <w:u w:val="single"/>
          <w:lang w:bidi="ar"/>
        </w:rPr>
        <w:t xml:space="preserve">       /                                                      </w:t>
      </w:r>
    </w:p>
    <w:p w14:paraId="470C6BD5">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合同验收</w:t>
      </w:r>
    </w:p>
    <w:p w14:paraId="75679ADD">
      <w:pPr>
        <w:numPr>
          <w:ilvl w:val="0"/>
          <w:numId w:val="5"/>
        </w:num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验收组织方式：</w:t>
      </w:r>
      <w:r>
        <w:rPr>
          <w:rFonts w:hint="eastAsia" w:ascii="宋体" w:hAnsi="宋体" w:eastAsia="宋体" w:cs="宋体"/>
          <w:color w:val="auto"/>
          <w:sz w:val="24"/>
          <w:szCs w:val="24"/>
          <w:highlight w:val="none"/>
          <w:lang w:eastAsia="zh-CN" w:bidi="ar"/>
        </w:rPr>
        <w:t>□</w:t>
      </w:r>
      <w:r>
        <w:rPr>
          <w:rFonts w:hint="eastAsia" w:ascii="宋体" w:hAnsi="宋体" w:eastAsia="宋体" w:cs="宋体"/>
          <w:bCs/>
          <w:color w:val="auto"/>
          <w:sz w:val="24"/>
          <w:szCs w:val="24"/>
          <w:highlight w:val="none"/>
          <w:lang w:bidi="ar"/>
        </w:rPr>
        <w:t xml:space="preserve">自行组织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委托第三方组织</w:t>
      </w:r>
    </w:p>
    <w:p w14:paraId="5E57264D">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验收主体：</w:t>
      </w:r>
      <w:r>
        <w:rPr>
          <w:rFonts w:hint="eastAsia" w:ascii="宋体" w:hAnsi="宋体" w:eastAsia="宋体" w:cs="宋体"/>
          <w:bCs/>
          <w:color w:val="auto"/>
          <w:sz w:val="24"/>
          <w:szCs w:val="24"/>
          <w:highlight w:val="none"/>
          <w:u w:val="single"/>
          <w:lang w:bidi="ar"/>
        </w:rPr>
        <w:t xml:space="preserve">   采购人        </w:t>
      </w:r>
    </w:p>
    <w:p w14:paraId="76E6A2D5">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是否邀请本项目的其他供应商参加验收：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164338A5">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是否邀请专家参加验收：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5607170B">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是否邀请服务对象参加验收：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1628BD06">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是否邀请第三方检测机构参加验收：</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是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7EF16D4B">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是否进行抽查检测：</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是，抽查比例：</w:t>
      </w:r>
      <w:r>
        <w:rPr>
          <w:rFonts w:hint="eastAsia" w:ascii="宋体" w:hAnsi="宋体" w:eastAsia="宋体" w:cs="宋体"/>
          <w:bCs/>
          <w:color w:val="auto"/>
          <w:sz w:val="24"/>
          <w:szCs w:val="24"/>
          <w:highlight w:val="none"/>
          <w:u w:val="single"/>
          <w:lang w:bidi="ar"/>
        </w:rPr>
        <w:t xml:space="preserve">        </w:t>
      </w: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022509A3">
      <w:pPr>
        <w:adjustRightInd w:val="0"/>
        <w:snapToGrid w:val="0"/>
        <w:spacing w:line="360" w:lineRule="auto"/>
        <w:ind w:firstLine="960" w:firstLineChars="4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是否存在破坏性检测：</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是，</w:t>
      </w:r>
      <w:r>
        <w:rPr>
          <w:rFonts w:hint="eastAsia" w:ascii="宋体" w:hAnsi="宋体" w:eastAsia="宋体" w:cs="宋体"/>
          <w:bCs/>
          <w:color w:val="auto"/>
          <w:sz w:val="24"/>
          <w:szCs w:val="24"/>
          <w:highlight w:val="none"/>
          <w:u w:val="single"/>
          <w:lang w:bidi="ar"/>
        </w:rPr>
        <w:t>（应明确对被破坏的检测产品的处理方式）</w:t>
      </w:r>
    </w:p>
    <w:p w14:paraId="5E209A61">
      <w:pPr>
        <w:adjustRightInd w:val="0"/>
        <w:snapToGrid w:val="0"/>
        <w:spacing w:line="360" w:lineRule="auto"/>
        <w:ind w:firstLine="960" w:firstLineChars="4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否</w:t>
      </w:r>
    </w:p>
    <w:p w14:paraId="45A9208C">
      <w:pPr>
        <w:adjustRightInd w:val="0"/>
        <w:snapToGrid w:val="0"/>
        <w:spacing w:line="360" w:lineRule="auto"/>
        <w:ind w:firstLine="960" w:firstLineChars="4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验收组织的其他事项：</w:t>
      </w:r>
      <w:r>
        <w:rPr>
          <w:rFonts w:hint="eastAsia" w:ascii="宋体" w:hAnsi="宋体" w:eastAsia="宋体" w:cs="宋体"/>
          <w:bCs/>
          <w:color w:val="auto"/>
          <w:sz w:val="24"/>
          <w:szCs w:val="24"/>
          <w:highlight w:val="none"/>
          <w:u w:val="single"/>
          <w:lang w:bidi="ar"/>
        </w:rPr>
        <w:t xml:space="preserve">                </w:t>
      </w:r>
    </w:p>
    <w:p w14:paraId="5BF0BDE6">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（2）履约验收时间：</w:t>
      </w:r>
      <w:r>
        <w:rPr>
          <w:rFonts w:hint="eastAsia" w:ascii="宋体" w:hAnsi="宋体" w:eastAsia="宋体" w:cs="宋体"/>
          <w:bCs/>
          <w:color w:val="auto"/>
          <w:sz w:val="24"/>
          <w:szCs w:val="24"/>
          <w:highlight w:val="none"/>
          <w:u w:val="single"/>
          <w:lang w:bidi="ar"/>
        </w:rPr>
        <w:t xml:space="preserve"> 供应商提出验收申请之日起5日内组织验收 </w:t>
      </w:r>
    </w:p>
    <w:p w14:paraId="512B29C0">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（3）履约验收方式：</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 xml:space="preserve">一次性验收         </w:t>
      </w:r>
    </w:p>
    <w:p w14:paraId="35D28021">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 xml:space="preserve">                       </w:t>
      </w:r>
      <w:r>
        <w:rPr>
          <w:rFonts w:hint="eastAsia" w:ascii="宋体" w:hAnsi="宋体" w:eastAsia="宋体" w:cs="宋体"/>
          <w:color w:val="auto"/>
          <w:sz w:val="24"/>
          <w:szCs w:val="24"/>
          <w:highlight w:val="none"/>
          <w:lang w:bidi="ar"/>
        </w:rPr>
        <w:t>□</w:t>
      </w:r>
      <w:r>
        <w:rPr>
          <w:rFonts w:hint="eastAsia" w:ascii="宋体" w:hAnsi="宋体" w:eastAsia="宋体" w:cs="宋体"/>
          <w:bCs/>
          <w:color w:val="auto"/>
          <w:sz w:val="24"/>
          <w:szCs w:val="24"/>
          <w:highlight w:val="none"/>
          <w:lang w:bidi="ar"/>
        </w:rPr>
        <w:t>分期/分项验收：</w:t>
      </w:r>
      <w:r>
        <w:rPr>
          <w:rFonts w:hint="eastAsia" w:ascii="宋体" w:hAnsi="宋体" w:eastAsia="宋体" w:cs="宋体"/>
          <w:bCs/>
          <w:color w:val="auto"/>
          <w:sz w:val="24"/>
          <w:szCs w:val="24"/>
          <w:highlight w:val="none"/>
          <w:u w:val="single"/>
          <w:lang w:bidi="ar"/>
        </w:rPr>
        <w:t xml:space="preserve"> /  </w:t>
      </w:r>
    </w:p>
    <w:p w14:paraId="465B0C46">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（4）履约验收程序：</w:t>
      </w:r>
      <w:r>
        <w:rPr>
          <w:rFonts w:hint="eastAsia" w:ascii="宋体" w:hAnsi="宋体" w:eastAsia="宋体" w:cs="宋体"/>
          <w:bCs/>
          <w:color w:val="auto"/>
          <w:sz w:val="24"/>
          <w:szCs w:val="24"/>
          <w:highlight w:val="none"/>
          <w:u w:val="single"/>
          <w:lang w:bidi="ar"/>
        </w:rPr>
        <w:t xml:space="preserve">                                         </w:t>
      </w:r>
    </w:p>
    <w:p w14:paraId="7DCB6B38">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（5）履约验收的内容：</w:t>
      </w:r>
      <w:r>
        <w:rPr>
          <w:rFonts w:hint="eastAsia" w:ascii="宋体" w:hAnsi="宋体" w:eastAsia="宋体" w:cs="宋体"/>
          <w:bCs/>
          <w:color w:val="auto"/>
          <w:sz w:val="24"/>
          <w:szCs w:val="24"/>
          <w:highlight w:val="none"/>
          <w:u w:val="single"/>
          <w:lang w:bidi="ar"/>
        </w:rPr>
        <w:t xml:space="preserve"> （应当包括每一项技术和商务要求的履约情况，特别是落实政府采购扶持中小企业，支持绿色发展和乡村振兴等政策情况）                                      </w:t>
      </w:r>
    </w:p>
    <w:p w14:paraId="580588B7">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（6）履约验收标准：</w:t>
      </w:r>
      <w:r>
        <w:rPr>
          <w:rFonts w:hint="eastAsia" w:ascii="宋体" w:hAnsi="宋体" w:eastAsia="宋体" w:cs="宋体"/>
          <w:bCs/>
          <w:color w:val="auto"/>
          <w:sz w:val="24"/>
          <w:szCs w:val="24"/>
          <w:highlight w:val="none"/>
          <w:u w:val="single"/>
          <w:lang w:bidi="ar"/>
        </w:rPr>
        <w:t xml:space="preserve">   符合国家标准                     </w:t>
      </w:r>
    </w:p>
    <w:p w14:paraId="59BA146A">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bCs/>
          <w:color w:val="auto"/>
          <w:szCs w:val="24"/>
          <w:highlight w:val="none"/>
          <w:lang w:bidi="ar"/>
        </w:rPr>
        <w:t>（7）是否以采购活动中供应商提供的样品作为参考：</w:t>
      </w:r>
      <w:r>
        <w:rPr>
          <w:rFonts w:hint="eastAsia" w:ascii="宋体" w:hAnsi="宋体" w:eastAsia="宋体" w:cs="宋体"/>
          <w:color w:val="auto"/>
          <w:szCs w:val="24"/>
          <w:highlight w:val="none"/>
          <w:lang w:bidi="ar"/>
        </w:rPr>
        <w:t>□</w:t>
      </w:r>
      <w:r>
        <w:rPr>
          <w:rFonts w:hint="eastAsia" w:ascii="宋体" w:hAnsi="宋体" w:eastAsia="宋体" w:cs="宋体"/>
          <w:bCs/>
          <w:color w:val="auto"/>
          <w:szCs w:val="24"/>
          <w:highlight w:val="none"/>
          <w:lang w:bidi="ar"/>
        </w:rPr>
        <w:t xml:space="preserve">是  </w:t>
      </w:r>
      <w:r>
        <w:rPr>
          <w:rFonts w:hint="eastAsia" w:ascii="宋体" w:hAnsi="宋体" w:eastAsia="宋体" w:cs="宋体"/>
          <w:color w:val="auto"/>
          <w:szCs w:val="24"/>
          <w:highlight w:val="none"/>
          <w:lang w:bidi="ar"/>
        </w:rPr>
        <w:t>☑</w:t>
      </w:r>
      <w:r>
        <w:rPr>
          <w:rFonts w:hint="eastAsia" w:ascii="宋体" w:hAnsi="宋体" w:eastAsia="宋体" w:cs="宋体"/>
          <w:bCs/>
          <w:color w:val="auto"/>
          <w:szCs w:val="24"/>
          <w:highlight w:val="none"/>
          <w:lang w:bidi="ar"/>
        </w:rPr>
        <w:t>否</w:t>
      </w:r>
    </w:p>
    <w:p w14:paraId="34EE6B36">
      <w:pPr>
        <w:adjustRightInd w:val="0"/>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lang w:bidi="ar"/>
        </w:rPr>
        <w:t>（8）履约验收其他事项：</w:t>
      </w:r>
      <w:r>
        <w:rPr>
          <w:rFonts w:hint="eastAsia" w:ascii="宋体" w:hAnsi="宋体" w:eastAsia="宋体" w:cs="宋体"/>
          <w:bCs/>
          <w:color w:val="auto"/>
          <w:sz w:val="24"/>
          <w:szCs w:val="24"/>
          <w:highlight w:val="none"/>
          <w:u w:val="single"/>
          <w:lang w:bidi="ar"/>
        </w:rPr>
        <w:t>1、乙方交付产品时，应提供《产品合格证明》（如有）、《质量检验报告》（如有）、《产品质量保证书》（如有）、《产品准用证》（如有），如果以上证明材料都没有，则需要提供同等证明材料符合招标文件技术要求，否则甲方有权拒绝接收产品。2、</w:t>
      </w:r>
      <w:r>
        <w:rPr>
          <w:rFonts w:ascii="宋体" w:hAnsi="宋体" w:eastAsia="宋体" w:cs="宋体"/>
          <w:bCs/>
          <w:color w:val="auto"/>
          <w:sz w:val="24"/>
          <w:szCs w:val="24"/>
          <w:highlight w:val="none"/>
          <w:u w:val="single"/>
          <w:lang w:bidi="ar"/>
        </w:rPr>
        <w:t>提供虚假检测报告、材料造假</w:t>
      </w:r>
      <w:r>
        <w:rPr>
          <w:rFonts w:hint="eastAsia" w:ascii="宋体" w:hAnsi="宋体" w:eastAsia="宋体" w:cs="宋体"/>
          <w:bCs/>
          <w:color w:val="auto"/>
          <w:sz w:val="24"/>
          <w:szCs w:val="24"/>
          <w:highlight w:val="none"/>
          <w:u w:val="single"/>
          <w:lang w:bidi="ar"/>
        </w:rPr>
        <w:t>的，采购人有权单方面解除合同；3、累计三次交货验收不合格的，采购人有权单方面解除合同；</w:t>
      </w:r>
    </w:p>
    <w:p w14:paraId="74794F49">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组成合同的文件</w:t>
      </w:r>
    </w:p>
    <w:p w14:paraId="6EFE2AD0">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本协议书与下列文件一起构成合同文件，如下述文件之间有任何抵触、矛盾或歧义，应按以下顺序解释：</w:t>
      </w:r>
    </w:p>
    <w:p w14:paraId="443F639C">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（1）政府采购合同协议书及其变更、补充协议</w:t>
      </w:r>
    </w:p>
    <w:p w14:paraId="1135D703">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（2）政府采购合同专用条款</w:t>
      </w:r>
    </w:p>
    <w:p w14:paraId="18AEE91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（3）政府采购合同通用条款</w:t>
      </w:r>
    </w:p>
    <w:p w14:paraId="2E94D290">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（4）中标（成交）通知书</w:t>
      </w:r>
    </w:p>
    <w:p w14:paraId="6BD6567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（5）投标（响应）文件</w:t>
      </w:r>
    </w:p>
    <w:p w14:paraId="5650209F">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（6）采购文件</w:t>
      </w:r>
    </w:p>
    <w:p w14:paraId="470DCADC">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（7）有关技术文件，图纸</w:t>
      </w:r>
    </w:p>
    <w:p w14:paraId="763B0D7E">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szCs w:val="24"/>
          <w:highlight w:val="none"/>
          <w:lang w:bidi="ar"/>
        </w:rPr>
        <w:t>（8）</w:t>
      </w:r>
      <w:r>
        <w:rPr>
          <w:rFonts w:hint="eastAsia" w:ascii="宋体" w:hAnsi="宋体" w:eastAsia="宋体" w:cs="宋体"/>
          <w:color w:val="auto"/>
          <w:kern w:val="2"/>
          <w:szCs w:val="24"/>
          <w:highlight w:val="none"/>
          <w:lang w:bidi="ar"/>
        </w:rPr>
        <w:t>国家法律、行政法规和规章制度规定或合同约定的作为合同组成部分的其他文件</w:t>
      </w:r>
    </w:p>
    <w:p w14:paraId="52DDF1B5">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合同生效</w:t>
      </w:r>
    </w:p>
    <w:p w14:paraId="35728FF2">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本合同自</w:t>
      </w:r>
      <w:r>
        <w:rPr>
          <w:rFonts w:hint="eastAsia" w:ascii="宋体" w:hAnsi="宋体" w:eastAsia="宋体" w:cs="宋体"/>
          <w:color w:val="auto"/>
          <w:sz w:val="24"/>
          <w:szCs w:val="24"/>
          <w:highlight w:val="none"/>
          <w:u w:val="single"/>
          <w:lang w:bidi="ar"/>
        </w:rPr>
        <w:t xml:space="preserve">     双方加盖印章之后          </w:t>
      </w:r>
      <w:r>
        <w:rPr>
          <w:rFonts w:hint="eastAsia" w:ascii="宋体" w:hAnsi="宋体" w:eastAsia="宋体" w:cs="宋体"/>
          <w:color w:val="auto"/>
          <w:sz w:val="24"/>
          <w:szCs w:val="24"/>
          <w:highlight w:val="none"/>
          <w:lang w:bidi="ar"/>
        </w:rPr>
        <w:t>生效。</w:t>
      </w:r>
    </w:p>
    <w:p w14:paraId="3B28D022">
      <w:pPr>
        <w:numPr>
          <w:ilvl w:val="0"/>
          <w:numId w:val="3"/>
        </w:numPr>
        <w:adjustRightInd w:val="0"/>
        <w:snapToGrid w:val="0"/>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合同份数</w:t>
      </w:r>
    </w:p>
    <w:p w14:paraId="77DD2671">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本合同一式</w:t>
      </w:r>
      <w:r>
        <w:rPr>
          <w:rFonts w:hint="eastAsia" w:ascii="宋体" w:hAnsi="宋体" w:eastAsia="宋体" w:cs="宋体"/>
          <w:color w:val="auto"/>
          <w:sz w:val="24"/>
          <w:szCs w:val="24"/>
          <w:highlight w:val="none"/>
          <w:u w:val="single"/>
          <w:lang w:bidi="ar"/>
        </w:rPr>
        <w:t xml:space="preserve">  六 </w:t>
      </w:r>
      <w:r>
        <w:rPr>
          <w:rFonts w:hint="eastAsia" w:ascii="宋体" w:hAnsi="宋体" w:eastAsia="宋体" w:cs="宋体"/>
          <w:color w:val="auto"/>
          <w:sz w:val="24"/>
          <w:szCs w:val="24"/>
          <w:highlight w:val="none"/>
          <w:lang w:bidi="ar"/>
        </w:rPr>
        <w:t>份，甲方执</w:t>
      </w:r>
      <w:r>
        <w:rPr>
          <w:rFonts w:hint="eastAsia" w:ascii="宋体" w:hAnsi="宋体" w:eastAsia="宋体" w:cs="宋体"/>
          <w:color w:val="auto"/>
          <w:sz w:val="24"/>
          <w:szCs w:val="24"/>
          <w:highlight w:val="none"/>
          <w:u w:val="single"/>
          <w:lang w:bidi="ar"/>
        </w:rPr>
        <w:t xml:space="preserve"> 三 </w:t>
      </w:r>
      <w:r>
        <w:rPr>
          <w:rFonts w:hint="eastAsia" w:ascii="宋体" w:hAnsi="宋体" w:eastAsia="宋体" w:cs="宋体"/>
          <w:color w:val="auto"/>
          <w:sz w:val="24"/>
          <w:szCs w:val="24"/>
          <w:highlight w:val="none"/>
          <w:lang w:bidi="ar"/>
        </w:rPr>
        <w:t>份，乙方执</w:t>
      </w:r>
      <w:r>
        <w:rPr>
          <w:rFonts w:hint="eastAsia" w:ascii="宋体" w:hAnsi="宋体" w:eastAsia="宋体" w:cs="宋体"/>
          <w:color w:val="auto"/>
          <w:sz w:val="24"/>
          <w:szCs w:val="24"/>
          <w:highlight w:val="none"/>
          <w:u w:val="single"/>
          <w:lang w:bidi="ar"/>
        </w:rPr>
        <w:t xml:space="preserve"> 三 </w:t>
      </w:r>
      <w:r>
        <w:rPr>
          <w:rFonts w:hint="eastAsia" w:ascii="宋体" w:hAnsi="宋体" w:eastAsia="宋体" w:cs="宋体"/>
          <w:color w:val="auto"/>
          <w:sz w:val="24"/>
          <w:szCs w:val="24"/>
          <w:highlight w:val="none"/>
          <w:lang w:bidi="ar"/>
        </w:rPr>
        <w:t>份，均具有同等法律效力。</w:t>
      </w:r>
    </w:p>
    <w:p w14:paraId="50DF797C">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合同订立时间：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年</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月</w:t>
      </w:r>
      <w:r>
        <w:rPr>
          <w:rFonts w:hint="eastAsia" w:ascii="宋体" w:hAnsi="宋体" w:eastAsia="宋体" w:cs="宋体"/>
          <w:color w:val="auto"/>
          <w:sz w:val="24"/>
          <w:szCs w:val="24"/>
          <w:highlight w:val="none"/>
          <w:u w:val="single"/>
          <w:lang w:bidi="ar"/>
        </w:rPr>
        <w:t xml:space="preserve">      </w:t>
      </w:r>
      <w:r>
        <w:rPr>
          <w:rFonts w:hint="eastAsia" w:ascii="宋体" w:hAnsi="宋体" w:eastAsia="宋体" w:cs="宋体"/>
          <w:color w:val="auto"/>
          <w:sz w:val="24"/>
          <w:szCs w:val="24"/>
          <w:highlight w:val="none"/>
          <w:lang w:bidi="ar"/>
        </w:rPr>
        <w:t>日</w:t>
      </w:r>
    </w:p>
    <w:p w14:paraId="03173AB6">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合同订立地点：</w:t>
      </w:r>
      <w:r>
        <w:rPr>
          <w:rFonts w:hint="eastAsia" w:ascii="宋体" w:hAnsi="宋体" w:eastAsia="宋体" w:cs="宋体"/>
          <w:color w:val="auto"/>
          <w:sz w:val="24"/>
          <w:szCs w:val="24"/>
          <w:highlight w:val="none"/>
          <w:u w:val="single"/>
          <w:lang w:bidi="ar"/>
        </w:rPr>
        <w:t xml:space="preserve">                          </w:t>
      </w:r>
    </w:p>
    <w:p w14:paraId="30885BBD">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附件：具体标的及其技术要求和商务要求、联合协议、分包意向协议等。</w:t>
      </w:r>
    </w:p>
    <w:p w14:paraId="64814AF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br w:type="page"/>
      </w:r>
    </w:p>
    <w:p w14:paraId="12B2F6AD">
      <w:pPr>
        <w:pStyle w:val="22"/>
        <w:spacing w:before="0" w:beforeAutospacing="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 xml:space="preserve"> </w:t>
      </w:r>
    </w:p>
    <w:tbl>
      <w:tblPr>
        <w:tblStyle w:val="27"/>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7"/>
        <w:gridCol w:w="2118"/>
      </w:tblGrid>
      <w:tr w14:paraId="4E6C745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4" w:space="0"/>
              <w:right w:val="single" w:color="auto" w:sz="4" w:space="0"/>
            </w:tcBorders>
            <w:vAlign w:val="center"/>
          </w:tcPr>
          <w:p w14:paraId="33F7337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甲方（采购人、受采购人委托签订合同的单位或采购文件约定的合同甲方）</w:t>
            </w:r>
          </w:p>
        </w:tc>
        <w:tc>
          <w:tcPr>
            <w:tcW w:w="2437" w:type="pct"/>
            <w:gridSpan w:val="2"/>
            <w:tcBorders>
              <w:top w:val="single" w:color="auto" w:sz="4" w:space="0"/>
              <w:left w:val="single" w:color="auto" w:sz="4" w:space="0"/>
              <w:bottom w:val="single" w:color="auto" w:sz="2" w:space="0"/>
              <w:right w:val="single" w:color="auto" w:sz="4" w:space="0"/>
            </w:tcBorders>
            <w:vAlign w:val="center"/>
          </w:tcPr>
          <w:p w14:paraId="08BCFC9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乙方（供应商）</w:t>
            </w:r>
          </w:p>
        </w:tc>
      </w:tr>
      <w:tr w14:paraId="36C5214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4" w:space="0"/>
              <w:left w:val="single" w:color="auto" w:sz="4" w:space="0"/>
              <w:bottom w:val="single" w:color="auto" w:sz="4" w:space="0"/>
              <w:right w:val="single" w:color="auto" w:sz="4" w:space="0"/>
            </w:tcBorders>
            <w:vAlign w:val="center"/>
          </w:tcPr>
          <w:p w14:paraId="1C612F7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单位名称（公章或合同章）</w:t>
            </w:r>
          </w:p>
        </w:tc>
        <w:tc>
          <w:tcPr>
            <w:tcW w:w="1436" w:type="pct"/>
            <w:tcBorders>
              <w:top w:val="single" w:color="auto" w:sz="4" w:space="0"/>
              <w:left w:val="single" w:color="auto" w:sz="4" w:space="0"/>
              <w:bottom w:val="single" w:color="auto" w:sz="4" w:space="0"/>
              <w:right w:val="single" w:color="auto" w:sz="4" w:space="0"/>
            </w:tcBorders>
            <w:vAlign w:val="center"/>
          </w:tcPr>
          <w:p w14:paraId="5F7E5EC3">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4" w:space="0"/>
              <w:left w:val="single" w:color="auto" w:sz="4" w:space="0"/>
              <w:bottom w:val="single" w:color="auto" w:sz="2" w:space="0"/>
              <w:right w:val="single" w:color="auto" w:sz="4" w:space="0"/>
            </w:tcBorders>
            <w:vAlign w:val="center"/>
          </w:tcPr>
          <w:p w14:paraId="517E8FE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单位名称（公章或合同章）</w:t>
            </w:r>
          </w:p>
        </w:tc>
        <w:tc>
          <w:tcPr>
            <w:tcW w:w="1259" w:type="pct"/>
            <w:tcBorders>
              <w:top w:val="single" w:color="auto" w:sz="2" w:space="0"/>
              <w:left w:val="single" w:color="auto" w:sz="4" w:space="0"/>
              <w:bottom w:val="single" w:color="auto" w:sz="2" w:space="0"/>
              <w:right w:val="single" w:color="auto" w:sz="4" w:space="0"/>
            </w:tcBorders>
            <w:vAlign w:val="center"/>
          </w:tcPr>
          <w:p w14:paraId="3F682218">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506D32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4" w:space="0"/>
              <w:left w:val="single" w:color="auto" w:sz="4" w:space="0"/>
              <w:bottom w:val="single" w:color="auto" w:sz="4" w:space="0"/>
              <w:right w:val="single" w:color="auto" w:sz="4" w:space="0"/>
            </w:tcBorders>
            <w:vAlign w:val="center"/>
          </w:tcPr>
          <w:p w14:paraId="1A3DE9F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法定代表人</w:t>
            </w:r>
          </w:p>
          <w:p w14:paraId="01E4BFC4">
            <w:pPr>
              <w:adjustRightInd w:val="0"/>
              <w:snapToGrid w:val="0"/>
              <w:spacing w:line="360" w:lineRule="auto"/>
              <w:ind w:firstLine="115" w:firstLineChars="48"/>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或其委托代理人（签章）</w:t>
            </w:r>
          </w:p>
        </w:tc>
        <w:tc>
          <w:tcPr>
            <w:tcW w:w="1436" w:type="pct"/>
            <w:vMerge w:val="restart"/>
            <w:tcBorders>
              <w:top w:val="single" w:color="auto" w:sz="4" w:space="0"/>
              <w:left w:val="single" w:color="auto" w:sz="4" w:space="0"/>
              <w:bottom w:val="single" w:color="auto" w:sz="4" w:space="0"/>
              <w:right w:val="single" w:color="auto" w:sz="4" w:space="0"/>
            </w:tcBorders>
            <w:vAlign w:val="center"/>
          </w:tcPr>
          <w:p w14:paraId="1E61A5C6">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4" w:space="0"/>
              <w:right w:val="single" w:color="auto" w:sz="4" w:space="0"/>
            </w:tcBorders>
            <w:vAlign w:val="center"/>
          </w:tcPr>
          <w:p w14:paraId="7AF83B1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法定代表人</w:t>
            </w:r>
          </w:p>
          <w:p w14:paraId="71711BD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或其委托代理人（签章）</w:t>
            </w:r>
          </w:p>
        </w:tc>
        <w:tc>
          <w:tcPr>
            <w:tcW w:w="1259" w:type="pct"/>
            <w:tcBorders>
              <w:top w:val="single" w:color="auto" w:sz="2" w:space="0"/>
              <w:left w:val="single" w:color="auto" w:sz="4" w:space="0"/>
              <w:bottom w:val="single" w:color="auto" w:sz="2" w:space="0"/>
              <w:right w:val="single" w:color="auto" w:sz="4" w:space="0"/>
            </w:tcBorders>
            <w:vAlign w:val="center"/>
          </w:tcPr>
          <w:p w14:paraId="3F95C380">
            <w:pPr>
              <w:adjustRightInd w:val="0"/>
              <w:snapToGrid w:val="0"/>
              <w:spacing w:line="360" w:lineRule="auto"/>
              <w:jc w:val="center"/>
              <w:rPr>
                <w:rFonts w:hint="eastAsia" w:ascii="宋体" w:hAnsi="宋体" w:eastAsia="宋体" w:cs="宋体"/>
                <w:color w:val="auto"/>
                <w:sz w:val="24"/>
                <w:szCs w:val="24"/>
                <w:highlight w:val="none"/>
              </w:rPr>
            </w:pPr>
          </w:p>
        </w:tc>
      </w:tr>
      <w:tr w14:paraId="48BD68C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top w:val="single" w:color="auto" w:sz="4" w:space="0"/>
              <w:left w:val="single" w:color="auto" w:sz="4" w:space="0"/>
              <w:bottom w:val="single" w:color="auto" w:sz="4" w:space="0"/>
              <w:right w:val="single" w:color="auto" w:sz="4" w:space="0"/>
            </w:tcBorders>
            <w:vAlign w:val="center"/>
          </w:tcPr>
          <w:p w14:paraId="7394D3B7">
            <w:pPr>
              <w:rPr>
                <w:rFonts w:ascii="Times New Roman" w:hAnsi="Times New Roman" w:cs="Times New Roman"/>
                <w:color w:val="auto"/>
                <w:sz w:val="20"/>
                <w:highlight w:val="none"/>
              </w:rPr>
            </w:pPr>
          </w:p>
        </w:tc>
        <w:tc>
          <w:tcPr>
            <w:tcW w:w="1436" w:type="pct"/>
            <w:vMerge w:val="continue"/>
            <w:tcBorders>
              <w:top w:val="single" w:color="auto" w:sz="4" w:space="0"/>
              <w:left w:val="single" w:color="auto" w:sz="4" w:space="0"/>
              <w:bottom w:val="single" w:color="auto" w:sz="4" w:space="0"/>
              <w:right w:val="single" w:color="auto" w:sz="4" w:space="0"/>
            </w:tcBorders>
            <w:vAlign w:val="center"/>
          </w:tcPr>
          <w:p w14:paraId="3DD5474D">
            <w:pPr>
              <w:rPr>
                <w:rFonts w:ascii="Times New Roman" w:hAnsi="Times New Roman" w:cs="Times New Roman"/>
                <w:color w:val="auto"/>
                <w:sz w:val="20"/>
                <w:highlight w:val="none"/>
              </w:rPr>
            </w:pPr>
          </w:p>
        </w:tc>
        <w:tc>
          <w:tcPr>
            <w:tcW w:w="1177" w:type="pct"/>
            <w:tcBorders>
              <w:top w:val="single" w:color="auto" w:sz="4" w:space="0"/>
              <w:left w:val="single" w:color="auto" w:sz="4" w:space="0"/>
              <w:bottom w:val="single" w:color="auto" w:sz="2" w:space="0"/>
              <w:right w:val="single" w:color="auto" w:sz="4" w:space="0"/>
            </w:tcBorders>
            <w:vAlign w:val="center"/>
          </w:tcPr>
          <w:p w14:paraId="5774BDC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拥有者性别</w:t>
            </w:r>
          </w:p>
        </w:tc>
        <w:tc>
          <w:tcPr>
            <w:tcW w:w="1259" w:type="pct"/>
            <w:tcBorders>
              <w:top w:val="single" w:color="auto" w:sz="2" w:space="0"/>
              <w:left w:val="single" w:color="auto" w:sz="4" w:space="0"/>
              <w:bottom w:val="single" w:color="auto" w:sz="2" w:space="0"/>
              <w:right w:val="single" w:color="auto" w:sz="4" w:space="0"/>
            </w:tcBorders>
            <w:vAlign w:val="center"/>
          </w:tcPr>
          <w:p w14:paraId="4F115ADC">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3AC4965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4" w:space="0"/>
              <w:left w:val="single" w:color="auto" w:sz="4" w:space="0"/>
              <w:bottom w:val="single" w:color="auto" w:sz="2" w:space="0"/>
              <w:right w:val="single" w:color="auto" w:sz="4" w:space="0"/>
            </w:tcBorders>
            <w:vAlign w:val="center"/>
          </w:tcPr>
          <w:p w14:paraId="23A2ABE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住  所</w:t>
            </w:r>
          </w:p>
        </w:tc>
        <w:tc>
          <w:tcPr>
            <w:tcW w:w="1436" w:type="pct"/>
            <w:tcBorders>
              <w:top w:val="single" w:color="auto" w:sz="4" w:space="0"/>
              <w:left w:val="single" w:color="auto" w:sz="4" w:space="0"/>
              <w:bottom w:val="single" w:color="auto" w:sz="2" w:space="0"/>
              <w:right w:val="single" w:color="auto" w:sz="4" w:space="0"/>
            </w:tcBorders>
            <w:vAlign w:val="center"/>
          </w:tcPr>
          <w:p w14:paraId="676566FC">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2BC84C3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住  所</w:t>
            </w:r>
          </w:p>
        </w:tc>
        <w:tc>
          <w:tcPr>
            <w:tcW w:w="1259" w:type="pct"/>
            <w:tcBorders>
              <w:top w:val="single" w:color="auto" w:sz="2" w:space="0"/>
              <w:left w:val="single" w:color="auto" w:sz="4" w:space="0"/>
              <w:bottom w:val="single" w:color="auto" w:sz="2" w:space="0"/>
              <w:right w:val="single" w:color="auto" w:sz="4" w:space="0"/>
            </w:tcBorders>
            <w:vAlign w:val="center"/>
          </w:tcPr>
          <w:p w14:paraId="613CFD47">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FF672E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4B86A3D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 系 人</w:t>
            </w:r>
          </w:p>
        </w:tc>
        <w:tc>
          <w:tcPr>
            <w:tcW w:w="1436" w:type="pct"/>
            <w:tcBorders>
              <w:top w:val="single" w:color="auto" w:sz="2" w:space="0"/>
              <w:left w:val="single" w:color="auto" w:sz="4" w:space="0"/>
              <w:bottom w:val="single" w:color="auto" w:sz="2" w:space="0"/>
              <w:right w:val="single" w:color="auto" w:sz="4" w:space="0"/>
            </w:tcBorders>
            <w:vAlign w:val="center"/>
          </w:tcPr>
          <w:p w14:paraId="5FE6DE82">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5FC851F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 系 人</w:t>
            </w:r>
          </w:p>
        </w:tc>
        <w:tc>
          <w:tcPr>
            <w:tcW w:w="1259" w:type="pct"/>
            <w:tcBorders>
              <w:top w:val="single" w:color="auto" w:sz="2" w:space="0"/>
              <w:left w:val="single" w:color="auto" w:sz="4" w:space="0"/>
              <w:bottom w:val="single" w:color="auto" w:sz="2" w:space="0"/>
              <w:right w:val="single" w:color="auto" w:sz="4" w:space="0"/>
            </w:tcBorders>
            <w:vAlign w:val="center"/>
          </w:tcPr>
          <w:p w14:paraId="4B28ACEE">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6C9133B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6DCA405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联系电话</w:t>
            </w:r>
          </w:p>
        </w:tc>
        <w:tc>
          <w:tcPr>
            <w:tcW w:w="1436" w:type="pct"/>
            <w:tcBorders>
              <w:top w:val="single" w:color="auto" w:sz="2" w:space="0"/>
              <w:left w:val="single" w:color="auto" w:sz="4" w:space="0"/>
              <w:bottom w:val="single" w:color="auto" w:sz="2" w:space="0"/>
              <w:right w:val="single" w:color="auto" w:sz="4" w:space="0"/>
            </w:tcBorders>
            <w:vAlign w:val="center"/>
          </w:tcPr>
          <w:p w14:paraId="1F0EB98D">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2B3A363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联系电话</w:t>
            </w:r>
          </w:p>
        </w:tc>
        <w:tc>
          <w:tcPr>
            <w:tcW w:w="1259" w:type="pct"/>
            <w:tcBorders>
              <w:top w:val="single" w:color="auto" w:sz="2" w:space="0"/>
              <w:left w:val="single" w:color="auto" w:sz="4" w:space="0"/>
              <w:bottom w:val="single" w:color="auto" w:sz="2" w:space="0"/>
              <w:right w:val="single" w:color="auto" w:sz="4" w:space="0"/>
            </w:tcBorders>
            <w:vAlign w:val="center"/>
          </w:tcPr>
          <w:p w14:paraId="2E970F65">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66933C0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4298125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通信地址</w:t>
            </w:r>
          </w:p>
        </w:tc>
        <w:tc>
          <w:tcPr>
            <w:tcW w:w="1436" w:type="pct"/>
            <w:tcBorders>
              <w:top w:val="single" w:color="auto" w:sz="2" w:space="0"/>
              <w:left w:val="single" w:color="auto" w:sz="4" w:space="0"/>
              <w:bottom w:val="single" w:color="auto" w:sz="2" w:space="0"/>
              <w:right w:val="single" w:color="auto" w:sz="4" w:space="0"/>
            </w:tcBorders>
            <w:vAlign w:val="center"/>
          </w:tcPr>
          <w:p w14:paraId="2B4CFE9F">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45CC648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通信地址</w:t>
            </w:r>
          </w:p>
        </w:tc>
        <w:tc>
          <w:tcPr>
            <w:tcW w:w="1259" w:type="pct"/>
            <w:tcBorders>
              <w:top w:val="single" w:color="auto" w:sz="2" w:space="0"/>
              <w:left w:val="single" w:color="auto" w:sz="4" w:space="0"/>
              <w:bottom w:val="single" w:color="auto" w:sz="2" w:space="0"/>
              <w:right w:val="single" w:color="auto" w:sz="4" w:space="0"/>
            </w:tcBorders>
            <w:vAlign w:val="center"/>
          </w:tcPr>
          <w:p w14:paraId="543A0ECF">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298016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223DF16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邮政编码</w:t>
            </w:r>
          </w:p>
        </w:tc>
        <w:tc>
          <w:tcPr>
            <w:tcW w:w="1436" w:type="pct"/>
            <w:tcBorders>
              <w:top w:val="single" w:color="auto" w:sz="2" w:space="0"/>
              <w:left w:val="single" w:color="auto" w:sz="4" w:space="0"/>
              <w:bottom w:val="single" w:color="auto" w:sz="2" w:space="0"/>
              <w:right w:val="single" w:color="auto" w:sz="4" w:space="0"/>
            </w:tcBorders>
            <w:vAlign w:val="center"/>
          </w:tcPr>
          <w:p w14:paraId="747F77AE">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260CD4A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邮政编码</w:t>
            </w:r>
          </w:p>
        </w:tc>
        <w:tc>
          <w:tcPr>
            <w:tcW w:w="1259" w:type="pct"/>
            <w:tcBorders>
              <w:top w:val="single" w:color="auto" w:sz="2" w:space="0"/>
              <w:left w:val="single" w:color="auto" w:sz="4" w:space="0"/>
              <w:bottom w:val="single" w:color="auto" w:sz="2" w:space="0"/>
              <w:right w:val="single" w:color="auto" w:sz="4" w:space="0"/>
            </w:tcBorders>
            <w:vAlign w:val="center"/>
          </w:tcPr>
          <w:p w14:paraId="7A4A8C09">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5B2B95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62292E3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电子邮箱</w:t>
            </w:r>
          </w:p>
        </w:tc>
        <w:tc>
          <w:tcPr>
            <w:tcW w:w="1436" w:type="pct"/>
            <w:tcBorders>
              <w:top w:val="single" w:color="auto" w:sz="2" w:space="0"/>
              <w:left w:val="single" w:color="auto" w:sz="4" w:space="0"/>
              <w:bottom w:val="single" w:color="auto" w:sz="2" w:space="0"/>
              <w:right w:val="single" w:color="auto" w:sz="4" w:space="0"/>
            </w:tcBorders>
            <w:vAlign w:val="center"/>
          </w:tcPr>
          <w:p w14:paraId="323306DC">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3811CEA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电子邮箱</w:t>
            </w:r>
          </w:p>
        </w:tc>
        <w:tc>
          <w:tcPr>
            <w:tcW w:w="1259" w:type="pct"/>
            <w:tcBorders>
              <w:top w:val="single" w:color="auto" w:sz="2" w:space="0"/>
              <w:left w:val="single" w:color="auto" w:sz="4" w:space="0"/>
              <w:bottom w:val="single" w:color="auto" w:sz="2" w:space="0"/>
              <w:right w:val="single" w:color="auto" w:sz="4" w:space="0"/>
            </w:tcBorders>
            <w:vAlign w:val="center"/>
          </w:tcPr>
          <w:p w14:paraId="1CE46CB3">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0BAA47B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13CEEAE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统一社会信用代码</w:t>
            </w:r>
          </w:p>
        </w:tc>
        <w:tc>
          <w:tcPr>
            <w:tcW w:w="1436" w:type="pct"/>
            <w:tcBorders>
              <w:top w:val="single" w:color="auto" w:sz="2" w:space="0"/>
              <w:left w:val="single" w:color="auto" w:sz="4" w:space="0"/>
              <w:bottom w:val="single" w:color="auto" w:sz="2" w:space="0"/>
              <w:right w:val="single" w:color="auto" w:sz="4" w:space="0"/>
            </w:tcBorders>
            <w:vAlign w:val="center"/>
          </w:tcPr>
          <w:p w14:paraId="4753041F">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0773B00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统一社会信用代码</w:t>
            </w:r>
          </w:p>
        </w:tc>
        <w:tc>
          <w:tcPr>
            <w:tcW w:w="1259" w:type="pct"/>
            <w:tcBorders>
              <w:top w:val="single" w:color="auto" w:sz="2" w:space="0"/>
              <w:left w:val="single" w:color="auto" w:sz="4" w:space="0"/>
              <w:bottom w:val="single" w:color="auto" w:sz="2" w:space="0"/>
              <w:right w:val="single" w:color="auto" w:sz="4" w:space="0"/>
            </w:tcBorders>
            <w:vAlign w:val="center"/>
          </w:tcPr>
          <w:p w14:paraId="3E7A70B1">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5033FEC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0484205A">
            <w:pPr>
              <w:adjustRightInd w:val="0"/>
              <w:snapToGrid w:val="0"/>
              <w:spacing w:line="360" w:lineRule="auto"/>
              <w:jc w:val="center"/>
              <w:rPr>
                <w:rFonts w:hint="eastAsia" w:ascii="宋体" w:hAnsi="宋体" w:eastAsia="宋体" w:cs="宋体"/>
                <w:color w:val="auto"/>
                <w:sz w:val="24"/>
                <w:szCs w:val="24"/>
                <w:highlight w:val="none"/>
              </w:rPr>
            </w:pPr>
          </w:p>
        </w:tc>
        <w:tc>
          <w:tcPr>
            <w:tcW w:w="1436" w:type="pct"/>
            <w:tcBorders>
              <w:top w:val="single" w:color="auto" w:sz="2" w:space="0"/>
              <w:left w:val="single" w:color="auto" w:sz="4" w:space="0"/>
              <w:bottom w:val="single" w:color="auto" w:sz="2" w:space="0"/>
              <w:right w:val="single" w:color="auto" w:sz="4" w:space="0"/>
            </w:tcBorders>
            <w:vAlign w:val="center"/>
          </w:tcPr>
          <w:p w14:paraId="23AF059C">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53F04D2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开户名称</w:t>
            </w:r>
          </w:p>
        </w:tc>
        <w:tc>
          <w:tcPr>
            <w:tcW w:w="1259" w:type="pct"/>
            <w:tcBorders>
              <w:top w:val="single" w:color="auto" w:sz="2" w:space="0"/>
              <w:left w:val="single" w:color="auto" w:sz="4" w:space="0"/>
              <w:bottom w:val="single" w:color="auto" w:sz="2" w:space="0"/>
              <w:right w:val="single" w:color="auto" w:sz="4" w:space="0"/>
            </w:tcBorders>
            <w:vAlign w:val="center"/>
          </w:tcPr>
          <w:p w14:paraId="2331B3ED">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1DE7036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20B566BE">
            <w:pPr>
              <w:adjustRightInd w:val="0"/>
              <w:snapToGrid w:val="0"/>
              <w:spacing w:line="360" w:lineRule="auto"/>
              <w:jc w:val="center"/>
              <w:rPr>
                <w:rFonts w:hint="eastAsia" w:ascii="宋体" w:hAnsi="宋体" w:eastAsia="宋体" w:cs="宋体"/>
                <w:color w:val="auto"/>
                <w:sz w:val="24"/>
                <w:szCs w:val="24"/>
                <w:highlight w:val="none"/>
              </w:rPr>
            </w:pPr>
          </w:p>
        </w:tc>
        <w:tc>
          <w:tcPr>
            <w:tcW w:w="1436" w:type="pct"/>
            <w:tcBorders>
              <w:top w:val="single" w:color="auto" w:sz="2" w:space="0"/>
              <w:left w:val="single" w:color="auto" w:sz="4" w:space="0"/>
              <w:bottom w:val="single" w:color="auto" w:sz="2" w:space="0"/>
              <w:right w:val="single" w:color="auto" w:sz="4" w:space="0"/>
            </w:tcBorders>
            <w:vAlign w:val="center"/>
          </w:tcPr>
          <w:p w14:paraId="1E5396CD">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2" w:space="0"/>
              <w:right w:val="single" w:color="auto" w:sz="4" w:space="0"/>
            </w:tcBorders>
            <w:vAlign w:val="center"/>
          </w:tcPr>
          <w:p w14:paraId="3AB9D76D">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开户银行</w:t>
            </w:r>
          </w:p>
        </w:tc>
        <w:tc>
          <w:tcPr>
            <w:tcW w:w="1259" w:type="pct"/>
            <w:tcBorders>
              <w:top w:val="single" w:color="auto" w:sz="2" w:space="0"/>
              <w:left w:val="single" w:color="auto" w:sz="4" w:space="0"/>
              <w:bottom w:val="single" w:color="auto" w:sz="2" w:space="0"/>
              <w:right w:val="single" w:color="auto" w:sz="4" w:space="0"/>
            </w:tcBorders>
            <w:vAlign w:val="center"/>
          </w:tcPr>
          <w:p w14:paraId="653064FD">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5AE1E9C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4" w:space="0"/>
            </w:tcBorders>
            <w:vAlign w:val="center"/>
          </w:tcPr>
          <w:p w14:paraId="59906E1A">
            <w:pPr>
              <w:adjustRightInd w:val="0"/>
              <w:snapToGrid w:val="0"/>
              <w:spacing w:line="360" w:lineRule="auto"/>
              <w:jc w:val="center"/>
              <w:rPr>
                <w:rFonts w:hint="eastAsia" w:ascii="宋体" w:hAnsi="宋体" w:eastAsia="宋体" w:cs="宋体"/>
                <w:color w:val="auto"/>
                <w:sz w:val="24"/>
                <w:szCs w:val="24"/>
                <w:highlight w:val="none"/>
              </w:rPr>
            </w:pPr>
          </w:p>
        </w:tc>
        <w:tc>
          <w:tcPr>
            <w:tcW w:w="1436" w:type="pct"/>
            <w:tcBorders>
              <w:top w:val="single" w:color="auto" w:sz="2" w:space="0"/>
              <w:left w:val="single" w:color="auto" w:sz="4" w:space="0"/>
              <w:bottom w:val="single" w:color="auto" w:sz="4" w:space="0"/>
              <w:right w:val="single" w:color="auto" w:sz="4" w:space="0"/>
            </w:tcBorders>
            <w:vAlign w:val="center"/>
          </w:tcPr>
          <w:p w14:paraId="625FFFFD">
            <w:pPr>
              <w:adjustRightInd w:val="0"/>
              <w:snapToGrid w:val="0"/>
              <w:spacing w:line="360" w:lineRule="auto"/>
              <w:jc w:val="center"/>
              <w:rPr>
                <w:rFonts w:hint="eastAsia" w:ascii="宋体" w:hAnsi="宋体" w:eastAsia="宋体" w:cs="宋体"/>
                <w:color w:val="auto"/>
                <w:sz w:val="24"/>
                <w:szCs w:val="24"/>
                <w:highlight w:val="none"/>
              </w:rPr>
            </w:pPr>
          </w:p>
        </w:tc>
        <w:tc>
          <w:tcPr>
            <w:tcW w:w="1177" w:type="pct"/>
            <w:tcBorders>
              <w:top w:val="single" w:color="auto" w:sz="2" w:space="0"/>
              <w:left w:val="single" w:color="auto" w:sz="4" w:space="0"/>
              <w:bottom w:val="single" w:color="auto" w:sz="4" w:space="0"/>
              <w:right w:val="single" w:color="auto" w:sz="4" w:space="0"/>
            </w:tcBorders>
            <w:vAlign w:val="center"/>
          </w:tcPr>
          <w:p w14:paraId="2A68E04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银行账号</w:t>
            </w:r>
          </w:p>
        </w:tc>
        <w:tc>
          <w:tcPr>
            <w:tcW w:w="1259" w:type="pct"/>
            <w:tcBorders>
              <w:top w:val="single" w:color="auto" w:sz="2" w:space="0"/>
              <w:left w:val="single" w:color="auto" w:sz="4" w:space="0"/>
              <w:bottom w:val="single" w:color="auto" w:sz="2" w:space="0"/>
              <w:right w:val="single" w:color="auto" w:sz="4" w:space="0"/>
            </w:tcBorders>
            <w:vAlign w:val="center"/>
          </w:tcPr>
          <w:p w14:paraId="5EAC3833">
            <w:pPr>
              <w:adjustRightInd w:val="0"/>
              <w:snapToGrid w:val="0"/>
              <w:spacing w:line="360" w:lineRule="auto"/>
              <w:jc w:val="center"/>
              <w:rPr>
                <w:rFonts w:hint="eastAsia" w:ascii="宋体" w:hAnsi="宋体" w:eastAsia="宋体" w:cs="宋体"/>
                <w:color w:val="auto"/>
                <w:spacing w:val="20"/>
                <w:sz w:val="24"/>
                <w:szCs w:val="24"/>
                <w:highlight w:val="none"/>
              </w:rPr>
            </w:pPr>
          </w:p>
        </w:tc>
      </w:tr>
      <w:tr w14:paraId="26EAAD0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2BFE4D20">
            <w:pPr>
              <w:pStyle w:val="22"/>
              <w:adjustRightInd w:val="0"/>
              <w:snapToGrid w:val="0"/>
              <w:spacing w:before="156" w:beforeLines="50" w:beforeAutospacing="0" w:after="0" w:afterAutospacing="0" w:line="360" w:lineRule="auto"/>
              <w:rPr>
                <w:rFonts w:hint="eastAsia" w:ascii="宋体" w:hAnsi="宋体" w:eastAsia="宋体" w:cs="宋体"/>
                <w:color w:val="auto"/>
                <w:spacing w:val="20"/>
                <w:kern w:val="2"/>
                <w:szCs w:val="24"/>
                <w:highlight w:val="none"/>
              </w:rPr>
            </w:pPr>
            <w:r>
              <w:rPr>
                <w:rFonts w:hint="eastAsia" w:ascii="宋体" w:hAnsi="宋体" w:eastAsia="宋体" w:cs="宋体"/>
                <w:color w:val="auto"/>
                <w:kern w:val="2"/>
                <w:szCs w:val="24"/>
                <w:highlight w:val="none"/>
                <w:lang w:bidi="ar"/>
              </w:rPr>
              <w:t>注：涉及联合体或其他合同主体的信息应按上表格式加列。</w:t>
            </w:r>
          </w:p>
        </w:tc>
      </w:tr>
    </w:tbl>
    <w:p w14:paraId="14D10842">
      <w:pPr>
        <w:spacing w:line="360" w:lineRule="auto"/>
        <w:jc w:val="center"/>
        <w:outlineLvl w:val="1"/>
        <w:rPr>
          <w:rFonts w:hint="eastAsia" w:ascii="宋体" w:hAnsi="宋体" w:eastAsia="宋体" w:cs="宋体"/>
          <w:b/>
          <w:color w:val="auto"/>
          <w:sz w:val="24"/>
          <w:szCs w:val="24"/>
          <w:highlight w:val="none"/>
          <w:lang w:bidi="ar"/>
        </w:rPr>
      </w:pPr>
      <w:r>
        <w:rPr>
          <w:rFonts w:hint="eastAsia"/>
          <w:color w:val="auto"/>
          <w:highlight w:val="none"/>
          <w:u w:val="single"/>
        </w:rPr>
        <w:br w:type="page"/>
      </w:r>
      <w:r>
        <w:rPr>
          <w:rFonts w:hint="eastAsia" w:ascii="宋体" w:hAnsi="宋体" w:eastAsia="宋体" w:cs="宋体"/>
          <w:b/>
          <w:color w:val="auto"/>
          <w:sz w:val="24"/>
          <w:szCs w:val="24"/>
          <w:highlight w:val="none"/>
          <w:lang w:bidi="ar"/>
        </w:rPr>
        <w:t>第二节 政府采购合同通用条款</w:t>
      </w:r>
    </w:p>
    <w:p w14:paraId="73E2CE7A">
      <w:pPr>
        <w:tabs>
          <w:tab w:val="left" w:pos="8820"/>
          <w:tab w:val="left" w:pos="9345"/>
          <w:tab w:val="left" w:pos="9765"/>
        </w:tabs>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bidi="ar"/>
        </w:rPr>
        <w:t xml:space="preserve">1. </w:t>
      </w:r>
      <w:r>
        <w:rPr>
          <w:rFonts w:hint="eastAsia" w:ascii="宋体" w:hAnsi="宋体" w:eastAsia="宋体" w:cs="宋体"/>
          <w:b/>
          <w:bCs/>
          <w:color w:val="auto"/>
          <w:sz w:val="24"/>
          <w:szCs w:val="24"/>
          <w:highlight w:val="none"/>
          <w:lang w:bidi="ar"/>
        </w:rPr>
        <w:t>定义</w:t>
      </w:r>
    </w:p>
    <w:p w14:paraId="7BA1F8A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1.1合同当事人</w:t>
      </w:r>
    </w:p>
    <w:p w14:paraId="0FB2F16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（1）采购人（以下称甲方）是指使用财政性资金，通过政府采购方式向供应商购买货物及其相关服务的国家机关、事业单位、团体组织。</w:t>
      </w:r>
    </w:p>
    <w:p w14:paraId="0A240F5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（2）供应商（以下称乙方）是指参加政府采购活动并且中标（成交），向采购人提供合同约定的货物及其相关服务的法人、非法人组织或者自然人。</w:t>
      </w:r>
    </w:p>
    <w:p w14:paraId="1C40602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（3）其他合同主体是指除采购人和供应商以外，</w:t>
      </w:r>
      <w:r>
        <w:rPr>
          <w:rFonts w:hint="eastAsia" w:ascii="宋体" w:hAnsi="宋体" w:eastAsia="宋体" w:cs="宋体"/>
          <w:bCs/>
          <w:color w:val="auto"/>
          <w:sz w:val="24"/>
          <w:szCs w:val="24"/>
          <w:highlight w:val="none"/>
          <w:lang w:bidi="ar"/>
        </w:rPr>
        <w:t>依法参与合同缔结或履行，享有权利、承担义务的合同当事人</w:t>
      </w:r>
      <w:r>
        <w:rPr>
          <w:rFonts w:hint="eastAsia" w:ascii="宋体" w:hAnsi="宋体" w:eastAsia="宋体" w:cs="宋体"/>
          <w:color w:val="auto"/>
          <w:sz w:val="24"/>
          <w:szCs w:val="24"/>
          <w:highlight w:val="none"/>
          <w:lang w:bidi="ar"/>
        </w:rPr>
        <w:t>。</w:t>
      </w:r>
    </w:p>
    <w:p w14:paraId="76ACBF41">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1.2本合同下列术语应解释为：</w:t>
      </w:r>
    </w:p>
    <w:p w14:paraId="17612B07">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（1）“合同”系指</w:t>
      </w:r>
      <w:r>
        <w:rPr>
          <w:rFonts w:hint="eastAsia" w:ascii="宋体" w:hAnsi="宋体" w:eastAsia="宋体" w:cs="宋体"/>
          <w:bCs/>
          <w:color w:val="auto"/>
          <w:sz w:val="24"/>
          <w:szCs w:val="24"/>
          <w:highlight w:val="none"/>
          <w:lang w:bidi="ar"/>
        </w:rPr>
        <w:t>合同当事人意思表示达成一致的任何协议，包括签署的</w:t>
      </w:r>
      <w:r>
        <w:rPr>
          <w:rFonts w:hint="eastAsia" w:ascii="宋体" w:hAnsi="宋体" w:eastAsia="宋体" w:cs="宋体"/>
          <w:color w:val="auto"/>
          <w:sz w:val="24"/>
          <w:szCs w:val="24"/>
          <w:highlight w:val="none"/>
          <w:lang w:bidi="ar"/>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3C65D0BF">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（2）“合同价款”系指根据本合同规定乙方在全面履行合同义务后甲方应支付给乙方的价款。</w:t>
      </w:r>
    </w:p>
    <w:p w14:paraId="3C7DED14">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（3）“货物”系指乙方根据本合同规定须向甲方提供的各种形态和种类的物品，包括原材料、设备、产品（包括软件）及相关的其备品备件、工具、手册及其他技术资料和材料等。</w:t>
      </w:r>
    </w:p>
    <w:p w14:paraId="32CD7503">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相关服务”系指根据合同规定，乙方应提供的与货物有关的技术、管理和其他服务，包括但不限于：管理和质量保证、运输、保险、检验、现场准备、安装、集成、调试、培训、维修、废弃处置、技术支持等以及合同中规定乙方应承担的其他义务。</w:t>
      </w:r>
    </w:p>
    <w:p w14:paraId="1CC642F8">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（5）“分包”系指中标（成交）供应商按采购文件、投标（响应）文件的规定，根据分包意向协议，将中标（成交）项目中的部分履约内容，分给具有相应资质条件的供应商履行合同的行为。</w:t>
      </w:r>
    </w:p>
    <w:p w14:paraId="30A7029F">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w:t>
      </w:r>
    </w:p>
    <w:p w14:paraId="1A2361C7">
      <w:pPr>
        <w:tabs>
          <w:tab w:val="left" w:pos="570"/>
          <w:tab w:val="left" w:pos="9240"/>
          <w:tab w:val="left" w:pos="9555"/>
        </w:tabs>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（7）其他术语解释，见【</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w:t>
      </w:r>
    </w:p>
    <w:p w14:paraId="2CADB207">
      <w:pPr>
        <w:numPr>
          <w:ilvl w:val="0"/>
          <w:numId w:val="6"/>
        </w:num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lang w:bidi="ar"/>
        </w:rPr>
        <w:t>合同标的及金额</w:t>
      </w:r>
    </w:p>
    <w:p w14:paraId="1F613B1A">
      <w:pPr>
        <w:autoSpaceDE w:val="0"/>
        <w:autoSpaceDN w:val="0"/>
        <w:adjustRightInd w:val="0"/>
        <w:snapToGrid w:val="0"/>
        <w:spacing w:line="360" w:lineRule="auto"/>
        <w:ind w:firstLine="480" w:firstLineChars="200"/>
        <w:jc w:val="left"/>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lang w:bidi="ar"/>
        </w:rPr>
        <w:t>2.1 合同标的及金额应与中标（成交）结果一致。乙方为履行本合同而发生的所有费用均应包含在合同价款中，甲方不再另行支付其他任何费用。</w:t>
      </w:r>
    </w:p>
    <w:p w14:paraId="213B46C4">
      <w:pPr>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3. 履行合同的时间、地点和方式</w:t>
      </w:r>
    </w:p>
    <w:p w14:paraId="5970D6B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3.1 乙方应当在约定的时间、地点，按照约定方式履行合同。</w:t>
      </w:r>
    </w:p>
    <w:p w14:paraId="1BEB754B">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4. 甲方的权利和义务</w:t>
      </w:r>
    </w:p>
    <w:p w14:paraId="38A75F6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4.1 签署合同后，甲方应确定项目负责人（或项目联系人），负责与本合同有关的事务。甲方有权对乙方的履约行为进行检查，并及时确认乙方提交的事项。甲方应当配合乙方完成相关项目实施工作。</w:t>
      </w:r>
    </w:p>
    <w:p w14:paraId="7EB8959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4.2 甲方有权要求乙方按时提交各阶段有关安排计划，并有权定期核对乙方提供货物数量、规格、质量等内容。甲方有权督促乙方工作并要求乙方更换不符合要求的货物。</w:t>
      </w:r>
    </w:p>
    <w:p w14:paraId="1F3F811A">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4.3 甲方有权要求乙方对缺陷部分予以修复，并按合同约定享有货物保修及其他合同约定的权利。</w:t>
      </w:r>
    </w:p>
    <w:p w14:paraId="2CF7B673">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4.4 甲方应当按照合同约定及时对交付的货物进行验收，未在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约定的期限内对乙方履约提出任何异议或者向乙方作出任何说明的，视为验收通过。</w:t>
      </w:r>
    </w:p>
    <w:p w14:paraId="788F8B0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4.5 甲方应当根据合同约定及时向乙方支付合同价款，不得以内部人员变更、履行内部付款流程等为由，拒绝或迟延支付。</w:t>
      </w:r>
    </w:p>
    <w:p w14:paraId="111191F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4.6 国家法律法规规定及</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约定应由甲方承担的其他义务和责任。</w:t>
      </w:r>
    </w:p>
    <w:p w14:paraId="6B02FF13">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5. 乙方的权利和义务</w:t>
      </w:r>
    </w:p>
    <w:p w14:paraId="5946388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5.1 签署合同后，乙方应确定项目负责人（或项目联系人），负责与本合同有关的事务。</w:t>
      </w:r>
    </w:p>
    <w:p w14:paraId="3ABC9C1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4AF13A70">
      <w:pPr>
        <w:pStyle w:val="22"/>
        <w:spacing w:before="0" w:after="0" w:afterAutospacing="0" w:line="360" w:lineRule="auto"/>
        <w:ind w:firstLine="422" w:firstLineChars="176"/>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5.3乙方有权根据合同约定向甲方收取合同价款。</w:t>
      </w:r>
    </w:p>
    <w:p w14:paraId="697F4A27">
      <w:pPr>
        <w:pStyle w:val="22"/>
        <w:spacing w:before="0" w:after="0" w:afterAutospacing="0" w:line="360" w:lineRule="auto"/>
        <w:ind w:firstLine="422" w:firstLineChars="176"/>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5.4国家法律法规规定及</w:t>
      </w:r>
      <w:r>
        <w:rPr>
          <w:rFonts w:hint="eastAsia" w:ascii="宋体" w:hAnsi="宋体" w:eastAsia="宋体" w:cs="宋体"/>
          <w:b/>
          <w:bCs/>
          <w:color w:val="auto"/>
          <w:kern w:val="2"/>
          <w:szCs w:val="24"/>
          <w:highlight w:val="none"/>
          <w:lang w:bidi="ar"/>
        </w:rPr>
        <w:t>【政府采购合同专用条款】</w:t>
      </w:r>
      <w:r>
        <w:rPr>
          <w:rFonts w:hint="eastAsia" w:ascii="宋体" w:hAnsi="宋体" w:eastAsia="宋体" w:cs="宋体"/>
          <w:color w:val="auto"/>
          <w:kern w:val="2"/>
          <w:szCs w:val="24"/>
          <w:highlight w:val="none"/>
          <w:lang w:bidi="ar"/>
        </w:rPr>
        <w:t>约定应由乙方承担的其他义务和责任。</w:t>
      </w:r>
    </w:p>
    <w:p w14:paraId="4D0E8FC3">
      <w:pPr>
        <w:numPr>
          <w:ilvl w:val="0"/>
          <w:numId w:val="7"/>
        </w:num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合同履行</w:t>
      </w:r>
    </w:p>
    <w:p w14:paraId="2AB8918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6.1 甲乙双方应当按照</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约定顺序履行合同义务；如果没有先后顺序的，应当同时履行。</w:t>
      </w:r>
    </w:p>
    <w:p w14:paraId="3949C21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6.2 甲乙双方按照合同约定顺序履行合同义务时，应当先履行一方未履行的，后履行一方有权拒绝其履行请求。先履行一方履行不符合约定的，后履行一方有权拒绝其相应的履行请求。</w:t>
      </w:r>
    </w:p>
    <w:p w14:paraId="70FAAA43">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7. 货物包装、运输、保险和交付要求</w:t>
      </w:r>
    </w:p>
    <w:p w14:paraId="108EE71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7.1 本合同</w:t>
      </w:r>
      <w:r>
        <w:rPr>
          <w:rFonts w:hint="eastAsia" w:ascii="宋体" w:hAnsi="宋体" w:eastAsia="宋体" w:cs="宋体"/>
          <w:bCs/>
          <w:color w:val="auto"/>
          <w:sz w:val="24"/>
          <w:szCs w:val="24"/>
          <w:highlight w:val="none"/>
          <w:lang w:bidi="ar"/>
        </w:rPr>
        <w:t>涉及商品包装、快递包装的，</w:t>
      </w:r>
      <w:r>
        <w:rPr>
          <w:rFonts w:hint="eastAsia" w:ascii="宋体" w:hAnsi="宋体" w:eastAsia="宋体" w:cs="宋体"/>
          <w:color w:val="auto"/>
          <w:sz w:val="24"/>
          <w:szCs w:val="24"/>
          <w:highlight w:val="none"/>
          <w:lang w:bidi="ar"/>
        </w:rPr>
        <w:t>除</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另有约定外，</w:t>
      </w:r>
      <w:r>
        <w:rPr>
          <w:rFonts w:hint="eastAsia" w:ascii="宋体" w:hAnsi="宋体" w:eastAsia="宋体" w:cs="宋体"/>
          <w:color w:val="auto"/>
          <w:sz w:val="24"/>
          <w:szCs w:val="24"/>
          <w:highlight w:val="none"/>
          <w:lang w:bidi="ar"/>
        </w:rPr>
        <w:t>包装应适应远距离运输、防潮、防震、防锈和防野蛮装卸等要求，确保货物安全无损地运抵</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约定的</w:t>
      </w:r>
      <w:r>
        <w:rPr>
          <w:rFonts w:hint="eastAsia" w:ascii="宋体" w:hAnsi="宋体" w:eastAsia="宋体" w:cs="宋体"/>
          <w:color w:val="auto"/>
          <w:sz w:val="24"/>
          <w:szCs w:val="24"/>
          <w:highlight w:val="none"/>
          <w:lang w:bidi="ar"/>
        </w:rPr>
        <w:t>指定现场。</w:t>
      </w:r>
    </w:p>
    <w:p w14:paraId="72BC345E">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7.2 除</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另有约定外，</w:t>
      </w:r>
      <w:r>
        <w:rPr>
          <w:rFonts w:hint="eastAsia" w:ascii="宋体" w:hAnsi="宋体" w:eastAsia="宋体" w:cs="宋体"/>
          <w:color w:val="auto"/>
          <w:sz w:val="24"/>
          <w:szCs w:val="24"/>
          <w:highlight w:val="none"/>
          <w:lang w:bidi="ar"/>
        </w:rPr>
        <w:t>乙方负责办理将货物运抵本合同规定的交货地点，并装卸、交付至甲方的一切运输事项，相关费用应包含在合同价款中。</w:t>
      </w:r>
    </w:p>
    <w:p w14:paraId="32E7C19F">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7.3 货物保险要求按</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规定执行</w:t>
      </w:r>
      <w:r>
        <w:rPr>
          <w:rFonts w:hint="eastAsia" w:ascii="宋体" w:hAnsi="宋体" w:eastAsia="宋体" w:cs="宋体"/>
          <w:color w:val="auto"/>
          <w:sz w:val="24"/>
          <w:szCs w:val="24"/>
          <w:highlight w:val="none"/>
          <w:lang w:bidi="ar"/>
        </w:rPr>
        <w:t>。</w:t>
      </w:r>
    </w:p>
    <w:p w14:paraId="70A4191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03F4CE4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7.5 乙方在运输到达之前应提前通知甲方，并提示货物运输装卸的注意事项，甲方配合乙方做好货物的接收工作。</w:t>
      </w:r>
    </w:p>
    <w:p w14:paraId="3837845B">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kern w:val="2"/>
          <w:szCs w:val="24"/>
          <w:highlight w:val="none"/>
          <w:lang w:bidi="ar"/>
        </w:rPr>
        <w:t>7.6 如因包装、运输问题导致货物损毁、丢失或者品质下降，甲方有权要求降价、换货、拒收部分或整批货物，由此产生的费用和损失，均由乙方承担。</w:t>
      </w:r>
    </w:p>
    <w:p w14:paraId="39FEDEBD">
      <w:pPr>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8. 质量标准和保证</w:t>
      </w:r>
    </w:p>
    <w:p w14:paraId="1D303D7C">
      <w:pPr>
        <w:pStyle w:val="22"/>
        <w:adjustRightInd w:val="0"/>
        <w:snapToGrid w:val="0"/>
        <w:spacing w:before="0" w:beforeAutospacing="0" w:after="0" w:afterAutospacing="0" w:line="360" w:lineRule="auto"/>
        <w:ind w:firstLine="480" w:firstLineChars="200"/>
        <w:rPr>
          <w:rFonts w:hint="eastAsia" w:ascii="宋体" w:hAnsi="宋体" w:eastAsia="宋体" w:cs="宋体"/>
          <w:b/>
          <w:color w:val="auto"/>
          <w:kern w:val="2"/>
          <w:szCs w:val="24"/>
          <w:highlight w:val="none"/>
        </w:rPr>
      </w:pPr>
      <w:r>
        <w:rPr>
          <w:rFonts w:hint="eastAsia" w:ascii="宋体" w:hAnsi="宋体" w:eastAsia="宋体" w:cs="宋体"/>
          <w:color w:val="auto"/>
          <w:kern w:val="2"/>
          <w:szCs w:val="24"/>
          <w:highlight w:val="none"/>
          <w:lang w:bidi="ar"/>
        </w:rPr>
        <w:t>8.1 质量标准</w:t>
      </w:r>
    </w:p>
    <w:p w14:paraId="0EE04C4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4CF71B03">
      <w:pPr>
        <w:pStyle w:val="22"/>
        <w:adjustRightInd w:val="0"/>
        <w:snapToGrid w:val="0"/>
        <w:spacing w:before="0" w:beforeAutospacing="0" w:after="0" w:afterAutospacing="0"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（2）采用中华人民共和国法定计量单位。</w:t>
      </w:r>
    </w:p>
    <w:p w14:paraId="10BF05D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（3）乙方所提供的货物应符合国家有关安全、环保、卫生的规定。</w:t>
      </w:r>
    </w:p>
    <w:p w14:paraId="3901ECC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（4）乙方应向甲方提交所提供货物的技术文件，包括相应的中文技术文件，如：产品目录、图纸、操作手册、使用说明、维护手册或服务指南等。上述文件应包装好随货物一同发运。</w:t>
      </w:r>
    </w:p>
    <w:p w14:paraId="2E9F52B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8.2 保证</w:t>
      </w:r>
    </w:p>
    <w:p w14:paraId="4D0EC16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规定或乙方书面承诺（两者以较长的为准）的质量保证期内，本保证保持有效。</w:t>
      </w:r>
    </w:p>
    <w:p w14:paraId="106D787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（2）在质量保证期内所发现的缺陷，甲方应尽快以书面形式通知乙方。</w:t>
      </w:r>
    </w:p>
    <w:p w14:paraId="5210A7F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（3）乙方收到通知后，应在</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规定的响应时间内以合理的速度免费维修或更换有缺陷的货物或部件。</w:t>
      </w:r>
    </w:p>
    <w:p w14:paraId="6B38D75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（4）在质量保证期内，如果货物的质量或规格与合同不符，或证实货物是有缺陷的，包括潜在的缺陷或使用不符合要求的材料等，甲方可以根据本合同第15.1条规定以书面形式追究乙方的违约责任。</w:t>
      </w:r>
    </w:p>
    <w:p w14:paraId="39E370EB">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（5）乙方在约定的时间内未能弥补缺陷，甲方可采取必要的补救措施，但其风险和费用将由乙方承担，甲方根据合同约定对乙方行使的其他权利不受影响。</w:t>
      </w:r>
    </w:p>
    <w:p w14:paraId="6433D4BD">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9. 权利瑕疵担保</w:t>
      </w:r>
    </w:p>
    <w:p w14:paraId="6D79D4F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9.1 乙方保证对其出售的货物享有合法的权利。</w:t>
      </w:r>
    </w:p>
    <w:p w14:paraId="07EBC5B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9.2 乙方保证在交付的货物上不存在抵押权等担保物权。</w:t>
      </w:r>
    </w:p>
    <w:p w14:paraId="56CAADED">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9.3 如甲方使用上述货物构成对第三人侵权的，则由乙方承担全部责任。</w:t>
      </w:r>
    </w:p>
    <w:p w14:paraId="56262837">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10. 知识产权保护</w:t>
      </w:r>
    </w:p>
    <w:p w14:paraId="7E0DF38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10.1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2462338B">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11. 保密义务</w:t>
      </w:r>
    </w:p>
    <w:p w14:paraId="6F49EEF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中约定。</w:t>
      </w:r>
    </w:p>
    <w:p w14:paraId="60C76927">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12. 合同价款支付</w:t>
      </w:r>
    </w:p>
    <w:p w14:paraId="69928B1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12.1 合同价款支付按照国库集中支付制度及财政管理相关规定执行。</w:t>
      </w:r>
    </w:p>
    <w:p w14:paraId="571F6B3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12.2 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】中约定。</w:t>
      </w:r>
    </w:p>
    <w:p w14:paraId="605A54AC">
      <w:pPr>
        <w:pStyle w:val="22"/>
        <w:spacing w:before="0" w:after="0" w:afterAutospacing="0" w:line="360" w:lineRule="auto"/>
        <w:jc w:val="both"/>
        <w:rPr>
          <w:rFonts w:hint="eastAsia" w:ascii="宋体" w:hAnsi="宋体" w:eastAsia="宋体" w:cs="宋体"/>
          <w:b/>
          <w:bCs/>
          <w:color w:val="auto"/>
          <w:kern w:val="2"/>
          <w:szCs w:val="24"/>
          <w:highlight w:val="none"/>
        </w:rPr>
      </w:pPr>
      <w:r>
        <w:rPr>
          <w:rFonts w:hint="eastAsia" w:ascii="宋体" w:hAnsi="宋体" w:eastAsia="宋体" w:cs="宋体"/>
          <w:b/>
          <w:bCs/>
          <w:color w:val="auto"/>
          <w:kern w:val="2"/>
          <w:szCs w:val="24"/>
          <w:highlight w:val="none"/>
          <w:lang w:bidi="ar"/>
        </w:rPr>
        <w:t>13. 履约保证金</w:t>
      </w:r>
    </w:p>
    <w:p w14:paraId="3E103B54">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13.1 乙方应当以支票、汇票、本票或者金融机构、担保机构出具的保函等非现金形式提交。</w:t>
      </w:r>
    </w:p>
    <w:p w14:paraId="5CFBDBB8">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13.2 如果乙方出现</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约定情形的，履约保证金不予退还；如果乙方未能按合同约定全面履行义务，甲方有权从履约保证金中取得补偿或赔偿，且不影响甲方要求乙方承担合同约定的超过履约保证金的违约责任的权利。</w:t>
      </w:r>
    </w:p>
    <w:p w14:paraId="4BE5D724">
      <w:pPr>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13.3 甲方在项目通过验收后按照</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规定的时间内将履约保证金退还乙方；逾期退还的，乙方可要求甲方支付违约金，违约金按照</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规定支付。</w:t>
      </w:r>
    </w:p>
    <w:p w14:paraId="1F579554">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bidi="ar"/>
        </w:rPr>
        <w:t xml:space="preserve">14. </w:t>
      </w:r>
      <w:r>
        <w:rPr>
          <w:rFonts w:hint="eastAsia" w:ascii="宋体" w:hAnsi="宋体" w:eastAsia="宋体" w:cs="宋体"/>
          <w:b/>
          <w:color w:val="auto"/>
          <w:sz w:val="24"/>
          <w:szCs w:val="24"/>
          <w:highlight w:val="none"/>
          <w:lang w:bidi="ar"/>
        </w:rPr>
        <w:t>售后服务</w:t>
      </w:r>
    </w:p>
    <w:p w14:paraId="09FF1E4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14.1 除项目不涉及或采购活动中明确约定无须承担外，乙方还应提供下列服务：</w:t>
      </w:r>
    </w:p>
    <w:p w14:paraId="4C225E6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（1）货物的现场移动、安装、调试、启动监督及技术支持；</w:t>
      </w:r>
    </w:p>
    <w:p w14:paraId="6BF76736">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（2）提供货物组装和维修所需的专用工具和辅助材料；</w:t>
      </w:r>
    </w:p>
    <w:p w14:paraId="3FF3DB4E">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（3）在</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约定的期限内对所有的货物实施运行监督、维修，但前提条件是该服务并不能免除乙方在质量保证期内所承担的义务；</w:t>
      </w:r>
    </w:p>
    <w:p w14:paraId="08E2FF80">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（4）在制造商所在地或指定现场就货物的安装、启动、运营、维护、废弃处置等对甲方操作人员进行培训；</w:t>
      </w:r>
    </w:p>
    <w:p w14:paraId="77D7F9BA">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（5）依照法律、行政法规的规定或者按照</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约定，货物在有效使用年限届满后应予回收的，乙方负有自行或者委托第三人对货物予以回收的义务；</w:t>
      </w:r>
    </w:p>
    <w:p w14:paraId="7B1E48B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（6）</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规定由乙方提供的其他服务。</w:t>
      </w:r>
    </w:p>
    <w:p w14:paraId="22AB9901">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14.2 乙方提供的售后服务的费用已包含在合同价款中，甲方不再另行支付。</w:t>
      </w:r>
    </w:p>
    <w:p w14:paraId="105FA1B5">
      <w:p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15. 违约责任</w:t>
      </w:r>
    </w:p>
    <w:p w14:paraId="6A4AACD2">
      <w:pPr>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15.1质量瑕疵的违约责任</w:t>
      </w:r>
    </w:p>
    <w:p w14:paraId="4E4F8C3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乙方提供的产品不符合合同约定的质量标准或存在产品质量缺陷，甲方有权要求乙方根据</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要求</w:t>
      </w:r>
      <w:r>
        <w:rPr>
          <w:rFonts w:hint="eastAsia" w:ascii="宋体" w:hAnsi="宋体" w:eastAsia="宋体" w:cs="宋体"/>
          <w:color w:val="auto"/>
          <w:sz w:val="24"/>
          <w:szCs w:val="24"/>
          <w:highlight w:val="none"/>
          <w:lang w:bidi="ar"/>
        </w:rPr>
        <w:t>及时修理、重作、更换，并承担由此给甲方造成的损失。</w:t>
      </w:r>
    </w:p>
    <w:p w14:paraId="1F2216F1">
      <w:pPr>
        <w:autoSpaceDE w:val="0"/>
        <w:autoSpaceDN w:val="0"/>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15.2 迟延交货的违约责任</w:t>
      </w:r>
    </w:p>
    <w:p w14:paraId="7CF47922">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6A2BB5E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（2）如果乙方没有按照合同规定的时间交货和提供相关服务，甲方有权从货款中扣除误期赔偿费而不影响合同项下的其他补救方法，赔偿费按</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规定执行。如果涉及公共利益，且赔偿金额无法弥补公共利益损失，甲方可要求继续履行或者采取其他补救措施。</w:t>
      </w:r>
    </w:p>
    <w:p w14:paraId="2386D507">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15.3 迟延支付的违约责任</w:t>
      </w:r>
    </w:p>
    <w:p w14:paraId="4BB2020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甲方存在迟延支付乙方合同款项的，应当承担</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规定的逾期付款利息。</w:t>
      </w:r>
    </w:p>
    <w:p w14:paraId="56B1F0BE">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15.4其他违约责任根据项目实际需要按</w:t>
      </w:r>
      <w:r>
        <w:rPr>
          <w:rFonts w:hint="eastAsia" w:ascii="宋体" w:hAnsi="宋体" w:eastAsia="宋体" w:cs="宋体"/>
          <w:b/>
          <w:bCs/>
          <w:color w:val="auto"/>
          <w:sz w:val="24"/>
          <w:szCs w:val="24"/>
          <w:highlight w:val="none"/>
          <w:lang w:bidi="ar"/>
        </w:rPr>
        <w:t>【政府采购合同专用条款】</w:t>
      </w:r>
      <w:r>
        <w:rPr>
          <w:rFonts w:hint="eastAsia" w:ascii="宋体" w:hAnsi="宋体" w:eastAsia="宋体" w:cs="宋体"/>
          <w:color w:val="auto"/>
          <w:sz w:val="24"/>
          <w:szCs w:val="24"/>
          <w:highlight w:val="none"/>
          <w:lang w:bidi="ar"/>
        </w:rPr>
        <w:t>规定执行。</w:t>
      </w:r>
    </w:p>
    <w:p w14:paraId="493B2011">
      <w:pPr>
        <w:numPr>
          <w:ilvl w:val="0"/>
          <w:numId w:val="8"/>
        </w:num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合同变更、中止与终止</w:t>
      </w:r>
    </w:p>
    <w:p w14:paraId="694BA11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 xml:space="preserve">    16.1合同的变更</w:t>
      </w:r>
    </w:p>
    <w:p w14:paraId="46FFB19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政府采购合同履行中，在不改变合同其他条款的前提下，甲方可以在合同价款10%的范围内追加与合同标的相同的货物，并就此与乙方协商一致后签订补充协议。</w:t>
      </w:r>
    </w:p>
    <w:p w14:paraId="5D73C206">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16.2合同的中止</w:t>
      </w:r>
    </w:p>
    <w:p w14:paraId="128039DF">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（1）合同履行过程中因供应商就采购文件、采购过程或结果提起投诉的，甲方认为有必要的，可以中止合同的履行。</w:t>
      </w:r>
    </w:p>
    <w:p w14:paraId="754AB04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5213D4C">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（3）乙方分立、合并或者变更住所的，应当及时以书面形式告知甲方。乙方没有及时告知甲方，致使合同履行发生困难的，甲方可以中止合同履行并要求乙方承担由此给甲方造成的损失。</w:t>
      </w:r>
    </w:p>
    <w:p w14:paraId="73D79756">
      <w:pPr>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（4）甲方不得以行政区划调整、政府换届、机构或者职能调整以及相关责任人更替为由中止合同。</w:t>
      </w:r>
    </w:p>
    <w:p w14:paraId="324102F2">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16.3合同的终止</w:t>
      </w:r>
    </w:p>
    <w:p w14:paraId="275BEC6C">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（1）合同因有效期限届满而终止；</w:t>
      </w:r>
    </w:p>
    <w:p w14:paraId="16EE6741">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（2）乙方未按合同约定履行，构成根本性违约的，甲方有权终止合同，并追究乙方的违约责任。</w:t>
      </w:r>
    </w:p>
    <w:p w14:paraId="0588EBF3">
      <w:pPr>
        <w:pStyle w:val="22"/>
        <w:widowControl/>
        <w:autoSpaceDE w:val="0"/>
        <w:autoSpaceDN w:val="0"/>
        <w:adjustRightInd w:val="0"/>
        <w:spacing w:before="0" w:beforeAutospacing="0" w:after="0" w:afterAutospacing="0"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16.4 </w:t>
      </w:r>
      <w:r>
        <w:rPr>
          <w:rFonts w:hint="eastAsia" w:ascii="宋体" w:hAnsi="宋体" w:eastAsia="宋体" w:cs="宋体"/>
          <w:color w:val="auto"/>
          <w:kern w:val="2"/>
          <w:szCs w:val="24"/>
          <w:highlight w:val="none"/>
          <w:lang w:bidi="ar"/>
        </w:rPr>
        <w:t>涉及国家利益、社会公共利益的情形</w:t>
      </w:r>
    </w:p>
    <w:p w14:paraId="3FD2708D">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政府采购合同继续履行将损害国家利益和社会公共利益的，双方当事人应当变更、中止或者终止合同。有过错的一方应当承担赔偿责任，双方都有过错的，各自承担相应的责任。</w:t>
      </w:r>
    </w:p>
    <w:p w14:paraId="61267690">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17. 合同分包</w:t>
      </w:r>
    </w:p>
    <w:p w14:paraId="5F56711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17.1 乙方不得将合同转包给其他供应商。涉及合同分包的，乙方应根据采购文件和投标（响应）文件规定进行合同分包。</w:t>
      </w:r>
    </w:p>
    <w:p w14:paraId="4A4F0013">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17.2 乙方执行政府采购政策向中小企业依法分包的，乙方应当按采购文件和投标（响应）文件签订分包意向协议，分包意向协议属于本合同组成部分。</w:t>
      </w:r>
    </w:p>
    <w:p w14:paraId="3E943E62">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18. 不可抗力</w:t>
      </w:r>
    </w:p>
    <w:p w14:paraId="0A08FAC9">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18.1 不可抗力是指合同双方不能预见、不能避免且不能克服的客观情况。</w:t>
      </w:r>
    </w:p>
    <w:p w14:paraId="57EA77CB">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18.2 任何一方对由于不可抗力造成的部分或全部不能履行合同不承担违约责任。但迟延履行后发生不可抗力的，不能免除责任。</w:t>
      </w:r>
    </w:p>
    <w:p w14:paraId="5314DA15">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24271CF8">
      <w:pPr>
        <w:autoSpaceDE w:val="0"/>
        <w:autoSpaceDN w:val="0"/>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19. 解决争议的方法</w:t>
      </w:r>
    </w:p>
    <w:p w14:paraId="5ECFC8FD">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19.1 因本合同及合同有关事项发生的争议，由甲乙双方友好协商解决。协商不成时，可以向有关组织申请调解。合同一方或双方不愿调解或调解不成的，可以通过仲裁或诉讼的方式解决争议。</w:t>
      </w:r>
    </w:p>
    <w:p w14:paraId="6F1A778B">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19.2 选择仲裁的，应在</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中明确仲裁机构及仲裁地；通过诉讼方式解决的，可以在</w:t>
      </w:r>
      <w:r>
        <w:rPr>
          <w:rFonts w:hint="eastAsia" w:ascii="宋体" w:hAnsi="宋体" w:eastAsia="宋体" w:cs="宋体"/>
          <w:b/>
          <w:bCs/>
          <w:color w:val="auto"/>
          <w:szCs w:val="24"/>
          <w:highlight w:val="none"/>
          <w:lang w:bidi="ar"/>
        </w:rPr>
        <w:t>【政府采购合同专用条款】</w:t>
      </w:r>
      <w:r>
        <w:rPr>
          <w:rFonts w:hint="eastAsia" w:ascii="宋体" w:hAnsi="宋体" w:eastAsia="宋体" w:cs="宋体"/>
          <w:color w:val="auto"/>
          <w:szCs w:val="24"/>
          <w:highlight w:val="none"/>
          <w:lang w:bidi="ar"/>
        </w:rPr>
        <w:t>中进一步约定选择与争议有实际联系的地点的人民法院管辖，但管辖法院的约定不得违反级别管辖和专属管辖的规定。</w:t>
      </w:r>
    </w:p>
    <w:p w14:paraId="1D3A812D">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19.3 如甲乙双方有争议的事项不影响合同其他部分的履行，在争议解决期间，合同其他部分应当继续履行。</w:t>
      </w:r>
    </w:p>
    <w:p w14:paraId="7ED776D8">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bidi="ar"/>
        </w:rPr>
        <w:t>20. 政府采购政策</w:t>
      </w:r>
    </w:p>
    <w:p w14:paraId="7199F704">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20.1 本合同应当按照规定执行政府采购政策。</w:t>
      </w:r>
    </w:p>
    <w:p w14:paraId="182BBF78">
      <w:pPr>
        <w:autoSpaceDE w:val="0"/>
        <w:autoSpaceDN w:val="0"/>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20.2 本合同依法执行政府采购政策的方式和内容，属于合同履约验收的范围。甲乙双方未按规定要求执行政府采购政策造成损失的，有过错的一方应当承担赔偿责任，双方都有过错的，各自承担相应的责任。</w:t>
      </w:r>
    </w:p>
    <w:p w14:paraId="6C82FE4B">
      <w:pPr>
        <w:pStyle w:val="22"/>
        <w:spacing w:before="0" w:after="0" w:afterAutospacing="0" w:line="360" w:lineRule="auto"/>
        <w:ind w:firstLine="480" w:firstLineChars="200"/>
        <w:jc w:val="both"/>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bidi="ar"/>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52C45ECF">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21. 法律适用</w:t>
      </w:r>
    </w:p>
    <w:p w14:paraId="3D0B33CC">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21.1 本合同的订立、生效、解释、履行及与本合同有关的争议解决，均适用法律、行政法规。</w:t>
      </w:r>
    </w:p>
    <w:p w14:paraId="1DDD71AE">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21.2 本合同条款与法律、行政法规的强制性规定不一致的，双方当事人应按照法律、行政法规的强制性规定修改本合同的相关条款。</w:t>
      </w:r>
    </w:p>
    <w:p w14:paraId="7C2BE1C4">
      <w:pPr>
        <w:autoSpaceDE w:val="0"/>
        <w:autoSpaceDN w:val="0"/>
        <w:adjustRightInd w:val="0"/>
        <w:snapToGrid w:val="0"/>
        <w:spacing w:line="360" w:lineRule="auto"/>
        <w:jc w:val="left"/>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bidi="ar"/>
        </w:rPr>
        <w:t>22. 通知</w:t>
      </w:r>
    </w:p>
    <w:p w14:paraId="31497612">
      <w:pPr>
        <w:pStyle w:val="22"/>
        <w:widowControl/>
        <w:autoSpaceDE w:val="0"/>
        <w:autoSpaceDN w:val="0"/>
        <w:adjustRightInd w:val="0"/>
        <w:spacing w:before="0" w:beforeAutospacing="0" w:after="0" w:afterAutospacing="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22.1 本合同任何一方向对方发出的通知、信件、数据电文等，应当发送至本合同第一部分《政府采购合同协议书》所约定的通讯地址、联系人、联系电话或电子邮箱。</w:t>
      </w:r>
    </w:p>
    <w:p w14:paraId="00CE1EE6">
      <w:pPr>
        <w:pStyle w:val="22"/>
        <w:widowControl/>
        <w:autoSpaceDE w:val="0"/>
        <w:autoSpaceDN w:val="0"/>
        <w:adjustRightInd w:val="0"/>
        <w:spacing w:before="0" w:beforeAutospacing="0" w:after="0" w:afterAutospacing="0" w:line="360" w:lineRule="auto"/>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 xml:space="preserve">    22.2 一方当事人变更名称、住所、联系人、联系电话或电子邮箱等信息的，应当在变更后3日内及时书面通知对方，对方实际收到变更通知前的送达仍为有效送达。</w:t>
      </w:r>
    </w:p>
    <w:p w14:paraId="70198F77">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22.3本合同一方给另一方的通知均应采用书面形式，传真或快递送到本合同中规定的对方的地址和办理签收手续。</w:t>
      </w:r>
    </w:p>
    <w:p w14:paraId="7C0D522B">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22.4通知以送达之日或通知书中规定的生效之日起生效，两者中以较迟之日为准。</w:t>
      </w:r>
    </w:p>
    <w:p w14:paraId="05CE0F27">
      <w:pPr>
        <w:numPr>
          <w:ilvl w:val="0"/>
          <w:numId w:val="9"/>
        </w:numPr>
        <w:adjustRightInd w:val="0"/>
        <w:snapToGrid w:val="0"/>
        <w:spacing w:line="360" w:lineRule="auto"/>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bidi="ar"/>
        </w:rPr>
        <w:t>合同未尽事项</w:t>
      </w:r>
    </w:p>
    <w:p w14:paraId="0EEDAFDF">
      <w:pPr>
        <w:adjustRightInd w:val="0"/>
        <w:snapToGrid w:val="0"/>
        <w:spacing w:line="360" w:lineRule="auto"/>
        <w:ind w:firstLine="480" w:firstLineChars="200"/>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bidi="ar"/>
        </w:rPr>
        <w:t>23.1合同未尽事项见</w:t>
      </w:r>
      <w:r>
        <w:rPr>
          <w:rFonts w:hint="eastAsia" w:ascii="宋体" w:hAnsi="宋体" w:eastAsia="宋体" w:cs="宋体"/>
          <w:b/>
          <w:color w:val="auto"/>
          <w:sz w:val="24"/>
          <w:szCs w:val="24"/>
          <w:highlight w:val="none"/>
          <w:lang w:bidi="ar"/>
        </w:rPr>
        <w:t>【政府采购合同专用条款】</w:t>
      </w:r>
      <w:r>
        <w:rPr>
          <w:rFonts w:hint="eastAsia" w:ascii="宋体" w:hAnsi="宋体" w:eastAsia="宋体" w:cs="宋体"/>
          <w:bCs/>
          <w:color w:val="auto"/>
          <w:sz w:val="24"/>
          <w:szCs w:val="24"/>
          <w:highlight w:val="none"/>
          <w:lang w:bidi="ar"/>
        </w:rPr>
        <w:t>。</w:t>
      </w:r>
    </w:p>
    <w:p w14:paraId="539892C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 xml:space="preserve">    23.2 合同附件与合同正文具有同等的法律效力。</w:t>
      </w:r>
    </w:p>
    <w:p w14:paraId="684BA43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br w:type="page"/>
      </w:r>
    </w:p>
    <w:p w14:paraId="01CCA6F8">
      <w:pPr>
        <w:pStyle w:val="3"/>
        <w:rPr>
          <w:rFonts w:hint="eastAsia" w:cs="@仿宋_GB2312"/>
          <w:color w:val="auto"/>
          <w:highlight w:val="none"/>
        </w:rPr>
      </w:pPr>
      <w:r>
        <w:rPr>
          <w:rFonts w:hint="eastAsia"/>
          <w:color w:val="auto"/>
          <w:highlight w:val="none"/>
        </w:rPr>
        <w:t>第三节</w:t>
      </w:r>
      <w:r>
        <w:rPr>
          <w:rFonts w:hint="eastAsia" w:cs="@仿宋_GB2312"/>
          <w:color w:val="auto"/>
          <w:highlight w:val="none"/>
        </w:rPr>
        <w:t xml:space="preserve"> </w:t>
      </w:r>
      <w:r>
        <w:rPr>
          <w:rFonts w:hint="eastAsia"/>
          <w:color w:val="auto"/>
          <w:highlight w:val="none"/>
        </w:rPr>
        <w:t>政府采购合同专用条款</w:t>
      </w:r>
    </w:p>
    <w:tbl>
      <w:tblPr>
        <w:tblStyle w:val="27"/>
        <w:tblW w:w="8519" w:type="dxa"/>
        <w:tblInd w:w="108" w:type="dxa"/>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08E0C83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2" w:space="0"/>
              <w:left w:val="double" w:color="auto" w:sz="2" w:space="0"/>
              <w:bottom w:val="single" w:color="auto" w:sz="6" w:space="0"/>
              <w:right w:val="single" w:color="auto" w:sz="6" w:space="0"/>
            </w:tcBorders>
            <w:vAlign w:val="center"/>
          </w:tcPr>
          <w:p w14:paraId="537D0AA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EB44080">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第1.2（6）项</w:t>
            </w:r>
          </w:p>
        </w:tc>
        <w:tc>
          <w:tcPr>
            <w:tcW w:w="1742" w:type="dxa"/>
            <w:tcBorders>
              <w:top w:val="double" w:color="auto" w:sz="2" w:space="0"/>
              <w:left w:val="single" w:color="auto" w:sz="6" w:space="0"/>
              <w:bottom w:val="single" w:color="auto" w:sz="6" w:space="0"/>
              <w:right w:val="single" w:color="auto" w:sz="6" w:space="0"/>
            </w:tcBorders>
            <w:vAlign w:val="center"/>
          </w:tcPr>
          <w:p w14:paraId="0907DC7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联合体具体要求</w:t>
            </w:r>
          </w:p>
        </w:tc>
        <w:tc>
          <w:tcPr>
            <w:tcW w:w="5170" w:type="dxa"/>
            <w:tcBorders>
              <w:top w:val="double" w:color="auto" w:sz="2" w:space="0"/>
              <w:left w:val="single" w:color="auto" w:sz="6" w:space="0"/>
              <w:bottom w:val="single" w:color="auto" w:sz="6" w:space="0"/>
              <w:right w:val="double" w:color="auto" w:sz="2" w:space="0"/>
            </w:tcBorders>
            <w:vAlign w:val="center"/>
          </w:tcPr>
          <w:p w14:paraId="05691F8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不接受联合体投标</w:t>
            </w:r>
          </w:p>
        </w:tc>
      </w:tr>
      <w:tr w14:paraId="593AC35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2" w:space="0"/>
              <w:bottom w:val="single" w:color="auto" w:sz="6" w:space="0"/>
              <w:right w:val="single" w:color="auto" w:sz="6" w:space="0"/>
            </w:tcBorders>
            <w:vAlign w:val="center"/>
          </w:tcPr>
          <w:p w14:paraId="661AA63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450876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19C7F65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其他术语解释</w:t>
            </w:r>
          </w:p>
        </w:tc>
        <w:tc>
          <w:tcPr>
            <w:tcW w:w="5170" w:type="dxa"/>
            <w:tcBorders>
              <w:top w:val="single" w:color="auto" w:sz="6" w:space="0"/>
              <w:left w:val="single" w:color="auto" w:sz="6" w:space="0"/>
              <w:bottom w:val="single" w:color="auto" w:sz="6" w:space="0"/>
              <w:right w:val="double" w:color="auto" w:sz="2" w:space="0"/>
            </w:tcBorders>
            <w:vAlign w:val="center"/>
          </w:tcPr>
          <w:p w14:paraId="315C935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771F375C">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61EA595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01B529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190D81E9">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履约验收中甲方提出异议或作出说明的期限</w:t>
            </w:r>
          </w:p>
        </w:tc>
        <w:tc>
          <w:tcPr>
            <w:tcW w:w="5170" w:type="dxa"/>
            <w:tcBorders>
              <w:top w:val="single" w:color="auto" w:sz="6" w:space="0"/>
              <w:left w:val="single" w:color="auto" w:sz="6" w:space="0"/>
              <w:bottom w:val="single" w:color="auto" w:sz="6" w:space="0"/>
              <w:right w:val="double" w:color="auto" w:sz="2" w:space="0"/>
            </w:tcBorders>
            <w:vAlign w:val="center"/>
          </w:tcPr>
          <w:p w14:paraId="4028FF8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5个工作日</w:t>
            </w:r>
          </w:p>
        </w:tc>
      </w:tr>
      <w:tr w14:paraId="3B3D94E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6EE5A205">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41881E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4051C28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约定甲方承担的其他义务和责任</w:t>
            </w:r>
          </w:p>
        </w:tc>
        <w:tc>
          <w:tcPr>
            <w:tcW w:w="5170" w:type="dxa"/>
            <w:tcBorders>
              <w:top w:val="single" w:color="auto" w:sz="6" w:space="0"/>
              <w:left w:val="single" w:color="auto" w:sz="6" w:space="0"/>
              <w:bottom w:val="single" w:color="auto" w:sz="6" w:space="0"/>
              <w:right w:val="double" w:color="auto" w:sz="2" w:space="0"/>
            </w:tcBorders>
            <w:vAlign w:val="center"/>
          </w:tcPr>
          <w:p w14:paraId="24DE459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(1)在合同生效后，非因产品质量问题，买方要求退货的，应向卖方偿付合同总价款的5%，作为违约金，违约金不足以补偿损失的，卖方有权要求甲方补足。</w:t>
            </w:r>
          </w:p>
          <w:p w14:paraId="673B4CDA">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(2)买方逾期付款的应按照逾期付款金额的每天万分之四支付逾期付款违约金。</w:t>
            </w:r>
          </w:p>
          <w:p w14:paraId="458F78C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(3)买方违反合同规定，无正当理由拒绝接收卖方交付的符合招标文件要求的合格标的物，应当承担卖方由此造成的损失。</w:t>
            </w:r>
          </w:p>
        </w:tc>
      </w:tr>
      <w:tr w14:paraId="5BCDCC3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0FE9126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0F0CF10">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138742D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约定乙方承担的其他义务和责任</w:t>
            </w:r>
          </w:p>
        </w:tc>
        <w:tc>
          <w:tcPr>
            <w:tcW w:w="5170" w:type="dxa"/>
            <w:tcBorders>
              <w:top w:val="single" w:color="auto" w:sz="6" w:space="0"/>
              <w:left w:val="single" w:color="auto" w:sz="6" w:space="0"/>
              <w:bottom w:val="single" w:color="auto" w:sz="6" w:space="0"/>
              <w:right w:val="double" w:color="auto" w:sz="2" w:space="0"/>
            </w:tcBorders>
            <w:vAlign w:val="center"/>
          </w:tcPr>
          <w:p w14:paraId="619E59C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(1)乙方不能交货（逾期超过五天视为不能交货），或交货不合格从而影响甲方按期正常使用的，应向甲方偿付合同总价款5%的违约金，违约金不足以补偿损失的，甲方有权要求乙方补足。此外，若乙方无正当理由逾期交货超过十五个自然日，甲方有权单方面解除本合同。</w:t>
            </w:r>
          </w:p>
          <w:p w14:paraId="12CADF0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(2)乙方逾期交货的，应在发货前与甲方和政府采购管理部门协商，甲方仍需求的，乙方应立即发货并应按照逾期交货部分货款的每天万分之四支付逾期交货违约金，同时承担甲方因此遭致的损失费用。</w:t>
            </w:r>
          </w:p>
          <w:p w14:paraId="71B28184">
            <w:pPr>
              <w:adjustRightInd w:val="0"/>
              <w:snapToGrid w:val="0"/>
              <w:spacing w:line="360" w:lineRule="auto"/>
              <w:jc w:val="left"/>
              <w:rPr>
                <w:rFonts w:hint="eastAsia" w:ascii="宋体" w:hAnsi="宋体" w:eastAsia="宋体" w:cs="宋体"/>
                <w:color w:val="auto"/>
                <w:sz w:val="24"/>
                <w:szCs w:val="24"/>
                <w:highlight w:val="none"/>
                <w:lang w:bidi="ar"/>
              </w:rPr>
            </w:pPr>
            <w:r>
              <w:rPr>
                <w:rFonts w:hint="eastAsia" w:ascii="宋体" w:hAnsi="宋体" w:eastAsia="宋体" w:cs="宋体"/>
                <w:color w:val="auto"/>
                <w:sz w:val="24"/>
                <w:szCs w:val="24"/>
                <w:highlight w:val="none"/>
                <w:lang w:bidi="ar"/>
              </w:rPr>
              <w:t>（3）乙方在收到甲方提出的产品维保或者伴随服务要求之日起24小时内未提供相应的维保或者伴随服务，乙方应按照合同总价款的每天万分之四支付违约金。乙方如不按时提供相应的维保或者伴随服务，甲方有权自行委托第三方进行维保或者提供相应服务，产生的费用应由乙方承担，如乙方不支付该费用，甲方有权向乙方追偿。</w:t>
            </w:r>
          </w:p>
        </w:tc>
      </w:tr>
      <w:tr w14:paraId="0FBA54E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5422D56E">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2C25BE8">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02CDDF9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履行合同义务的顺序</w:t>
            </w:r>
          </w:p>
        </w:tc>
        <w:tc>
          <w:tcPr>
            <w:tcW w:w="5170" w:type="dxa"/>
            <w:tcBorders>
              <w:top w:val="single" w:color="auto" w:sz="6" w:space="0"/>
              <w:left w:val="single" w:color="auto" w:sz="6" w:space="0"/>
              <w:bottom w:val="single" w:color="auto" w:sz="6" w:space="0"/>
              <w:right w:val="double" w:color="auto" w:sz="2" w:space="0"/>
            </w:tcBorders>
            <w:vAlign w:val="center"/>
          </w:tcPr>
          <w:p w14:paraId="504AD4C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乙方按规定履行合同义务后，甲方再履行合同义务。</w:t>
            </w:r>
          </w:p>
        </w:tc>
      </w:tr>
      <w:tr w14:paraId="571A7EB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tcBorders>
              <w:top w:val="single" w:color="auto" w:sz="6" w:space="0"/>
              <w:left w:val="double" w:color="auto" w:sz="2" w:space="0"/>
              <w:bottom w:val="single" w:color="auto" w:sz="6" w:space="0"/>
              <w:right w:val="single" w:color="auto" w:sz="6" w:space="0"/>
            </w:tcBorders>
            <w:vAlign w:val="center"/>
          </w:tcPr>
          <w:p w14:paraId="620EB51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40E051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158BC56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包装特殊要求</w:t>
            </w:r>
          </w:p>
        </w:tc>
        <w:tc>
          <w:tcPr>
            <w:tcW w:w="5170" w:type="dxa"/>
            <w:tcBorders>
              <w:top w:val="single" w:color="auto" w:sz="6" w:space="0"/>
              <w:left w:val="single" w:color="auto" w:sz="6" w:space="0"/>
              <w:bottom w:val="single" w:color="auto" w:sz="6" w:space="0"/>
              <w:right w:val="double" w:color="auto" w:sz="2" w:space="0"/>
            </w:tcBorders>
            <w:vAlign w:val="center"/>
          </w:tcPr>
          <w:p w14:paraId="0332838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77EF257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tcBorders>
              <w:top w:val="single" w:color="auto" w:sz="6" w:space="0"/>
              <w:left w:val="double" w:color="auto" w:sz="2" w:space="0"/>
              <w:bottom w:val="single" w:color="auto" w:sz="6" w:space="0"/>
              <w:right w:val="single" w:color="auto" w:sz="6" w:space="0"/>
            </w:tcBorders>
            <w:vAlign w:val="center"/>
          </w:tcPr>
          <w:p w14:paraId="6E34CCF4">
            <w:pPr>
              <w:rPr>
                <w:rFonts w:ascii="Times New Roman" w:hAnsi="Times New Roman" w:cs="Times New Roman"/>
                <w:color w:val="auto"/>
                <w:sz w:val="20"/>
                <w:highlight w:val="none"/>
              </w:rPr>
            </w:pPr>
          </w:p>
        </w:tc>
        <w:tc>
          <w:tcPr>
            <w:tcW w:w="1742" w:type="dxa"/>
            <w:tcBorders>
              <w:top w:val="single" w:color="auto" w:sz="6" w:space="0"/>
              <w:left w:val="single" w:color="auto" w:sz="6" w:space="0"/>
              <w:bottom w:val="single" w:color="auto" w:sz="6" w:space="0"/>
              <w:right w:val="single" w:color="auto" w:sz="6" w:space="0"/>
            </w:tcBorders>
            <w:vAlign w:val="center"/>
          </w:tcPr>
          <w:p w14:paraId="1C86F2C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指定现场</w:t>
            </w:r>
          </w:p>
        </w:tc>
        <w:tc>
          <w:tcPr>
            <w:tcW w:w="5170" w:type="dxa"/>
            <w:tcBorders>
              <w:top w:val="single" w:color="auto" w:sz="6" w:space="0"/>
              <w:left w:val="single" w:color="auto" w:sz="6" w:space="0"/>
              <w:bottom w:val="single" w:color="auto" w:sz="6" w:space="0"/>
              <w:right w:val="double" w:color="auto" w:sz="2" w:space="0"/>
            </w:tcBorders>
            <w:vAlign w:val="center"/>
          </w:tcPr>
          <w:p w14:paraId="1BAB7BF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甲方指定地点</w:t>
            </w:r>
          </w:p>
        </w:tc>
      </w:tr>
      <w:tr w14:paraId="5FD84E0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2" w:space="0"/>
              <w:bottom w:val="single" w:color="auto" w:sz="6" w:space="0"/>
              <w:right w:val="single" w:color="auto" w:sz="6" w:space="0"/>
            </w:tcBorders>
            <w:vAlign w:val="center"/>
          </w:tcPr>
          <w:p w14:paraId="4677544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12548EB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108B9C6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运输特殊要求</w:t>
            </w:r>
          </w:p>
        </w:tc>
        <w:tc>
          <w:tcPr>
            <w:tcW w:w="5170" w:type="dxa"/>
            <w:tcBorders>
              <w:top w:val="single" w:color="auto" w:sz="6" w:space="0"/>
              <w:left w:val="single" w:color="auto" w:sz="6" w:space="0"/>
              <w:bottom w:val="single" w:color="auto" w:sz="6" w:space="0"/>
              <w:right w:val="double" w:color="auto" w:sz="2" w:space="0"/>
            </w:tcBorders>
            <w:vAlign w:val="center"/>
          </w:tcPr>
          <w:p w14:paraId="013FF35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1BF0E93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2" w:space="0"/>
              <w:bottom w:val="single" w:color="auto" w:sz="6" w:space="0"/>
              <w:right w:val="single" w:color="auto" w:sz="6" w:space="0"/>
            </w:tcBorders>
            <w:vAlign w:val="center"/>
          </w:tcPr>
          <w:p w14:paraId="62320BC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4EBBE3D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11EF304D">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保险要求</w:t>
            </w:r>
          </w:p>
        </w:tc>
        <w:tc>
          <w:tcPr>
            <w:tcW w:w="5170" w:type="dxa"/>
            <w:tcBorders>
              <w:top w:val="single" w:color="auto" w:sz="6" w:space="0"/>
              <w:left w:val="single" w:color="auto" w:sz="6" w:space="0"/>
              <w:bottom w:val="single" w:color="auto" w:sz="6" w:space="0"/>
              <w:right w:val="double" w:color="auto" w:sz="2" w:space="0"/>
            </w:tcBorders>
            <w:vAlign w:val="center"/>
          </w:tcPr>
          <w:p w14:paraId="1A4BD01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按规定购买保险</w:t>
            </w:r>
          </w:p>
        </w:tc>
      </w:tr>
      <w:tr w14:paraId="1D59E75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4EE94DFA">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4AEFFF2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0753431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质量保证期</w:t>
            </w:r>
          </w:p>
        </w:tc>
        <w:tc>
          <w:tcPr>
            <w:tcW w:w="5170" w:type="dxa"/>
            <w:tcBorders>
              <w:top w:val="single" w:color="auto" w:sz="6" w:space="0"/>
              <w:left w:val="single" w:color="auto" w:sz="6" w:space="0"/>
              <w:bottom w:val="single" w:color="auto" w:sz="6" w:space="0"/>
              <w:right w:val="double" w:color="auto" w:sz="2" w:space="0"/>
            </w:tcBorders>
            <w:vAlign w:val="center"/>
          </w:tcPr>
          <w:p w14:paraId="78227844">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乙方书面承诺的期限</w:t>
            </w:r>
          </w:p>
        </w:tc>
      </w:tr>
      <w:tr w14:paraId="54830DB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5F5E8A6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4058350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73EE0438">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货物质量缺陷</w:t>
            </w:r>
          </w:p>
          <w:p w14:paraId="15AC219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响应时间</w:t>
            </w:r>
          </w:p>
        </w:tc>
        <w:tc>
          <w:tcPr>
            <w:tcW w:w="5170" w:type="dxa"/>
            <w:tcBorders>
              <w:top w:val="single" w:color="auto" w:sz="6" w:space="0"/>
              <w:left w:val="single" w:color="auto" w:sz="6" w:space="0"/>
              <w:bottom w:val="single" w:color="auto" w:sz="6" w:space="0"/>
              <w:right w:val="double" w:color="auto" w:sz="2" w:space="0"/>
            </w:tcBorders>
            <w:vAlign w:val="center"/>
          </w:tcPr>
          <w:p w14:paraId="4E71A114">
            <w:pPr>
              <w:autoSpaceDE w:val="0"/>
              <w:autoSpaceDN w:val="0"/>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bidi="ar"/>
              </w:rPr>
              <w:t>乙方应在合同货物出现故障和缺陷时，接到甲方通知后2小时内予以答复，如甲方有要求或必要时，乙方应在接到甲方通知后24小时内，进行维修。因乙方自身产品和安装质量原因而出现的质量问题由乙方负责包修、包换或包退，并承担修理、调换或退货的实际费用；属于人为损坏的由甲方负责。</w:t>
            </w:r>
          </w:p>
        </w:tc>
      </w:tr>
      <w:tr w14:paraId="080237E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58DF73DE">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9B47CFE">
            <w:pPr>
              <w:pStyle w:val="22"/>
              <w:widowControl/>
              <w:autoSpaceDE w:val="0"/>
              <w:autoSpaceDN w:val="0"/>
              <w:adjustRightInd w:val="0"/>
              <w:spacing w:before="0" w:beforeAutospacing="0" w:after="0" w:afterAutospacing="0"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bidi="ar"/>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63032750">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其他应当保密的信息</w:t>
            </w:r>
          </w:p>
        </w:tc>
        <w:tc>
          <w:tcPr>
            <w:tcW w:w="5170" w:type="dxa"/>
            <w:tcBorders>
              <w:top w:val="single" w:color="auto" w:sz="6" w:space="0"/>
              <w:left w:val="single" w:color="auto" w:sz="6" w:space="0"/>
              <w:bottom w:val="single" w:color="auto" w:sz="6" w:space="0"/>
              <w:right w:val="double" w:color="auto" w:sz="2" w:space="0"/>
            </w:tcBorders>
            <w:vAlign w:val="center"/>
          </w:tcPr>
          <w:p w14:paraId="32246D8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w:t>
            </w:r>
          </w:p>
        </w:tc>
      </w:tr>
      <w:tr w14:paraId="56BB257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2" w:space="0"/>
              <w:bottom w:val="single" w:color="auto" w:sz="6" w:space="0"/>
              <w:right w:val="single" w:color="auto" w:sz="6" w:space="0"/>
            </w:tcBorders>
            <w:vAlign w:val="center"/>
          </w:tcPr>
          <w:p w14:paraId="5ED5005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030289F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3061EC8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合同价款支付时间</w:t>
            </w:r>
          </w:p>
        </w:tc>
        <w:tc>
          <w:tcPr>
            <w:tcW w:w="5170" w:type="dxa"/>
            <w:tcBorders>
              <w:top w:val="single" w:color="auto" w:sz="6" w:space="0"/>
              <w:left w:val="single" w:color="auto" w:sz="6" w:space="0"/>
              <w:bottom w:val="single" w:color="auto" w:sz="6" w:space="0"/>
              <w:right w:val="double" w:color="auto" w:sz="2" w:space="0"/>
            </w:tcBorders>
            <w:vAlign w:val="center"/>
          </w:tcPr>
          <w:p w14:paraId="4E0480B9">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按第一节政府采购合同协议书相关内容执行</w:t>
            </w:r>
          </w:p>
        </w:tc>
      </w:tr>
      <w:tr w14:paraId="0652DD7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2" w:space="0"/>
              <w:bottom w:val="single" w:color="auto" w:sz="6" w:space="0"/>
              <w:right w:val="single" w:color="auto" w:sz="6" w:space="0"/>
            </w:tcBorders>
            <w:vAlign w:val="center"/>
          </w:tcPr>
          <w:p w14:paraId="59BD727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2B89F39">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69B5CA9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履约保证金不予退还的情形</w:t>
            </w:r>
          </w:p>
        </w:tc>
        <w:tc>
          <w:tcPr>
            <w:tcW w:w="5170" w:type="dxa"/>
            <w:tcBorders>
              <w:top w:val="single" w:color="auto" w:sz="6" w:space="0"/>
              <w:left w:val="single" w:color="auto" w:sz="6" w:space="0"/>
              <w:bottom w:val="single" w:color="auto" w:sz="6" w:space="0"/>
              <w:right w:val="double" w:color="auto" w:sz="2" w:space="0"/>
            </w:tcBorders>
            <w:vAlign w:val="center"/>
          </w:tcPr>
          <w:p w14:paraId="604CE364">
            <w:pPr>
              <w:adjustRightInd w:val="0"/>
              <w:snapToGrid w:val="0"/>
              <w:spacing w:line="360" w:lineRule="auto"/>
              <w:jc w:val="left"/>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bidi="ar"/>
              </w:rPr>
              <w:t>因乙方原因导致合同终止的</w:t>
            </w:r>
          </w:p>
        </w:tc>
      </w:tr>
      <w:tr w14:paraId="4EDCE4D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67BDD967">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5AB8B3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6C3FD002">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履约保证金退还时间及逾期退还的违约金</w:t>
            </w:r>
          </w:p>
        </w:tc>
        <w:tc>
          <w:tcPr>
            <w:tcW w:w="5170" w:type="dxa"/>
            <w:tcBorders>
              <w:top w:val="single" w:color="auto" w:sz="6" w:space="0"/>
              <w:left w:val="single" w:color="auto" w:sz="6" w:space="0"/>
              <w:bottom w:val="single" w:color="auto" w:sz="6" w:space="0"/>
              <w:right w:val="double" w:color="auto" w:sz="2" w:space="0"/>
            </w:tcBorders>
            <w:vAlign w:val="center"/>
          </w:tcPr>
          <w:p w14:paraId="57EFD15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按招标文件相关内容执行</w:t>
            </w:r>
          </w:p>
        </w:tc>
      </w:tr>
      <w:tr w14:paraId="7F6A9CF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2" w:space="0"/>
              <w:bottom w:val="single" w:color="auto" w:sz="6" w:space="0"/>
              <w:right w:val="single" w:color="auto" w:sz="6" w:space="0"/>
            </w:tcBorders>
            <w:vAlign w:val="center"/>
          </w:tcPr>
          <w:p w14:paraId="28239D7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8E996C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673989A6">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运行监督、维修期限</w:t>
            </w:r>
          </w:p>
        </w:tc>
        <w:tc>
          <w:tcPr>
            <w:tcW w:w="5170" w:type="dxa"/>
            <w:tcBorders>
              <w:top w:val="single" w:color="auto" w:sz="6" w:space="0"/>
              <w:left w:val="single" w:color="auto" w:sz="6" w:space="0"/>
              <w:bottom w:val="single" w:color="auto" w:sz="6" w:space="0"/>
              <w:right w:val="double" w:color="auto" w:sz="2" w:space="0"/>
            </w:tcBorders>
            <w:vAlign w:val="center"/>
          </w:tcPr>
          <w:p w14:paraId="2D3E908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乙方书面承诺的质保期内</w:t>
            </w:r>
          </w:p>
        </w:tc>
      </w:tr>
      <w:tr w14:paraId="34A42FB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2" w:space="0"/>
              <w:bottom w:val="single" w:color="auto" w:sz="6" w:space="0"/>
              <w:right w:val="single" w:color="auto" w:sz="6" w:space="0"/>
            </w:tcBorders>
            <w:vAlign w:val="center"/>
          </w:tcPr>
          <w:p w14:paraId="5DF5BE08">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E7C211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780BB7FE">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货物回收的约定</w:t>
            </w:r>
          </w:p>
        </w:tc>
        <w:tc>
          <w:tcPr>
            <w:tcW w:w="5170" w:type="dxa"/>
            <w:tcBorders>
              <w:top w:val="single" w:color="auto" w:sz="6" w:space="0"/>
              <w:left w:val="single" w:color="auto" w:sz="6" w:space="0"/>
              <w:bottom w:val="single" w:color="auto" w:sz="6" w:space="0"/>
              <w:right w:val="double" w:color="auto" w:sz="2" w:space="0"/>
            </w:tcBorders>
            <w:vAlign w:val="center"/>
          </w:tcPr>
          <w:p w14:paraId="1EF1AC5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由乙方在规定时间内自行组织回收，相关费用自行承担，甲方不另行支付相关费用。</w:t>
            </w:r>
          </w:p>
        </w:tc>
      </w:tr>
      <w:tr w14:paraId="3E8A901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5317F9B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57C3BC5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3CF3240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乙方提供的其他服务</w:t>
            </w:r>
          </w:p>
        </w:tc>
        <w:tc>
          <w:tcPr>
            <w:tcW w:w="5170" w:type="dxa"/>
            <w:tcBorders>
              <w:top w:val="single" w:color="auto" w:sz="6" w:space="0"/>
              <w:left w:val="single" w:color="auto" w:sz="6" w:space="0"/>
              <w:bottom w:val="single" w:color="auto" w:sz="6" w:space="0"/>
              <w:right w:val="double" w:color="auto" w:sz="2" w:space="0"/>
            </w:tcBorders>
            <w:vAlign w:val="center"/>
          </w:tcPr>
          <w:p w14:paraId="768EE72C">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按甲方要求须提供的其他相关服务</w:t>
            </w:r>
          </w:p>
        </w:tc>
      </w:tr>
      <w:tr w14:paraId="0AEC6FBC">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7DD65C7B">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2147F2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20DB8C21">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修理、重作、更换相关具体规定</w:t>
            </w:r>
          </w:p>
        </w:tc>
        <w:tc>
          <w:tcPr>
            <w:tcW w:w="5170" w:type="dxa"/>
            <w:tcBorders>
              <w:top w:val="single" w:color="auto" w:sz="6" w:space="0"/>
              <w:left w:val="single" w:color="auto" w:sz="6" w:space="0"/>
              <w:bottom w:val="single" w:color="auto" w:sz="6" w:space="0"/>
              <w:right w:val="double" w:color="auto" w:sz="2" w:space="0"/>
            </w:tcBorders>
            <w:vAlign w:val="center"/>
          </w:tcPr>
          <w:p w14:paraId="439C2EFB">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保修期内两次修理仍不能正常使用的的必须更换新设备</w:t>
            </w:r>
          </w:p>
        </w:tc>
      </w:tr>
      <w:tr w14:paraId="4960FCB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21760B5C">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9AA17F1">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38B1B033">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迟延交货赔偿费</w:t>
            </w:r>
          </w:p>
        </w:tc>
        <w:tc>
          <w:tcPr>
            <w:tcW w:w="5170" w:type="dxa"/>
            <w:tcBorders>
              <w:top w:val="single" w:color="auto" w:sz="6" w:space="0"/>
              <w:left w:val="single" w:color="auto" w:sz="6" w:space="0"/>
              <w:bottom w:val="single" w:color="auto" w:sz="6" w:space="0"/>
              <w:right w:val="double" w:color="auto" w:sz="2" w:space="0"/>
            </w:tcBorders>
            <w:vAlign w:val="center"/>
          </w:tcPr>
          <w:p w14:paraId="5469CBF4">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(1)乙方不能交货（逾期超过五天视为不能交货），或交货不合格从而影响甲方按期正常使用的，应向甲方偿付合同总价款5%的违约金，违约金不足以补偿损失的，甲方有权要求乙方补足。</w:t>
            </w:r>
          </w:p>
          <w:p w14:paraId="055A7701">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(2)乙方逾期交货的，应在发货前与甲方和政府采购管理部门协商，甲方仍需求的，乙方应立即发货并应按照逾期交货部分货款的每天万分之四支付逾期交货违约金，同时承担甲方因此遭致的损失费用。</w:t>
            </w:r>
          </w:p>
        </w:tc>
      </w:tr>
      <w:tr w14:paraId="401F114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2" w:space="0"/>
              <w:bottom w:val="single" w:color="auto" w:sz="6" w:space="0"/>
              <w:right w:val="single" w:color="auto" w:sz="6" w:space="0"/>
            </w:tcBorders>
            <w:vAlign w:val="center"/>
          </w:tcPr>
          <w:p w14:paraId="5EACD0C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6EEA26F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第15.3款</w:t>
            </w:r>
          </w:p>
        </w:tc>
        <w:tc>
          <w:tcPr>
            <w:tcW w:w="1742" w:type="dxa"/>
            <w:tcBorders>
              <w:top w:val="single" w:color="auto" w:sz="6" w:space="0"/>
              <w:left w:val="single" w:color="auto" w:sz="6" w:space="0"/>
              <w:bottom w:val="single" w:color="auto" w:sz="4" w:space="0"/>
              <w:right w:val="single" w:color="auto" w:sz="6" w:space="0"/>
            </w:tcBorders>
            <w:vAlign w:val="center"/>
          </w:tcPr>
          <w:p w14:paraId="75D138A7">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逾期付款利息</w:t>
            </w:r>
          </w:p>
        </w:tc>
        <w:tc>
          <w:tcPr>
            <w:tcW w:w="5170" w:type="dxa"/>
            <w:tcBorders>
              <w:top w:val="single" w:color="auto" w:sz="6" w:space="0"/>
              <w:left w:val="single" w:color="auto" w:sz="6" w:space="0"/>
              <w:bottom w:val="single" w:color="auto" w:sz="6" w:space="0"/>
              <w:right w:val="double" w:color="auto" w:sz="2" w:space="0"/>
            </w:tcBorders>
            <w:vAlign w:val="center"/>
          </w:tcPr>
          <w:p w14:paraId="1870B202">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w:t>
            </w:r>
          </w:p>
        </w:tc>
      </w:tr>
      <w:tr w14:paraId="53B2F4F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2" w:space="0"/>
              <w:bottom w:val="single" w:color="auto" w:sz="2" w:space="0"/>
              <w:right w:val="single" w:color="auto" w:sz="4" w:space="0"/>
            </w:tcBorders>
            <w:vAlign w:val="center"/>
          </w:tcPr>
          <w:p w14:paraId="517907E3">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301DE7D2">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第15.4款</w:t>
            </w:r>
          </w:p>
        </w:tc>
        <w:tc>
          <w:tcPr>
            <w:tcW w:w="1742" w:type="dxa"/>
            <w:tcBorders>
              <w:top w:val="single" w:color="auto" w:sz="4" w:space="0"/>
              <w:left w:val="single" w:color="auto" w:sz="4" w:space="0"/>
              <w:bottom w:val="single" w:color="auto" w:sz="2" w:space="0"/>
              <w:right w:val="single" w:color="auto" w:sz="4" w:space="0"/>
            </w:tcBorders>
            <w:vAlign w:val="center"/>
          </w:tcPr>
          <w:p w14:paraId="02B59F90">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其他违约责任</w:t>
            </w:r>
          </w:p>
        </w:tc>
        <w:tc>
          <w:tcPr>
            <w:tcW w:w="5170" w:type="dxa"/>
            <w:tcBorders>
              <w:top w:val="single" w:color="auto" w:sz="6" w:space="0"/>
              <w:left w:val="single" w:color="auto" w:sz="4" w:space="0"/>
              <w:bottom w:val="single" w:color="auto" w:sz="2" w:space="0"/>
              <w:right w:val="double" w:color="auto" w:sz="2" w:space="0"/>
            </w:tcBorders>
            <w:vAlign w:val="center"/>
          </w:tcPr>
          <w:p w14:paraId="64AA3714">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single"/>
                <w:lang w:bidi="ar"/>
              </w:rPr>
              <w:t>合同一方不履行合同义务或者履行合同义务不符合约定的，应当承担继续履行、采取补救措施或者赔偿损失等违约责任。</w:t>
            </w:r>
          </w:p>
        </w:tc>
      </w:tr>
      <w:tr w14:paraId="56FA4AE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2" w:space="0"/>
              <w:bottom w:val="single" w:color="auto" w:sz="6" w:space="0"/>
              <w:right w:val="single" w:color="auto" w:sz="4" w:space="0"/>
            </w:tcBorders>
            <w:vAlign w:val="center"/>
          </w:tcPr>
          <w:p w14:paraId="72E87F9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26EA0654">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第19.2款</w:t>
            </w:r>
          </w:p>
        </w:tc>
        <w:tc>
          <w:tcPr>
            <w:tcW w:w="1742" w:type="dxa"/>
            <w:tcBorders>
              <w:top w:val="single" w:color="auto" w:sz="2" w:space="0"/>
              <w:left w:val="single" w:color="auto" w:sz="4" w:space="0"/>
              <w:bottom w:val="single" w:color="auto" w:sz="4" w:space="0"/>
              <w:right w:val="single" w:color="auto" w:sz="4" w:space="0"/>
            </w:tcBorders>
            <w:vAlign w:val="center"/>
          </w:tcPr>
          <w:p w14:paraId="09773C44">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解决争议的方法</w:t>
            </w:r>
          </w:p>
        </w:tc>
        <w:tc>
          <w:tcPr>
            <w:tcW w:w="5170" w:type="dxa"/>
            <w:tcBorders>
              <w:top w:val="single" w:color="auto" w:sz="2" w:space="0"/>
              <w:left w:val="single" w:color="auto" w:sz="4" w:space="0"/>
              <w:bottom w:val="single" w:color="auto" w:sz="6" w:space="0"/>
              <w:right w:val="double" w:color="auto" w:sz="2" w:space="0"/>
            </w:tcBorders>
            <w:vAlign w:val="center"/>
          </w:tcPr>
          <w:p w14:paraId="701C69E1">
            <w:pPr>
              <w:autoSpaceDE w:val="0"/>
              <w:autoSpaceDN w:val="0"/>
              <w:adjustRightInd w:val="0"/>
              <w:snapToGrid w:val="0"/>
              <w:spacing w:line="360" w:lineRule="auto"/>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因本合同及合同有关事项发生的争议，按下列第</w:t>
            </w:r>
            <w:r>
              <w:rPr>
                <w:rFonts w:hint="eastAsia" w:ascii="宋体" w:hAnsi="宋体" w:eastAsia="宋体" w:cs="宋体"/>
                <w:iCs/>
                <w:color w:val="auto"/>
                <w:sz w:val="24"/>
                <w:szCs w:val="24"/>
                <w:highlight w:val="none"/>
                <w:u w:val="single"/>
                <w:lang w:bidi="ar"/>
              </w:rPr>
              <w:t xml:space="preserve"> （1） </w:t>
            </w:r>
            <w:r>
              <w:rPr>
                <w:rFonts w:hint="eastAsia" w:ascii="宋体" w:hAnsi="宋体" w:eastAsia="宋体" w:cs="宋体"/>
                <w:iCs/>
                <w:color w:val="auto"/>
                <w:sz w:val="24"/>
                <w:szCs w:val="24"/>
                <w:highlight w:val="none"/>
                <w:lang w:bidi="ar"/>
              </w:rPr>
              <w:t>种方式解决：</w:t>
            </w:r>
          </w:p>
          <w:p w14:paraId="1B249E06">
            <w:pPr>
              <w:autoSpaceDE w:val="0"/>
              <w:autoSpaceDN w:val="0"/>
              <w:adjustRightInd w:val="0"/>
              <w:snapToGrid w:val="0"/>
              <w:spacing w:line="360" w:lineRule="auto"/>
              <w:jc w:val="left"/>
              <w:rPr>
                <w:rFonts w:hint="eastAsia" w:ascii="宋体" w:hAnsi="宋体" w:eastAsia="宋体" w:cs="宋体"/>
                <w:iCs/>
                <w:color w:val="auto"/>
                <w:sz w:val="24"/>
                <w:szCs w:val="24"/>
                <w:highlight w:val="none"/>
              </w:rPr>
            </w:pPr>
            <w:r>
              <w:rPr>
                <w:rFonts w:hint="eastAsia" w:ascii="宋体" w:hAnsi="宋体" w:eastAsia="宋体" w:cs="宋体"/>
                <w:iCs/>
                <w:color w:val="auto"/>
                <w:sz w:val="24"/>
                <w:szCs w:val="24"/>
                <w:highlight w:val="none"/>
                <w:lang w:bidi="ar"/>
              </w:rPr>
              <w:t>（1）向</w:t>
            </w:r>
            <w:r>
              <w:rPr>
                <w:rFonts w:hint="eastAsia" w:ascii="宋体" w:hAnsi="宋体" w:eastAsia="宋体" w:cs="宋体"/>
                <w:iCs/>
                <w:color w:val="auto"/>
                <w:sz w:val="24"/>
                <w:szCs w:val="24"/>
                <w:highlight w:val="none"/>
                <w:u w:val="single"/>
                <w:lang w:bidi="ar"/>
              </w:rPr>
              <w:t xml:space="preserve"> 滁州 </w:t>
            </w:r>
            <w:r>
              <w:rPr>
                <w:rFonts w:hint="eastAsia" w:ascii="宋体" w:hAnsi="宋体" w:eastAsia="宋体" w:cs="宋体"/>
                <w:iCs/>
                <w:color w:val="auto"/>
                <w:sz w:val="24"/>
                <w:szCs w:val="24"/>
                <w:highlight w:val="none"/>
                <w:lang w:bidi="ar"/>
              </w:rPr>
              <w:t>仲裁委员会申请仲裁，仲裁地点为</w:t>
            </w:r>
            <w:r>
              <w:rPr>
                <w:rFonts w:hint="eastAsia" w:ascii="宋体" w:hAnsi="宋体" w:eastAsia="宋体" w:cs="宋体"/>
                <w:iCs/>
                <w:color w:val="auto"/>
                <w:sz w:val="24"/>
                <w:szCs w:val="24"/>
                <w:highlight w:val="none"/>
                <w:u w:val="single"/>
                <w:lang w:bidi="ar"/>
              </w:rPr>
              <w:t xml:space="preserve">  滁州市 </w:t>
            </w:r>
            <w:r>
              <w:rPr>
                <w:rFonts w:hint="eastAsia" w:ascii="宋体" w:hAnsi="宋体" w:eastAsia="宋体" w:cs="宋体"/>
                <w:iCs/>
                <w:color w:val="auto"/>
                <w:sz w:val="24"/>
                <w:szCs w:val="24"/>
                <w:highlight w:val="none"/>
                <w:lang w:bidi="ar"/>
              </w:rPr>
              <w:t>；</w:t>
            </w:r>
          </w:p>
          <w:p w14:paraId="61AC7494">
            <w:pPr>
              <w:adjustRightInd w:val="0"/>
              <w:snapToGrid w:val="0"/>
              <w:spacing w:line="360" w:lineRule="auto"/>
              <w:jc w:val="left"/>
              <w:rPr>
                <w:rFonts w:hint="eastAsia" w:ascii="宋体" w:hAnsi="宋体" w:eastAsia="宋体" w:cs="宋体"/>
                <w:color w:val="auto"/>
                <w:sz w:val="24"/>
                <w:szCs w:val="24"/>
                <w:highlight w:val="none"/>
                <w:u w:val="single"/>
              </w:rPr>
            </w:pPr>
            <w:r>
              <w:rPr>
                <w:rFonts w:hint="eastAsia" w:ascii="宋体" w:hAnsi="宋体" w:eastAsia="宋体" w:cs="宋体"/>
                <w:iCs/>
                <w:color w:val="auto"/>
                <w:sz w:val="24"/>
                <w:szCs w:val="24"/>
                <w:highlight w:val="none"/>
                <w:lang w:bidi="ar"/>
              </w:rPr>
              <w:t>（2）向</w:t>
            </w:r>
            <w:r>
              <w:rPr>
                <w:rFonts w:hint="eastAsia" w:ascii="宋体" w:hAnsi="宋体" w:eastAsia="宋体" w:cs="宋体"/>
                <w:iCs/>
                <w:color w:val="auto"/>
                <w:sz w:val="24"/>
                <w:szCs w:val="24"/>
                <w:highlight w:val="none"/>
                <w:u w:val="single"/>
                <w:lang w:bidi="ar"/>
              </w:rPr>
              <w:t xml:space="preserve">  项目所在地  </w:t>
            </w:r>
            <w:r>
              <w:rPr>
                <w:rFonts w:hint="eastAsia" w:ascii="宋体" w:hAnsi="宋体" w:eastAsia="宋体" w:cs="宋体"/>
                <w:iCs/>
                <w:color w:val="auto"/>
                <w:sz w:val="24"/>
                <w:szCs w:val="24"/>
                <w:highlight w:val="none"/>
                <w:lang w:bidi="ar"/>
              </w:rPr>
              <w:t>人民法院起诉。</w:t>
            </w:r>
          </w:p>
        </w:tc>
      </w:tr>
      <w:tr w14:paraId="1417651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2" w:space="0"/>
              <w:bottom w:val="double" w:color="auto" w:sz="2" w:space="0"/>
              <w:right w:val="single" w:color="auto" w:sz="6" w:space="0"/>
            </w:tcBorders>
            <w:vAlign w:val="center"/>
          </w:tcPr>
          <w:p w14:paraId="198EF4A6">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第二节</w:t>
            </w:r>
          </w:p>
          <w:p w14:paraId="7F30900F">
            <w:pPr>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第23.1款</w:t>
            </w:r>
          </w:p>
        </w:tc>
        <w:tc>
          <w:tcPr>
            <w:tcW w:w="1742" w:type="dxa"/>
            <w:tcBorders>
              <w:top w:val="single" w:color="auto" w:sz="4" w:space="0"/>
              <w:left w:val="single" w:color="auto" w:sz="6" w:space="0"/>
              <w:bottom w:val="double" w:color="auto" w:sz="2" w:space="0"/>
              <w:right w:val="single" w:color="auto" w:sz="6" w:space="0"/>
            </w:tcBorders>
            <w:vAlign w:val="center"/>
          </w:tcPr>
          <w:p w14:paraId="101CC735">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bidi="ar"/>
              </w:rPr>
              <w:t>其他专用条款</w:t>
            </w:r>
          </w:p>
        </w:tc>
        <w:tc>
          <w:tcPr>
            <w:tcW w:w="5170" w:type="dxa"/>
            <w:tcBorders>
              <w:top w:val="single" w:color="auto" w:sz="6" w:space="0"/>
              <w:left w:val="single" w:color="auto" w:sz="6" w:space="0"/>
              <w:bottom w:val="double" w:color="auto" w:sz="2" w:space="0"/>
              <w:right w:val="double" w:color="auto" w:sz="2" w:space="0"/>
            </w:tcBorders>
            <w:vAlign w:val="center"/>
          </w:tcPr>
          <w:p w14:paraId="1595B2FF">
            <w:pPr>
              <w:adjustRightInd w:val="0"/>
              <w:snapToGrid w:val="0"/>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本合同未尽事宜应按《中华人民共和国政府采购法》、《中华人民共和国民法典》、《中华人民共和国产品质量法》之规定解释或签订合同时补充</w:t>
            </w:r>
          </w:p>
        </w:tc>
      </w:tr>
    </w:tbl>
    <w:p w14:paraId="197C2B82">
      <w:pPr>
        <w:pStyle w:val="13"/>
        <w:rPr>
          <w:rFonts w:hint="eastAsia"/>
          <w:color w:val="auto"/>
          <w:highlight w:val="none"/>
        </w:rPr>
      </w:pPr>
    </w:p>
    <w:p w14:paraId="77104C31">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C62D0A7">
      <w:pPr>
        <w:spacing w:line="360" w:lineRule="auto"/>
        <w:jc w:val="center"/>
        <w:outlineLvl w:val="0"/>
        <w:rPr>
          <w:rFonts w:asciiTheme="minorEastAsia" w:hAnsiTheme="minorEastAsia" w:eastAsiaTheme="minorEastAsia"/>
          <w:b/>
          <w:color w:val="auto"/>
          <w:sz w:val="28"/>
          <w:highlight w:val="none"/>
        </w:rPr>
      </w:pPr>
      <w:bookmarkStart w:id="29" w:name="_Toc22492"/>
      <w:r>
        <w:rPr>
          <w:rFonts w:hint="eastAsia" w:asciiTheme="minorEastAsia" w:hAnsiTheme="minorEastAsia" w:eastAsiaTheme="minorEastAsia"/>
          <w:b/>
          <w:color w:val="auto"/>
          <w:sz w:val="28"/>
          <w:highlight w:val="none"/>
        </w:rPr>
        <w:t>第六章  投标文件格式</w:t>
      </w:r>
      <w:bookmarkEnd w:id="29"/>
    </w:p>
    <w:p w14:paraId="1AF98527">
      <w:pPr>
        <w:spacing w:line="900" w:lineRule="exact"/>
        <w:jc w:val="center"/>
        <w:rPr>
          <w:rFonts w:asciiTheme="minorEastAsia" w:hAnsiTheme="minorEastAsia" w:eastAsiaTheme="minorEastAsia"/>
          <w:b/>
          <w:color w:val="auto"/>
          <w:sz w:val="72"/>
          <w:highlight w:val="none"/>
        </w:rPr>
      </w:pPr>
    </w:p>
    <w:p w14:paraId="10E35E8A">
      <w:pPr>
        <w:spacing w:line="900" w:lineRule="exact"/>
        <w:jc w:val="center"/>
        <w:outlineLvl w:val="1"/>
        <w:rPr>
          <w:rFonts w:asciiTheme="minorEastAsia" w:hAnsiTheme="minorEastAsia" w:eastAsiaTheme="minorEastAsia"/>
          <w:b/>
          <w:color w:val="auto"/>
          <w:sz w:val="72"/>
          <w:highlight w:val="none"/>
        </w:rPr>
      </w:pPr>
      <w:bookmarkStart w:id="30" w:name="_Toc651"/>
      <w:r>
        <w:rPr>
          <w:rFonts w:hint="eastAsia" w:asciiTheme="minorEastAsia" w:hAnsiTheme="minorEastAsia" w:eastAsiaTheme="minorEastAsia"/>
          <w:b/>
          <w:color w:val="auto"/>
          <w:sz w:val="72"/>
          <w:highlight w:val="none"/>
        </w:rPr>
        <w:t>投</w:t>
      </w:r>
      <w:bookmarkEnd w:id="30"/>
    </w:p>
    <w:p w14:paraId="0C75F631">
      <w:pPr>
        <w:spacing w:line="900" w:lineRule="exact"/>
        <w:jc w:val="center"/>
        <w:rPr>
          <w:rFonts w:asciiTheme="minorEastAsia" w:hAnsiTheme="minorEastAsia" w:eastAsiaTheme="minorEastAsia"/>
          <w:b/>
          <w:color w:val="auto"/>
          <w:sz w:val="72"/>
          <w:highlight w:val="none"/>
        </w:rPr>
      </w:pPr>
    </w:p>
    <w:p w14:paraId="7B5CAFAC">
      <w:pPr>
        <w:spacing w:line="900" w:lineRule="exact"/>
        <w:jc w:val="center"/>
        <w:outlineLvl w:val="1"/>
        <w:rPr>
          <w:rFonts w:asciiTheme="minorEastAsia" w:hAnsiTheme="minorEastAsia" w:eastAsiaTheme="minorEastAsia"/>
          <w:b/>
          <w:color w:val="auto"/>
          <w:sz w:val="72"/>
          <w:highlight w:val="none"/>
        </w:rPr>
      </w:pPr>
      <w:bookmarkStart w:id="31" w:name="_Toc6148"/>
      <w:r>
        <w:rPr>
          <w:rFonts w:hint="eastAsia" w:asciiTheme="minorEastAsia" w:hAnsiTheme="minorEastAsia" w:eastAsiaTheme="minorEastAsia"/>
          <w:b/>
          <w:color w:val="auto"/>
          <w:sz w:val="72"/>
          <w:highlight w:val="none"/>
        </w:rPr>
        <w:t>标</w:t>
      </w:r>
      <w:bookmarkEnd w:id="31"/>
    </w:p>
    <w:p w14:paraId="1244BC68">
      <w:pPr>
        <w:spacing w:line="900" w:lineRule="exact"/>
        <w:jc w:val="center"/>
        <w:rPr>
          <w:rFonts w:asciiTheme="minorEastAsia" w:hAnsiTheme="minorEastAsia" w:eastAsiaTheme="minorEastAsia"/>
          <w:b/>
          <w:color w:val="auto"/>
          <w:sz w:val="72"/>
          <w:highlight w:val="none"/>
        </w:rPr>
      </w:pPr>
    </w:p>
    <w:p w14:paraId="0F586624">
      <w:pPr>
        <w:spacing w:line="900" w:lineRule="exact"/>
        <w:jc w:val="center"/>
        <w:outlineLvl w:val="1"/>
        <w:rPr>
          <w:rFonts w:asciiTheme="minorEastAsia" w:hAnsiTheme="minorEastAsia" w:eastAsiaTheme="minorEastAsia"/>
          <w:b/>
          <w:color w:val="auto"/>
          <w:sz w:val="72"/>
          <w:highlight w:val="none"/>
        </w:rPr>
      </w:pPr>
      <w:bookmarkStart w:id="32" w:name="_Toc1338"/>
      <w:r>
        <w:rPr>
          <w:rFonts w:hint="eastAsia" w:asciiTheme="minorEastAsia" w:hAnsiTheme="minorEastAsia" w:eastAsiaTheme="minorEastAsia"/>
          <w:b/>
          <w:color w:val="auto"/>
          <w:sz w:val="72"/>
          <w:highlight w:val="none"/>
        </w:rPr>
        <w:t>文</w:t>
      </w:r>
      <w:bookmarkEnd w:id="32"/>
    </w:p>
    <w:p w14:paraId="01768507">
      <w:pPr>
        <w:spacing w:line="900" w:lineRule="exact"/>
        <w:jc w:val="center"/>
        <w:rPr>
          <w:rFonts w:asciiTheme="minorEastAsia" w:hAnsiTheme="minorEastAsia" w:eastAsiaTheme="minorEastAsia"/>
          <w:b/>
          <w:color w:val="auto"/>
          <w:sz w:val="72"/>
          <w:highlight w:val="none"/>
        </w:rPr>
      </w:pPr>
    </w:p>
    <w:p w14:paraId="3916DF4B">
      <w:pPr>
        <w:jc w:val="center"/>
        <w:outlineLvl w:val="1"/>
        <w:rPr>
          <w:rFonts w:asciiTheme="minorEastAsia" w:hAnsiTheme="minorEastAsia" w:eastAsiaTheme="minorEastAsia"/>
          <w:b/>
          <w:color w:val="auto"/>
          <w:sz w:val="72"/>
          <w:highlight w:val="none"/>
        </w:rPr>
      </w:pPr>
      <w:bookmarkStart w:id="33" w:name="_Toc10796"/>
      <w:r>
        <w:rPr>
          <w:rFonts w:hint="eastAsia" w:asciiTheme="minorEastAsia" w:hAnsiTheme="minorEastAsia" w:eastAsiaTheme="minorEastAsia"/>
          <w:b/>
          <w:color w:val="auto"/>
          <w:sz w:val="72"/>
          <w:highlight w:val="none"/>
        </w:rPr>
        <w:t>件</w:t>
      </w:r>
      <w:bookmarkEnd w:id="33"/>
    </w:p>
    <w:p w14:paraId="4D195CF3">
      <w:pPr>
        <w:spacing w:after="156" w:afterLines="50"/>
        <w:jc w:val="center"/>
        <w:rPr>
          <w:rFonts w:asciiTheme="minorEastAsia" w:hAnsiTheme="minorEastAsia" w:eastAsiaTheme="minorEastAsia"/>
          <w:b/>
          <w:color w:val="auto"/>
          <w:sz w:val="72"/>
          <w:highlight w:val="none"/>
        </w:rPr>
      </w:pPr>
    </w:p>
    <w:p w14:paraId="759B157C">
      <w:pPr>
        <w:spacing w:before="156" w:beforeLines="50" w:after="156" w:afterLines="50"/>
        <w:jc w:val="center"/>
        <w:outlineLvl w:val="9"/>
        <w:rPr>
          <w:rFonts w:hint="eastAsia" w:asciiTheme="minorEastAsia" w:hAnsiTheme="minorEastAsia" w:eastAsiaTheme="minorEastAsia"/>
          <w:b/>
          <w:color w:val="auto"/>
          <w:sz w:val="32"/>
          <w:szCs w:val="32"/>
          <w:highlight w:val="none"/>
          <w:lang w:eastAsia="zh-CN"/>
        </w:rPr>
      </w:pPr>
      <w:r>
        <w:rPr>
          <w:rFonts w:hint="eastAsia" w:asciiTheme="minorEastAsia" w:hAnsiTheme="minorEastAsia" w:eastAsiaTheme="minorEastAsia"/>
          <w:b/>
          <w:color w:val="auto"/>
          <w:sz w:val="32"/>
          <w:szCs w:val="32"/>
          <w:highlight w:val="none"/>
          <w:lang w:val="en-US" w:eastAsia="zh-CN"/>
        </w:rPr>
        <w:t xml:space="preserve"> </w:t>
      </w:r>
    </w:p>
    <w:p w14:paraId="399F1B12">
      <w:pPr>
        <w:spacing w:after="156" w:afterLines="50" w:line="500" w:lineRule="exact"/>
        <w:jc w:val="center"/>
        <w:rPr>
          <w:rFonts w:asciiTheme="minorEastAsia" w:hAnsiTheme="minorEastAsia" w:eastAsiaTheme="minorEastAsia"/>
          <w:b/>
          <w:color w:val="auto"/>
          <w:sz w:val="28"/>
          <w:szCs w:val="28"/>
          <w:highlight w:val="none"/>
        </w:rPr>
      </w:pPr>
    </w:p>
    <w:p w14:paraId="511567BD">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3D9FCA9">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0F3ED52E">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4BAABCDF">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34" w:name="_Toc8037"/>
      <w:bookmarkStart w:id="35" w:name="_Toc9994"/>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34"/>
      <w:bookmarkEnd w:id="35"/>
    </w:p>
    <w:p w14:paraId="4A93E4A3">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0C860D04">
      <w:pPr>
        <w:spacing w:line="360" w:lineRule="auto"/>
        <w:jc w:val="center"/>
        <w:outlineLvl w:val="1"/>
        <w:rPr>
          <w:rFonts w:asciiTheme="minorEastAsia" w:hAnsiTheme="minorEastAsia" w:eastAsiaTheme="minorEastAsia"/>
          <w:b/>
          <w:color w:val="auto"/>
          <w:sz w:val="24"/>
          <w:highlight w:val="none"/>
        </w:rPr>
      </w:pPr>
      <w:bookmarkStart w:id="36" w:name="_Toc28960"/>
      <w:bookmarkStart w:id="37" w:name="_Toc5555"/>
      <w:r>
        <w:rPr>
          <w:rFonts w:hint="eastAsia" w:asciiTheme="minorEastAsia" w:hAnsiTheme="minorEastAsia" w:eastAsiaTheme="minorEastAsia"/>
          <w:b/>
          <w:color w:val="auto"/>
          <w:sz w:val="24"/>
          <w:highlight w:val="none"/>
        </w:rPr>
        <w:t>一、开标一览表</w:t>
      </w:r>
      <w:bookmarkEnd w:id="36"/>
      <w:bookmarkEnd w:id="37"/>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129C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6C58321A">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18E8D974">
            <w:pPr>
              <w:spacing w:line="360" w:lineRule="exact"/>
              <w:jc w:val="center"/>
              <w:rPr>
                <w:rFonts w:asciiTheme="minorEastAsia" w:hAnsiTheme="minorEastAsia" w:eastAsiaTheme="minorEastAsia"/>
                <w:bCs/>
                <w:color w:val="auto"/>
                <w:sz w:val="24"/>
                <w:highlight w:val="none"/>
                <w:u w:val="single"/>
              </w:rPr>
            </w:pPr>
          </w:p>
        </w:tc>
      </w:tr>
      <w:tr w14:paraId="5780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6EF58A56">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79033302">
            <w:pPr>
              <w:spacing w:line="360" w:lineRule="auto"/>
              <w:rPr>
                <w:rFonts w:asciiTheme="minorEastAsia" w:hAnsiTheme="minorEastAsia" w:eastAsiaTheme="minorEastAsia"/>
                <w:color w:val="auto"/>
                <w:sz w:val="24"/>
                <w:highlight w:val="none"/>
              </w:rPr>
            </w:pPr>
          </w:p>
        </w:tc>
      </w:tr>
      <w:tr w14:paraId="41687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789101AC">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17D83307">
            <w:pPr>
              <w:keepNext w:val="0"/>
              <w:keepLines w:val="0"/>
              <w:pageBreakBefore w:val="0"/>
              <w:widowControl/>
              <w:kinsoku/>
              <w:wordWrap/>
              <w:overflowPunct/>
              <w:topLinePunct w:val="0"/>
              <w:autoSpaceDE/>
              <w:autoSpaceDN/>
              <w:bidi w:val="0"/>
              <w:adjustRightInd/>
              <w:spacing w:line="360" w:lineRule="auto"/>
              <w:textAlignment w:val="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szCs w:val="28"/>
                <w:highlight w:val="none"/>
              </w:rPr>
              <w:t>全部</w:t>
            </w:r>
            <w:r>
              <w:rPr>
                <w:rFonts w:hint="eastAsia" w:asciiTheme="minorEastAsia" w:hAnsiTheme="minorEastAsia" w:eastAsiaTheme="minorEastAsia"/>
                <w:color w:val="auto"/>
                <w:sz w:val="24"/>
                <w:szCs w:val="28"/>
                <w:highlight w:val="none"/>
                <w:lang w:val="en-US" w:eastAsia="zh-CN"/>
              </w:rPr>
              <w:t xml:space="preserve"> </w:t>
            </w:r>
          </w:p>
        </w:tc>
      </w:tr>
      <w:tr w14:paraId="6B3C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541CFCF2">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570A2749">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43F5BFB3">
            <w:pPr>
              <w:keepNext w:val="0"/>
              <w:keepLines w:val="0"/>
              <w:pageBreakBefore w:val="0"/>
              <w:widowControl w:val="0"/>
              <w:kinsoku/>
              <w:wordWrap/>
              <w:overflowPunct/>
              <w:topLinePunct w:val="0"/>
              <w:autoSpaceDE/>
              <w:autoSpaceDN/>
              <w:bidi w:val="0"/>
              <w:adjustRightInd/>
              <w:spacing w:line="360" w:lineRule="auto"/>
              <w:ind w:right="-670"/>
              <w:textAlignment w:val="auto"/>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51ED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1E5C3718">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21472E6F">
            <w:pPr>
              <w:spacing w:line="360" w:lineRule="auto"/>
              <w:jc w:val="left"/>
              <w:rPr>
                <w:rFonts w:asciiTheme="minorEastAsia" w:hAnsiTheme="minorEastAsia" w:eastAsiaTheme="minorEastAsia"/>
                <w:color w:val="auto"/>
                <w:sz w:val="24"/>
                <w:szCs w:val="28"/>
                <w:highlight w:val="none"/>
              </w:rPr>
            </w:pPr>
          </w:p>
        </w:tc>
      </w:tr>
    </w:tbl>
    <w:p w14:paraId="731F99C0">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lang w:val="en-US" w:eastAsia="zh-CN"/>
        </w:rPr>
        <w:t>投标人</w:t>
      </w:r>
      <w:r>
        <w:rPr>
          <w:rFonts w:hint="eastAsia" w:asciiTheme="minorEastAsia" w:hAnsiTheme="minorEastAsia" w:eastAsiaTheme="minorEastAsia"/>
          <w:bCs/>
          <w:color w:val="auto"/>
          <w:sz w:val="24"/>
          <w:highlight w:val="none"/>
        </w:rPr>
        <w:t>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38396D4E">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B3FB09D">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6B4100BF">
      <w:pPr>
        <w:spacing w:line="360" w:lineRule="auto"/>
        <w:ind w:firstLine="360" w:firstLineChars="150"/>
        <w:rPr>
          <w:rFonts w:asciiTheme="minorEastAsia" w:hAnsiTheme="minorEastAsia" w:eastAsiaTheme="minorEastAsia"/>
          <w:color w:val="auto"/>
          <w:sz w:val="24"/>
          <w:highlight w:val="none"/>
        </w:rPr>
      </w:pPr>
    </w:p>
    <w:p w14:paraId="2F3A8CA1">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625B4DF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47D10726">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254F98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5FD7422A">
      <w:pPr>
        <w:spacing w:line="360" w:lineRule="auto"/>
        <w:jc w:val="center"/>
        <w:outlineLvl w:val="1"/>
        <w:rPr>
          <w:rFonts w:asciiTheme="minorEastAsia" w:hAnsiTheme="minorEastAsia" w:eastAsiaTheme="minorEastAsia"/>
          <w:b/>
          <w:color w:val="auto"/>
          <w:sz w:val="24"/>
          <w:highlight w:val="none"/>
        </w:rPr>
      </w:pPr>
      <w:bookmarkStart w:id="38" w:name="_Toc18010"/>
      <w:bookmarkStart w:id="39" w:name="_Toc6441"/>
      <w:r>
        <w:rPr>
          <w:rFonts w:hint="eastAsia" w:asciiTheme="minorEastAsia" w:hAnsiTheme="minorEastAsia" w:eastAsiaTheme="minorEastAsia"/>
          <w:b/>
          <w:color w:val="auto"/>
          <w:sz w:val="24"/>
          <w:highlight w:val="none"/>
        </w:rPr>
        <w:t>二、投标函</w:t>
      </w:r>
      <w:bookmarkEnd w:id="38"/>
      <w:bookmarkEnd w:id="39"/>
    </w:p>
    <w:p w14:paraId="2E887A1D">
      <w:pPr>
        <w:pStyle w:val="16"/>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18A929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7FE39B3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0BC759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5FEE256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2C8A0DF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37625540">
      <w:pPr>
        <w:spacing w:line="360" w:lineRule="auto"/>
        <w:ind w:firstLine="4800" w:firstLineChars="2000"/>
        <w:rPr>
          <w:rFonts w:ascii="宋体" w:hAnsi="宋体" w:eastAsia="宋体"/>
          <w:color w:val="auto"/>
          <w:sz w:val="24"/>
          <w:highlight w:val="none"/>
        </w:rPr>
      </w:pPr>
    </w:p>
    <w:p w14:paraId="415E700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37815C57">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EC93E05">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4E4AAB55">
      <w:pPr>
        <w:spacing w:line="360" w:lineRule="auto"/>
        <w:jc w:val="center"/>
        <w:outlineLvl w:val="1"/>
        <w:rPr>
          <w:rFonts w:hint="eastAsia" w:asciiTheme="minorEastAsia" w:hAnsiTheme="minorEastAsia" w:eastAsiaTheme="minorEastAsia"/>
          <w:b/>
          <w:color w:val="auto"/>
          <w:sz w:val="24"/>
          <w:highlight w:val="none"/>
        </w:rPr>
      </w:pPr>
      <w:bookmarkStart w:id="40" w:name="_Toc1328"/>
      <w:r>
        <w:rPr>
          <w:rFonts w:hint="eastAsia" w:asciiTheme="minorEastAsia" w:hAnsiTheme="minorEastAsia" w:eastAsiaTheme="minorEastAsia"/>
          <w:b/>
          <w:color w:val="auto"/>
          <w:sz w:val="24"/>
          <w:highlight w:val="none"/>
          <w:lang w:val="en-US" w:eastAsia="zh-CN"/>
        </w:rPr>
        <w:t>三．投标人资格声明书</w:t>
      </w:r>
      <w:bookmarkEnd w:id="40"/>
      <w:r>
        <w:rPr>
          <w:rFonts w:hint="eastAsia" w:asciiTheme="minorEastAsia" w:hAnsiTheme="minorEastAsia" w:eastAsiaTheme="minorEastAsia"/>
          <w:b/>
          <w:color w:val="auto"/>
          <w:sz w:val="24"/>
          <w:highlight w:val="none"/>
          <w:lang w:val="en-US" w:eastAsia="zh-CN"/>
        </w:rPr>
        <w:t xml:space="preserve"> </w:t>
      </w:r>
    </w:p>
    <w:p w14:paraId="4B339DCB">
      <w:pPr>
        <w:pStyle w:val="16"/>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7F7192E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232C8D0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5422C17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6BDE104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340FFDA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1036434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3AF47C5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AA9A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54317BE">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7E30D52F">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545471ED">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43D4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BC85A9D">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16B45598">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0F1FAD1A">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7B44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97894F6">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3F1E77B4">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14007743">
            <w:pPr>
              <w:pStyle w:val="10"/>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3B9BFBE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76BDEC47">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C39AADA">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2CB03ECF">
      <w:pPr>
        <w:pStyle w:val="10"/>
        <w:rPr>
          <w:rFonts w:hint="eastAsia" w:asciiTheme="minorEastAsia" w:hAnsiTheme="minorEastAsia" w:eastAsiaTheme="minorEastAsia" w:cstheme="minorEastAsia"/>
          <w:color w:val="auto"/>
          <w:kern w:val="0"/>
          <w:sz w:val="24"/>
          <w:szCs w:val="24"/>
          <w:highlight w:val="none"/>
          <w:lang w:val="en-US" w:eastAsia="zh-CN" w:bidi="ar"/>
        </w:rPr>
      </w:pPr>
    </w:p>
    <w:p w14:paraId="567E3CF0">
      <w:pPr>
        <w:pStyle w:val="10"/>
        <w:rPr>
          <w:rFonts w:hint="eastAsia" w:asciiTheme="minorEastAsia" w:hAnsiTheme="minorEastAsia" w:eastAsiaTheme="minorEastAsia" w:cstheme="minorEastAsia"/>
          <w:color w:val="auto"/>
          <w:kern w:val="0"/>
          <w:sz w:val="24"/>
          <w:szCs w:val="24"/>
          <w:highlight w:val="none"/>
          <w:lang w:val="en-US" w:eastAsia="zh-CN" w:bidi="ar"/>
        </w:rPr>
      </w:pPr>
    </w:p>
    <w:p w14:paraId="02EBCB25">
      <w:pPr>
        <w:pStyle w:val="10"/>
        <w:rPr>
          <w:rFonts w:hint="eastAsia" w:asciiTheme="minorEastAsia" w:hAnsiTheme="minorEastAsia" w:eastAsiaTheme="minorEastAsia" w:cstheme="minorEastAsia"/>
          <w:color w:val="auto"/>
          <w:kern w:val="0"/>
          <w:sz w:val="24"/>
          <w:szCs w:val="24"/>
          <w:highlight w:val="none"/>
          <w:lang w:val="en-US" w:eastAsia="zh-CN" w:bidi="ar"/>
        </w:rPr>
      </w:pPr>
    </w:p>
    <w:p w14:paraId="524EAD46">
      <w:pPr>
        <w:rPr>
          <w:rFonts w:hint="eastAsia" w:asciiTheme="minorEastAsia" w:hAnsiTheme="minorEastAsia" w:eastAsiaTheme="minorEastAsia"/>
          <w:b/>
          <w:color w:val="auto"/>
          <w:sz w:val="24"/>
          <w:highlight w:val="none"/>
        </w:rPr>
      </w:pPr>
      <w:bookmarkStart w:id="41" w:name="_Toc11607"/>
      <w:r>
        <w:rPr>
          <w:rFonts w:hint="eastAsia" w:asciiTheme="minorEastAsia" w:hAnsiTheme="minorEastAsia" w:eastAsiaTheme="minorEastAsia"/>
          <w:b/>
          <w:color w:val="auto"/>
          <w:sz w:val="24"/>
          <w:highlight w:val="none"/>
        </w:rPr>
        <w:br w:type="page"/>
      </w:r>
    </w:p>
    <w:p w14:paraId="2B5D74D2">
      <w:pPr>
        <w:spacing w:line="360" w:lineRule="auto"/>
        <w:jc w:val="center"/>
        <w:outlineLvl w:val="1"/>
        <w:rPr>
          <w:rFonts w:asciiTheme="minorEastAsia" w:hAnsiTheme="minorEastAsia" w:eastAsiaTheme="minorEastAsia"/>
          <w:b/>
          <w:color w:val="auto"/>
          <w:sz w:val="24"/>
          <w:highlight w:val="none"/>
        </w:rPr>
      </w:pPr>
      <w:bookmarkStart w:id="42" w:name="_Toc16960"/>
      <w:r>
        <w:rPr>
          <w:rFonts w:hint="eastAsia" w:asciiTheme="minorEastAsia" w:hAnsiTheme="minorEastAsia" w:eastAsiaTheme="minorEastAsia"/>
          <w:b/>
          <w:color w:val="auto"/>
          <w:sz w:val="24"/>
          <w:highlight w:val="none"/>
        </w:rPr>
        <w:t>四、授权书</w:t>
      </w:r>
      <w:bookmarkEnd w:id="41"/>
      <w:bookmarkEnd w:id="42"/>
    </w:p>
    <w:p w14:paraId="3FF6F608">
      <w:pPr>
        <w:pStyle w:val="15"/>
        <w:snapToGrid w:val="0"/>
        <w:spacing w:line="360" w:lineRule="auto"/>
        <w:ind w:firstLine="480" w:firstLineChars="200"/>
        <w:jc w:val="left"/>
        <w:rPr>
          <w:rFonts w:hAnsi="宋体" w:eastAsia="宋体"/>
          <w:color w:val="auto"/>
          <w:sz w:val="24"/>
          <w:szCs w:val="28"/>
          <w:highlight w:val="none"/>
        </w:rPr>
      </w:pPr>
    </w:p>
    <w:p w14:paraId="191EF042">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56B305B3">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30EA6781">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65DB05BD">
      <w:pPr>
        <w:spacing w:line="360" w:lineRule="auto"/>
        <w:ind w:firstLine="435"/>
        <w:rPr>
          <w:rFonts w:asciiTheme="minorEastAsia" w:hAnsiTheme="minorEastAsia" w:eastAsiaTheme="minorEastAsia"/>
          <w:color w:val="auto"/>
          <w:sz w:val="24"/>
          <w:highlight w:val="none"/>
        </w:rPr>
      </w:pPr>
    </w:p>
    <w:p w14:paraId="2BAE10DD">
      <w:pPr>
        <w:spacing w:line="360" w:lineRule="auto"/>
        <w:ind w:firstLine="435"/>
        <w:rPr>
          <w:rFonts w:asciiTheme="minorEastAsia" w:hAnsiTheme="minorEastAsia" w:eastAsiaTheme="minorEastAsia"/>
          <w:color w:val="auto"/>
          <w:sz w:val="24"/>
          <w:highlight w:val="none"/>
        </w:rPr>
      </w:pPr>
    </w:p>
    <w:p w14:paraId="3246BDAE">
      <w:pPr>
        <w:spacing w:line="360" w:lineRule="auto"/>
        <w:ind w:firstLine="435"/>
        <w:rPr>
          <w:rFonts w:asciiTheme="minorEastAsia" w:hAnsiTheme="minorEastAsia" w:eastAsiaTheme="minorEastAsia"/>
          <w:color w:val="auto"/>
          <w:sz w:val="24"/>
          <w:highlight w:val="none"/>
        </w:rPr>
      </w:pPr>
    </w:p>
    <w:p w14:paraId="3537D490">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286E4C24">
      <w:pPr>
        <w:spacing w:line="360" w:lineRule="auto"/>
        <w:ind w:firstLine="435"/>
        <w:rPr>
          <w:rFonts w:hAnsi="宋体" w:eastAsia="宋体"/>
          <w:color w:val="auto"/>
          <w:sz w:val="24"/>
          <w:szCs w:val="28"/>
          <w:highlight w:val="none"/>
          <w:lang w:val="zh-CN"/>
        </w:rPr>
      </w:pPr>
    </w:p>
    <w:p w14:paraId="3BB5B9D9">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1922F0FE">
      <w:pPr>
        <w:spacing w:line="360" w:lineRule="auto"/>
        <w:rPr>
          <w:rFonts w:ascii="宋体" w:hAnsi="宋体" w:eastAsia="宋体"/>
          <w:color w:val="auto"/>
          <w:sz w:val="24"/>
          <w:szCs w:val="28"/>
          <w:highlight w:val="none"/>
        </w:rPr>
      </w:pPr>
    </w:p>
    <w:p w14:paraId="34592FE7">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lang w:val="en-US" w:eastAsia="zh-CN"/>
        </w:rPr>
        <w:t xml:space="preserve">                            </w:t>
      </w: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14:paraId="17E6162A">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1ED22158">
      <w:pPr>
        <w:spacing w:line="360" w:lineRule="auto"/>
        <w:ind w:firstLine="435"/>
        <w:rPr>
          <w:rFonts w:asciiTheme="minorEastAsia" w:hAnsiTheme="minorEastAsia" w:eastAsiaTheme="minorEastAsia"/>
          <w:color w:val="auto"/>
          <w:sz w:val="24"/>
          <w:highlight w:val="none"/>
        </w:rPr>
      </w:pPr>
    </w:p>
    <w:p w14:paraId="271E9458">
      <w:pPr>
        <w:spacing w:line="360" w:lineRule="auto"/>
        <w:ind w:firstLine="435"/>
        <w:rPr>
          <w:rFonts w:asciiTheme="minorEastAsia" w:hAnsiTheme="minorEastAsia" w:eastAsiaTheme="minorEastAsia"/>
          <w:color w:val="auto"/>
          <w:sz w:val="24"/>
          <w:highlight w:val="none"/>
        </w:rPr>
      </w:pPr>
    </w:p>
    <w:p w14:paraId="2B1DF592">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088F0F6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1E298CB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579B41A1">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7020DF75">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43" w:name="_Toc31991"/>
      <w:bookmarkStart w:id="44" w:name="_Toc6796"/>
      <w:r>
        <w:rPr>
          <w:rFonts w:hint="eastAsia" w:asciiTheme="minorEastAsia" w:hAnsiTheme="minorEastAsia" w:eastAsiaTheme="minorEastAsia"/>
          <w:b/>
          <w:color w:val="auto"/>
          <w:sz w:val="24"/>
          <w:highlight w:val="none"/>
        </w:rPr>
        <w:t>五、投标分项报价表</w:t>
      </w:r>
      <w:bookmarkEnd w:id="43"/>
      <w:bookmarkEnd w:id="44"/>
    </w:p>
    <w:p w14:paraId="2B7CA9A5">
      <w:pPr>
        <w:pStyle w:val="56"/>
        <w:jc w:val="left"/>
        <w:rPr>
          <w:rFonts w:hint="default" w:ascii="宋体" w:hAnsi="宋体" w:eastAsia="宋体"/>
          <w:b/>
          <w:bCs/>
          <w:color w:val="auto"/>
          <w:highlight w:val="none"/>
          <w:lang w:val="en-US" w:eastAsia="zh-CN"/>
        </w:rPr>
      </w:pPr>
      <w:r>
        <w:rPr>
          <w:rFonts w:hint="eastAsia" w:ascii="宋体" w:hAnsi="宋体" w:eastAsia="宋体"/>
          <w:b/>
          <w:bCs/>
          <w:color w:val="auto"/>
          <w:highlight w:val="none"/>
          <w:lang w:val="en-US" w:eastAsia="zh-CN"/>
        </w:rPr>
        <w:t>5-1货物部分</w:t>
      </w:r>
    </w:p>
    <w:tbl>
      <w:tblPr>
        <w:tblStyle w:val="2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470"/>
        <w:gridCol w:w="1169"/>
        <w:gridCol w:w="1316"/>
        <w:gridCol w:w="672"/>
        <w:gridCol w:w="672"/>
        <w:gridCol w:w="940"/>
        <w:gridCol w:w="940"/>
        <w:gridCol w:w="670"/>
      </w:tblGrid>
      <w:tr w14:paraId="7086E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23" w:hRule="atLeast"/>
          <w:jc w:val="center"/>
        </w:trPr>
        <w:tc>
          <w:tcPr>
            <w:tcW w:w="393" w:type="pct"/>
            <w:noWrap w:val="0"/>
            <w:vAlign w:val="center"/>
          </w:tcPr>
          <w:p w14:paraId="3E04BA45">
            <w:pPr>
              <w:pStyle w:val="48"/>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862" w:type="pct"/>
            <w:noWrap w:val="0"/>
            <w:vAlign w:val="center"/>
          </w:tcPr>
          <w:p w14:paraId="1FB2626D">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686" w:type="pct"/>
            <w:noWrap w:val="0"/>
            <w:vAlign w:val="center"/>
          </w:tcPr>
          <w:p w14:paraId="7391A509">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019C90C7">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772" w:type="pct"/>
            <w:noWrap w:val="0"/>
            <w:vAlign w:val="center"/>
          </w:tcPr>
          <w:p w14:paraId="0D5C4AD2">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01CDAF56">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394" w:type="pct"/>
            <w:noWrap w:val="0"/>
            <w:vAlign w:val="center"/>
          </w:tcPr>
          <w:p w14:paraId="7C24263B">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394" w:type="pct"/>
            <w:noWrap w:val="0"/>
            <w:vAlign w:val="center"/>
          </w:tcPr>
          <w:p w14:paraId="1532E164">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551" w:type="pct"/>
            <w:noWrap w:val="0"/>
            <w:vAlign w:val="center"/>
          </w:tcPr>
          <w:p w14:paraId="612EAEF9">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0AA954E6">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551" w:type="pct"/>
            <w:noWrap w:val="0"/>
            <w:vAlign w:val="center"/>
          </w:tcPr>
          <w:p w14:paraId="7C27CEB3">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50875EA7">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393" w:type="pct"/>
            <w:noWrap w:val="0"/>
            <w:vAlign w:val="center"/>
          </w:tcPr>
          <w:p w14:paraId="28A8CB35">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743F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Borders>
              <w:bottom w:val="single" w:color="auto" w:sz="4" w:space="0"/>
            </w:tcBorders>
            <w:noWrap w:val="0"/>
            <w:vAlign w:val="center"/>
          </w:tcPr>
          <w:p w14:paraId="7F3450B3">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1</w:t>
            </w:r>
          </w:p>
        </w:tc>
        <w:tc>
          <w:tcPr>
            <w:tcW w:w="862" w:type="pct"/>
            <w:noWrap w:val="0"/>
            <w:vAlign w:val="center"/>
          </w:tcPr>
          <w:p w14:paraId="05AB97F0">
            <w:pPr>
              <w:keepNext w:val="0"/>
              <w:keepLines w:val="0"/>
              <w:widowControl/>
              <w:suppressLineNumbers w:val="0"/>
              <w:jc w:val="center"/>
              <w:rPr>
                <w:rFonts w:ascii="宋体" w:hAnsi="宋体" w:eastAsia="宋体"/>
                <w:color w:val="auto"/>
                <w:sz w:val="21"/>
                <w:szCs w:val="21"/>
                <w:highlight w:val="none"/>
              </w:rPr>
            </w:pPr>
          </w:p>
        </w:tc>
        <w:tc>
          <w:tcPr>
            <w:tcW w:w="686" w:type="pct"/>
            <w:noWrap w:val="0"/>
            <w:vAlign w:val="center"/>
          </w:tcPr>
          <w:p w14:paraId="705D4EE6">
            <w:pPr>
              <w:widowControl/>
              <w:spacing w:line="500" w:lineRule="exact"/>
              <w:jc w:val="center"/>
              <w:textAlignment w:val="center"/>
              <w:rPr>
                <w:rFonts w:ascii="宋体" w:hAnsi="宋体" w:eastAsia="宋体"/>
                <w:color w:val="auto"/>
                <w:sz w:val="21"/>
                <w:szCs w:val="21"/>
                <w:highlight w:val="none"/>
              </w:rPr>
            </w:pPr>
          </w:p>
        </w:tc>
        <w:tc>
          <w:tcPr>
            <w:tcW w:w="772" w:type="pct"/>
            <w:noWrap w:val="0"/>
            <w:vAlign w:val="center"/>
          </w:tcPr>
          <w:p w14:paraId="17659CB1">
            <w:pPr>
              <w:jc w:val="center"/>
              <w:rPr>
                <w:rFonts w:ascii="宋体" w:hAnsi="宋体" w:eastAsia="宋体"/>
                <w:color w:val="auto"/>
                <w:sz w:val="21"/>
                <w:szCs w:val="21"/>
                <w:highlight w:val="none"/>
              </w:rPr>
            </w:pPr>
          </w:p>
        </w:tc>
        <w:tc>
          <w:tcPr>
            <w:tcW w:w="394" w:type="pct"/>
            <w:noWrap w:val="0"/>
            <w:vAlign w:val="center"/>
          </w:tcPr>
          <w:p w14:paraId="032A53FF">
            <w:pPr>
              <w:jc w:val="center"/>
              <w:rPr>
                <w:rFonts w:ascii="宋体" w:hAnsi="宋体" w:eastAsia="宋体"/>
                <w:color w:val="auto"/>
                <w:sz w:val="21"/>
                <w:szCs w:val="21"/>
                <w:highlight w:val="none"/>
              </w:rPr>
            </w:pPr>
          </w:p>
        </w:tc>
        <w:tc>
          <w:tcPr>
            <w:tcW w:w="394" w:type="pct"/>
            <w:noWrap w:val="0"/>
            <w:vAlign w:val="center"/>
          </w:tcPr>
          <w:p w14:paraId="47386C02">
            <w:pPr>
              <w:widowControl/>
              <w:spacing w:line="500" w:lineRule="exact"/>
              <w:jc w:val="center"/>
              <w:textAlignment w:val="center"/>
              <w:rPr>
                <w:rFonts w:hint="default" w:ascii="宋体" w:hAnsi="宋体" w:eastAsia="宋体"/>
                <w:color w:val="auto"/>
                <w:sz w:val="21"/>
                <w:szCs w:val="21"/>
                <w:highlight w:val="none"/>
                <w:lang w:val="en-US"/>
              </w:rPr>
            </w:pPr>
          </w:p>
        </w:tc>
        <w:tc>
          <w:tcPr>
            <w:tcW w:w="551" w:type="pct"/>
            <w:noWrap w:val="0"/>
            <w:vAlign w:val="top"/>
          </w:tcPr>
          <w:p w14:paraId="29F15A1B">
            <w:pPr>
              <w:rPr>
                <w:rFonts w:ascii="宋体" w:hAnsi="宋体" w:eastAsia="宋体"/>
                <w:color w:val="auto"/>
                <w:sz w:val="24"/>
                <w:highlight w:val="none"/>
              </w:rPr>
            </w:pPr>
          </w:p>
        </w:tc>
        <w:tc>
          <w:tcPr>
            <w:tcW w:w="551" w:type="pct"/>
            <w:noWrap w:val="0"/>
            <w:vAlign w:val="top"/>
          </w:tcPr>
          <w:p w14:paraId="4B5A4A6E">
            <w:pPr>
              <w:rPr>
                <w:rFonts w:ascii="宋体" w:hAnsi="宋体" w:eastAsia="宋体"/>
                <w:color w:val="auto"/>
                <w:sz w:val="24"/>
                <w:highlight w:val="none"/>
              </w:rPr>
            </w:pPr>
          </w:p>
        </w:tc>
        <w:tc>
          <w:tcPr>
            <w:tcW w:w="393" w:type="pct"/>
            <w:noWrap w:val="0"/>
            <w:vAlign w:val="top"/>
          </w:tcPr>
          <w:p w14:paraId="005BEB18">
            <w:pPr>
              <w:rPr>
                <w:rFonts w:ascii="宋体" w:hAnsi="宋体" w:eastAsia="宋体"/>
                <w:color w:val="auto"/>
                <w:sz w:val="24"/>
                <w:highlight w:val="none"/>
              </w:rPr>
            </w:pPr>
          </w:p>
        </w:tc>
      </w:tr>
      <w:tr w14:paraId="70AD2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29D856E7">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2</w:t>
            </w:r>
          </w:p>
        </w:tc>
        <w:tc>
          <w:tcPr>
            <w:tcW w:w="862" w:type="pct"/>
            <w:noWrap w:val="0"/>
            <w:vAlign w:val="center"/>
          </w:tcPr>
          <w:p w14:paraId="5849EDA1">
            <w:pPr>
              <w:keepNext w:val="0"/>
              <w:keepLines w:val="0"/>
              <w:widowControl/>
              <w:suppressLineNumbers w:val="0"/>
              <w:jc w:val="center"/>
              <w:rPr>
                <w:rFonts w:ascii="宋体" w:hAnsi="宋体" w:eastAsia="宋体"/>
                <w:color w:val="auto"/>
                <w:sz w:val="21"/>
                <w:szCs w:val="21"/>
                <w:highlight w:val="none"/>
              </w:rPr>
            </w:pPr>
          </w:p>
        </w:tc>
        <w:tc>
          <w:tcPr>
            <w:tcW w:w="686" w:type="pct"/>
            <w:noWrap w:val="0"/>
            <w:vAlign w:val="center"/>
          </w:tcPr>
          <w:p w14:paraId="3BCBBC2F">
            <w:pPr>
              <w:widowControl/>
              <w:spacing w:line="500" w:lineRule="exact"/>
              <w:jc w:val="center"/>
              <w:textAlignment w:val="center"/>
              <w:rPr>
                <w:rFonts w:ascii="宋体" w:hAnsi="宋体" w:eastAsia="宋体"/>
                <w:color w:val="auto"/>
                <w:sz w:val="21"/>
                <w:szCs w:val="21"/>
                <w:highlight w:val="none"/>
              </w:rPr>
            </w:pPr>
          </w:p>
        </w:tc>
        <w:tc>
          <w:tcPr>
            <w:tcW w:w="772" w:type="pct"/>
            <w:noWrap w:val="0"/>
            <w:vAlign w:val="center"/>
          </w:tcPr>
          <w:p w14:paraId="71035650">
            <w:pPr>
              <w:jc w:val="center"/>
              <w:rPr>
                <w:rFonts w:ascii="宋体" w:hAnsi="宋体" w:eastAsia="宋体"/>
                <w:color w:val="auto"/>
                <w:sz w:val="21"/>
                <w:szCs w:val="21"/>
                <w:highlight w:val="none"/>
              </w:rPr>
            </w:pPr>
          </w:p>
        </w:tc>
        <w:tc>
          <w:tcPr>
            <w:tcW w:w="394" w:type="pct"/>
            <w:noWrap w:val="0"/>
            <w:vAlign w:val="center"/>
          </w:tcPr>
          <w:p w14:paraId="34C3058C">
            <w:pPr>
              <w:jc w:val="center"/>
              <w:rPr>
                <w:rFonts w:ascii="宋体" w:hAnsi="宋体" w:eastAsia="宋体"/>
                <w:color w:val="auto"/>
                <w:sz w:val="21"/>
                <w:szCs w:val="21"/>
                <w:highlight w:val="none"/>
              </w:rPr>
            </w:pPr>
          </w:p>
        </w:tc>
        <w:tc>
          <w:tcPr>
            <w:tcW w:w="394" w:type="pct"/>
            <w:noWrap w:val="0"/>
            <w:vAlign w:val="center"/>
          </w:tcPr>
          <w:p w14:paraId="708604A6">
            <w:pPr>
              <w:widowControl/>
              <w:spacing w:line="500" w:lineRule="exact"/>
              <w:jc w:val="center"/>
              <w:textAlignment w:val="center"/>
              <w:rPr>
                <w:rFonts w:hint="default" w:ascii="宋体" w:hAnsi="宋体" w:eastAsia="宋体"/>
                <w:color w:val="auto"/>
                <w:sz w:val="21"/>
                <w:szCs w:val="21"/>
                <w:highlight w:val="none"/>
                <w:lang w:val="en-US"/>
              </w:rPr>
            </w:pPr>
          </w:p>
        </w:tc>
        <w:tc>
          <w:tcPr>
            <w:tcW w:w="551" w:type="pct"/>
            <w:noWrap w:val="0"/>
            <w:vAlign w:val="top"/>
          </w:tcPr>
          <w:p w14:paraId="2F975EA0">
            <w:pPr>
              <w:rPr>
                <w:rFonts w:ascii="宋体" w:hAnsi="宋体" w:eastAsia="宋体"/>
                <w:color w:val="auto"/>
                <w:sz w:val="24"/>
                <w:highlight w:val="none"/>
              </w:rPr>
            </w:pPr>
          </w:p>
        </w:tc>
        <w:tc>
          <w:tcPr>
            <w:tcW w:w="551" w:type="pct"/>
            <w:noWrap w:val="0"/>
            <w:vAlign w:val="top"/>
          </w:tcPr>
          <w:p w14:paraId="287611FB">
            <w:pPr>
              <w:rPr>
                <w:rFonts w:ascii="宋体" w:hAnsi="宋体" w:eastAsia="宋体"/>
                <w:color w:val="auto"/>
                <w:sz w:val="24"/>
                <w:highlight w:val="none"/>
              </w:rPr>
            </w:pPr>
          </w:p>
        </w:tc>
        <w:tc>
          <w:tcPr>
            <w:tcW w:w="393" w:type="pct"/>
            <w:noWrap w:val="0"/>
            <w:vAlign w:val="top"/>
          </w:tcPr>
          <w:p w14:paraId="3EF974C4">
            <w:pPr>
              <w:rPr>
                <w:rFonts w:ascii="宋体" w:hAnsi="宋体" w:eastAsia="宋体"/>
                <w:color w:val="auto"/>
                <w:sz w:val="24"/>
                <w:highlight w:val="none"/>
              </w:rPr>
            </w:pPr>
          </w:p>
        </w:tc>
      </w:tr>
      <w:tr w14:paraId="77D34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center"/>
          </w:tcPr>
          <w:p w14:paraId="2F180C2D">
            <w:pPr>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3</w:t>
            </w:r>
          </w:p>
        </w:tc>
        <w:tc>
          <w:tcPr>
            <w:tcW w:w="862" w:type="pct"/>
            <w:noWrap w:val="0"/>
            <w:vAlign w:val="center"/>
          </w:tcPr>
          <w:p w14:paraId="70727D9C">
            <w:pPr>
              <w:keepNext w:val="0"/>
              <w:keepLines w:val="0"/>
              <w:widowControl/>
              <w:suppressLineNumbers w:val="0"/>
              <w:jc w:val="center"/>
              <w:rPr>
                <w:rFonts w:ascii="宋体" w:hAnsi="宋体" w:eastAsia="宋体"/>
                <w:color w:val="auto"/>
                <w:sz w:val="21"/>
                <w:szCs w:val="21"/>
                <w:highlight w:val="none"/>
              </w:rPr>
            </w:pPr>
          </w:p>
        </w:tc>
        <w:tc>
          <w:tcPr>
            <w:tcW w:w="686" w:type="pct"/>
            <w:noWrap w:val="0"/>
            <w:vAlign w:val="center"/>
          </w:tcPr>
          <w:p w14:paraId="3857E483">
            <w:pPr>
              <w:widowControl/>
              <w:spacing w:line="500" w:lineRule="exact"/>
              <w:jc w:val="center"/>
              <w:textAlignment w:val="center"/>
              <w:rPr>
                <w:rFonts w:ascii="宋体" w:hAnsi="宋体" w:eastAsia="宋体"/>
                <w:color w:val="auto"/>
                <w:sz w:val="21"/>
                <w:szCs w:val="21"/>
                <w:highlight w:val="none"/>
              </w:rPr>
            </w:pPr>
          </w:p>
        </w:tc>
        <w:tc>
          <w:tcPr>
            <w:tcW w:w="772" w:type="pct"/>
            <w:noWrap w:val="0"/>
            <w:vAlign w:val="center"/>
          </w:tcPr>
          <w:p w14:paraId="2DADB5DE">
            <w:pPr>
              <w:jc w:val="center"/>
              <w:rPr>
                <w:rFonts w:ascii="宋体" w:hAnsi="宋体" w:eastAsia="宋体"/>
                <w:color w:val="auto"/>
                <w:sz w:val="21"/>
                <w:szCs w:val="21"/>
                <w:highlight w:val="none"/>
              </w:rPr>
            </w:pPr>
          </w:p>
        </w:tc>
        <w:tc>
          <w:tcPr>
            <w:tcW w:w="394" w:type="pct"/>
            <w:noWrap w:val="0"/>
            <w:vAlign w:val="center"/>
          </w:tcPr>
          <w:p w14:paraId="52B6F864">
            <w:pPr>
              <w:jc w:val="center"/>
              <w:rPr>
                <w:rFonts w:ascii="宋体" w:hAnsi="宋体" w:eastAsia="宋体"/>
                <w:color w:val="auto"/>
                <w:sz w:val="21"/>
                <w:szCs w:val="21"/>
                <w:highlight w:val="none"/>
              </w:rPr>
            </w:pPr>
          </w:p>
        </w:tc>
        <w:tc>
          <w:tcPr>
            <w:tcW w:w="394" w:type="pct"/>
            <w:noWrap w:val="0"/>
            <w:vAlign w:val="center"/>
          </w:tcPr>
          <w:p w14:paraId="4C3D6788">
            <w:pPr>
              <w:widowControl/>
              <w:spacing w:line="500" w:lineRule="exact"/>
              <w:jc w:val="center"/>
              <w:textAlignment w:val="center"/>
              <w:rPr>
                <w:rFonts w:hint="default" w:ascii="宋体" w:hAnsi="宋体" w:eastAsia="宋体"/>
                <w:color w:val="auto"/>
                <w:sz w:val="21"/>
                <w:szCs w:val="21"/>
                <w:highlight w:val="none"/>
                <w:lang w:val="en-US"/>
              </w:rPr>
            </w:pPr>
          </w:p>
        </w:tc>
        <w:tc>
          <w:tcPr>
            <w:tcW w:w="551" w:type="pct"/>
            <w:noWrap w:val="0"/>
            <w:vAlign w:val="top"/>
          </w:tcPr>
          <w:p w14:paraId="3651A679">
            <w:pPr>
              <w:rPr>
                <w:rFonts w:ascii="宋体" w:hAnsi="宋体" w:eastAsia="宋体"/>
                <w:color w:val="auto"/>
                <w:sz w:val="24"/>
                <w:highlight w:val="none"/>
              </w:rPr>
            </w:pPr>
          </w:p>
        </w:tc>
        <w:tc>
          <w:tcPr>
            <w:tcW w:w="551" w:type="pct"/>
            <w:noWrap w:val="0"/>
            <w:vAlign w:val="top"/>
          </w:tcPr>
          <w:p w14:paraId="425CA928">
            <w:pPr>
              <w:rPr>
                <w:rFonts w:ascii="宋体" w:hAnsi="宋体" w:eastAsia="宋体"/>
                <w:color w:val="auto"/>
                <w:sz w:val="24"/>
                <w:highlight w:val="none"/>
              </w:rPr>
            </w:pPr>
          </w:p>
        </w:tc>
        <w:tc>
          <w:tcPr>
            <w:tcW w:w="393" w:type="pct"/>
            <w:noWrap w:val="0"/>
            <w:vAlign w:val="top"/>
          </w:tcPr>
          <w:p w14:paraId="51DF4463">
            <w:pPr>
              <w:rPr>
                <w:rFonts w:ascii="宋体" w:hAnsi="宋体" w:eastAsia="宋体"/>
                <w:color w:val="auto"/>
                <w:sz w:val="24"/>
                <w:highlight w:val="none"/>
              </w:rPr>
            </w:pPr>
          </w:p>
        </w:tc>
      </w:tr>
      <w:tr w14:paraId="6AD7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center"/>
          </w:tcPr>
          <w:p w14:paraId="7DAE9AEA">
            <w:pPr>
              <w:jc w:val="center"/>
              <w:rPr>
                <w:rFonts w:hint="eastAsia"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w:t>
            </w:r>
          </w:p>
        </w:tc>
        <w:tc>
          <w:tcPr>
            <w:tcW w:w="862" w:type="pct"/>
            <w:noWrap w:val="0"/>
            <w:vAlign w:val="center"/>
          </w:tcPr>
          <w:p w14:paraId="369CFF52">
            <w:pPr>
              <w:keepNext w:val="0"/>
              <w:keepLines w:val="0"/>
              <w:widowControl/>
              <w:suppressLineNumbers w:val="0"/>
              <w:jc w:val="center"/>
              <w:rPr>
                <w:rFonts w:ascii="宋体" w:hAnsi="宋体" w:eastAsia="宋体"/>
                <w:color w:val="auto"/>
                <w:sz w:val="21"/>
                <w:szCs w:val="21"/>
                <w:highlight w:val="none"/>
              </w:rPr>
            </w:pPr>
          </w:p>
        </w:tc>
        <w:tc>
          <w:tcPr>
            <w:tcW w:w="686" w:type="pct"/>
            <w:noWrap w:val="0"/>
            <w:vAlign w:val="center"/>
          </w:tcPr>
          <w:p w14:paraId="4442E8F6">
            <w:pPr>
              <w:widowControl/>
              <w:spacing w:line="500" w:lineRule="exact"/>
              <w:jc w:val="center"/>
              <w:textAlignment w:val="center"/>
              <w:rPr>
                <w:rFonts w:ascii="宋体" w:hAnsi="宋体" w:eastAsia="宋体"/>
                <w:color w:val="auto"/>
                <w:sz w:val="21"/>
                <w:szCs w:val="21"/>
                <w:highlight w:val="none"/>
              </w:rPr>
            </w:pPr>
          </w:p>
        </w:tc>
        <w:tc>
          <w:tcPr>
            <w:tcW w:w="772" w:type="pct"/>
            <w:noWrap w:val="0"/>
            <w:vAlign w:val="center"/>
          </w:tcPr>
          <w:p w14:paraId="33D03EDB">
            <w:pPr>
              <w:jc w:val="center"/>
              <w:rPr>
                <w:rFonts w:ascii="宋体" w:hAnsi="宋体" w:eastAsia="宋体"/>
                <w:color w:val="auto"/>
                <w:sz w:val="21"/>
                <w:szCs w:val="21"/>
                <w:highlight w:val="none"/>
              </w:rPr>
            </w:pPr>
          </w:p>
        </w:tc>
        <w:tc>
          <w:tcPr>
            <w:tcW w:w="394" w:type="pct"/>
            <w:noWrap w:val="0"/>
            <w:vAlign w:val="center"/>
          </w:tcPr>
          <w:p w14:paraId="28B931F7">
            <w:pPr>
              <w:jc w:val="center"/>
              <w:rPr>
                <w:rFonts w:ascii="宋体" w:hAnsi="宋体" w:eastAsia="宋体"/>
                <w:color w:val="auto"/>
                <w:sz w:val="21"/>
                <w:szCs w:val="21"/>
                <w:highlight w:val="none"/>
              </w:rPr>
            </w:pPr>
          </w:p>
        </w:tc>
        <w:tc>
          <w:tcPr>
            <w:tcW w:w="394" w:type="pct"/>
            <w:noWrap w:val="0"/>
            <w:vAlign w:val="center"/>
          </w:tcPr>
          <w:p w14:paraId="156CCA6C">
            <w:pPr>
              <w:widowControl/>
              <w:spacing w:line="500" w:lineRule="exact"/>
              <w:jc w:val="center"/>
              <w:textAlignment w:val="center"/>
              <w:rPr>
                <w:rFonts w:hint="default" w:ascii="宋体" w:hAnsi="宋体" w:eastAsia="宋体"/>
                <w:color w:val="auto"/>
                <w:sz w:val="21"/>
                <w:szCs w:val="21"/>
                <w:highlight w:val="none"/>
                <w:lang w:val="en-US"/>
              </w:rPr>
            </w:pPr>
          </w:p>
        </w:tc>
        <w:tc>
          <w:tcPr>
            <w:tcW w:w="551" w:type="pct"/>
            <w:noWrap w:val="0"/>
            <w:vAlign w:val="top"/>
          </w:tcPr>
          <w:p w14:paraId="1EF63F8C">
            <w:pPr>
              <w:rPr>
                <w:rFonts w:ascii="宋体" w:hAnsi="宋体" w:eastAsia="宋体"/>
                <w:color w:val="auto"/>
                <w:sz w:val="24"/>
                <w:highlight w:val="none"/>
              </w:rPr>
            </w:pPr>
          </w:p>
        </w:tc>
        <w:tc>
          <w:tcPr>
            <w:tcW w:w="551" w:type="pct"/>
            <w:noWrap w:val="0"/>
            <w:vAlign w:val="top"/>
          </w:tcPr>
          <w:p w14:paraId="0E5452B7">
            <w:pPr>
              <w:rPr>
                <w:rFonts w:ascii="宋体" w:hAnsi="宋体" w:eastAsia="宋体"/>
                <w:color w:val="auto"/>
                <w:sz w:val="24"/>
                <w:highlight w:val="none"/>
              </w:rPr>
            </w:pPr>
          </w:p>
        </w:tc>
        <w:tc>
          <w:tcPr>
            <w:tcW w:w="393" w:type="pct"/>
            <w:noWrap w:val="0"/>
            <w:vAlign w:val="top"/>
          </w:tcPr>
          <w:p w14:paraId="6614EC7D">
            <w:pPr>
              <w:rPr>
                <w:rFonts w:ascii="宋体" w:hAnsi="宋体" w:eastAsia="宋体"/>
                <w:color w:val="auto"/>
                <w:sz w:val="24"/>
                <w:highlight w:val="none"/>
              </w:rPr>
            </w:pPr>
          </w:p>
        </w:tc>
      </w:tr>
      <w:tr w14:paraId="4678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center"/>
          </w:tcPr>
          <w:p w14:paraId="7B501B53">
            <w:pPr>
              <w:jc w:val="center"/>
              <w:rPr>
                <w:rFonts w:hint="eastAsia" w:ascii="宋体" w:hAnsi="宋体" w:eastAsia="宋体"/>
                <w:color w:val="auto"/>
                <w:sz w:val="21"/>
                <w:szCs w:val="21"/>
                <w:highlight w:val="none"/>
              </w:rPr>
            </w:pPr>
          </w:p>
        </w:tc>
        <w:tc>
          <w:tcPr>
            <w:tcW w:w="862" w:type="pct"/>
            <w:noWrap w:val="0"/>
            <w:vAlign w:val="center"/>
          </w:tcPr>
          <w:p w14:paraId="3F35B6BB">
            <w:pPr>
              <w:keepNext w:val="0"/>
              <w:keepLines w:val="0"/>
              <w:widowControl/>
              <w:suppressLineNumbers w:val="0"/>
              <w:jc w:val="center"/>
              <w:rPr>
                <w:rFonts w:ascii="宋体" w:hAnsi="宋体" w:eastAsia="宋体"/>
                <w:color w:val="auto"/>
                <w:sz w:val="21"/>
                <w:szCs w:val="21"/>
                <w:highlight w:val="none"/>
              </w:rPr>
            </w:pPr>
          </w:p>
        </w:tc>
        <w:tc>
          <w:tcPr>
            <w:tcW w:w="686" w:type="pct"/>
            <w:noWrap w:val="0"/>
            <w:vAlign w:val="center"/>
          </w:tcPr>
          <w:p w14:paraId="3FA6DF3C">
            <w:pPr>
              <w:widowControl/>
              <w:spacing w:line="500" w:lineRule="exact"/>
              <w:jc w:val="center"/>
              <w:textAlignment w:val="center"/>
              <w:rPr>
                <w:rFonts w:ascii="宋体" w:hAnsi="宋体" w:eastAsia="宋体"/>
                <w:color w:val="auto"/>
                <w:sz w:val="21"/>
                <w:szCs w:val="21"/>
                <w:highlight w:val="none"/>
              </w:rPr>
            </w:pPr>
          </w:p>
        </w:tc>
        <w:tc>
          <w:tcPr>
            <w:tcW w:w="772" w:type="pct"/>
            <w:noWrap w:val="0"/>
            <w:vAlign w:val="center"/>
          </w:tcPr>
          <w:p w14:paraId="09B2F6BE">
            <w:pPr>
              <w:jc w:val="center"/>
              <w:rPr>
                <w:rFonts w:ascii="宋体" w:hAnsi="宋体" w:eastAsia="宋体"/>
                <w:color w:val="auto"/>
                <w:sz w:val="21"/>
                <w:szCs w:val="21"/>
                <w:highlight w:val="none"/>
              </w:rPr>
            </w:pPr>
          </w:p>
        </w:tc>
        <w:tc>
          <w:tcPr>
            <w:tcW w:w="394" w:type="pct"/>
            <w:noWrap w:val="0"/>
            <w:vAlign w:val="center"/>
          </w:tcPr>
          <w:p w14:paraId="3F739CF8">
            <w:pPr>
              <w:jc w:val="center"/>
              <w:rPr>
                <w:rFonts w:ascii="宋体" w:hAnsi="宋体" w:eastAsia="宋体"/>
                <w:color w:val="auto"/>
                <w:sz w:val="21"/>
                <w:szCs w:val="21"/>
                <w:highlight w:val="none"/>
              </w:rPr>
            </w:pPr>
          </w:p>
        </w:tc>
        <w:tc>
          <w:tcPr>
            <w:tcW w:w="394" w:type="pct"/>
            <w:noWrap w:val="0"/>
            <w:vAlign w:val="center"/>
          </w:tcPr>
          <w:p w14:paraId="0005F826">
            <w:pPr>
              <w:widowControl/>
              <w:spacing w:line="500" w:lineRule="exact"/>
              <w:jc w:val="center"/>
              <w:textAlignment w:val="center"/>
              <w:rPr>
                <w:rFonts w:hint="default" w:ascii="宋体" w:hAnsi="宋体" w:eastAsia="宋体"/>
                <w:color w:val="auto"/>
                <w:sz w:val="21"/>
                <w:szCs w:val="21"/>
                <w:highlight w:val="none"/>
                <w:lang w:val="en-US"/>
              </w:rPr>
            </w:pPr>
          </w:p>
        </w:tc>
        <w:tc>
          <w:tcPr>
            <w:tcW w:w="551" w:type="pct"/>
            <w:noWrap w:val="0"/>
            <w:vAlign w:val="top"/>
          </w:tcPr>
          <w:p w14:paraId="12AEEC13">
            <w:pPr>
              <w:rPr>
                <w:rFonts w:ascii="宋体" w:hAnsi="宋体" w:eastAsia="宋体"/>
                <w:color w:val="auto"/>
                <w:sz w:val="24"/>
                <w:highlight w:val="none"/>
              </w:rPr>
            </w:pPr>
          </w:p>
        </w:tc>
        <w:tc>
          <w:tcPr>
            <w:tcW w:w="551" w:type="pct"/>
            <w:noWrap w:val="0"/>
            <w:vAlign w:val="top"/>
          </w:tcPr>
          <w:p w14:paraId="4F0378AA">
            <w:pPr>
              <w:rPr>
                <w:rFonts w:ascii="宋体" w:hAnsi="宋体" w:eastAsia="宋体"/>
                <w:color w:val="auto"/>
                <w:sz w:val="24"/>
                <w:highlight w:val="none"/>
              </w:rPr>
            </w:pPr>
          </w:p>
        </w:tc>
        <w:tc>
          <w:tcPr>
            <w:tcW w:w="393" w:type="pct"/>
            <w:noWrap w:val="0"/>
            <w:vAlign w:val="top"/>
          </w:tcPr>
          <w:p w14:paraId="2BC39766">
            <w:pPr>
              <w:rPr>
                <w:rFonts w:ascii="宋体" w:hAnsi="宋体" w:eastAsia="宋体"/>
                <w:color w:val="auto"/>
                <w:sz w:val="24"/>
                <w:highlight w:val="none"/>
              </w:rPr>
            </w:pPr>
          </w:p>
        </w:tc>
      </w:tr>
      <w:tr w14:paraId="466DC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noWrap w:val="0"/>
            <w:vAlign w:val="center"/>
          </w:tcPr>
          <w:p w14:paraId="5B645A16">
            <w:pPr>
              <w:jc w:val="center"/>
              <w:rPr>
                <w:rFonts w:hint="eastAsia" w:ascii="宋体" w:hAnsi="宋体" w:eastAsia="宋体"/>
                <w:color w:val="auto"/>
                <w:sz w:val="21"/>
                <w:szCs w:val="21"/>
                <w:highlight w:val="none"/>
              </w:rPr>
            </w:pPr>
          </w:p>
        </w:tc>
        <w:tc>
          <w:tcPr>
            <w:tcW w:w="862" w:type="pct"/>
            <w:noWrap w:val="0"/>
            <w:vAlign w:val="center"/>
          </w:tcPr>
          <w:p w14:paraId="106BAE0A">
            <w:pPr>
              <w:keepNext w:val="0"/>
              <w:keepLines w:val="0"/>
              <w:widowControl/>
              <w:suppressLineNumbers w:val="0"/>
              <w:jc w:val="center"/>
              <w:rPr>
                <w:rFonts w:ascii="宋体" w:hAnsi="宋体" w:eastAsia="宋体"/>
                <w:color w:val="auto"/>
                <w:sz w:val="21"/>
                <w:szCs w:val="21"/>
                <w:highlight w:val="none"/>
              </w:rPr>
            </w:pPr>
          </w:p>
        </w:tc>
        <w:tc>
          <w:tcPr>
            <w:tcW w:w="686" w:type="pct"/>
            <w:noWrap w:val="0"/>
            <w:vAlign w:val="center"/>
          </w:tcPr>
          <w:p w14:paraId="168C25F1">
            <w:pPr>
              <w:widowControl/>
              <w:spacing w:line="500" w:lineRule="exact"/>
              <w:jc w:val="center"/>
              <w:textAlignment w:val="center"/>
              <w:rPr>
                <w:rFonts w:ascii="宋体" w:hAnsi="宋体" w:eastAsia="宋体"/>
                <w:color w:val="auto"/>
                <w:sz w:val="21"/>
                <w:szCs w:val="21"/>
                <w:highlight w:val="none"/>
              </w:rPr>
            </w:pPr>
          </w:p>
        </w:tc>
        <w:tc>
          <w:tcPr>
            <w:tcW w:w="772" w:type="pct"/>
            <w:noWrap w:val="0"/>
            <w:vAlign w:val="center"/>
          </w:tcPr>
          <w:p w14:paraId="0C89F95F">
            <w:pPr>
              <w:jc w:val="center"/>
              <w:rPr>
                <w:rFonts w:ascii="宋体" w:hAnsi="宋体" w:eastAsia="宋体"/>
                <w:color w:val="auto"/>
                <w:sz w:val="21"/>
                <w:szCs w:val="21"/>
                <w:highlight w:val="none"/>
              </w:rPr>
            </w:pPr>
          </w:p>
        </w:tc>
        <w:tc>
          <w:tcPr>
            <w:tcW w:w="394" w:type="pct"/>
            <w:noWrap w:val="0"/>
            <w:vAlign w:val="center"/>
          </w:tcPr>
          <w:p w14:paraId="3EAFEE5A">
            <w:pPr>
              <w:jc w:val="center"/>
              <w:rPr>
                <w:rFonts w:ascii="宋体" w:hAnsi="宋体" w:eastAsia="宋体"/>
                <w:color w:val="auto"/>
                <w:sz w:val="21"/>
                <w:szCs w:val="21"/>
                <w:highlight w:val="none"/>
              </w:rPr>
            </w:pPr>
          </w:p>
        </w:tc>
        <w:tc>
          <w:tcPr>
            <w:tcW w:w="394" w:type="pct"/>
            <w:noWrap w:val="0"/>
            <w:vAlign w:val="center"/>
          </w:tcPr>
          <w:p w14:paraId="0B3741DD">
            <w:pPr>
              <w:widowControl/>
              <w:spacing w:line="500" w:lineRule="exact"/>
              <w:jc w:val="center"/>
              <w:textAlignment w:val="center"/>
              <w:rPr>
                <w:rFonts w:hint="default" w:ascii="宋体" w:hAnsi="宋体" w:eastAsia="宋体"/>
                <w:color w:val="auto"/>
                <w:sz w:val="21"/>
                <w:szCs w:val="21"/>
                <w:highlight w:val="none"/>
                <w:lang w:val="en-US"/>
              </w:rPr>
            </w:pPr>
          </w:p>
        </w:tc>
        <w:tc>
          <w:tcPr>
            <w:tcW w:w="551" w:type="pct"/>
            <w:noWrap w:val="0"/>
            <w:vAlign w:val="top"/>
          </w:tcPr>
          <w:p w14:paraId="7351D008">
            <w:pPr>
              <w:rPr>
                <w:rFonts w:ascii="宋体" w:hAnsi="宋体" w:eastAsia="宋体"/>
                <w:color w:val="auto"/>
                <w:sz w:val="24"/>
                <w:highlight w:val="none"/>
              </w:rPr>
            </w:pPr>
          </w:p>
        </w:tc>
        <w:tc>
          <w:tcPr>
            <w:tcW w:w="551" w:type="pct"/>
            <w:noWrap w:val="0"/>
            <w:vAlign w:val="top"/>
          </w:tcPr>
          <w:p w14:paraId="17598300">
            <w:pPr>
              <w:rPr>
                <w:rFonts w:ascii="宋体" w:hAnsi="宋体" w:eastAsia="宋体"/>
                <w:color w:val="auto"/>
                <w:sz w:val="24"/>
                <w:highlight w:val="none"/>
              </w:rPr>
            </w:pPr>
          </w:p>
        </w:tc>
        <w:tc>
          <w:tcPr>
            <w:tcW w:w="393" w:type="pct"/>
            <w:noWrap w:val="0"/>
            <w:vAlign w:val="top"/>
          </w:tcPr>
          <w:p w14:paraId="3261699E">
            <w:pPr>
              <w:rPr>
                <w:rFonts w:ascii="宋体" w:hAnsi="宋体" w:eastAsia="宋体"/>
                <w:color w:val="auto"/>
                <w:sz w:val="24"/>
                <w:highlight w:val="none"/>
              </w:rPr>
            </w:pPr>
          </w:p>
        </w:tc>
      </w:tr>
      <w:tr w14:paraId="5E290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5" w:type="pct"/>
            <w:gridSpan w:val="7"/>
            <w:noWrap w:val="0"/>
            <w:vAlign w:val="center"/>
          </w:tcPr>
          <w:p w14:paraId="29779074">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944" w:type="pct"/>
            <w:gridSpan w:val="2"/>
            <w:noWrap w:val="0"/>
            <w:vAlign w:val="top"/>
          </w:tcPr>
          <w:p w14:paraId="02717F6D">
            <w:pPr>
              <w:rPr>
                <w:rFonts w:ascii="宋体" w:hAnsi="宋体" w:eastAsia="宋体"/>
                <w:color w:val="auto"/>
                <w:sz w:val="24"/>
                <w:highlight w:val="none"/>
              </w:rPr>
            </w:pPr>
          </w:p>
        </w:tc>
      </w:tr>
    </w:tbl>
    <w:p w14:paraId="79D48364">
      <w:pPr>
        <w:pStyle w:val="56"/>
        <w:jc w:val="both"/>
        <w:rPr>
          <w:rFonts w:hint="default" w:ascii="宋体" w:hAnsi="宋体" w:eastAsia="宋体"/>
          <w:b/>
          <w:bCs/>
          <w:i/>
          <w:iCs/>
          <w:color w:val="auto"/>
          <w:highlight w:val="none"/>
          <w:lang w:val="en-US" w:eastAsia="zh-CN"/>
        </w:rPr>
      </w:pPr>
      <w:r>
        <w:rPr>
          <w:rFonts w:hint="eastAsia" w:ascii="宋体" w:hAnsi="宋体" w:eastAsia="宋体"/>
          <w:b/>
          <w:bCs/>
          <w:color w:val="auto"/>
          <w:highlight w:val="none"/>
          <w:lang w:val="en-US" w:eastAsia="zh-CN"/>
        </w:rPr>
        <w:t>5-2服务部分</w:t>
      </w:r>
      <w:r>
        <w:rPr>
          <w:rFonts w:hint="eastAsia" w:ascii="宋体" w:hAnsi="宋体" w:eastAsia="宋体"/>
          <w:b/>
          <w:bCs/>
          <w:i/>
          <w:iCs/>
          <w:color w:val="auto"/>
          <w:highlight w:val="none"/>
        </w:rPr>
        <w:t>（仅供参考，投标人可自行制作格式）</w:t>
      </w:r>
    </w:p>
    <w:tbl>
      <w:tblPr>
        <w:tblStyle w:val="2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7"/>
        <w:gridCol w:w="1698"/>
        <w:gridCol w:w="1566"/>
      </w:tblGrid>
      <w:tr w14:paraId="200B8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noWrap w:val="0"/>
            <w:vAlign w:val="center"/>
          </w:tcPr>
          <w:p w14:paraId="4CF977B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序号</w:t>
            </w:r>
          </w:p>
        </w:tc>
        <w:tc>
          <w:tcPr>
            <w:tcW w:w="1824" w:type="pct"/>
            <w:noWrap w:val="0"/>
            <w:vAlign w:val="center"/>
          </w:tcPr>
          <w:p w14:paraId="7F4B082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服务内容</w:t>
            </w:r>
          </w:p>
        </w:tc>
        <w:tc>
          <w:tcPr>
            <w:tcW w:w="796" w:type="pct"/>
            <w:noWrap w:val="0"/>
            <w:vAlign w:val="center"/>
          </w:tcPr>
          <w:p w14:paraId="7FDE844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项</w:t>
            </w:r>
          </w:p>
        </w:tc>
        <w:tc>
          <w:tcPr>
            <w:tcW w:w="996" w:type="pct"/>
            <w:noWrap w:val="0"/>
            <w:vAlign w:val="center"/>
          </w:tcPr>
          <w:p w14:paraId="2C8D607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单价</w:t>
            </w:r>
          </w:p>
        </w:tc>
        <w:tc>
          <w:tcPr>
            <w:tcW w:w="919" w:type="pct"/>
            <w:noWrap w:val="0"/>
            <w:vAlign w:val="center"/>
          </w:tcPr>
          <w:p w14:paraId="536C808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b/>
                <w:color w:val="auto"/>
                <w:sz w:val="24"/>
                <w:highlight w:val="none"/>
              </w:rPr>
            </w:pPr>
            <w:r>
              <w:rPr>
                <w:rFonts w:hint="eastAsia" w:ascii="宋体" w:hAnsi="宋体" w:eastAsia="宋体"/>
                <w:b/>
                <w:color w:val="auto"/>
                <w:sz w:val="24"/>
                <w:highlight w:val="none"/>
              </w:rPr>
              <w:t>小计（元）</w:t>
            </w:r>
          </w:p>
        </w:tc>
      </w:tr>
      <w:tr w14:paraId="75FF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tcBorders>
              <w:bottom w:val="single" w:color="auto" w:sz="4" w:space="0"/>
            </w:tcBorders>
            <w:noWrap w:val="0"/>
            <w:vAlign w:val="center"/>
          </w:tcPr>
          <w:p w14:paraId="133B17B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1</w:t>
            </w:r>
          </w:p>
        </w:tc>
        <w:tc>
          <w:tcPr>
            <w:tcW w:w="1824" w:type="pct"/>
            <w:noWrap w:val="0"/>
            <w:vAlign w:val="center"/>
          </w:tcPr>
          <w:p w14:paraId="581EFF4C">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1D5C88D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376FA84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20CFD4A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3354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1CD693F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2</w:t>
            </w:r>
          </w:p>
        </w:tc>
        <w:tc>
          <w:tcPr>
            <w:tcW w:w="1824" w:type="pct"/>
            <w:noWrap w:val="0"/>
            <w:vAlign w:val="center"/>
          </w:tcPr>
          <w:p w14:paraId="6E4F9CB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7BB8675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05FA8B5B">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3F0DD872">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42AFA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jc w:val="center"/>
        </w:trPr>
        <w:tc>
          <w:tcPr>
            <w:tcW w:w="463" w:type="pct"/>
            <w:noWrap w:val="0"/>
            <w:vAlign w:val="center"/>
          </w:tcPr>
          <w:p w14:paraId="1F378E59">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color w:val="auto"/>
                <w:sz w:val="24"/>
                <w:highlight w:val="none"/>
              </w:rPr>
              <w:t>3</w:t>
            </w:r>
          </w:p>
        </w:tc>
        <w:tc>
          <w:tcPr>
            <w:tcW w:w="1824" w:type="pct"/>
            <w:noWrap w:val="0"/>
            <w:vAlign w:val="center"/>
          </w:tcPr>
          <w:p w14:paraId="657DDFF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68B62C31">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2880C03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6606CD40">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551B6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noWrap w:val="0"/>
            <w:vAlign w:val="center"/>
          </w:tcPr>
          <w:p w14:paraId="43D8D357">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ascii="宋体" w:hAnsi="宋体" w:eastAsia="宋体"/>
                <w:color w:val="auto"/>
                <w:sz w:val="24"/>
                <w:highlight w:val="none"/>
              </w:rPr>
              <w:t>…</w:t>
            </w:r>
          </w:p>
        </w:tc>
        <w:tc>
          <w:tcPr>
            <w:tcW w:w="1824" w:type="pct"/>
            <w:noWrap w:val="0"/>
            <w:vAlign w:val="center"/>
          </w:tcPr>
          <w:p w14:paraId="6B8D8A76">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796" w:type="pct"/>
            <w:noWrap w:val="0"/>
            <w:vAlign w:val="center"/>
          </w:tcPr>
          <w:p w14:paraId="197D6F0A">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96" w:type="pct"/>
            <w:noWrap w:val="0"/>
            <w:vAlign w:val="center"/>
          </w:tcPr>
          <w:p w14:paraId="47B71CA5">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c>
          <w:tcPr>
            <w:tcW w:w="919" w:type="pct"/>
            <w:noWrap w:val="0"/>
            <w:vAlign w:val="center"/>
          </w:tcPr>
          <w:p w14:paraId="538B14B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r w14:paraId="46A18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noWrap w:val="0"/>
            <w:vAlign w:val="center"/>
          </w:tcPr>
          <w:p w14:paraId="73967E9F">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r>
              <w:rPr>
                <w:rFonts w:hint="eastAsia" w:ascii="宋体" w:hAnsi="宋体" w:eastAsia="宋体"/>
                <w:b/>
                <w:color w:val="auto"/>
                <w:sz w:val="24"/>
                <w:highlight w:val="none"/>
              </w:rPr>
              <w:t>合计金额（元）</w:t>
            </w:r>
          </w:p>
        </w:tc>
        <w:tc>
          <w:tcPr>
            <w:tcW w:w="919" w:type="pct"/>
            <w:noWrap w:val="0"/>
            <w:vAlign w:val="center"/>
          </w:tcPr>
          <w:p w14:paraId="12EB51CD">
            <w:pPr>
              <w:keepNext w:val="0"/>
              <w:keepLines w:val="0"/>
              <w:pageBreakBefore w:val="0"/>
              <w:widowControl w:val="0"/>
              <w:kinsoku/>
              <w:wordWrap/>
              <w:overflowPunct/>
              <w:topLinePunct w:val="0"/>
              <w:autoSpaceDE/>
              <w:autoSpaceDN/>
              <w:bidi w:val="0"/>
              <w:adjustRightInd/>
              <w:snapToGrid/>
              <w:jc w:val="center"/>
              <w:textAlignment w:val="auto"/>
              <w:rPr>
                <w:rFonts w:ascii="宋体" w:hAnsi="宋体" w:eastAsia="宋体"/>
                <w:color w:val="auto"/>
                <w:sz w:val="24"/>
                <w:highlight w:val="none"/>
              </w:rPr>
            </w:pPr>
          </w:p>
        </w:tc>
      </w:tr>
    </w:tbl>
    <w:p w14:paraId="67D2E891">
      <w:pPr>
        <w:spacing w:line="360" w:lineRule="auto"/>
        <w:ind w:firstLine="435"/>
        <w:jc w:val="right"/>
        <w:rPr>
          <w:rFonts w:hint="eastAsia" w:ascii="宋体" w:hAnsi="宋体" w:eastAsia="宋体"/>
          <w:b/>
          <w:bCs/>
          <w:color w:val="auto"/>
          <w:highlight w:val="none"/>
          <w:lang w:val="en-US" w:eastAsia="zh-CN"/>
        </w:rPr>
      </w:pPr>
      <w:r>
        <w:rPr>
          <w:rFonts w:hint="eastAsia" w:ascii="宋体" w:hAnsi="宋体" w:eastAsia="宋体"/>
          <w:bCs/>
          <w:color w:val="auto"/>
          <w:sz w:val="24"/>
          <w:szCs w:val="28"/>
          <w:highlight w:val="none"/>
          <w:u w:val="single"/>
        </w:rPr>
        <w:t xml:space="preserve">       </w:t>
      </w:r>
    </w:p>
    <w:p w14:paraId="4ED65732">
      <w:pPr>
        <w:pStyle w:val="56"/>
        <w:jc w:val="both"/>
        <w:rPr>
          <w:rFonts w:hint="eastAsia" w:ascii="宋体" w:hAnsi="宋体" w:eastAsia="宋体"/>
          <w:b/>
          <w:bCs/>
          <w:color w:val="auto"/>
          <w:highlight w:val="none"/>
          <w:lang w:val="en-US" w:eastAsia="zh-CN"/>
        </w:rPr>
      </w:pPr>
      <w:r>
        <w:rPr>
          <w:rFonts w:hint="eastAsia" w:ascii="宋体" w:hAnsi="宋体" w:eastAsia="宋体"/>
          <w:b/>
          <w:bCs/>
          <w:color w:val="auto"/>
          <w:highlight w:val="none"/>
          <w:lang w:val="en-US" w:eastAsia="zh-CN"/>
        </w:rPr>
        <w:t>5-3 符合本国产品标准的产品成本之和占比</w:t>
      </w:r>
    </w:p>
    <w:tbl>
      <w:tblPr>
        <w:tblStyle w:val="28"/>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8"/>
        <w:gridCol w:w="1766"/>
      </w:tblGrid>
      <w:tr w14:paraId="7A71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7588" w:type="dxa"/>
            <w:noWrap w:val="0"/>
            <w:vAlign w:val="top"/>
          </w:tcPr>
          <w:p w14:paraId="00B91F78">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rPr>
              <w:t>本公司（单位）提供的符合本国产品标准的产品成本之和占提供的全部产品成本之和的比例</w:t>
            </w:r>
          </w:p>
        </w:tc>
        <w:tc>
          <w:tcPr>
            <w:tcW w:w="1766" w:type="dxa"/>
            <w:noWrap w:val="0"/>
            <w:vAlign w:val="top"/>
          </w:tcPr>
          <w:p w14:paraId="6B2C2E93">
            <w:pPr>
              <w:spacing w:line="360" w:lineRule="auto"/>
              <w:rPr>
                <w:rFonts w:hint="eastAsia" w:ascii="宋体" w:hAnsi="宋体" w:eastAsia="宋体" w:cs="宋体"/>
                <w:color w:val="auto"/>
                <w:sz w:val="24"/>
                <w:szCs w:val="24"/>
                <w:highlight w:val="none"/>
                <w:u w:val="single"/>
                <w:lang w:val="en-US" w:eastAsia="zh-CN"/>
              </w:rPr>
            </w:pPr>
          </w:p>
          <w:p w14:paraId="1ED9CE43">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Times New Roman"/>
                <w:b w:val="0"/>
                <w:bCs/>
                <w:color w:val="auto"/>
                <w:szCs w:val="24"/>
                <w:highlight w:val="none"/>
                <w:lang w:val="en-US" w:eastAsia="zh-CN"/>
              </w:rPr>
              <w:t>%</w:t>
            </w:r>
          </w:p>
        </w:tc>
      </w:tr>
      <w:tr w14:paraId="42AA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trPr>
        <w:tc>
          <w:tcPr>
            <w:tcW w:w="9354" w:type="dxa"/>
            <w:gridSpan w:val="2"/>
            <w:noWrap w:val="0"/>
            <w:vAlign w:val="top"/>
          </w:tcPr>
          <w:p w14:paraId="1C998F19">
            <w:pPr>
              <w:tabs>
                <w:tab w:val="left" w:pos="4620"/>
              </w:tabs>
              <w:spacing w:line="360" w:lineRule="auto"/>
              <w:jc w:val="left"/>
              <w:rPr>
                <w:rFonts w:hint="eastAsia" w:ascii="宋体" w:hAnsi="宋体" w:eastAsia="宋体" w:cs="Times New Roman"/>
                <w:b/>
                <w:bCs w:val="0"/>
                <w:color w:val="auto"/>
                <w:szCs w:val="24"/>
                <w:highlight w:val="none"/>
                <w:lang w:val="en-US" w:eastAsia="zh-CN"/>
              </w:rPr>
            </w:pPr>
            <w:r>
              <w:rPr>
                <w:rFonts w:hint="eastAsia" w:ascii="宋体" w:hAnsi="宋体" w:eastAsia="宋体" w:cs="Times New Roman"/>
                <w:b/>
                <w:bCs w:val="0"/>
                <w:color w:val="auto"/>
                <w:szCs w:val="24"/>
                <w:highlight w:val="none"/>
                <w:lang w:val="en-US" w:eastAsia="zh-CN"/>
              </w:rPr>
              <w:t>提醒：</w:t>
            </w:r>
          </w:p>
          <w:p w14:paraId="6BE1C440">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41EB683">
            <w:pPr>
              <w:spacing w:line="360" w:lineRule="auto"/>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61530A30">
            <w:pPr>
              <w:spacing w:line="360" w:lineRule="auto"/>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w:t>
            </w:r>
            <w:r>
              <w:rPr>
                <w:rFonts w:hint="eastAsia" w:ascii="宋体" w:hAnsi="宋体" w:eastAsia="宋体" w:cs="宋体"/>
                <w:b w:val="0"/>
                <w:bCs/>
                <w:color w:val="auto"/>
                <w:kern w:val="2"/>
                <w:sz w:val="21"/>
                <w:szCs w:val="21"/>
                <w:highlight w:val="none"/>
                <w:lang w:val="en-US" w:eastAsia="zh-CN" w:bidi="ar"/>
              </w:rPr>
              <w:t>上表中全部产品成本之和是指表5-1和表5-2包含的全部货物、服务产品成本之和。</w:t>
            </w:r>
          </w:p>
        </w:tc>
      </w:tr>
    </w:tbl>
    <w:p w14:paraId="39658003">
      <w:pPr>
        <w:spacing w:line="360" w:lineRule="auto"/>
        <w:rPr>
          <w:rFonts w:hint="eastAsia" w:ascii="宋体" w:hAnsi="宋体" w:eastAsia="宋体"/>
          <w:b/>
          <w:bCs/>
          <w:color w:val="auto"/>
          <w:sz w:val="21"/>
          <w:szCs w:val="21"/>
          <w:highlight w:val="none"/>
          <w:lang w:eastAsia="zh-CN"/>
        </w:rPr>
      </w:pPr>
    </w:p>
    <w:p w14:paraId="47CE130F">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EDD2932">
      <w:pPr>
        <w:tabs>
          <w:tab w:val="left" w:pos="630"/>
        </w:tabs>
        <w:spacing w:line="360" w:lineRule="auto"/>
        <w:ind w:firstLine="4800" w:firstLineChars="2000"/>
        <w:jc w:val="center"/>
        <w:rPr>
          <w:rFonts w:ascii="宋体" w:hAnsi="宋体" w:eastAsia="宋体"/>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41C89EDB">
      <w:pPr>
        <w:spacing w:line="360" w:lineRule="auto"/>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注：</w:t>
      </w:r>
    </w:p>
    <w:p w14:paraId="2CDA2D7A">
      <w:pPr>
        <w:spacing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1.表5-1</w:t>
      </w:r>
      <w:r>
        <w:rPr>
          <w:rFonts w:hint="eastAsia" w:ascii="宋体" w:hAnsi="宋体" w:eastAsia="宋体"/>
          <w:color w:val="auto"/>
          <w:sz w:val="21"/>
          <w:szCs w:val="21"/>
          <w:highlight w:val="none"/>
        </w:rPr>
        <w:t>中须明确列出所投产品的货物名称、品牌、型号规格、原产地及生产厂商，否则可能导致</w:t>
      </w:r>
      <w:r>
        <w:rPr>
          <w:rFonts w:hint="eastAsia" w:ascii="宋体" w:hAnsi="宋体" w:eastAsia="宋体"/>
          <w:b/>
          <w:bCs/>
          <w:color w:val="auto"/>
          <w:sz w:val="21"/>
          <w:szCs w:val="21"/>
          <w:highlight w:val="none"/>
        </w:rPr>
        <w:t>投标无效</w:t>
      </w:r>
      <w:r>
        <w:rPr>
          <w:rFonts w:hint="eastAsia" w:ascii="宋体" w:hAnsi="宋体" w:eastAsia="宋体"/>
          <w:b/>
          <w:bCs/>
          <w:color w:val="auto"/>
          <w:sz w:val="21"/>
          <w:szCs w:val="21"/>
          <w:highlight w:val="none"/>
          <w:lang w:eastAsia="zh-CN"/>
        </w:rPr>
        <w:t>。</w:t>
      </w:r>
    </w:p>
    <w:p w14:paraId="4CFF3D1F">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2.上述报价为投标人完成本项目内容的全部费用（总报价为表5-1和表5-2合计金额之和），</w:t>
      </w:r>
      <w:r>
        <w:rPr>
          <w:rFonts w:hint="eastAsia" w:ascii="宋体" w:hAnsi="宋体" w:eastAsia="宋体"/>
          <w:color w:val="auto"/>
          <w:sz w:val="21"/>
          <w:szCs w:val="21"/>
          <w:highlight w:val="none"/>
        </w:rPr>
        <w:t>如有漏项或缺项，</w:t>
      </w:r>
      <w:r>
        <w:rPr>
          <w:rFonts w:hint="eastAsia" w:ascii="宋体" w:hAnsi="宋体" w:eastAsia="宋体"/>
          <w:color w:val="auto"/>
          <w:sz w:val="21"/>
          <w:szCs w:val="21"/>
          <w:highlight w:val="none"/>
          <w:lang w:val="en-US" w:eastAsia="zh-CN"/>
        </w:rPr>
        <w:t>自行</w:t>
      </w:r>
      <w:r>
        <w:rPr>
          <w:rFonts w:hint="eastAsia" w:ascii="宋体" w:hAnsi="宋体" w:eastAsia="宋体"/>
          <w:color w:val="auto"/>
          <w:sz w:val="21"/>
          <w:szCs w:val="21"/>
          <w:highlight w:val="none"/>
        </w:rPr>
        <w:t>承担全部责任。</w:t>
      </w:r>
    </w:p>
    <w:p w14:paraId="1147950F">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0345537C">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45" w:name="_Toc11940"/>
      <w:bookmarkStart w:id="46" w:name="_Toc20329"/>
      <w:r>
        <w:rPr>
          <w:rFonts w:hint="eastAsia" w:asciiTheme="minorEastAsia" w:hAnsiTheme="minorEastAsia" w:eastAsiaTheme="minorEastAsia"/>
          <w:b/>
          <w:color w:val="auto"/>
          <w:sz w:val="24"/>
          <w:highlight w:val="none"/>
        </w:rPr>
        <w:t>六、投标响应表</w:t>
      </w:r>
      <w:bookmarkEnd w:id="45"/>
      <w:bookmarkEnd w:id="46"/>
    </w:p>
    <w:p w14:paraId="349EB620">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1269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7476B3B7">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0DE06833">
            <w:pPr>
              <w:pStyle w:val="15"/>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7D5B19A9">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178AAF5C">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13C07E31">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21E3A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3D2D50E">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498FD6E5">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5FE3F476">
            <w:pPr>
              <w:jc w:val="center"/>
              <w:rPr>
                <w:rFonts w:asciiTheme="minorEastAsia" w:hAnsiTheme="minorEastAsia" w:eastAsiaTheme="minorEastAsia"/>
                <w:color w:val="auto"/>
                <w:sz w:val="24"/>
                <w:highlight w:val="none"/>
              </w:rPr>
            </w:pPr>
          </w:p>
        </w:tc>
        <w:tc>
          <w:tcPr>
            <w:tcW w:w="1510" w:type="pct"/>
            <w:vAlign w:val="center"/>
          </w:tcPr>
          <w:p w14:paraId="016D97C4">
            <w:pPr>
              <w:jc w:val="center"/>
              <w:rPr>
                <w:rFonts w:asciiTheme="minorEastAsia" w:hAnsiTheme="minorEastAsia" w:eastAsiaTheme="minorEastAsia"/>
                <w:color w:val="auto"/>
                <w:sz w:val="24"/>
                <w:highlight w:val="none"/>
              </w:rPr>
            </w:pPr>
          </w:p>
        </w:tc>
        <w:tc>
          <w:tcPr>
            <w:tcW w:w="475" w:type="pct"/>
            <w:vAlign w:val="center"/>
          </w:tcPr>
          <w:p w14:paraId="157C5827">
            <w:pPr>
              <w:jc w:val="center"/>
              <w:rPr>
                <w:rFonts w:asciiTheme="minorEastAsia" w:hAnsiTheme="minorEastAsia" w:eastAsiaTheme="minorEastAsia"/>
                <w:color w:val="auto"/>
                <w:sz w:val="24"/>
                <w:highlight w:val="none"/>
              </w:rPr>
            </w:pPr>
          </w:p>
        </w:tc>
      </w:tr>
      <w:tr w14:paraId="0500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1991DA2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38E26934">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1465" w:type="pct"/>
            <w:vAlign w:val="center"/>
          </w:tcPr>
          <w:p w14:paraId="507AED41">
            <w:pPr>
              <w:jc w:val="center"/>
              <w:rPr>
                <w:rFonts w:asciiTheme="minorEastAsia" w:hAnsiTheme="minorEastAsia" w:eastAsiaTheme="minorEastAsia"/>
                <w:color w:val="auto"/>
                <w:sz w:val="24"/>
                <w:highlight w:val="none"/>
              </w:rPr>
            </w:pPr>
          </w:p>
        </w:tc>
        <w:tc>
          <w:tcPr>
            <w:tcW w:w="1510" w:type="pct"/>
            <w:vAlign w:val="center"/>
          </w:tcPr>
          <w:p w14:paraId="3220CF12">
            <w:pPr>
              <w:jc w:val="center"/>
              <w:rPr>
                <w:rFonts w:asciiTheme="minorEastAsia" w:hAnsiTheme="minorEastAsia" w:eastAsiaTheme="minorEastAsia"/>
                <w:color w:val="auto"/>
                <w:sz w:val="24"/>
                <w:highlight w:val="none"/>
              </w:rPr>
            </w:pPr>
          </w:p>
        </w:tc>
        <w:tc>
          <w:tcPr>
            <w:tcW w:w="475" w:type="pct"/>
            <w:vAlign w:val="center"/>
          </w:tcPr>
          <w:p w14:paraId="65D160FD">
            <w:pPr>
              <w:jc w:val="center"/>
              <w:rPr>
                <w:rFonts w:asciiTheme="minorEastAsia" w:hAnsiTheme="minorEastAsia" w:eastAsiaTheme="minorEastAsia"/>
                <w:color w:val="auto"/>
                <w:sz w:val="24"/>
                <w:highlight w:val="none"/>
              </w:rPr>
            </w:pPr>
          </w:p>
        </w:tc>
      </w:tr>
      <w:tr w14:paraId="41F8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D7AE3E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6A55F0F">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1465" w:type="pct"/>
            <w:vAlign w:val="center"/>
          </w:tcPr>
          <w:p w14:paraId="099431CB">
            <w:pPr>
              <w:jc w:val="center"/>
              <w:rPr>
                <w:rFonts w:asciiTheme="minorEastAsia" w:hAnsiTheme="minorEastAsia" w:eastAsiaTheme="minorEastAsia"/>
                <w:color w:val="auto"/>
                <w:sz w:val="24"/>
                <w:highlight w:val="none"/>
              </w:rPr>
            </w:pPr>
          </w:p>
        </w:tc>
        <w:tc>
          <w:tcPr>
            <w:tcW w:w="1510" w:type="pct"/>
            <w:vAlign w:val="center"/>
          </w:tcPr>
          <w:p w14:paraId="45A35710">
            <w:pPr>
              <w:pStyle w:val="56"/>
              <w:jc w:val="center"/>
              <w:rPr>
                <w:rFonts w:asciiTheme="minorEastAsia" w:hAnsiTheme="minorEastAsia" w:eastAsiaTheme="minorEastAsia"/>
                <w:color w:val="auto"/>
                <w:highlight w:val="none"/>
              </w:rPr>
            </w:pPr>
          </w:p>
        </w:tc>
        <w:tc>
          <w:tcPr>
            <w:tcW w:w="475" w:type="pct"/>
            <w:vAlign w:val="center"/>
          </w:tcPr>
          <w:p w14:paraId="76865EF5">
            <w:pPr>
              <w:jc w:val="center"/>
              <w:rPr>
                <w:rFonts w:asciiTheme="minorEastAsia" w:hAnsiTheme="minorEastAsia" w:eastAsiaTheme="minorEastAsia"/>
                <w:color w:val="auto"/>
                <w:sz w:val="24"/>
                <w:highlight w:val="none"/>
              </w:rPr>
            </w:pPr>
          </w:p>
        </w:tc>
      </w:tr>
      <w:tr w14:paraId="58E4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25F260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24" w:type="pct"/>
            <w:vAlign w:val="center"/>
          </w:tcPr>
          <w:p w14:paraId="699667A0">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1465" w:type="pct"/>
            <w:vAlign w:val="center"/>
          </w:tcPr>
          <w:p w14:paraId="1975D43A">
            <w:pPr>
              <w:jc w:val="center"/>
              <w:rPr>
                <w:rFonts w:asciiTheme="minorEastAsia" w:hAnsiTheme="minorEastAsia" w:eastAsiaTheme="minorEastAsia"/>
                <w:color w:val="auto"/>
                <w:sz w:val="24"/>
                <w:highlight w:val="none"/>
              </w:rPr>
            </w:pPr>
          </w:p>
        </w:tc>
        <w:tc>
          <w:tcPr>
            <w:tcW w:w="1510" w:type="pct"/>
            <w:vAlign w:val="center"/>
          </w:tcPr>
          <w:p w14:paraId="48BE5A5C">
            <w:pPr>
              <w:jc w:val="center"/>
              <w:rPr>
                <w:rFonts w:asciiTheme="minorEastAsia" w:hAnsiTheme="minorEastAsia" w:eastAsiaTheme="minorEastAsia"/>
                <w:color w:val="auto"/>
                <w:sz w:val="24"/>
                <w:highlight w:val="none"/>
              </w:rPr>
            </w:pPr>
          </w:p>
        </w:tc>
        <w:tc>
          <w:tcPr>
            <w:tcW w:w="475" w:type="pct"/>
            <w:vAlign w:val="center"/>
          </w:tcPr>
          <w:p w14:paraId="0A7A21B7">
            <w:pPr>
              <w:jc w:val="center"/>
              <w:rPr>
                <w:rFonts w:asciiTheme="minorEastAsia" w:hAnsiTheme="minorEastAsia" w:eastAsiaTheme="minorEastAsia"/>
                <w:color w:val="auto"/>
                <w:sz w:val="24"/>
                <w:highlight w:val="none"/>
              </w:rPr>
            </w:pPr>
          </w:p>
        </w:tc>
      </w:tr>
      <w:tr w14:paraId="11C6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1DE86FCE">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3DDC4B5E">
            <w:pPr>
              <w:jc w:val="center"/>
              <w:rPr>
                <w:rFonts w:ascii="宋体" w:hAnsi="宋体" w:eastAsia="宋体"/>
                <w:color w:val="auto"/>
                <w:sz w:val="24"/>
                <w:highlight w:val="none"/>
              </w:rPr>
            </w:pPr>
          </w:p>
        </w:tc>
        <w:tc>
          <w:tcPr>
            <w:tcW w:w="1465" w:type="pct"/>
            <w:vAlign w:val="center"/>
          </w:tcPr>
          <w:p w14:paraId="04A7AEB2">
            <w:pPr>
              <w:jc w:val="center"/>
              <w:rPr>
                <w:rFonts w:asciiTheme="minorEastAsia" w:hAnsiTheme="minorEastAsia" w:eastAsiaTheme="minorEastAsia"/>
                <w:color w:val="auto"/>
                <w:sz w:val="24"/>
                <w:highlight w:val="none"/>
              </w:rPr>
            </w:pPr>
          </w:p>
        </w:tc>
        <w:tc>
          <w:tcPr>
            <w:tcW w:w="1510" w:type="pct"/>
            <w:vAlign w:val="center"/>
          </w:tcPr>
          <w:p w14:paraId="406CD1E6">
            <w:pPr>
              <w:jc w:val="center"/>
              <w:rPr>
                <w:rFonts w:asciiTheme="minorEastAsia" w:hAnsiTheme="minorEastAsia" w:eastAsiaTheme="minorEastAsia"/>
                <w:color w:val="auto"/>
                <w:sz w:val="24"/>
                <w:highlight w:val="none"/>
              </w:rPr>
            </w:pPr>
          </w:p>
        </w:tc>
        <w:tc>
          <w:tcPr>
            <w:tcW w:w="475" w:type="pct"/>
            <w:vAlign w:val="center"/>
          </w:tcPr>
          <w:p w14:paraId="7378D599">
            <w:pPr>
              <w:jc w:val="center"/>
              <w:rPr>
                <w:rFonts w:asciiTheme="minorEastAsia" w:hAnsiTheme="minorEastAsia" w:eastAsiaTheme="minorEastAsia"/>
                <w:color w:val="auto"/>
                <w:sz w:val="24"/>
                <w:highlight w:val="none"/>
              </w:rPr>
            </w:pPr>
          </w:p>
        </w:tc>
      </w:tr>
    </w:tbl>
    <w:p w14:paraId="479EA01B">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14:paraId="5A776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1F34129C">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6B826223">
            <w:pPr>
              <w:pStyle w:val="15"/>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00E219CB">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1456" w:type="pct"/>
            <w:vAlign w:val="center"/>
          </w:tcPr>
          <w:p w14:paraId="6B8BB434">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082BDE6D">
            <w:pPr>
              <w:pStyle w:val="15"/>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109F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4B0035A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4451EF55">
            <w:pPr>
              <w:jc w:val="center"/>
              <w:rPr>
                <w:rFonts w:asciiTheme="minorEastAsia" w:hAnsiTheme="minorEastAsia" w:eastAsiaTheme="minorEastAsia"/>
                <w:color w:val="auto"/>
                <w:sz w:val="24"/>
                <w:highlight w:val="none"/>
              </w:rPr>
            </w:pPr>
          </w:p>
        </w:tc>
        <w:tc>
          <w:tcPr>
            <w:tcW w:w="1680" w:type="pct"/>
            <w:vAlign w:val="center"/>
          </w:tcPr>
          <w:p w14:paraId="7B99106B">
            <w:pPr>
              <w:jc w:val="center"/>
              <w:rPr>
                <w:rFonts w:asciiTheme="minorEastAsia" w:hAnsiTheme="minorEastAsia" w:eastAsiaTheme="minorEastAsia"/>
                <w:color w:val="auto"/>
                <w:sz w:val="24"/>
                <w:highlight w:val="none"/>
              </w:rPr>
            </w:pPr>
          </w:p>
        </w:tc>
        <w:tc>
          <w:tcPr>
            <w:tcW w:w="1456" w:type="pct"/>
            <w:vAlign w:val="center"/>
          </w:tcPr>
          <w:p w14:paraId="6C490589">
            <w:pPr>
              <w:jc w:val="center"/>
              <w:rPr>
                <w:rFonts w:asciiTheme="minorEastAsia" w:hAnsiTheme="minorEastAsia" w:eastAsiaTheme="minorEastAsia"/>
                <w:color w:val="auto"/>
                <w:sz w:val="24"/>
                <w:highlight w:val="none"/>
              </w:rPr>
            </w:pPr>
          </w:p>
        </w:tc>
        <w:tc>
          <w:tcPr>
            <w:tcW w:w="502" w:type="pct"/>
            <w:vAlign w:val="center"/>
          </w:tcPr>
          <w:p w14:paraId="448D8F18">
            <w:pPr>
              <w:jc w:val="center"/>
              <w:rPr>
                <w:rFonts w:asciiTheme="minorEastAsia" w:hAnsiTheme="minorEastAsia" w:eastAsiaTheme="minorEastAsia"/>
                <w:color w:val="auto"/>
                <w:sz w:val="24"/>
                <w:highlight w:val="none"/>
              </w:rPr>
            </w:pPr>
          </w:p>
        </w:tc>
      </w:tr>
      <w:tr w14:paraId="218C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4C7BE4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12CE6BAF">
            <w:pPr>
              <w:jc w:val="center"/>
              <w:rPr>
                <w:rFonts w:asciiTheme="minorEastAsia" w:hAnsiTheme="minorEastAsia" w:eastAsiaTheme="minorEastAsia"/>
                <w:color w:val="auto"/>
                <w:sz w:val="24"/>
                <w:highlight w:val="none"/>
              </w:rPr>
            </w:pPr>
          </w:p>
        </w:tc>
        <w:tc>
          <w:tcPr>
            <w:tcW w:w="1680" w:type="pct"/>
            <w:vAlign w:val="center"/>
          </w:tcPr>
          <w:p w14:paraId="23F2ADDE">
            <w:pPr>
              <w:jc w:val="center"/>
              <w:rPr>
                <w:rFonts w:asciiTheme="minorEastAsia" w:hAnsiTheme="minorEastAsia" w:eastAsiaTheme="minorEastAsia"/>
                <w:color w:val="auto"/>
                <w:sz w:val="24"/>
                <w:highlight w:val="none"/>
              </w:rPr>
            </w:pPr>
          </w:p>
        </w:tc>
        <w:tc>
          <w:tcPr>
            <w:tcW w:w="1456" w:type="pct"/>
            <w:vAlign w:val="center"/>
          </w:tcPr>
          <w:p w14:paraId="74D31106">
            <w:pPr>
              <w:jc w:val="center"/>
              <w:rPr>
                <w:rFonts w:asciiTheme="minorEastAsia" w:hAnsiTheme="minorEastAsia" w:eastAsiaTheme="minorEastAsia"/>
                <w:color w:val="auto"/>
                <w:sz w:val="24"/>
                <w:highlight w:val="none"/>
              </w:rPr>
            </w:pPr>
          </w:p>
        </w:tc>
        <w:tc>
          <w:tcPr>
            <w:tcW w:w="502" w:type="pct"/>
            <w:vAlign w:val="center"/>
          </w:tcPr>
          <w:p w14:paraId="5D2B3600">
            <w:pPr>
              <w:jc w:val="center"/>
              <w:rPr>
                <w:rFonts w:asciiTheme="minorEastAsia" w:hAnsiTheme="minorEastAsia" w:eastAsiaTheme="minorEastAsia"/>
                <w:color w:val="auto"/>
                <w:sz w:val="24"/>
                <w:highlight w:val="none"/>
              </w:rPr>
            </w:pPr>
          </w:p>
        </w:tc>
      </w:tr>
      <w:tr w14:paraId="1E58A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73209F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37A35A5B">
            <w:pPr>
              <w:jc w:val="center"/>
              <w:rPr>
                <w:rFonts w:asciiTheme="minorEastAsia" w:hAnsiTheme="minorEastAsia" w:eastAsiaTheme="minorEastAsia"/>
                <w:color w:val="auto"/>
                <w:sz w:val="24"/>
                <w:highlight w:val="none"/>
              </w:rPr>
            </w:pPr>
          </w:p>
        </w:tc>
        <w:tc>
          <w:tcPr>
            <w:tcW w:w="1680" w:type="pct"/>
            <w:vAlign w:val="center"/>
          </w:tcPr>
          <w:p w14:paraId="6A4C0CDF">
            <w:pPr>
              <w:jc w:val="center"/>
              <w:rPr>
                <w:rFonts w:asciiTheme="minorEastAsia" w:hAnsiTheme="minorEastAsia" w:eastAsiaTheme="minorEastAsia"/>
                <w:color w:val="auto"/>
                <w:sz w:val="24"/>
                <w:highlight w:val="none"/>
              </w:rPr>
            </w:pPr>
          </w:p>
        </w:tc>
        <w:tc>
          <w:tcPr>
            <w:tcW w:w="1456" w:type="pct"/>
            <w:vAlign w:val="center"/>
          </w:tcPr>
          <w:p w14:paraId="3D46312A">
            <w:pPr>
              <w:pStyle w:val="56"/>
              <w:jc w:val="center"/>
              <w:rPr>
                <w:rFonts w:asciiTheme="minorEastAsia" w:hAnsiTheme="minorEastAsia" w:eastAsiaTheme="minorEastAsia"/>
                <w:color w:val="auto"/>
                <w:highlight w:val="none"/>
              </w:rPr>
            </w:pPr>
          </w:p>
        </w:tc>
        <w:tc>
          <w:tcPr>
            <w:tcW w:w="502" w:type="pct"/>
            <w:vAlign w:val="center"/>
          </w:tcPr>
          <w:p w14:paraId="52968288">
            <w:pPr>
              <w:jc w:val="center"/>
              <w:rPr>
                <w:rFonts w:asciiTheme="minorEastAsia" w:hAnsiTheme="minorEastAsia" w:eastAsiaTheme="minorEastAsia"/>
                <w:color w:val="auto"/>
                <w:sz w:val="24"/>
                <w:highlight w:val="none"/>
              </w:rPr>
            </w:pPr>
          </w:p>
        </w:tc>
      </w:tr>
      <w:tr w14:paraId="594E9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72F0D32">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5F1BDC92">
            <w:pPr>
              <w:jc w:val="center"/>
              <w:rPr>
                <w:rFonts w:asciiTheme="minorEastAsia" w:hAnsiTheme="minorEastAsia" w:eastAsiaTheme="minorEastAsia"/>
                <w:color w:val="auto"/>
                <w:sz w:val="24"/>
                <w:highlight w:val="none"/>
              </w:rPr>
            </w:pPr>
          </w:p>
        </w:tc>
        <w:tc>
          <w:tcPr>
            <w:tcW w:w="1680" w:type="pct"/>
            <w:vAlign w:val="center"/>
          </w:tcPr>
          <w:p w14:paraId="563C3759">
            <w:pPr>
              <w:jc w:val="center"/>
              <w:rPr>
                <w:rFonts w:asciiTheme="minorEastAsia" w:hAnsiTheme="minorEastAsia" w:eastAsiaTheme="minorEastAsia"/>
                <w:color w:val="auto"/>
                <w:sz w:val="24"/>
                <w:highlight w:val="none"/>
              </w:rPr>
            </w:pPr>
          </w:p>
        </w:tc>
        <w:tc>
          <w:tcPr>
            <w:tcW w:w="1456" w:type="pct"/>
            <w:vAlign w:val="center"/>
          </w:tcPr>
          <w:p w14:paraId="5F7122F2">
            <w:pPr>
              <w:pStyle w:val="56"/>
              <w:jc w:val="center"/>
              <w:rPr>
                <w:rFonts w:asciiTheme="minorEastAsia" w:hAnsiTheme="minorEastAsia" w:eastAsiaTheme="minorEastAsia"/>
                <w:color w:val="auto"/>
                <w:highlight w:val="none"/>
              </w:rPr>
            </w:pPr>
          </w:p>
        </w:tc>
        <w:tc>
          <w:tcPr>
            <w:tcW w:w="502" w:type="pct"/>
            <w:vAlign w:val="center"/>
          </w:tcPr>
          <w:p w14:paraId="5994FEEA">
            <w:pPr>
              <w:jc w:val="center"/>
              <w:rPr>
                <w:rFonts w:asciiTheme="minorEastAsia" w:hAnsiTheme="minorEastAsia" w:eastAsiaTheme="minorEastAsia"/>
                <w:color w:val="auto"/>
                <w:sz w:val="24"/>
                <w:highlight w:val="none"/>
              </w:rPr>
            </w:pPr>
          </w:p>
        </w:tc>
      </w:tr>
      <w:tr w14:paraId="2BA0F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6F07FAC">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3D257C4B">
            <w:pPr>
              <w:jc w:val="center"/>
              <w:rPr>
                <w:rFonts w:asciiTheme="minorEastAsia" w:hAnsiTheme="minorEastAsia" w:eastAsiaTheme="minorEastAsia"/>
                <w:color w:val="auto"/>
                <w:sz w:val="24"/>
                <w:highlight w:val="none"/>
              </w:rPr>
            </w:pPr>
          </w:p>
        </w:tc>
        <w:tc>
          <w:tcPr>
            <w:tcW w:w="1680" w:type="pct"/>
            <w:vAlign w:val="center"/>
          </w:tcPr>
          <w:p w14:paraId="277FBE05">
            <w:pPr>
              <w:jc w:val="center"/>
              <w:rPr>
                <w:rFonts w:asciiTheme="minorEastAsia" w:hAnsiTheme="minorEastAsia" w:eastAsiaTheme="minorEastAsia"/>
                <w:color w:val="auto"/>
                <w:sz w:val="24"/>
                <w:highlight w:val="none"/>
              </w:rPr>
            </w:pPr>
          </w:p>
        </w:tc>
        <w:tc>
          <w:tcPr>
            <w:tcW w:w="1456" w:type="pct"/>
            <w:vAlign w:val="center"/>
          </w:tcPr>
          <w:p w14:paraId="5E0DBBD6">
            <w:pPr>
              <w:jc w:val="center"/>
              <w:rPr>
                <w:rFonts w:asciiTheme="minorEastAsia" w:hAnsiTheme="minorEastAsia" w:eastAsiaTheme="minorEastAsia"/>
                <w:color w:val="auto"/>
                <w:sz w:val="24"/>
                <w:highlight w:val="none"/>
              </w:rPr>
            </w:pPr>
          </w:p>
        </w:tc>
        <w:tc>
          <w:tcPr>
            <w:tcW w:w="502" w:type="pct"/>
            <w:vAlign w:val="center"/>
          </w:tcPr>
          <w:p w14:paraId="50D74B2C">
            <w:pPr>
              <w:jc w:val="center"/>
              <w:rPr>
                <w:rFonts w:asciiTheme="minorEastAsia" w:hAnsiTheme="minorEastAsia" w:eastAsiaTheme="minorEastAsia"/>
                <w:color w:val="auto"/>
                <w:sz w:val="24"/>
                <w:highlight w:val="none"/>
              </w:rPr>
            </w:pPr>
          </w:p>
        </w:tc>
      </w:tr>
    </w:tbl>
    <w:p w14:paraId="003B602A">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5EBD4CFD">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0919CFF7">
      <w:pPr>
        <w:pStyle w:val="16"/>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73CF54E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47" w:name="_Toc31244"/>
      <w:bookmarkStart w:id="48" w:name="_Toc9573"/>
      <w:bookmarkStart w:id="49" w:name="OLE_LINK13"/>
      <w:bookmarkStart w:id="50" w:name="OLE_LINK14"/>
      <w:r>
        <w:rPr>
          <w:rFonts w:hint="eastAsia" w:asciiTheme="minorEastAsia" w:hAnsiTheme="minorEastAsia" w:eastAsiaTheme="minorEastAsia"/>
          <w:b/>
          <w:color w:val="auto"/>
          <w:sz w:val="24"/>
          <w:highlight w:val="none"/>
          <w:lang w:val="en-US" w:eastAsia="zh-CN"/>
        </w:rPr>
        <w:t>七、中小企业声明函</w:t>
      </w:r>
      <w:bookmarkEnd w:id="47"/>
      <w:bookmarkEnd w:id="48"/>
    </w:p>
    <w:p w14:paraId="19F7E88B">
      <w:pPr>
        <w:rPr>
          <w:rFonts w:asciiTheme="minorEastAsia" w:hAnsiTheme="minorEastAsia" w:eastAsiaTheme="minorEastAsia"/>
          <w:color w:val="auto"/>
          <w:sz w:val="24"/>
          <w:szCs w:val="24"/>
          <w:highlight w:val="none"/>
        </w:rPr>
      </w:pPr>
    </w:p>
    <w:p w14:paraId="4CE2F7CC">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 xml:space="preserve">）采购活动，提供的货物全部由符合政策要求的中小企业制造。相关企业（含联合体中的中小企业、签订分包意向协议的中小企业）的具体情况如下： </w:t>
      </w:r>
    </w:p>
    <w:p w14:paraId="3BDE74B1">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4275A462">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行业；制造商为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6C69011">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9E61EE6">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3B7E63FF">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248C82FA">
      <w:pPr>
        <w:spacing w:line="360" w:lineRule="auto"/>
        <w:ind w:firstLine="435"/>
        <w:rPr>
          <w:rFonts w:asciiTheme="minorEastAsia" w:hAnsiTheme="minorEastAsia" w:eastAsiaTheme="minorEastAsia"/>
          <w:color w:val="auto"/>
          <w:sz w:val="24"/>
          <w:szCs w:val="24"/>
          <w:highlight w:val="none"/>
        </w:rPr>
      </w:pPr>
    </w:p>
    <w:p w14:paraId="783937D3">
      <w:pPr>
        <w:spacing w:line="360" w:lineRule="auto"/>
        <w:ind w:firstLine="435"/>
        <w:rPr>
          <w:rFonts w:asciiTheme="minorEastAsia" w:hAnsiTheme="minorEastAsia" w:eastAsiaTheme="minorEastAsia"/>
          <w:color w:val="auto"/>
          <w:sz w:val="24"/>
          <w:szCs w:val="24"/>
          <w:highlight w:val="none"/>
        </w:rPr>
      </w:pPr>
    </w:p>
    <w:p w14:paraId="137C208E">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476085FC">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2B2CF406">
      <w:pPr>
        <w:tabs>
          <w:tab w:val="left" w:pos="4620"/>
        </w:tabs>
        <w:spacing w:line="360" w:lineRule="auto"/>
        <w:jc w:val="left"/>
        <w:rPr>
          <w:rFonts w:asciiTheme="minorEastAsia" w:hAnsiTheme="minorEastAsia" w:eastAsiaTheme="minorEastAsia"/>
          <w:color w:val="auto"/>
          <w:sz w:val="24"/>
          <w:szCs w:val="24"/>
          <w:highlight w:val="none"/>
        </w:rPr>
      </w:pPr>
    </w:p>
    <w:p w14:paraId="6F47AB80">
      <w:pPr>
        <w:tabs>
          <w:tab w:val="left" w:pos="4620"/>
        </w:tabs>
        <w:spacing w:line="360" w:lineRule="auto"/>
        <w:jc w:val="left"/>
        <w:rPr>
          <w:rFonts w:asciiTheme="minorEastAsia" w:hAnsiTheme="minorEastAsia" w:eastAsiaTheme="minorEastAsia"/>
          <w:color w:val="auto"/>
          <w:sz w:val="24"/>
          <w:szCs w:val="24"/>
          <w:highlight w:val="none"/>
        </w:rPr>
      </w:pPr>
    </w:p>
    <w:p w14:paraId="4048229E">
      <w:pPr>
        <w:tabs>
          <w:tab w:val="left" w:pos="4620"/>
        </w:tabs>
        <w:spacing w:line="360" w:lineRule="auto"/>
        <w:jc w:val="left"/>
        <w:rPr>
          <w:rFonts w:asciiTheme="minorEastAsia" w:hAnsiTheme="minorEastAsia" w:eastAsiaTheme="minorEastAsia"/>
          <w:color w:val="auto"/>
          <w:sz w:val="24"/>
          <w:szCs w:val="24"/>
          <w:highlight w:val="none"/>
        </w:rPr>
      </w:pPr>
    </w:p>
    <w:p w14:paraId="0B2780AB">
      <w:pPr>
        <w:tabs>
          <w:tab w:val="left" w:pos="4620"/>
        </w:tabs>
        <w:spacing w:line="360" w:lineRule="auto"/>
        <w:jc w:val="left"/>
        <w:rPr>
          <w:rFonts w:asciiTheme="minorEastAsia" w:hAnsiTheme="minorEastAsia" w:eastAsiaTheme="minorEastAsia"/>
          <w:color w:val="auto"/>
          <w:sz w:val="24"/>
          <w:szCs w:val="24"/>
          <w:highlight w:val="none"/>
        </w:rPr>
      </w:pPr>
    </w:p>
    <w:p w14:paraId="061DBD95">
      <w:pPr>
        <w:tabs>
          <w:tab w:val="left" w:pos="4620"/>
        </w:tabs>
        <w:spacing w:line="360" w:lineRule="auto"/>
        <w:jc w:val="left"/>
        <w:rPr>
          <w:rFonts w:asciiTheme="minorEastAsia" w:hAnsiTheme="minorEastAsia" w:eastAsiaTheme="minorEastAsia"/>
          <w:color w:val="auto"/>
          <w:sz w:val="24"/>
          <w:szCs w:val="24"/>
          <w:highlight w:val="none"/>
        </w:rPr>
      </w:pPr>
    </w:p>
    <w:p w14:paraId="77328082">
      <w:pPr>
        <w:tabs>
          <w:tab w:val="left" w:pos="4620"/>
        </w:tabs>
        <w:spacing w:line="360" w:lineRule="auto"/>
        <w:jc w:val="left"/>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07F5B980">
      <w:pPr>
        <w:tabs>
          <w:tab w:val="left" w:pos="4620"/>
        </w:tabs>
        <w:spacing w:line="360" w:lineRule="auto"/>
        <w:jc w:val="lef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011A55C4">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1883F04C">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”，详见第三章采购需求中明确的“货物名称”。</w:t>
      </w:r>
    </w:p>
    <w:p w14:paraId="6ED013B8">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”，详见第三章采购需求中明确的“所属行业”。</w:t>
      </w:r>
    </w:p>
    <w:p w14:paraId="58072F7D">
      <w:pPr>
        <w:tabs>
          <w:tab w:val="left" w:pos="4620"/>
        </w:tabs>
        <w:spacing w:line="360" w:lineRule="auto"/>
        <w:jc w:val="left"/>
        <w:rPr>
          <w:rFonts w:hint="eastAsia" w:asciiTheme="minorEastAsia" w:hAnsiTheme="minorEastAsia" w:eastAsiaTheme="minorEastAsia"/>
          <w:b/>
          <w:bCs/>
          <w:color w:val="auto"/>
          <w:szCs w:val="24"/>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lang w:val="zh-CN"/>
        </w:rPr>
        <w:t>某设备</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rPr>
        <w:t>（填写第三章采购需求中对应货物的“所属行业”，如工业）</w:t>
      </w:r>
      <w:r>
        <w:rPr>
          <w:rFonts w:hint="eastAsia" w:ascii="宋体" w:hAnsi="宋体" w:eastAsia="宋体" w:cs="宋体"/>
          <w:b/>
          <w:bCs/>
          <w:color w:val="auto"/>
          <w:szCs w:val="21"/>
          <w:highlight w:val="none"/>
          <w:lang w:val="zh-CN"/>
        </w:rPr>
        <w:t>行业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en-US" w:eastAsia="zh-CN"/>
        </w:rPr>
        <w:t>制造</w:t>
      </w:r>
      <w:r>
        <w:rPr>
          <w:rFonts w:hint="eastAsia" w:ascii="宋体" w:hAnsi="宋体" w:eastAsia="宋体" w:cs="宋体"/>
          <w:b/>
          <w:bCs/>
          <w:color w:val="auto"/>
          <w:szCs w:val="21"/>
          <w:highlight w:val="none"/>
          <w:lang w:val="zh-CN"/>
        </w:rPr>
        <w:t>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u w:val="single"/>
          <w:lang w:val="zh-CN"/>
        </w:rPr>
        <w:t>小型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bookmarkEnd w:id="49"/>
      <w:bookmarkEnd w:id="50"/>
    </w:p>
    <w:p w14:paraId="5E176FF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51" w:name="_Toc24563"/>
      <w:bookmarkStart w:id="52" w:name="_Toc16713"/>
    </w:p>
    <w:p w14:paraId="7C2A6CA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p>
    <w:p w14:paraId="575176F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p>
    <w:p w14:paraId="1C028C3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八、残疾人福利性单位声明函</w:t>
      </w:r>
      <w:bookmarkEnd w:id="51"/>
      <w:bookmarkEnd w:id="52"/>
    </w:p>
    <w:p w14:paraId="7708EA47">
      <w:pPr>
        <w:pStyle w:val="10"/>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74C678DA">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365B6C6E">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44549BCE">
      <w:pPr>
        <w:spacing w:line="360" w:lineRule="auto"/>
        <w:ind w:firstLine="4228" w:firstLineChars="1762"/>
        <w:rPr>
          <w:rFonts w:asciiTheme="minorEastAsia" w:hAnsiTheme="minorEastAsia" w:eastAsiaTheme="minorEastAsia"/>
          <w:color w:val="auto"/>
          <w:sz w:val="24"/>
          <w:szCs w:val="24"/>
          <w:highlight w:val="none"/>
        </w:rPr>
      </w:pPr>
    </w:p>
    <w:p w14:paraId="5C38B443">
      <w:pPr>
        <w:spacing w:line="360" w:lineRule="auto"/>
        <w:ind w:firstLine="4228" w:firstLineChars="1762"/>
        <w:rPr>
          <w:rFonts w:asciiTheme="minorEastAsia" w:hAnsiTheme="minorEastAsia" w:eastAsiaTheme="minorEastAsia"/>
          <w:color w:val="auto"/>
          <w:sz w:val="24"/>
          <w:szCs w:val="24"/>
          <w:highlight w:val="none"/>
        </w:rPr>
      </w:pPr>
    </w:p>
    <w:p w14:paraId="35C5892A">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1942EBBA">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5D33676B">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4492A2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color w:val="auto"/>
          <w:sz w:val="24"/>
          <w:szCs w:val="20"/>
          <w:highlight w:val="none"/>
        </w:rPr>
      </w:pPr>
      <w:bookmarkStart w:id="53" w:name="_Toc520299348"/>
      <w:bookmarkStart w:id="54" w:name="_Toc457768004"/>
      <w:bookmarkStart w:id="55" w:name="_Toc300210382"/>
      <w:bookmarkStart w:id="56" w:name="_Toc26536"/>
      <w:bookmarkStart w:id="57" w:name="_Toc25813"/>
      <w:bookmarkStart w:id="58" w:name="_Hlk11701496"/>
      <w:r>
        <w:rPr>
          <w:rFonts w:hint="eastAsia" w:asciiTheme="minorEastAsia" w:hAnsiTheme="minorEastAsia" w:eastAsiaTheme="minorEastAsia"/>
          <w:b/>
          <w:color w:val="auto"/>
          <w:sz w:val="24"/>
          <w:highlight w:val="none"/>
          <w:lang w:val="en-US" w:eastAsia="zh-CN"/>
        </w:rPr>
        <w:t>九、</w:t>
      </w:r>
      <w:r>
        <w:rPr>
          <w:rFonts w:hint="eastAsia" w:ascii="宋体" w:hAnsi="宋体" w:eastAsia="宋体" w:cs="@仿宋_GB2312"/>
          <w:b/>
          <w:color w:val="auto"/>
          <w:sz w:val="24"/>
          <w:szCs w:val="20"/>
          <w:highlight w:val="none"/>
        </w:rPr>
        <w:t>关于符合本国产品标准的声明函</w:t>
      </w:r>
    </w:p>
    <w:p w14:paraId="4B877AC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5252BC2D">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514B4EA3">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33"/>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33"/>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013C41A6">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33"/>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445B96C4">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78FBDA1B">
      <w:pPr>
        <w:pStyle w:val="2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5CFCD70A">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2DF598AD">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1DBA2226">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790AB324">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1.产品如有型号，请在“产品名称”栏一并填写。</w:t>
      </w:r>
    </w:p>
    <w:p w14:paraId="01D63837">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b w:val="0"/>
          <w:bCs/>
          <w:color w:val="auto"/>
          <w:sz w:val="21"/>
          <w:szCs w:val="21"/>
          <w:highlight w:val="none"/>
          <w:lang w:eastAsia="zh-CN"/>
        </w:rPr>
      </w:pPr>
      <w:r>
        <w:rPr>
          <w:rFonts w:hint="eastAsia" w:ascii="宋体" w:hAnsi="宋体" w:eastAsia="宋体"/>
          <w:b w:val="0"/>
          <w:bCs/>
          <w:color w:val="auto"/>
          <w:sz w:val="21"/>
          <w:szCs w:val="21"/>
          <w:highlight w:val="none"/>
          <w:lang w:eastAsia="zh-CN"/>
        </w:rPr>
        <w:t>2.生产厂名与厂址应与生产厂营业执照载明的相关信息保持一致。</w:t>
      </w:r>
    </w:p>
    <w:p w14:paraId="4A665285">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3.上述声明函中标注</w:t>
      </w:r>
      <w:r>
        <w:rPr>
          <w:rFonts w:hint="eastAsia" w:ascii="宋体" w:hAnsi="宋体" w:eastAsia="宋体" w:cs="Times New Roman"/>
          <w:b w:val="0"/>
          <w:bCs/>
          <w:color w:val="auto"/>
          <w:sz w:val="21"/>
          <w:szCs w:val="21"/>
          <w:highlight w:val="none"/>
          <w:u w:val="single"/>
          <w:lang w:val="en-US" w:eastAsia="zh-CN"/>
        </w:rPr>
        <w:t xml:space="preserve">  /  </w:t>
      </w:r>
      <w:r>
        <w:rPr>
          <w:rFonts w:hint="eastAsia" w:ascii="宋体" w:hAnsi="宋体" w:eastAsia="宋体" w:cs="Times New Roman"/>
          <w:b w:val="0"/>
          <w:bCs/>
          <w:color w:val="auto"/>
          <w:sz w:val="21"/>
          <w:szCs w:val="21"/>
          <w:highlight w:val="none"/>
          <w:lang w:val="en-US" w:eastAsia="zh-CN"/>
        </w:rPr>
        <w:t>的，无需填写。</w:t>
      </w:r>
    </w:p>
    <w:p w14:paraId="58570BDE">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default"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21C27F8C">
      <w:pPr>
        <w:keepNext w:val="0"/>
        <w:keepLines w:val="0"/>
        <w:pageBreakBefore w:val="0"/>
        <w:widowControl w:val="0"/>
        <w:tabs>
          <w:tab w:val="left" w:pos="4620"/>
        </w:tabs>
        <w:kinsoku/>
        <w:wordWrap/>
        <w:overflowPunct/>
        <w:topLinePunct w:val="0"/>
        <w:autoSpaceDE/>
        <w:autoSpaceDN/>
        <w:bidi w:val="0"/>
        <w:adjustRightInd/>
        <w:snapToGrid/>
        <w:spacing w:line="240" w:lineRule="auto"/>
        <w:jc w:val="left"/>
        <w:textAlignment w:val="auto"/>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C6D6117">
      <w:pPr>
        <w:tabs>
          <w:tab w:val="left" w:pos="4620"/>
        </w:tabs>
        <w:spacing w:line="360" w:lineRule="auto"/>
        <w:jc w:val="left"/>
        <w:rPr>
          <w:rFonts w:hint="eastAsia" w:asciiTheme="minorEastAsia" w:hAnsiTheme="minorEastAsia" w:eastAsiaTheme="minorEastAsia"/>
          <w:b/>
          <w:color w:val="auto"/>
          <w:sz w:val="24"/>
          <w:highlight w:val="none"/>
          <w:lang w:val="en-US" w:eastAsia="zh-CN"/>
        </w:rPr>
      </w:pPr>
    </w:p>
    <w:p w14:paraId="067C3400">
      <w:pPr>
        <w:pStyle w:val="25"/>
        <w:rPr>
          <w:rFonts w:hint="eastAsia" w:asciiTheme="minorEastAsia" w:hAnsiTheme="minorEastAsia" w:eastAsiaTheme="minorEastAsia"/>
          <w:b/>
          <w:color w:val="auto"/>
          <w:sz w:val="24"/>
          <w:highlight w:val="none"/>
          <w:lang w:val="en-US" w:eastAsia="zh-CN"/>
        </w:rPr>
      </w:pPr>
    </w:p>
    <w:p w14:paraId="6ABD5A9C">
      <w:pPr>
        <w:pStyle w:val="25"/>
        <w:rPr>
          <w:rFonts w:hint="eastAsia" w:asciiTheme="minorEastAsia" w:hAnsiTheme="minorEastAsia" w:eastAsiaTheme="minorEastAsia"/>
          <w:b/>
          <w:color w:val="auto"/>
          <w:sz w:val="24"/>
          <w:highlight w:val="none"/>
          <w:lang w:val="en-US" w:eastAsia="zh-CN"/>
        </w:rPr>
      </w:pPr>
    </w:p>
    <w:p w14:paraId="0DCD671D">
      <w:pPr>
        <w:pStyle w:val="25"/>
        <w:rPr>
          <w:rFonts w:hint="eastAsia" w:asciiTheme="minorEastAsia" w:hAnsiTheme="minorEastAsia" w:eastAsiaTheme="minorEastAsia"/>
          <w:b/>
          <w:color w:val="auto"/>
          <w:sz w:val="24"/>
          <w:highlight w:val="none"/>
          <w:lang w:val="en-US" w:eastAsia="zh-CN"/>
        </w:rPr>
      </w:pPr>
    </w:p>
    <w:p w14:paraId="1B3B2CD6">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w:t>
      </w:r>
      <w:bookmarkEnd w:id="53"/>
      <w:bookmarkEnd w:id="54"/>
      <w:bookmarkEnd w:id="55"/>
      <w:r>
        <w:rPr>
          <w:rFonts w:hint="eastAsia" w:asciiTheme="minorEastAsia" w:hAnsiTheme="minorEastAsia" w:eastAsiaTheme="minorEastAsia"/>
          <w:b/>
          <w:color w:val="auto"/>
          <w:sz w:val="24"/>
          <w:highlight w:val="none"/>
          <w:lang w:val="en-US" w:eastAsia="zh-CN"/>
        </w:rPr>
        <w:t>诚信履约承诺函</w:t>
      </w:r>
      <w:bookmarkEnd w:id="56"/>
      <w:bookmarkEnd w:id="57"/>
    </w:p>
    <w:p w14:paraId="4EA1DAD4">
      <w:pPr>
        <w:spacing w:line="360" w:lineRule="auto"/>
        <w:rPr>
          <w:rFonts w:asciiTheme="minorEastAsia" w:hAnsiTheme="minorEastAsia" w:eastAsiaTheme="minorEastAsia"/>
          <w:b/>
          <w:bCs/>
          <w:color w:val="auto"/>
          <w:sz w:val="24"/>
          <w:highlight w:val="none"/>
        </w:rPr>
      </w:pPr>
    </w:p>
    <w:p w14:paraId="59AD4BDF">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29FA1DD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50EF4D8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35423B0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46156C3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017E957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6AA58D2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643A5DC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40F9301">
      <w:pPr>
        <w:spacing w:line="360" w:lineRule="auto"/>
        <w:rPr>
          <w:rFonts w:asciiTheme="minorEastAsia" w:hAnsiTheme="minorEastAsia" w:eastAsiaTheme="minorEastAsia"/>
          <w:bCs/>
          <w:color w:val="auto"/>
          <w:sz w:val="24"/>
          <w:highlight w:val="none"/>
        </w:rPr>
      </w:pPr>
    </w:p>
    <w:p w14:paraId="47625E16">
      <w:pPr>
        <w:spacing w:line="360" w:lineRule="auto"/>
        <w:rPr>
          <w:rFonts w:asciiTheme="minorEastAsia" w:hAnsiTheme="minorEastAsia" w:eastAsiaTheme="minorEastAsia"/>
          <w:bCs/>
          <w:color w:val="auto"/>
          <w:sz w:val="24"/>
          <w:highlight w:val="none"/>
        </w:rPr>
      </w:pPr>
    </w:p>
    <w:p w14:paraId="267A8500">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5445C6A4">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24D75B7D">
      <w:pPr>
        <w:rPr>
          <w:rFonts w:ascii="宋体" w:hAnsi="宋体" w:eastAsia="宋体" w:cs="Arial"/>
          <w:color w:val="auto"/>
          <w:sz w:val="24"/>
          <w:highlight w:val="none"/>
        </w:rPr>
      </w:pPr>
      <w:r>
        <w:rPr>
          <w:rFonts w:ascii="宋体" w:hAnsi="宋体" w:eastAsia="宋体" w:cs="Arial"/>
          <w:color w:val="auto"/>
          <w:sz w:val="24"/>
          <w:highlight w:val="none"/>
        </w:rPr>
        <w:br w:type="page"/>
      </w:r>
    </w:p>
    <w:p w14:paraId="74B18816">
      <w:pPr>
        <w:spacing w:line="360" w:lineRule="auto"/>
        <w:jc w:val="center"/>
        <w:outlineLvl w:val="1"/>
        <w:rPr>
          <w:rFonts w:hint="eastAsia" w:ascii="宋体" w:hAnsi="宋体" w:eastAsia="宋体"/>
          <w:b/>
          <w:color w:val="auto"/>
          <w:sz w:val="24"/>
          <w:szCs w:val="24"/>
          <w:highlight w:val="none"/>
        </w:rPr>
      </w:pPr>
      <w:r>
        <w:rPr>
          <w:rFonts w:hint="eastAsia" w:asciiTheme="minorEastAsia" w:hAnsiTheme="minorEastAsia" w:eastAsiaTheme="minorEastAsia"/>
          <w:b/>
          <w:color w:val="auto"/>
          <w:sz w:val="24"/>
          <w:highlight w:val="none"/>
          <w:lang w:val="en-US" w:eastAsia="zh-CN"/>
        </w:rPr>
        <w:t>十一、</w:t>
      </w:r>
      <w:r>
        <w:rPr>
          <w:rFonts w:hint="eastAsia" w:ascii="宋体" w:hAnsi="宋体" w:eastAsia="宋体" w:cs="宋体"/>
          <w:b/>
          <w:color w:val="auto"/>
          <w:sz w:val="24"/>
          <w:szCs w:val="24"/>
          <w:highlight w:val="none"/>
          <w:lang w:bidi="ar"/>
        </w:rPr>
        <w:t>诚信投标承诺书</w:t>
      </w:r>
    </w:p>
    <w:p w14:paraId="68AD13E6">
      <w:pPr>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本人以企业法定代表人的身份郑重承诺：</w:t>
      </w:r>
    </w:p>
    <w:p w14:paraId="67FA5BDC">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一、将遵循公开、公正和诚实信用的原则自愿参加</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项目的投标，所提供的一切材料都是真实、有效、合法的；</w:t>
      </w:r>
    </w:p>
    <w:p w14:paraId="36460919">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0861E4BA">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三、不出借、转让资质证书，不让他人挂靠投标，不以他人名义投标或者以其他方式弄虚作假，骗取中标；</w:t>
      </w:r>
    </w:p>
    <w:p w14:paraId="177D982A">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四、不与其他投标人相互串通投标报价，不排挤其他投标人的公平竞争、损害招标人的合法权益；</w:t>
      </w:r>
    </w:p>
    <w:p w14:paraId="4DFE2F63">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五、不与招标人、招标代理机构或其他投标人串通投标，损害国家利益、社会公共利益或者他人的合法权益；</w:t>
      </w:r>
    </w:p>
    <w:p w14:paraId="044B66FB">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六、</w:t>
      </w:r>
      <w:r>
        <w:rPr>
          <w:rFonts w:hint="eastAsia" w:ascii="宋体" w:hAnsi="宋体" w:eastAsia="宋体" w:cs="宋体"/>
          <w:color w:val="auto"/>
          <w:szCs w:val="21"/>
          <w:highlight w:val="none"/>
          <w:u w:val="single"/>
          <w:lang w:bidi="ar"/>
        </w:rPr>
        <w:t xml:space="preserve">       （企业名称）</w:t>
      </w:r>
      <w:r>
        <w:rPr>
          <w:rFonts w:hint="eastAsia" w:ascii="宋体" w:hAnsi="宋体" w:eastAsia="宋体" w:cs="宋体"/>
          <w:color w:val="auto"/>
          <w:szCs w:val="21"/>
          <w:highlight w:val="none"/>
          <w:lang w:bidi="ar"/>
        </w:rPr>
        <w:t>或</w:t>
      </w:r>
      <w:r>
        <w:rPr>
          <w:rFonts w:hint="eastAsia" w:ascii="宋体" w:hAnsi="宋体" w:eastAsia="宋体" w:cs="宋体"/>
          <w:color w:val="auto"/>
          <w:szCs w:val="21"/>
          <w:highlight w:val="none"/>
          <w:u w:val="single"/>
          <w:lang w:bidi="ar"/>
        </w:rPr>
        <w:t xml:space="preserve">       （企业名称）</w:t>
      </w:r>
      <w:r>
        <w:rPr>
          <w:rFonts w:hint="eastAsia" w:ascii="宋体" w:hAnsi="宋体" w:eastAsia="宋体" w:cs="宋体"/>
          <w:color w:val="auto"/>
          <w:szCs w:val="21"/>
          <w:highlight w:val="none"/>
          <w:lang w:bidi="ar"/>
        </w:rPr>
        <w:t>法定代表人或拟派项目经理（负责人）没有下列情形：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w:t>
      </w:r>
    </w:p>
    <w:p w14:paraId="43521DCF">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七、严格遵守开标现场纪律，服从监管人员管理；</w:t>
      </w:r>
    </w:p>
    <w:p w14:paraId="49BD6474">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八、保证中标后不转包，若有分包征得招标人同意；</w:t>
      </w:r>
    </w:p>
    <w:p w14:paraId="466D42D3">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九、保证中标之后，按照投标文件要求提供相关后续服务；</w:t>
      </w:r>
    </w:p>
    <w:p w14:paraId="138FDAD4">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十、保证企业及所属相关人员在本次投标中无行贿等犯罪行为；</w:t>
      </w:r>
    </w:p>
    <w:p w14:paraId="58D6BC72">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08BF4981">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以上内容我已仔细阅读，本公司若有违反承诺内容的行为，自愿接受取消投标或者中标（成交）资格、中标（成交）无效、记入不良行为记录等有关处理，愿意承担法律责任，给招标人造成损失的，依法承担赔偿责任。</w:t>
      </w:r>
    </w:p>
    <w:p w14:paraId="227319AA">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 </w:t>
      </w:r>
    </w:p>
    <w:p w14:paraId="64393506">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开户银行：                      基本账户：</w:t>
      </w:r>
    </w:p>
    <w:p w14:paraId="610ACF4D">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投标单位（签章）：               法定代表人（签章）：</w:t>
      </w:r>
    </w:p>
    <w:p w14:paraId="54072D81">
      <w:pPr>
        <w:spacing w:line="5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bidi="ar"/>
        </w:rPr>
        <w:t xml:space="preserve"> </w:t>
      </w:r>
    </w:p>
    <w:p w14:paraId="0F7CDB97">
      <w:pPr>
        <w:spacing w:line="560" w:lineRule="exact"/>
        <w:jc w:val="right"/>
        <w:rPr>
          <w:rFonts w:hint="eastAsia" w:ascii="仿宋_GB2312" w:eastAsia="仿宋_GB2312" w:cs="仿宋_GB2312"/>
          <w:color w:val="auto"/>
          <w:sz w:val="32"/>
          <w:szCs w:val="32"/>
          <w:highlight w:val="none"/>
        </w:rPr>
      </w:pPr>
      <w:r>
        <w:rPr>
          <w:rFonts w:hint="eastAsia" w:ascii="宋体" w:hAnsi="宋体" w:eastAsia="宋体" w:cs="宋体"/>
          <w:color w:val="auto"/>
          <w:szCs w:val="21"/>
          <w:highlight w:val="none"/>
          <w:lang w:bidi="ar"/>
        </w:rPr>
        <w:t>日期：</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年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 xml:space="preserve">月 </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日</w:t>
      </w:r>
    </w:p>
    <w:p w14:paraId="707195F5">
      <w:pPr>
        <w:pStyle w:val="13"/>
        <w:rPr>
          <w:color w:val="auto"/>
          <w:highlight w:val="none"/>
        </w:rPr>
      </w:pPr>
    </w:p>
    <w:bookmarkEnd w:id="58"/>
    <w:p w14:paraId="36D50BCA">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59" w:name="_Toc2683"/>
      <w:bookmarkStart w:id="60" w:name="_Toc32633"/>
    </w:p>
    <w:p w14:paraId="1531512C">
      <w:pPr>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br w:type="page"/>
      </w:r>
    </w:p>
    <w:p w14:paraId="7AC8F8D6">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十二、其他相关证明材料</w:t>
      </w:r>
      <w:bookmarkEnd w:id="59"/>
      <w:bookmarkEnd w:id="60"/>
    </w:p>
    <w:p w14:paraId="7460AB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5F8012CF">
      <w:pPr>
        <w:spacing w:line="360" w:lineRule="auto"/>
        <w:ind w:firstLine="480" w:firstLineChars="200"/>
        <w:rPr>
          <w:rFonts w:asciiTheme="minorEastAsia" w:hAnsiTheme="minorEastAsia" w:eastAsiaTheme="minorEastAsia"/>
          <w:color w:val="auto"/>
          <w:sz w:val="24"/>
          <w:highlight w:val="none"/>
        </w:rPr>
      </w:pPr>
    </w:p>
    <w:p w14:paraId="6072E757">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5B1EFEE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34910FF6">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4C03B5FE">
      <w:pPr>
        <w:spacing w:line="360" w:lineRule="auto"/>
        <w:jc w:val="center"/>
        <w:outlineLvl w:val="0"/>
        <w:rPr>
          <w:rFonts w:ascii="宋体" w:hAnsi="宋体" w:eastAsia="宋体"/>
          <w:b/>
          <w:bCs/>
          <w:color w:val="auto"/>
          <w:sz w:val="28"/>
          <w:highlight w:val="none"/>
        </w:rPr>
      </w:pPr>
      <w:bookmarkStart w:id="61" w:name="_Toc6435"/>
      <w:bookmarkStart w:id="62" w:name="_Toc18131"/>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61"/>
      <w:bookmarkEnd w:id="62"/>
    </w:p>
    <w:p w14:paraId="1066B407">
      <w:pPr>
        <w:spacing w:line="360" w:lineRule="auto"/>
        <w:jc w:val="center"/>
        <w:outlineLvl w:val="1"/>
        <w:rPr>
          <w:rFonts w:ascii="仿宋" w:hAnsi="仿宋" w:eastAsia="仿宋" w:cs="仿宋"/>
          <w:b/>
          <w:bCs/>
          <w:color w:val="auto"/>
          <w:sz w:val="32"/>
          <w:szCs w:val="44"/>
          <w:highlight w:val="none"/>
        </w:rPr>
      </w:pPr>
      <w:bookmarkStart w:id="63" w:name="_Toc27159"/>
      <w:bookmarkStart w:id="64" w:name="_Toc27489"/>
      <w:r>
        <w:rPr>
          <w:rFonts w:hint="eastAsia" w:ascii="仿宋" w:hAnsi="仿宋" w:eastAsia="仿宋" w:cs="仿宋"/>
          <w:b/>
          <w:bCs/>
          <w:color w:val="auto"/>
          <w:sz w:val="32"/>
          <w:szCs w:val="44"/>
          <w:highlight w:val="none"/>
        </w:rPr>
        <w:t>询问函范本</w:t>
      </w:r>
      <w:bookmarkEnd w:id="63"/>
      <w:bookmarkEnd w:id="64"/>
    </w:p>
    <w:p w14:paraId="6E9BBADF">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7FD0F541">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1037825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69CD8E40">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65" w:name="_Toc13899"/>
      <w:r>
        <w:rPr>
          <w:rFonts w:hint="eastAsia" w:cs="仿宋" w:asciiTheme="minorEastAsia" w:hAnsiTheme="minorEastAsia" w:eastAsiaTheme="minorEastAsia"/>
          <w:color w:val="auto"/>
          <w:sz w:val="24"/>
          <w:szCs w:val="24"/>
          <w:highlight w:val="none"/>
        </w:rPr>
        <w:t>一、(事项一)</w:t>
      </w:r>
      <w:bookmarkEnd w:id="65"/>
    </w:p>
    <w:p w14:paraId="28FADC05">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1E7C99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496A5F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BBD936D">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66" w:name="_Toc3352"/>
      <w:r>
        <w:rPr>
          <w:rFonts w:hint="eastAsia" w:cs="仿宋" w:asciiTheme="minorEastAsia" w:hAnsiTheme="minorEastAsia" w:eastAsiaTheme="minorEastAsia"/>
          <w:color w:val="auto"/>
          <w:sz w:val="24"/>
          <w:szCs w:val="24"/>
          <w:highlight w:val="none"/>
        </w:rPr>
        <w:t>二、(事项二)</w:t>
      </w:r>
      <w:bookmarkEnd w:id="66"/>
    </w:p>
    <w:p w14:paraId="29C06413">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5E89010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594AE676">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4E3FCF91">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6FF5D55D">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0B301B3F">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2C6EC227">
      <w:pPr>
        <w:jc w:val="center"/>
        <w:outlineLvl w:val="1"/>
        <w:rPr>
          <w:rFonts w:ascii="仿宋" w:hAnsi="仿宋" w:eastAsia="仿宋" w:cs="仿宋"/>
          <w:b/>
          <w:bCs/>
          <w:color w:val="auto"/>
          <w:sz w:val="32"/>
          <w:szCs w:val="44"/>
          <w:highlight w:val="none"/>
        </w:rPr>
      </w:pPr>
      <w:bookmarkStart w:id="67" w:name="_Toc3245"/>
      <w:bookmarkStart w:id="68" w:name="_Toc1575"/>
      <w:r>
        <w:rPr>
          <w:rFonts w:hint="eastAsia" w:ascii="仿宋" w:hAnsi="仿宋" w:eastAsia="仿宋" w:cs="仿宋"/>
          <w:b/>
          <w:bCs/>
          <w:color w:val="auto"/>
          <w:sz w:val="32"/>
          <w:szCs w:val="44"/>
          <w:highlight w:val="none"/>
        </w:rPr>
        <w:t>质疑函范本</w:t>
      </w:r>
      <w:bookmarkEnd w:id="67"/>
      <w:bookmarkEnd w:id="68"/>
    </w:p>
    <w:p w14:paraId="447ADE15">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69" w:name="_Toc21381"/>
      <w:r>
        <w:rPr>
          <w:rFonts w:hint="eastAsia" w:cs="仿宋" w:asciiTheme="minorEastAsia" w:hAnsiTheme="minorEastAsia" w:eastAsiaTheme="minorEastAsia"/>
          <w:b/>
          <w:bCs/>
          <w:color w:val="auto"/>
          <w:sz w:val="24"/>
          <w:szCs w:val="24"/>
          <w:highlight w:val="none"/>
        </w:rPr>
        <w:t>一、质疑供应商基本信息</w:t>
      </w:r>
      <w:bookmarkEnd w:id="69"/>
    </w:p>
    <w:p w14:paraId="7EC1532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389F680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21DD694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2EF999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7A2B686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4D1C00A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025DA05F">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70" w:name="_Toc28415"/>
      <w:r>
        <w:rPr>
          <w:rFonts w:hint="eastAsia" w:cs="仿宋" w:asciiTheme="minorEastAsia" w:hAnsiTheme="minorEastAsia" w:eastAsiaTheme="minorEastAsia"/>
          <w:b/>
          <w:bCs/>
          <w:color w:val="auto"/>
          <w:sz w:val="24"/>
          <w:szCs w:val="24"/>
          <w:highlight w:val="none"/>
        </w:rPr>
        <w:t>二、质疑项目基本情况</w:t>
      </w:r>
      <w:bookmarkEnd w:id="70"/>
    </w:p>
    <w:p w14:paraId="0DDF40B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034DBBE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483F5CA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96D767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312596F4">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71" w:name="_Toc19014"/>
      <w:r>
        <w:rPr>
          <w:rFonts w:hint="eastAsia" w:cs="仿宋" w:asciiTheme="minorEastAsia" w:hAnsiTheme="minorEastAsia" w:eastAsiaTheme="minorEastAsia"/>
          <w:b/>
          <w:bCs/>
          <w:color w:val="auto"/>
          <w:sz w:val="24"/>
          <w:szCs w:val="24"/>
          <w:highlight w:val="none"/>
        </w:rPr>
        <w:t>三、质疑事项具体内容</w:t>
      </w:r>
      <w:bookmarkEnd w:id="71"/>
    </w:p>
    <w:p w14:paraId="268FEEA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4FF3617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36CF244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3AB77CC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7EFB681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341044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61695F8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D489136">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72" w:name="_Toc17919"/>
      <w:r>
        <w:rPr>
          <w:rFonts w:hint="eastAsia" w:cs="仿宋" w:asciiTheme="minorEastAsia" w:hAnsiTheme="minorEastAsia" w:eastAsiaTheme="minorEastAsia"/>
          <w:b/>
          <w:bCs/>
          <w:color w:val="auto"/>
          <w:sz w:val="24"/>
          <w:szCs w:val="24"/>
          <w:highlight w:val="none"/>
        </w:rPr>
        <w:t>四、与质疑事项相关的质疑请求</w:t>
      </w:r>
      <w:bookmarkEnd w:id="72"/>
    </w:p>
    <w:p w14:paraId="11ED960D">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81C6568">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0E7ADEA4">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3EE13C2B">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15AAF772">
      <w:pPr>
        <w:outlineLvl w:val="0"/>
        <w:rPr>
          <w:rFonts w:asciiTheme="minorEastAsia" w:hAnsiTheme="minorEastAsia" w:eastAsiaTheme="minorEastAsia"/>
          <w:b/>
          <w:color w:val="auto"/>
          <w:sz w:val="28"/>
          <w:szCs w:val="32"/>
          <w:highlight w:val="none"/>
        </w:rPr>
      </w:pPr>
      <w:bookmarkStart w:id="73" w:name="_Toc26836"/>
      <w:bookmarkStart w:id="74" w:name="_Toc9754"/>
      <w:r>
        <w:rPr>
          <w:rFonts w:hint="eastAsia" w:asciiTheme="minorEastAsia" w:hAnsiTheme="minorEastAsia" w:eastAsiaTheme="minorEastAsia"/>
          <w:b/>
          <w:color w:val="auto"/>
          <w:sz w:val="28"/>
          <w:szCs w:val="32"/>
          <w:highlight w:val="none"/>
        </w:rPr>
        <w:t>质疑函制作说明：</w:t>
      </w:r>
      <w:bookmarkEnd w:id="73"/>
      <w:bookmarkEnd w:id="74"/>
    </w:p>
    <w:p w14:paraId="799C9A1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5D1820C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194F0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4A8CD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78A0B5D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79AC054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19E1337C">
      <w:pPr>
        <w:rPr>
          <w:color w:val="auto"/>
          <w:highlight w:val="none"/>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2020503050405090304"/>
    <w:charset w:val="00"/>
    <w:family w:val="roman"/>
    <w:pitch w:val="default"/>
    <w:sig w:usb0="00000000" w:usb1="00000000" w:usb2="00000001" w:usb3="00000000" w:csb0="400001BF" w:csb1="DFF70000"/>
  </w:font>
  <w:font w:name="Sylfaen">
    <w:panose1 w:val="010A0502050306030303"/>
    <w:charset w:val="00"/>
    <w:family w:val="roman"/>
    <w:pitch w:val="default"/>
    <w:sig w:usb0="04000687" w:usb1="00000000" w:usb2="00000000" w:usb3="00000000" w:csb0="2000009F" w:csb1="00000000"/>
  </w:font>
  <w:font w:name="MingLiU">
    <w:altName w:val="PMingLiU-ExtB"/>
    <w:panose1 w:val="020203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668F2">
    <w:pPr>
      <w:pStyle w:val="1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823F6">
    <w:pPr>
      <w:pStyle w:val="1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8B3872">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78B3872">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B95FE">
    <w:pPr>
      <w:pStyle w:val="19"/>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货物类</w:t>
    </w:r>
    <w:r>
      <w:rPr>
        <w:rFonts w:hint="eastAsia" w:asciiTheme="minorEastAsia" w:hAnsiTheme="minorEastAsia" w:eastAsiaTheme="minor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7E18FE"/>
    <w:multiLevelType w:val="multilevel"/>
    <w:tmpl w:val="AC7E18FE"/>
    <w:lvl w:ilvl="0" w:tentative="0">
      <w:start w:val="16"/>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BACA0508"/>
    <w:multiLevelType w:val="multilevel"/>
    <w:tmpl w:val="BACA0508"/>
    <w:lvl w:ilvl="0" w:tentative="0">
      <w:start w:val="23"/>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C54EA2A8"/>
    <w:multiLevelType w:val="singleLevel"/>
    <w:tmpl w:val="C54EA2A8"/>
    <w:lvl w:ilvl="0" w:tentative="0">
      <w:start w:val="1"/>
      <w:numFmt w:val="decimal"/>
      <w:pStyle w:val="7"/>
      <w:lvlText w:val="%1."/>
      <w:lvlJc w:val="left"/>
      <w:pPr>
        <w:tabs>
          <w:tab w:val="left" w:pos="360"/>
        </w:tabs>
        <w:ind w:left="360" w:hanging="360"/>
      </w:pPr>
    </w:lvl>
  </w:abstractNum>
  <w:abstractNum w:abstractNumId="3">
    <w:nsid w:val="C666EA50"/>
    <w:multiLevelType w:val="multilevel"/>
    <w:tmpl w:val="C666EA50"/>
    <w:lvl w:ilvl="0" w:tentative="0">
      <w:start w:val="2"/>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D6500D40"/>
    <w:multiLevelType w:val="multilevel"/>
    <w:tmpl w:val="D6500D40"/>
    <w:lvl w:ilvl="0" w:tentative="0">
      <w:start w:val="6"/>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FC9A424E"/>
    <w:multiLevelType w:val="singleLevel"/>
    <w:tmpl w:val="FC9A424E"/>
    <w:lvl w:ilvl="0" w:tentative="0">
      <w:start w:val="1"/>
      <w:numFmt w:val="decimal"/>
      <w:suff w:val="nothing"/>
      <w:lvlText w:val="（%1）"/>
      <w:lvlJc w:val="left"/>
    </w:lvl>
  </w:abstractNum>
  <w:abstractNum w:abstractNumId="6">
    <w:nsid w:val="09649FA8"/>
    <w:multiLevelType w:val="multilevel"/>
    <w:tmpl w:val="09649FA8"/>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50614EA9"/>
    <w:multiLevelType w:val="singleLevel"/>
    <w:tmpl w:val="50614EA9"/>
    <w:lvl w:ilvl="0" w:tentative="0">
      <w:start w:val="8"/>
      <w:numFmt w:val="decimal"/>
      <w:suff w:val="nothing"/>
      <w:lvlText w:val="%1、"/>
      <w:lvlJc w:val="left"/>
    </w:lvl>
  </w:abstractNum>
  <w:abstractNum w:abstractNumId="8">
    <w:nsid w:val="65FEA4A1"/>
    <w:multiLevelType w:val="multilevel"/>
    <w:tmpl w:val="65FEA4A1"/>
    <w:lvl w:ilvl="0" w:tentative="0">
      <w:start w:val="1"/>
      <w:numFmt w:val="decimal"/>
      <w:suff w:val="space"/>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7"/>
  </w:num>
  <w:num w:numId="3">
    <w:abstractNumId w:val="8"/>
  </w:num>
  <w:num w:numId="4">
    <w:abstractNumId w:val="5"/>
  </w:num>
  <w:num w:numId="5">
    <w:abstractNumId w:val="6"/>
  </w:num>
  <w:num w:numId="6">
    <w:abstractNumId w:val="3"/>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lNzQ4MzcxNzg2OWFlODZiZmQ0MDE5ZTViOTE5MT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6E0"/>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10A1"/>
    <w:rsid w:val="00556D4C"/>
    <w:rsid w:val="005614B4"/>
    <w:rsid w:val="005616B5"/>
    <w:rsid w:val="00571315"/>
    <w:rsid w:val="00582075"/>
    <w:rsid w:val="00584A63"/>
    <w:rsid w:val="00585EB3"/>
    <w:rsid w:val="00591688"/>
    <w:rsid w:val="00592509"/>
    <w:rsid w:val="00594986"/>
    <w:rsid w:val="00597B15"/>
    <w:rsid w:val="005A044C"/>
    <w:rsid w:val="005B5C95"/>
    <w:rsid w:val="005B636A"/>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D70C6"/>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B1BF9"/>
    <w:rsid w:val="01A84053"/>
    <w:rsid w:val="01E054EB"/>
    <w:rsid w:val="01E93A1B"/>
    <w:rsid w:val="0214602E"/>
    <w:rsid w:val="02442844"/>
    <w:rsid w:val="03486B27"/>
    <w:rsid w:val="03905398"/>
    <w:rsid w:val="03C2134C"/>
    <w:rsid w:val="040A094E"/>
    <w:rsid w:val="056F201D"/>
    <w:rsid w:val="05B664D4"/>
    <w:rsid w:val="064B485A"/>
    <w:rsid w:val="068C65C4"/>
    <w:rsid w:val="07076C01"/>
    <w:rsid w:val="071C12AC"/>
    <w:rsid w:val="07A934B3"/>
    <w:rsid w:val="07BA4A57"/>
    <w:rsid w:val="07EB6287"/>
    <w:rsid w:val="0806421B"/>
    <w:rsid w:val="08BE076E"/>
    <w:rsid w:val="0980799C"/>
    <w:rsid w:val="09944B8E"/>
    <w:rsid w:val="09951550"/>
    <w:rsid w:val="0A0E19EA"/>
    <w:rsid w:val="0A241C65"/>
    <w:rsid w:val="0A6A18DB"/>
    <w:rsid w:val="0A717437"/>
    <w:rsid w:val="0A825391"/>
    <w:rsid w:val="0A975B48"/>
    <w:rsid w:val="0AB17C0E"/>
    <w:rsid w:val="0AEF3828"/>
    <w:rsid w:val="0B406381"/>
    <w:rsid w:val="0BB452AA"/>
    <w:rsid w:val="0BBB665B"/>
    <w:rsid w:val="0BDC700F"/>
    <w:rsid w:val="0C595C85"/>
    <w:rsid w:val="0D3B1FC6"/>
    <w:rsid w:val="0EEA6FC1"/>
    <w:rsid w:val="0F790928"/>
    <w:rsid w:val="10CD72BB"/>
    <w:rsid w:val="12197477"/>
    <w:rsid w:val="131B5CD3"/>
    <w:rsid w:val="133E02C4"/>
    <w:rsid w:val="13776448"/>
    <w:rsid w:val="14263231"/>
    <w:rsid w:val="1466407E"/>
    <w:rsid w:val="14834E28"/>
    <w:rsid w:val="148E7D65"/>
    <w:rsid w:val="15231BF9"/>
    <w:rsid w:val="156373EE"/>
    <w:rsid w:val="159E2963"/>
    <w:rsid w:val="15C4546D"/>
    <w:rsid w:val="18CC7773"/>
    <w:rsid w:val="191173C1"/>
    <w:rsid w:val="191A3096"/>
    <w:rsid w:val="19DD2D01"/>
    <w:rsid w:val="1A064976"/>
    <w:rsid w:val="1A3B68AA"/>
    <w:rsid w:val="1A3E1C1E"/>
    <w:rsid w:val="1B5A4701"/>
    <w:rsid w:val="1B6F4F40"/>
    <w:rsid w:val="1B9A01C0"/>
    <w:rsid w:val="1C141836"/>
    <w:rsid w:val="1C76537D"/>
    <w:rsid w:val="1D24052A"/>
    <w:rsid w:val="1DEF28E6"/>
    <w:rsid w:val="1E6B6A14"/>
    <w:rsid w:val="1F6115C2"/>
    <w:rsid w:val="1FE80168"/>
    <w:rsid w:val="20202956"/>
    <w:rsid w:val="20550D9A"/>
    <w:rsid w:val="205545EA"/>
    <w:rsid w:val="215F7913"/>
    <w:rsid w:val="218458B2"/>
    <w:rsid w:val="218E2416"/>
    <w:rsid w:val="21B75E11"/>
    <w:rsid w:val="21C31F1F"/>
    <w:rsid w:val="226915FE"/>
    <w:rsid w:val="2278459C"/>
    <w:rsid w:val="229273EC"/>
    <w:rsid w:val="23BC656D"/>
    <w:rsid w:val="241804A5"/>
    <w:rsid w:val="24B97929"/>
    <w:rsid w:val="24D632D7"/>
    <w:rsid w:val="2621364C"/>
    <w:rsid w:val="27323351"/>
    <w:rsid w:val="27D65DBA"/>
    <w:rsid w:val="285F40CA"/>
    <w:rsid w:val="289E1AF0"/>
    <w:rsid w:val="28C01ECB"/>
    <w:rsid w:val="290275F9"/>
    <w:rsid w:val="296138D0"/>
    <w:rsid w:val="29BF71E3"/>
    <w:rsid w:val="29D6387F"/>
    <w:rsid w:val="29FF7C47"/>
    <w:rsid w:val="2A127B63"/>
    <w:rsid w:val="2A451A6C"/>
    <w:rsid w:val="2A990D4C"/>
    <w:rsid w:val="2AAA4765"/>
    <w:rsid w:val="2AC21606"/>
    <w:rsid w:val="2AD63D42"/>
    <w:rsid w:val="2B3060CD"/>
    <w:rsid w:val="2B7E7608"/>
    <w:rsid w:val="2B7F04E9"/>
    <w:rsid w:val="2B8B554A"/>
    <w:rsid w:val="2C35726F"/>
    <w:rsid w:val="2C665C82"/>
    <w:rsid w:val="2CDA07B4"/>
    <w:rsid w:val="2D496D68"/>
    <w:rsid w:val="2DF320FB"/>
    <w:rsid w:val="2E7A48DE"/>
    <w:rsid w:val="2EBA5177"/>
    <w:rsid w:val="2EDC3ED8"/>
    <w:rsid w:val="2F104B00"/>
    <w:rsid w:val="2F6351B4"/>
    <w:rsid w:val="2FC86126"/>
    <w:rsid w:val="2FCF199E"/>
    <w:rsid w:val="2FE04785"/>
    <w:rsid w:val="2FE34275"/>
    <w:rsid w:val="2FE760BA"/>
    <w:rsid w:val="30483E83"/>
    <w:rsid w:val="30BF3991"/>
    <w:rsid w:val="310315DB"/>
    <w:rsid w:val="3111619A"/>
    <w:rsid w:val="319775DB"/>
    <w:rsid w:val="31B139DC"/>
    <w:rsid w:val="32497AF3"/>
    <w:rsid w:val="326C6473"/>
    <w:rsid w:val="343C0775"/>
    <w:rsid w:val="356C50EC"/>
    <w:rsid w:val="36137E45"/>
    <w:rsid w:val="36376E0A"/>
    <w:rsid w:val="3700166C"/>
    <w:rsid w:val="37857B97"/>
    <w:rsid w:val="37985945"/>
    <w:rsid w:val="379A1012"/>
    <w:rsid w:val="38694EE9"/>
    <w:rsid w:val="38E069CE"/>
    <w:rsid w:val="399F5AA7"/>
    <w:rsid w:val="3A6818FA"/>
    <w:rsid w:val="3AEC238A"/>
    <w:rsid w:val="3B365CC9"/>
    <w:rsid w:val="3B9A7B88"/>
    <w:rsid w:val="3D2C7AC8"/>
    <w:rsid w:val="3D855D12"/>
    <w:rsid w:val="3D8B42FF"/>
    <w:rsid w:val="3DE86C4C"/>
    <w:rsid w:val="3DF36A6E"/>
    <w:rsid w:val="3EBA1EE9"/>
    <w:rsid w:val="3F792F1E"/>
    <w:rsid w:val="40824826"/>
    <w:rsid w:val="40E63923"/>
    <w:rsid w:val="43A91E5B"/>
    <w:rsid w:val="449E0D39"/>
    <w:rsid w:val="45E32B26"/>
    <w:rsid w:val="463A3650"/>
    <w:rsid w:val="46461627"/>
    <w:rsid w:val="469F0116"/>
    <w:rsid w:val="46E0714F"/>
    <w:rsid w:val="47315BD2"/>
    <w:rsid w:val="475259B7"/>
    <w:rsid w:val="488302AE"/>
    <w:rsid w:val="48831CF9"/>
    <w:rsid w:val="49024C9C"/>
    <w:rsid w:val="49A52016"/>
    <w:rsid w:val="49B1408D"/>
    <w:rsid w:val="4A7D4FD2"/>
    <w:rsid w:val="4A913C9A"/>
    <w:rsid w:val="4B1F70AC"/>
    <w:rsid w:val="4B240F94"/>
    <w:rsid w:val="4C0832E5"/>
    <w:rsid w:val="4C3C565C"/>
    <w:rsid w:val="4C3E2B07"/>
    <w:rsid w:val="4CC254E6"/>
    <w:rsid w:val="4CCC79C7"/>
    <w:rsid w:val="4D7555C7"/>
    <w:rsid w:val="4EAE6DA0"/>
    <w:rsid w:val="4ECF79AE"/>
    <w:rsid w:val="4FE617D9"/>
    <w:rsid w:val="4FE92737"/>
    <w:rsid w:val="5016514B"/>
    <w:rsid w:val="50BD4329"/>
    <w:rsid w:val="50BD4DF3"/>
    <w:rsid w:val="50EB799A"/>
    <w:rsid w:val="50FC1A26"/>
    <w:rsid w:val="51723664"/>
    <w:rsid w:val="51CB1C78"/>
    <w:rsid w:val="51D35A9F"/>
    <w:rsid w:val="51FD6A51"/>
    <w:rsid w:val="526B680A"/>
    <w:rsid w:val="52836F71"/>
    <w:rsid w:val="52D26B02"/>
    <w:rsid w:val="538A7131"/>
    <w:rsid w:val="541A5D30"/>
    <w:rsid w:val="55C1559C"/>
    <w:rsid w:val="55F068CD"/>
    <w:rsid w:val="566C3136"/>
    <w:rsid w:val="568D04F2"/>
    <w:rsid w:val="57C37CE3"/>
    <w:rsid w:val="58D04AE7"/>
    <w:rsid w:val="59D653D9"/>
    <w:rsid w:val="5A526582"/>
    <w:rsid w:val="5A5F5C77"/>
    <w:rsid w:val="5A711A0D"/>
    <w:rsid w:val="5B1613E4"/>
    <w:rsid w:val="5B50604C"/>
    <w:rsid w:val="5B78003B"/>
    <w:rsid w:val="5BC11A60"/>
    <w:rsid w:val="5C197149"/>
    <w:rsid w:val="5C7A4D54"/>
    <w:rsid w:val="5CD23B73"/>
    <w:rsid w:val="5F00691E"/>
    <w:rsid w:val="5F127819"/>
    <w:rsid w:val="60350ED3"/>
    <w:rsid w:val="60B72AEE"/>
    <w:rsid w:val="61025188"/>
    <w:rsid w:val="61057D5F"/>
    <w:rsid w:val="6126068F"/>
    <w:rsid w:val="614D4977"/>
    <w:rsid w:val="62FD1A73"/>
    <w:rsid w:val="63133D14"/>
    <w:rsid w:val="63C60FC0"/>
    <w:rsid w:val="64BA3D7A"/>
    <w:rsid w:val="64F179BC"/>
    <w:rsid w:val="65DF0A5F"/>
    <w:rsid w:val="665704D3"/>
    <w:rsid w:val="666D151C"/>
    <w:rsid w:val="67C065A4"/>
    <w:rsid w:val="67D359C9"/>
    <w:rsid w:val="68042537"/>
    <w:rsid w:val="68FE36DD"/>
    <w:rsid w:val="694E60FC"/>
    <w:rsid w:val="69E95A08"/>
    <w:rsid w:val="6A256904"/>
    <w:rsid w:val="6AEE1907"/>
    <w:rsid w:val="6B656832"/>
    <w:rsid w:val="6BD66471"/>
    <w:rsid w:val="6C675CE6"/>
    <w:rsid w:val="6D4F4321"/>
    <w:rsid w:val="6DF41B82"/>
    <w:rsid w:val="6DFF7360"/>
    <w:rsid w:val="6E7A5F73"/>
    <w:rsid w:val="6E873A42"/>
    <w:rsid w:val="6EE90F9D"/>
    <w:rsid w:val="6FD74228"/>
    <w:rsid w:val="7021106F"/>
    <w:rsid w:val="71633091"/>
    <w:rsid w:val="718801FD"/>
    <w:rsid w:val="71D035C1"/>
    <w:rsid w:val="72734A09"/>
    <w:rsid w:val="727803AE"/>
    <w:rsid w:val="73081CA5"/>
    <w:rsid w:val="74201F7D"/>
    <w:rsid w:val="7487762D"/>
    <w:rsid w:val="74C33AA4"/>
    <w:rsid w:val="75210D7A"/>
    <w:rsid w:val="75385498"/>
    <w:rsid w:val="75F37776"/>
    <w:rsid w:val="769C2065"/>
    <w:rsid w:val="76BC207F"/>
    <w:rsid w:val="76EB4904"/>
    <w:rsid w:val="77645DCD"/>
    <w:rsid w:val="777378F5"/>
    <w:rsid w:val="777A2D3C"/>
    <w:rsid w:val="78474930"/>
    <w:rsid w:val="79074B81"/>
    <w:rsid w:val="794F0939"/>
    <w:rsid w:val="79AF0FCA"/>
    <w:rsid w:val="7A9D05C5"/>
    <w:rsid w:val="7AF9279C"/>
    <w:rsid w:val="7B870811"/>
    <w:rsid w:val="7CC51958"/>
    <w:rsid w:val="7CD53DF9"/>
    <w:rsid w:val="7D097C86"/>
    <w:rsid w:val="7E2936C3"/>
    <w:rsid w:val="7E6411B9"/>
    <w:rsid w:val="7EB46836"/>
    <w:rsid w:val="B7EAF5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63"/>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5"/>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70"/>
    <w:autoRedefine/>
    <w:qFormat/>
    <w:uiPriority w:val="0"/>
    <w:pPr>
      <w:keepNext/>
      <w:keepLines/>
      <w:spacing w:before="280" w:after="290" w:line="376" w:lineRule="auto"/>
      <w:outlineLvl w:val="3"/>
    </w:pPr>
    <w:rPr>
      <w:b/>
      <w:bCs/>
      <w:sz w:val="28"/>
      <w:szCs w:val="28"/>
    </w:rPr>
  </w:style>
  <w:style w:type="character" w:default="1" w:styleId="29">
    <w:name w:val="Default Paragraph Font"/>
    <w:autoRedefine/>
    <w:semiHidden/>
    <w:unhideWhenUsed/>
    <w:qFormat/>
    <w:uiPriority w:val="1"/>
  </w:style>
  <w:style w:type="table" w:default="1" w:styleId="27">
    <w:name w:val="Normal Table"/>
    <w:autoRedefine/>
    <w:semiHidden/>
    <w:unhideWhenUsed/>
    <w:qFormat/>
    <w:uiPriority w:val="99"/>
    <w:tblPr>
      <w:tblCellMar>
        <w:top w:w="0" w:type="dxa"/>
        <w:left w:w="108" w:type="dxa"/>
        <w:bottom w:w="0" w:type="dxa"/>
        <w:right w:w="108" w:type="dxa"/>
      </w:tblCellMar>
    </w:tblPr>
  </w:style>
  <w:style w:type="paragraph" w:styleId="6">
    <w:name w:val="toc 7"/>
    <w:basedOn w:val="1"/>
    <w:next w:val="1"/>
    <w:autoRedefine/>
    <w:unhideWhenUsed/>
    <w:qFormat/>
    <w:uiPriority w:val="39"/>
    <w:pPr>
      <w:ind w:left="1260"/>
      <w:jc w:val="left"/>
    </w:pPr>
    <w:rPr>
      <w:rFonts w:ascii="Calibri" w:hAnsi="Calibri" w:cs="Calibri"/>
      <w:kern w:val="2"/>
      <w:sz w:val="18"/>
      <w:szCs w:val="18"/>
    </w:rPr>
  </w:style>
  <w:style w:type="paragraph" w:styleId="7">
    <w:name w:val="List Number"/>
    <w:basedOn w:val="1"/>
    <w:autoRedefine/>
    <w:semiHidden/>
    <w:unhideWhenUsed/>
    <w:qFormat/>
    <w:uiPriority w:val="99"/>
    <w:pPr>
      <w:numPr>
        <w:ilvl w:val="0"/>
        <w:numId w:val="1"/>
      </w:numPr>
    </w:pPr>
  </w:style>
  <w:style w:type="paragraph" w:styleId="8">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9">
    <w:name w:val="annotation text"/>
    <w:basedOn w:val="1"/>
    <w:link w:val="62"/>
    <w:autoRedefine/>
    <w:qFormat/>
    <w:uiPriority w:val="0"/>
    <w:pPr>
      <w:jc w:val="left"/>
    </w:pPr>
    <w:rPr>
      <w:rFonts w:ascii="Arial" w:hAnsi="Arial" w:eastAsia="黑体" w:cs="Arial"/>
    </w:rPr>
  </w:style>
  <w:style w:type="paragraph" w:styleId="10">
    <w:name w:val="Body Text"/>
    <w:basedOn w:val="1"/>
    <w:autoRedefine/>
    <w:qFormat/>
    <w:uiPriority w:val="0"/>
    <w:pPr>
      <w:spacing w:after="120"/>
    </w:pPr>
    <w:rPr>
      <w:rFonts w:ascii="@微软简标宋" w:hAnsi="@微软简标宋" w:eastAsia="@微软简标宋" w:cs="@微软简标宋"/>
      <w:szCs w:val="24"/>
      <w:lang w:val="zh-CN"/>
    </w:rPr>
  </w:style>
  <w:style w:type="paragraph" w:styleId="11">
    <w:name w:val="Body Text Indent"/>
    <w:basedOn w:val="1"/>
    <w:next w:val="12"/>
    <w:autoRedefine/>
    <w:qFormat/>
    <w:uiPriority w:val="0"/>
    <w:pPr>
      <w:spacing w:after="120"/>
      <w:ind w:left="420" w:leftChars="200"/>
    </w:pPr>
  </w:style>
  <w:style w:type="paragraph" w:styleId="12">
    <w:name w:val="envelope return"/>
    <w:basedOn w:val="1"/>
    <w:next w:val="6"/>
    <w:qFormat/>
    <w:uiPriority w:val="0"/>
    <w:pPr>
      <w:snapToGrid w:val="0"/>
    </w:pPr>
    <w:rPr>
      <w:rFonts w:ascii="Arial" w:hAnsi="Arial"/>
    </w:rPr>
  </w:style>
  <w:style w:type="paragraph" w:styleId="13">
    <w:name w:val="index 4"/>
    <w:basedOn w:val="1"/>
    <w:next w:val="1"/>
    <w:qFormat/>
    <w:uiPriority w:val="0"/>
    <w:pPr>
      <w:ind w:left="600" w:leftChars="600"/>
    </w:pPr>
    <w:rPr>
      <w:rFonts w:ascii="Times New Roman" w:hAnsi="Times New Roman" w:eastAsia="宋体" w:cs="Times New Roman"/>
    </w:rPr>
  </w:style>
  <w:style w:type="paragraph" w:styleId="14">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5">
    <w:name w:val="Plain Text"/>
    <w:basedOn w:val="1"/>
    <w:link w:val="52"/>
    <w:autoRedefine/>
    <w:qFormat/>
    <w:uiPriority w:val="99"/>
    <w:rPr>
      <w:rFonts w:ascii="宋体" w:hAnsi="Courier New" w:eastAsiaTheme="minorEastAsia" w:cstheme="minorBidi"/>
      <w:szCs w:val="22"/>
    </w:rPr>
  </w:style>
  <w:style w:type="paragraph" w:styleId="16">
    <w:name w:val="Date"/>
    <w:basedOn w:val="1"/>
    <w:next w:val="1"/>
    <w:link w:val="59"/>
    <w:autoRedefine/>
    <w:qFormat/>
    <w:uiPriority w:val="0"/>
    <w:rPr>
      <w:rFonts w:ascii="Arial" w:hAnsi="Arial" w:eastAsia="宋体" w:cs="Arial"/>
      <w:b/>
      <w:sz w:val="28"/>
    </w:rPr>
  </w:style>
  <w:style w:type="paragraph" w:styleId="17">
    <w:name w:val="Balloon Text"/>
    <w:basedOn w:val="1"/>
    <w:link w:val="46"/>
    <w:autoRedefine/>
    <w:semiHidden/>
    <w:unhideWhenUsed/>
    <w:qFormat/>
    <w:uiPriority w:val="99"/>
    <w:rPr>
      <w:sz w:val="18"/>
      <w:szCs w:val="18"/>
    </w:rPr>
  </w:style>
  <w:style w:type="paragraph" w:styleId="18">
    <w:name w:val="footer"/>
    <w:basedOn w:val="1"/>
    <w:link w:val="51"/>
    <w:autoRedefine/>
    <w:unhideWhenUsed/>
    <w:qFormat/>
    <w:uiPriority w:val="99"/>
    <w:pPr>
      <w:tabs>
        <w:tab w:val="center" w:pos="4153"/>
        <w:tab w:val="right" w:pos="8306"/>
      </w:tabs>
      <w:snapToGrid w:val="0"/>
      <w:jc w:val="left"/>
    </w:pPr>
    <w:rPr>
      <w:sz w:val="18"/>
      <w:szCs w:val="18"/>
    </w:rPr>
  </w:style>
  <w:style w:type="paragraph" w:styleId="19">
    <w:name w:val="header"/>
    <w:basedOn w:val="1"/>
    <w:link w:val="5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2">
    <w:name w:val="Normal (Web)"/>
    <w:basedOn w:val="1"/>
    <w:autoRedefine/>
    <w:qFormat/>
    <w:uiPriority w:val="0"/>
    <w:pPr>
      <w:spacing w:before="100" w:beforeAutospacing="1" w:after="100" w:afterAutospacing="1"/>
      <w:jc w:val="left"/>
    </w:pPr>
    <w:rPr>
      <w:rFonts w:cs="Times New Roman"/>
      <w:kern w:val="0"/>
      <w:sz w:val="24"/>
    </w:rPr>
  </w:style>
  <w:style w:type="paragraph" w:styleId="23">
    <w:name w:val="index 1"/>
    <w:basedOn w:val="1"/>
    <w:next w:val="1"/>
    <w:autoRedefine/>
    <w:qFormat/>
    <w:uiPriority w:val="0"/>
    <w:pPr>
      <w:jc w:val="center"/>
    </w:pPr>
    <w:rPr>
      <w:rFonts w:ascii="Arial" w:hAnsi="Arial" w:eastAsia="Arial" w:cs="Arial"/>
      <w:b/>
      <w:bCs/>
      <w:sz w:val="28"/>
    </w:rPr>
  </w:style>
  <w:style w:type="paragraph" w:styleId="24">
    <w:name w:val="annotation subject"/>
    <w:basedOn w:val="9"/>
    <w:next w:val="9"/>
    <w:link w:val="73"/>
    <w:autoRedefine/>
    <w:semiHidden/>
    <w:unhideWhenUsed/>
    <w:qFormat/>
    <w:uiPriority w:val="99"/>
    <w:rPr>
      <w:rFonts w:ascii="@仿宋_GB2312" w:hAnsi="@仿宋_GB2312" w:eastAsia="@仿宋_GB2312" w:cs="@仿宋_GB2312"/>
      <w:b/>
      <w:bCs/>
    </w:rPr>
  </w:style>
  <w:style w:type="paragraph" w:styleId="25">
    <w:name w:val="Body Text First Indent"/>
    <w:basedOn w:val="10"/>
    <w:autoRedefine/>
    <w:unhideWhenUsed/>
    <w:qFormat/>
    <w:uiPriority w:val="99"/>
    <w:pPr>
      <w:ind w:firstLine="420" w:firstLineChars="100"/>
    </w:pPr>
  </w:style>
  <w:style w:type="paragraph" w:styleId="26">
    <w:name w:val="Body Text First Indent 2"/>
    <w:basedOn w:val="11"/>
    <w:next w:val="1"/>
    <w:qFormat/>
    <w:uiPriority w:val="0"/>
    <w:pPr>
      <w:spacing w:line="360" w:lineRule="auto"/>
      <w:ind w:firstLine="200"/>
    </w:pPr>
    <w:rPr>
      <w:sz w:val="21"/>
    </w:rPr>
  </w:style>
  <w:style w:type="table" w:styleId="28">
    <w:name w:val="Table Grid"/>
    <w:basedOn w:val="27"/>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autoRedefine/>
    <w:qFormat/>
    <w:uiPriority w:val="0"/>
    <w:rPr>
      <w:b/>
      <w:bCs/>
    </w:rPr>
  </w:style>
  <w:style w:type="character" w:styleId="31">
    <w:name w:val="page number"/>
    <w:basedOn w:val="29"/>
    <w:semiHidden/>
    <w:unhideWhenUsed/>
    <w:qFormat/>
    <w:uiPriority w:val="99"/>
  </w:style>
  <w:style w:type="character" w:styleId="32">
    <w:name w:val="FollowedHyperlink"/>
    <w:basedOn w:val="29"/>
    <w:semiHidden/>
    <w:unhideWhenUsed/>
    <w:qFormat/>
    <w:uiPriority w:val="99"/>
    <w:rPr>
      <w:color w:val="5C5C5C"/>
      <w:u w:val="none"/>
    </w:rPr>
  </w:style>
  <w:style w:type="character" w:styleId="33">
    <w:name w:val="Emphasis"/>
    <w:basedOn w:val="29"/>
    <w:qFormat/>
    <w:uiPriority w:val="0"/>
    <w:rPr>
      <w:b/>
      <w:bCs/>
    </w:rPr>
  </w:style>
  <w:style w:type="character" w:styleId="34">
    <w:name w:val="HTML Definition"/>
    <w:basedOn w:val="29"/>
    <w:semiHidden/>
    <w:unhideWhenUsed/>
    <w:qFormat/>
    <w:uiPriority w:val="99"/>
  </w:style>
  <w:style w:type="character" w:styleId="35">
    <w:name w:val="HTML Typewriter"/>
    <w:basedOn w:val="29"/>
    <w:semiHidden/>
    <w:unhideWhenUsed/>
    <w:qFormat/>
    <w:uiPriority w:val="99"/>
    <w:rPr>
      <w:rFonts w:hint="default" w:ascii="monospace" w:hAnsi="monospace" w:eastAsia="monospace" w:cs="monospace"/>
      <w:sz w:val="20"/>
    </w:rPr>
  </w:style>
  <w:style w:type="character" w:styleId="36">
    <w:name w:val="HTML Acronym"/>
    <w:basedOn w:val="29"/>
    <w:semiHidden/>
    <w:unhideWhenUsed/>
    <w:qFormat/>
    <w:uiPriority w:val="99"/>
  </w:style>
  <w:style w:type="character" w:styleId="37">
    <w:name w:val="HTML Variable"/>
    <w:basedOn w:val="29"/>
    <w:semiHidden/>
    <w:unhideWhenUsed/>
    <w:qFormat/>
    <w:uiPriority w:val="99"/>
  </w:style>
  <w:style w:type="character" w:styleId="38">
    <w:name w:val="Hyperlink"/>
    <w:basedOn w:val="29"/>
    <w:autoRedefine/>
    <w:unhideWhenUsed/>
    <w:qFormat/>
    <w:uiPriority w:val="99"/>
    <w:rPr>
      <w:color w:val="0000FF" w:themeColor="hyperlink"/>
      <w:u w:val="single"/>
      <w14:textFill>
        <w14:solidFill>
          <w14:schemeClr w14:val="hlink"/>
        </w14:solidFill>
      </w14:textFill>
    </w:rPr>
  </w:style>
  <w:style w:type="character" w:styleId="39">
    <w:name w:val="HTML Code"/>
    <w:basedOn w:val="29"/>
    <w:semiHidden/>
    <w:unhideWhenUsed/>
    <w:qFormat/>
    <w:uiPriority w:val="99"/>
    <w:rPr>
      <w:rFonts w:hint="default" w:ascii="monospace" w:hAnsi="monospace" w:eastAsia="monospace" w:cs="monospace"/>
      <w:sz w:val="20"/>
    </w:rPr>
  </w:style>
  <w:style w:type="character" w:styleId="40">
    <w:name w:val="annotation reference"/>
    <w:basedOn w:val="29"/>
    <w:autoRedefine/>
    <w:semiHidden/>
    <w:unhideWhenUsed/>
    <w:qFormat/>
    <w:uiPriority w:val="99"/>
    <w:rPr>
      <w:sz w:val="21"/>
      <w:szCs w:val="21"/>
    </w:rPr>
  </w:style>
  <w:style w:type="character" w:styleId="41">
    <w:name w:val="HTML Cite"/>
    <w:basedOn w:val="29"/>
    <w:semiHidden/>
    <w:unhideWhenUsed/>
    <w:qFormat/>
    <w:uiPriority w:val="99"/>
  </w:style>
  <w:style w:type="character" w:styleId="42">
    <w:name w:val="HTML Keyboard"/>
    <w:basedOn w:val="29"/>
    <w:semiHidden/>
    <w:unhideWhenUsed/>
    <w:qFormat/>
    <w:uiPriority w:val="99"/>
    <w:rPr>
      <w:rFonts w:hint="default" w:ascii="monospace" w:hAnsi="monospace" w:eastAsia="monospace" w:cs="monospace"/>
      <w:sz w:val="20"/>
    </w:rPr>
  </w:style>
  <w:style w:type="character" w:styleId="43">
    <w:name w:val="HTML Sample"/>
    <w:basedOn w:val="29"/>
    <w:semiHidden/>
    <w:unhideWhenUsed/>
    <w:qFormat/>
    <w:uiPriority w:val="99"/>
    <w:rPr>
      <w:rFonts w:ascii="monospace" w:hAnsi="monospace" w:eastAsia="monospace" w:cs="monospace"/>
    </w:rPr>
  </w:style>
  <w:style w:type="paragraph" w:customStyle="1" w:styleId="44">
    <w:name w:val="样式 ！正文 + 首行缩进:  2 字符"/>
    <w:basedOn w:val="1"/>
    <w:qFormat/>
    <w:uiPriority w:val="0"/>
    <w:pPr>
      <w:ind w:firstLine="480" w:firstLineChars="200"/>
    </w:pPr>
    <w:rPr>
      <w:rFonts w:hint="eastAsia" w:ascii="Arial" w:hAnsi="Arial" w:cs="宋体"/>
    </w:rPr>
  </w:style>
  <w:style w:type="paragraph" w:customStyle="1" w:styleId="45">
    <w:name w:val="正文文字 8"/>
    <w:basedOn w:val="1"/>
    <w:next w:val="1"/>
    <w:qFormat/>
    <w:uiPriority w:val="0"/>
    <w:pPr>
      <w:ind w:left="240"/>
    </w:pPr>
    <w:rPr>
      <w:sz w:val="16"/>
    </w:rPr>
  </w:style>
  <w:style w:type="character" w:customStyle="1" w:styleId="46">
    <w:name w:val="批注框文本 Char"/>
    <w:basedOn w:val="29"/>
    <w:link w:val="17"/>
    <w:autoRedefine/>
    <w:semiHidden/>
    <w:qFormat/>
    <w:uiPriority w:val="99"/>
    <w:rPr>
      <w:rFonts w:ascii="@仿宋_GB2312" w:hAnsi="@仿宋_GB2312" w:eastAsia="@仿宋_GB2312" w:cs="@仿宋_GB2312"/>
      <w:sz w:val="18"/>
      <w:szCs w:val="18"/>
    </w:rPr>
  </w:style>
  <w:style w:type="paragraph" w:customStyle="1" w:styleId="47">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8">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9">
    <w:name w:val="D&amp;L"/>
    <w:basedOn w:val="19"/>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50">
    <w:name w:val="页眉 Char"/>
    <w:basedOn w:val="29"/>
    <w:link w:val="19"/>
    <w:autoRedefine/>
    <w:qFormat/>
    <w:uiPriority w:val="99"/>
    <w:rPr>
      <w:rFonts w:ascii="@仿宋_GB2312" w:hAnsi="@仿宋_GB2312" w:eastAsia="@仿宋_GB2312" w:cs="@仿宋_GB2312"/>
      <w:sz w:val="18"/>
      <w:szCs w:val="18"/>
    </w:rPr>
  </w:style>
  <w:style w:type="character" w:customStyle="1" w:styleId="51">
    <w:name w:val="页脚 Char"/>
    <w:basedOn w:val="29"/>
    <w:link w:val="18"/>
    <w:autoRedefine/>
    <w:qFormat/>
    <w:uiPriority w:val="99"/>
    <w:rPr>
      <w:rFonts w:ascii="@仿宋_GB2312" w:hAnsi="@仿宋_GB2312" w:eastAsia="@仿宋_GB2312" w:cs="@仿宋_GB2312"/>
      <w:sz w:val="18"/>
      <w:szCs w:val="18"/>
    </w:rPr>
  </w:style>
  <w:style w:type="character" w:customStyle="1" w:styleId="52">
    <w:name w:val="纯文本 Char"/>
    <w:link w:val="15"/>
    <w:autoRedefine/>
    <w:qFormat/>
    <w:uiPriority w:val="0"/>
    <w:rPr>
      <w:rFonts w:ascii="宋体" w:hAnsi="Courier New"/>
    </w:rPr>
  </w:style>
  <w:style w:type="character" w:customStyle="1" w:styleId="53">
    <w:name w:val="纯文本 字符1"/>
    <w:basedOn w:val="29"/>
    <w:autoRedefine/>
    <w:semiHidden/>
    <w:qFormat/>
    <w:uiPriority w:val="99"/>
    <w:rPr>
      <w:rFonts w:hAnsi="Courier New" w:cs="Courier New" w:asciiTheme="minorEastAsia"/>
      <w:szCs w:val="20"/>
    </w:rPr>
  </w:style>
  <w:style w:type="character" w:customStyle="1" w:styleId="54">
    <w:name w:val="未处理的提及1"/>
    <w:basedOn w:val="29"/>
    <w:autoRedefine/>
    <w:semiHidden/>
    <w:unhideWhenUsed/>
    <w:qFormat/>
    <w:uiPriority w:val="99"/>
    <w:rPr>
      <w:color w:val="605E5C"/>
      <w:shd w:val="clear" w:color="auto" w:fill="E1DFDD"/>
    </w:rPr>
  </w:style>
  <w:style w:type="paragraph" w:styleId="55">
    <w:name w:val="List Paragraph"/>
    <w:basedOn w:val="1"/>
    <w:autoRedefine/>
    <w:qFormat/>
    <w:uiPriority w:val="34"/>
    <w:pPr>
      <w:ind w:firstLine="420" w:firstLineChars="200"/>
    </w:pPr>
  </w:style>
  <w:style w:type="paragraph" w:customStyle="1" w:styleId="56">
    <w:name w:val="Char Char Char Char Char Char Char1 Char"/>
    <w:basedOn w:val="1"/>
    <w:autoRedefine/>
    <w:qFormat/>
    <w:uiPriority w:val="0"/>
    <w:rPr>
      <w:rFonts w:ascii="Arial" w:hAnsi="Arial" w:eastAsia="宋体" w:cs="Arial"/>
      <w:sz w:val="24"/>
    </w:rPr>
  </w:style>
  <w:style w:type="table" w:customStyle="1" w:styleId="57">
    <w:name w:val="网格表 1 浅色1"/>
    <w:basedOn w:val="27"/>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8">
    <w:name w:val="日期 字符"/>
    <w:basedOn w:val="29"/>
    <w:autoRedefine/>
    <w:semiHidden/>
    <w:qFormat/>
    <w:uiPriority w:val="99"/>
    <w:rPr>
      <w:rFonts w:ascii="@仿宋_GB2312" w:hAnsi="@仿宋_GB2312" w:eastAsia="@仿宋_GB2312" w:cs="@仿宋_GB2312"/>
      <w:szCs w:val="20"/>
    </w:rPr>
  </w:style>
  <w:style w:type="character" w:customStyle="1" w:styleId="59">
    <w:name w:val="日期 Char"/>
    <w:link w:val="16"/>
    <w:autoRedefine/>
    <w:qFormat/>
    <w:uiPriority w:val="0"/>
    <w:rPr>
      <w:rFonts w:ascii="Arial" w:hAnsi="Arial" w:eastAsia="宋体" w:cs="Arial"/>
      <w:b/>
      <w:sz w:val="28"/>
      <w:szCs w:val="20"/>
    </w:rPr>
  </w:style>
  <w:style w:type="character" w:customStyle="1" w:styleId="60">
    <w:name w:val="纯文本 Char1"/>
    <w:autoRedefine/>
    <w:qFormat/>
    <w:locked/>
    <w:uiPriority w:val="99"/>
    <w:rPr>
      <w:rFonts w:ascii="Arial" w:hAnsi="Arial" w:eastAsia="Arial"/>
      <w:kern w:val="2"/>
      <w:sz w:val="21"/>
      <w:lang w:val="en-US" w:eastAsia="zh-CN" w:bidi="ar-SA"/>
    </w:rPr>
  </w:style>
  <w:style w:type="character" w:customStyle="1" w:styleId="61">
    <w:name w:val="批注文字 Char"/>
    <w:basedOn w:val="29"/>
    <w:autoRedefine/>
    <w:semiHidden/>
    <w:qFormat/>
    <w:uiPriority w:val="99"/>
    <w:rPr>
      <w:rFonts w:ascii="@仿宋_GB2312" w:hAnsi="@仿宋_GB2312" w:eastAsia="@仿宋_GB2312" w:cs="@仿宋_GB2312"/>
      <w:szCs w:val="20"/>
    </w:rPr>
  </w:style>
  <w:style w:type="character" w:customStyle="1" w:styleId="62">
    <w:name w:val="批注文字 Char1"/>
    <w:link w:val="9"/>
    <w:autoRedefine/>
    <w:qFormat/>
    <w:uiPriority w:val="0"/>
    <w:rPr>
      <w:rFonts w:ascii="Arial" w:hAnsi="Arial" w:eastAsia="黑体" w:cs="Arial"/>
      <w:szCs w:val="20"/>
    </w:rPr>
  </w:style>
  <w:style w:type="character" w:customStyle="1" w:styleId="63">
    <w:name w:val="标题 1 Char"/>
    <w:basedOn w:val="29"/>
    <w:link w:val="2"/>
    <w:autoRedefine/>
    <w:qFormat/>
    <w:uiPriority w:val="9"/>
    <w:rPr>
      <w:rFonts w:ascii="@仿宋_GB2312" w:hAnsi="@仿宋_GB2312" w:eastAsia="@仿宋_GB2312" w:cs="@仿宋_GB2312"/>
      <w:b/>
      <w:bCs/>
      <w:kern w:val="44"/>
      <w:sz w:val="44"/>
      <w:szCs w:val="44"/>
    </w:rPr>
  </w:style>
  <w:style w:type="paragraph" w:customStyle="1" w:styleId="64">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5">
    <w:name w:val="标题 3 Char"/>
    <w:basedOn w:val="29"/>
    <w:link w:val="4"/>
    <w:autoRedefine/>
    <w:semiHidden/>
    <w:qFormat/>
    <w:uiPriority w:val="9"/>
    <w:rPr>
      <w:rFonts w:ascii="@仿宋_GB2312" w:hAnsi="@仿宋_GB2312" w:eastAsia="@仿宋_GB2312" w:cs="@仿宋_GB2312"/>
      <w:b/>
      <w:bCs/>
      <w:sz w:val="32"/>
      <w:szCs w:val="32"/>
    </w:rPr>
  </w:style>
  <w:style w:type="character" w:customStyle="1" w:styleId="66">
    <w:name w:val="fontstyle01"/>
    <w:basedOn w:val="29"/>
    <w:autoRedefine/>
    <w:qFormat/>
    <w:uiPriority w:val="0"/>
    <w:rPr>
      <w:rFonts w:hint="eastAsia" w:ascii="宋体" w:hAnsi="宋体" w:eastAsia="宋体"/>
      <w:color w:val="000000"/>
      <w:sz w:val="22"/>
      <w:szCs w:val="22"/>
    </w:rPr>
  </w:style>
  <w:style w:type="character" w:customStyle="1" w:styleId="67">
    <w:name w:val="fontstyle21"/>
    <w:basedOn w:val="29"/>
    <w:autoRedefine/>
    <w:qFormat/>
    <w:uiPriority w:val="0"/>
    <w:rPr>
      <w:rFonts w:hint="default" w:ascii="TimesNewRomanPSMT" w:hAnsi="TimesNewRomanPSMT"/>
      <w:color w:val="000000"/>
      <w:sz w:val="22"/>
      <w:szCs w:val="22"/>
    </w:rPr>
  </w:style>
  <w:style w:type="character" w:customStyle="1" w:styleId="68">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9">
    <w:name w:val="标题 4 字符"/>
    <w:basedOn w:val="29"/>
    <w:autoRedefine/>
    <w:semiHidden/>
    <w:qFormat/>
    <w:uiPriority w:val="9"/>
    <w:rPr>
      <w:rFonts w:asciiTheme="majorHAnsi" w:hAnsiTheme="majorHAnsi" w:eastAsiaTheme="majorEastAsia" w:cstheme="majorBidi"/>
      <w:b/>
      <w:bCs/>
      <w:sz w:val="28"/>
      <w:szCs w:val="28"/>
    </w:rPr>
  </w:style>
  <w:style w:type="character" w:customStyle="1" w:styleId="70">
    <w:name w:val="标题 4 Char1"/>
    <w:link w:val="5"/>
    <w:autoRedefine/>
    <w:qFormat/>
    <w:uiPriority w:val="0"/>
    <w:rPr>
      <w:rFonts w:ascii="@仿宋_GB2312" w:hAnsi="@仿宋_GB2312" w:eastAsia="@仿宋_GB2312" w:cs="@仿宋_GB2312"/>
      <w:b/>
      <w:bCs/>
      <w:sz w:val="28"/>
      <w:szCs w:val="28"/>
    </w:rPr>
  </w:style>
  <w:style w:type="character" w:customStyle="1" w:styleId="71">
    <w:name w:val="标题 4 Char"/>
    <w:autoRedefine/>
    <w:qFormat/>
    <w:uiPriority w:val="0"/>
    <w:rPr>
      <w:rFonts w:ascii="Arial" w:hAnsi="Arial" w:eastAsia="Arial"/>
      <w:b/>
      <w:bCs/>
      <w:kern w:val="2"/>
      <w:sz w:val="28"/>
      <w:szCs w:val="28"/>
      <w:lang w:val="en-US" w:eastAsia="zh-CN" w:bidi="ar-SA"/>
    </w:rPr>
  </w:style>
  <w:style w:type="table" w:customStyle="1" w:styleId="72">
    <w:name w:val="网格型1"/>
    <w:basedOn w:val="2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3">
    <w:name w:val="批注主题 Char"/>
    <w:basedOn w:val="62"/>
    <w:link w:val="24"/>
    <w:autoRedefine/>
    <w:semiHidden/>
    <w:qFormat/>
    <w:uiPriority w:val="99"/>
    <w:rPr>
      <w:rFonts w:ascii="@仿宋_GB2312" w:hAnsi="@仿宋_GB2312" w:eastAsia="@仿宋_GB2312" w:cs="@仿宋_GB2312"/>
      <w:b/>
      <w:bCs/>
      <w:szCs w:val="20"/>
    </w:rPr>
  </w:style>
  <w:style w:type="table" w:customStyle="1" w:styleId="74">
    <w:name w:val="Table Normal"/>
    <w:autoRedefine/>
    <w:semiHidden/>
    <w:unhideWhenUsed/>
    <w:qFormat/>
    <w:uiPriority w:val="0"/>
    <w:tblPr>
      <w:tblCellMar>
        <w:top w:w="0" w:type="dxa"/>
        <w:left w:w="0" w:type="dxa"/>
        <w:bottom w:w="0" w:type="dxa"/>
        <w:right w:w="0" w:type="dxa"/>
      </w:tblCellMar>
    </w:tblPr>
  </w:style>
  <w:style w:type="paragraph" w:customStyle="1" w:styleId="75">
    <w:name w:val="Table Text"/>
    <w:basedOn w:val="1"/>
    <w:autoRedefine/>
    <w:semiHidden/>
    <w:qFormat/>
    <w:uiPriority w:val="0"/>
    <w:rPr>
      <w:rFonts w:ascii="Arial" w:hAnsi="Arial" w:eastAsia="Arial" w:cs="Arial"/>
      <w:sz w:val="21"/>
      <w:szCs w:val="21"/>
      <w:lang w:val="en-US" w:eastAsia="en-US" w:bidi="ar-SA"/>
    </w:rPr>
  </w:style>
  <w:style w:type="paragraph" w:customStyle="1" w:styleId="76">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7">
    <w:name w:val="列出段落1"/>
    <w:basedOn w:val="1"/>
    <w:autoRedefine/>
    <w:qFormat/>
    <w:uiPriority w:val="0"/>
    <w:pPr>
      <w:ind w:firstLine="420" w:firstLineChars="200"/>
    </w:pPr>
    <w:rPr>
      <w:szCs w:val="21"/>
    </w:rPr>
  </w:style>
  <w:style w:type="paragraph" w:customStyle="1" w:styleId="78">
    <w:name w:val="样式1无缩进"/>
    <w:basedOn w:val="1"/>
    <w:autoRedefine/>
    <w:qFormat/>
    <w:uiPriority w:val="0"/>
    <w:pPr>
      <w:ind w:firstLine="0" w:firstLineChars="0"/>
    </w:pPr>
  </w:style>
  <w:style w:type="character" w:customStyle="1" w:styleId="79">
    <w:name w:val="hover"/>
    <w:basedOn w:val="29"/>
    <w:qFormat/>
    <w:uiPriority w:val="0"/>
  </w:style>
  <w:style w:type="character" w:customStyle="1" w:styleId="80">
    <w:name w:val="hover1"/>
    <w:basedOn w:val="29"/>
    <w:qFormat/>
    <w:uiPriority w:val="0"/>
    <w:rPr>
      <w:color w:val="2590EB"/>
    </w:rPr>
  </w:style>
  <w:style w:type="character" w:customStyle="1" w:styleId="81">
    <w:name w:val="hover2"/>
    <w:basedOn w:val="29"/>
    <w:qFormat/>
    <w:uiPriority w:val="0"/>
    <w:rPr>
      <w:color w:val="2590EB"/>
    </w:rPr>
  </w:style>
  <w:style w:type="character" w:customStyle="1" w:styleId="82">
    <w:name w:val="hover3"/>
    <w:basedOn w:val="29"/>
    <w:qFormat/>
    <w:uiPriority w:val="0"/>
    <w:rPr>
      <w:color w:val="2590EB"/>
      <w:shd w:val="clear" w:fill="E9F4FD"/>
    </w:rPr>
  </w:style>
  <w:style w:type="character" w:customStyle="1" w:styleId="83">
    <w:name w:val="hover4"/>
    <w:basedOn w:val="29"/>
    <w:qFormat/>
    <w:uiPriority w:val="0"/>
    <w:rPr>
      <w:color w:val="2590EB"/>
      <w:shd w:val="clear" w:fill="E9F4F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Pages>109</Pages>
  <Words>5149</Words>
  <Characters>5660</Characters>
  <Lines>244</Lines>
  <Paragraphs>68</Paragraphs>
  <TotalTime>4</TotalTime>
  <ScaleCrop>false</ScaleCrop>
  <LinksUpToDate>false</LinksUpToDate>
  <CharactersWithSpaces>5819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2019-05-06T22:32:00Z</dcterms:created>
  <dc:creator>倪荣</dc:creator>
  <cp:lastModifiedBy>Pim Pom丶</cp:lastModifiedBy>
  <cp:lastPrinted>2026-08-12T06:52:00Z</cp:lastPrinted>
  <dcterms:modified xsi:type="dcterms:W3CDTF">2026-09-08T04:00:58Z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2BD23A6489354202B3B8FB1CC4F372EB_13</vt:lpwstr>
  </property>
  <property fmtid="{D5CDD505-2E9C-101B-9397-08002B2CF9AE}" pid="4" name="KSOTemplateDocerSaveRecord">
    <vt:lpwstr>eyJoZGlkIjoiOTk1OGJkZDZlMmJiZjgxZThhZWQ4YzE0YWIxYTUyMmQiLCJ1c2VySWQiOiI0MDkyMjI1MTkifQ==</vt:lpwstr>
  </property>
</Properties>
</file>