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148CC9">
      <w:pPr>
        <w:jc w:val="center"/>
        <w:rPr>
          <w:rFonts w:ascii="宋体" w:hAnsi="宋体" w:cs="宋体"/>
          <w:b/>
          <w:kern w:val="0"/>
          <w:sz w:val="44"/>
          <w:szCs w:val="44"/>
          <w:highlight w:val="none"/>
        </w:rPr>
      </w:pPr>
      <w:bookmarkStart w:id="0" w:name="_Toc15058843"/>
      <w:bookmarkStart w:id="1" w:name="_Toc461631222"/>
      <w:bookmarkStart w:id="2" w:name="_Toc247085669"/>
      <w:bookmarkStart w:id="3" w:name="_Toc246996898"/>
      <w:bookmarkStart w:id="4" w:name="_Toc324404811"/>
      <w:bookmarkStart w:id="5" w:name="_Toc296602400"/>
      <w:bookmarkStart w:id="6" w:name="_Toc506107265"/>
      <w:bookmarkStart w:id="7" w:name="OLE_LINK2"/>
      <w:bookmarkStart w:id="8" w:name="OLE_LINK4"/>
      <w:bookmarkStart w:id="9" w:name="OLE_LINK3"/>
      <w:bookmarkStart w:id="10" w:name="OLE_LINK1"/>
      <w:bookmarkStart w:id="11" w:name="OLE_LINK5"/>
    </w:p>
    <w:p w14:paraId="03BEA7F1">
      <w:pPr>
        <w:pStyle w:val="14"/>
        <w:ind w:left="0" w:leftChars="0" w:firstLine="0" w:firstLineChars="0"/>
        <w:jc w:val="center"/>
        <w:rPr>
          <w:rFonts w:hint="eastAsia" w:hAnsi="宋体" w:cs="宋体"/>
          <w:b/>
          <w:color w:val="auto"/>
          <w:kern w:val="0"/>
          <w:sz w:val="52"/>
          <w:szCs w:val="52"/>
          <w:highlight w:val="none"/>
          <w:lang w:eastAsia="zh-CN"/>
        </w:rPr>
      </w:pPr>
    </w:p>
    <w:p w14:paraId="7C55BBF9">
      <w:pPr>
        <w:jc w:val="center"/>
        <w:rPr>
          <w:rFonts w:hint="eastAsia" w:ascii="宋体" w:hAnsi="宋体"/>
          <w:b/>
          <w:bCs/>
          <w:color w:val="auto"/>
          <w:sz w:val="96"/>
          <w:szCs w:val="96"/>
          <w:highlight w:val="none"/>
        </w:rPr>
      </w:pPr>
      <w:r>
        <w:rPr>
          <w:rFonts w:hint="eastAsia" w:hAnsi="宋体" w:cs="宋体"/>
          <w:b/>
          <w:color w:val="auto"/>
          <w:kern w:val="0"/>
          <w:sz w:val="56"/>
          <w:szCs w:val="56"/>
          <w:highlight w:val="none"/>
          <w:lang w:eastAsia="zh-CN"/>
        </w:rPr>
        <w:t>2026年度</w:t>
      </w:r>
      <w:r>
        <w:rPr>
          <w:rFonts w:hint="eastAsia" w:hAnsi="宋体" w:cs="宋体"/>
          <w:b/>
          <w:color w:val="auto"/>
          <w:kern w:val="0"/>
          <w:sz w:val="56"/>
          <w:szCs w:val="56"/>
          <w:highlight w:val="none"/>
          <w:lang w:val="en-US" w:eastAsia="zh-CN"/>
        </w:rPr>
        <w:t>新能源</w:t>
      </w:r>
      <w:r>
        <w:rPr>
          <w:rFonts w:hint="eastAsia" w:hAnsi="宋体" w:cs="宋体"/>
          <w:b/>
          <w:color w:val="auto"/>
          <w:kern w:val="0"/>
          <w:sz w:val="56"/>
          <w:szCs w:val="56"/>
          <w:highlight w:val="none"/>
          <w:lang w:eastAsia="zh-CN"/>
        </w:rPr>
        <w:t>工程监理项目</w:t>
      </w:r>
    </w:p>
    <w:p w14:paraId="7D884F81">
      <w:pPr>
        <w:jc w:val="center"/>
        <w:rPr>
          <w:rFonts w:hint="eastAsia" w:ascii="宋体" w:hAnsi="宋体"/>
          <w:b/>
          <w:bCs/>
          <w:color w:val="auto"/>
          <w:sz w:val="96"/>
          <w:szCs w:val="96"/>
          <w:highlight w:val="none"/>
        </w:rPr>
      </w:pPr>
    </w:p>
    <w:p w14:paraId="4BB8E937">
      <w:pPr>
        <w:jc w:val="center"/>
        <w:rPr>
          <w:color w:val="auto"/>
          <w:sz w:val="28"/>
          <w:szCs w:val="28"/>
          <w:highlight w:val="none"/>
        </w:rPr>
      </w:pPr>
      <w:r>
        <w:rPr>
          <w:rFonts w:hint="eastAsia" w:ascii="宋体" w:hAnsi="宋体"/>
          <w:b/>
          <w:bCs/>
          <w:color w:val="auto"/>
          <w:sz w:val="96"/>
          <w:szCs w:val="96"/>
          <w:highlight w:val="none"/>
        </w:rPr>
        <w:t>招</w:t>
      </w:r>
      <w:r>
        <w:rPr>
          <w:rFonts w:hint="eastAsia" w:ascii="宋体" w:hAnsi="宋体"/>
          <w:b/>
          <w:bCs/>
          <w:color w:val="auto"/>
          <w:sz w:val="96"/>
          <w:szCs w:val="96"/>
          <w:highlight w:val="none"/>
          <w:lang w:val="en-US" w:eastAsia="zh-CN"/>
        </w:rPr>
        <w:t xml:space="preserve"> </w:t>
      </w:r>
      <w:r>
        <w:rPr>
          <w:rFonts w:hint="eastAsia" w:ascii="宋体"/>
          <w:b/>
          <w:bCs/>
          <w:color w:val="auto"/>
          <w:sz w:val="96"/>
          <w:szCs w:val="96"/>
          <w:highlight w:val="none"/>
        </w:rPr>
        <w:t>标</w:t>
      </w:r>
      <w:r>
        <w:rPr>
          <w:rFonts w:hint="eastAsia" w:ascii="宋体"/>
          <w:b/>
          <w:bCs/>
          <w:color w:val="auto"/>
          <w:sz w:val="96"/>
          <w:szCs w:val="96"/>
          <w:highlight w:val="none"/>
          <w:lang w:val="en-US" w:eastAsia="zh-CN"/>
        </w:rPr>
        <w:t xml:space="preserve"> </w:t>
      </w:r>
      <w:r>
        <w:rPr>
          <w:rFonts w:hint="eastAsia" w:ascii="宋体" w:hAnsi="宋体"/>
          <w:b/>
          <w:bCs/>
          <w:color w:val="auto"/>
          <w:sz w:val="96"/>
          <w:szCs w:val="96"/>
          <w:highlight w:val="none"/>
        </w:rPr>
        <w:t>文</w:t>
      </w:r>
      <w:r>
        <w:rPr>
          <w:rFonts w:hint="eastAsia" w:ascii="宋体" w:hAnsi="宋体"/>
          <w:b/>
          <w:bCs/>
          <w:color w:val="auto"/>
          <w:sz w:val="96"/>
          <w:szCs w:val="96"/>
          <w:highlight w:val="none"/>
          <w:lang w:val="en-US" w:eastAsia="zh-CN"/>
        </w:rPr>
        <w:t xml:space="preserve"> </w:t>
      </w:r>
      <w:r>
        <w:rPr>
          <w:rFonts w:hint="eastAsia" w:ascii="宋体" w:hAnsi="宋体"/>
          <w:b/>
          <w:bCs/>
          <w:color w:val="auto"/>
          <w:sz w:val="96"/>
          <w:szCs w:val="96"/>
          <w:highlight w:val="none"/>
        </w:rPr>
        <w:t>件</w:t>
      </w:r>
    </w:p>
    <w:p w14:paraId="201544BF">
      <w:pPr>
        <w:spacing w:line="400" w:lineRule="exact"/>
        <w:jc w:val="center"/>
        <w:rPr>
          <w:rFonts w:ascii="宋体" w:hAnsi="宋体"/>
          <w:b/>
          <w:color w:val="auto"/>
          <w:sz w:val="39"/>
          <w:highlight w:val="none"/>
        </w:rPr>
      </w:pPr>
    </w:p>
    <w:p w14:paraId="3187D452">
      <w:pPr>
        <w:spacing w:line="400" w:lineRule="exact"/>
        <w:rPr>
          <w:color w:val="auto"/>
          <w:highlight w:val="none"/>
        </w:rPr>
      </w:pPr>
    </w:p>
    <w:p w14:paraId="307F53F6">
      <w:pPr>
        <w:pStyle w:val="14"/>
        <w:rPr>
          <w:color w:val="auto"/>
          <w:highlight w:val="none"/>
        </w:rPr>
      </w:pPr>
    </w:p>
    <w:p w14:paraId="691FE4D6">
      <w:pPr>
        <w:jc w:val="center"/>
        <w:rPr>
          <w:rFonts w:hint="eastAsia"/>
          <w:color w:val="auto"/>
          <w:highlight w:val="none"/>
          <w:lang w:val="en-US" w:eastAsia="zh-CN"/>
        </w:rPr>
      </w:pPr>
      <w:r>
        <w:rPr>
          <w:rFonts w:hint="eastAsia"/>
          <w:color w:val="auto"/>
          <w:highlight w:val="none"/>
          <w:lang w:val="en-US" w:eastAsia="zh-CN"/>
        </w:rPr>
        <w:t>项目编号：HXJY1110001064110001</w:t>
      </w:r>
    </w:p>
    <w:p w14:paraId="7E411827">
      <w:pPr>
        <w:pStyle w:val="14"/>
        <w:rPr>
          <w:color w:val="auto"/>
          <w:highlight w:val="none"/>
        </w:rPr>
      </w:pPr>
    </w:p>
    <w:p w14:paraId="6CF62471">
      <w:pPr>
        <w:rPr>
          <w:color w:val="auto"/>
          <w:highlight w:val="none"/>
        </w:rPr>
      </w:pPr>
    </w:p>
    <w:p w14:paraId="276FE2C2">
      <w:pPr>
        <w:pStyle w:val="14"/>
        <w:rPr>
          <w:color w:val="auto"/>
          <w:highlight w:val="none"/>
        </w:rPr>
      </w:pPr>
    </w:p>
    <w:p w14:paraId="3BD0CE75">
      <w:pPr>
        <w:rPr>
          <w:color w:val="auto"/>
          <w:highlight w:val="none"/>
        </w:rPr>
      </w:pPr>
    </w:p>
    <w:p w14:paraId="31EEA548">
      <w:pPr>
        <w:pStyle w:val="14"/>
        <w:rPr>
          <w:highlight w:val="none"/>
        </w:rPr>
      </w:pPr>
    </w:p>
    <w:p w14:paraId="6EBADFFD">
      <w:pPr>
        <w:rPr>
          <w:highlight w:val="none"/>
        </w:rPr>
      </w:pPr>
    </w:p>
    <w:p w14:paraId="57C971B3">
      <w:pPr>
        <w:pStyle w:val="14"/>
        <w:rPr>
          <w:highlight w:val="none"/>
        </w:rPr>
      </w:pPr>
    </w:p>
    <w:p w14:paraId="34E1CE7D">
      <w:pPr>
        <w:spacing w:line="720" w:lineRule="exact"/>
        <w:rPr>
          <w:b/>
          <w:bCs/>
          <w:color w:val="auto"/>
          <w:sz w:val="28"/>
          <w:szCs w:val="28"/>
          <w:highlight w:val="none"/>
        </w:rPr>
      </w:pPr>
    </w:p>
    <w:p w14:paraId="600C11DF">
      <w:pPr>
        <w:spacing w:line="800" w:lineRule="exact"/>
        <w:ind w:firstLine="600" w:firstLineChars="200"/>
        <w:rPr>
          <w:rFonts w:hint="default" w:ascii="宋体" w:hAnsi="Times New Roman" w:eastAsia="宋体" w:cs="Times New Roman"/>
          <w:sz w:val="30"/>
          <w:szCs w:val="30"/>
          <w:highlight w:val="none"/>
          <w:u w:val="single"/>
          <w:lang w:val="en-US" w:eastAsia="zh-CN"/>
        </w:rPr>
      </w:pPr>
      <w:r>
        <w:rPr>
          <w:rFonts w:hint="eastAsia"/>
          <w:bCs/>
          <w:color w:val="auto"/>
          <w:sz w:val="30"/>
          <w:szCs w:val="30"/>
          <w:highlight w:val="none"/>
        </w:rPr>
        <w:t>招</w:t>
      </w:r>
      <w:r>
        <w:rPr>
          <w:rFonts w:hint="eastAsia"/>
          <w:bCs/>
          <w:color w:val="auto"/>
          <w:sz w:val="30"/>
          <w:szCs w:val="30"/>
          <w:highlight w:val="none"/>
          <w:lang w:val="en-US" w:eastAsia="zh-CN"/>
        </w:rPr>
        <w:t xml:space="preserve">  </w:t>
      </w:r>
      <w:r>
        <w:rPr>
          <w:rFonts w:hint="eastAsia"/>
          <w:bCs/>
          <w:color w:val="auto"/>
          <w:sz w:val="30"/>
          <w:szCs w:val="30"/>
          <w:highlight w:val="none"/>
        </w:rPr>
        <w:t>标</w:t>
      </w:r>
      <w:r>
        <w:rPr>
          <w:rFonts w:hint="eastAsia"/>
          <w:bCs/>
          <w:color w:val="auto"/>
          <w:sz w:val="30"/>
          <w:szCs w:val="30"/>
          <w:highlight w:val="none"/>
          <w:lang w:val="en-US" w:eastAsia="zh-CN"/>
        </w:rPr>
        <w:t xml:space="preserve">  人</w:t>
      </w:r>
      <w:r>
        <w:rPr>
          <w:rFonts w:hint="eastAsia"/>
          <w:bCs/>
          <w:color w:val="auto"/>
          <w:sz w:val="30"/>
          <w:szCs w:val="30"/>
          <w:highlight w:val="none"/>
        </w:rPr>
        <w:t>：</w:t>
      </w:r>
      <w:r>
        <w:rPr>
          <w:rFonts w:hint="eastAsia"/>
          <w:bCs/>
          <w:color w:val="auto"/>
          <w:sz w:val="30"/>
          <w:szCs w:val="30"/>
          <w:highlight w:val="none"/>
          <w:u w:val="single"/>
          <w:lang w:val="en-US" w:eastAsia="zh-CN"/>
        </w:rPr>
        <w:t xml:space="preserve">   </w:t>
      </w:r>
      <w:r>
        <w:rPr>
          <w:rFonts w:hint="eastAsia" w:ascii="宋体" w:cs="Times New Roman"/>
          <w:sz w:val="30"/>
          <w:szCs w:val="30"/>
          <w:highlight w:val="none"/>
          <w:u w:val="single"/>
          <w:lang w:eastAsia="zh-CN"/>
        </w:rPr>
        <w:t>滁州市翼然新能源开发有限公司</w:t>
      </w:r>
      <w:r>
        <w:rPr>
          <w:rFonts w:hint="eastAsia" w:ascii="宋体" w:cs="Times New Roman"/>
          <w:sz w:val="30"/>
          <w:szCs w:val="30"/>
          <w:highlight w:val="none"/>
          <w:u w:val="single"/>
          <w:lang w:val="en-US" w:eastAsia="zh-CN"/>
        </w:rPr>
        <w:t xml:space="preserve"> </w:t>
      </w:r>
    </w:p>
    <w:p w14:paraId="2C39D907">
      <w:pPr>
        <w:spacing w:line="800" w:lineRule="exact"/>
        <w:ind w:firstLine="600" w:firstLineChars="200"/>
        <w:rPr>
          <w:bCs/>
          <w:spacing w:val="-20"/>
          <w:sz w:val="30"/>
          <w:szCs w:val="30"/>
          <w:highlight w:val="none"/>
          <w:u w:val="thick"/>
        </w:rPr>
      </w:pPr>
      <w:r>
        <w:rPr>
          <w:rFonts w:hint="eastAsia"/>
          <w:bCs/>
          <w:sz w:val="30"/>
          <w:szCs w:val="30"/>
          <w:highlight w:val="none"/>
        </w:rPr>
        <w:t>招标代理机构：</w:t>
      </w:r>
      <w:r>
        <w:rPr>
          <w:rFonts w:hint="eastAsia" w:ascii="宋体"/>
          <w:sz w:val="30"/>
          <w:szCs w:val="30"/>
          <w:highlight w:val="none"/>
          <w:u w:val="single"/>
        </w:rPr>
        <w:t>滁州市城投工程咨询管理有限公司</w:t>
      </w:r>
    </w:p>
    <w:p w14:paraId="529E7FC8">
      <w:pPr>
        <w:spacing w:line="720" w:lineRule="exact"/>
        <w:jc w:val="center"/>
        <w:rPr>
          <w:rFonts w:ascii="黑体" w:eastAsia="黑体"/>
          <w:b/>
          <w:color w:val="auto"/>
          <w:sz w:val="32"/>
          <w:szCs w:val="32"/>
          <w:highlight w:val="none"/>
        </w:rPr>
      </w:pPr>
      <w:r>
        <w:rPr>
          <w:rFonts w:ascii="宋体" w:hAnsi="宋体"/>
          <w:color w:val="auto"/>
          <w:sz w:val="30"/>
          <w:szCs w:val="30"/>
          <w:highlight w:val="none"/>
          <w:u w:val="single"/>
        </w:rPr>
        <w:t>202</w:t>
      </w:r>
      <w:r>
        <w:rPr>
          <w:rFonts w:hint="eastAsia" w:ascii="宋体" w:hAnsi="宋体"/>
          <w:color w:val="auto"/>
          <w:sz w:val="30"/>
          <w:szCs w:val="30"/>
          <w:highlight w:val="none"/>
          <w:u w:val="single"/>
          <w:lang w:val="en-US" w:eastAsia="zh-CN"/>
        </w:rPr>
        <w:t>6</w:t>
      </w:r>
      <w:r>
        <w:rPr>
          <w:rFonts w:hint="eastAsia" w:ascii="宋体" w:hAnsi="宋体"/>
          <w:color w:val="auto"/>
          <w:sz w:val="30"/>
          <w:szCs w:val="30"/>
          <w:highlight w:val="none"/>
        </w:rPr>
        <w:t>年</w:t>
      </w:r>
      <w:r>
        <w:rPr>
          <w:rFonts w:hint="eastAsia" w:ascii="宋体" w:hAnsi="宋体"/>
          <w:color w:val="auto"/>
          <w:sz w:val="30"/>
          <w:szCs w:val="30"/>
          <w:highlight w:val="none"/>
          <w:u w:val="single"/>
          <w:lang w:val="en-US" w:eastAsia="zh-CN"/>
        </w:rPr>
        <w:t>9</w:t>
      </w:r>
      <w:r>
        <w:rPr>
          <w:rFonts w:hint="eastAsia" w:ascii="宋体" w:hAnsi="宋体"/>
          <w:color w:val="auto"/>
          <w:sz w:val="30"/>
          <w:szCs w:val="30"/>
          <w:highlight w:val="none"/>
        </w:rPr>
        <w:t>月</w:t>
      </w:r>
    </w:p>
    <w:p w14:paraId="68344BF2">
      <w:pPr>
        <w:jc w:val="center"/>
        <w:rPr>
          <w:sz w:val="44"/>
          <w:szCs w:val="44"/>
          <w:highlight w:val="none"/>
        </w:rPr>
        <w:sectPr>
          <w:headerReference r:id="rId3" w:type="default"/>
          <w:footerReference r:id="rId4" w:type="default"/>
          <w:pgSz w:w="11906" w:h="16838"/>
          <w:pgMar w:top="1134" w:right="1417" w:bottom="1134" w:left="1417" w:header="851" w:footer="992" w:gutter="0"/>
          <w:cols w:space="720" w:num="1"/>
          <w:docGrid w:type="lines" w:linePitch="312" w:charSpace="0"/>
        </w:sectPr>
      </w:pPr>
    </w:p>
    <w:p w14:paraId="738D69FE">
      <w:pPr>
        <w:spacing w:line="700" w:lineRule="exact"/>
        <w:jc w:val="center"/>
        <w:rPr>
          <w:rFonts w:hint="eastAsia"/>
          <w:sz w:val="44"/>
          <w:szCs w:val="44"/>
          <w:highlight w:val="none"/>
        </w:rPr>
      </w:pPr>
    </w:p>
    <w:p w14:paraId="09796EC2">
      <w:pPr>
        <w:spacing w:line="700" w:lineRule="exact"/>
        <w:jc w:val="center"/>
        <w:rPr>
          <w:sz w:val="44"/>
          <w:szCs w:val="44"/>
          <w:highlight w:val="none"/>
        </w:rPr>
      </w:pPr>
      <w:r>
        <w:rPr>
          <w:rFonts w:hint="eastAsia"/>
          <w:sz w:val="44"/>
          <w:szCs w:val="44"/>
          <w:highlight w:val="none"/>
        </w:rPr>
        <w:t>目   录</w:t>
      </w:r>
      <w:bookmarkEnd w:id="0"/>
      <w:bookmarkEnd w:id="1"/>
      <w:bookmarkEnd w:id="2"/>
      <w:bookmarkEnd w:id="3"/>
      <w:bookmarkEnd w:id="4"/>
      <w:bookmarkEnd w:id="5"/>
      <w:bookmarkEnd w:id="6"/>
      <w:bookmarkStart w:id="12" w:name="_Toc152045511"/>
      <w:bookmarkStart w:id="13" w:name="_Toc179632527"/>
      <w:bookmarkStart w:id="14" w:name="_Toc144974479"/>
      <w:bookmarkStart w:id="15" w:name="_Toc152042287"/>
    </w:p>
    <w:p w14:paraId="2AB96290">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招标公告信息..................................................1</w:t>
      </w:r>
    </w:p>
    <w:p w14:paraId="71FA9264">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第一章 投标人须知.............................................3</w:t>
      </w:r>
    </w:p>
    <w:p w14:paraId="7562FD93">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第二章 </w:t>
      </w:r>
      <w:r>
        <w:rPr>
          <w:rFonts w:hint="eastAsia" w:ascii="宋体" w:hAnsi="宋体" w:eastAsia="宋体" w:cs="宋体"/>
          <w:b w:val="0"/>
          <w:bCs w:val="0"/>
          <w:caps w:val="0"/>
          <w:sz w:val="24"/>
          <w:szCs w:val="24"/>
          <w:highlight w:val="none"/>
          <w:lang w:val="en-US" w:eastAsia="zh-CN"/>
        </w:rPr>
        <w:t>资格审查办法</w:t>
      </w:r>
      <w:r>
        <w:rPr>
          <w:rFonts w:hint="eastAsia" w:ascii="宋体" w:hAnsi="宋体" w:cs="宋体"/>
          <w:b w:val="0"/>
          <w:bCs w:val="0"/>
          <w:caps w:val="0"/>
          <w:sz w:val="24"/>
          <w:szCs w:val="24"/>
          <w:highlight w:val="none"/>
          <w:lang w:val="en-US" w:eastAsia="zh-CN"/>
        </w:rPr>
        <w:t>...........................................14</w:t>
      </w:r>
    </w:p>
    <w:p w14:paraId="076B34F6">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第三章 评标办法...............................................16</w:t>
      </w:r>
    </w:p>
    <w:p w14:paraId="02CBB3F5">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第四章 </w:t>
      </w:r>
      <w:r>
        <w:rPr>
          <w:rFonts w:hint="eastAsia" w:ascii="宋体" w:hAnsi="宋体" w:eastAsia="宋体" w:cs="宋体"/>
          <w:b w:val="0"/>
          <w:bCs w:val="0"/>
          <w:caps w:val="0"/>
          <w:sz w:val="24"/>
          <w:szCs w:val="24"/>
          <w:highlight w:val="none"/>
          <w:lang w:val="en-US" w:eastAsia="zh-CN"/>
        </w:rPr>
        <w:t>合同条款及格式</w:t>
      </w:r>
      <w:r>
        <w:rPr>
          <w:rFonts w:hint="eastAsia" w:ascii="宋体" w:hAnsi="宋体" w:cs="宋体"/>
          <w:b w:val="0"/>
          <w:bCs w:val="0"/>
          <w:caps w:val="0"/>
          <w:sz w:val="24"/>
          <w:szCs w:val="24"/>
          <w:highlight w:val="none"/>
          <w:lang w:val="en-US" w:eastAsia="zh-CN"/>
        </w:rPr>
        <w:t>.........................................24</w:t>
      </w:r>
    </w:p>
    <w:p w14:paraId="21B1162F">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eastAsia="宋体" w:cs="宋体"/>
          <w:b w:val="0"/>
          <w:bCs w:val="0"/>
          <w:caps w:val="0"/>
          <w:sz w:val="24"/>
          <w:szCs w:val="24"/>
          <w:highlight w:val="none"/>
          <w:lang w:val="en-US" w:eastAsia="zh-CN"/>
        </w:rPr>
        <w:t>第五章 技术标准和要求</w:t>
      </w:r>
      <w:r>
        <w:rPr>
          <w:rFonts w:hint="eastAsia" w:ascii="宋体" w:hAnsi="宋体" w:cs="宋体"/>
          <w:b w:val="0"/>
          <w:bCs w:val="0"/>
          <w:caps w:val="0"/>
          <w:sz w:val="24"/>
          <w:szCs w:val="24"/>
          <w:highlight w:val="none"/>
          <w:lang w:val="en-US" w:eastAsia="zh-CN"/>
        </w:rPr>
        <w:t>.........................................45</w:t>
      </w:r>
    </w:p>
    <w:p w14:paraId="6BF78672">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第六章 </w:t>
      </w:r>
      <w:r>
        <w:rPr>
          <w:rFonts w:hint="eastAsia" w:ascii="宋体" w:hAnsi="宋体" w:eastAsia="宋体" w:cs="宋体"/>
          <w:b w:val="0"/>
          <w:bCs w:val="0"/>
          <w:caps w:val="0"/>
          <w:sz w:val="24"/>
          <w:szCs w:val="24"/>
          <w:highlight w:val="none"/>
          <w:lang w:val="en-US" w:eastAsia="zh-CN"/>
        </w:rPr>
        <w:t>投标文件格式</w:t>
      </w:r>
      <w:r>
        <w:rPr>
          <w:rFonts w:hint="eastAsia" w:ascii="宋体" w:hAnsi="宋体" w:cs="宋体"/>
          <w:b w:val="0"/>
          <w:bCs w:val="0"/>
          <w:caps w:val="0"/>
          <w:sz w:val="24"/>
          <w:szCs w:val="24"/>
          <w:highlight w:val="none"/>
          <w:lang w:val="en-US" w:eastAsia="zh-CN"/>
        </w:rPr>
        <w:t>...........................................46</w:t>
      </w:r>
      <w:bookmarkStart w:id="978" w:name="_GoBack"/>
      <w:bookmarkEnd w:id="978"/>
    </w:p>
    <w:p w14:paraId="21286270">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第七章 </w:t>
      </w:r>
      <w:r>
        <w:rPr>
          <w:rFonts w:hint="eastAsia" w:ascii="宋体" w:hAnsi="宋体" w:eastAsia="宋体" w:cs="宋体"/>
          <w:b w:val="0"/>
          <w:bCs w:val="0"/>
          <w:caps w:val="0"/>
          <w:sz w:val="24"/>
          <w:szCs w:val="24"/>
          <w:highlight w:val="none"/>
          <w:lang w:val="en-US" w:eastAsia="zh-CN"/>
        </w:rPr>
        <w:t>招标单位、招标代理机构对本招标文件的确认</w:t>
      </w:r>
      <w:r>
        <w:rPr>
          <w:rFonts w:hint="eastAsia" w:ascii="宋体" w:hAnsi="宋体" w:cs="宋体"/>
          <w:b w:val="0"/>
          <w:bCs w:val="0"/>
          <w:caps w:val="0"/>
          <w:sz w:val="24"/>
          <w:szCs w:val="24"/>
          <w:highlight w:val="none"/>
          <w:lang w:val="en-US" w:eastAsia="zh-CN"/>
        </w:rPr>
        <w:t>...............55</w:t>
      </w:r>
    </w:p>
    <w:p w14:paraId="35CE4D10">
      <w:pPr>
        <w:pStyle w:val="14"/>
        <w:spacing w:line="700" w:lineRule="exact"/>
        <w:ind w:left="0" w:leftChars="0" w:firstLine="480"/>
        <w:jc w:val="left"/>
        <w:rPr>
          <w:sz w:val="24"/>
          <w:szCs w:val="24"/>
          <w:highlight w:val="none"/>
        </w:rPr>
      </w:pPr>
    </w:p>
    <w:p w14:paraId="3004C8EC">
      <w:pPr>
        <w:pStyle w:val="44"/>
        <w:spacing w:line="700" w:lineRule="exact"/>
        <w:jc w:val="left"/>
        <w:rPr>
          <w:sz w:val="24"/>
          <w:szCs w:val="24"/>
          <w:highlight w:val="none"/>
        </w:rPr>
        <w:sectPr>
          <w:footerReference r:id="rId5" w:type="default"/>
          <w:pgSz w:w="11906" w:h="16838"/>
          <w:pgMar w:top="1134" w:right="1417" w:bottom="1134" w:left="1417" w:header="851" w:footer="992" w:gutter="0"/>
          <w:pgNumType w:start="1"/>
          <w:cols w:space="720" w:num="1"/>
          <w:docGrid w:type="lines" w:linePitch="312" w:charSpace="0"/>
        </w:sectPr>
      </w:pPr>
    </w:p>
    <w:bookmarkEnd w:id="12"/>
    <w:bookmarkEnd w:id="13"/>
    <w:bookmarkEnd w:id="14"/>
    <w:bookmarkEnd w:id="15"/>
    <w:p w14:paraId="2EC261B3">
      <w:pPr>
        <w:pStyle w:val="44"/>
        <w:spacing w:beforeLines="50" w:afterLines="50" w:line="440" w:lineRule="exact"/>
        <w:rPr>
          <w:bCs/>
          <w:szCs w:val="32"/>
          <w:highlight w:val="none"/>
        </w:rPr>
      </w:pPr>
      <w:bookmarkStart w:id="16" w:name="_Toc78803320"/>
      <w:bookmarkStart w:id="17" w:name="_Toc152042303"/>
      <w:bookmarkStart w:id="18" w:name="_Toc144974495"/>
      <w:bookmarkStart w:id="19" w:name="_Toc506107267"/>
      <w:bookmarkStart w:id="20" w:name="_Toc324404813"/>
      <w:bookmarkStart w:id="21" w:name="_Toc15058844"/>
      <w:bookmarkStart w:id="22" w:name="_Toc246996173"/>
      <w:bookmarkStart w:id="23" w:name="_Toc247085687"/>
      <w:bookmarkStart w:id="24" w:name="_Toc35424883"/>
      <w:bookmarkStart w:id="25" w:name="_Toc152045527"/>
      <w:bookmarkStart w:id="26" w:name="_Toc179632544"/>
      <w:bookmarkStart w:id="27" w:name="_Toc246996916"/>
      <w:bookmarkStart w:id="28" w:name="_Toc35425050"/>
      <w:r>
        <w:rPr>
          <w:rFonts w:hint="eastAsia"/>
          <w:bCs/>
          <w:color w:val="auto"/>
          <w:szCs w:val="32"/>
          <w:highlight w:val="none"/>
          <w:lang w:eastAsia="zh-CN"/>
        </w:rPr>
        <w:t>2026年度</w:t>
      </w:r>
      <w:r>
        <w:rPr>
          <w:rFonts w:hint="eastAsia"/>
          <w:bCs/>
          <w:color w:val="auto"/>
          <w:szCs w:val="32"/>
          <w:highlight w:val="none"/>
          <w:lang w:val="en-US" w:eastAsia="zh-CN"/>
        </w:rPr>
        <w:t>新能源</w:t>
      </w:r>
      <w:r>
        <w:rPr>
          <w:rFonts w:hint="eastAsia"/>
          <w:bCs/>
          <w:color w:val="auto"/>
          <w:szCs w:val="32"/>
          <w:highlight w:val="none"/>
          <w:lang w:eastAsia="zh-CN"/>
        </w:rPr>
        <w:t>工程监理项目</w:t>
      </w:r>
      <w:r>
        <w:rPr>
          <w:rFonts w:hint="eastAsia"/>
          <w:bCs/>
          <w:color w:val="auto"/>
          <w:szCs w:val="32"/>
          <w:highlight w:val="none"/>
        </w:rPr>
        <w:t>招标</w:t>
      </w:r>
      <w:r>
        <w:rPr>
          <w:rFonts w:hint="eastAsia"/>
          <w:bCs/>
          <w:szCs w:val="32"/>
          <w:highlight w:val="none"/>
        </w:rPr>
        <w:t>公告信息</w:t>
      </w:r>
      <w:bookmarkEnd w:id="16"/>
    </w:p>
    <w:tbl>
      <w:tblPr>
        <w:tblStyle w:val="47"/>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7997"/>
      </w:tblGrid>
      <w:tr w14:paraId="48A3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4E31D11C">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
                <w:bCs/>
                <w:color w:val="auto"/>
                <w:sz w:val="21"/>
                <w:szCs w:val="21"/>
                <w:highlight w:val="none"/>
              </w:rPr>
              <w:t>招标条件</w:t>
            </w:r>
          </w:p>
        </w:tc>
      </w:tr>
      <w:tr w14:paraId="07E8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933" w:type="dxa"/>
            <w:noWrap w:val="0"/>
            <w:vAlign w:val="center"/>
          </w:tcPr>
          <w:p w14:paraId="2E39E459">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Cs/>
                <w:color w:val="auto"/>
                <w:kern w:val="1"/>
                <w:sz w:val="21"/>
                <w:szCs w:val="21"/>
                <w:highlight w:val="none"/>
              </w:rPr>
              <w:t>项目</w:t>
            </w:r>
            <w:r>
              <w:rPr>
                <w:rFonts w:hint="eastAsia" w:ascii="宋体" w:hAnsi="宋体" w:eastAsia="宋体" w:cs="宋体"/>
                <w:color w:val="auto"/>
                <w:kern w:val="0"/>
                <w:sz w:val="21"/>
                <w:szCs w:val="21"/>
                <w:highlight w:val="none"/>
              </w:rPr>
              <w:t>名称</w:t>
            </w:r>
          </w:p>
        </w:tc>
        <w:tc>
          <w:tcPr>
            <w:tcW w:w="7997" w:type="dxa"/>
            <w:noWrap w:val="0"/>
            <w:vAlign w:val="top"/>
          </w:tcPr>
          <w:p w14:paraId="223FE30B">
            <w:pPr>
              <w:keepNext w:val="0"/>
              <w:keepLines w:val="0"/>
              <w:pageBreakBefore w:val="0"/>
              <w:kinsoku/>
              <w:wordWrap w:val="0"/>
              <w:overflowPunct/>
              <w:topLinePunct w:val="0"/>
              <w:autoSpaceDE/>
              <w:autoSpaceDN/>
              <w:bidi w:val="0"/>
              <w:adjustRightInd/>
              <w:snapToGrid/>
              <w:spacing w:line="400" w:lineRule="exact"/>
              <w:jc w:val="left"/>
              <w:textAlignment w:val="auto"/>
              <w:rPr>
                <w:rFonts w:hint="default" w:ascii="宋体" w:hAnsi="宋体" w:eastAsia="宋体" w:cs="宋体"/>
                <w:bCs/>
                <w:color w:val="auto"/>
                <w:kern w:val="1"/>
                <w:sz w:val="21"/>
                <w:szCs w:val="21"/>
                <w:highlight w:val="none"/>
                <w:lang w:val="en-US"/>
              </w:rPr>
            </w:pPr>
            <w:r>
              <w:rPr>
                <w:rFonts w:hint="eastAsia" w:ascii="宋体" w:hAnsi="宋体" w:cs="宋体"/>
                <w:bCs/>
                <w:color w:val="auto"/>
                <w:kern w:val="1"/>
                <w:sz w:val="21"/>
                <w:szCs w:val="21"/>
                <w:highlight w:val="none"/>
                <w:lang w:eastAsia="zh-CN"/>
              </w:rPr>
              <w:t>2026年度新能源工程监理项目</w:t>
            </w:r>
          </w:p>
        </w:tc>
      </w:tr>
      <w:tr w14:paraId="7AEE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B4E6DE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项目审批、核准或备案机关名称</w:t>
            </w:r>
          </w:p>
        </w:tc>
        <w:tc>
          <w:tcPr>
            <w:tcW w:w="7997" w:type="dxa"/>
            <w:noWrap w:val="0"/>
            <w:vAlign w:val="center"/>
          </w:tcPr>
          <w:p w14:paraId="224D5931">
            <w:pPr>
              <w:keepNext w:val="0"/>
              <w:keepLines w:val="0"/>
              <w:pageBreakBefore w:val="0"/>
              <w:suppressLineNumbers w:val="0"/>
              <w:shd w:val="clear"/>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cs="宋体"/>
                <w:bCs/>
                <w:color w:val="auto"/>
                <w:kern w:val="1"/>
                <w:sz w:val="21"/>
                <w:szCs w:val="21"/>
                <w:highlight w:val="none"/>
                <w:lang w:val="en-US" w:eastAsia="zh-CN"/>
              </w:rPr>
              <w:t>/</w:t>
            </w:r>
          </w:p>
        </w:tc>
      </w:tr>
      <w:tr w14:paraId="387B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91BC4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批文名称及编号</w:t>
            </w:r>
          </w:p>
        </w:tc>
        <w:tc>
          <w:tcPr>
            <w:tcW w:w="7997" w:type="dxa"/>
            <w:noWrap w:val="0"/>
            <w:vAlign w:val="center"/>
          </w:tcPr>
          <w:p w14:paraId="7D9E5005">
            <w:pPr>
              <w:keepNext w:val="0"/>
              <w:keepLines w:val="0"/>
              <w:pageBreakBefore w:val="0"/>
              <w:suppressLineNumbers w:val="0"/>
              <w:shd w:val="clear"/>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cs="宋体"/>
                <w:bCs/>
                <w:color w:val="auto"/>
                <w:kern w:val="1"/>
                <w:sz w:val="21"/>
                <w:szCs w:val="21"/>
                <w:highlight w:val="none"/>
                <w:lang w:val="en-US" w:eastAsia="zh-CN"/>
              </w:rPr>
              <w:t>/</w:t>
            </w:r>
          </w:p>
        </w:tc>
      </w:tr>
      <w:tr w14:paraId="3EF6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32571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招标人</w:t>
            </w:r>
          </w:p>
        </w:tc>
        <w:tc>
          <w:tcPr>
            <w:tcW w:w="7997" w:type="dxa"/>
            <w:noWrap w:val="0"/>
            <w:vAlign w:val="center"/>
          </w:tcPr>
          <w:p w14:paraId="41AA07EF">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滁州市翼然新能源开发有限公司</w:t>
            </w:r>
          </w:p>
        </w:tc>
      </w:tr>
      <w:tr w14:paraId="2A24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2638D1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项目业主</w:t>
            </w:r>
          </w:p>
        </w:tc>
        <w:tc>
          <w:tcPr>
            <w:tcW w:w="7997" w:type="dxa"/>
            <w:noWrap w:val="0"/>
            <w:vAlign w:val="center"/>
          </w:tcPr>
          <w:p w14:paraId="3EF79F1D">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滁州市翼然新能源开发有限公司</w:t>
            </w:r>
          </w:p>
        </w:tc>
      </w:tr>
      <w:tr w14:paraId="515C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ECD1AE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7997" w:type="dxa"/>
            <w:noWrap w:val="0"/>
            <w:vAlign w:val="center"/>
          </w:tcPr>
          <w:p w14:paraId="13E4CD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自筹资金</w:t>
            </w:r>
          </w:p>
        </w:tc>
      </w:tr>
      <w:tr w14:paraId="1CA8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489FD2">
            <w:pPr>
              <w:keepNext w:val="0"/>
              <w:keepLines w:val="0"/>
              <w:pageBreakBefore w:val="0"/>
              <w:widowControl/>
              <w:kinsoku/>
              <w:wordWrap w:val="0"/>
              <w:overflowPunct/>
              <w:topLinePunct w:val="0"/>
              <w:autoSpaceDE/>
              <w:autoSpaceDN/>
              <w:bidi w:val="0"/>
              <w:adjustRightInd/>
              <w:snapToGrid/>
              <w:spacing w:line="400" w:lineRule="exact"/>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项目出资比例</w:t>
            </w:r>
          </w:p>
        </w:tc>
        <w:tc>
          <w:tcPr>
            <w:tcW w:w="7997" w:type="dxa"/>
            <w:noWrap w:val="0"/>
            <w:vAlign w:val="center"/>
          </w:tcPr>
          <w:p w14:paraId="612A619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w:t>
            </w:r>
          </w:p>
        </w:tc>
      </w:tr>
      <w:tr w14:paraId="2F99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DEFCFF6">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招标方式</w:t>
            </w:r>
          </w:p>
        </w:tc>
        <w:tc>
          <w:tcPr>
            <w:tcW w:w="7997" w:type="dxa"/>
            <w:noWrap w:val="0"/>
            <w:vAlign w:val="center"/>
          </w:tcPr>
          <w:p w14:paraId="53A0BB3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公开招标</w:t>
            </w:r>
          </w:p>
        </w:tc>
      </w:tr>
      <w:tr w14:paraId="6288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933" w:type="dxa"/>
            <w:noWrap w:val="0"/>
            <w:vAlign w:val="center"/>
          </w:tcPr>
          <w:p w14:paraId="70C4438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评标办法</w:t>
            </w:r>
          </w:p>
        </w:tc>
        <w:tc>
          <w:tcPr>
            <w:tcW w:w="7997" w:type="dxa"/>
            <w:noWrap w:val="0"/>
            <w:vAlign w:val="center"/>
          </w:tcPr>
          <w:p w14:paraId="6472841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综合评估法</w:t>
            </w:r>
          </w:p>
        </w:tc>
      </w:tr>
      <w:tr w14:paraId="3CB3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EBFED8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项目概况与招标范围</w:t>
            </w:r>
          </w:p>
        </w:tc>
      </w:tr>
      <w:tr w14:paraId="1B54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A1F1B52">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招标项目名称</w:t>
            </w:r>
          </w:p>
        </w:tc>
        <w:tc>
          <w:tcPr>
            <w:tcW w:w="7997" w:type="dxa"/>
            <w:noWrap w:val="0"/>
            <w:vAlign w:val="center"/>
          </w:tcPr>
          <w:p w14:paraId="3BB4B76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eastAsia="zh-CN"/>
              </w:rPr>
              <w:t>2026年度新能源工程监理项目</w:t>
            </w:r>
          </w:p>
        </w:tc>
      </w:tr>
      <w:tr w14:paraId="488A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0B1C46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标段划分</w:t>
            </w:r>
          </w:p>
        </w:tc>
        <w:tc>
          <w:tcPr>
            <w:tcW w:w="7997" w:type="dxa"/>
            <w:noWrap w:val="0"/>
            <w:vAlign w:val="center"/>
          </w:tcPr>
          <w:p w14:paraId="062D55A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szCs w:val="21"/>
                <w:highlight w:val="none"/>
                <w:lang w:val="en-US" w:eastAsia="zh-CN"/>
              </w:rPr>
              <w:t>一个标段</w:t>
            </w:r>
          </w:p>
        </w:tc>
      </w:tr>
      <w:tr w14:paraId="4073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4A4EA6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建设地点</w:t>
            </w:r>
          </w:p>
        </w:tc>
        <w:tc>
          <w:tcPr>
            <w:tcW w:w="7997" w:type="dxa"/>
            <w:noWrap w:val="0"/>
            <w:vAlign w:val="center"/>
          </w:tcPr>
          <w:p w14:paraId="2C527A97">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招标人指定</w:t>
            </w:r>
            <w:r>
              <w:rPr>
                <w:rFonts w:hint="eastAsia" w:hAnsi="宋体" w:cs="宋体"/>
                <w:szCs w:val="21"/>
                <w:highlight w:val="none"/>
                <w:lang w:val="en-US" w:eastAsia="zh-CN"/>
              </w:rPr>
              <w:t>项目</w:t>
            </w:r>
            <w:r>
              <w:rPr>
                <w:rFonts w:hint="eastAsia" w:ascii="宋体" w:hAnsi="宋体" w:eastAsia="宋体" w:cs="宋体"/>
                <w:szCs w:val="21"/>
                <w:highlight w:val="none"/>
                <w:lang w:val="en-US" w:eastAsia="zh-CN"/>
              </w:rPr>
              <w:t>地点（不限于滁州市内）</w:t>
            </w:r>
          </w:p>
        </w:tc>
      </w:tr>
      <w:tr w14:paraId="3A6E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BBF1A7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建设规模</w:t>
            </w:r>
          </w:p>
        </w:tc>
        <w:tc>
          <w:tcPr>
            <w:tcW w:w="7997" w:type="dxa"/>
            <w:noWrap w:val="0"/>
            <w:vAlign w:val="center"/>
          </w:tcPr>
          <w:p w14:paraId="3DB75AE9">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eastAsia="宋体" w:cs="宋体"/>
                <w:color w:val="auto"/>
                <w:sz w:val="21"/>
                <w:szCs w:val="21"/>
                <w:highlight w:val="none"/>
                <w:lang w:eastAsia="zh-CN"/>
              </w:rPr>
              <w:t>滁州市翼然新能源开发有限公司</w:t>
            </w:r>
            <w:r>
              <w:rPr>
                <w:rFonts w:hint="eastAsia" w:hAnsi="宋体" w:cs="宋体"/>
                <w:szCs w:val="21"/>
                <w:highlight w:val="none"/>
                <w:lang w:val="en-US" w:eastAsia="zh-CN"/>
              </w:rPr>
              <w:t>合同期内</w:t>
            </w:r>
            <w:r>
              <w:rPr>
                <w:rFonts w:hint="eastAsia" w:ascii="宋体" w:hAnsi="宋体" w:eastAsia="宋体" w:cs="宋体"/>
                <w:szCs w:val="21"/>
                <w:highlight w:val="none"/>
                <w:lang w:val="en-US" w:eastAsia="zh-CN"/>
              </w:rPr>
              <w:t>所有新能源工程的监理服务。</w:t>
            </w:r>
          </w:p>
        </w:tc>
      </w:tr>
      <w:tr w14:paraId="6BEC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6F6947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计划工期</w:t>
            </w:r>
          </w:p>
        </w:tc>
        <w:tc>
          <w:tcPr>
            <w:tcW w:w="7997" w:type="dxa"/>
            <w:noWrap w:val="0"/>
            <w:vAlign w:val="center"/>
          </w:tcPr>
          <w:p w14:paraId="241300BA">
            <w:pPr>
              <w:keepNext w:val="0"/>
              <w:keepLines w:val="0"/>
              <w:pageBreakBefore w:val="0"/>
              <w:kinsoku/>
              <w:wordWrap w:val="0"/>
              <w:overflowPunct/>
              <w:topLinePunct w:val="0"/>
              <w:autoSpaceDE/>
              <w:autoSpaceDN/>
              <w:bidi w:val="0"/>
              <w:adjustRightInd/>
              <w:snapToGrid/>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同各施工工期，总体服务期一年</w:t>
            </w:r>
          </w:p>
        </w:tc>
      </w:tr>
      <w:tr w14:paraId="42C9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3CAB73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7997" w:type="dxa"/>
            <w:noWrap w:val="0"/>
            <w:vAlign w:val="center"/>
          </w:tcPr>
          <w:p w14:paraId="2450FD06">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cs="宋体"/>
                <w:szCs w:val="21"/>
                <w:highlight w:val="none"/>
                <w:lang w:val="en-US" w:eastAsia="zh-CN"/>
              </w:rPr>
              <w:t>202</w:t>
            </w:r>
            <w:r>
              <w:rPr>
                <w:rFonts w:hint="eastAsia" w:hAnsi="宋体" w:cs="宋体"/>
                <w:szCs w:val="21"/>
                <w:highlight w:val="none"/>
                <w:lang w:val="en-US" w:eastAsia="zh-CN"/>
              </w:rPr>
              <w:t>6</w:t>
            </w:r>
            <w:r>
              <w:rPr>
                <w:rFonts w:hint="eastAsia" w:ascii="宋体" w:hAnsi="宋体" w:cs="宋体"/>
                <w:szCs w:val="21"/>
                <w:highlight w:val="none"/>
                <w:lang w:val="en-US" w:eastAsia="zh-CN"/>
              </w:rPr>
              <w:t>年度内各</w:t>
            </w:r>
            <w:r>
              <w:rPr>
                <w:rFonts w:hint="eastAsia" w:ascii="宋体" w:hAnsi="宋体" w:cs="宋体"/>
                <w:szCs w:val="21"/>
                <w:highlight w:val="none"/>
              </w:rPr>
              <w:t>工程的施工准备阶段，协助项目单位开展上述前期工作，接受项目单位安排履行项目各项前期手续、施工阶段的质量、安全、造价控制及工期的全过程、竣工结算阶段、保修阶段（缺陷责任期）的监理服务以及国家法律法规规定的其他监理服务。</w:t>
            </w:r>
          </w:p>
        </w:tc>
      </w:tr>
      <w:tr w14:paraId="3973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B3C45E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项目类别</w:t>
            </w:r>
          </w:p>
        </w:tc>
        <w:tc>
          <w:tcPr>
            <w:tcW w:w="7997" w:type="dxa"/>
            <w:noWrap w:val="0"/>
            <w:vAlign w:val="center"/>
          </w:tcPr>
          <w:p w14:paraId="6D56053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工程监理服务</w:t>
            </w:r>
          </w:p>
        </w:tc>
      </w:tr>
      <w:tr w14:paraId="4896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211EA0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w:t>
            </w:r>
          </w:p>
        </w:tc>
        <w:tc>
          <w:tcPr>
            <w:tcW w:w="7997" w:type="dxa"/>
            <w:noWrap w:val="0"/>
            <w:vAlign w:val="center"/>
          </w:tcPr>
          <w:p w14:paraId="27D131B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w:t>
            </w:r>
          </w:p>
        </w:tc>
      </w:tr>
      <w:tr w14:paraId="4400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4CBF6E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投标人资格要求</w:t>
            </w:r>
          </w:p>
        </w:tc>
      </w:tr>
      <w:tr w14:paraId="54BA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933" w:type="dxa"/>
            <w:noWrap w:val="0"/>
            <w:vAlign w:val="center"/>
          </w:tcPr>
          <w:p w14:paraId="3D8EAA9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投标人资质要求</w:t>
            </w:r>
          </w:p>
        </w:tc>
        <w:tc>
          <w:tcPr>
            <w:tcW w:w="7997" w:type="dxa"/>
            <w:noWrap w:val="0"/>
            <w:vAlign w:val="center"/>
          </w:tcPr>
          <w:p w14:paraId="2DA74F9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rPr>
              <w:t>投标人须具有建设行政主管部门颁发的工程监理综合资质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或</w:t>
            </w:r>
            <w:r>
              <w:rPr>
                <w:rFonts w:hint="eastAsia" w:ascii="宋体" w:hAnsi="宋体" w:cs="宋体"/>
                <w:color w:val="auto"/>
                <w:szCs w:val="21"/>
                <w:highlight w:val="none"/>
                <w:lang w:val="en-US" w:eastAsia="zh-CN"/>
              </w:rPr>
              <w:t>电力</w:t>
            </w:r>
            <w:r>
              <w:rPr>
                <w:rFonts w:hint="eastAsia" w:ascii="宋体" w:hAnsi="宋体" w:eastAsia="宋体" w:cs="宋体"/>
                <w:color w:val="auto"/>
                <w:szCs w:val="21"/>
                <w:highlight w:val="none"/>
                <w:lang w:val="en-US" w:eastAsia="zh-CN"/>
              </w:rPr>
              <w:t>工程</w:t>
            </w:r>
            <w:r>
              <w:rPr>
                <w:rFonts w:hint="eastAsia" w:ascii="宋体" w:hAnsi="宋体" w:cs="宋体"/>
                <w:color w:val="auto"/>
                <w:szCs w:val="21"/>
                <w:highlight w:val="none"/>
                <w:lang w:val="en-US" w:eastAsia="zh-CN"/>
              </w:rPr>
              <w:t>乙级及以上</w:t>
            </w:r>
            <w:r>
              <w:rPr>
                <w:rFonts w:hint="eastAsia" w:ascii="宋体" w:hAnsi="宋体" w:eastAsia="宋体" w:cs="宋体"/>
                <w:color w:val="auto"/>
                <w:szCs w:val="21"/>
                <w:highlight w:val="none"/>
                <w:lang w:val="en-US" w:eastAsia="zh-CN"/>
              </w:rPr>
              <w:t>监理资质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tc>
      </w:tr>
      <w:tr w14:paraId="07C2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541401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项目</w:t>
            </w:r>
            <w:r>
              <w:rPr>
                <w:rFonts w:hint="eastAsia" w:ascii="宋体" w:hAnsi="宋体" w:eastAsia="宋体" w:cs="宋体"/>
                <w:bCs/>
                <w:snapToGrid w:val="0"/>
                <w:color w:val="auto"/>
                <w:kern w:val="0"/>
                <w:sz w:val="21"/>
                <w:szCs w:val="21"/>
                <w:highlight w:val="none"/>
                <w:lang w:val="en-US" w:eastAsia="zh-CN"/>
              </w:rPr>
              <w:t>负责人</w:t>
            </w:r>
            <w:r>
              <w:rPr>
                <w:rFonts w:hint="eastAsia" w:ascii="宋体" w:hAnsi="宋体" w:eastAsia="宋体" w:cs="宋体"/>
                <w:bCs/>
                <w:snapToGrid w:val="0"/>
                <w:color w:val="auto"/>
                <w:kern w:val="0"/>
                <w:sz w:val="21"/>
                <w:szCs w:val="21"/>
                <w:highlight w:val="none"/>
              </w:rPr>
              <w:t>资格要求</w:t>
            </w:r>
          </w:p>
        </w:tc>
        <w:tc>
          <w:tcPr>
            <w:tcW w:w="7997" w:type="dxa"/>
            <w:noWrap w:val="0"/>
            <w:vAlign w:val="center"/>
          </w:tcPr>
          <w:p w14:paraId="51B3EE9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lang w:eastAsia="zh-CN"/>
              </w:rPr>
              <w:t>拟派总监理工程师必须持有在本单位注册的</w:t>
            </w:r>
            <w:r>
              <w:rPr>
                <w:rFonts w:hint="eastAsia" w:ascii="宋体" w:hAnsi="宋体" w:cs="宋体"/>
                <w:color w:val="auto"/>
                <w:szCs w:val="21"/>
                <w:highlight w:val="none"/>
                <w:lang w:val="en-US" w:eastAsia="zh-CN"/>
              </w:rPr>
              <w:t>电力工程专业</w:t>
            </w:r>
            <w:r>
              <w:rPr>
                <w:rFonts w:hint="eastAsia" w:ascii="宋体" w:hAnsi="宋体" w:eastAsia="宋体" w:cs="宋体"/>
                <w:color w:val="auto"/>
                <w:szCs w:val="21"/>
                <w:highlight w:val="none"/>
                <w:lang w:eastAsia="zh-CN"/>
              </w:rPr>
              <w:t>国家级注册监理工程师证书</w:t>
            </w:r>
            <w:r>
              <w:rPr>
                <w:rFonts w:hint="eastAsia" w:ascii="宋体" w:hAnsi="宋体" w:cs="宋体"/>
                <w:color w:val="auto"/>
                <w:szCs w:val="21"/>
                <w:highlight w:val="none"/>
                <w:lang w:eastAsia="zh-CN"/>
              </w:rPr>
              <w:t>。</w:t>
            </w:r>
          </w:p>
        </w:tc>
      </w:tr>
      <w:tr w14:paraId="4DC6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199D4C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联合体投标</w:t>
            </w:r>
          </w:p>
        </w:tc>
        <w:tc>
          <w:tcPr>
            <w:tcW w:w="7997" w:type="dxa"/>
            <w:noWrap w:val="0"/>
            <w:vAlign w:val="center"/>
          </w:tcPr>
          <w:p w14:paraId="74209755">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本次招标不接受联合体投标。</w:t>
            </w:r>
          </w:p>
        </w:tc>
      </w:tr>
      <w:tr w14:paraId="7DAE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44733C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多标段投标</w:t>
            </w:r>
          </w:p>
        </w:tc>
        <w:tc>
          <w:tcPr>
            <w:tcW w:w="7997" w:type="dxa"/>
            <w:noWrap w:val="0"/>
            <w:vAlign w:val="center"/>
          </w:tcPr>
          <w:p w14:paraId="42579C26">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r>
      <w:tr w14:paraId="7B97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A907D0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color w:val="auto"/>
                <w:kern w:val="0"/>
                <w:sz w:val="21"/>
                <w:szCs w:val="21"/>
                <w:highlight w:val="none"/>
              </w:rPr>
              <w:t>其他要求</w:t>
            </w:r>
          </w:p>
        </w:tc>
        <w:tc>
          <w:tcPr>
            <w:tcW w:w="7997" w:type="dxa"/>
            <w:noWrap w:val="0"/>
            <w:vAlign w:val="center"/>
          </w:tcPr>
          <w:p w14:paraId="0F529B7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highlight w:val="none"/>
                <w:lang w:val="en-US" w:eastAsia="zh-CN"/>
              </w:rPr>
            </w:pPr>
            <w:r>
              <w:rPr>
                <w:rFonts w:hint="eastAsia"/>
                <w:highlight w:val="none"/>
              </w:rPr>
              <w:t>单位负责人为同一人或者存在控股、管理关系的不同单位，不得参加同一标段投标或者未划分标段的同一招标项目投标，违反上述规定的，相关单位投标均无效。</w:t>
            </w:r>
          </w:p>
        </w:tc>
      </w:tr>
      <w:tr w14:paraId="2329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E77D0C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招标文件的获取</w:t>
            </w:r>
          </w:p>
        </w:tc>
      </w:tr>
      <w:tr w14:paraId="1729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33" w:type="dxa"/>
            <w:noWrap w:val="0"/>
            <w:vAlign w:val="center"/>
          </w:tcPr>
          <w:p w14:paraId="00B9B13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获取时间</w:t>
            </w:r>
          </w:p>
        </w:tc>
        <w:tc>
          <w:tcPr>
            <w:tcW w:w="7997" w:type="dxa"/>
            <w:noWrap w:val="0"/>
            <w:vAlign w:val="center"/>
          </w:tcPr>
          <w:p w14:paraId="257A5F9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6</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 xml:space="preserve"> 9 </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24 </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17</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分至</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6</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 xml:space="preserve"> 10 </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10 </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9</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w:t>
            </w:r>
          </w:p>
        </w:tc>
      </w:tr>
      <w:tr w14:paraId="1AFD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072458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cs="宋体"/>
                <w:color w:val="000000"/>
                <w:kern w:val="0"/>
                <w:szCs w:val="21"/>
                <w:highlight w:val="none"/>
              </w:rPr>
              <w:t>获取方式</w:t>
            </w:r>
          </w:p>
        </w:tc>
        <w:tc>
          <w:tcPr>
            <w:tcW w:w="7997" w:type="dxa"/>
            <w:noWrap w:val="0"/>
            <w:vAlign w:val="center"/>
          </w:tcPr>
          <w:p w14:paraId="75A8665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请于公告发布之日起从滁州市城投工程咨询管理有限公司</w:t>
            </w:r>
            <w:r>
              <w:rPr>
                <w:rFonts w:hint="eastAsia" w:cs="Times New Roman"/>
                <w:highlight w:val="none"/>
                <w:lang w:val="en-US" w:eastAsia="zh-CN"/>
              </w:rPr>
              <w:t>网站</w:t>
            </w:r>
            <w:r>
              <w:rPr>
                <w:rFonts w:hint="eastAsia" w:ascii="Times New Roman" w:hAnsi="Times New Roman" w:eastAsia="宋体" w:cs="Times New Roman"/>
                <w:highlight w:val="none"/>
                <w:lang w:val="en-US" w:eastAsia="zh-CN"/>
              </w:rPr>
              <w:t>（https://www.czctgczx.com/）下载</w:t>
            </w:r>
            <w:r>
              <w:rPr>
                <w:rFonts w:hint="eastAsia" w:cs="Times New Roman"/>
                <w:highlight w:val="none"/>
                <w:lang w:val="en-US" w:eastAsia="zh-CN"/>
              </w:rPr>
              <w:t>。</w:t>
            </w:r>
          </w:p>
          <w:p w14:paraId="336FD9E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highlight w:val="none"/>
              </w:rPr>
            </w:pPr>
            <w:r>
              <w:rPr>
                <w:rFonts w:hint="eastAsia" w:ascii="Times New Roman" w:hAnsi="Times New Roman" w:eastAsia="宋体" w:cs="Times New Roman"/>
                <w:highlight w:val="none"/>
                <w:lang w:val="en-US" w:eastAsia="zh-CN"/>
              </w:rPr>
              <w:t>方式：（1）投标人须登</w:t>
            </w:r>
            <w:r>
              <w:rPr>
                <w:rFonts w:hint="eastAsia" w:ascii="宋体" w:hAnsi="宋体" w:eastAsia="宋体" w:cs="宋体"/>
                <w:highlight w:val="none"/>
                <w:lang w:val="en-US" w:eastAsia="zh-CN"/>
              </w:rPr>
              <w:t>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4F53F04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highlight w:val="none"/>
                <w:lang w:val="en-US" w:eastAsia="zh-CN"/>
              </w:rPr>
              <w:t>（2）投标人登录新点电子交易平台【滁州专区】获取招标文件及其它资料（含澄清和补充说明等）。如在招标文件获取过程中遇到系统问题，请拨打技术支持服务热线0512-58151515或者网站首页在线客服。</w:t>
            </w:r>
          </w:p>
        </w:tc>
      </w:tr>
      <w:tr w14:paraId="552D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7C699F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招标公告发布时间</w:t>
            </w:r>
          </w:p>
        </w:tc>
        <w:tc>
          <w:tcPr>
            <w:tcW w:w="7997" w:type="dxa"/>
            <w:noWrap w:val="0"/>
            <w:vAlign w:val="center"/>
          </w:tcPr>
          <w:p w14:paraId="0CB3AD8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24</w:t>
            </w:r>
            <w:r>
              <w:rPr>
                <w:rFonts w:hint="eastAsia" w:ascii="宋体" w:hAnsi="宋体" w:eastAsia="宋体" w:cs="宋体"/>
                <w:color w:val="auto"/>
                <w:szCs w:val="21"/>
                <w:highlight w:val="none"/>
              </w:rPr>
              <w:t>日</w:t>
            </w:r>
          </w:p>
        </w:tc>
      </w:tr>
      <w:tr w14:paraId="2E37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B970DA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投标文件递交的截止时间</w:t>
            </w:r>
          </w:p>
        </w:tc>
        <w:tc>
          <w:tcPr>
            <w:tcW w:w="7997" w:type="dxa"/>
            <w:noWrap w:val="0"/>
            <w:vAlign w:val="center"/>
          </w:tcPr>
          <w:p w14:paraId="78350AD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时00分</w:t>
            </w:r>
          </w:p>
        </w:tc>
      </w:tr>
      <w:tr w14:paraId="1D30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CC335A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投标文件递交的方式</w:t>
            </w:r>
          </w:p>
        </w:tc>
        <w:tc>
          <w:tcPr>
            <w:tcW w:w="7997" w:type="dxa"/>
            <w:noWrap w:val="0"/>
            <w:vAlign w:val="center"/>
          </w:tcPr>
          <w:p w14:paraId="46F556D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tc>
      </w:tr>
      <w:tr w14:paraId="7CED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933" w:type="dxa"/>
            <w:noWrap w:val="0"/>
            <w:vAlign w:val="center"/>
          </w:tcPr>
          <w:p w14:paraId="746D341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开标时间</w:t>
            </w:r>
          </w:p>
        </w:tc>
        <w:tc>
          <w:tcPr>
            <w:tcW w:w="7997" w:type="dxa"/>
            <w:noWrap w:val="0"/>
            <w:vAlign w:val="center"/>
          </w:tcPr>
          <w:p w14:paraId="1DA6674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时</w:t>
            </w:r>
            <w:r>
              <w:rPr>
                <w:rFonts w:hint="eastAsia" w:ascii="宋体" w:hAnsi="宋体" w:eastAsia="宋体" w:cs="宋体"/>
                <w:color w:val="auto"/>
                <w:szCs w:val="21"/>
                <w:highlight w:val="none"/>
                <w:lang w:val="en-US" w:eastAsia="zh-CN"/>
              </w:rPr>
              <w:t>00</w:t>
            </w:r>
            <w:r>
              <w:rPr>
                <w:rFonts w:hint="eastAsia" w:ascii="宋体" w:hAnsi="宋体" w:eastAsia="宋体" w:cs="宋体"/>
                <w:color w:val="auto"/>
                <w:szCs w:val="21"/>
                <w:highlight w:val="none"/>
              </w:rPr>
              <w:t>分</w:t>
            </w:r>
          </w:p>
        </w:tc>
      </w:tr>
      <w:tr w14:paraId="5C7D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933" w:type="dxa"/>
            <w:noWrap w:val="0"/>
            <w:vAlign w:val="center"/>
          </w:tcPr>
          <w:p w14:paraId="77B6227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开标地点</w:t>
            </w:r>
          </w:p>
        </w:tc>
        <w:tc>
          <w:tcPr>
            <w:tcW w:w="7997" w:type="dxa"/>
            <w:noWrap w:val="0"/>
            <w:vAlign w:val="center"/>
          </w:tcPr>
          <w:p w14:paraId="3D3F20FE">
            <w:pPr>
              <w:keepNext w:val="0"/>
              <w:keepLines w:val="0"/>
              <w:pageBreakBefore w:val="0"/>
              <w:widowControl/>
              <w:kinsoku/>
              <w:wordWrap w:val="0"/>
              <w:overflowPunct/>
              <w:topLinePunct w:val="0"/>
              <w:autoSpaceDE w:val="0"/>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采用不见面开标，投标人登录滁州市城投工程咨询有限公司不见面开标系统参与网上开标（网址：http://js.etrading.cn/EpointBidOpening/bidopeninghallaction/hall/login）。</w:t>
            </w:r>
          </w:p>
        </w:tc>
      </w:tr>
      <w:tr w14:paraId="4E31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16377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招标文件价格</w:t>
            </w:r>
          </w:p>
        </w:tc>
        <w:tc>
          <w:tcPr>
            <w:tcW w:w="7997" w:type="dxa"/>
            <w:noWrap w:val="0"/>
            <w:vAlign w:val="center"/>
          </w:tcPr>
          <w:p w14:paraId="0FF1405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0元</w:t>
            </w:r>
          </w:p>
        </w:tc>
      </w:tr>
      <w:tr w14:paraId="7177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7C437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发布公告的媒介</w:t>
            </w:r>
          </w:p>
        </w:tc>
        <w:tc>
          <w:tcPr>
            <w:tcW w:w="7997" w:type="dxa"/>
            <w:noWrap w:val="0"/>
            <w:vAlign w:val="center"/>
          </w:tcPr>
          <w:p w14:paraId="4E624FF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中国招标公共服务平台（http://www.cebpubservice.com/）</w:t>
            </w:r>
          </w:p>
          <w:p w14:paraId="4162580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安徽省招标投标信息网（www.ahtba.org.cn）</w:t>
            </w:r>
          </w:p>
          <w:p w14:paraId="50C6D68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highlight w:val="none"/>
                <w:lang w:val="en-US" w:eastAsia="zh-CN"/>
              </w:rPr>
              <w:t>滁州市城投工程咨询管理有限公司（https://www.czctgczx.com/）</w:t>
            </w:r>
          </w:p>
        </w:tc>
      </w:tr>
      <w:tr w14:paraId="0857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930D49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投标保证金收取</w:t>
            </w:r>
          </w:p>
        </w:tc>
      </w:tr>
      <w:tr w14:paraId="453B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C7C45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保证金收取</w:t>
            </w:r>
          </w:p>
        </w:tc>
        <w:tc>
          <w:tcPr>
            <w:tcW w:w="7997" w:type="dxa"/>
            <w:noWrap w:val="0"/>
            <w:vAlign w:val="center"/>
          </w:tcPr>
          <w:p w14:paraId="31D7CE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olor w:val="auto"/>
                <w:szCs w:val="21"/>
                <w:highlight w:val="none"/>
              </w:rPr>
              <w:t>不要求投标人提交投标保证金。</w:t>
            </w:r>
          </w:p>
        </w:tc>
      </w:tr>
      <w:tr w14:paraId="711C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05DB97D6">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联系方式</w:t>
            </w:r>
          </w:p>
        </w:tc>
      </w:tr>
      <w:tr w14:paraId="6F24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2E16C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招标人名称</w:t>
            </w:r>
          </w:p>
        </w:tc>
        <w:tc>
          <w:tcPr>
            <w:tcW w:w="7997" w:type="dxa"/>
            <w:noWrap w:val="0"/>
            <w:vAlign w:val="center"/>
          </w:tcPr>
          <w:p w14:paraId="2D2A6C29">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 xml:space="preserve">滁州市翼然新能源开发有限公司 </w:t>
            </w:r>
          </w:p>
        </w:tc>
      </w:tr>
      <w:tr w14:paraId="5C15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A63B0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招标人地址</w:t>
            </w:r>
          </w:p>
        </w:tc>
        <w:tc>
          <w:tcPr>
            <w:tcW w:w="7997" w:type="dxa"/>
            <w:noWrap w:val="0"/>
            <w:vAlign w:val="center"/>
          </w:tcPr>
          <w:p w14:paraId="721F56AB">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安徽省滁州市南谯区中都大道1598号15层</w:t>
            </w:r>
          </w:p>
        </w:tc>
      </w:tr>
      <w:tr w14:paraId="53D1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C32FFC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招标人联系人</w:t>
            </w:r>
          </w:p>
        </w:tc>
        <w:tc>
          <w:tcPr>
            <w:tcW w:w="7997" w:type="dxa"/>
            <w:noWrap w:val="0"/>
            <w:vAlign w:val="center"/>
          </w:tcPr>
          <w:p w14:paraId="0CA615D4">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2"/>
                <w:sz w:val="21"/>
                <w:szCs w:val="21"/>
                <w:highlight w:val="none"/>
                <w:lang w:val="en-US" w:eastAsia="zh-CN" w:bidi="ar-SA"/>
              </w:rPr>
              <w:t>胡雪</w:t>
            </w:r>
          </w:p>
        </w:tc>
      </w:tr>
      <w:tr w14:paraId="79E3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C0D56E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招标人电话</w:t>
            </w:r>
          </w:p>
        </w:tc>
        <w:tc>
          <w:tcPr>
            <w:tcW w:w="7997" w:type="dxa"/>
            <w:noWrap w:val="0"/>
            <w:vAlign w:val="center"/>
          </w:tcPr>
          <w:p w14:paraId="0786EC85">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sz w:val="21"/>
                <w:szCs w:val="21"/>
                <w:highlight w:val="none"/>
                <w:lang w:eastAsia="zh-CN"/>
              </w:rPr>
              <w:t>0550-2350288</w:t>
            </w:r>
          </w:p>
        </w:tc>
      </w:tr>
      <w:tr w14:paraId="555F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D32F69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招标代理机构名称</w:t>
            </w:r>
          </w:p>
        </w:tc>
        <w:tc>
          <w:tcPr>
            <w:tcW w:w="7997" w:type="dxa"/>
            <w:noWrap w:val="0"/>
            <w:vAlign w:val="center"/>
          </w:tcPr>
          <w:p w14:paraId="6FF9C0E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滁州市城投工程咨询管理有限公司</w:t>
            </w:r>
          </w:p>
        </w:tc>
      </w:tr>
      <w:tr w14:paraId="2D8B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C1F41F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招标代理机构地址</w:t>
            </w:r>
          </w:p>
        </w:tc>
        <w:tc>
          <w:tcPr>
            <w:tcW w:w="7997" w:type="dxa"/>
            <w:noWrap w:val="0"/>
            <w:vAlign w:val="center"/>
          </w:tcPr>
          <w:p w14:paraId="6D12C6B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滁州市龙蟠大道109号房产大厦6楼</w:t>
            </w:r>
            <w:r>
              <w:rPr>
                <w:rFonts w:hint="eastAsia" w:ascii="宋体" w:hAnsi="宋体" w:eastAsia="宋体" w:cs="宋体"/>
                <w:color w:val="auto"/>
                <w:sz w:val="21"/>
                <w:szCs w:val="21"/>
                <w:highlight w:val="none"/>
                <w:lang w:val="en-US" w:eastAsia="zh-CN"/>
              </w:rPr>
              <w:t>605室</w:t>
            </w:r>
          </w:p>
        </w:tc>
      </w:tr>
      <w:tr w14:paraId="5ECC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B2042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    联系人</w:t>
            </w:r>
          </w:p>
        </w:tc>
        <w:tc>
          <w:tcPr>
            <w:tcW w:w="7997" w:type="dxa"/>
            <w:noWrap w:val="0"/>
            <w:vAlign w:val="center"/>
          </w:tcPr>
          <w:p w14:paraId="508420A3">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周蓓蕾</w:t>
            </w:r>
          </w:p>
        </w:tc>
      </w:tr>
      <w:tr w14:paraId="2DBA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D7E1BD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代理机构电话</w:t>
            </w:r>
          </w:p>
        </w:tc>
        <w:tc>
          <w:tcPr>
            <w:tcW w:w="7997" w:type="dxa"/>
            <w:noWrap w:val="0"/>
            <w:vAlign w:val="center"/>
          </w:tcPr>
          <w:p w14:paraId="57DEDBE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0550-3519519</w:t>
            </w:r>
            <w:r>
              <w:rPr>
                <w:rFonts w:hint="eastAsia" w:ascii="宋体" w:hAnsi="宋体" w:eastAsia="宋体" w:cs="宋体"/>
                <w:color w:val="auto"/>
                <w:sz w:val="21"/>
                <w:szCs w:val="21"/>
                <w:highlight w:val="none"/>
                <w:lang w:val="en-US" w:eastAsia="zh-CN"/>
              </w:rPr>
              <w:t>、18005505728</w:t>
            </w:r>
          </w:p>
        </w:tc>
      </w:tr>
    </w:tbl>
    <w:p w14:paraId="32A53F0D">
      <w:pPr>
        <w:pStyle w:val="44"/>
        <w:spacing w:beforeLines="50" w:afterLines="50" w:line="440" w:lineRule="exact"/>
        <w:jc w:val="center"/>
        <w:rPr>
          <w:bCs/>
          <w:szCs w:val="32"/>
          <w:highlight w:val="none"/>
        </w:rPr>
      </w:pPr>
      <w:bookmarkStart w:id="29" w:name="_Toc78803321"/>
      <w:r>
        <w:rPr>
          <w:rFonts w:hint="eastAsia"/>
          <w:bCs/>
          <w:szCs w:val="32"/>
          <w:highlight w:val="none"/>
        </w:rPr>
        <w:br w:type="page"/>
      </w:r>
      <w:r>
        <w:rPr>
          <w:rFonts w:hint="eastAsia"/>
          <w:bCs/>
          <w:szCs w:val="32"/>
          <w:highlight w:val="none"/>
        </w:rPr>
        <w:t>第一章  投标人须知</w:t>
      </w:r>
      <w:bookmarkEnd w:id="17"/>
      <w:bookmarkEnd w:id="18"/>
      <w:bookmarkEnd w:id="19"/>
      <w:bookmarkEnd w:id="20"/>
      <w:bookmarkEnd w:id="21"/>
      <w:bookmarkEnd w:id="22"/>
      <w:bookmarkEnd w:id="23"/>
      <w:bookmarkEnd w:id="24"/>
      <w:bookmarkEnd w:id="25"/>
      <w:bookmarkEnd w:id="26"/>
      <w:bookmarkEnd w:id="27"/>
      <w:bookmarkEnd w:id="28"/>
      <w:bookmarkEnd w:id="29"/>
    </w:p>
    <w:p w14:paraId="594BBBF6">
      <w:pPr>
        <w:spacing w:beforeLines="50" w:afterLines="50" w:line="440" w:lineRule="exact"/>
        <w:jc w:val="center"/>
        <w:rPr>
          <w:b/>
          <w:bCs/>
          <w:sz w:val="28"/>
          <w:szCs w:val="28"/>
          <w:highlight w:val="none"/>
        </w:rPr>
      </w:pPr>
      <w:bookmarkStart w:id="30" w:name="_Toc152042304"/>
      <w:bookmarkStart w:id="31" w:name="_Toc35425051"/>
      <w:bookmarkStart w:id="32" w:name="_Toc246996174"/>
      <w:bookmarkStart w:id="33" w:name="_Toc246996917"/>
      <w:bookmarkStart w:id="34" w:name="_Toc324404814"/>
      <w:bookmarkStart w:id="35" w:name="_Toc506107268"/>
      <w:bookmarkStart w:id="36" w:name="_Toc35424884"/>
      <w:bookmarkStart w:id="37" w:name="_Toc144974496"/>
      <w:bookmarkStart w:id="38" w:name="_Toc15058845"/>
      <w:bookmarkStart w:id="39" w:name="_Toc247085688"/>
      <w:bookmarkStart w:id="40" w:name="_Toc152045528"/>
      <w:bookmarkStart w:id="41" w:name="_Toc179632545"/>
      <w:r>
        <w:rPr>
          <w:rFonts w:hint="eastAsia"/>
          <w:b/>
          <w:bCs/>
          <w:sz w:val="28"/>
          <w:szCs w:val="28"/>
          <w:highlight w:val="none"/>
        </w:rPr>
        <w:t>投标人须知前附表</w:t>
      </w:r>
      <w:bookmarkEnd w:id="30"/>
      <w:bookmarkEnd w:id="31"/>
      <w:bookmarkEnd w:id="32"/>
      <w:bookmarkEnd w:id="33"/>
      <w:bookmarkEnd w:id="34"/>
      <w:bookmarkEnd w:id="35"/>
      <w:bookmarkEnd w:id="36"/>
      <w:bookmarkEnd w:id="37"/>
      <w:bookmarkEnd w:id="38"/>
      <w:bookmarkEnd w:id="39"/>
      <w:bookmarkEnd w:id="40"/>
      <w:bookmarkEnd w:id="41"/>
    </w:p>
    <w:tbl>
      <w:tblPr>
        <w:tblStyle w:val="47"/>
        <w:tblW w:w="10328" w:type="dxa"/>
        <w:jc w:val="center"/>
        <w:tblLayout w:type="fixed"/>
        <w:tblCellMar>
          <w:top w:w="0" w:type="dxa"/>
          <w:left w:w="108" w:type="dxa"/>
          <w:bottom w:w="0" w:type="dxa"/>
          <w:right w:w="108" w:type="dxa"/>
        </w:tblCellMar>
      </w:tblPr>
      <w:tblGrid>
        <w:gridCol w:w="868"/>
        <w:gridCol w:w="910"/>
        <w:gridCol w:w="1299"/>
        <w:gridCol w:w="7251"/>
      </w:tblGrid>
      <w:tr w14:paraId="37A3BBD6">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5319F0F">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bookmarkStart w:id="42" w:name="_Toc506107269"/>
            <w:bookmarkStart w:id="43" w:name="_Toc144974497"/>
            <w:bookmarkStart w:id="44" w:name="_Toc246996918"/>
            <w:bookmarkStart w:id="45" w:name="_Toc152042305"/>
            <w:bookmarkStart w:id="46" w:name="_Toc246996175"/>
            <w:bookmarkStart w:id="47" w:name="_Toc179632546"/>
            <w:bookmarkStart w:id="48" w:name="_Toc324404815"/>
            <w:bookmarkStart w:id="49" w:name="_Toc247085689"/>
            <w:bookmarkStart w:id="50" w:name="_Toc152045529"/>
            <w:r>
              <w:rPr>
                <w:rFonts w:hint="eastAsia" w:ascii="宋体" w:hAnsi="宋体" w:cs="宋体"/>
                <w:b/>
                <w:szCs w:val="21"/>
                <w:highlight w:val="none"/>
              </w:rPr>
              <w:t>序号</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109513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条  款  名  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175926B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编  列  内  容</w:t>
            </w:r>
          </w:p>
        </w:tc>
      </w:tr>
      <w:tr w14:paraId="399B882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EA00D8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4588F4B">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w:t>
            </w:r>
          </w:p>
        </w:tc>
        <w:tc>
          <w:tcPr>
            <w:tcW w:w="7251" w:type="dxa"/>
            <w:tcBorders>
              <w:top w:val="single" w:color="auto" w:sz="4" w:space="0"/>
              <w:left w:val="single" w:color="auto" w:sz="4" w:space="0"/>
              <w:bottom w:val="single" w:color="auto" w:sz="4" w:space="0"/>
              <w:right w:val="single" w:color="auto" w:sz="4" w:space="0"/>
            </w:tcBorders>
            <w:noWrap/>
            <w:vAlign w:val="center"/>
          </w:tcPr>
          <w:p w14:paraId="10407BB1">
            <w:pPr>
              <w:pStyle w:val="93"/>
              <w:keepNext w:val="0"/>
              <w:keepLines w:val="0"/>
              <w:pageBreakBefore w:val="0"/>
              <w:kinsoku/>
              <w:wordWrap/>
              <w:overflowPunct/>
              <w:autoSpaceDN/>
              <w:bidi w:val="0"/>
              <w:adjustRightInd w:val="0"/>
              <w:snapToGrid w:val="0"/>
              <w:spacing w:line="400" w:lineRule="exact"/>
              <w:jc w:val="left"/>
              <w:textAlignment w:val="auto"/>
              <w:rPr>
                <w:rFonts w:hint="eastAsia" w:eastAsia="宋体"/>
                <w:kern w:val="2"/>
                <w:sz w:val="21"/>
                <w:szCs w:val="21"/>
                <w:highlight w:val="none"/>
                <w:lang w:eastAsia="zh-CN"/>
              </w:rPr>
            </w:pPr>
            <w:r>
              <w:rPr>
                <w:rFonts w:hint="eastAsia" w:ascii="宋体" w:hAnsi="宋体" w:cs="宋体"/>
                <w:color w:val="auto"/>
                <w:sz w:val="21"/>
                <w:szCs w:val="21"/>
                <w:highlight w:val="none"/>
              </w:rPr>
              <w:t>见招标公告</w:t>
            </w:r>
          </w:p>
        </w:tc>
      </w:tr>
      <w:tr w14:paraId="2BB5094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7F2ABC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88F0F1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招标代理机构</w:t>
            </w:r>
          </w:p>
        </w:tc>
        <w:tc>
          <w:tcPr>
            <w:tcW w:w="7251" w:type="dxa"/>
            <w:tcBorders>
              <w:top w:val="single" w:color="auto" w:sz="4" w:space="0"/>
              <w:left w:val="single" w:color="auto" w:sz="4" w:space="0"/>
              <w:bottom w:val="single" w:color="auto" w:sz="4" w:space="0"/>
              <w:right w:val="single" w:color="auto" w:sz="4" w:space="0"/>
            </w:tcBorders>
            <w:noWrap/>
            <w:vAlign w:val="center"/>
          </w:tcPr>
          <w:p w14:paraId="10F9436F">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szCs w:val="21"/>
                <w:highlight w:val="none"/>
                <w:lang w:val="en-US" w:eastAsia="zh-CN"/>
              </w:rPr>
            </w:pPr>
            <w:r>
              <w:rPr>
                <w:rFonts w:hint="eastAsia" w:ascii="宋体" w:hAnsi="宋体" w:cs="宋体"/>
                <w:color w:val="auto"/>
                <w:sz w:val="21"/>
                <w:szCs w:val="21"/>
                <w:highlight w:val="none"/>
              </w:rPr>
              <w:t>见招标公告</w:t>
            </w:r>
          </w:p>
        </w:tc>
      </w:tr>
      <w:tr w14:paraId="6E88FEC4">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21D75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C1999A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项目名称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3CF94C9C">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szCs w:val="21"/>
                <w:highlight w:val="none"/>
                <w:lang w:eastAsia="zh-CN"/>
              </w:rPr>
            </w:pPr>
            <w:r>
              <w:rPr>
                <w:rFonts w:hint="eastAsia" w:ascii="宋体" w:hAnsi="宋体" w:cs="宋体"/>
                <w:color w:val="auto"/>
                <w:sz w:val="21"/>
                <w:szCs w:val="21"/>
                <w:highlight w:val="none"/>
              </w:rPr>
              <w:t>见招标公告</w:t>
            </w:r>
          </w:p>
        </w:tc>
      </w:tr>
      <w:tr w14:paraId="0D5FE2E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C8FAF44">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0A58F7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建设地点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7B346AFB">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rPr>
              <w:t>见招标公告</w:t>
            </w:r>
          </w:p>
        </w:tc>
      </w:tr>
      <w:tr w14:paraId="27E33739">
        <w:tblPrEx>
          <w:tblCellMar>
            <w:top w:w="0" w:type="dxa"/>
            <w:left w:w="108" w:type="dxa"/>
            <w:bottom w:w="0" w:type="dxa"/>
            <w:right w:w="108" w:type="dxa"/>
          </w:tblCellMar>
        </w:tblPrEx>
        <w:trPr>
          <w:trHeight w:val="555"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6EAEC2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CEC5559">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资金落实情况</w:t>
            </w:r>
          </w:p>
        </w:tc>
        <w:tc>
          <w:tcPr>
            <w:tcW w:w="7251" w:type="dxa"/>
            <w:tcBorders>
              <w:top w:val="single" w:color="auto" w:sz="4" w:space="0"/>
              <w:left w:val="single" w:color="auto" w:sz="4" w:space="0"/>
              <w:bottom w:val="single" w:color="auto" w:sz="4" w:space="0"/>
              <w:right w:val="single" w:color="auto" w:sz="4" w:space="0"/>
            </w:tcBorders>
            <w:noWrap/>
            <w:vAlign w:val="center"/>
          </w:tcPr>
          <w:p w14:paraId="60460FF1">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lang w:val="en-US" w:eastAsia="zh-CN"/>
              </w:rPr>
              <w:t>已落实</w:t>
            </w:r>
          </w:p>
        </w:tc>
      </w:tr>
      <w:tr w14:paraId="64D296C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0EC8E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516917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招标范围</w:t>
            </w:r>
          </w:p>
        </w:tc>
        <w:tc>
          <w:tcPr>
            <w:tcW w:w="7251" w:type="dxa"/>
            <w:tcBorders>
              <w:top w:val="single" w:color="auto" w:sz="4" w:space="0"/>
              <w:left w:val="single" w:color="auto" w:sz="4" w:space="0"/>
              <w:bottom w:val="single" w:color="auto" w:sz="4" w:space="0"/>
              <w:right w:val="single" w:color="auto" w:sz="4" w:space="0"/>
            </w:tcBorders>
            <w:noWrap/>
            <w:vAlign w:val="center"/>
          </w:tcPr>
          <w:p w14:paraId="6B3CA562">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color w:val="000000"/>
                <w:szCs w:val="21"/>
                <w:highlight w:val="none"/>
              </w:rPr>
              <w:t>详见招标公告</w:t>
            </w:r>
          </w:p>
        </w:tc>
      </w:tr>
      <w:tr w14:paraId="4195E0D5">
        <w:tblPrEx>
          <w:tblCellMar>
            <w:top w:w="0" w:type="dxa"/>
            <w:left w:w="108" w:type="dxa"/>
            <w:bottom w:w="0" w:type="dxa"/>
            <w:right w:w="108" w:type="dxa"/>
          </w:tblCellMar>
        </w:tblPrEx>
        <w:trPr>
          <w:trHeight w:val="496"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ABF7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22F748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评标办法</w:t>
            </w:r>
          </w:p>
        </w:tc>
        <w:tc>
          <w:tcPr>
            <w:tcW w:w="7251" w:type="dxa"/>
            <w:tcBorders>
              <w:top w:val="single" w:color="auto" w:sz="4" w:space="0"/>
              <w:left w:val="single" w:color="auto" w:sz="4" w:space="0"/>
              <w:bottom w:val="single" w:color="auto" w:sz="4" w:space="0"/>
              <w:right w:val="single" w:color="auto" w:sz="4" w:space="0"/>
            </w:tcBorders>
            <w:noWrap/>
            <w:vAlign w:val="center"/>
          </w:tcPr>
          <w:p w14:paraId="340D66FF">
            <w:pPr>
              <w:pStyle w:val="93"/>
              <w:keepNext w:val="0"/>
              <w:keepLines w:val="0"/>
              <w:pageBreakBefore w:val="0"/>
              <w:kinsoku/>
              <w:wordWrap/>
              <w:overflowPunct/>
              <w:autoSpaceDN/>
              <w:bidi w:val="0"/>
              <w:spacing w:line="400" w:lineRule="exact"/>
              <w:textAlignment w:val="auto"/>
              <w:rPr>
                <w:rFonts w:ascii="宋体" w:hAnsi="宋体" w:cs="宋体"/>
                <w:highlight w:val="none"/>
              </w:rPr>
            </w:pPr>
            <w:r>
              <w:rPr>
                <w:rFonts w:hint="eastAsia" w:ascii="宋体" w:hAnsi="宋体" w:cs="宋体"/>
                <w:highlight w:val="none"/>
              </w:rPr>
              <w:t>综合评估法</w:t>
            </w:r>
          </w:p>
        </w:tc>
      </w:tr>
      <w:tr w14:paraId="6E44BA5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B12E6D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9F9D96F">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服务期限</w:t>
            </w:r>
          </w:p>
        </w:tc>
        <w:tc>
          <w:tcPr>
            <w:tcW w:w="7251" w:type="dxa"/>
            <w:tcBorders>
              <w:top w:val="single" w:color="auto" w:sz="4" w:space="0"/>
              <w:left w:val="single" w:color="auto" w:sz="4" w:space="0"/>
              <w:bottom w:val="single" w:color="auto" w:sz="4" w:space="0"/>
              <w:right w:val="single" w:color="auto" w:sz="4" w:space="0"/>
            </w:tcBorders>
            <w:noWrap/>
            <w:vAlign w:val="center"/>
          </w:tcPr>
          <w:p w14:paraId="41AAB377">
            <w:pPr>
              <w:keepNext w:val="0"/>
              <w:keepLines w:val="0"/>
              <w:pageBreakBefore w:val="0"/>
              <w:kinsoku/>
              <w:wordWrap/>
              <w:overflowPunct/>
              <w:autoSpaceDN/>
              <w:bidi w:val="0"/>
              <w:spacing w:line="400" w:lineRule="exact"/>
              <w:textAlignment w:val="auto"/>
              <w:rPr>
                <w:rFonts w:ascii="宋体" w:hAnsi="宋体" w:cs="宋体"/>
                <w:color w:val="auto"/>
                <w:szCs w:val="21"/>
                <w:highlight w:val="none"/>
              </w:rPr>
            </w:pPr>
            <w:r>
              <w:rPr>
                <w:rFonts w:hint="eastAsia"/>
                <w:color w:val="000000"/>
                <w:szCs w:val="21"/>
                <w:highlight w:val="none"/>
              </w:rPr>
              <w:t>详见招标公告</w:t>
            </w:r>
          </w:p>
        </w:tc>
      </w:tr>
      <w:tr w14:paraId="4024D16D">
        <w:tblPrEx>
          <w:tblCellMar>
            <w:top w:w="0" w:type="dxa"/>
            <w:left w:w="108" w:type="dxa"/>
            <w:bottom w:w="0" w:type="dxa"/>
            <w:right w:w="108" w:type="dxa"/>
          </w:tblCellMar>
        </w:tblPrEx>
        <w:trPr>
          <w:trHeight w:val="4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52B29A1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0FB8891">
            <w:pPr>
              <w:keepNext w:val="0"/>
              <w:keepLines w:val="0"/>
              <w:pageBreakBefore w:val="0"/>
              <w:kinsoku/>
              <w:wordWrap/>
              <w:overflowPunct/>
              <w:autoSpaceDN/>
              <w:bidi w:val="0"/>
              <w:spacing w:line="400" w:lineRule="exact"/>
              <w:jc w:val="center"/>
              <w:textAlignment w:val="auto"/>
              <w:rPr>
                <w:rFonts w:ascii="宋体" w:hAnsi="宋体" w:cs="宋体"/>
                <w:color w:val="FF0000"/>
                <w:szCs w:val="21"/>
                <w:highlight w:val="none"/>
              </w:rPr>
            </w:pPr>
            <w:r>
              <w:rPr>
                <w:rFonts w:hint="eastAsia" w:ascii="宋体" w:hAnsi="宋体" w:cs="宋体"/>
                <w:szCs w:val="21"/>
                <w:highlight w:val="none"/>
              </w:rPr>
              <w:t>质量要求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222B8DA3">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kern w:val="0"/>
                <w:szCs w:val="21"/>
                <w:highlight w:val="none"/>
              </w:rPr>
              <w:t>必须符合国家强制性规范、条文、标准和招标文件要求</w:t>
            </w:r>
          </w:p>
        </w:tc>
      </w:tr>
      <w:tr w14:paraId="0610F1B6">
        <w:tblPrEx>
          <w:tblCellMar>
            <w:top w:w="0" w:type="dxa"/>
            <w:left w:w="108" w:type="dxa"/>
            <w:bottom w:w="0" w:type="dxa"/>
            <w:right w:w="108" w:type="dxa"/>
          </w:tblCellMar>
        </w:tblPrEx>
        <w:trPr>
          <w:trHeight w:val="90" w:hRule="atLeast"/>
          <w:jc w:val="center"/>
        </w:trPr>
        <w:tc>
          <w:tcPr>
            <w:tcW w:w="868" w:type="dxa"/>
            <w:vMerge w:val="restart"/>
            <w:tcBorders>
              <w:top w:val="single" w:color="auto" w:sz="4" w:space="0"/>
              <w:left w:val="single" w:color="auto" w:sz="4" w:space="0"/>
              <w:bottom w:val="single" w:color="auto" w:sz="4" w:space="0"/>
              <w:right w:val="single" w:color="auto" w:sz="4" w:space="0"/>
            </w:tcBorders>
            <w:noWrap/>
            <w:vAlign w:val="center"/>
          </w:tcPr>
          <w:p w14:paraId="6499B10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7F75B5F">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投标人资质条件、能力和信誉</w:t>
            </w:r>
          </w:p>
        </w:tc>
        <w:tc>
          <w:tcPr>
            <w:tcW w:w="7251" w:type="dxa"/>
            <w:tcBorders>
              <w:top w:val="single" w:color="auto" w:sz="4" w:space="0"/>
              <w:left w:val="single" w:color="auto" w:sz="4" w:space="0"/>
              <w:bottom w:val="single" w:color="auto" w:sz="4" w:space="0"/>
              <w:right w:val="single" w:color="auto" w:sz="4" w:space="0"/>
            </w:tcBorders>
            <w:noWrap/>
            <w:vAlign w:val="center"/>
          </w:tcPr>
          <w:p w14:paraId="79A1E5A2">
            <w:pPr>
              <w:keepNext w:val="0"/>
              <w:keepLines w:val="0"/>
              <w:pageBreakBefore w:val="0"/>
              <w:kinsoku/>
              <w:wordWrap/>
              <w:overflowPunct/>
              <w:autoSpaceDN/>
              <w:bidi w:val="0"/>
              <w:spacing w:line="400" w:lineRule="exact"/>
              <w:textAlignment w:val="auto"/>
              <w:rPr>
                <w:rFonts w:hAnsi="宋体" w:cs="宋体"/>
                <w:szCs w:val="21"/>
                <w:highlight w:val="none"/>
                <w:u w:val="single"/>
              </w:rPr>
            </w:pPr>
            <w:r>
              <w:rPr>
                <w:rFonts w:hint="eastAsia" w:ascii="宋体" w:hAnsi="宋体" w:eastAsia="宋体" w:cs="宋体"/>
                <w:kern w:val="0"/>
                <w:szCs w:val="21"/>
                <w:highlight w:val="none"/>
              </w:rPr>
              <w:t>详见招标公告信息</w:t>
            </w:r>
          </w:p>
        </w:tc>
      </w:tr>
      <w:tr w14:paraId="34CDA60C">
        <w:tblPrEx>
          <w:tblCellMar>
            <w:top w:w="0" w:type="dxa"/>
            <w:left w:w="108" w:type="dxa"/>
            <w:bottom w:w="0" w:type="dxa"/>
            <w:right w:w="108" w:type="dxa"/>
          </w:tblCellMar>
        </w:tblPrEx>
        <w:trPr>
          <w:trHeight w:val="575" w:hRule="atLeast"/>
          <w:jc w:val="center"/>
        </w:trPr>
        <w:tc>
          <w:tcPr>
            <w:tcW w:w="868" w:type="dxa"/>
            <w:vMerge w:val="continue"/>
            <w:tcBorders>
              <w:top w:val="single" w:color="auto" w:sz="4" w:space="0"/>
              <w:left w:val="single" w:color="auto" w:sz="4" w:space="0"/>
              <w:bottom w:val="single" w:color="auto" w:sz="4" w:space="0"/>
              <w:right w:val="single" w:color="auto" w:sz="4" w:space="0"/>
            </w:tcBorders>
            <w:noWrap/>
            <w:vAlign w:val="center"/>
          </w:tcPr>
          <w:p w14:paraId="193EBDF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BC1C10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招标文件发布时间：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00E3B91B">
            <w:pPr>
              <w:keepNext w:val="0"/>
              <w:keepLines w:val="0"/>
              <w:pageBreakBefore w:val="0"/>
              <w:kinsoku/>
              <w:wordWrap/>
              <w:overflowPunct/>
              <w:autoSpaceDN/>
              <w:bidi w:val="0"/>
              <w:spacing w:line="400" w:lineRule="exact"/>
              <w:textAlignment w:val="auto"/>
              <w:rPr>
                <w:rFonts w:ascii="宋体" w:hAnsi="宋体" w:cs="宋体"/>
                <w:kern w:val="0"/>
                <w:szCs w:val="21"/>
                <w:highlight w:val="none"/>
              </w:rPr>
            </w:pPr>
            <w:r>
              <w:rPr>
                <w:rFonts w:hint="eastAsia" w:ascii="宋体" w:hAnsi="宋体" w:cs="宋体"/>
                <w:kern w:val="0"/>
                <w:szCs w:val="21"/>
                <w:highlight w:val="none"/>
              </w:rPr>
              <w:t>详见招标公告信息</w:t>
            </w:r>
          </w:p>
        </w:tc>
      </w:tr>
      <w:tr w14:paraId="52E33D5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2885CC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4E7DF90">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踏勘现场</w:t>
            </w:r>
          </w:p>
        </w:tc>
        <w:tc>
          <w:tcPr>
            <w:tcW w:w="7251" w:type="dxa"/>
            <w:tcBorders>
              <w:top w:val="single" w:color="auto" w:sz="4" w:space="0"/>
              <w:left w:val="single" w:color="auto" w:sz="4" w:space="0"/>
              <w:bottom w:val="single" w:color="auto" w:sz="4" w:space="0"/>
              <w:right w:val="single" w:color="auto" w:sz="4" w:space="0"/>
            </w:tcBorders>
            <w:noWrap/>
            <w:vAlign w:val="center"/>
          </w:tcPr>
          <w:p w14:paraId="2EB7922D">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不组织，投标人自行组织踏勘现场</w:t>
            </w:r>
            <w:r>
              <w:rPr>
                <w:rFonts w:hint="eastAsia" w:hAnsi="宋体" w:cs="宋体"/>
                <w:sz w:val="21"/>
                <w:szCs w:val="21"/>
                <w:highlight w:val="none"/>
              </w:rPr>
              <w:t>；□组织</w:t>
            </w:r>
          </w:p>
        </w:tc>
      </w:tr>
      <w:tr w14:paraId="5938BD5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C77D58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9FD36A4">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投标预备会</w:t>
            </w:r>
          </w:p>
        </w:tc>
        <w:tc>
          <w:tcPr>
            <w:tcW w:w="7251" w:type="dxa"/>
            <w:tcBorders>
              <w:top w:val="single" w:color="auto" w:sz="4" w:space="0"/>
              <w:left w:val="single" w:color="auto" w:sz="4" w:space="0"/>
              <w:bottom w:val="single" w:color="auto" w:sz="4" w:space="0"/>
              <w:right w:val="single" w:color="auto" w:sz="4" w:space="0"/>
            </w:tcBorders>
            <w:noWrap/>
            <w:vAlign w:val="center"/>
          </w:tcPr>
          <w:p w14:paraId="3343207B">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不召开</w:t>
            </w:r>
            <w:r>
              <w:rPr>
                <w:rFonts w:hint="eastAsia" w:hAnsi="宋体" w:cs="宋体"/>
                <w:sz w:val="21"/>
                <w:szCs w:val="21"/>
                <w:highlight w:val="none"/>
              </w:rPr>
              <w:t>；□召开</w:t>
            </w:r>
          </w:p>
        </w:tc>
      </w:tr>
      <w:tr w14:paraId="1A70631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41845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11C62B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投标人提出问题的截止时间及方式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0FB0E6F2">
            <w:pPr>
              <w:pStyle w:val="24"/>
              <w:keepNext w:val="0"/>
              <w:keepLines w:val="0"/>
              <w:pageBreakBefore w:val="0"/>
              <w:kinsoku/>
              <w:wordWrap/>
              <w:overflowPunct/>
              <w:autoSpaceDN/>
              <w:bidi w:val="0"/>
              <w:spacing w:line="400" w:lineRule="exact"/>
              <w:textAlignment w:val="auto"/>
              <w:rPr>
                <w:rFonts w:hAnsi="宋体" w:cs="宋体"/>
                <w:szCs w:val="21"/>
                <w:highlight w:val="none"/>
              </w:rPr>
            </w:pPr>
            <w:r>
              <w:rPr>
                <w:rFonts w:hint="eastAsia" w:ascii="宋体" w:hAnsi="宋体" w:cs="宋体"/>
                <w:kern w:val="0"/>
                <w:szCs w:val="21"/>
                <w:highlight w:val="none"/>
              </w:rPr>
              <w:t>如投标人对招标文件有疑问，</w:t>
            </w:r>
            <w:r>
              <w:rPr>
                <w:rFonts w:hint="eastAsia" w:ascii="宋体" w:hAnsi="宋体" w:eastAsia="宋体" w:cs="宋体"/>
                <w:kern w:val="0"/>
                <w:szCs w:val="21"/>
                <w:highlight w:val="none"/>
              </w:rPr>
              <w:t>请于202</w:t>
            </w:r>
            <w:r>
              <w:rPr>
                <w:rFonts w:hint="eastAsia" w:ascii="宋体" w:hAnsi="宋体" w:cs="宋体"/>
                <w:kern w:val="0"/>
                <w:szCs w:val="21"/>
                <w:highlight w:val="none"/>
                <w:lang w:val="en-US" w:eastAsia="zh-CN"/>
              </w:rPr>
              <w:t>6</w:t>
            </w:r>
            <w:r>
              <w:rPr>
                <w:rFonts w:hint="eastAsia" w:ascii="宋体" w:hAnsi="宋体" w:eastAsia="宋体" w:cs="宋体"/>
                <w:kern w:val="0"/>
                <w:szCs w:val="21"/>
                <w:highlight w:val="none"/>
              </w:rPr>
              <w:t>年</w:t>
            </w:r>
            <w:r>
              <w:rPr>
                <w:rFonts w:hint="eastAsia" w:ascii="宋体" w:hAnsi="宋体" w:cs="宋体"/>
                <w:kern w:val="0"/>
                <w:szCs w:val="21"/>
                <w:highlight w:val="none"/>
                <w:lang w:val="en-US" w:eastAsia="zh-CN"/>
              </w:rPr>
              <w:t>9</w:t>
            </w:r>
            <w:r>
              <w:rPr>
                <w:rFonts w:hint="eastAsia" w:ascii="宋体" w:hAnsi="宋体" w:eastAsia="宋体" w:cs="宋体"/>
                <w:kern w:val="0"/>
                <w:szCs w:val="21"/>
                <w:highlight w:val="none"/>
              </w:rPr>
              <w:t>月</w:t>
            </w:r>
            <w:r>
              <w:rPr>
                <w:rFonts w:hint="eastAsia" w:ascii="宋体" w:hAnsi="宋体" w:cs="宋体"/>
                <w:kern w:val="0"/>
                <w:szCs w:val="21"/>
                <w:highlight w:val="none"/>
                <w:lang w:val="en-US" w:eastAsia="zh-CN"/>
              </w:rPr>
              <w:t>29</w:t>
            </w:r>
            <w:r>
              <w:rPr>
                <w:rFonts w:hint="eastAsia" w:ascii="宋体" w:hAnsi="宋体" w:eastAsia="宋体" w:cs="宋体"/>
                <w:kern w:val="0"/>
                <w:szCs w:val="21"/>
                <w:highlight w:val="none"/>
              </w:rPr>
              <w:t>日1</w:t>
            </w:r>
            <w:r>
              <w:rPr>
                <w:rFonts w:hint="eastAsia" w:ascii="宋体" w:hAnsi="宋体" w:cs="宋体"/>
                <w:kern w:val="0"/>
                <w:szCs w:val="21"/>
                <w:highlight w:val="none"/>
                <w:lang w:val="en-US" w:eastAsia="zh-CN"/>
              </w:rPr>
              <w:t>2</w:t>
            </w:r>
            <w:r>
              <w:rPr>
                <w:rFonts w:hint="eastAsia" w:ascii="宋体" w:hAnsi="宋体" w:eastAsia="宋体" w:cs="宋体"/>
                <w:kern w:val="0"/>
                <w:szCs w:val="21"/>
                <w:highlight w:val="none"/>
              </w:rPr>
              <w:t>时前</w:t>
            </w:r>
            <w:r>
              <w:rPr>
                <w:rFonts w:hint="eastAsia" w:ascii="宋体" w:hAnsi="宋体" w:eastAsia="宋体" w:cs="宋体"/>
                <w:color w:val="auto"/>
                <w:szCs w:val="21"/>
                <w:highlight w:val="none"/>
                <w:lang w:val="en-US" w:eastAsia="zh-CN"/>
              </w:rPr>
              <w:t>登录新点电子交易平台【滁州专区】线上提出</w:t>
            </w:r>
            <w:r>
              <w:rPr>
                <w:rFonts w:ascii="宋体" w:hAnsi="宋体" w:eastAsia="宋体" w:cs="宋体"/>
                <w:color w:val="auto"/>
                <w:highlight w:val="none"/>
              </w:rPr>
              <w:t>。</w:t>
            </w:r>
          </w:p>
        </w:tc>
      </w:tr>
      <w:tr w14:paraId="2634A73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D7940D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F9A455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招标人澄清的时间及方式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3EA44CCA">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000000"/>
                <w:kern w:val="2"/>
                <w:sz w:val="21"/>
                <w:szCs w:val="21"/>
                <w:highlight w:val="none"/>
                <w:u w:color="000000"/>
                <w:lang w:val="en-US" w:eastAsia="zh-CN" w:bidi="ar"/>
              </w:rPr>
              <w:t>招标人将在202</w:t>
            </w:r>
            <w:r>
              <w:rPr>
                <w:rFonts w:hint="eastAsia" w:ascii="宋体" w:hAnsi="宋体" w:cs="宋体"/>
                <w:b w:val="0"/>
                <w:bCs w:val="0"/>
                <w:color w:val="000000"/>
                <w:kern w:val="2"/>
                <w:sz w:val="21"/>
                <w:szCs w:val="21"/>
                <w:highlight w:val="none"/>
                <w:u w:color="000000"/>
                <w:lang w:val="en-US" w:eastAsia="zh-CN" w:bidi="ar"/>
              </w:rPr>
              <w:t>6</w:t>
            </w:r>
            <w:r>
              <w:rPr>
                <w:rFonts w:hint="eastAsia" w:ascii="宋体" w:hAnsi="宋体" w:eastAsia="宋体" w:cs="宋体"/>
                <w:b w:val="0"/>
                <w:bCs w:val="0"/>
                <w:color w:val="000000"/>
                <w:kern w:val="2"/>
                <w:sz w:val="21"/>
                <w:szCs w:val="21"/>
                <w:highlight w:val="none"/>
                <w:u w:color="000000"/>
                <w:lang w:val="en-US" w:eastAsia="zh-CN" w:bidi="ar"/>
              </w:rPr>
              <w:t>年</w:t>
            </w:r>
            <w:r>
              <w:rPr>
                <w:rFonts w:hint="eastAsia" w:ascii="宋体" w:hAnsi="宋体" w:cs="宋体"/>
                <w:b w:val="0"/>
                <w:bCs w:val="0"/>
                <w:color w:val="000000"/>
                <w:kern w:val="2"/>
                <w:sz w:val="21"/>
                <w:szCs w:val="21"/>
                <w:highlight w:val="none"/>
                <w:u w:color="000000"/>
                <w:lang w:val="en-US" w:eastAsia="zh-CN" w:bidi="ar"/>
              </w:rPr>
              <w:t>9</w:t>
            </w:r>
            <w:r>
              <w:rPr>
                <w:rFonts w:hint="eastAsia" w:ascii="宋体" w:hAnsi="宋体" w:eastAsia="宋体" w:cs="宋体"/>
                <w:b w:val="0"/>
                <w:bCs w:val="0"/>
                <w:color w:val="000000"/>
                <w:kern w:val="2"/>
                <w:sz w:val="21"/>
                <w:szCs w:val="21"/>
                <w:highlight w:val="none"/>
                <w:u w:color="000000"/>
                <w:lang w:val="en-US" w:eastAsia="zh-CN" w:bidi="ar"/>
              </w:rPr>
              <w:t>月</w:t>
            </w:r>
            <w:r>
              <w:rPr>
                <w:rFonts w:hint="eastAsia" w:ascii="宋体" w:hAnsi="宋体" w:cs="宋体"/>
                <w:b w:val="0"/>
                <w:bCs w:val="0"/>
                <w:color w:val="000000"/>
                <w:kern w:val="2"/>
                <w:sz w:val="21"/>
                <w:szCs w:val="21"/>
                <w:highlight w:val="none"/>
                <w:u w:color="000000"/>
                <w:lang w:val="en-US" w:eastAsia="zh-CN" w:bidi="ar"/>
              </w:rPr>
              <w:t xml:space="preserve">29 </w:t>
            </w:r>
            <w:r>
              <w:rPr>
                <w:rFonts w:hint="eastAsia" w:ascii="宋体" w:hAnsi="宋体" w:eastAsia="宋体" w:cs="宋体"/>
                <w:b w:val="0"/>
                <w:bCs w:val="0"/>
                <w:color w:val="000000"/>
                <w:kern w:val="2"/>
                <w:sz w:val="21"/>
                <w:szCs w:val="21"/>
                <w:highlight w:val="none"/>
                <w:u w:color="000000"/>
                <w:lang w:val="en-US" w:eastAsia="zh-CN" w:bidi="ar"/>
              </w:rPr>
              <w:t>日17时后以澄清公告形式在滁州市城投工程咨询管理有限公司网站（</w:t>
            </w:r>
            <w:r>
              <w:rPr>
                <w:rFonts w:hint="eastAsia" w:ascii="宋体" w:hAnsi="宋体" w:cs="宋体"/>
                <w:b w:val="0"/>
                <w:bCs w:val="0"/>
                <w:color w:val="000000"/>
                <w:kern w:val="2"/>
                <w:sz w:val="21"/>
                <w:szCs w:val="21"/>
                <w:highlight w:val="none"/>
                <w:u w:color="000000"/>
                <w:lang w:val="en-US" w:eastAsia="zh-CN" w:bidi="ar"/>
              </w:rPr>
              <w:t>https://www.czctgczx.com/</w:t>
            </w:r>
            <w:r>
              <w:rPr>
                <w:rFonts w:hint="eastAsia" w:ascii="宋体" w:hAnsi="宋体" w:eastAsia="宋体" w:cs="宋体"/>
                <w:b w:val="0"/>
                <w:bCs w:val="0"/>
                <w:color w:val="000000"/>
                <w:kern w:val="2"/>
                <w:sz w:val="21"/>
                <w:szCs w:val="21"/>
                <w:highlight w:val="none"/>
                <w:u w:color="000000"/>
                <w:lang w:val="en-US" w:eastAsia="zh-CN" w:bidi="ar"/>
              </w:rPr>
              <w:t>）发布，但不指明澄清问题的来源。如果澄清内容影响投标文件编制的，将相应延长投标截止时间。</w:t>
            </w:r>
          </w:p>
        </w:tc>
      </w:tr>
      <w:tr w14:paraId="5AD99380">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ACCAE5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67127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偏离</w:t>
            </w:r>
          </w:p>
        </w:tc>
        <w:tc>
          <w:tcPr>
            <w:tcW w:w="7251" w:type="dxa"/>
            <w:tcBorders>
              <w:top w:val="single" w:color="auto" w:sz="4" w:space="0"/>
              <w:left w:val="single" w:color="auto" w:sz="4" w:space="0"/>
              <w:bottom w:val="single" w:color="auto" w:sz="4" w:space="0"/>
              <w:right w:val="single" w:color="auto" w:sz="4" w:space="0"/>
            </w:tcBorders>
            <w:noWrap/>
            <w:vAlign w:val="center"/>
          </w:tcPr>
          <w:p w14:paraId="6F323E2E">
            <w:pPr>
              <w:pStyle w:val="19"/>
              <w:keepNext w:val="0"/>
              <w:keepLines w:val="0"/>
              <w:pageBreakBefore w:val="0"/>
              <w:kinsoku/>
              <w:wordWrap/>
              <w:overflowPunct/>
              <w:topLinePunct/>
              <w:autoSpaceDN/>
              <w:bidi w:val="0"/>
              <w:spacing w:line="400" w:lineRule="exact"/>
              <w:textAlignment w:val="auto"/>
              <w:rPr>
                <w:rFonts w:hAnsi="宋体" w:cs="宋体"/>
                <w:sz w:val="21"/>
                <w:szCs w:val="21"/>
                <w:highlight w:val="none"/>
              </w:rPr>
            </w:pPr>
            <w:r>
              <w:rPr>
                <w:rFonts w:hint="eastAsia"/>
                <w:highlight w:val="none"/>
              </w:rPr>
              <w:t>☑</w:t>
            </w:r>
            <w:r>
              <w:rPr>
                <w:rFonts w:hint="eastAsia" w:hAnsi="宋体" w:cs="宋体"/>
                <w:sz w:val="21"/>
                <w:szCs w:val="21"/>
                <w:highlight w:val="none"/>
              </w:rPr>
              <w:t>不允许；□允许</w:t>
            </w:r>
          </w:p>
        </w:tc>
      </w:tr>
      <w:tr w14:paraId="462F3D5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61C05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7653BA3">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构成招标文件的其他材料</w:t>
            </w:r>
          </w:p>
        </w:tc>
        <w:tc>
          <w:tcPr>
            <w:tcW w:w="7251" w:type="dxa"/>
            <w:tcBorders>
              <w:top w:val="single" w:color="auto" w:sz="4" w:space="0"/>
              <w:left w:val="single" w:color="auto" w:sz="4" w:space="0"/>
              <w:bottom w:val="single" w:color="auto" w:sz="4" w:space="0"/>
              <w:right w:val="single" w:color="auto" w:sz="4" w:space="0"/>
            </w:tcBorders>
            <w:noWrap/>
            <w:vAlign w:val="center"/>
          </w:tcPr>
          <w:p w14:paraId="07A7DB3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招标澄清答疑文件等。</w:t>
            </w:r>
          </w:p>
        </w:tc>
      </w:tr>
      <w:tr w14:paraId="132ABAE6">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9A34F7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C04F2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投标人要求澄清招标文件的截止时间及方式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11154714">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同本表第13条</w:t>
            </w:r>
          </w:p>
        </w:tc>
      </w:tr>
      <w:tr w14:paraId="2A3378D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49441D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0782B1E">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最高限价（费率）</w:t>
            </w:r>
          </w:p>
        </w:tc>
        <w:tc>
          <w:tcPr>
            <w:tcW w:w="7251" w:type="dxa"/>
            <w:tcBorders>
              <w:top w:val="single" w:color="auto" w:sz="4" w:space="0"/>
              <w:left w:val="single" w:color="auto" w:sz="4" w:space="0"/>
              <w:bottom w:val="single" w:color="auto" w:sz="4" w:space="0"/>
              <w:right w:val="single" w:color="auto" w:sz="4" w:space="0"/>
            </w:tcBorders>
            <w:noWrap/>
            <w:vAlign w:val="center"/>
          </w:tcPr>
          <w:p w14:paraId="1102E872">
            <w:pPr>
              <w:keepNext w:val="0"/>
              <w:keepLines w:val="0"/>
              <w:pageBreakBefore w:val="0"/>
              <w:numPr>
                <w:ilvl w:val="0"/>
                <w:numId w:val="0"/>
              </w:numPr>
              <w:kinsoku/>
              <w:wordWrap/>
              <w:overflowPunct/>
              <w:autoSpaceDN/>
              <w:bidi w:val="0"/>
              <w:spacing w:line="400" w:lineRule="exact"/>
              <w:textAlignment w:val="auto"/>
              <w:rPr>
                <w:rFonts w:hint="eastAsia" w:ascii="宋体" w:hAnsi="宋体" w:eastAsia="宋体" w:cs="宋体"/>
                <w:b/>
                <w:bCs/>
                <w:highlight w:val="none"/>
              </w:rPr>
            </w:pPr>
            <w:r>
              <w:rPr>
                <w:rFonts w:hint="eastAsia" w:ascii="宋体" w:hAnsi="宋体" w:eastAsia="宋体" w:cs="宋体"/>
                <w:b/>
                <w:bCs/>
                <w:kern w:val="2"/>
                <w:sz w:val="21"/>
                <w:szCs w:val="24"/>
                <w:highlight w:val="none"/>
                <w:lang w:val="en-US" w:eastAsia="zh-CN" w:bidi="ar-SA"/>
              </w:rPr>
              <w:t>1、</w:t>
            </w:r>
            <w:r>
              <w:rPr>
                <w:rFonts w:hint="eastAsia" w:ascii="宋体" w:hAnsi="宋体" w:eastAsia="宋体" w:cs="宋体"/>
                <w:b/>
                <w:bCs/>
                <w:highlight w:val="none"/>
              </w:rPr>
              <w:t>监理费率：</w:t>
            </w:r>
            <w:r>
              <w:rPr>
                <w:rFonts w:hint="eastAsia" w:ascii="宋体" w:hAnsi="宋体" w:eastAsia="宋体" w:cs="宋体"/>
                <w:b/>
                <w:bCs/>
                <w:highlight w:val="none"/>
                <w:lang w:val="en-US" w:eastAsia="zh-CN"/>
              </w:rPr>
              <w:t>1.0</w:t>
            </w:r>
            <w:r>
              <w:rPr>
                <w:rFonts w:hint="eastAsia" w:ascii="宋体" w:hAnsi="宋体" w:eastAsia="宋体" w:cs="宋体"/>
                <w:b/>
                <w:bCs/>
                <w:highlight w:val="none"/>
              </w:rPr>
              <w:t>%。中标人监理费=</w:t>
            </w:r>
            <w:r>
              <w:rPr>
                <w:rFonts w:hint="eastAsia" w:ascii="宋体" w:hAnsi="宋体" w:eastAsia="宋体" w:cs="宋体"/>
                <w:b/>
                <w:bCs/>
                <w:highlight w:val="none"/>
                <w:lang w:val="en-US" w:eastAsia="zh-CN"/>
              </w:rPr>
              <w:t>各项目</w:t>
            </w:r>
            <w:r>
              <w:rPr>
                <w:rFonts w:hint="eastAsia" w:ascii="宋体" w:hAnsi="宋体" w:eastAsia="宋体" w:cs="宋体"/>
                <w:b/>
                <w:bCs/>
                <w:highlight w:val="none"/>
              </w:rPr>
              <w:t>工程结算造价×</w:t>
            </w:r>
            <w:r>
              <w:rPr>
                <w:rFonts w:hint="eastAsia" w:ascii="宋体" w:hAnsi="宋体" w:eastAsia="宋体" w:cs="宋体"/>
                <w:b/>
                <w:bCs/>
                <w:highlight w:val="none"/>
                <w:lang w:val="en-US" w:eastAsia="zh-CN"/>
              </w:rPr>
              <w:t>中标费率</w:t>
            </w:r>
            <w:r>
              <w:rPr>
                <w:rFonts w:hint="eastAsia" w:ascii="宋体" w:hAnsi="宋体" w:eastAsia="宋体" w:cs="宋体"/>
                <w:b/>
                <w:bCs/>
                <w:highlight w:val="none"/>
              </w:rPr>
              <w:t>，中标后的监理费率不做调整</w:t>
            </w:r>
            <w:r>
              <w:rPr>
                <w:rFonts w:hint="eastAsia" w:ascii="宋体" w:hAnsi="宋体" w:eastAsia="宋体" w:cs="宋体"/>
                <w:b/>
                <w:bCs/>
                <w:highlight w:val="none"/>
                <w:lang w:eastAsia="zh-CN"/>
              </w:rPr>
              <w:t>，</w:t>
            </w:r>
            <w:r>
              <w:rPr>
                <w:rFonts w:hint="eastAsia" w:ascii="宋体" w:hAnsi="宋体" w:eastAsia="宋体" w:cs="宋体"/>
                <w:b/>
                <w:bCs/>
                <w:highlight w:val="none"/>
                <w:lang w:val="en-US" w:eastAsia="zh-CN"/>
              </w:rPr>
              <w:t>报价保留两位小数，第三位四舍五入</w:t>
            </w:r>
            <w:r>
              <w:rPr>
                <w:rFonts w:hint="eastAsia" w:ascii="宋体" w:hAnsi="宋体" w:eastAsia="宋体" w:cs="宋体"/>
                <w:b/>
                <w:bCs/>
                <w:highlight w:val="none"/>
              </w:rPr>
              <w:t>。</w:t>
            </w:r>
          </w:p>
          <w:p w14:paraId="512D2545">
            <w:pPr>
              <w:keepNext w:val="0"/>
              <w:keepLines w:val="0"/>
              <w:pageBreakBefore w:val="0"/>
              <w:numPr>
                <w:ilvl w:val="0"/>
                <w:numId w:val="0"/>
              </w:numPr>
              <w:kinsoku/>
              <w:wordWrap/>
              <w:overflowPunct/>
              <w:autoSpaceDN/>
              <w:bidi w:val="0"/>
              <w:spacing w:line="400" w:lineRule="exact"/>
              <w:textAlignment w:val="auto"/>
              <w:rPr>
                <w:rFonts w:hint="eastAsia" w:ascii="宋体" w:hAnsi="宋体" w:eastAsia="宋体" w:cs="宋体"/>
                <w:b/>
                <w:bCs/>
                <w:highlight w:val="none"/>
              </w:rPr>
            </w:pPr>
            <w:r>
              <w:rPr>
                <w:rFonts w:hint="eastAsia" w:ascii="宋体" w:hAnsi="宋体" w:eastAsia="宋体" w:cs="宋体"/>
                <w:b/>
                <w:bCs/>
                <w:kern w:val="2"/>
                <w:sz w:val="21"/>
                <w:szCs w:val="24"/>
                <w:highlight w:val="none"/>
                <w:lang w:val="en-US" w:eastAsia="zh-CN" w:bidi="ar-SA"/>
              </w:rPr>
              <w:t>2、</w:t>
            </w:r>
            <w:r>
              <w:rPr>
                <w:rFonts w:hint="eastAsia" w:ascii="宋体" w:hAnsi="宋体" w:eastAsia="宋体" w:cs="宋体"/>
                <w:b/>
                <w:bCs/>
                <w:highlight w:val="none"/>
                <w:lang w:val="en-US" w:eastAsia="zh-CN"/>
              </w:rPr>
              <w:t>超过</w:t>
            </w:r>
            <w:r>
              <w:rPr>
                <w:rFonts w:hint="eastAsia" w:ascii="宋体" w:hAnsi="宋体" w:eastAsia="宋体" w:cs="宋体"/>
                <w:b/>
                <w:bCs/>
                <w:highlight w:val="none"/>
              </w:rPr>
              <w:t>最高限价的为无效报价，作无效标处理否则。</w:t>
            </w:r>
          </w:p>
          <w:p w14:paraId="2BA6419D">
            <w:pPr>
              <w:keepNext w:val="0"/>
              <w:keepLines w:val="0"/>
              <w:pageBreakBefore w:val="0"/>
              <w:numPr>
                <w:ilvl w:val="0"/>
                <w:numId w:val="0"/>
              </w:numPr>
              <w:kinsoku/>
              <w:wordWrap/>
              <w:overflowPunct/>
              <w:autoSpaceDN/>
              <w:bidi w:val="0"/>
              <w:spacing w:line="400" w:lineRule="exact"/>
              <w:textAlignment w:val="auto"/>
              <w:rPr>
                <w:rFonts w:hint="default"/>
                <w:highlight w:val="none"/>
                <w:lang w:val="en-US" w:eastAsia="zh-CN"/>
              </w:rPr>
            </w:pPr>
            <w:r>
              <w:rPr>
                <w:rFonts w:hint="default" w:ascii="宋体" w:hAnsi="宋体" w:eastAsia="宋体" w:cs="宋体"/>
                <w:b/>
                <w:bCs/>
                <w:highlight w:val="none"/>
                <w:lang w:val="en-US" w:eastAsia="zh-CN"/>
              </w:rPr>
              <w:t>3、</w:t>
            </w:r>
            <w:r>
              <w:rPr>
                <w:rFonts w:hint="eastAsia" w:ascii="宋体" w:hAnsi="宋体" w:cs="宋体"/>
                <w:b/>
                <w:bCs/>
                <w:highlight w:val="none"/>
                <w:lang w:val="en-US" w:eastAsia="zh-CN"/>
              </w:rPr>
              <w:t>合同履行期内各项目监理费用累计至28万元时</w:t>
            </w:r>
            <w:r>
              <w:rPr>
                <w:rFonts w:hint="eastAsia" w:ascii="宋体" w:hAnsi="宋体" w:eastAsia="宋体" w:cs="宋体"/>
                <w:b/>
                <w:bCs/>
                <w:highlight w:val="none"/>
                <w:lang w:val="en-US" w:eastAsia="zh-CN"/>
              </w:rPr>
              <w:t>，完成履约项目后合同终止，正在履约的项目不做费用增加。</w:t>
            </w:r>
          </w:p>
        </w:tc>
      </w:tr>
      <w:tr w14:paraId="6F126AF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A3375F5">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836684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投标有效期</w:t>
            </w:r>
          </w:p>
        </w:tc>
        <w:tc>
          <w:tcPr>
            <w:tcW w:w="7251" w:type="dxa"/>
            <w:tcBorders>
              <w:top w:val="single" w:color="auto" w:sz="4" w:space="0"/>
              <w:left w:val="single" w:color="auto" w:sz="4" w:space="0"/>
              <w:bottom w:val="single" w:color="auto" w:sz="4" w:space="0"/>
              <w:right w:val="single" w:color="auto" w:sz="4" w:space="0"/>
            </w:tcBorders>
            <w:noWrap/>
            <w:vAlign w:val="center"/>
          </w:tcPr>
          <w:p w14:paraId="3E143A0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投标有效期为</w:t>
            </w:r>
            <w:r>
              <w:rPr>
                <w:rFonts w:hint="eastAsia" w:ascii="宋体" w:hAnsi="宋体" w:cs="宋体"/>
                <w:szCs w:val="21"/>
                <w:highlight w:val="none"/>
                <w:u w:val="single"/>
              </w:rPr>
              <w:t>90</w:t>
            </w:r>
            <w:r>
              <w:rPr>
                <w:rFonts w:hint="eastAsia" w:ascii="宋体" w:hAnsi="宋体" w:cs="宋体"/>
                <w:szCs w:val="21"/>
                <w:highlight w:val="none"/>
              </w:rPr>
              <w:t>日历天（从投标截止之日算起）。在此期限内，凡符合本招标文件要求的投标文件均保持有效。</w:t>
            </w:r>
          </w:p>
        </w:tc>
      </w:tr>
      <w:tr w14:paraId="45AEDE17">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EB6B29F">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0129E9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投标保证金</w:t>
            </w:r>
          </w:p>
        </w:tc>
        <w:tc>
          <w:tcPr>
            <w:tcW w:w="7251" w:type="dxa"/>
            <w:tcBorders>
              <w:top w:val="single" w:color="auto" w:sz="4" w:space="0"/>
              <w:left w:val="single" w:color="auto" w:sz="4" w:space="0"/>
              <w:bottom w:val="single" w:color="auto" w:sz="4" w:space="0"/>
              <w:right w:val="single" w:color="auto" w:sz="4" w:space="0"/>
            </w:tcBorders>
            <w:noWrap/>
            <w:vAlign w:val="center"/>
          </w:tcPr>
          <w:p w14:paraId="28186690">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详见招标公告信息</w:t>
            </w:r>
          </w:p>
        </w:tc>
      </w:tr>
      <w:tr w14:paraId="6E11FCA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739992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50DF28D">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签字或盖章要求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5AFD1E77">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投标文件须按格式文件要求签字或盖章。否则经评委会一致认定后，按照无效投标处理。</w:t>
            </w:r>
          </w:p>
        </w:tc>
      </w:tr>
      <w:tr w14:paraId="2A0476EF">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596DF0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CA3299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投标文件份数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1762AE54">
            <w:pPr>
              <w:pStyle w:val="14"/>
              <w:keepNext w:val="0"/>
              <w:keepLines w:val="0"/>
              <w:pageBreakBefore w:val="0"/>
              <w:kinsoku/>
              <w:wordWrap/>
              <w:overflowPunct/>
              <w:autoSpaceDN/>
              <w:bidi w:val="0"/>
              <w:spacing w:line="400" w:lineRule="exact"/>
              <w:ind w:left="0" w:leftChars="0" w:firstLine="0" w:firstLineChars="0"/>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p w14:paraId="59E67BFB">
            <w:pPr>
              <w:pStyle w:val="14"/>
              <w:keepNext w:val="0"/>
              <w:keepLines w:val="0"/>
              <w:pageBreakBefore w:val="0"/>
              <w:kinsoku/>
              <w:wordWrap/>
              <w:overflowPunct/>
              <w:autoSpaceDN/>
              <w:bidi w:val="0"/>
              <w:spacing w:line="400" w:lineRule="exact"/>
              <w:ind w:left="0" w:leftChars="0" w:firstLine="0" w:firstLineChars="0"/>
              <w:textAlignment w:val="auto"/>
              <w:rPr>
                <w:highlight w:val="none"/>
              </w:rPr>
            </w:pPr>
            <w:r>
              <w:rPr>
                <w:rFonts w:hint="eastAsia" w:ascii="宋体" w:hAnsi="宋体" w:eastAsia="宋体" w:cs="宋体"/>
                <w:b/>
                <w:bCs/>
                <w:i w:val="0"/>
                <w:iCs w:val="0"/>
                <w:color w:val="auto"/>
                <w:kern w:val="0"/>
                <w:sz w:val="21"/>
                <w:szCs w:val="21"/>
                <w:highlight w:val="none"/>
                <w:u w:val="single"/>
              </w:rPr>
              <w:t>（投标人中标后须递交与网上电子投标文件完全一致的纸质版投标文件，并按要求加盖单位章；</w:t>
            </w:r>
            <w:r>
              <w:rPr>
                <w:rFonts w:hint="eastAsia" w:ascii="宋体" w:hAnsi="宋体" w:cs="宋体"/>
                <w:b/>
                <w:bCs/>
                <w:i w:val="0"/>
                <w:iCs w:val="0"/>
                <w:color w:val="auto"/>
                <w:kern w:val="0"/>
                <w:sz w:val="21"/>
                <w:szCs w:val="21"/>
                <w:highlight w:val="none"/>
                <w:u w:val="single"/>
              </w:rPr>
              <w:t>份数：正本1份，副本</w:t>
            </w:r>
            <w:r>
              <w:rPr>
                <w:rFonts w:hint="eastAsia" w:hAnsi="宋体" w:cs="宋体"/>
                <w:b/>
                <w:bCs/>
                <w:i w:val="0"/>
                <w:iCs w:val="0"/>
                <w:color w:val="auto"/>
                <w:kern w:val="0"/>
                <w:sz w:val="21"/>
                <w:szCs w:val="21"/>
                <w:highlight w:val="none"/>
                <w:u w:val="single"/>
                <w:lang w:val="en-US" w:eastAsia="zh-CN"/>
              </w:rPr>
              <w:t>1</w:t>
            </w:r>
            <w:r>
              <w:rPr>
                <w:rFonts w:hint="eastAsia" w:ascii="宋体" w:hAnsi="宋体" w:cs="宋体"/>
                <w:b/>
                <w:bCs/>
                <w:i w:val="0"/>
                <w:iCs w:val="0"/>
                <w:color w:val="auto"/>
                <w:kern w:val="0"/>
                <w:sz w:val="21"/>
                <w:szCs w:val="21"/>
                <w:highlight w:val="none"/>
                <w:u w:val="single"/>
              </w:rPr>
              <w:t>份；中标单位领取中标通知书时，一并递交给代理机构）</w:t>
            </w:r>
          </w:p>
        </w:tc>
      </w:tr>
      <w:tr w14:paraId="0DE33C57">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0C592D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54E8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color w:val="auto"/>
                <w:sz w:val="21"/>
                <w:szCs w:val="21"/>
                <w:highlight w:val="none"/>
              </w:rPr>
              <w:t>投标文件提交截止时间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49C7DBFE">
            <w:pPr>
              <w:keepNext w:val="0"/>
              <w:keepLines w:val="0"/>
              <w:pageBreakBefore w:val="0"/>
              <w:kinsoku/>
              <w:wordWrap/>
              <w:overflowPunct/>
              <w:autoSpaceDN/>
              <w:bidi w:val="0"/>
              <w:spacing w:line="400" w:lineRule="exac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202</w:t>
            </w:r>
            <w:r>
              <w:rPr>
                <w:rFonts w:hint="eastAsia" w:ascii="宋体" w:hAnsi="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10</w:t>
            </w:r>
            <w:r>
              <w:rPr>
                <w:rFonts w:hint="eastAsia" w:ascii="宋体" w:hAnsi="宋体" w:eastAsia="宋体" w:cs="宋体"/>
                <w:szCs w:val="21"/>
                <w:highlight w:val="none"/>
              </w:rPr>
              <w:t>月</w:t>
            </w:r>
            <w:r>
              <w:rPr>
                <w:rFonts w:hint="eastAsia" w:ascii="宋体" w:hAnsi="宋体" w:cs="宋体"/>
                <w:szCs w:val="21"/>
                <w:highlight w:val="none"/>
                <w:lang w:val="en-US" w:eastAsia="zh-CN"/>
              </w:rPr>
              <w:t>10</w:t>
            </w:r>
            <w:r>
              <w:rPr>
                <w:rFonts w:hint="eastAsia" w:ascii="宋体" w:hAnsi="宋体" w:eastAsia="宋体" w:cs="宋体"/>
                <w:szCs w:val="21"/>
                <w:highlight w:val="none"/>
              </w:rPr>
              <w:t>日</w:t>
            </w:r>
            <w:r>
              <w:rPr>
                <w:rFonts w:hint="eastAsia" w:ascii="宋体" w:hAnsi="宋体" w:cs="宋体"/>
                <w:szCs w:val="21"/>
                <w:highlight w:val="none"/>
                <w:lang w:val="en-US" w:eastAsia="zh-CN"/>
              </w:rPr>
              <w:t>9</w:t>
            </w:r>
            <w:r>
              <w:rPr>
                <w:rFonts w:hint="eastAsia" w:ascii="宋体" w:hAnsi="宋体" w:eastAsia="宋体" w:cs="宋体"/>
                <w:szCs w:val="21"/>
                <w:highlight w:val="none"/>
              </w:rPr>
              <w:t>时00分（北京时间）</w:t>
            </w:r>
          </w:p>
        </w:tc>
      </w:tr>
      <w:tr w14:paraId="13689E4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12D8F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C2F970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是否退还投标文件</w:t>
            </w:r>
          </w:p>
        </w:tc>
        <w:tc>
          <w:tcPr>
            <w:tcW w:w="7251" w:type="dxa"/>
            <w:tcBorders>
              <w:top w:val="single" w:color="auto" w:sz="4" w:space="0"/>
              <w:left w:val="single" w:color="auto" w:sz="4" w:space="0"/>
              <w:bottom w:val="single" w:color="auto" w:sz="4" w:space="0"/>
              <w:right w:val="single" w:color="auto" w:sz="4" w:space="0"/>
            </w:tcBorders>
            <w:noWrap/>
            <w:vAlign w:val="center"/>
          </w:tcPr>
          <w:p w14:paraId="49837F3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kern w:val="2"/>
                <w:sz w:val="21"/>
                <w:szCs w:val="21"/>
                <w:highlight w:val="none"/>
                <w:u w:color="000000"/>
                <w:lang w:val="en-US" w:eastAsia="zh-CN" w:bidi="ar"/>
              </w:rPr>
              <w:t>否</w:t>
            </w:r>
          </w:p>
        </w:tc>
      </w:tr>
      <w:tr w14:paraId="3E085A9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99301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7A3327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开标时间及地点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55159CA4">
            <w:pPr>
              <w:adjustRightInd w:val="0"/>
              <w:snapToGrid w:val="0"/>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开标时间：</w:t>
            </w:r>
            <w:r>
              <w:rPr>
                <w:rFonts w:hint="eastAsia" w:ascii="宋体" w:hAnsi="宋体" w:eastAsia="宋体" w:cs="宋体"/>
                <w:szCs w:val="21"/>
                <w:highlight w:val="none"/>
              </w:rPr>
              <w:t>202</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10</w:t>
            </w:r>
            <w:r>
              <w:rPr>
                <w:rFonts w:hint="eastAsia" w:ascii="宋体" w:hAnsi="宋体" w:eastAsia="宋体" w:cs="宋体"/>
                <w:szCs w:val="21"/>
                <w:highlight w:val="none"/>
              </w:rPr>
              <w:t>月</w:t>
            </w:r>
            <w:r>
              <w:rPr>
                <w:rFonts w:hint="eastAsia" w:ascii="宋体" w:hAnsi="宋体" w:cs="宋体"/>
                <w:szCs w:val="21"/>
                <w:highlight w:val="none"/>
                <w:lang w:val="en-US" w:eastAsia="zh-CN"/>
              </w:rPr>
              <w:t>10</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日</w:t>
            </w:r>
            <w:r>
              <w:rPr>
                <w:rFonts w:hint="eastAsia" w:ascii="宋体" w:hAnsi="宋体" w:cs="宋体"/>
                <w:szCs w:val="21"/>
                <w:highlight w:val="none"/>
                <w:lang w:val="en-US" w:eastAsia="zh-CN"/>
              </w:rPr>
              <w:t>9</w:t>
            </w:r>
            <w:r>
              <w:rPr>
                <w:rFonts w:hint="eastAsia" w:ascii="宋体" w:hAnsi="宋体" w:eastAsia="宋体" w:cs="宋体"/>
                <w:szCs w:val="21"/>
                <w:highlight w:val="none"/>
              </w:rPr>
              <w:t>时</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0分</w:t>
            </w:r>
            <w:r>
              <w:rPr>
                <w:rFonts w:hint="eastAsia" w:ascii="宋体" w:hAnsi="宋体" w:eastAsia="宋体" w:cs="宋体"/>
                <w:color w:val="000000"/>
                <w:kern w:val="2"/>
                <w:sz w:val="21"/>
                <w:szCs w:val="21"/>
                <w:highlight w:val="none"/>
                <w:lang w:val="en-US" w:eastAsia="zh-CN" w:bidi="ar"/>
              </w:rPr>
              <w:t>（北京时间）</w:t>
            </w:r>
          </w:p>
          <w:p w14:paraId="7D5F050E">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Times New Roman" w:hAnsi="Times New Roman" w:eastAsia="宋体" w:cs="Times New Roman"/>
                <w:highlight w:val="none"/>
                <w:lang w:val="en-US" w:eastAsia="zh-CN"/>
              </w:rPr>
            </w:pPr>
            <w:r>
              <w:rPr>
                <w:rFonts w:hint="eastAsia" w:ascii="宋体" w:hAnsi="宋体" w:eastAsia="宋体" w:cs="宋体"/>
                <w:color w:val="auto"/>
                <w:szCs w:val="21"/>
                <w:highlight w:val="none"/>
                <w:lang w:val="en-US" w:eastAsia="zh-CN"/>
              </w:rPr>
              <w:t>方式：</w:t>
            </w: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w:t>
            </w:r>
            <w:r>
              <w:rPr>
                <w:rFonts w:hint="eastAsia" w:ascii="Times New Roman" w:hAnsi="Times New Roman" w:eastAsia="宋体" w:cs="Times New Roman"/>
                <w:highlight w:val="none"/>
                <w:lang w:val="en-US" w:eastAsia="zh-CN"/>
              </w:rPr>
              <w:fldChar w:fldCharType="begin"/>
            </w:r>
            <w:r>
              <w:rPr>
                <w:rFonts w:hint="eastAsia" w:ascii="Times New Roman" w:hAnsi="Times New Roman" w:eastAsia="宋体" w:cs="Times New Roman"/>
                <w:highlight w:val="none"/>
                <w:lang w:val="en-US" w:eastAsia="zh-CN"/>
              </w:rPr>
              <w:instrText xml:space="preserve"> HYPERLINK "http://js.etrading.cn/EpointBidOpening/bidopeninghallaction/hall/login）。" </w:instrText>
            </w:r>
            <w:r>
              <w:rPr>
                <w:rFonts w:hint="eastAsia" w:ascii="Times New Roman" w:hAnsi="Times New Roman" w:eastAsia="宋体" w:cs="Times New Roman"/>
                <w:highlight w:val="none"/>
                <w:lang w:val="en-US" w:eastAsia="zh-CN"/>
              </w:rPr>
              <w:fldChar w:fldCharType="separate"/>
            </w:r>
            <w:r>
              <w:rPr>
                <w:rStyle w:val="58"/>
                <w:rFonts w:hint="eastAsia" w:ascii="Times New Roman" w:hAnsi="Times New Roman" w:eastAsia="宋体" w:cs="Times New Roman"/>
                <w:highlight w:val="none"/>
                <w:lang w:val="en-US" w:eastAsia="zh-CN"/>
              </w:rPr>
              <w:t>http://js.etrading.cn/EpointBidOpening/bidopeninghallaction/hall/login）。</w:t>
            </w:r>
            <w:r>
              <w:rPr>
                <w:rFonts w:hint="eastAsia" w:ascii="Times New Roman" w:hAnsi="Times New Roman" w:eastAsia="宋体" w:cs="Times New Roman"/>
                <w:highlight w:val="none"/>
                <w:lang w:val="en-US" w:eastAsia="zh-CN"/>
              </w:rPr>
              <w:fldChar w:fldCharType="end"/>
            </w:r>
          </w:p>
          <w:p w14:paraId="58E2D2E2">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解密时间：投标人须</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u w:val="single"/>
              </w:rPr>
              <w:t xml:space="preserve"> 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lang w:eastAsia="zh-CN"/>
              </w:rPr>
              <w:t>时</w:t>
            </w:r>
            <w:r>
              <w:rPr>
                <w:rFonts w:hint="eastAsia" w:ascii="宋体" w:hAnsi="宋体" w:eastAsia="宋体" w:cs="宋体"/>
                <w:color w:val="auto"/>
                <w:szCs w:val="21"/>
                <w:highlight w:val="none"/>
                <w:u w:val="single"/>
                <w:lang w:val="en-US" w:eastAsia="zh-CN"/>
              </w:rPr>
              <w:t>00</w:t>
            </w:r>
            <w:r>
              <w:rPr>
                <w:rFonts w:hint="eastAsia" w:ascii="宋体" w:hAnsi="宋体" w:eastAsia="宋体" w:cs="宋体"/>
                <w:color w:val="auto"/>
                <w:szCs w:val="21"/>
                <w:highlight w:val="none"/>
                <w:u w:val="single"/>
                <w:lang w:eastAsia="zh-CN"/>
              </w:rPr>
              <w:t>分</w:t>
            </w:r>
            <w:r>
              <w:rPr>
                <w:rFonts w:hint="eastAsia" w:ascii="宋体" w:hAnsi="宋体" w:eastAsia="宋体" w:cs="宋体"/>
                <w:color w:val="auto"/>
                <w:szCs w:val="21"/>
                <w:highlight w:val="none"/>
                <w:u w:val="single"/>
                <w:lang w:val="en-US" w:eastAsia="zh-CN"/>
              </w:rPr>
              <w:t>至2026年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lang w:val="en-US" w:eastAsia="zh-CN"/>
              </w:rPr>
              <w:t>月</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lang w:val="en-US" w:eastAsia="zh-CN"/>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时</w:t>
            </w:r>
            <w:r>
              <w:rPr>
                <w:rFonts w:hint="eastAsia" w:ascii="宋体" w:hAnsi="宋体" w:eastAsia="宋体" w:cs="宋体"/>
                <w:color w:val="auto"/>
                <w:szCs w:val="21"/>
                <w:highlight w:val="none"/>
                <w:u w:val="single"/>
                <w:lang w:val="en-US" w:eastAsia="zh-CN"/>
              </w:rPr>
              <w:t>3</w:t>
            </w:r>
            <w:r>
              <w:rPr>
                <w:rFonts w:hint="eastAsia" w:ascii="宋体" w:hAnsi="宋体" w:eastAsia="宋体" w:cs="宋体"/>
                <w:color w:val="auto"/>
                <w:szCs w:val="21"/>
                <w:highlight w:val="none"/>
                <w:u w:val="single"/>
              </w:rPr>
              <w:t>0分</w:t>
            </w:r>
            <w:r>
              <w:rPr>
                <w:rFonts w:hint="eastAsia" w:ascii="宋体" w:hAnsi="宋体" w:eastAsia="宋体" w:cs="宋体"/>
                <w:color w:val="auto"/>
                <w:szCs w:val="21"/>
                <w:highlight w:val="none"/>
                <w:u w:val="single"/>
                <w:lang w:val="en-US" w:eastAsia="zh-CN"/>
              </w:rPr>
              <w:t>解密；未在规定时间内完成解密的，退回其投标文件；如有因系统原因造成的故障，代理机构可申请延迟解密时间。</w:t>
            </w:r>
          </w:p>
        </w:tc>
      </w:tr>
      <w:tr w14:paraId="1992B37A">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95919A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C8E870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开标程序</w:t>
            </w:r>
          </w:p>
        </w:tc>
        <w:tc>
          <w:tcPr>
            <w:tcW w:w="7251" w:type="dxa"/>
            <w:tcBorders>
              <w:top w:val="single" w:color="auto" w:sz="4" w:space="0"/>
              <w:left w:val="single" w:color="auto" w:sz="4" w:space="0"/>
              <w:bottom w:val="single" w:color="auto" w:sz="4" w:space="0"/>
              <w:right w:val="single" w:color="auto" w:sz="4" w:space="0"/>
            </w:tcBorders>
            <w:noWrap/>
            <w:vAlign w:val="center"/>
          </w:tcPr>
          <w:p w14:paraId="4FB8EA5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由代理机构开启电子投标文件，报评标委员会评审。</w:t>
            </w:r>
          </w:p>
        </w:tc>
      </w:tr>
      <w:tr w14:paraId="5625472C">
        <w:tblPrEx>
          <w:tblCellMar>
            <w:top w:w="0" w:type="dxa"/>
            <w:left w:w="108" w:type="dxa"/>
            <w:bottom w:w="0" w:type="dxa"/>
            <w:right w:w="108" w:type="dxa"/>
          </w:tblCellMar>
        </w:tblPrEx>
        <w:trPr>
          <w:trHeight w:val="488"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F3A70F5">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68336E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评标委员会的组建</w:t>
            </w:r>
          </w:p>
        </w:tc>
        <w:tc>
          <w:tcPr>
            <w:tcW w:w="7251" w:type="dxa"/>
            <w:tcBorders>
              <w:top w:val="single" w:color="auto" w:sz="4" w:space="0"/>
              <w:left w:val="single" w:color="auto" w:sz="4" w:space="0"/>
              <w:bottom w:val="single" w:color="auto" w:sz="4" w:space="0"/>
              <w:right w:val="single" w:color="auto" w:sz="4" w:space="0"/>
            </w:tcBorders>
            <w:noWrap/>
            <w:vAlign w:val="center"/>
          </w:tcPr>
          <w:p w14:paraId="7523A5DC">
            <w:pPr>
              <w:keepNext w:val="0"/>
              <w:keepLines w:val="0"/>
              <w:pageBreakBefore w:val="0"/>
              <w:kinsoku/>
              <w:wordWrap/>
              <w:overflowPunct/>
              <w:autoSpaceDE/>
              <w:autoSpaceDN/>
              <w:bidi w:val="0"/>
              <w:spacing w:line="400" w:lineRule="exact"/>
              <w:textAlignment w:val="auto"/>
              <w:rPr>
                <w:rFonts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评标委员会由招标人依法组建。</w:t>
            </w:r>
          </w:p>
        </w:tc>
      </w:tr>
      <w:tr w14:paraId="7BAECC9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3DBFFAA">
            <w:pPr>
              <w:keepNext w:val="0"/>
              <w:keepLines w:val="0"/>
              <w:pageBreakBefore w:val="0"/>
              <w:kinsoku/>
              <w:wordWrap/>
              <w:overflowPunct/>
              <w:autoSpaceDN/>
              <w:bidi w:val="0"/>
              <w:spacing w:line="400" w:lineRule="exact"/>
              <w:jc w:val="center"/>
              <w:textAlignment w:val="auto"/>
              <w:rPr>
                <w:rFonts w:ascii="宋体" w:hAnsi="宋体" w:cs="宋体"/>
                <w:b/>
                <w:bCs/>
                <w:szCs w:val="21"/>
                <w:highlight w:val="none"/>
              </w:rPr>
            </w:pPr>
            <w:r>
              <w:rPr>
                <w:rFonts w:hint="eastAsia" w:ascii="宋体" w:hAnsi="宋体" w:cs="宋体"/>
                <w:szCs w:val="21"/>
                <w:highlight w:val="none"/>
              </w:rPr>
              <w:t>28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E747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ascii="宋体" w:hAnsi="宋体" w:cs="宋体"/>
                <w:bCs/>
                <w:color w:val="auto"/>
                <w:szCs w:val="21"/>
                <w:highlight w:val="none"/>
              </w:rPr>
            </w:pPr>
            <w:r>
              <w:rPr>
                <w:rFonts w:hint="eastAsia" w:ascii="宋体" w:hAnsi="宋体" w:eastAsia="宋体" w:cs="宋体"/>
                <w:b w:val="0"/>
                <w:bCs w:val="0"/>
                <w:color w:val="auto"/>
                <w:sz w:val="21"/>
                <w:szCs w:val="21"/>
                <w:highlight w:val="none"/>
              </w:rPr>
              <w:t>评标委员会确定中标候选人的人数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3FF3BC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textAlignment w:val="auto"/>
              <w:rPr>
                <w:rFonts w:ascii="宋体" w:hAnsi="宋体" w:cs="宋体"/>
                <w:bCs/>
                <w:color w:val="auto"/>
                <w:szCs w:val="21"/>
                <w:highlight w:val="none"/>
              </w:rPr>
            </w:pP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名，并标明排序。</w:t>
            </w:r>
          </w:p>
        </w:tc>
      </w:tr>
      <w:tr w14:paraId="0948E9B2">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CAD3EA1">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29</w:t>
            </w:r>
          </w:p>
        </w:tc>
        <w:tc>
          <w:tcPr>
            <w:tcW w:w="2209" w:type="dxa"/>
            <w:gridSpan w:val="2"/>
            <w:tcBorders>
              <w:top w:val="single" w:color="auto" w:sz="4" w:space="0"/>
              <w:left w:val="single" w:color="auto" w:sz="4" w:space="0"/>
              <w:right w:val="single" w:color="auto" w:sz="4" w:space="0"/>
            </w:tcBorders>
            <w:noWrap/>
            <w:vAlign w:val="center"/>
          </w:tcPr>
          <w:p w14:paraId="397DB27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中标候选人公示媒介</w:t>
            </w:r>
          </w:p>
        </w:tc>
        <w:tc>
          <w:tcPr>
            <w:tcW w:w="7251" w:type="dxa"/>
            <w:tcBorders>
              <w:top w:val="single" w:color="auto" w:sz="4" w:space="0"/>
              <w:left w:val="single" w:color="auto" w:sz="4" w:space="0"/>
              <w:right w:val="single" w:color="auto" w:sz="4" w:space="0"/>
            </w:tcBorders>
            <w:noWrap/>
            <w:vAlign w:val="center"/>
          </w:tcPr>
          <w:p w14:paraId="5A0118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公示媒介：同招标公告发布媒介</w:t>
            </w:r>
          </w:p>
          <w:p w14:paraId="62635D2D">
            <w:pPr>
              <w:keepNext w:val="0"/>
              <w:keepLines w:val="0"/>
              <w:pageBreakBefore w:val="0"/>
              <w:kinsoku/>
              <w:wordWrap/>
              <w:overflowPunct/>
              <w:autoSpaceDE/>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auto"/>
                <w:sz w:val="21"/>
                <w:szCs w:val="21"/>
                <w:highlight w:val="none"/>
              </w:rPr>
              <w:t>公示期限：公示发布次日起3日（如公示第三日为休息日或节假日，则顺延至休息日或节假日后第一个工作日）</w:t>
            </w:r>
          </w:p>
        </w:tc>
      </w:tr>
      <w:tr w14:paraId="5598C43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AF264B2">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30</w:t>
            </w:r>
          </w:p>
        </w:tc>
        <w:tc>
          <w:tcPr>
            <w:tcW w:w="2209" w:type="dxa"/>
            <w:gridSpan w:val="2"/>
            <w:tcBorders>
              <w:top w:val="single" w:color="auto" w:sz="4" w:space="0"/>
              <w:left w:val="single" w:color="auto" w:sz="4" w:space="0"/>
              <w:right w:val="single" w:color="auto" w:sz="4" w:space="0"/>
            </w:tcBorders>
            <w:noWrap/>
            <w:vAlign w:val="center"/>
          </w:tcPr>
          <w:p w14:paraId="46AD0919">
            <w:pPr>
              <w:keepNext w:val="0"/>
              <w:keepLines w:val="0"/>
              <w:pageBreakBefore w:val="0"/>
              <w:kinsoku/>
              <w:wordWrap/>
              <w:overflowPunct/>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sz w:val="21"/>
                <w:szCs w:val="21"/>
                <w:highlight w:val="none"/>
              </w:rPr>
              <w:t>中标通知书发出形式</w:t>
            </w:r>
          </w:p>
        </w:tc>
        <w:tc>
          <w:tcPr>
            <w:tcW w:w="7251" w:type="dxa"/>
            <w:tcBorders>
              <w:top w:val="single" w:color="auto" w:sz="4" w:space="0"/>
              <w:left w:val="single" w:color="auto" w:sz="4" w:space="0"/>
              <w:right w:val="single" w:color="auto" w:sz="4" w:space="0"/>
            </w:tcBorders>
            <w:noWrap/>
            <w:vAlign w:val="center"/>
          </w:tcPr>
          <w:p w14:paraId="6F0D809A">
            <w:pPr>
              <w:keepNext w:val="0"/>
              <w:keepLines w:val="0"/>
              <w:pageBreakBefore w:val="0"/>
              <w:widowControl/>
              <w:kinsoku/>
              <w:wordWrap/>
              <w:overflowPunct/>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
              </w:rPr>
              <w:t>中标通知书须加盖招标人、招标代理公司公章后方可发出。</w:t>
            </w:r>
          </w:p>
        </w:tc>
      </w:tr>
      <w:tr w14:paraId="036C355A">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0D4AB66">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BDAC4D">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履约担保</w:t>
            </w:r>
          </w:p>
        </w:tc>
        <w:tc>
          <w:tcPr>
            <w:tcW w:w="7251" w:type="dxa"/>
            <w:tcBorders>
              <w:top w:val="single" w:color="auto" w:sz="4" w:space="0"/>
              <w:left w:val="single" w:color="auto" w:sz="4" w:space="0"/>
              <w:bottom w:val="single" w:color="auto" w:sz="4" w:space="0"/>
              <w:right w:val="single" w:color="auto" w:sz="4" w:space="0"/>
            </w:tcBorders>
            <w:noWrap/>
            <w:vAlign w:val="center"/>
          </w:tcPr>
          <w:p w14:paraId="2F05DCD5">
            <w:pPr>
              <w:keepNext w:val="0"/>
              <w:keepLines w:val="0"/>
              <w:pageBreakBefore w:val="0"/>
              <w:kinsoku/>
              <w:wordWrap/>
              <w:overflowPunct/>
              <w:autoSpaceDE/>
              <w:autoSpaceDN/>
              <w:bidi w:val="0"/>
              <w:spacing w:line="400" w:lineRule="exact"/>
              <w:textAlignment w:val="auto"/>
              <w:rPr>
                <w:rFonts w:ascii="宋体" w:hAnsi="宋体" w:cs="宋体"/>
                <w:bCs/>
                <w:color w:val="auto"/>
                <w:szCs w:val="21"/>
                <w:highlight w:val="none"/>
              </w:rPr>
            </w:pPr>
            <w:r>
              <w:rPr>
                <w:rFonts w:hint="eastAsia" w:ascii="宋体" w:hAnsi="宋体" w:cs="宋体"/>
                <w:bCs/>
                <w:color w:val="auto"/>
                <w:szCs w:val="21"/>
                <w:highlight w:val="none"/>
              </w:rPr>
              <w:t>履约担保的形式：支持银行转账、银行保函（见索即付无条件保函）使用</w:t>
            </w:r>
          </w:p>
          <w:p w14:paraId="10A402B3">
            <w:pPr>
              <w:keepNext w:val="0"/>
              <w:keepLines w:val="0"/>
              <w:pageBreakBefore w:val="0"/>
              <w:kinsoku/>
              <w:wordWrap/>
              <w:overflowPunct/>
              <w:autoSpaceDE/>
              <w:autoSpaceDN/>
              <w:bidi w:val="0"/>
              <w:spacing w:line="380" w:lineRule="exact"/>
              <w:textAlignment w:val="auto"/>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rPr>
              <w:t>履约担保的金额：</w:t>
            </w:r>
            <w:r>
              <w:rPr>
                <w:rFonts w:hint="eastAsia" w:ascii="宋体" w:hAnsi="宋体" w:eastAsia="宋体" w:cs="宋体"/>
                <w:bCs/>
                <w:color w:val="auto"/>
                <w:szCs w:val="21"/>
                <w:highlight w:val="none"/>
              </w:rPr>
              <w:t>中标合同金额×2%</w:t>
            </w:r>
          </w:p>
          <w:p w14:paraId="0790DCFC">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收款单位：中标后另行通知                 </w:t>
            </w:r>
          </w:p>
          <w:p w14:paraId="01D6068A">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开户银行：中标后另行通知                   </w:t>
            </w:r>
          </w:p>
          <w:p w14:paraId="5A8E62ED">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银行账号：中标后另行通知                   </w:t>
            </w:r>
          </w:p>
          <w:p w14:paraId="74B687A2">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缴纳时限：中标人须在中标通知书发出后30日内完成履约保证金缴纳及合同签订（先缴纳履约保证金后签订合同）。中标单位原因造成合同延期签订的，延期签订情节严重的，招标人有权取消其中标资格。并承担给招标人造成的损失，同时依法承担相应法律责任。   </w:t>
            </w:r>
          </w:p>
          <w:p w14:paraId="4FAE5FB4">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履约保证金退还时限：履约保证金在工程竣工验收合格后一个月内无息退还。</w:t>
            </w:r>
          </w:p>
          <w:p w14:paraId="7409C6B9">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其他相关要求：</w:t>
            </w:r>
          </w:p>
          <w:p w14:paraId="6F398EC5">
            <w:pPr>
              <w:keepNext w:val="0"/>
              <w:keepLines w:val="0"/>
              <w:pageBreakBefore w:val="0"/>
              <w:kinsoku/>
              <w:wordWrap/>
              <w:overflowPunct/>
              <w:autoSpaceDE/>
              <w:autoSpaceDN/>
              <w:bidi w:val="0"/>
              <w:spacing w:line="400" w:lineRule="exact"/>
              <w:textAlignment w:val="auto"/>
              <w:rPr>
                <w:rFonts w:ascii="宋体" w:hAnsi="宋体" w:cs="宋体"/>
                <w:color w:val="auto"/>
                <w:szCs w:val="21"/>
                <w:highlight w:val="none"/>
              </w:rPr>
            </w:pPr>
            <w:r>
              <w:rPr>
                <w:rFonts w:hint="eastAsia" w:ascii="宋体" w:hAnsi="宋体" w:eastAsia="宋体" w:cs="宋体"/>
                <w:color w:val="auto"/>
                <w:sz w:val="21"/>
                <w:szCs w:val="21"/>
                <w:highlight w:val="none"/>
                <w:lang w:val="en-US" w:eastAsia="zh-CN"/>
              </w:rPr>
              <w:t>采用银行保函的具体要求:按招标人要求提供。</w:t>
            </w:r>
          </w:p>
        </w:tc>
      </w:tr>
      <w:tr w14:paraId="1717AE69">
        <w:tblPrEx>
          <w:tblCellMar>
            <w:top w:w="0" w:type="dxa"/>
            <w:left w:w="108" w:type="dxa"/>
            <w:bottom w:w="0" w:type="dxa"/>
            <w:right w:w="108" w:type="dxa"/>
          </w:tblCellMar>
        </w:tblPrEx>
        <w:trPr>
          <w:trHeight w:val="805"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4FFCA40">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E6E11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eastAsia="宋体" w:cs="宋体"/>
                <w:b/>
                <w:bCs/>
                <w:color w:val="auto"/>
                <w:sz w:val="21"/>
                <w:szCs w:val="21"/>
                <w:highlight w:val="none"/>
              </w:rPr>
              <w:t>付款方式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4B2F89E6">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left"/>
              <w:textAlignment w:val="auto"/>
              <w:rPr>
                <w:rFonts w:ascii="宋体" w:hAnsi="宋体" w:cs="宋体"/>
                <w:color w:val="auto"/>
                <w:szCs w:val="21"/>
                <w:highlight w:val="none"/>
              </w:rPr>
            </w:pPr>
            <w:r>
              <w:rPr>
                <w:rFonts w:hint="eastAsia" w:ascii="宋体" w:hAnsi="宋体" w:eastAsia="宋体" w:cs="宋体"/>
                <w:color w:val="auto"/>
                <w:sz w:val="21"/>
                <w:szCs w:val="21"/>
                <w:highlight w:val="none"/>
                <w:lang w:val="en-US" w:eastAsia="zh-CN"/>
              </w:rPr>
              <w:t>每个工程每个单体竣工验收合格、施工结算、资料归档及项目审计结束后付至单体结算总价的97%，剩余3%经工程质保期满回访合格后支付完毕（无息）。</w:t>
            </w:r>
          </w:p>
        </w:tc>
      </w:tr>
      <w:tr w14:paraId="7129CE18">
        <w:tblPrEx>
          <w:tblCellMar>
            <w:top w:w="0" w:type="dxa"/>
            <w:left w:w="108" w:type="dxa"/>
            <w:bottom w:w="0" w:type="dxa"/>
            <w:right w:w="108" w:type="dxa"/>
          </w:tblCellMar>
        </w:tblPrEx>
        <w:trPr>
          <w:trHeight w:val="90" w:hRule="atLeast"/>
          <w:jc w:val="center"/>
        </w:trPr>
        <w:tc>
          <w:tcPr>
            <w:tcW w:w="10328" w:type="dxa"/>
            <w:gridSpan w:val="4"/>
            <w:tcBorders>
              <w:top w:val="single" w:color="auto" w:sz="4" w:space="0"/>
              <w:left w:val="single" w:color="auto" w:sz="4" w:space="0"/>
              <w:bottom w:val="single" w:color="auto" w:sz="4" w:space="0"/>
              <w:right w:val="single" w:color="auto" w:sz="4" w:space="0"/>
            </w:tcBorders>
            <w:noWrap/>
            <w:vAlign w:val="center"/>
          </w:tcPr>
          <w:p w14:paraId="3E3A640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需要补充的其他内容</w:t>
            </w:r>
          </w:p>
        </w:tc>
      </w:tr>
      <w:tr w14:paraId="2AA9094C">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11490EC4">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招标代理服务费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2B12792">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kern w:val="0"/>
                <w:szCs w:val="21"/>
                <w:highlight w:val="none"/>
              </w:rPr>
            </w:pPr>
            <w:r>
              <w:rPr>
                <w:rFonts w:hint="eastAsia" w:ascii="宋体" w:hAnsi="宋体" w:cs="宋体"/>
                <w:kern w:val="0"/>
                <w:szCs w:val="21"/>
                <w:highlight w:val="none"/>
              </w:rPr>
              <w:t>代理服务具体金额：</w:t>
            </w:r>
            <w:r>
              <w:rPr>
                <w:rFonts w:hint="eastAsia" w:ascii="宋体" w:hAnsi="宋体" w:cs="宋体"/>
                <w:kern w:val="0"/>
                <w:szCs w:val="21"/>
                <w:highlight w:val="none"/>
                <w:lang w:val="en-US" w:eastAsia="zh-CN"/>
              </w:rPr>
              <w:t>1000</w:t>
            </w:r>
            <w:r>
              <w:rPr>
                <w:rFonts w:hint="eastAsia" w:ascii="宋体" w:hAnsi="宋体" w:cs="宋体"/>
                <w:kern w:val="0"/>
                <w:szCs w:val="21"/>
                <w:highlight w:val="none"/>
              </w:rPr>
              <w:t>元</w:t>
            </w:r>
            <w:r>
              <w:rPr>
                <w:rFonts w:hint="eastAsia" w:ascii="宋体" w:hAnsi="宋体" w:cs="宋体"/>
                <w:bCs/>
                <w:kern w:val="0"/>
                <w:highlight w:val="none"/>
              </w:rPr>
              <w:t>。</w:t>
            </w:r>
          </w:p>
          <w:p w14:paraId="7550C2A5">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szCs w:val="21"/>
                <w:highlight w:val="none"/>
              </w:rPr>
            </w:pPr>
            <w:r>
              <w:rPr>
                <w:rFonts w:hint="eastAsia" w:ascii="宋体" w:hAnsi="宋体" w:cs="宋体"/>
                <w:kern w:val="0"/>
                <w:szCs w:val="21"/>
                <w:highlight w:val="none"/>
              </w:rPr>
              <w:t>代理服务费支付主体</w:t>
            </w:r>
            <w:r>
              <w:rPr>
                <w:rFonts w:hint="eastAsia" w:ascii="宋体" w:hAnsi="宋体" w:cs="宋体"/>
                <w:szCs w:val="21"/>
                <w:highlight w:val="none"/>
              </w:rPr>
              <w:t>：</w:t>
            </w:r>
            <w:r>
              <w:rPr>
                <w:rFonts w:hint="eastAsia" w:ascii="宋体" w:hAnsi="宋体" w:cs="宋体"/>
                <w:kern w:val="0"/>
                <w:szCs w:val="21"/>
                <w:highlight w:val="none"/>
              </w:rPr>
              <w:t>由中标单位在领取中标通知书时，一次性支付给代理机构。</w:t>
            </w:r>
          </w:p>
        </w:tc>
      </w:tr>
      <w:tr w14:paraId="0E8F155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B3101E2">
            <w:pPr>
              <w:keepNext w:val="0"/>
              <w:keepLines w:val="0"/>
              <w:pageBreakBefore w:val="0"/>
              <w:kinsoku/>
              <w:wordWrap/>
              <w:overflowPunct/>
              <w:autoSpaceDN/>
              <w:bidi w:val="0"/>
              <w:adjustRightInd w:val="0"/>
              <w:snapToGrid w:val="0"/>
              <w:spacing w:line="400" w:lineRule="exact"/>
              <w:jc w:val="center"/>
              <w:textAlignment w:val="auto"/>
              <w:rPr>
                <w:rFonts w:hint="eastAsia" w:ascii="宋体" w:hAnsi="宋体" w:cs="宋体"/>
                <w:szCs w:val="21"/>
                <w:highlight w:val="none"/>
              </w:rPr>
            </w:pPr>
            <w:r>
              <w:rPr>
                <w:rFonts w:hint="eastAsia" w:ascii="宋体" w:hAnsi="宋体" w:cs="宋体"/>
                <w:color w:val="auto"/>
                <w:sz w:val="21"/>
                <w:szCs w:val="21"/>
                <w:highlight w:val="none"/>
              </w:rPr>
              <w:t>专家评审劳务费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F5FAE4A">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费用或支付标准：</w:t>
            </w:r>
            <w:r>
              <w:rPr>
                <w:rFonts w:hint="eastAsia" w:ascii="宋体" w:hAnsi="宋体" w:cs="宋体"/>
                <w:color w:val="auto"/>
                <w:sz w:val="21"/>
                <w:szCs w:val="21"/>
                <w:highlight w:val="none"/>
                <w:lang w:val="en-US" w:eastAsia="zh-CN"/>
              </w:rPr>
              <w:t>以实际发生为准，</w:t>
            </w:r>
            <w:r>
              <w:rPr>
                <w:rFonts w:hint="eastAsia" w:ascii="宋体" w:hAnsi="宋体" w:eastAsia="宋体" w:cs="宋体"/>
                <w:color w:val="000000"/>
                <w:kern w:val="2"/>
                <w:sz w:val="21"/>
                <w:szCs w:val="21"/>
                <w:highlight w:val="none"/>
                <w:u w:color="000000"/>
                <w:lang w:val="en-US" w:eastAsia="zh-CN" w:bidi="ar"/>
              </w:rPr>
              <w:t>预计2000元整</w:t>
            </w:r>
            <w:r>
              <w:rPr>
                <w:rFonts w:hint="eastAsia" w:ascii="宋体" w:hAnsi="宋体" w:cs="宋体"/>
                <w:color w:val="auto"/>
                <w:sz w:val="21"/>
                <w:szCs w:val="21"/>
                <w:highlight w:val="none"/>
                <w:lang w:val="en-US" w:eastAsia="zh-CN"/>
              </w:rPr>
              <w:t>。</w:t>
            </w:r>
          </w:p>
          <w:p w14:paraId="0376B137">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cs="宋体"/>
                <w:kern w:val="0"/>
                <w:szCs w:val="21"/>
                <w:highlight w:val="none"/>
              </w:rPr>
            </w:pPr>
            <w:r>
              <w:rPr>
                <w:rFonts w:hint="eastAsia"/>
                <w:color w:val="auto"/>
                <w:sz w:val="21"/>
                <w:szCs w:val="21"/>
                <w:highlight w:val="none"/>
              </w:rPr>
              <w:t>支付主体：</w:t>
            </w:r>
            <w:r>
              <w:rPr>
                <w:rFonts w:hint="eastAsia"/>
                <w:color w:val="auto"/>
                <w:sz w:val="21"/>
                <w:szCs w:val="21"/>
                <w:highlight w:val="none"/>
                <w:lang w:val="en-US" w:eastAsia="zh-CN"/>
              </w:rPr>
              <w:t>中标单位</w:t>
            </w:r>
          </w:p>
        </w:tc>
      </w:tr>
      <w:tr w14:paraId="48F0B8E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7F2E766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Times New Roman" w:eastAsia="宋体" w:cs="Times New Roman"/>
                <w:color w:val="auto"/>
                <w:sz w:val="21"/>
                <w:szCs w:val="21"/>
                <w:highlight w:val="none"/>
              </w:rPr>
              <w:t>解释权</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2762B36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1.</w:t>
            </w:r>
            <w:r>
              <w:rPr>
                <w:rFonts w:hint="eastAsia" w:ascii="宋体" w:hAnsi="Times New Roman" w:eastAsia="宋体" w:cs="Times New Roman"/>
                <w:color w:val="auto"/>
                <w:sz w:val="21"/>
                <w:szCs w:val="21"/>
                <w:highlight w:val="none"/>
              </w:rPr>
              <w:t>构成本招标文件的各个组成文件应互为解释，互为说明；</w:t>
            </w:r>
          </w:p>
          <w:p w14:paraId="124D2A4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2.</w:t>
            </w:r>
            <w:r>
              <w:rPr>
                <w:rFonts w:hint="eastAsia" w:ascii="宋体" w:hAnsi="Times New Roman" w:eastAsia="宋体" w:cs="Times New Roman"/>
                <w:color w:val="auto"/>
                <w:sz w:val="21"/>
                <w:szCs w:val="21"/>
                <w:highlight w:val="none"/>
              </w:rPr>
              <w:t>同一组成文件中就同一事项的规定或约定不一致的，以编排顺序在后者为准；</w:t>
            </w:r>
          </w:p>
          <w:p w14:paraId="1698371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3.</w:t>
            </w:r>
            <w:r>
              <w:rPr>
                <w:rFonts w:hint="eastAsia" w:ascii="宋体" w:hAnsi="Times New Roman" w:eastAsia="宋体" w:cs="Times New Roman"/>
                <w:color w:val="auto"/>
                <w:sz w:val="21"/>
                <w:szCs w:val="21"/>
                <w:highlight w:val="none"/>
              </w:rPr>
              <w:t>如有不明确或不一致，构成合同文件组成内容的，以合同文件约定内容为准，且以专用合同条款约定的合同文件优先顺序解释；</w:t>
            </w:r>
          </w:p>
          <w:p w14:paraId="2ADDCA3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宋体" w:cs="宋体"/>
                <w:szCs w:val="21"/>
                <w:highlight w:val="none"/>
                <w:lang w:val="en-US" w:eastAsia="zh-CN"/>
              </w:rPr>
            </w:pPr>
            <w:r>
              <w:rPr>
                <w:rFonts w:hint="eastAsia" w:ascii="宋体" w:hAnsi="Times New Roman" w:eastAsia="宋体" w:cs="Times New Roman"/>
                <w:color w:val="auto"/>
                <w:sz w:val="21"/>
                <w:szCs w:val="21"/>
                <w:highlight w:val="none"/>
                <w:lang w:val="en-US" w:eastAsia="zh-CN"/>
              </w:rPr>
              <w:t>4.</w:t>
            </w:r>
            <w:r>
              <w:rPr>
                <w:rFonts w:hint="eastAsia" w:ascii="宋体" w:hAnsi="Times New Roman" w:eastAsia="宋体" w:cs="Times New Roman"/>
                <w:color w:val="auto"/>
                <w:sz w:val="21"/>
                <w:szCs w:val="21"/>
                <w:highlight w:val="none"/>
              </w:rPr>
              <w:t>按本款前述规定仍不能形成结论的，由招标人负责解释。</w:t>
            </w:r>
          </w:p>
        </w:tc>
      </w:tr>
      <w:tr w14:paraId="2FCA490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65FC732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Times New Roman" w:eastAsia="宋体" w:cs="Times New Roman"/>
                <w:color w:val="auto"/>
                <w:sz w:val="21"/>
                <w:szCs w:val="21"/>
                <w:highlight w:val="none"/>
              </w:rPr>
              <w:t>同义词语</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3E729A2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宋体" w:cs="宋体"/>
                <w:szCs w:val="21"/>
                <w:highlight w:val="none"/>
                <w:lang w:val="en-US" w:eastAsia="zh-CN"/>
              </w:rPr>
            </w:pPr>
            <w:r>
              <w:rPr>
                <w:rFonts w:hint="eastAsia" w:ascii="宋体" w:hAnsi="Times New Roman" w:eastAsia="宋体" w:cs="Times New Roman"/>
                <w:color w:val="auto"/>
                <w:sz w:val="21"/>
                <w:szCs w:val="21"/>
                <w:highlight w:val="none"/>
              </w:rPr>
              <w:t>构成招标文件组成部分的“通用合同条款”、“专用合同条款”、“技术标准和要求”等章节中 “发包人”和“承包人”，等同于招标投标阶段的“招标人”和“投标人/中标人”。</w:t>
            </w:r>
          </w:p>
        </w:tc>
      </w:tr>
      <w:tr w14:paraId="28675B89">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EF7C88F">
            <w:pPr>
              <w:keepNext w:val="0"/>
              <w:keepLines w:val="0"/>
              <w:pageBreakBefore w:val="0"/>
              <w:suppressLineNumbers w:val="0"/>
              <w:kinsoku/>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宋体" w:eastAsia="宋体" w:cs="宋体"/>
                <w:color w:val="000000"/>
                <w:szCs w:val="21"/>
                <w:highlight w:val="none"/>
                <w:lang w:bidi="ar"/>
              </w:rPr>
              <w:t>备注</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1E70D8E">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right="0"/>
              <w:jc w:val="left"/>
              <w:textAlignment w:val="auto"/>
              <w:rPr>
                <w:rFonts w:hint="default" w:ascii="宋体" w:hAnsi="Times New Roman" w:eastAsia="宋体" w:cs="Times New Roman"/>
                <w:szCs w:val="21"/>
                <w:highlight w:val="none"/>
              </w:rPr>
            </w:pPr>
            <w:r>
              <w:rPr>
                <w:rFonts w:hint="eastAsia" w:ascii="宋体" w:hAnsi="Times New Roman" w:eastAsia="宋体" w:cs="Times New Roman"/>
                <w:szCs w:val="21"/>
                <w:highlight w:val="none"/>
                <w:lang w:eastAsia="zh-CN"/>
              </w:rPr>
              <w:t>1.</w:t>
            </w:r>
            <w:r>
              <w:rPr>
                <w:rFonts w:hint="eastAsia" w:ascii="宋体" w:hAnsi="Times New Roman" w:eastAsia="宋体" w:cs="Times New Roman"/>
                <w:szCs w:val="21"/>
                <w:highlight w:val="none"/>
              </w:rPr>
              <w:t>评标委员会只依靠投标人递交的投标文件及其按照招标文件要求提供的所有证明材料进行评审，而不依靠任何外来的证明材料。</w:t>
            </w:r>
          </w:p>
          <w:p w14:paraId="1780A6B5">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right="0"/>
              <w:jc w:val="left"/>
              <w:textAlignment w:val="auto"/>
              <w:rPr>
                <w:rFonts w:hint="default" w:ascii="宋体" w:hAnsi="Times New Roman" w:eastAsia="宋体" w:cs="Times New Roman"/>
                <w:szCs w:val="21"/>
                <w:highlight w:val="none"/>
              </w:rPr>
            </w:pPr>
            <w:r>
              <w:rPr>
                <w:rFonts w:hint="eastAsia" w:ascii="宋体" w:hAnsi="Times New Roman" w:eastAsia="宋体" w:cs="Times New Roman"/>
                <w:szCs w:val="21"/>
                <w:highlight w:val="none"/>
                <w:lang w:eastAsia="zh-CN"/>
              </w:rPr>
              <w:t>2.</w:t>
            </w:r>
            <w:r>
              <w:rPr>
                <w:rFonts w:hint="eastAsia" w:ascii="宋体" w:hAnsi="Times New Roman" w:eastAsia="宋体" w:cs="Times New Roman"/>
                <w:szCs w:val="21"/>
                <w:highlight w:val="none"/>
              </w:rPr>
              <w:t>招标人对本项目执行过程中的所有争议拥有最终的裁决权，投标人应无条件地服从招标人的裁决，不得以任何理由提出增加本项目合同费用和延误本项目工期。</w:t>
            </w:r>
          </w:p>
          <w:p w14:paraId="371AA3AE">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leftChars="0" w:right="0" w:rightChars="0"/>
              <w:jc w:val="left"/>
              <w:textAlignment w:val="auto"/>
              <w:rPr>
                <w:rFonts w:ascii="宋体" w:hAnsi="宋体" w:cs="宋体"/>
                <w:strike/>
                <w:szCs w:val="21"/>
                <w:highlight w:val="none"/>
              </w:rPr>
            </w:pPr>
            <w:r>
              <w:rPr>
                <w:rFonts w:hint="eastAsia" w:ascii="宋体" w:hAnsi="Times New Roman" w:eastAsia="宋体" w:cs="Times New Roman"/>
                <w:szCs w:val="21"/>
                <w:highlight w:val="none"/>
                <w:lang w:eastAsia="zh-CN"/>
              </w:rPr>
              <w:t>3.</w:t>
            </w:r>
            <w:r>
              <w:rPr>
                <w:rFonts w:hint="eastAsia" w:ascii="宋体" w:hAnsi="Times New Roman" w:eastAsia="宋体" w:cs="Times New Roman"/>
                <w:szCs w:val="21"/>
                <w:highlight w:val="none"/>
              </w:rPr>
              <w:t>本项目严禁非法转包，一经发现，招标人依法处理。</w:t>
            </w:r>
          </w:p>
        </w:tc>
      </w:tr>
      <w:tr w14:paraId="0F24C4E8">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71447103">
            <w:pPr>
              <w:keepNext w:val="0"/>
              <w:keepLines w:val="0"/>
              <w:pageBreakBefore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宋体" w:hAnsi="宋体" w:eastAsia="宋体" w:cs="宋体"/>
                <w:sz w:val="21"/>
                <w:szCs w:val="21"/>
                <w:highlight w:val="none"/>
                <w:lang w:val="en-US" w:eastAsia="zh-CN"/>
              </w:rPr>
            </w:pPr>
            <w:bookmarkStart w:id="51" w:name="_Toc35424887"/>
            <w:bookmarkStart w:id="52" w:name="_Toc5813"/>
            <w:bookmarkStart w:id="53" w:name="_Toc15058846"/>
            <w:bookmarkStart w:id="54" w:name="_Toc35425053"/>
            <w:bookmarkStart w:id="55" w:name="_Toc78803322"/>
            <w:r>
              <w:rPr>
                <w:rFonts w:hint="eastAsia" w:ascii="宋体" w:hAnsi="宋体" w:cs="宋体"/>
                <w:sz w:val="21"/>
                <w:szCs w:val="21"/>
                <w:highlight w:val="none"/>
                <w:lang w:val="en-US" w:eastAsia="zh-CN"/>
              </w:rPr>
              <w:t>重要说明</w:t>
            </w:r>
          </w:p>
        </w:tc>
        <w:tc>
          <w:tcPr>
            <w:tcW w:w="8550" w:type="dxa"/>
            <w:gridSpan w:val="2"/>
            <w:tcBorders>
              <w:top w:val="single" w:color="auto" w:sz="4" w:space="0"/>
              <w:left w:val="single" w:color="auto" w:sz="4" w:space="0"/>
              <w:bottom w:val="single" w:color="auto" w:sz="4" w:space="0"/>
              <w:right w:val="single" w:color="auto" w:sz="4" w:space="0"/>
            </w:tcBorders>
            <w:vAlign w:val="center"/>
          </w:tcPr>
          <w:p w14:paraId="06F5B15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请于公告发布之日起从滁州市城投工程咨询管理有限公司网站（https://www.czctgczx.com/），点击项目招标公告下方【我要投标】，登录新点电子交易平台后在【滁州专区】（https://www.etrading.cn/BREpointSSO/login/oauth2login?regioncode=DQ_ChuZhou）下载本项目招标文件。投标人自行承担因未按要求获取招标文件导致无法上传电子投标文件的风险。</w:t>
            </w:r>
          </w:p>
          <w:p w14:paraId="67CEC14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投标人须登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573EBB8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3.投标人登录新点电子交易平台【滁州专区】获取招标文件及其它资料（含澄清和补充说明等）。如在招标文件获取过程中遇到系统问题，请拨打技术支持服务热线0512-58151515或者网站首页在线客服。</w:t>
            </w:r>
          </w:p>
          <w:p w14:paraId="7708949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4.本项目采用不见面开标，投标人登录滁州市城投工程咨询有限公司不见面开标系统参与网上开标（网址：http://js.etrading.cn/EpointBidOpening/bidopeninghallaction/hall/login）。</w:t>
            </w:r>
          </w:p>
          <w:p w14:paraId="1D4C6AC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5.投标人应在投标截止时间之前，登录新点电子交易平台【滁州专区】上传投标文件。投标人逾期上传投标文件的，电子系统不予受理。</w:t>
            </w:r>
          </w:p>
          <w:p w14:paraId="1331DF2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6.投标人的联系人电话(手机)、电子邮箱等通讯方式在开标过程中必须保持畅通，否则因上述原因造成的后果，责任自负。</w:t>
            </w:r>
          </w:p>
          <w:p w14:paraId="2B997B8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7.本项目采用电子招投标方式，请投标人在“新点电子交易平台”常用下载专区下载“新点电子交易平台专用投标文件制作软件”，仔细阅读招标文件要求和相关操作手册，以免影响投标文件编制，因投标人未及时关注相关信息对投标造成的不利后果由其自行承担。投标软件制作工具下载：https://download.bqpoint.com/download/downloaddetail.html?SourceFrom=Ztb&amp;ZtbSoftXiaQuCode=0128&amp;ZtbSoftType=tballinclusive。</w:t>
            </w:r>
          </w:p>
          <w:p w14:paraId="64919C0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default"/>
                <w:highlight w:val="none"/>
                <w:lang w:val="en-US" w:eastAsia="zh-CN"/>
              </w:rPr>
            </w:pPr>
            <w:r>
              <w:rPr>
                <w:rFonts w:hint="eastAsia" w:ascii="宋体" w:hAnsi="宋体" w:eastAsia="宋体" w:cs="宋体"/>
                <w:kern w:val="0"/>
                <w:sz w:val="21"/>
                <w:szCs w:val="21"/>
                <w:highlight w:val="none"/>
                <w:lang w:val="en-US" w:eastAsia="zh-CN" w:bidi="ar-SA"/>
              </w:rPr>
              <w:t>8.本项目开评标实行全流程电子化，在线完成开评标活动。开标时投标人无需到达开标现场，不接受现场解密，实行远程解密和在线询标。各投标人认真学习《新点电子交易平台投标人操作手册》，务必掌握远程解密方法和在线回复询标方法。</w:t>
            </w:r>
          </w:p>
        </w:tc>
      </w:tr>
    </w:tbl>
    <w:p w14:paraId="735D540F">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6585086A">
      <w:pPr>
        <w:pStyle w:val="3"/>
        <w:spacing w:beforeLines="50" w:afterLines="50"/>
        <w:ind w:firstLine="482" w:firstLineChars="200"/>
        <w:rPr>
          <w:rFonts w:ascii="宋体" w:hAnsi="宋体" w:eastAsia="宋体" w:cs="宋体"/>
          <w:sz w:val="24"/>
          <w:szCs w:val="24"/>
          <w:highlight w:val="none"/>
        </w:rPr>
      </w:pPr>
      <w:r>
        <w:rPr>
          <w:rFonts w:hint="eastAsia" w:ascii="宋体" w:hAnsi="宋体" w:eastAsia="宋体" w:cs="宋体"/>
          <w:sz w:val="24"/>
          <w:szCs w:val="24"/>
          <w:highlight w:val="none"/>
        </w:rPr>
        <w:t>1. 总则</w:t>
      </w:r>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2AE7C8E8">
      <w:pPr>
        <w:pStyle w:val="3"/>
        <w:ind w:firstLine="422" w:firstLineChars="200"/>
        <w:rPr>
          <w:rFonts w:ascii="宋体" w:hAnsi="宋体" w:eastAsia="宋体" w:cs="宋体"/>
          <w:kern w:val="44"/>
          <w:highlight w:val="none"/>
        </w:rPr>
      </w:pPr>
      <w:bookmarkStart w:id="56" w:name="_Toc35424888"/>
      <w:bookmarkStart w:id="57" w:name="_Toc35425054"/>
      <w:bookmarkStart w:id="58" w:name="_Toc152042306"/>
      <w:bookmarkStart w:id="59" w:name="_Toc152045530"/>
      <w:bookmarkStart w:id="60" w:name="_Toc246996176"/>
      <w:bookmarkStart w:id="61" w:name="_Toc506107270"/>
      <w:bookmarkStart w:id="62" w:name="_Toc296602421"/>
      <w:bookmarkStart w:id="63" w:name="_Toc324404816"/>
      <w:bookmarkStart w:id="64" w:name="_Toc78803323"/>
      <w:bookmarkStart w:id="65" w:name="_Toc144974498"/>
      <w:bookmarkStart w:id="66" w:name="_Toc15058847"/>
      <w:bookmarkStart w:id="67" w:name="_Toc246996919"/>
      <w:bookmarkStart w:id="68" w:name="_Toc247085690"/>
      <w:bookmarkStart w:id="69" w:name="_Toc4678"/>
      <w:bookmarkStart w:id="70" w:name="_Toc179632547"/>
      <w:r>
        <w:rPr>
          <w:rFonts w:hint="eastAsia" w:ascii="宋体" w:hAnsi="宋体" w:eastAsia="宋体" w:cs="宋体"/>
          <w:kern w:val="44"/>
          <w:highlight w:val="none"/>
        </w:rPr>
        <w:t>1.1 项目概况</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07780BC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1.1.1根据《中华人民共和国招标投标法》《中华人民共和国招标投标法实施条例》等有关法律、法规和规章的规定，本招标项目已具备招标条件，现对本项目进行招标。</w:t>
      </w:r>
    </w:p>
    <w:p w14:paraId="5AB354A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1.1.2 本招标项目招标人：见投标人须知前附表。</w:t>
      </w:r>
    </w:p>
    <w:p w14:paraId="7E46A0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1.1.3 本招标项目招标代理机构：见投标人须知前附表。</w:t>
      </w:r>
    </w:p>
    <w:p w14:paraId="77102B8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1.1.4 本招标项目名称：见投标人须知前附表。</w:t>
      </w:r>
    </w:p>
    <w:p w14:paraId="6CBC327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1.1.5 本招标项目建设地点：见投标人须知前附表。</w:t>
      </w:r>
    </w:p>
    <w:p w14:paraId="036B2C8D">
      <w:pPr>
        <w:pStyle w:val="3"/>
        <w:ind w:firstLine="422" w:firstLineChars="200"/>
        <w:rPr>
          <w:rFonts w:ascii="宋体" w:hAnsi="宋体" w:eastAsia="宋体" w:cs="宋体"/>
          <w:highlight w:val="none"/>
        </w:rPr>
      </w:pPr>
      <w:bookmarkStart w:id="71" w:name="_Toc35424889"/>
      <w:bookmarkStart w:id="72" w:name="_Toc152045531"/>
      <w:bookmarkStart w:id="73" w:name="_Toc144974499"/>
      <w:bookmarkStart w:id="74" w:name="_Toc7142"/>
      <w:bookmarkStart w:id="75" w:name="_Toc247085691"/>
      <w:bookmarkStart w:id="76" w:name="_Toc246996920"/>
      <w:bookmarkStart w:id="77" w:name="_Toc246996177"/>
      <w:bookmarkStart w:id="78" w:name="_Toc506107271"/>
      <w:bookmarkStart w:id="79" w:name="_Toc324404817"/>
      <w:bookmarkStart w:id="80" w:name="_Toc35425055"/>
      <w:bookmarkStart w:id="81" w:name="_Toc179632548"/>
      <w:bookmarkStart w:id="82" w:name="_Toc152042307"/>
      <w:bookmarkStart w:id="83" w:name="_Toc296602422"/>
      <w:bookmarkStart w:id="84" w:name="_Toc78803324"/>
      <w:bookmarkStart w:id="85" w:name="_Toc15058848"/>
      <w:r>
        <w:rPr>
          <w:rFonts w:hint="eastAsia" w:ascii="宋体" w:hAnsi="宋体" w:eastAsia="宋体" w:cs="宋体"/>
          <w:highlight w:val="none"/>
        </w:rPr>
        <w:t>1.2 资金来源和落实情况</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662000A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1.2.1 本招标项目的资金来源及出资比例：见投标人须知前附表。</w:t>
      </w:r>
    </w:p>
    <w:p w14:paraId="2086A8C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1.2.2 本招标项目的资金落实情况：见投标人须知前附表。</w:t>
      </w:r>
    </w:p>
    <w:p w14:paraId="77419EB9">
      <w:pPr>
        <w:pStyle w:val="3"/>
        <w:ind w:firstLine="422" w:firstLineChars="200"/>
        <w:rPr>
          <w:rFonts w:ascii="宋体" w:hAnsi="宋体" w:eastAsia="宋体" w:cs="宋体"/>
          <w:highlight w:val="none"/>
        </w:rPr>
      </w:pPr>
      <w:bookmarkStart w:id="86" w:name="_Toc246996921"/>
      <w:bookmarkStart w:id="87" w:name="_Toc78803325"/>
      <w:bookmarkStart w:id="88" w:name="_Toc506107272"/>
      <w:bookmarkStart w:id="89" w:name="_Toc247085692"/>
      <w:bookmarkStart w:id="90" w:name="_Toc152045532"/>
      <w:bookmarkStart w:id="91" w:name="_Toc35424890"/>
      <w:bookmarkStart w:id="92" w:name="_Toc179632549"/>
      <w:bookmarkStart w:id="93" w:name="_Toc6330"/>
      <w:bookmarkStart w:id="94" w:name="_Toc296602423"/>
      <w:bookmarkStart w:id="95" w:name="_Toc324404818"/>
      <w:bookmarkStart w:id="96" w:name="_Toc246996178"/>
      <w:bookmarkStart w:id="97" w:name="_Toc152042308"/>
      <w:bookmarkStart w:id="98" w:name="_Toc35425056"/>
      <w:bookmarkStart w:id="99" w:name="_Toc144974500"/>
      <w:bookmarkStart w:id="100" w:name="_Toc15058849"/>
      <w:r>
        <w:rPr>
          <w:rFonts w:hint="eastAsia" w:ascii="宋体" w:hAnsi="宋体" w:eastAsia="宋体" w:cs="宋体"/>
          <w:highlight w:val="none"/>
        </w:rPr>
        <w:t>1.3 招标范围、服务期限、质量要求</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4E6EC99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1.3.1 本次招标范围：见投标人须知前附表。</w:t>
      </w:r>
    </w:p>
    <w:p w14:paraId="4738494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1.3.2 本招标项目的服务期限：见投标人须知前附表。</w:t>
      </w:r>
    </w:p>
    <w:p w14:paraId="1CB8FAD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1.3.3 本招标项目的质量要求：见投标人须知前附表。</w:t>
      </w:r>
    </w:p>
    <w:p w14:paraId="26E33D0B">
      <w:pPr>
        <w:pStyle w:val="3"/>
        <w:ind w:firstLine="422" w:firstLineChars="200"/>
        <w:rPr>
          <w:rFonts w:ascii="宋体" w:hAnsi="宋体" w:eastAsia="宋体" w:cs="宋体"/>
          <w:highlight w:val="none"/>
        </w:rPr>
      </w:pPr>
      <w:bookmarkStart w:id="101" w:name="_Toc324404819"/>
      <w:bookmarkStart w:id="102" w:name="_Toc35425057"/>
      <w:bookmarkStart w:id="103" w:name="_Toc152045534"/>
      <w:bookmarkStart w:id="104" w:name="_Toc246996922"/>
      <w:bookmarkStart w:id="105" w:name="_Toc35424891"/>
      <w:bookmarkStart w:id="106" w:name="_Toc506107273"/>
      <w:bookmarkStart w:id="107" w:name="_Toc246996179"/>
      <w:bookmarkStart w:id="108" w:name="_Toc78803326"/>
      <w:bookmarkStart w:id="109" w:name="_Toc179632551"/>
      <w:bookmarkStart w:id="110" w:name="_Toc152042310"/>
      <w:bookmarkStart w:id="111" w:name="_Toc296602424"/>
      <w:bookmarkStart w:id="112" w:name="_Toc144974502"/>
      <w:bookmarkStart w:id="113" w:name="_Toc247085693"/>
      <w:bookmarkStart w:id="114" w:name="_Toc26897"/>
      <w:bookmarkStart w:id="115" w:name="_Toc15058850"/>
      <w:r>
        <w:rPr>
          <w:rFonts w:hint="eastAsia" w:ascii="宋体" w:hAnsi="宋体" w:eastAsia="宋体" w:cs="宋体"/>
          <w:highlight w:val="none"/>
        </w:rPr>
        <w:t>1.4 投标人资格要求</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473C4A8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1.4.1 投标人应具备承担本项目的资质条件、能力和信誉。</w:t>
      </w:r>
    </w:p>
    <w:p w14:paraId="2635E8E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（1）资质条件：见投标人须知前附表；</w:t>
      </w:r>
    </w:p>
    <w:p w14:paraId="4D8A91F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（2）项目负责人资格：见投标人须知前附表；</w:t>
      </w:r>
    </w:p>
    <w:p w14:paraId="6356665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）其他要求：见投标人须知前附表。</w:t>
      </w:r>
    </w:p>
    <w:p w14:paraId="3FF553E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1.4.2 投标人不得存在下列情形之一：</w:t>
      </w:r>
    </w:p>
    <w:p w14:paraId="07B44522">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（1）为招标人不具有独立法人资格的附属机构（单位）；</w:t>
      </w:r>
    </w:p>
    <w:p w14:paraId="777EC826">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（2）与招标人存在利害关系且可能影响招标公正性；</w:t>
      </w:r>
    </w:p>
    <w:p w14:paraId="300323A5">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（3）与本标段的其他投标人同为一个单位负责人；</w:t>
      </w:r>
    </w:p>
    <w:p w14:paraId="4B6FCCF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（4）与本标段的其他投标人存在控股、管理关系；</w:t>
      </w:r>
    </w:p>
    <w:p w14:paraId="5CF77BBE">
      <w:pPr>
        <w:spacing w:line="440" w:lineRule="exact"/>
        <w:ind w:firstLine="420" w:firstLineChars="200"/>
        <w:jc w:val="left"/>
        <w:rPr>
          <w:rFonts w:hint="eastAsia" w:ascii="宋体" w:hAnsi="宋体" w:cs="宋体"/>
          <w:color w:val="000000"/>
          <w:szCs w:val="21"/>
          <w:highlight w:val="none"/>
        </w:rPr>
      </w:pPr>
      <w:r>
        <w:rPr>
          <w:rFonts w:hint="eastAsia" w:ascii="宋体" w:hAnsi="宋体" w:cs="宋体"/>
          <w:szCs w:val="21"/>
          <w:highlight w:val="none"/>
        </w:rPr>
        <w:t>（5）为本标段前期准备提供设计或咨询服务的法人或其任何附属机构（单位）</w:t>
      </w:r>
      <w:r>
        <w:rPr>
          <w:rFonts w:hint="eastAsia" w:ascii="宋体" w:hAnsi="宋体" w:cs="宋体"/>
          <w:color w:val="000000"/>
          <w:szCs w:val="21"/>
          <w:highlight w:val="none"/>
        </w:rPr>
        <w:t>；</w:t>
      </w:r>
    </w:p>
    <w:p w14:paraId="60E2443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（6）为本标段的监理人；</w:t>
      </w:r>
    </w:p>
    <w:p w14:paraId="4EF9AAF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（7）为本标段的代建人；</w:t>
      </w:r>
    </w:p>
    <w:p w14:paraId="561E8C4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（8）为本标段的招标代理机构；</w:t>
      </w:r>
    </w:p>
    <w:p w14:paraId="354920B1">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（9）与本标段的监理人或代建人或招标代理机构同为一个法定代表人；</w:t>
      </w:r>
    </w:p>
    <w:p w14:paraId="02E8960D">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（10）与本标段的监理人或代建人或招标代理机构存在控股或参股关系；</w:t>
      </w:r>
    </w:p>
    <w:p w14:paraId="5D13A36D">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（11）法律法规或投标人须知前附表规定的其他情形。</w:t>
      </w:r>
    </w:p>
    <w:p w14:paraId="0147B1F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1.4.3 单位负责人为同一人或者存在控股、管理关系的不同单位，不得同时参加本招标项目投标。</w:t>
      </w:r>
    </w:p>
    <w:p w14:paraId="4D283291">
      <w:pPr>
        <w:pStyle w:val="3"/>
        <w:ind w:firstLine="422" w:firstLineChars="200"/>
        <w:rPr>
          <w:rFonts w:ascii="宋体" w:hAnsi="宋体" w:eastAsia="宋体" w:cs="宋体"/>
          <w:highlight w:val="none"/>
        </w:rPr>
      </w:pPr>
      <w:bookmarkStart w:id="116" w:name="_Toc324404820"/>
      <w:bookmarkStart w:id="117" w:name="_Toc152045535"/>
      <w:bookmarkStart w:id="118" w:name="_Toc15058851"/>
      <w:bookmarkStart w:id="119" w:name="_Toc247085694"/>
      <w:bookmarkStart w:id="120" w:name="_Toc246996180"/>
      <w:bookmarkStart w:id="121" w:name="_Toc78803327"/>
      <w:bookmarkStart w:id="122" w:name="_Toc179632552"/>
      <w:bookmarkStart w:id="123" w:name="_Toc506107274"/>
      <w:bookmarkStart w:id="124" w:name="_Toc246996923"/>
      <w:bookmarkStart w:id="125" w:name="_Toc144974503"/>
      <w:bookmarkStart w:id="126" w:name="_Toc296602425"/>
      <w:bookmarkStart w:id="127" w:name="_Toc35425058"/>
      <w:bookmarkStart w:id="128" w:name="_Toc10179"/>
      <w:bookmarkStart w:id="129" w:name="_Toc152042311"/>
      <w:bookmarkStart w:id="130" w:name="_Toc35424892"/>
      <w:r>
        <w:rPr>
          <w:rFonts w:hint="eastAsia" w:ascii="宋体" w:hAnsi="宋体" w:eastAsia="宋体" w:cs="宋体"/>
          <w:highlight w:val="none"/>
        </w:rPr>
        <w:t>1.5 费用承担</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2CDB29E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投标人准备和参加投标活动发生的费用自理。</w:t>
      </w:r>
    </w:p>
    <w:p w14:paraId="6B9E8D17">
      <w:pPr>
        <w:pStyle w:val="3"/>
        <w:ind w:firstLine="422" w:firstLineChars="200"/>
        <w:rPr>
          <w:rFonts w:ascii="宋体" w:hAnsi="宋体" w:eastAsia="宋体" w:cs="宋体"/>
          <w:highlight w:val="none"/>
        </w:rPr>
      </w:pPr>
      <w:bookmarkStart w:id="131" w:name="_Toc246996181"/>
      <w:bookmarkStart w:id="132" w:name="_Toc78803328"/>
      <w:bookmarkStart w:id="133" w:name="_Toc506107275"/>
      <w:bookmarkStart w:id="134" w:name="_Toc152042312"/>
      <w:bookmarkStart w:id="135" w:name="_Toc35424893"/>
      <w:bookmarkStart w:id="136" w:name="_Toc35425059"/>
      <w:bookmarkStart w:id="137" w:name="_Toc152045536"/>
      <w:bookmarkStart w:id="138" w:name="_Toc324404821"/>
      <w:bookmarkStart w:id="139" w:name="_Toc144974504"/>
      <w:bookmarkStart w:id="140" w:name="_Toc247085695"/>
      <w:bookmarkStart w:id="141" w:name="_Toc4092"/>
      <w:bookmarkStart w:id="142" w:name="_Toc246996924"/>
      <w:bookmarkStart w:id="143" w:name="_Toc179632553"/>
      <w:bookmarkStart w:id="144" w:name="_Toc296602426"/>
      <w:bookmarkStart w:id="145" w:name="_Toc15058852"/>
      <w:r>
        <w:rPr>
          <w:rFonts w:hint="eastAsia" w:ascii="宋体" w:hAnsi="宋体" w:eastAsia="宋体" w:cs="宋体"/>
          <w:highlight w:val="none"/>
        </w:rPr>
        <w:t>1.6 保密</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709F25B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 xml:space="preserve">参与招标投标活动的各方应对招标文件和投标文件中的商业和技术等秘密保密，违者应对由此造成的后果承担法律责任。 </w:t>
      </w:r>
    </w:p>
    <w:p w14:paraId="17C94B32">
      <w:pPr>
        <w:pStyle w:val="3"/>
        <w:ind w:firstLine="422" w:firstLineChars="200"/>
        <w:rPr>
          <w:rFonts w:ascii="宋体" w:hAnsi="宋体" w:eastAsia="宋体" w:cs="宋体"/>
          <w:highlight w:val="none"/>
        </w:rPr>
      </w:pPr>
      <w:bookmarkStart w:id="146" w:name="_Toc144974505"/>
      <w:bookmarkStart w:id="147" w:name="_Toc4119"/>
      <w:bookmarkStart w:id="148" w:name="_Toc246996925"/>
      <w:bookmarkStart w:id="149" w:name="_Toc35424894"/>
      <w:bookmarkStart w:id="150" w:name="_Toc247085696"/>
      <w:bookmarkStart w:id="151" w:name="_Toc35425060"/>
      <w:bookmarkStart w:id="152" w:name="_Toc179632554"/>
      <w:bookmarkStart w:id="153" w:name="_Toc15058853"/>
      <w:bookmarkStart w:id="154" w:name="_Toc296602427"/>
      <w:bookmarkStart w:id="155" w:name="_Toc152042313"/>
      <w:bookmarkStart w:id="156" w:name="_Toc78803329"/>
      <w:bookmarkStart w:id="157" w:name="_Toc506107276"/>
      <w:bookmarkStart w:id="158" w:name="_Toc152045537"/>
      <w:bookmarkStart w:id="159" w:name="_Toc324404822"/>
      <w:bookmarkStart w:id="160" w:name="_Toc246996182"/>
      <w:r>
        <w:rPr>
          <w:rFonts w:hint="eastAsia" w:ascii="宋体" w:hAnsi="宋体" w:eastAsia="宋体" w:cs="宋体"/>
          <w:highlight w:val="none"/>
        </w:rPr>
        <w:t>1.7 语言</w:t>
      </w:r>
      <w:bookmarkEnd w:id="146"/>
      <w:r>
        <w:rPr>
          <w:rFonts w:hint="eastAsia" w:ascii="宋体" w:hAnsi="宋体" w:eastAsia="宋体" w:cs="宋体"/>
          <w:highlight w:val="none"/>
        </w:rPr>
        <w:t>文字</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13039B6C">
      <w:pPr>
        <w:spacing w:line="440" w:lineRule="exact"/>
        <w:ind w:firstLine="420" w:firstLineChars="200"/>
        <w:jc w:val="left"/>
        <w:rPr>
          <w:rFonts w:ascii="宋体" w:hAnsi="宋体" w:cs="宋体"/>
          <w:szCs w:val="21"/>
          <w:highlight w:val="none"/>
        </w:rPr>
      </w:pPr>
      <w:bookmarkStart w:id="161" w:name="_Toc246996926"/>
      <w:bookmarkStart w:id="162" w:name="_Toc247085697"/>
      <w:bookmarkStart w:id="163" w:name="_Toc144974506"/>
      <w:bookmarkStart w:id="164" w:name="_Toc152042314"/>
      <w:bookmarkStart w:id="165" w:name="_Toc246996183"/>
      <w:bookmarkStart w:id="166" w:name="_Toc152045538"/>
      <w:bookmarkStart w:id="167" w:name="_Toc179632555"/>
      <w:r>
        <w:rPr>
          <w:rFonts w:hint="eastAsia" w:ascii="宋体" w:hAnsi="宋体" w:cs="宋体"/>
          <w:szCs w:val="21"/>
          <w:highlight w:val="none"/>
        </w:rPr>
        <w:t>招标投标文件使用的语言文字为中文。专用术语使用外文的，应附有中文注释。</w:t>
      </w:r>
    </w:p>
    <w:p w14:paraId="07887133">
      <w:pPr>
        <w:pStyle w:val="3"/>
        <w:ind w:firstLine="422" w:firstLineChars="200"/>
        <w:rPr>
          <w:rFonts w:ascii="宋体" w:hAnsi="宋体" w:eastAsia="宋体" w:cs="宋体"/>
          <w:highlight w:val="none"/>
        </w:rPr>
      </w:pPr>
      <w:bookmarkStart w:id="168" w:name="_Toc13408"/>
      <w:bookmarkStart w:id="169" w:name="_Toc78803330"/>
      <w:bookmarkStart w:id="170" w:name="_Toc506107277"/>
      <w:bookmarkStart w:id="171" w:name="_Toc35424895"/>
      <w:bookmarkStart w:id="172" w:name="_Toc15058854"/>
      <w:bookmarkStart w:id="173" w:name="_Toc35425061"/>
      <w:bookmarkStart w:id="174" w:name="_Toc324404823"/>
      <w:bookmarkStart w:id="175" w:name="_Toc296602428"/>
      <w:r>
        <w:rPr>
          <w:rFonts w:hint="eastAsia" w:ascii="宋体" w:hAnsi="宋体" w:eastAsia="宋体" w:cs="宋体"/>
          <w:highlight w:val="none"/>
        </w:rPr>
        <w:t>1.8 计量单位</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3DEA88E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所有计量均采用中华人民共和国法定计量单位。</w:t>
      </w:r>
    </w:p>
    <w:p w14:paraId="6E75FA73">
      <w:pPr>
        <w:pStyle w:val="3"/>
        <w:ind w:firstLine="422" w:firstLineChars="200"/>
        <w:rPr>
          <w:rFonts w:ascii="宋体" w:hAnsi="宋体" w:eastAsia="宋体" w:cs="宋体"/>
          <w:highlight w:val="none"/>
        </w:rPr>
      </w:pPr>
      <w:bookmarkStart w:id="176" w:name="_Toc35424896"/>
      <w:bookmarkStart w:id="177" w:name="_Toc324404824"/>
      <w:bookmarkStart w:id="178" w:name="_Toc152042315"/>
      <w:bookmarkStart w:id="179" w:name="_Toc144974507"/>
      <w:bookmarkStart w:id="180" w:name="_Toc78803331"/>
      <w:bookmarkStart w:id="181" w:name="_Toc296602429"/>
      <w:bookmarkStart w:id="182" w:name="_Toc15058855"/>
      <w:bookmarkStart w:id="183" w:name="_Toc247592876"/>
      <w:bookmarkStart w:id="184" w:name="_Toc247513962"/>
      <w:bookmarkStart w:id="185" w:name="_Toc11493"/>
      <w:bookmarkStart w:id="186" w:name="_Toc247527563"/>
      <w:bookmarkStart w:id="187" w:name="_Toc152045539"/>
      <w:bookmarkStart w:id="188" w:name="_Toc35425062"/>
      <w:bookmarkStart w:id="189" w:name="_Toc506107278"/>
      <w:r>
        <w:rPr>
          <w:rFonts w:hint="eastAsia" w:ascii="宋体" w:hAnsi="宋体" w:eastAsia="宋体" w:cs="宋体"/>
          <w:highlight w:val="none"/>
        </w:rPr>
        <w:t>1.9 踏勘现场</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52A71B3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 xml:space="preserve">1.9.1 投标人须知前附表规定组织踏勘现场的，招标人按投标人须知前附表规定的时间、地点组织投标人踏勘项目现场。 </w:t>
      </w:r>
    </w:p>
    <w:p w14:paraId="7CA0E90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1.9.2 投标人踏勘现场发生的费用自理。</w:t>
      </w:r>
    </w:p>
    <w:p w14:paraId="1274652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1.9.3 除招标人的原因外，投标人自行负责在踏勘现场中所发生的人员伤亡和财产损失。</w:t>
      </w:r>
    </w:p>
    <w:p w14:paraId="79BF0E5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1.9.4 招标人在踏勘现场中介绍的工程场地和相关的周边环境情况，供投标人在编制投标文件时参考，招标人不对投标人据此作出的判断和决策负责。</w:t>
      </w:r>
    </w:p>
    <w:p w14:paraId="179FDA06">
      <w:pPr>
        <w:pStyle w:val="3"/>
        <w:ind w:firstLine="422" w:firstLineChars="200"/>
        <w:rPr>
          <w:rFonts w:ascii="宋体" w:hAnsi="宋体" w:eastAsia="宋体" w:cs="宋体"/>
          <w:highlight w:val="none"/>
        </w:rPr>
      </w:pPr>
      <w:bookmarkStart w:id="190" w:name="_Toc247527564"/>
      <w:bookmarkStart w:id="191" w:name="_Toc506107279"/>
      <w:bookmarkStart w:id="192" w:name="_Toc144974508"/>
      <w:bookmarkStart w:id="193" w:name="_Toc324404825"/>
      <w:bookmarkStart w:id="194" w:name="_Toc247513963"/>
      <w:bookmarkStart w:id="195" w:name="_Toc35424897"/>
      <w:bookmarkStart w:id="196" w:name="_Toc296602430"/>
      <w:bookmarkStart w:id="197" w:name="_Toc247592877"/>
      <w:bookmarkStart w:id="198" w:name="_Toc78803332"/>
      <w:bookmarkStart w:id="199" w:name="_Toc152042316"/>
      <w:bookmarkStart w:id="200" w:name="_Toc22954"/>
      <w:bookmarkStart w:id="201" w:name="_Toc15058856"/>
      <w:bookmarkStart w:id="202" w:name="_Toc35425063"/>
      <w:bookmarkStart w:id="203" w:name="_Toc152045540"/>
      <w:r>
        <w:rPr>
          <w:rFonts w:hint="eastAsia" w:ascii="宋体" w:hAnsi="宋体" w:eastAsia="宋体" w:cs="宋体"/>
          <w:highlight w:val="none"/>
        </w:rPr>
        <w:t>1.10 投标预备会</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58EE1D1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1.10.1投标人须知前附表规定召开投标预备会的，招标人按投标人须知前附表规定的时间和地点召开投标预备会，澄清投标人提出的问题。</w:t>
      </w:r>
    </w:p>
    <w:p w14:paraId="5D6BD2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1.10.2投标人应在投标人须知前附表规定的时间前，将提出的问题送达招标人，以便招标人澄清。</w:t>
      </w:r>
    </w:p>
    <w:p w14:paraId="5AA3AE0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1.10.3招标人在投标人须知前附表规定的时间，将对投标人所提的问题进行澄清。该澄清内容为招标文件的组成部分。</w:t>
      </w:r>
    </w:p>
    <w:p w14:paraId="01FA1CA0">
      <w:pPr>
        <w:pStyle w:val="3"/>
        <w:ind w:firstLine="422" w:firstLineChars="200"/>
        <w:rPr>
          <w:rFonts w:ascii="宋体" w:hAnsi="宋体" w:eastAsia="宋体" w:cs="宋体"/>
          <w:highlight w:val="none"/>
        </w:rPr>
      </w:pPr>
      <w:bookmarkStart w:id="204" w:name="_Toc15058857"/>
      <w:bookmarkStart w:id="205" w:name="_Toc78803333"/>
      <w:bookmarkStart w:id="206" w:name="_Toc506107280"/>
      <w:bookmarkStart w:id="207" w:name="_Toc35425064"/>
      <w:bookmarkStart w:id="208" w:name="_Toc35424898"/>
      <w:bookmarkStart w:id="209" w:name="_Toc296602431"/>
      <w:bookmarkStart w:id="210" w:name="_Toc32016"/>
      <w:bookmarkStart w:id="211" w:name="_Toc324404826"/>
      <w:r>
        <w:rPr>
          <w:rFonts w:hint="eastAsia" w:ascii="宋体" w:hAnsi="宋体" w:eastAsia="宋体" w:cs="宋体"/>
          <w:highlight w:val="none"/>
        </w:rPr>
        <w:t>1.11 偏离</w:t>
      </w:r>
      <w:bookmarkEnd w:id="204"/>
      <w:bookmarkEnd w:id="205"/>
      <w:bookmarkEnd w:id="206"/>
      <w:bookmarkEnd w:id="207"/>
      <w:bookmarkEnd w:id="208"/>
      <w:bookmarkEnd w:id="209"/>
      <w:bookmarkEnd w:id="210"/>
      <w:bookmarkEnd w:id="211"/>
    </w:p>
    <w:p w14:paraId="7B46C04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投标人须知前附表允许投标文件偏离招标文件某些要求的，偏离应当符合招标文件规定的偏离范围和幅度。</w:t>
      </w:r>
    </w:p>
    <w:p w14:paraId="258F395D">
      <w:pPr>
        <w:pStyle w:val="3"/>
        <w:spacing w:beforeLines="50" w:afterLines="50"/>
        <w:ind w:firstLine="482" w:firstLineChars="200"/>
        <w:rPr>
          <w:rFonts w:ascii="宋体" w:hAnsi="宋体" w:eastAsia="宋体" w:cs="宋体"/>
          <w:sz w:val="24"/>
          <w:szCs w:val="24"/>
          <w:highlight w:val="none"/>
        </w:rPr>
      </w:pPr>
      <w:bookmarkStart w:id="212" w:name="_Toc246996187"/>
      <w:bookmarkStart w:id="213" w:name="_Toc506107281"/>
      <w:bookmarkStart w:id="214" w:name="_Toc152042318"/>
      <w:bookmarkStart w:id="215" w:name="_Toc4012"/>
      <w:bookmarkStart w:id="216" w:name="_Toc35425065"/>
      <w:bookmarkStart w:id="217" w:name="_Toc247085701"/>
      <w:bookmarkStart w:id="218" w:name="_Toc179632560"/>
      <w:bookmarkStart w:id="219" w:name="_Toc246996930"/>
      <w:bookmarkStart w:id="220" w:name="_Toc152045542"/>
      <w:bookmarkStart w:id="221" w:name="_Toc78803334"/>
      <w:bookmarkStart w:id="222" w:name="_Toc15058858"/>
      <w:bookmarkStart w:id="223" w:name="_Toc324404827"/>
      <w:bookmarkStart w:id="224" w:name="_Toc144974510"/>
      <w:bookmarkStart w:id="225" w:name="_Toc35424899"/>
      <w:r>
        <w:rPr>
          <w:rFonts w:hint="eastAsia" w:ascii="宋体" w:hAnsi="宋体" w:eastAsia="宋体" w:cs="宋体"/>
          <w:sz w:val="24"/>
          <w:szCs w:val="24"/>
          <w:highlight w:val="none"/>
        </w:rPr>
        <w:t>2. 招标文件</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1E9A892E">
      <w:pPr>
        <w:pStyle w:val="3"/>
        <w:ind w:firstLine="422" w:firstLineChars="200"/>
        <w:rPr>
          <w:rFonts w:ascii="宋体" w:hAnsi="宋体" w:eastAsia="宋体" w:cs="宋体"/>
          <w:highlight w:val="none"/>
        </w:rPr>
      </w:pPr>
      <w:bookmarkStart w:id="226" w:name="_Toc296602433"/>
      <w:bookmarkStart w:id="227" w:name="_Toc246996188"/>
      <w:bookmarkStart w:id="228" w:name="_Toc246996931"/>
      <w:bookmarkStart w:id="229" w:name="_Toc144974511"/>
      <w:bookmarkStart w:id="230" w:name="_Toc152045543"/>
      <w:bookmarkStart w:id="231" w:name="_Toc13213"/>
      <w:bookmarkStart w:id="232" w:name="_Toc506107282"/>
      <w:bookmarkStart w:id="233" w:name="_Toc15058859"/>
      <w:bookmarkStart w:id="234" w:name="_Toc324404828"/>
      <w:bookmarkStart w:id="235" w:name="_Toc35425066"/>
      <w:bookmarkStart w:id="236" w:name="_Toc152042319"/>
      <w:bookmarkStart w:id="237" w:name="_Toc35424900"/>
      <w:bookmarkStart w:id="238" w:name="_Toc78803335"/>
      <w:bookmarkStart w:id="239" w:name="_Toc247085702"/>
      <w:bookmarkStart w:id="240" w:name="_Toc179632561"/>
      <w:r>
        <w:rPr>
          <w:rFonts w:hint="eastAsia" w:ascii="宋体" w:hAnsi="宋体" w:eastAsia="宋体" w:cs="宋体"/>
          <w:highlight w:val="none"/>
        </w:rPr>
        <w:t>2.1 招标文件的组成</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2F335EA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2.1.1 本招标文件包括：</w:t>
      </w:r>
    </w:p>
    <w:p w14:paraId="17A2542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（1）招标公告；</w:t>
      </w:r>
    </w:p>
    <w:p w14:paraId="309C973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（2）投标人须知；</w:t>
      </w:r>
    </w:p>
    <w:p w14:paraId="794E1BC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（3）资格审查办法</w:t>
      </w:r>
    </w:p>
    <w:p w14:paraId="0F96BD3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（4）评标办法；</w:t>
      </w:r>
    </w:p>
    <w:p w14:paraId="70CE5832">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（5）合同条款及格式；</w:t>
      </w:r>
    </w:p>
    <w:p w14:paraId="609086E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w:t>
      </w:r>
      <w:r>
        <w:rPr>
          <w:rFonts w:hint="eastAsia" w:ascii="宋体" w:hAnsi="宋体" w:eastAsia="宋体" w:cs="宋体"/>
          <w:szCs w:val="21"/>
          <w:highlight w:val="none"/>
          <w:lang w:val="en-US" w:eastAsia="zh-CN"/>
        </w:rPr>
        <w:t>技术标准和要求</w:t>
      </w:r>
    </w:p>
    <w:p w14:paraId="3AB46C6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rPr>
        <w:t>）投标文件格式；</w:t>
      </w:r>
    </w:p>
    <w:p w14:paraId="58EF797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8</w:t>
      </w:r>
      <w:r>
        <w:rPr>
          <w:rFonts w:hint="eastAsia" w:ascii="宋体" w:hAnsi="宋体" w:cs="宋体"/>
          <w:szCs w:val="21"/>
          <w:highlight w:val="none"/>
        </w:rPr>
        <w:t>）投标人须知前附表规定的其他材料。</w:t>
      </w:r>
    </w:p>
    <w:p w14:paraId="4A2A592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2.1.2 根据本章第1.10款、第2.2款和第2.3款对招标文件所作的澄清、修改，构成招标文件的组成部分。</w:t>
      </w:r>
    </w:p>
    <w:p w14:paraId="3B513EA0">
      <w:pPr>
        <w:pStyle w:val="3"/>
        <w:ind w:firstLine="422" w:firstLineChars="200"/>
        <w:rPr>
          <w:rFonts w:ascii="宋体" w:hAnsi="宋体" w:eastAsia="宋体" w:cs="宋体"/>
          <w:highlight w:val="none"/>
        </w:rPr>
      </w:pPr>
      <w:bookmarkStart w:id="241" w:name="_Toc246996932"/>
      <w:bookmarkStart w:id="242" w:name="_Toc152042320"/>
      <w:bookmarkStart w:id="243" w:name="_Toc296602434"/>
      <w:bookmarkStart w:id="244" w:name="_Toc32239"/>
      <w:bookmarkStart w:id="245" w:name="_Toc35425067"/>
      <w:bookmarkStart w:id="246" w:name="_Toc179632562"/>
      <w:bookmarkStart w:id="247" w:name="_Toc144974512"/>
      <w:bookmarkStart w:id="248" w:name="_Toc15058860"/>
      <w:bookmarkStart w:id="249" w:name="_Toc246996189"/>
      <w:bookmarkStart w:id="250" w:name="_Toc506107283"/>
      <w:bookmarkStart w:id="251" w:name="_Toc35424901"/>
      <w:bookmarkStart w:id="252" w:name="_Toc247085703"/>
      <w:bookmarkStart w:id="253" w:name="_Toc78803336"/>
      <w:bookmarkStart w:id="254" w:name="_Toc324404829"/>
      <w:bookmarkStart w:id="255" w:name="_Toc152045544"/>
      <w:r>
        <w:rPr>
          <w:rFonts w:hint="eastAsia" w:ascii="宋体" w:hAnsi="宋体" w:eastAsia="宋体" w:cs="宋体"/>
          <w:highlight w:val="none"/>
        </w:rPr>
        <w:t>2.2 招标文件的澄清</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47165EF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2.2.1 投标人应仔细阅读和检查招标文件的全部内容。如有疑问，应在投标人须知前附表规定的时间前</w:t>
      </w:r>
      <w:r>
        <w:rPr>
          <w:rFonts w:hint="eastAsia" w:ascii="宋体" w:hAnsi="宋体" w:eastAsia="宋体" w:cs="宋体"/>
          <w:color w:val="auto"/>
          <w:szCs w:val="21"/>
          <w:highlight w:val="none"/>
          <w:lang w:val="en-US" w:eastAsia="zh-CN"/>
        </w:rPr>
        <w:t>登录新点电子交易平台【滁州专区】线上提出，</w:t>
      </w:r>
      <w:r>
        <w:rPr>
          <w:rFonts w:hint="eastAsia" w:ascii="宋体" w:hAnsi="宋体" w:cs="宋体"/>
          <w:szCs w:val="21"/>
          <w:highlight w:val="none"/>
        </w:rPr>
        <w:t>要求招标人对招标文件予以澄清。</w:t>
      </w:r>
    </w:p>
    <w:p w14:paraId="387EA73C">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ascii="宋体" w:hAnsi="宋体" w:cs="宋体"/>
          <w:szCs w:val="21"/>
          <w:highlight w:val="none"/>
        </w:rPr>
      </w:pPr>
      <w:r>
        <w:rPr>
          <w:rFonts w:hint="eastAsia" w:ascii="宋体" w:hAnsi="宋体" w:cs="宋体"/>
          <w:szCs w:val="21"/>
          <w:highlight w:val="none"/>
        </w:rPr>
        <w:t>2.2.2 招标文件的澄清将在</w:t>
      </w:r>
      <w:r>
        <w:rPr>
          <w:rFonts w:hint="eastAsia" w:ascii="宋体" w:hAnsi="宋体" w:eastAsia="宋体" w:cs="宋体"/>
          <w:color w:val="auto"/>
          <w:kern w:val="0"/>
          <w:szCs w:val="21"/>
          <w:highlight w:val="none"/>
          <w:lang w:val="en-US" w:eastAsia="zh-CN"/>
        </w:rPr>
        <w:t>滁州市城投工程咨询管理有限公司网站</w:t>
      </w:r>
      <w:r>
        <w:rPr>
          <w:rFonts w:hint="eastAsia" w:ascii="宋体" w:hAnsi="宋体" w:eastAsia="宋体" w:cs="宋体"/>
          <w:color w:val="auto"/>
          <w:kern w:val="0"/>
          <w:szCs w:val="21"/>
          <w:highlight w:val="none"/>
        </w:rPr>
        <w:t>（https://www.czctgczx.com/）</w:t>
      </w:r>
      <w:r>
        <w:rPr>
          <w:rFonts w:hint="eastAsia" w:ascii="宋体" w:hAnsi="宋体" w:cs="宋体"/>
          <w:szCs w:val="21"/>
          <w:highlight w:val="none"/>
        </w:rPr>
        <w:t xml:space="preserve">发布，但不指明澄清问题的来源。如果澄清发出的时间距投标人须知前附表规定的投标截止时间不足15天，并且澄清内容影响投标文件编制的，将相应延长投标截止时间。 </w:t>
      </w:r>
    </w:p>
    <w:p w14:paraId="5EC8A5BB">
      <w:pPr>
        <w:pStyle w:val="3"/>
        <w:ind w:firstLine="422" w:firstLineChars="200"/>
        <w:rPr>
          <w:rFonts w:ascii="宋体" w:hAnsi="宋体" w:eastAsia="宋体" w:cs="宋体"/>
          <w:highlight w:val="none"/>
        </w:rPr>
      </w:pPr>
      <w:bookmarkStart w:id="256" w:name="_Toc246996933"/>
      <w:bookmarkStart w:id="257" w:name="_Toc296602435"/>
      <w:bookmarkStart w:id="258" w:name="_Toc246996190"/>
      <w:bookmarkStart w:id="259" w:name="_Toc179632563"/>
      <w:bookmarkStart w:id="260" w:name="_Toc144974513"/>
      <w:bookmarkStart w:id="261" w:name="_Toc506107284"/>
      <w:bookmarkStart w:id="262" w:name="_Toc35424902"/>
      <w:bookmarkStart w:id="263" w:name="_Toc35425068"/>
      <w:bookmarkStart w:id="264" w:name="_Toc152045545"/>
      <w:bookmarkStart w:id="265" w:name="_Toc152042321"/>
      <w:bookmarkStart w:id="266" w:name="_Toc78803337"/>
      <w:bookmarkStart w:id="267" w:name="_Toc247085704"/>
      <w:bookmarkStart w:id="268" w:name="_Toc24633"/>
      <w:bookmarkStart w:id="269" w:name="_Toc324404830"/>
      <w:bookmarkStart w:id="270" w:name="_Toc15058861"/>
      <w:r>
        <w:rPr>
          <w:rFonts w:hint="eastAsia" w:ascii="宋体" w:hAnsi="宋体" w:eastAsia="宋体" w:cs="宋体"/>
          <w:highlight w:val="none"/>
        </w:rPr>
        <w:t>2.3 招标文件的修改</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52844B2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2.3.1招标人可以修改招标文件，并以澄清的方式在</w:t>
      </w:r>
      <w:r>
        <w:rPr>
          <w:rFonts w:hint="eastAsia" w:ascii="宋体" w:hAnsi="宋体" w:eastAsia="宋体" w:cs="宋体"/>
          <w:color w:val="auto"/>
          <w:kern w:val="0"/>
          <w:szCs w:val="21"/>
          <w:highlight w:val="none"/>
          <w:lang w:val="en-US" w:eastAsia="zh-CN"/>
        </w:rPr>
        <w:t>滁州市城投工程咨询管理有限公司网站</w:t>
      </w:r>
      <w:r>
        <w:rPr>
          <w:rFonts w:hint="eastAsia" w:ascii="宋体" w:hAnsi="宋体" w:eastAsia="宋体" w:cs="宋体"/>
          <w:color w:val="auto"/>
          <w:kern w:val="0"/>
          <w:szCs w:val="21"/>
          <w:highlight w:val="none"/>
        </w:rPr>
        <w:t>（https://www.czctgczx.com/）</w:t>
      </w:r>
      <w:r>
        <w:rPr>
          <w:rFonts w:hint="eastAsia" w:ascii="宋体" w:hAnsi="宋体" w:cs="宋体"/>
          <w:szCs w:val="21"/>
          <w:highlight w:val="none"/>
        </w:rPr>
        <w:t>发布。但如果修改内容影响投标文件编制的，将相应延长投标截止时间。</w:t>
      </w:r>
    </w:p>
    <w:p w14:paraId="0E2ED339">
      <w:pPr>
        <w:pStyle w:val="3"/>
        <w:ind w:firstLine="422" w:firstLineChars="200"/>
        <w:rPr>
          <w:rFonts w:ascii="宋体" w:hAnsi="宋体" w:eastAsia="宋体" w:cs="宋体"/>
          <w:highlight w:val="none"/>
        </w:rPr>
      </w:pPr>
      <w:bookmarkStart w:id="271" w:name="_Toc324404831"/>
      <w:bookmarkStart w:id="272" w:name="_Toc35424903"/>
      <w:bookmarkStart w:id="273" w:name="_Toc2696"/>
      <w:bookmarkStart w:id="274" w:name="_Toc15058862"/>
      <w:bookmarkStart w:id="275" w:name="_Toc78803338"/>
      <w:bookmarkStart w:id="276" w:name="_Toc35425069"/>
      <w:r>
        <w:rPr>
          <w:rFonts w:hint="eastAsia" w:ascii="宋体" w:hAnsi="宋体" w:eastAsia="宋体" w:cs="宋体"/>
          <w:highlight w:val="none"/>
        </w:rPr>
        <w:t>2.4</w:t>
      </w:r>
      <w:bookmarkEnd w:id="271"/>
      <w:r>
        <w:rPr>
          <w:rFonts w:hint="eastAsia" w:ascii="宋体" w:hAnsi="宋体" w:eastAsia="宋体" w:cs="宋体"/>
          <w:highlight w:val="none"/>
        </w:rPr>
        <w:t>最高限价</w:t>
      </w:r>
      <w:bookmarkEnd w:id="272"/>
      <w:bookmarkEnd w:id="273"/>
      <w:bookmarkEnd w:id="274"/>
      <w:bookmarkEnd w:id="275"/>
      <w:bookmarkEnd w:id="276"/>
    </w:p>
    <w:p w14:paraId="5D85920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2.4.1最高限价的作用和说明</w:t>
      </w:r>
    </w:p>
    <w:p w14:paraId="0696B91C">
      <w:pPr>
        <w:spacing w:line="440" w:lineRule="exact"/>
        <w:ind w:firstLine="420" w:firstLineChars="200"/>
        <w:jc w:val="left"/>
        <w:rPr>
          <w:rFonts w:ascii="宋体" w:hAnsi="宋体" w:cs="宋体"/>
          <w:highlight w:val="none"/>
        </w:rPr>
      </w:pPr>
      <w:bookmarkStart w:id="277" w:name="_Toc152042322"/>
      <w:bookmarkStart w:id="278" w:name="_Toc78803339"/>
      <w:bookmarkStart w:id="279" w:name="_Toc179632564"/>
      <w:bookmarkStart w:id="280" w:name="_Toc506107285"/>
      <w:bookmarkStart w:id="281" w:name="_Toc35425070"/>
      <w:bookmarkStart w:id="282" w:name="_Toc144974514"/>
      <w:bookmarkStart w:id="283" w:name="_Toc15058863"/>
      <w:bookmarkStart w:id="284" w:name="_Toc247085705"/>
      <w:bookmarkStart w:id="285" w:name="_Toc246996191"/>
      <w:bookmarkStart w:id="286" w:name="_Toc152045546"/>
      <w:bookmarkStart w:id="287" w:name="_Toc324404832"/>
      <w:bookmarkStart w:id="288" w:name="_Toc6464"/>
      <w:bookmarkStart w:id="289" w:name="_Toc246996934"/>
      <w:bookmarkStart w:id="290" w:name="_Toc35424904"/>
      <w:r>
        <w:rPr>
          <w:rFonts w:hint="eastAsia" w:ascii="宋体" w:hAnsi="宋体" w:cs="宋体"/>
          <w:szCs w:val="21"/>
          <w:highlight w:val="none"/>
        </w:rPr>
        <w:t>（1）</w:t>
      </w:r>
      <w:r>
        <w:rPr>
          <w:rFonts w:hint="eastAsia" w:ascii="宋体" w:hAnsi="宋体" w:cs="宋体"/>
          <w:highlight w:val="none"/>
        </w:rPr>
        <w:t>投标人的投标报价不得</w:t>
      </w:r>
      <w:r>
        <w:rPr>
          <w:rFonts w:hint="eastAsia" w:ascii="宋体" w:hAnsi="宋体" w:cs="宋体"/>
          <w:highlight w:val="none"/>
          <w:lang w:val="en-US" w:eastAsia="zh-CN"/>
        </w:rPr>
        <w:t>高于</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的发布时间及方式在投标人须知前附表中载明。</w:t>
      </w:r>
    </w:p>
    <w:p w14:paraId="2E0586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（2）投标人对最高限价（费率）有异议的，可在</w:t>
      </w:r>
      <w:r>
        <w:rPr>
          <w:rFonts w:hint="eastAsia" w:ascii="宋体" w:hAnsi="宋体" w:cs="宋体"/>
          <w:highlight w:val="none"/>
        </w:rPr>
        <w:t>投标人须知前附表规定的时间内向招标人提出异议，</w:t>
      </w:r>
      <w:r>
        <w:rPr>
          <w:rFonts w:hint="eastAsia" w:ascii="宋体" w:hAnsi="宋体" w:cs="宋体"/>
          <w:szCs w:val="21"/>
          <w:highlight w:val="none"/>
        </w:rPr>
        <w:t>未在规定时间内提出异议的或投标人提出异议经招标人复核后的最高限价（费率），视为合理有效。</w:t>
      </w:r>
    </w:p>
    <w:p w14:paraId="5681C7DF">
      <w:pPr>
        <w:pStyle w:val="3"/>
        <w:spacing w:beforeLines="50" w:afterLines="50"/>
        <w:ind w:firstLine="482"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 投标文件</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218225A2">
      <w:pPr>
        <w:pStyle w:val="3"/>
        <w:ind w:firstLine="422" w:firstLineChars="200"/>
        <w:rPr>
          <w:rFonts w:ascii="宋体" w:hAnsi="宋体" w:eastAsia="宋体" w:cs="宋体"/>
          <w:highlight w:val="none"/>
        </w:rPr>
      </w:pPr>
      <w:bookmarkStart w:id="291" w:name="_Toc179632565"/>
      <w:bookmarkStart w:id="292" w:name="_Toc152042323"/>
      <w:bookmarkStart w:id="293" w:name="_Toc157"/>
      <w:bookmarkStart w:id="294" w:name="_Toc144974515"/>
      <w:bookmarkStart w:id="295" w:name="_Toc15058864"/>
      <w:bookmarkStart w:id="296" w:name="_Toc35425071"/>
      <w:bookmarkStart w:id="297" w:name="_Toc152045547"/>
      <w:bookmarkStart w:id="298" w:name="_Toc246996935"/>
      <w:bookmarkStart w:id="299" w:name="_Toc247085706"/>
      <w:bookmarkStart w:id="300" w:name="_Toc506107286"/>
      <w:bookmarkStart w:id="301" w:name="_Toc296602437"/>
      <w:bookmarkStart w:id="302" w:name="_Toc35424905"/>
      <w:bookmarkStart w:id="303" w:name="_Toc246996192"/>
      <w:bookmarkStart w:id="304" w:name="_Toc78803340"/>
      <w:bookmarkStart w:id="305" w:name="_Toc324404833"/>
      <w:r>
        <w:rPr>
          <w:rFonts w:hint="eastAsia" w:ascii="宋体" w:hAnsi="宋体" w:eastAsia="宋体" w:cs="宋体"/>
          <w:highlight w:val="none"/>
        </w:rPr>
        <w:t>3.1 投标文件的组成</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6871D10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eastAsia="zh-CN"/>
        </w:rPr>
        <w:t>投标文件</w:t>
      </w:r>
      <w:r>
        <w:rPr>
          <w:rFonts w:hint="eastAsia" w:ascii="宋体" w:hAnsi="宋体" w:cs="宋体"/>
          <w:szCs w:val="21"/>
          <w:highlight w:val="none"/>
        </w:rPr>
        <w:t>由</w:t>
      </w:r>
      <w:r>
        <w:rPr>
          <w:rFonts w:hint="eastAsia" w:ascii="宋体" w:hAnsi="宋体" w:cs="宋体"/>
          <w:szCs w:val="21"/>
          <w:highlight w:val="none"/>
          <w:lang w:eastAsia="zh-CN"/>
        </w:rPr>
        <w:t>投标文件</w:t>
      </w:r>
      <w:r>
        <w:rPr>
          <w:rFonts w:hint="eastAsia" w:ascii="宋体" w:hAnsi="宋体" w:cs="宋体"/>
          <w:szCs w:val="21"/>
          <w:highlight w:val="none"/>
        </w:rPr>
        <w:t>一（资信证明文件）、</w:t>
      </w:r>
      <w:r>
        <w:rPr>
          <w:rFonts w:hint="eastAsia" w:ascii="宋体" w:hAnsi="宋体" w:cs="宋体"/>
          <w:szCs w:val="21"/>
          <w:highlight w:val="none"/>
          <w:lang w:eastAsia="zh-CN"/>
        </w:rPr>
        <w:t>投标文件</w:t>
      </w:r>
      <w:r>
        <w:rPr>
          <w:rFonts w:hint="eastAsia" w:ascii="宋体" w:hAnsi="宋体" w:cs="宋体"/>
          <w:szCs w:val="21"/>
          <w:highlight w:val="none"/>
        </w:rPr>
        <w:t>二（技术标）和</w:t>
      </w:r>
      <w:r>
        <w:rPr>
          <w:rFonts w:hint="eastAsia" w:ascii="宋体" w:hAnsi="宋体" w:cs="宋体"/>
          <w:szCs w:val="21"/>
          <w:highlight w:val="none"/>
          <w:lang w:eastAsia="zh-CN"/>
        </w:rPr>
        <w:t>投标文件</w:t>
      </w:r>
      <w:r>
        <w:rPr>
          <w:rFonts w:hint="eastAsia" w:ascii="宋体" w:hAnsi="宋体" w:cs="宋体"/>
          <w:szCs w:val="21"/>
          <w:highlight w:val="none"/>
        </w:rPr>
        <w:t>三（商务标）三部分组成</w:t>
      </w:r>
      <w:r>
        <w:rPr>
          <w:rFonts w:hint="eastAsia" w:ascii="宋体" w:hAnsi="宋体" w:cs="宋体"/>
          <w:szCs w:val="21"/>
          <w:highlight w:val="none"/>
          <w:lang w:eastAsia="zh-CN"/>
        </w:rPr>
        <w:t>。</w:t>
      </w:r>
      <w:r>
        <w:rPr>
          <w:rFonts w:hint="eastAsia" w:ascii="宋体" w:hAnsi="宋体" w:cs="宋体"/>
          <w:szCs w:val="21"/>
          <w:highlight w:val="none"/>
        </w:rPr>
        <w:t>具体要求详见本招标文件第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w:t>
      </w:r>
    </w:p>
    <w:p w14:paraId="68B92645">
      <w:pPr>
        <w:pStyle w:val="3"/>
        <w:ind w:firstLine="422" w:firstLineChars="200"/>
        <w:rPr>
          <w:rFonts w:ascii="宋体" w:hAnsi="宋体" w:eastAsia="宋体" w:cs="宋体"/>
          <w:highlight w:val="none"/>
        </w:rPr>
      </w:pPr>
      <w:bookmarkStart w:id="306" w:name="_Toc247085707"/>
      <w:bookmarkStart w:id="307" w:name="_Toc179632566"/>
      <w:bookmarkStart w:id="308" w:name="_Toc15058865"/>
      <w:bookmarkStart w:id="309" w:name="_Toc246996936"/>
      <w:bookmarkStart w:id="310" w:name="_Toc35424906"/>
      <w:bookmarkStart w:id="311" w:name="_Toc144974516"/>
      <w:bookmarkStart w:id="312" w:name="_Toc152045548"/>
      <w:bookmarkStart w:id="313" w:name="_Toc35425072"/>
      <w:bookmarkStart w:id="314" w:name="_Toc246996193"/>
      <w:bookmarkStart w:id="315" w:name="_Toc152042324"/>
      <w:bookmarkStart w:id="316" w:name="_Toc78803341"/>
      <w:bookmarkStart w:id="317" w:name="_Toc296602438"/>
      <w:bookmarkStart w:id="318" w:name="_Toc324404834"/>
      <w:bookmarkStart w:id="319" w:name="_Toc6829"/>
      <w:bookmarkStart w:id="320" w:name="_Toc506107287"/>
      <w:r>
        <w:rPr>
          <w:rFonts w:hint="eastAsia" w:ascii="宋体" w:hAnsi="宋体" w:eastAsia="宋体" w:cs="宋体"/>
          <w:highlight w:val="none"/>
        </w:rPr>
        <w:t>3.2 投标报价</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07D53DC4">
      <w:pPr>
        <w:spacing w:line="440" w:lineRule="exact"/>
        <w:ind w:firstLine="420" w:firstLineChars="200"/>
        <w:jc w:val="left"/>
        <w:rPr>
          <w:rFonts w:ascii="宋体" w:hAnsi="宋体" w:cs="宋体"/>
          <w:highlight w:val="none"/>
        </w:rPr>
      </w:pPr>
      <w:bookmarkStart w:id="321" w:name="_Toc152045549"/>
      <w:bookmarkStart w:id="322" w:name="_Toc179632567"/>
      <w:bookmarkStart w:id="323" w:name="_Toc35425073"/>
      <w:bookmarkStart w:id="324" w:name="_Toc15058866"/>
      <w:bookmarkStart w:id="325" w:name="_Toc35424907"/>
      <w:bookmarkStart w:id="326" w:name="_Toc506107288"/>
      <w:bookmarkStart w:id="327" w:name="_Toc296602439"/>
      <w:bookmarkStart w:id="328" w:name="_Toc152042325"/>
      <w:bookmarkStart w:id="329" w:name="_Toc324404835"/>
      <w:bookmarkStart w:id="330" w:name="_Toc246996937"/>
      <w:bookmarkStart w:id="331" w:name="_Toc246996194"/>
      <w:bookmarkStart w:id="332" w:name="_Toc78803342"/>
      <w:bookmarkStart w:id="333" w:name="_Toc144974517"/>
      <w:bookmarkStart w:id="334" w:name="_Toc247085708"/>
      <w:bookmarkStart w:id="335" w:name="_Toc31735"/>
      <w:r>
        <w:rPr>
          <w:rFonts w:hint="eastAsia" w:ascii="宋体" w:hAnsi="宋体" w:cs="宋体"/>
          <w:highlight w:val="none"/>
        </w:rPr>
        <w:t>3.2.1 投标人的投标报价不得</w:t>
      </w:r>
      <w:r>
        <w:rPr>
          <w:rFonts w:hint="eastAsia" w:ascii="宋体" w:hAnsi="宋体" w:cs="宋体"/>
          <w:highlight w:val="none"/>
          <w:lang w:val="en-US" w:eastAsia="zh-CN"/>
        </w:rPr>
        <w:t>高于</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的发布时间及方式在投标人须知前附表中载明。</w:t>
      </w:r>
    </w:p>
    <w:p w14:paraId="5DE05706">
      <w:pPr>
        <w:spacing w:line="440" w:lineRule="exact"/>
        <w:ind w:firstLine="420" w:firstLineChars="200"/>
        <w:jc w:val="left"/>
        <w:rPr>
          <w:rFonts w:ascii="宋体" w:hAnsi="宋体" w:cs="宋体"/>
          <w:highlight w:val="none"/>
        </w:rPr>
      </w:pPr>
      <w:r>
        <w:rPr>
          <w:rFonts w:hint="eastAsia" w:ascii="宋体" w:hAnsi="宋体" w:cs="宋体"/>
          <w:highlight w:val="none"/>
        </w:rPr>
        <w:t>3.2.2投标报价应由法定代表人或被授权人签署。</w:t>
      </w:r>
    </w:p>
    <w:p w14:paraId="248C4ACA">
      <w:pPr>
        <w:spacing w:line="440" w:lineRule="exact"/>
        <w:ind w:left="15" w:leftChars="7" w:firstLine="420" w:firstLineChars="200"/>
        <w:jc w:val="left"/>
        <w:rPr>
          <w:rFonts w:ascii="宋体" w:hAnsi="宋体" w:cs="宋体"/>
          <w:highlight w:val="none"/>
        </w:rPr>
      </w:pPr>
      <w:r>
        <w:rPr>
          <w:rFonts w:hint="eastAsia" w:ascii="宋体" w:hAnsi="宋体" w:cs="宋体"/>
          <w:highlight w:val="none"/>
        </w:rPr>
        <w:t>3.2.3投标人的投标报价应为项目招标范围内监理单位所提供的全部服务工作内容所需的全部费用，包含所有成本、利润和税金等全部费用。</w:t>
      </w:r>
    </w:p>
    <w:p w14:paraId="466F5F2C">
      <w:pPr>
        <w:spacing w:line="440" w:lineRule="exact"/>
        <w:ind w:firstLine="420" w:firstLineChars="200"/>
        <w:jc w:val="left"/>
        <w:rPr>
          <w:rFonts w:ascii="宋体" w:hAnsi="宋体" w:cs="宋体"/>
          <w:highlight w:val="none"/>
        </w:rPr>
      </w:pPr>
      <w:r>
        <w:rPr>
          <w:rFonts w:hint="eastAsia" w:ascii="宋体" w:hAnsi="宋体" w:cs="宋体"/>
          <w:highlight w:val="none"/>
        </w:rPr>
        <w:t>3.2.4不论任何原因导致的工期延长，招标人均不再补偿监理费用。</w:t>
      </w:r>
    </w:p>
    <w:p w14:paraId="454C15E1">
      <w:pPr>
        <w:pStyle w:val="3"/>
        <w:ind w:firstLine="422" w:firstLineChars="200"/>
        <w:rPr>
          <w:rFonts w:ascii="宋体" w:hAnsi="宋体" w:eastAsia="宋体" w:cs="宋体"/>
          <w:highlight w:val="none"/>
        </w:rPr>
      </w:pPr>
      <w:r>
        <w:rPr>
          <w:rFonts w:hint="eastAsia" w:ascii="宋体" w:hAnsi="宋体" w:eastAsia="宋体" w:cs="宋体"/>
          <w:highlight w:val="none"/>
        </w:rPr>
        <w:t>3.3 投标有效期</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38E346F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3.3.1 除投标人须知前附表另有规定外，投标有效期为90天。</w:t>
      </w:r>
    </w:p>
    <w:p w14:paraId="19262D1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3.3.2在投标有效期内，投标人撤销或修改其投标文件的，应承担招标文件和法律规定的责任。</w:t>
      </w:r>
    </w:p>
    <w:p w14:paraId="10530AB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780A1DA0">
      <w:pPr>
        <w:pStyle w:val="3"/>
        <w:ind w:firstLine="422" w:firstLineChars="200"/>
        <w:rPr>
          <w:rFonts w:hint="eastAsia" w:ascii="宋体" w:hAnsi="宋体" w:eastAsia="宋体" w:cs="宋体"/>
          <w:highlight w:val="none"/>
        </w:rPr>
      </w:pPr>
      <w:bookmarkStart w:id="336" w:name="_Toc144974518"/>
      <w:bookmarkStart w:id="337" w:name="_Toc246996938"/>
      <w:bookmarkStart w:id="338" w:name="_Toc35424908"/>
      <w:bookmarkStart w:id="339" w:name="_Toc10714"/>
      <w:bookmarkStart w:id="340" w:name="_Toc324404836"/>
      <w:bookmarkStart w:id="341" w:name="_Toc78803343"/>
      <w:bookmarkStart w:id="342" w:name="_Toc152045550"/>
      <w:bookmarkStart w:id="343" w:name="_Toc506107289"/>
      <w:bookmarkStart w:id="344" w:name="_Toc246996195"/>
      <w:bookmarkStart w:id="345" w:name="_Toc35425074"/>
      <w:bookmarkStart w:id="346" w:name="_Toc179632568"/>
      <w:bookmarkStart w:id="347" w:name="_Toc152042326"/>
      <w:bookmarkStart w:id="348" w:name="_Toc247085709"/>
      <w:bookmarkStart w:id="349" w:name="_Toc296602440"/>
      <w:bookmarkStart w:id="350" w:name="_Toc15058867"/>
      <w:r>
        <w:rPr>
          <w:rFonts w:hint="eastAsia" w:ascii="宋体" w:hAnsi="宋体" w:eastAsia="宋体" w:cs="宋体"/>
          <w:highlight w:val="none"/>
        </w:rPr>
        <w:t>3.4 投标保证金</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63EACC6B">
      <w:pPr>
        <w:spacing w:line="440" w:lineRule="exact"/>
        <w:ind w:firstLine="420" w:firstLineChars="200"/>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3.4.1本项目不收取投标保证金。</w:t>
      </w:r>
    </w:p>
    <w:p w14:paraId="31A74824">
      <w:pPr>
        <w:pStyle w:val="3"/>
        <w:ind w:firstLine="422" w:firstLineChars="200"/>
        <w:rPr>
          <w:rFonts w:ascii="宋体" w:hAnsi="宋体" w:eastAsia="宋体" w:cs="宋体"/>
          <w:highlight w:val="none"/>
        </w:rPr>
      </w:pPr>
      <w:bookmarkStart w:id="351" w:name="_Toc324404837"/>
      <w:bookmarkStart w:id="352" w:name="_Toc296602442"/>
      <w:bookmarkStart w:id="353" w:name="_Toc35425075"/>
      <w:bookmarkStart w:id="354" w:name="_Toc15058868"/>
      <w:bookmarkStart w:id="355" w:name="_Toc506107290"/>
      <w:bookmarkStart w:id="356" w:name="_Toc19037"/>
      <w:bookmarkStart w:id="357" w:name="_Toc78803344"/>
      <w:bookmarkStart w:id="358" w:name="_Toc35424909"/>
      <w:bookmarkStart w:id="359" w:name="_Toc246996940"/>
      <w:bookmarkStart w:id="360" w:name="_Toc152042329"/>
      <w:bookmarkStart w:id="361" w:name="_Toc152045553"/>
      <w:bookmarkStart w:id="362" w:name="_Toc179632571"/>
      <w:bookmarkStart w:id="363" w:name="_Toc144974521"/>
      <w:bookmarkStart w:id="364" w:name="_Toc247085711"/>
      <w:bookmarkStart w:id="365" w:name="_Toc246996197"/>
      <w:r>
        <w:rPr>
          <w:rFonts w:hint="eastAsia" w:ascii="宋体" w:hAnsi="宋体" w:eastAsia="宋体" w:cs="宋体"/>
          <w:highlight w:val="none"/>
        </w:rPr>
        <w:t>3.5投标文件的编制</w:t>
      </w:r>
      <w:bookmarkEnd w:id="351"/>
      <w:bookmarkEnd w:id="352"/>
      <w:bookmarkEnd w:id="353"/>
      <w:bookmarkEnd w:id="354"/>
      <w:bookmarkEnd w:id="355"/>
      <w:bookmarkEnd w:id="356"/>
      <w:bookmarkEnd w:id="357"/>
      <w:bookmarkEnd w:id="358"/>
    </w:p>
    <w:p w14:paraId="243A59D4">
      <w:pPr>
        <w:spacing w:line="460" w:lineRule="exact"/>
        <w:ind w:firstLine="420" w:firstLineChars="200"/>
        <w:rPr>
          <w:rFonts w:ascii="宋体" w:hAnsi="宋体" w:cs="宋体"/>
          <w:szCs w:val="21"/>
          <w:highlight w:val="none"/>
        </w:rPr>
      </w:pPr>
      <w:r>
        <w:rPr>
          <w:rFonts w:hint="eastAsia" w:ascii="宋体" w:hAnsi="宋体" w:cs="宋体"/>
          <w:szCs w:val="21"/>
          <w:highlight w:val="none"/>
        </w:rPr>
        <w:t>3.5.1</w:t>
      </w:r>
      <w:r>
        <w:rPr>
          <w:rFonts w:hint="eastAsia" w:ascii="宋体" w:hAnsi="宋体" w:cs="宋体"/>
          <w:szCs w:val="21"/>
          <w:highlight w:val="none"/>
          <w:lang w:val="en-US" w:eastAsia="zh-CN"/>
        </w:rPr>
        <w:t>投标文件</w:t>
      </w:r>
      <w:r>
        <w:rPr>
          <w:rFonts w:hint="eastAsia" w:ascii="宋体" w:hAnsi="宋体" w:cs="宋体"/>
          <w:szCs w:val="21"/>
          <w:highlight w:val="none"/>
        </w:rPr>
        <w:t>应按第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章“投标文件格式”进行编写，如有必要，可以增加附页，作为投标文件的组成部分。</w:t>
      </w:r>
    </w:p>
    <w:p w14:paraId="7A6AE0D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w:t>
      </w:r>
      <w:bookmarkEnd w:id="359"/>
      <w:bookmarkEnd w:id="360"/>
      <w:bookmarkEnd w:id="361"/>
      <w:bookmarkEnd w:id="362"/>
      <w:bookmarkEnd w:id="363"/>
      <w:bookmarkEnd w:id="364"/>
      <w:bookmarkEnd w:id="365"/>
      <w:bookmarkStart w:id="366" w:name="_Toc152045555"/>
      <w:bookmarkStart w:id="367" w:name="_Toc247085713"/>
      <w:bookmarkStart w:id="368" w:name="_Toc179632573"/>
      <w:bookmarkStart w:id="369" w:name="_Toc246996199"/>
      <w:bookmarkStart w:id="370" w:name="_Toc324404838"/>
      <w:bookmarkStart w:id="371" w:name="_Toc144974523"/>
      <w:bookmarkStart w:id="372" w:name="_Toc152042331"/>
      <w:bookmarkStart w:id="373" w:name="_Toc246996942"/>
      <w:r>
        <w:rPr>
          <w:rFonts w:hint="eastAsia" w:ascii="宋体" w:hAnsi="宋体" w:cs="宋体"/>
          <w:szCs w:val="21"/>
          <w:highlight w:val="none"/>
        </w:rPr>
        <w:t>.5.2 投标文件应当对招标文件有关工期、投标有效期、质量要求、技术标准和要求、招标范围等实质性内容作出响应。</w:t>
      </w:r>
    </w:p>
    <w:p w14:paraId="4D26172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3.5.3本次投标不需要提供纸质投标文件，投标人应按照</w:t>
      </w:r>
      <w:r>
        <w:rPr>
          <w:rFonts w:hint="eastAsia" w:ascii="宋体" w:hAnsi="宋体" w:cs="宋体"/>
          <w:szCs w:val="21"/>
          <w:highlight w:val="none"/>
          <w:lang w:val="en-US" w:eastAsia="zh-CN"/>
        </w:rPr>
        <w:t>招标公告</w:t>
      </w:r>
      <w:r>
        <w:rPr>
          <w:rFonts w:hint="eastAsia" w:ascii="宋体" w:hAnsi="宋体" w:cs="宋体"/>
          <w:szCs w:val="21"/>
          <w:highlight w:val="none"/>
        </w:rPr>
        <w:t>的要求</w:t>
      </w:r>
      <w:r>
        <w:rPr>
          <w:rFonts w:hint="eastAsia" w:ascii="宋体" w:hAnsi="宋体" w:cs="宋体"/>
          <w:szCs w:val="21"/>
          <w:highlight w:val="none"/>
          <w:lang w:val="en-US" w:eastAsia="zh-CN"/>
        </w:rPr>
        <w:t>上传</w:t>
      </w:r>
      <w:r>
        <w:rPr>
          <w:rFonts w:hint="eastAsia" w:ascii="宋体" w:hAnsi="宋体" w:cs="宋体"/>
          <w:szCs w:val="21"/>
          <w:highlight w:val="none"/>
        </w:rPr>
        <w:t>电子投标文件。</w:t>
      </w:r>
    </w:p>
    <w:p w14:paraId="7240D5C8">
      <w:pPr>
        <w:spacing w:line="440" w:lineRule="exact"/>
        <w:ind w:firstLine="420" w:firstLineChars="200"/>
        <w:jc w:val="left"/>
        <w:rPr>
          <w:highlight w:val="none"/>
        </w:rPr>
      </w:pPr>
      <w:r>
        <w:rPr>
          <w:rFonts w:hint="eastAsia" w:ascii="宋体" w:hAnsi="宋体" w:cs="宋体"/>
          <w:szCs w:val="21"/>
          <w:highlight w:val="none"/>
        </w:rPr>
        <w:t>3.5.</w:t>
      </w:r>
      <w:r>
        <w:rPr>
          <w:rFonts w:hint="eastAsia" w:ascii="宋体" w:hAnsi="宋体" w:cs="宋体"/>
          <w:szCs w:val="21"/>
          <w:highlight w:val="none"/>
          <w:lang w:val="en-US" w:eastAsia="zh-CN"/>
        </w:rPr>
        <w:t>4</w:t>
      </w:r>
      <w:r>
        <w:rPr>
          <w:rFonts w:hint="eastAsia" w:ascii="宋体" w:hAnsi="宋体" w:cs="宋体"/>
          <w:szCs w:val="21"/>
          <w:highlight w:val="none"/>
        </w:rPr>
        <w:t xml:space="preserve"> 投标人中标后须递交与网上电子投标文件完全一致的纸质版投标文件，在领取中标通知书时，一并递交给招标代理机构</w:t>
      </w:r>
      <w:r>
        <w:rPr>
          <w:rFonts w:hint="eastAsia" w:ascii="宋体" w:hAnsi="宋体" w:cs="宋体"/>
          <w:kern w:val="0"/>
          <w:szCs w:val="21"/>
          <w:highlight w:val="none"/>
        </w:rPr>
        <w:t>。</w:t>
      </w:r>
    </w:p>
    <w:p w14:paraId="66C99F80">
      <w:pPr>
        <w:pStyle w:val="3"/>
        <w:spacing w:beforeLines="50" w:afterLines="50"/>
        <w:ind w:firstLine="482" w:firstLineChars="200"/>
        <w:rPr>
          <w:rFonts w:ascii="宋体" w:hAnsi="宋体" w:eastAsia="宋体" w:cs="宋体"/>
          <w:sz w:val="24"/>
          <w:szCs w:val="24"/>
          <w:highlight w:val="none"/>
        </w:rPr>
      </w:pPr>
      <w:bookmarkStart w:id="374" w:name="_Toc15058869"/>
      <w:bookmarkStart w:id="375" w:name="_Toc506107291"/>
      <w:bookmarkStart w:id="376" w:name="_Toc35425076"/>
      <w:bookmarkStart w:id="377" w:name="_Toc78803345"/>
      <w:bookmarkStart w:id="378" w:name="_Toc35424910"/>
      <w:bookmarkStart w:id="379" w:name="_Toc19455"/>
      <w:r>
        <w:rPr>
          <w:rFonts w:hint="eastAsia" w:ascii="宋体" w:hAnsi="宋体" w:eastAsia="宋体" w:cs="宋体"/>
          <w:sz w:val="24"/>
          <w:szCs w:val="24"/>
          <w:highlight w:val="none"/>
        </w:rPr>
        <w:t>4.投标</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459E95E8">
      <w:pPr>
        <w:pStyle w:val="3"/>
        <w:ind w:firstLine="422" w:firstLineChars="200"/>
        <w:rPr>
          <w:rFonts w:hint="default" w:ascii="宋体" w:hAnsi="宋体" w:eastAsia="宋体" w:cs="宋体"/>
          <w:highlight w:val="none"/>
          <w:lang w:val="en-US" w:eastAsia="zh-CN"/>
        </w:rPr>
      </w:pPr>
      <w:bookmarkStart w:id="380" w:name="_Toc35424911"/>
      <w:bookmarkStart w:id="381" w:name="_Toc78803346"/>
      <w:bookmarkStart w:id="382" w:name="_Toc14473"/>
      <w:bookmarkStart w:id="383" w:name="_Toc35425077"/>
      <w:bookmarkStart w:id="384" w:name="_Toc15058870"/>
      <w:r>
        <w:rPr>
          <w:rFonts w:hint="eastAsia" w:ascii="宋体" w:hAnsi="宋体" w:eastAsia="宋体" w:cs="宋体"/>
          <w:highlight w:val="none"/>
        </w:rPr>
        <w:t>4.1投标文件</w:t>
      </w:r>
      <w:bookmarkEnd w:id="380"/>
      <w:bookmarkEnd w:id="381"/>
      <w:bookmarkEnd w:id="382"/>
      <w:bookmarkEnd w:id="383"/>
      <w:bookmarkEnd w:id="384"/>
      <w:r>
        <w:rPr>
          <w:rFonts w:hint="eastAsia" w:ascii="宋体" w:hAnsi="宋体" w:eastAsia="宋体" w:cs="宋体"/>
          <w:highlight w:val="none"/>
          <w:lang w:val="en-US" w:eastAsia="zh-CN"/>
        </w:rPr>
        <w:t>的提交</w:t>
      </w:r>
    </w:p>
    <w:p w14:paraId="12502F5A">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4.1.1</w:t>
      </w: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r>
        <w:rPr>
          <w:rFonts w:hint="eastAsia" w:ascii="宋体" w:hAnsi="宋体" w:eastAsia="宋体" w:cs="宋体"/>
          <w:szCs w:val="21"/>
          <w:highlight w:val="none"/>
          <w:lang w:val="en-US" w:eastAsia="zh-CN"/>
        </w:rPr>
        <w:t>投标人逾期上传投标文件的，电子系统不予受理。</w:t>
      </w:r>
    </w:p>
    <w:p w14:paraId="1697B84E">
      <w:pPr>
        <w:pStyle w:val="3"/>
        <w:ind w:firstLine="422" w:firstLineChars="200"/>
        <w:rPr>
          <w:rFonts w:ascii="宋体" w:hAnsi="宋体" w:eastAsia="宋体" w:cs="宋体"/>
          <w:highlight w:val="none"/>
        </w:rPr>
      </w:pPr>
      <w:bookmarkStart w:id="385" w:name="_Toc246996202"/>
      <w:bookmarkStart w:id="386" w:name="_Toc296602446"/>
      <w:bookmarkStart w:id="387" w:name="_Toc35424914"/>
      <w:bookmarkStart w:id="388" w:name="_Toc19572"/>
      <w:bookmarkStart w:id="389" w:name="_Toc506107294"/>
      <w:bookmarkStart w:id="390" w:name="_Toc152045558"/>
      <w:bookmarkStart w:id="391" w:name="_Toc78803347"/>
      <w:bookmarkStart w:id="392" w:name="_Toc152042334"/>
      <w:bookmarkStart w:id="393" w:name="_Toc144974526"/>
      <w:bookmarkStart w:id="394" w:name="_Toc246996945"/>
      <w:bookmarkStart w:id="395" w:name="_Toc247085716"/>
      <w:bookmarkStart w:id="396" w:name="_Toc179632576"/>
      <w:bookmarkStart w:id="397" w:name="_Toc15058873"/>
      <w:bookmarkStart w:id="398" w:name="_Toc35425080"/>
      <w:bookmarkStart w:id="399" w:name="_Toc324404841"/>
      <w:r>
        <w:rPr>
          <w:rFonts w:hint="eastAsia" w:ascii="宋体" w:hAnsi="宋体" w:eastAsia="宋体" w:cs="宋体"/>
          <w:highlight w:val="none"/>
        </w:rPr>
        <w:t>4.</w:t>
      </w:r>
      <w:r>
        <w:rPr>
          <w:rFonts w:hint="eastAsia" w:ascii="宋体" w:hAnsi="宋体" w:eastAsia="宋体" w:cs="宋体"/>
          <w:highlight w:val="none"/>
          <w:lang w:val="en-US" w:eastAsia="zh-CN"/>
        </w:rPr>
        <w:t>2</w:t>
      </w:r>
      <w:r>
        <w:rPr>
          <w:rFonts w:hint="eastAsia" w:ascii="宋体" w:hAnsi="宋体" w:eastAsia="宋体" w:cs="宋体"/>
          <w:highlight w:val="none"/>
        </w:rPr>
        <w:t xml:space="preserve"> 投标文件的修改与撤回</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311E7AF7">
      <w:pPr>
        <w:spacing w:line="440" w:lineRule="exact"/>
        <w:ind w:firstLine="422" w:firstLineChars="200"/>
        <w:jc w:val="left"/>
        <w:rPr>
          <w:rFonts w:ascii="宋体" w:hAnsi="宋体" w:cs="宋体"/>
          <w:szCs w:val="21"/>
          <w:highlight w:val="none"/>
        </w:rPr>
      </w:pPr>
      <w:r>
        <w:rPr>
          <w:rFonts w:hint="eastAsia" w:ascii="宋体" w:hAnsi="宋体" w:cs="宋体"/>
          <w:b/>
          <w:szCs w:val="21"/>
          <w:highlight w:val="none"/>
        </w:rPr>
        <w:t>4.</w:t>
      </w:r>
      <w:r>
        <w:rPr>
          <w:rFonts w:hint="eastAsia" w:ascii="宋体" w:hAnsi="宋体" w:cs="宋体"/>
          <w:b/>
          <w:szCs w:val="21"/>
          <w:highlight w:val="none"/>
          <w:lang w:val="en-US" w:eastAsia="zh-CN"/>
        </w:rPr>
        <w:t>2</w:t>
      </w:r>
      <w:r>
        <w:rPr>
          <w:rFonts w:hint="eastAsia" w:ascii="宋体" w:hAnsi="宋体" w:cs="宋体"/>
          <w:b/>
          <w:szCs w:val="21"/>
          <w:highlight w:val="none"/>
        </w:rPr>
        <w:t>.1 在规定的投标截止时间前，投标人可以自行从网上招投标系统撤回已递交的投标文件，并可修改后重新上传，开标时以投标截止时间前投标人最终上传的投标文件为准。</w:t>
      </w:r>
    </w:p>
    <w:p w14:paraId="7AF40F87">
      <w:pPr>
        <w:pStyle w:val="3"/>
        <w:spacing w:beforeLines="50" w:afterLines="50"/>
        <w:ind w:firstLine="482" w:firstLineChars="200"/>
        <w:rPr>
          <w:rFonts w:ascii="宋体" w:hAnsi="宋体" w:eastAsia="宋体" w:cs="宋体"/>
          <w:sz w:val="24"/>
          <w:szCs w:val="24"/>
          <w:highlight w:val="none"/>
        </w:rPr>
      </w:pPr>
      <w:bookmarkStart w:id="400" w:name="_Toc152045559"/>
      <w:bookmarkStart w:id="401" w:name="_Toc506107295"/>
      <w:bookmarkStart w:id="402" w:name="_Toc246996946"/>
      <w:bookmarkStart w:id="403" w:name="_Toc247085717"/>
      <w:bookmarkStart w:id="404" w:name="_Toc35424915"/>
      <w:bookmarkStart w:id="405" w:name="_Toc324404842"/>
      <w:bookmarkStart w:id="406" w:name="_Toc144974527"/>
      <w:bookmarkStart w:id="407" w:name="_Toc35425081"/>
      <w:bookmarkStart w:id="408" w:name="_Toc179632577"/>
      <w:bookmarkStart w:id="409" w:name="_Toc29639"/>
      <w:bookmarkStart w:id="410" w:name="_Toc15058874"/>
      <w:bookmarkStart w:id="411" w:name="_Toc78803348"/>
      <w:bookmarkStart w:id="412" w:name="_Toc246996203"/>
      <w:bookmarkStart w:id="413" w:name="_Toc152042335"/>
      <w:r>
        <w:rPr>
          <w:rFonts w:hint="eastAsia" w:ascii="宋体" w:hAnsi="宋体" w:eastAsia="宋体" w:cs="宋体"/>
          <w:sz w:val="24"/>
          <w:szCs w:val="24"/>
          <w:highlight w:val="none"/>
        </w:rPr>
        <w:t>5. 开标</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44DFC292">
      <w:pPr>
        <w:pStyle w:val="3"/>
        <w:ind w:firstLine="422" w:firstLineChars="200"/>
        <w:rPr>
          <w:rFonts w:ascii="宋体" w:hAnsi="宋体" w:eastAsia="宋体" w:cs="宋体"/>
          <w:highlight w:val="none"/>
        </w:rPr>
      </w:pPr>
      <w:bookmarkStart w:id="414" w:name="_Toc296602448"/>
      <w:bookmarkStart w:id="415" w:name="_Toc78803349"/>
      <w:bookmarkStart w:id="416" w:name="_Toc15058875"/>
      <w:bookmarkStart w:id="417" w:name="_Toc247085718"/>
      <w:bookmarkStart w:id="418" w:name="_Toc506107296"/>
      <w:bookmarkStart w:id="419" w:name="_Toc35424916"/>
      <w:bookmarkStart w:id="420" w:name="_Toc246996947"/>
      <w:bookmarkStart w:id="421" w:name="_Toc324404843"/>
      <w:bookmarkStart w:id="422" w:name="_Toc152042336"/>
      <w:bookmarkStart w:id="423" w:name="_Toc152045560"/>
      <w:bookmarkStart w:id="424" w:name="_Toc144974528"/>
      <w:bookmarkStart w:id="425" w:name="_Toc246996204"/>
      <w:bookmarkStart w:id="426" w:name="_Toc35425082"/>
      <w:bookmarkStart w:id="427" w:name="_Toc179632578"/>
      <w:bookmarkStart w:id="428" w:name="_Toc13691"/>
      <w:r>
        <w:rPr>
          <w:rFonts w:hint="eastAsia" w:ascii="宋体" w:hAnsi="宋体" w:eastAsia="宋体" w:cs="宋体"/>
          <w:highlight w:val="none"/>
        </w:rPr>
        <w:t>5.1 开标时间和地点</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1275623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招标人在投标人须知前附表规定的投标截止时间（开标时间）和地点公开开标。</w:t>
      </w:r>
    </w:p>
    <w:p w14:paraId="72027328">
      <w:pPr>
        <w:pStyle w:val="3"/>
        <w:ind w:firstLine="422" w:firstLineChars="200"/>
        <w:rPr>
          <w:rFonts w:ascii="宋体" w:hAnsi="宋体" w:eastAsia="宋体" w:cs="宋体"/>
          <w:highlight w:val="none"/>
        </w:rPr>
      </w:pPr>
      <w:bookmarkStart w:id="429" w:name="_Toc32451"/>
      <w:bookmarkStart w:id="430" w:name="_Toc179632579"/>
      <w:bookmarkStart w:id="431" w:name="_Toc152045561"/>
      <w:bookmarkStart w:id="432" w:name="_Toc78803350"/>
      <w:bookmarkStart w:id="433" w:name="_Toc247085719"/>
      <w:bookmarkStart w:id="434" w:name="_Toc35424917"/>
      <w:bookmarkStart w:id="435" w:name="_Toc246996948"/>
      <w:bookmarkStart w:id="436" w:name="_Toc152042337"/>
      <w:bookmarkStart w:id="437" w:name="_Toc296602449"/>
      <w:bookmarkStart w:id="438" w:name="_Toc35425083"/>
      <w:bookmarkStart w:id="439" w:name="_Toc15058876"/>
      <w:bookmarkStart w:id="440" w:name="_Toc246996205"/>
      <w:bookmarkStart w:id="441" w:name="_Toc324404844"/>
      <w:bookmarkStart w:id="442" w:name="_Toc506107297"/>
      <w:bookmarkStart w:id="443" w:name="_Toc144974529"/>
      <w:r>
        <w:rPr>
          <w:rFonts w:hint="eastAsia" w:ascii="宋体" w:hAnsi="宋体" w:eastAsia="宋体" w:cs="宋体"/>
          <w:highlight w:val="none"/>
        </w:rPr>
        <w:t>5.2 开标程序</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1EC2736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主持人按下列程序进行开标：</w:t>
      </w:r>
      <w:bookmarkStart w:id="444" w:name="_Toc296602450"/>
      <w:bookmarkStart w:id="445" w:name="_Toc324404845"/>
    </w:p>
    <w:p w14:paraId="1544E322">
      <w:pPr>
        <w:spacing w:line="440" w:lineRule="exact"/>
        <w:ind w:firstLine="420" w:firstLineChars="200"/>
        <w:jc w:val="left"/>
        <w:rPr>
          <w:rFonts w:ascii="宋体" w:hAnsi="宋体" w:cs="宋体"/>
          <w:szCs w:val="21"/>
          <w:highlight w:val="none"/>
        </w:rPr>
      </w:pPr>
      <w:bookmarkStart w:id="446" w:name="_Toc15058877"/>
      <w:bookmarkStart w:id="447" w:name="_Toc506107298"/>
      <w:r>
        <w:rPr>
          <w:rFonts w:hint="eastAsia" w:ascii="宋体" w:hAnsi="宋体" w:cs="宋体"/>
          <w:szCs w:val="21"/>
          <w:highlight w:val="none"/>
        </w:rPr>
        <w:t>（1）宣布开标纪律；</w:t>
      </w:r>
      <w:bookmarkEnd w:id="446"/>
    </w:p>
    <w:p w14:paraId="603C63D9">
      <w:pPr>
        <w:spacing w:line="440" w:lineRule="exact"/>
        <w:ind w:firstLine="420" w:firstLineChars="200"/>
        <w:jc w:val="left"/>
        <w:rPr>
          <w:rFonts w:ascii="宋体" w:hAnsi="宋体" w:cs="宋体"/>
          <w:szCs w:val="21"/>
          <w:highlight w:val="none"/>
        </w:rPr>
      </w:pPr>
      <w:bookmarkStart w:id="448" w:name="_Toc15058878"/>
      <w:r>
        <w:rPr>
          <w:rFonts w:hint="eastAsia" w:ascii="宋体" w:hAnsi="宋体" w:cs="宋体"/>
          <w:szCs w:val="21"/>
          <w:highlight w:val="none"/>
        </w:rPr>
        <w:t>（2）宣布招标人、代理机构主持人等有关人员姓名；</w:t>
      </w:r>
      <w:bookmarkEnd w:id="448"/>
    </w:p>
    <w:p w14:paraId="0CE529F8">
      <w:pPr>
        <w:spacing w:line="440" w:lineRule="exact"/>
        <w:ind w:firstLine="420" w:firstLineChars="200"/>
        <w:jc w:val="left"/>
        <w:rPr>
          <w:rFonts w:ascii="宋体" w:hAnsi="宋体" w:cs="宋体"/>
          <w:szCs w:val="21"/>
          <w:highlight w:val="none"/>
        </w:rPr>
      </w:pPr>
      <w:bookmarkStart w:id="449" w:name="_Toc15058881"/>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）公布投标人投标报价、质量目标、工期及其他内容，并记录在案；</w:t>
      </w:r>
      <w:bookmarkEnd w:id="449"/>
    </w:p>
    <w:p w14:paraId="326BF18C">
      <w:pPr>
        <w:spacing w:line="440" w:lineRule="exact"/>
        <w:ind w:firstLine="420" w:firstLineChars="200"/>
        <w:jc w:val="left"/>
        <w:rPr>
          <w:rFonts w:ascii="宋体" w:hAnsi="宋体" w:cs="宋体"/>
          <w:szCs w:val="21"/>
          <w:highlight w:val="none"/>
        </w:rPr>
      </w:pPr>
      <w:bookmarkStart w:id="450" w:name="_Toc15058882"/>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）开标结束。</w:t>
      </w:r>
      <w:bookmarkEnd w:id="450"/>
    </w:p>
    <w:bookmarkEnd w:id="444"/>
    <w:bookmarkEnd w:id="445"/>
    <w:bookmarkEnd w:id="447"/>
    <w:p w14:paraId="0FABB25E">
      <w:pPr>
        <w:pStyle w:val="3"/>
        <w:spacing w:beforeLines="50" w:afterLines="50"/>
        <w:ind w:firstLine="482" w:firstLineChars="200"/>
        <w:rPr>
          <w:rFonts w:ascii="宋体" w:hAnsi="宋体" w:eastAsia="宋体" w:cs="宋体"/>
          <w:sz w:val="24"/>
          <w:szCs w:val="24"/>
          <w:highlight w:val="none"/>
        </w:rPr>
      </w:pPr>
      <w:bookmarkStart w:id="451" w:name="_Toc247085720"/>
      <w:bookmarkStart w:id="452" w:name="_Toc152045562"/>
      <w:bookmarkStart w:id="453" w:name="_Toc78803352"/>
      <w:bookmarkStart w:id="454" w:name="_Toc144974530"/>
      <w:bookmarkStart w:id="455" w:name="_Toc506107299"/>
      <w:bookmarkStart w:id="456" w:name="_Toc35424919"/>
      <w:bookmarkStart w:id="457" w:name="_Toc35425085"/>
      <w:bookmarkStart w:id="458" w:name="_Toc15058884"/>
      <w:bookmarkStart w:id="459" w:name="_Toc152042338"/>
      <w:bookmarkStart w:id="460" w:name="_Toc20689"/>
      <w:bookmarkStart w:id="461" w:name="_Toc246996206"/>
      <w:bookmarkStart w:id="462" w:name="_Toc246996949"/>
      <w:bookmarkStart w:id="463" w:name="_Toc324404846"/>
      <w:bookmarkStart w:id="464" w:name="_Toc179632580"/>
      <w:r>
        <w:rPr>
          <w:rFonts w:hint="eastAsia" w:ascii="宋体" w:hAnsi="宋体" w:eastAsia="宋体" w:cs="宋体"/>
          <w:sz w:val="24"/>
          <w:szCs w:val="24"/>
          <w:highlight w:val="none"/>
        </w:rPr>
        <w:t>6. 评标</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14:paraId="36A3D30E">
      <w:pPr>
        <w:pStyle w:val="3"/>
        <w:ind w:firstLine="422" w:firstLineChars="200"/>
        <w:rPr>
          <w:rFonts w:ascii="宋体" w:hAnsi="宋体" w:eastAsia="宋体" w:cs="宋体"/>
          <w:highlight w:val="none"/>
        </w:rPr>
      </w:pPr>
      <w:bookmarkStart w:id="465" w:name="_Toc144974531"/>
      <w:bookmarkStart w:id="466" w:name="_Toc246996950"/>
      <w:bookmarkStart w:id="467" w:name="_Toc14249"/>
      <w:bookmarkStart w:id="468" w:name="_Toc35425086"/>
      <w:bookmarkStart w:id="469" w:name="_Toc15058885"/>
      <w:bookmarkStart w:id="470" w:name="_Toc324404847"/>
      <w:bookmarkStart w:id="471" w:name="_Toc152045563"/>
      <w:bookmarkStart w:id="472" w:name="_Toc506107300"/>
      <w:bookmarkStart w:id="473" w:name="_Toc246996207"/>
      <w:bookmarkStart w:id="474" w:name="_Toc179632581"/>
      <w:bookmarkStart w:id="475" w:name="_Toc152042339"/>
      <w:bookmarkStart w:id="476" w:name="_Toc78803353"/>
      <w:bookmarkStart w:id="477" w:name="_Toc35424920"/>
      <w:bookmarkStart w:id="478" w:name="_Toc296602452"/>
      <w:bookmarkStart w:id="479" w:name="_Toc247085721"/>
      <w:r>
        <w:rPr>
          <w:rFonts w:hint="eastAsia" w:ascii="宋体" w:hAnsi="宋体" w:eastAsia="宋体" w:cs="宋体"/>
          <w:highlight w:val="none"/>
        </w:rPr>
        <w:t>6.1 评标委员会</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14:paraId="5AC357DE">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6.1.1 评标由招标人依法组建的评标委员会负责。评标委员会由招标人或其委托的招标代理机构熟悉相关业务的代表，以及有关技术、经济等方面的专家组成。</w:t>
      </w:r>
    </w:p>
    <w:p w14:paraId="096A60C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6.1.2 评标委员会成员有下列情形之一的，应当回避：</w:t>
      </w:r>
    </w:p>
    <w:p w14:paraId="38E96C9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（1）投标人或投标人主要负责人的近亲属；</w:t>
      </w:r>
    </w:p>
    <w:p w14:paraId="286925F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（2）项目主管部门或者行政监督部门的人员；</w:t>
      </w:r>
    </w:p>
    <w:p w14:paraId="63829BF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（3）与投标人有经济利益关系；</w:t>
      </w:r>
    </w:p>
    <w:p w14:paraId="67CCA8F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（4）曾因在招标、评标以及其他与招标投标有关活动中从事违法行为而受过行政处罚或刑事处罚的；</w:t>
      </w:r>
    </w:p>
    <w:p w14:paraId="5142437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（5）与投标人有其他利害关系。</w:t>
      </w:r>
    </w:p>
    <w:p w14:paraId="083CC1C2">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41486004">
      <w:pPr>
        <w:keepNext w:val="0"/>
        <w:keepLines w:val="0"/>
        <w:widowControl/>
        <w:suppressLineNumbers w:val="0"/>
        <w:spacing w:before="0" w:beforeAutospacing="0" w:after="0" w:afterAutospacing="0" w:line="440" w:lineRule="exact"/>
        <w:ind w:left="0" w:right="0" w:firstLine="420" w:firstLineChars="200"/>
        <w:jc w:val="both"/>
        <w:rPr>
          <w:rFonts w:hint="eastAsia" w:ascii="宋体" w:hAnsi="宋体" w:eastAsia="宋体" w:cs="宋体"/>
          <w:bCs/>
          <w:highlight w:val="none"/>
          <w:lang w:val="en-US"/>
        </w:rPr>
      </w:pPr>
      <w:r>
        <w:rPr>
          <w:rFonts w:hint="eastAsia" w:ascii="宋体" w:hAnsi="宋体" w:cs="宋体"/>
          <w:szCs w:val="21"/>
          <w:highlight w:val="none"/>
        </w:rPr>
        <w:t>6.1.</w:t>
      </w:r>
      <w:r>
        <w:rPr>
          <w:rFonts w:hint="eastAsia" w:ascii="宋体" w:hAnsi="宋体" w:eastAsia="宋体" w:cs="宋体"/>
          <w:bCs/>
          <w:color w:val="000000"/>
          <w:kern w:val="0"/>
          <w:sz w:val="21"/>
          <w:szCs w:val="21"/>
          <w:highlight w:val="none"/>
          <w:u w:color="000000"/>
          <w:lang w:val="en-US" w:eastAsia="zh-CN" w:bidi="ar"/>
        </w:rPr>
        <w:t>4</w:t>
      </w:r>
      <w:r>
        <w:rPr>
          <w:rFonts w:hint="eastAsia" w:ascii="宋体" w:hAnsi="宋体" w:eastAsia="宋体" w:cs="宋体"/>
          <w:b/>
          <w:bCs/>
          <w:color w:val="000000"/>
          <w:kern w:val="0"/>
          <w:sz w:val="21"/>
          <w:szCs w:val="21"/>
          <w:highlight w:val="none"/>
          <w:u w:color="000000"/>
          <w:lang w:val="en-US" w:eastAsia="zh-CN" w:bidi="ar"/>
        </w:rPr>
        <w:t>招标人授权评标委员会对投标人资格进行审查。</w:t>
      </w:r>
    </w:p>
    <w:p w14:paraId="2C15BB0C">
      <w:pPr>
        <w:pStyle w:val="3"/>
        <w:ind w:firstLine="422" w:firstLineChars="200"/>
        <w:rPr>
          <w:rFonts w:ascii="宋体" w:hAnsi="宋体" w:eastAsia="宋体" w:cs="宋体"/>
          <w:highlight w:val="none"/>
        </w:rPr>
      </w:pPr>
      <w:bookmarkStart w:id="480" w:name="_Toc246996208"/>
      <w:bookmarkStart w:id="481" w:name="_Toc506107301"/>
      <w:bookmarkStart w:id="482" w:name="_Toc246996951"/>
      <w:bookmarkStart w:id="483" w:name="_Toc247085722"/>
      <w:bookmarkStart w:id="484" w:name="_Toc15058886"/>
      <w:bookmarkStart w:id="485" w:name="_Toc144974532"/>
      <w:bookmarkStart w:id="486" w:name="_Toc35424921"/>
      <w:bookmarkStart w:id="487" w:name="_Toc12948"/>
      <w:bookmarkStart w:id="488" w:name="_Toc324404848"/>
      <w:bookmarkStart w:id="489" w:name="_Toc179632582"/>
      <w:bookmarkStart w:id="490" w:name="_Toc152045564"/>
      <w:bookmarkStart w:id="491" w:name="_Toc296602453"/>
      <w:bookmarkStart w:id="492" w:name="_Toc78803354"/>
      <w:bookmarkStart w:id="493" w:name="_Toc152042340"/>
      <w:bookmarkStart w:id="494" w:name="_Toc35425087"/>
      <w:r>
        <w:rPr>
          <w:rFonts w:hint="eastAsia" w:ascii="宋体" w:hAnsi="宋体" w:eastAsia="宋体" w:cs="宋体"/>
          <w:highlight w:val="none"/>
        </w:rPr>
        <w:t>6.2 评标原则</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14:paraId="47DBC71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评标活动遵循公平、公正、科学和择优的原则。</w:t>
      </w:r>
    </w:p>
    <w:p w14:paraId="298BCB48">
      <w:pPr>
        <w:pStyle w:val="3"/>
        <w:ind w:firstLine="422" w:firstLineChars="200"/>
        <w:rPr>
          <w:rFonts w:ascii="宋体" w:hAnsi="宋体" w:eastAsia="宋体" w:cs="宋体"/>
          <w:highlight w:val="none"/>
        </w:rPr>
      </w:pPr>
      <w:bookmarkStart w:id="495" w:name="_Toc296602454"/>
      <w:bookmarkStart w:id="496" w:name="_Toc179632583"/>
      <w:bookmarkStart w:id="497" w:name="_Toc35424922"/>
      <w:bookmarkStart w:id="498" w:name="_Toc247085723"/>
      <w:bookmarkStart w:id="499" w:name="_Toc152042341"/>
      <w:bookmarkStart w:id="500" w:name="_Toc78803355"/>
      <w:bookmarkStart w:id="501" w:name="_Toc14892"/>
      <w:bookmarkStart w:id="502" w:name="_Toc246996952"/>
      <w:bookmarkStart w:id="503" w:name="_Toc35425088"/>
      <w:bookmarkStart w:id="504" w:name="_Toc15058887"/>
      <w:bookmarkStart w:id="505" w:name="_Toc506107302"/>
      <w:bookmarkStart w:id="506" w:name="_Toc144974533"/>
      <w:bookmarkStart w:id="507" w:name="_Toc152045565"/>
      <w:bookmarkStart w:id="508" w:name="_Toc246996209"/>
      <w:bookmarkStart w:id="509" w:name="_Toc324404849"/>
      <w:r>
        <w:rPr>
          <w:rFonts w:hint="eastAsia" w:ascii="宋体" w:hAnsi="宋体" w:eastAsia="宋体" w:cs="宋体"/>
          <w:highlight w:val="none"/>
        </w:rPr>
        <w:t>6.3 评标</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4929DC3A">
      <w:pPr>
        <w:spacing w:line="440" w:lineRule="exact"/>
        <w:ind w:firstLine="420" w:firstLineChars="200"/>
        <w:jc w:val="left"/>
        <w:rPr>
          <w:rFonts w:ascii="宋体" w:hAnsi="宋体" w:cs="宋体"/>
          <w:szCs w:val="21"/>
          <w:highlight w:val="none"/>
        </w:rPr>
      </w:pPr>
      <w:bookmarkStart w:id="510" w:name="_Toc246996953"/>
      <w:bookmarkStart w:id="511" w:name="_Toc152042342"/>
      <w:bookmarkStart w:id="512" w:name="_Toc179632584"/>
      <w:bookmarkStart w:id="513" w:name="_Toc247085724"/>
      <w:bookmarkStart w:id="514" w:name="_Toc246996210"/>
      <w:bookmarkStart w:id="515" w:name="_Toc152045566"/>
      <w:bookmarkStart w:id="516" w:name="_Toc144974534"/>
      <w:bookmarkStart w:id="517" w:name="_Toc324404850"/>
      <w:r>
        <w:rPr>
          <w:rFonts w:hint="eastAsia" w:ascii="宋体" w:hAnsi="宋体" w:cs="宋体"/>
          <w:szCs w:val="21"/>
          <w:highlight w:val="none"/>
        </w:rPr>
        <w:t>6.3.1评标委员会按照第三章“评标办法”规定的方法、评审因素、标准和程序对投标文件进行评审。第三章“评标办法”没有规定的方法、评审因素和标准，不作为评标依据。</w:t>
      </w:r>
    </w:p>
    <w:p w14:paraId="7D4C11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6.3.2评标完成后，评标委员会应向招标人提交书面评标报告和中标候选人名单。评标委员会推荐中标候选人的人数见投标人须知前附表。</w:t>
      </w:r>
    </w:p>
    <w:p w14:paraId="1E17D868">
      <w:pPr>
        <w:pStyle w:val="3"/>
        <w:spacing w:beforeLines="50" w:afterLines="50"/>
        <w:ind w:firstLine="482" w:firstLineChars="200"/>
        <w:rPr>
          <w:rFonts w:ascii="宋体" w:hAnsi="宋体" w:eastAsia="宋体" w:cs="宋体"/>
          <w:sz w:val="24"/>
          <w:szCs w:val="24"/>
          <w:highlight w:val="none"/>
        </w:rPr>
      </w:pPr>
      <w:bookmarkStart w:id="518" w:name="_Toc35425089"/>
      <w:bookmarkStart w:id="519" w:name="_Toc506107303"/>
      <w:bookmarkStart w:id="520" w:name="_Toc15058888"/>
      <w:bookmarkStart w:id="521" w:name="_Toc35424923"/>
      <w:bookmarkStart w:id="522" w:name="_Toc78803356"/>
      <w:bookmarkStart w:id="523" w:name="_Toc26182"/>
      <w:r>
        <w:rPr>
          <w:rFonts w:hint="eastAsia" w:ascii="宋体" w:hAnsi="宋体" w:eastAsia="宋体" w:cs="宋体"/>
          <w:sz w:val="24"/>
          <w:szCs w:val="24"/>
          <w:highlight w:val="none"/>
        </w:rPr>
        <w:t>7. 合同授予</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5F565433">
      <w:pPr>
        <w:pStyle w:val="3"/>
        <w:ind w:firstLine="422" w:firstLineChars="200"/>
        <w:rPr>
          <w:rFonts w:ascii="宋体" w:hAnsi="宋体" w:eastAsia="宋体" w:cs="宋体"/>
          <w:highlight w:val="none"/>
        </w:rPr>
      </w:pPr>
      <w:bookmarkStart w:id="524" w:name="_Toc246996954"/>
      <w:bookmarkStart w:id="525" w:name="_Toc247085725"/>
      <w:bookmarkStart w:id="526" w:name="_Toc246996211"/>
      <w:bookmarkStart w:id="527" w:name="_Toc35425090"/>
      <w:bookmarkStart w:id="528" w:name="_Toc78803357"/>
      <w:bookmarkStart w:id="529" w:name="_Toc179632585"/>
      <w:bookmarkStart w:id="530" w:name="_Toc296602456"/>
      <w:bookmarkStart w:id="531" w:name="_Toc506107304"/>
      <w:bookmarkStart w:id="532" w:name="_Toc324404851"/>
      <w:bookmarkStart w:id="533" w:name="_Toc152042343"/>
      <w:bookmarkStart w:id="534" w:name="_Toc20532"/>
      <w:bookmarkStart w:id="535" w:name="_Toc15058889"/>
      <w:bookmarkStart w:id="536" w:name="_Toc144974535"/>
      <w:bookmarkStart w:id="537" w:name="_Toc35424924"/>
      <w:bookmarkStart w:id="538" w:name="_Toc152045567"/>
      <w:bookmarkStart w:id="539" w:name="_Toc3945"/>
      <w:bookmarkStart w:id="540" w:name="_Toc246996955"/>
      <w:bookmarkStart w:id="541" w:name="_Toc152045568"/>
      <w:bookmarkStart w:id="542" w:name="_Toc152042344"/>
      <w:bookmarkStart w:id="543" w:name="_Toc506107306"/>
      <w:bookmarkStart w:id="544" w:name="_Toc179632586"/>
      <w:bookmarkStart w:id="545" w:name="_Toc14692"/>
      <w:bookmarkStart w:id="546" w:name="_Toc247085726"/>
      <w:bookmarkStart w:id="547" w:name="_Toc246996212"/>
      <w:bookmarkStart w:id="548" w:name="_Toc15058891"/>
      <w:bookmarkStart w:id="549" w:name="_Toc35424927"/>
      <w:bookmarkStart w:id="550" w:name="_Toc324404853"/>
      <w:bookmarkStart w:id="551" w:name="_Toc144974536"/>
      <w:bookmarkStart w:id="552" w:name="_Toc296602458"/>
      <w:bookmarkStart w:id="553" w:name="_Toc35425093"/>
      <w:r>
        <w:rPr>
          <w:rFonts w:hint="eastAsia" w:ascii="宋体" w:hAnsi="宋体" w:eastAsia="宋体" w:cs="宋体"/>
          <w:highlight w:val="none"/>
        </w:rPr>
        <w:t xml:space="preserve">7.1 </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Fonts w:hint="eastAsia" w:ascii="宋体" w:hAnsi="宋体" w:eastAsia="宋体" w:cs="宋体"/>
          <w:highlight w:val="none"/>
        </w:rPr>
        <w:t>中标候选人公示</w:t>
      </w:r>
    </w:p>
    <w:p w14:paraId="54632C5F">
      <w:pPr>
        <w:spacing w:line="440" w:lineRule="exact"/>
        <w:ind w:firstLine="420" w:firstLineChars="200"/>
        <w:jc w:val="left"/>
        <w:rPr>
          <w:rFonts w:ascii="宋体" w:hAnsi="宋体" w:cs="宋体"/>
          <w:szCs w:val="21"/>
          <w:highlight w:val="none"/>
        </w:rPr>
      </w:pPr>
      <w:bookmarkStart w:id="554" w:name="_Toc324404852"/>
      <w:bookmarkStart w:id="555" w:name="_Toc296602457"/>
      <w:r>
        <w:rPr>
          <w:rFonts w:hint="eastAsia" w:ascii="宋体" w:hAnsi="宋体" w:cs="宋体"/>
          <w:szCs w:val="21"/>
          <w:highlight w:val="none"/>
        </w:rPr>
        <w:t>7.1.1招标人在收到评标报告之日起3日内，按照投标人须知前附表规定的公示媒介和期限依法公示中标候选人，公示期不得少于3日。</w:t>
      </w:r>
    </w:p>
    <w:p w14:paraId="3229C23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7.1.2投标人或其他利害关系人对评标结果有异议的，应在中标候选人公示期间提出。招标人将在收到异议之日起3日内作出答复；作出答复前，将暂停招标投标活动。</w:t>
      </w:r>
    </w:p>
    <w:bookmarkEnd w:id="554"/>
    <w:bookmarkEnd w:id="555"/>
    <w:p w14:paraId="1D0EB461">
      <w:pPr>
        <w:pStyle w:val="3"/>
        <w:ind w:firstLine="422" w:firstLineChars="200"/>
        <w:rPr>
          <w:rFonts w:ascii="宋体" w:hAnsi="宋体" w:eastAsia="宋体" w:cs="宋体"/>
          <w:highlight w:val="none"/>
        </w:rPr>
      </w:pPr>
      <w:bookmarkStart w:id="556" w:name="_Toc8261"/>
      <w:bookmarkStart w:id="557" w:name="_Toc35424926"/>
      <w:bookmarkStart w:id="558" w:name="_Toc27040"/>
      <w:bookmarkStart w:id="559" w:name="_Toc35425092"/>
      <w:bookmarkStart w:id="560" w:name="_Toc78803359"/>
      <w:r>
        <w:rPr>
          <w:rFonts w:hint="eastAsia" w:ascii="宋体" w:hAnsi="宋体" w:eastAsia="宋体" w:cs="宋体"/>
          <w:highlight w:val="none"/>
        </w:rPr>
        <w:t>7.</w:t>
      </w:r>
      <w:r>
        <w:rPr>
          <w:rFonts w:hint="eastAsia" w:ascii="宋体" w:hAnsi="宋体" w:eastAsia="宋体" w:cs="宋体"/>
          <w:highlight w:val="none"/>
          <w:lang w:val="en-US" w:eastAsia="zh-CN"/>
        </w:rPr>
        <w:t>2</w:t>
      </w:r>
      <w:r>
        <w:rPr>
          <w:rFonts w:hint="eastAsia" w:ascii="宋体" w:hAnsi="宋体" w:eastAsia="宋体" w:cs="宋体"/>
          <w:highlight w:val="none"/>
        </w:rPr>
        <w:t xml:space="preserve"> </w:t>
      </w:r>
      <w:bookmarkEnd w:id="556"/>
      <w:bookmarkEnd w:id="557"/>
      <w:bookmarkEnd w:id="558"/>
      <w:bookmarkEnd w:id="559"/>
      <w:bookmarkEnd w:id="560"/>
      <w:r>
        <w:rPr>
          <w:rFonts w:hint="eastAsia" w:ascii="宋体" w:hAnsi="宋体" w:eastAsia="宋体" w:cs="宋体"/>
          <w:highlight w:val="none"/>
        </w:rPr>
        <w:t>定标</w:t>
      </w:r>
    </w:p>
    <w:p w14:paraId="3D28E1B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2</w:t>
      </w:r>
      <w:r>
        <w:rPr>
          <w:rFonts w:hint="eastAsia" w:ascii="宋体" w:hAnsi="宋体" w:cs="宋体"/>
          <w:szCs w:val="21"/>
          <w:highlight w:val="none"/>
        </w:rPr>
        <w:t>.1依法必须进行招标的项目，招标人应当确定排名第一的中标候选人为中标人。第一中标候选人放弃中标、因不可抗力提出不能履行合同，不按招标文件要求提交履约保证金，或者被查实存在影响中标结果的违法行为等情形，不符合中标条件的，投标保证金不予退还，招标人可以按照评标委员会提出的中标候选人名单排序依次确定其他中标候选人为中标人，也可以依法重新组织招标。</w:t>
      </w:r>
    </w:p>
    <w:p w14:paraId="42B6009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2</w:t>
      </w:r>
      <w:r>
        <w:rPr>
          <w:rFonts w:hint="eastAsia" w:ascii="宋体" w:hAnsi="宋体" w:cs="宋体"/>
          <w:szCs w:val="21"/>
          <w:highlight w:val="none"/>
        </w:rPr>
        <w:t>.2招标人在确定中标人后，按照投标人须知前附表规定的公示媒介依法公示中标结果。</w:t>
      </w:r>
    </w:p>
    <w:p w14:paraId="53EE4FBD">
      <w:pPr>
        <w:pStyle w:val="3"/>
        <w:ind w:firstLine="422" w:firstLineChars="200"/>
        <w:rPr>
          <w:rFonts w:hint="eastAsia" w:ascii="宋体" w:hAnsi="宋体" w:eastAsia="宋体" w:cs="宋体"/>
          <w:highlight w:val="none"/>
        </w:rPr>
      </w:pPr>
      <w:bookmarkStart w:id="561" w:name="_Toc4204"/>
      <w:bookmarkStart w:id="562" w:name="_Toc78803360"/>
      <w:r>
        <w:rPr>
          <w:rFonts w:hint="eastAsia" w:ascii="宋体" w:hAnsi="宋体" w:eastAsia="宋体" w:cs="宋体"/>
          <w:highlight w:val="none"/>
        </w:rPr>
        <w:t>7.</w:t>
      </w:r>
      <w:r>
        <w:rPr>
          <w:rFonts w:hint="eastAsia" w:ascii="宋体" w:hAnsi="宋体" w:eastAsia="宋体" w:cs="宋体"/>
          <w:highlight w:val="none"/>
          <w:lang w:val="en-US" w:eastAsia="zh-CN"/>
        </w:rPr>
        <w:t>3</w:t>
      </w:r>
      <w:r>
        <w:rPr>
          <w:rFonts w:hint="eastAsia" w:ascii="宋体" w:hAnsi="宋体" w:eastAsia="宋体" w:cs="宋体"/>
          <w:highlight w:val="none"/>
        </w:rPr>
        <w:t xml:space="preserve"> 中标结果公示</w:t>
      </w:r>
      <w:bookmarkEnd w:id="561"/>
    </w:p>
    <w:p w14:paraId="3D9572D3">
      <w:pPr>
        <w:spacing w:line="440" w:lineRule="exact"/>
        <w:ind w:firstLine="420" w:firstLineChars="200"/>
        <w:jc w:val="left"/>
        <w:rPr>
          <w:rFonts w:hint="eastAsia" w:ascii="宋体" w:hAnsi="宋体" w:eastAsia="宋体" w:cs="宋体"/>
          <w:highlight w:val="none"/>
        </w:rPr>
      </w:pPr>
      <w:r>
        <w:rPr>
          <w:rFonts w:hint="eastAsia" w:ascii="宋体" w:hAnsi="宋体" w:cs="宋体"/>
          <w:szCs w:val="21"/>
          <w:highlight w:val="none"/>
          <w:lang w:val="en-US" w:eastAsia="zh-CN"/>
        </w:rPr>
        <w:t>7.3.1</w:t>
      </w:r>
      <w:r>
        <w:rPr>
          <w:rFonts w:hint="eastAsia" w:ascii="宋体" w:hAnsi="宋体" w:cs="宋体"/>
          <w:szCs w:val="21"/>
          <w:highlight w:val="none"/>
        </w:rPr>
        <w:t>招标人在投标人须知前附表规定的媒介公示。</w:t>
      </w:r>
    </w:p>
    <w:p w14:paraId="50E88422">
      <w:pPr>
        <w:pStyle w:val="3"/>
        <w:ind w:firstLine="422" w:firstLineChars="200"/>
        <w:rPr>
          <w:rFonts w:ascii="宋体" w:hAnsi="宋体" w:eastAsia="宋体" w:cs="宋体"/>
          <w:highlight w:val="none"/>
        </w:rPr>
      </w:pPr>
      <w:r>
        <w:rPr>
          <w:rFonts w:hint="eastAsia" w:ascii="宋体" w:hAnsi="宋体" w:eastAsia="宋体" w:cs="宋体"/>
          <w:highlight w:val="none"/>
        </w:rPr>
        <w:t>7.</w:t>
      </w:r>
      <w:r>
        <w:rPr>
          <w:rFonts w:hint="eastAsia" w:ascii="宋体" w:hAnsi="宋体" w:eastAsia="宋体" w:cs="宋体"/>
          <w:highlight w:val="none"/>
          <w:lang w:val="en-US" w:eastAsia="zh-CN"/>
        </w:rPr>
        <w:t>4</w:t>
      </w:r>
      <w:r>
        <w:rPr>
          <w:rFonts w:hint="eastAsia" w:ascii="宋体" w:hAnsi="宋体" w:eastAsia="宋体" w:cs="宋体"/>
          <w:highlight w:val="none"/>
        </w:rPr>
        <w:t xml:space="preserve"> 中标通知</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62"/>
    </w:p>
    <w:p w14:paraId="3880A89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7.4.1</w:t>
      </w:r>
      <w:r>
        <w:rPr>
          <w:rFonts w:hint="eastAsia" w:ascii="宋体" w:hAnsi="宋体" w:cs="宋体"/>
          <w:szCs w:val="21"/>
          <w:highlight w:val="none"/>
        </w:rPr>
        <w:t>在本章第3.3款规定的投标有效期内，招标人以书面形式向中标人发出中标通知书。</w:t>
      </w:r>
    </w:p>
    <w:p w14:paraId="76BD1912">
      <w:pPr>
        <w:pStyle w:val="3"/>
        <w:ind w:firstLine="422" w:firstLineChars="200"/>
        <w:rPr>
          <w:rFonts w:ascii="宋体" w:hAnsi="宋体" w:eastAsia="宋体" w:cs="宋体"/>
          <w:highlight w:val="none"/>
        </w:rPr>
      </w:pPr>
      <w:bookmarkStart w:id="563" w:name="_Toc152042345"/>
      <w:bookmarkStart w:id="564" w:name="_Toc144974537"/>
      <w:bookmarkStart w:id="565" w:name="_Toc179632587"/>
      <w:bookmarkStart w:id="566" w:name="_Toc246996956"/>
      <w:bookmarkStart w:id="567" w:name="_Toc25501"/>
      <w:bookmarkStart w:id="568" w:name="_Toc78803362"/>
      <w:bookmarkStart w:id="569" w:name="_Toc35424929"/>
      <w:bookmarkStart w:id="570" w:name="_Toc296602459"/>
      <w:bookmarkStart w:id="571" w:name="_Toc246996213"/>
      <w:bookmarkStart w:id="572" w:name="_Toc324404854"/>
      <w:bookmarkStart w:id="573" w:name="_Toc15058892"/>
      <w:bookmarkStart w:id="574" w:name="_Toc35425095"/>
      <w:bookmarkStart w:id="575" w:name="_Toc247085727"/>
      <w:bookmarkStart w:id="576" w:name="_Toc152045569"/>
      <w:bookmarkStart w:id="577" w:name="_Toc506107307"/>
      <w:r>
        <w:rPr>
          <w:rFonts w:hint="eastAsia" w:ascii="宋体" w:hAnsi="宋体" w:eastAsia="宋体" w:cs="宋体"/>
          <w:highlight w:val="none"/>
        </w:rPr>
        <w:t>7.</w:t>
      </w:r>
      <w:r>
        <w:rPr>
          <w:rFonts w:hint="eastAsia" w:ascii="宋体" w:hAnsi="宋体" w:eastAsia="宋体" w:cs="宋体"/>
          <w:highlight w:val="none"/>
          <w:lang w:val="en-US" w:eastAsia="zh-CN"/>
        </w:rPr>
        <w:t>5</w:t>
      </w:r>
      <w:r>
        <w:rPr>
          <w:rFonts w:hint="eastAsia" w:ascii="宋体" w:hAnsi="宋体" w:eastAsia="宋体" w:cs="宋体"/>
          <w:highlight w:val="none"/>
        </w:rPr>
        <w:t xml:space="preserve"> 履约担保</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112BA13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5</w:t>
      </w:r>
      <w:r>
        <w:rPr>
          <w:rFonts w:hint="eastAsia" w:ascii="宋体" w:hAnsi="宋体" w:cs="宋体"/>
          <w:szCs w:val="21"/>
          <w:highlight w:val="none"/>
        </w:rPr>
        <w:t>.1在签订合同前，中标人应按投标人须知前附表规定的担保形式和招标文件第四章“合同条款及格式”规定的或者事先经过招标人书面认可的履约担保格式向招标人提交履约担保。履约担保金额的相关要求见投标人须知前附表。</w:t>
      </w:r>
    </w:p>
    <w:p w14:paraId="7EC8048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5</w:t>
      </w:r>
      <w:r>
        <w:rPr>
          <w:rFonts w:hint="eastAsia" w:ascii="宋体" w:hAnsi="宋体" w:cs="宋体"/>
          <w:szCs w:val="21"/>
          <w:highlight w:val="none"/>
        </w:rPr>
        <w:t>.2 中标人不能按本章第7.6.1项要求提交履约担保的，视为放弃中标，给招标人造成的损失的，中标人还应当予以赔偿。</w:t>
      </w:r>
    </w:p>
    <w:p w14:paraId="3B4E380F">
      <w:pPr>
        <w:pStyle w:val="3"/>
        <w:ind w:firstLine="422" w:firstLineChars="200"/>
        <w:rPr>
          <w:rFonts w:ascii="宋体" w:hAnsi="宋体" w:eastAsia="宋体" w:cs="宋体"/>
          <w:highlight w:val="none"/>
        </w:rPr>
      </w:pPr>
      <w:bookmarkStart w:id="578" w:name="_Toc152045570"/>
      <w:bookmarkStart w:id="579" w:name="_Toc247085728"/>
      <w:bookmarkStart w:id="580" w:name="_Toc179632588"/>
      <w:bookmarkStart w:id="581" w:name="_Toc246996214"/>
      <w:bookmarkStart w:id="582" w:name="_Toc15058893"/>
      <w:bookmarkStart w:id="583" w:name="_Toc324404855"/>
      <w:bookmarkStart w:id="584" w:name="_Toc144974538"/>
      <w:bookmarkStart w:id="585" w:name="_Toc78803363"/>
      <w:bookmarkStart w:id="586" w:name="_Toc246996957"/>
      <w:bookmarkStart w:id="587" w:name="_Toc35424930"/>
      <w:bookmarkStart w:id="588" w:name="_Toc506107308"/>
      <w:bookmarkStart w:id="589" w:name="_Toc35425096"/>
      <w:bookmarkStart w:id="590" w:name="_Toc11010"/>
      <w:bookmarkStart w:id="591" w:name="_Toc296602460"/>
      <w:bookmarkStart w:id="592" w:name="_Toc152042346"/>
      <w:r>
        <w:rPr>
          <w:rFonts w:hint="eastAsia" w:ascii="宋体" w:hAnsi="宋体" w:eastAsia="宋体" w:cs="宋体"/>
          <w:highlight w:val="none"/>
        </w:rPr>
        <w:t>7.</w:t>
      </w:r>
      <w:r>
        <w:rPr>
          <w:rFonts w:hint="eastAsia" w:ascii="宋体" w:hAnsi="宋体" w:eastAsia="宋体" w:cs="宋体"/>
          <w:highlight w:val="none"/>
          <w:lang w:val="en-US" w:eastAsia="zh-CN"/>
        </w:rPr>
        <w:t>6</w:t>
      </w:r>
      <w:r>
        <w:rPr>
          <w:rFonts w:hint="eastAsia" w:ascii="宋体" w:hAnsi="宋体" w:eastAsia="宋体" w:cs="宋体"/>
          <w:highlight w:val="none"/>
        </w:rPr>
        <w:t xml:space="preserve"> 签订合同</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14:paraId="72DE0C53">
      <w:pPr>
        <w:wordWrap w:val="0"/>
        <w:spacing w:line="440" w:lineRule="exact"/>
        <w:ind w:firstLine="420" w:firstLineChars="200"/>
        <w:jc w:val="left"/>
        <w:rPr>
          <w:rFonts w:ascii="宋体" w:hAnsi="宋体" w:cs="宋体"/>
          <w:bCs/>
          <w:szCs w:val="21"/>
          <w:highlight w:val="none"/>
        </w:rPr>
      </w:pPr>
      <w:bookmarkStart w:id="593" w:name="_Toc324404856"/>
      <w:bookmarkStart w:id="594" w:name="_Toc506107309"/>
      <w:bookmarkStart w:id="595" w:name="_Toc15058894"/>
      <w:r>
        <w:rPr>
          <w:rFonts w:hint="eastAsia" w:ascii="宋体" w:hAnsi="宋体" w:cs="宋体"/>
          <w:bCs/>
          <w:szCs w:val="21"/>
          <w:highlight w:val="none"/>
        </w:rPr>
        <w:t>7.</w:t>
      </w:r>
      <w:r>
        <w:rPr>
          <w:rFonts w:hint="eastAsia" w:ascii="宋体" w:hAnsi="宋体" w:cs="宋体"/>
          <w:bCs/>
          <w:szCs w:val="21"/>
          <w:highlight w:val="none"/>
          <w:lang w:val="en-US" w:eastAsia="zh-CN"/>
        </w:rPr>
        <w:t>6</w:t>
      </w:r>
      <w:r>
        <w:rPr>
          <w:rFonts w:hint="eastAsia" w:ascii="宋体" w:hAnsi="宋体" w:cs="宋体"/>
          <w:bCs/>
          <w:szCs w:val="21"/>
          <w:highlight w:val="none"/>
        </w:rPr>
        <w:t xml:space="preserve">.1本招标工程的施工合同将授予按本须知第7.1条规定所确定的中标人。 </w:t>
      </w:r>
    </w:p>
    <w:p w14:paraId="18516895">
      <w:pPr>
        <w:wordWrap w:val="0"/>
        <w:spacing w:line="440" w:lineRule="atLeast"/>
        <w:ind w:firstLine="420" w:firstLineChars="200"/>
        <w:rPr>
          <w:rFonts w:hint="eastAsia" w:ascii="宋体" w:hAnsi="宋体" w:cs="宋体"/>
          <w:bCs/>
          <w:szCs w:val="21"/>
          <w:highlight w:val="none"/>
        </w:rPr>
      </w:pPr>
      <w:r>
        <w:rPr>
          <w:rFonts w:hint="eastAsia" w:ascii="宋体" w:hAnsi="宋体" w:cs="宋体"/>
          <w:bCs/>
          <w:szCs w:val="21"/>
          <w:highlight w:val="none"/>
        </w:rPr>
        <w:t>7.</w:t>
      </w:r>
      <w:r>
        <w:rPr>
          <w:rFonts w:hint="eastAsia" w:ascii="宋体" w:hAnsi="宋体" w:cs="宋体"/>
          <w:bCs/>
          <w:szCs w:val="21"/>
          <w:highlight w:val="none"/>
          <w:lang w:val="en-US" w:eastAsia="zh-CN"/>
        </w:rPr>
        <w:t>6</w:t>
      </w:r>
      <w:r>
        <w:rPr>
          <w:rFonts w:hint="eastAsia" w:ascii="宋体" w:hAnsi="宋体" w:cs="宋体"/>
          <w:bCs/>
          <w:szCs w:val="21"/>
          <w:highlight w:val="none"/>
        </w:rPr>
        <w:t>.2中标人须在中标通知书发出后30日内完成履约保证金缴纳及合同签订。否则，取消中标资格。</w:t>
      </w:r>
    </w:p>
    <w:p w14:paraId="01E0BEC3">
      <w:pPr>
        <w:wordWrap w:val="0"/>
        <w:spacing w:line="440" w:lineRule="atLeast"/>
        <w:ind w:firstLine="420" w:firstLineChars="200"/>
        <w:rPr>
          <w:rFonts w:hint="eastAsia" w:ascii="宋体" w:hAnsi="宋体" w:cs="宋体"/>
          <w:bCs/>
          <w:szCs w:val="21"/>
          <w:highlight w:val="none"/>
        </w:rPr>
      </w:pPr>
      <w:r>
        <w:rPr>
          <w:rFonts w:hint="eastAsia" w:ascii="宋体" w:hAnsi="宋体" w:cs="宋体"/>
          <w:bCs/>
          <w:szCs w:val="21"/>
          <w:highlight w:val="none"/>
        </w:rPr>
        <w:t>7.</w:t>
      </w:r>
      <w:r>
        <w:rPr>
          <w:rFonts w:hint="eastAsia" w:ascii="宋体" w:hAnsi="宋体" w:cs="宋体"/>
          <w:bCs/>
          <w:szCs w:val="21"/>
          <w:highlight w:val="none"/>
          <w:lang w:val="en-US" w:eastAsia="zh-CN"/>
        </w:rPr>
        <w:t>6</w:t>
      </w:r>
      <w:r>
        <w:rPr>
          <w:rFonts w:hint="eastAsia" w:ascii="宋体" w:hAnsi="宋体" w:cs="宋体"/>
          <w:bCs/>
          <w:szCs w:val="21"/>
          <w:highlight w:val="none"/>
        </w:rPr>
        <w:t>.3发出中标通知书后，招标单位无正当理由拒签合同的，给中标人造成损失的，还应当赔偿损失。</w:t>
      </w:r>
    </w:p>
    <w:p w14:paraId="77257B7E">
      <w:pPr>
        <w:wordWrap w:val="0"/>
        <w:spacing w:line="440" w:lineRule="exact"/>
        <w:ind w:firstLine="420" w:firstLineChars="200"/>
        <w:jc w:val="left"/>
        <w:rPr>
          <w:rFonts w:hint="eastAsia" w:ascii="宋体" w:hAnsi="宋体" w:cs="宋体"/>
          <w:bCs/>
          <w:szCs w:val="21"/>
          <w:highlight w:val="none"/>
        </w:rPr>
      </w:pPr>
      <w:r>
        <w:rPr>
          <w:rFonts w:hint="eastAsia" w:ascii="宋体" w:hAnsi="宋体" w:cs="宋体"/>
          <w:bCs/>
          <w:szCs w:val="21"/>
          <w:highlight w:val="none"/>
        </w:rPr>
        <w:t>7.</w:t>
      </w:r>
      <w:r>
        <w:rPr>
          <w:rFonts w:hint="eastAsia" w:ascii="宋体" w:hAnsi="宋体" w:cs="宋体"/>
          <w:bCs/>
          <w:szCs w:val="21"/>
          <w:highlight w:val="none"/>
          <w:lang w:val="en-US" w:eastAsia="zh-CN"/>
        </w:rPr>
        <w:t>6</w:t>
      </w:r>
      <w:r>
        <w:rPr>
          <w:rFonts w:hint="eastAsia" w:ascii="宋体" w:hAnsi="宋体" w:cs="宋体"/>
          <w:bCs/>
          <w:szCs w:val="21"/>
          <w:highlight w:val="none"/>
        </w:rPr>
        <w:t>.4除法定情形外，合同履行期间项目负责人不得更换。项目负责人确需变更的，应根据招标文件要求，变更后的项目负责人不低于投标文件中拟派项目负责人的资格条件。</w:t>
      </w:r>
    </w:p>
    <w:bookmarkEnd w:id="593"/>
    <w:bookmarkEnd w:id="594"/>
    <w:bookmarkEnd w:id="595"/>
    <w:p w14:paraId="31B2E77F">
      <w:pPr>
        <w:pStyle w:val="3"/>
        <w:spacing w:beforeLines="50" w:afterLines="50"/>
        <w:ind w:firstLine="422" w:firstLineChars="200"/>
        <w:rPr>
          <w:rFonts w:ascii="宋体" w:hAnsi="宋体" w:eastAsia="宋体" w:cs="宋体"/>
          <w:highlight w:val="none"/>
        </w:rPr>
      </w:pPr>
      <w:bookmarkStart w:id="596" w:name="_Toc35424931"/>
      <w:bookmarkStart w:id="597" w:name="_Toc78803367"/>
      <w:bookmarkStart w:id="598" w:name="_Toc25375"/>
      <w:bookmarkStart w:id="599" w:name="_Toc31686"/>
      <w:bookmarkStart w:id="600" w:name="_Toc35425097"/>
      <w:bookmarkStart w:id="601" w:name="_Toc26974"/>
      <w:bookmarkStart w:id="602" w:name="_Toc324404864"/>
      <w:bookmarkStart w:id="603" w:name="_Toc35424939"/>
      <w:bookmarkStart w:id="604" w:name="_Toc15058902"/>
      <w:bookmarkStart w:id="605" w:name="_Toc35425105"/>
      <w:bookmarkStart w:id="606" w:name="_Toc506107317"/>
      <w:bookmarkStart w:id="607" w:name="_Toc296602475"/>
      <w:r>
        <w:rPr>
          <w:rFonts w:hint="eastAsia" w:ascii="宋体" w:hAnsi="宋体" w:eastAsia="宋体" w:cs="宋体"/>
          <w:highlight w:val="none"/>
          <w:lang w:val="en-US" w:eastAsia="zh-CN"/>
        </w:rPr>
        <w:t>8</w:t>
      </w:r>
      <w:r>
        <w:rPr>
          <w:rFonts w:hint="eastAsia" w:ascii="宋体" w:hAnsi="宋体" w:eastAsia="宋体" w:cs="宋体"/>
          <w:highlight w:val="none"/>
        </w:rPr>
        <w:t>. 纪律和监督</w:t>
      </w:r>
      <w:bookmarkEnd w:id="596"/>
      <w:bookmarkEnd w:id="597"/>
      <w:bookmarkEnd w:id="598"/>
      <w:bookmarkEnd w:id="599"/>
      <w:bookmarkEnd w:id="600"/>
      <w:bookmarkEnd w:id="601"/>
    </w:p>
    <w:p w14:paraId="49CA1A8F">
      <w:pPr>
        <w:pStyle w:val="3"/>
        <w:ind w:firstLine="422" w:firstLineChars="200"/>
        <w:rPr>
          <w:rFonts w:ascii="宋体" w:hAnsi="宋体" w:eastAsia="宋体" w:cs="宋体"/>
          <w:highlight w:val="none"/>
        </w:rPr>
      </w:pPr>
      <w:bookmarkStart w:id="608" w:name="_Toc144974543"/>
      <w:bookmarkStart w:id="609" w:name="_Toc246996962"/>
      <w:bookmarkStart w:id="610" w:name="_Toc506107310"/>
      <w:bookmarkStart w:id="611" w:name="_Toc152042351"/>
      <w:bookmarkStart w:id="612" w:name="_Toc15607"/>
      <w:bookmarkStart w:id="613" w:name="_Toc246996219"/>
      <w:bookmarkStart w:id="614" w:name="_Toc152045575"/>
      <w:bookmarkStart w:id="615" w:name="_Toc324404857"/>
      <w:bookmarkStart w:id="616" w:name="_Toc2855"/>
      <w:bookmarkStart w:id="617" w:name="_Toc78803368"/>
      <w:bookmarkStart w:id="618" w:name="_Toc247085733"/>
      <w:bookmarkStart w:id="619" w:name="_Toc179632593"/>
      <w:bookmarkStart w:id="620" w:name="_Toc35425098"/>
      <w:bookmarkStart w:id="621" w:name="_Toc15058895"/>
      <w:bookmarkStart w:id="622" w:name="_Toc296590983"/>
      <w:bookmarkStart w:id="623" w:name="_Toc35424932"/>
      <w:bookmarkStart w:id="624" w:name="_Toc296602462"/>
      <w:r>
        <w:rPr>
          <w:rFonts w:hint="eastAsia" w:ascii="宋体" w:hAnsi="宋体" w:eastAsia="宋体" w:cs="宋体"/>
          <w:highlight w:val="none"/>
          <w:lang w:val="en-US" w:eastAsia="zh-CN"/>
        </w:rPr>
        <w:t>8</w:t>
      </w:r>
      <w:r>
        <w:rPr>
          <w:rFonts w:hint="eastAsia" w:ascii="宋体" w:hAnsi="宋体" w:eastAsia="宋体" w:cs="宋体"/>
          <w:highlight w:val="none"/>
        </w:rPr>
        <w:t>.1 对招标人的纪律要求</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14:paraId="25A9C8E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招标人不得泄漏招标投标活动中应当保密的情况和资料，不得与投标人串通损害国家利益、社会公共利益或者他人合法权益。</w:t>
      </w:r>
    </w:p>
    <w:p w14:paraId="6BA9BC3B">
      <w:pPr>
        <w:pStyle w:val="3"/>
        <w:ind w:firstLine="422" w:firstLineChars="200"/>
        <w:rPr>
          <w:rFonts w:ascii="宋体" w:hAnsi="宋体" w:eastAsia="宋体" w:cs="宋体"/>
          <w:highlight w:val="none"/>
        </w:rPr>
      </w:pPr>
      <w:bookmarkStart w:id="625" w:name="_Toc32177"/>
      <w:bookmarkStart w:id="626" w:name="_Toc506107311"/>
      <w:bookmarkStart w:id="627" w:name="_Toc19779"/>
      <w:bookmarkStart w:id="628" w:name="_Toc296602463"/>
      <w:bookmarkStart w:id="629" w:name="_Toc152045576"/>
      <w:bookmarkStart w:id="630" w:name="_Toc246996220"/>
      <w:bookmarkStart w:id="631" w:name="_Toc144974544"/>
      <w:bookmarkStart w:id="632" w:name="_Toc15058896"/>
      <w:bookmarkStart w:id="633" w:name="_Toc246996963"/>
      <w:bookmarkStart w:id="634" w:name="_Toc247085734"/>
      <w:bookmarkStart w:id="635" w:name="_Toc324404858"/>
      <w:bookmarkStart w:id="636" w:name="_Toc35424933"/>
      <w:bookmarkStart w:id="637" w:name="_Toc35425099"/>
      <w:bookmarkStart w:id="638" w:name="_Toc78803369"/>
      <w:bookmarkStart w:id="639" w:name="_Toc179632594"/>
      <w:bookmarkStart w:id="640" w:name="_Toc152042352"/>
      <w:r>
        <w:rPr>
          <w:rFonts w:hint="eastAsia" w:ascii="宋体" w:hAnsi="宋体" w:eastAsia="宋体" w:cs="宋体"/>
          <w:highlight w:val="none"/>
          <w:lang w:val="en-US" w:eastAsia="zh-CN"/>
        </w:rPr>
        <w:t>8</w:t>
      </w:r>
      <w:r>
        <w:rPr>
          <w:rFonts w:hint="eastAsia" w:ascii="宋体" w:hAnsi="宋体" w:eastAsia="宋体" w:cs="宋体"/>
          <w:highlight w:val="none"/>
        </w:rPr>
        <w:t>.2 对投标人的纪律要求</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1B7AC34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33A1F0E">
      <w:pPr>
        <w:pStyle w:val="3"/>
        <w:ind w:firstLine="422" w:firstLineChars="200"/>
        <w:rPr>
          <w:rFonts w:ascii="宋体" w:hAnsi="宋体" w:eastAsia="宋体" w:cs="宋体"/>
          <w:highlight w:val="none"/>
        </w:rPr>
      </w:pPr>
      <w:bookmarkStart w:id="641" w:name="_Toc179632595"/>
      <w:bookmarkStart w:id="642" w:name="_Toc506107312"/>
      <w:bookmarkStart w:id="643" w:name="_Toc12564"/>
      <w:bookmarkStart w:id="644" w:name="_Toc246996221"/>
      <w:bookmarkStart w:id="645" w:name="_Toc152042353"/>
      <w:bookmarkStart w:id="646" w:name="_Toc35425100"/>
      <w:bookmarkStart w:id="647" w:name="_Toc15058897"/>
      <w:bookmarkStart w:id="648" w:name="_Toc247085735"/>
      <w:bookmarkStart w:id="649" w:name="_Toc296602464"/>
      <w:bookmarkStart w:id="650" w:name="_Toc152045577"/>
      <w:bookmarkStart w:id="651" w:name="_Toc78803370"/>
      <w:bookmarkStart w:id="652" w:name="_Toc35424934"/>
      <w:bookmarkStart w:id="653" w:name="_Toc144974545"/>
      <w:bookmarkStart w:id="654" w:name="_Toc13043"/>
      <w:bookmarkStart w:id="655" w:name="_Toc324404859"/>
      <w:bookmarkStart w:id="656" w:name="_Toc246996964"/>
      <w:r>
        <w:rPr>
          <w:rFonts w:hint="eastAsia" w:ascii="宋体" w:hAnsi="宋体" w:eastAsia="宋体" w:cs="宋体"/>
          <w:highlight w:val="none"/>
          <w:lang w:val="en-US" w:eastAsia="zh-CN"/>
        </w:rPr>
        <w:t>8</w:t>
      </w:r>
      <w:r>
        <w:rPr>
          <w:rFonts w:hint="eastAsia" w:ascii="宋体" w:hAnsi="宋体" w:eastAsia="宋体" w:cs="宋体"/>
          <w:highlight w:val="none"/>
        </w:rPr>
        <w:t>.3 对评标委员会成员的纪律要求</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5256DC8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6939E33C">
      <w:pPr>
        <w:pStyle w:val="3"/>
        <w:ind w:firstLine="422" w:firstLineChars="200"/>
        <w:rPr>
          <w:rFonts w:ascii="宋体" w:hAnsi="宋体" w:eastAsia="宋体" w:cs="宋体"/>
          <w:highlight w:val="none"/>
        </w:rPr>
      </w:pPr>
      <w:bookmarkStart w:id="657" w:name="_Toc18329"/>
      <w:bookmarkStart w:id="658" w:name="_Toc35425101"/>
      <w:bookmarkStart w:id="659" w:name="_Toc296602465"/>
      <w:bookmarkStart w:id="660" w:name="_Toc179632596"/>
      <w:bookmarkStart w:id="661" w:name="_Toc15058898"/>
      <w:bookmarkStart w:id="662" w:name="_Toc247085736"/>
      <w:bookmarkStart w:id="663" w:name="_Toc246996965"/>
      <w:bookmarkStart w:id="664" w:name="_Toc78803371"/>
      <w:bookmarkStart w:id="665" w:name="_Toc152045578"/>
      <w:bookmarkStart w:id="666" w:name="_Toc246996222"/>
      <w:bookmarkStart w:id="667" w:name="_Toc35424935"/>
      <w:bookmarkStart w:id="668" w:name="_Toc32214"/>
      <w:bookmarkStart w:id="669" w:name="_Toc324404860"/>
      <w:bookmarkStart w:id="670" w:name="_Toc506107313"/>
      <w:bookmarkStart w:id="671" w:name="_Toc152042354"/>
      <w:bookmarkStart w:id="672" w:name="_Toc144974546"/>
      <w:r>
        <w:rPr>
          <w:rFonts w:hint="eastAsia" w:ascii="宋体" w:hAnsi="宋体" w:eastAsia="宋体" w:cs="宋体"/>
          <w:highlight w:val="none"/>
          <w:lang w:val="en-US" w:eastAsia="zh-CN"/>
        </w:rPr>
        <w:t>8</w:t>
      </w:r>
      <w:r>
        <w:rPr>
          <w:rFonts w:hint="eastAsia" w:ascii="宋体" w:hAnsi="宋体" w:eastAsia="宋体" w:cs="宋体"/>
          <w:highlight w:val="none"/>
        </w:rPr>
        <w:t>.4 对与评标活动有关的工作人员的纪律要求</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766BE765">
      <w:pPr>
        <w:spacing w:line="440" w:lineRule="exact"/>
        <w:ind w:firstLine="420" w:firstLineChars="200"/>
        <w:jc w:val="left"/>
        <w:rPr>
          <w:rFonts w:ascii="宋体" w:hAnsi="宋体" w:cs="宋体"/>
          <w:szCs w:val="21"/>
          <w:highlight w:val="none"/>
        </w:rPr>
      </w:pPr>
      <w:bookmarkStart w:id="673" w:name="_Toc152042355"/>
      <w:r>
        <w:rPr>
          <w:rFonts w:hint="eastAsia" w:ascii="宋体" w:hAnsi="宋体" w:cs="宋体"/>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673"/>
    </w:p>
    <w:p w14:paraId="6EC5285F">
      <w:pPr>
        <w:pStyle w:val="3"/>
        <w:ind w:firstLine="422" w:firstLineChars="200"/>
        <w:rPr>
          <w:rFonts w:ascii="宋体" w:hAnsi="宋体" w:eastAsia="宋体" w:cs="宋体"/>
          <w:highlight w:val="none"/>
        </w:rPr>
      </w:pPr>
      <w:bookmarkStart w:id="674" w:name="_Toc35424936"/>
      <w:bookmarkStart w:id="675" w:name="_Toc246996966"/>
      <w:bookmarkStart w:id="676" w:name="_Toc179632597"/>
      <w:bookmarkStart w:id="677" w:name="_Toc324404861"/>
      <w:bookmarkStart w:id="678" w:name="_Toc15058899"/>
      <w:bookmarkStart w:id="679" w:name="_Toc78803372"/>
      <w:bookmarkStart w:id="680" w:name="_Toc35425102"/>
      <w:bookmarkStart w:id="681" w:name="_Toc152045579"/>
      <w:bookmarkStart w:id="682" w:name="_Toc2811"/>
      <w:bookmarkStart w:id="683" w:name="_Toc247085737"/>
      <w:bookmarkStart w:id="684" w:name="_Toc152042356"/>
      <w:bookmarkStart w:id="685" w:name="_Toc23607"/>
      <w:bookmarkStart w:id="686" w:name="_Toc506107314"/>
      <w:bookmarkStart w:id="687" w:name="_Toc246996223"/>
      <w:bookmarkStart w:id="688" w:name="_Toc296602466"/>
      <w:r>
        <w:rPr>
          <w:rFonts w:hint="eastAsia" w:ascii="宋体" w:hAnsi="宋体" w:eastAsia="宋体" w:cs="宋体"/>
          <w:highlight w:val="none"/>
          <w:lang w:val="en-US" w:eastAsia="zh-CN"/>
        </w:rPr>
        <w:t>8</w:t>
      </w:r>
      <w:r>
        <w:rPr>
          <w:rFonts w:hint="eastAsia" w:ascii="宋体" w:hAnsi="宋体" w:eastAsia="宋体" w:cs="宋体"/>
          <w:highlight w:val="none"/>
        </w:rPr>
        <w:t>.5 投诉</w:t>
      </w:r>
      <w:bookmarkEnd w:id="672"/>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14:paraId="6B9C537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.5.1投标人或者其他利害关系人认为招标投标活动不符合法律、行政法规规定的，可以自知道或者应当知道之日起10日内向有关行政监督部门投诉。投诉应当有明确的请求和必要的证明材料。</w:t>
      </w:r>
    </w:p>
    <w:p w14:paraId="3941694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.5.2投标人和其他利害关系人对招标文件、开标和评标结果事项投诉的，应当按照投标人须知第2.3.2款、第5.3款、和第7.1.2款的规定先向招标人提出异议。异议答复期间不计算在第</w:t>
      </w:r>
      <w:r>
        <w:rPr>
          <w:rFonts w:hint="eastAsia" w:ascii="宋体" w:hAnsi="宋体" w:cs="宋体"/>
          <w:szCs w:val="21"/>
          <w:highlight w:val="none"/>
          <w:lang w:val="en-US" w:eastAsia="zh-CN"/>
        </w:rPr>
        <w:t>8</w:t>
      </w:r>
      <w:r>
        <w:rPr>
          <w:rFonts w:hint="eastAsia" w:ascii="宋体" w:hAnsi="宋体" w:cs="宋体"/>
          <w:szCs w:val="21"/>
          <w:highlight w:val="none"/>
        </w:rPr>
        <w:t>.5.1款规定的期限内。</w:t>
      </w:r>
    </w:p>
    <w:p w14:paraId="39FC7842">
      <w:pPr>
        <w:pStyle w:val="3"/>
        <w:spacing w:beforeLines="50" w:afterLines="50"/>
        <w:ind w:firstLine="422" w:firstLineChars="200"/>
        <w:rPr>
          <w:rFonts w:ascii="宋体" w:hAnsi="宋体" w:eastAsia="宋体" w:cs="宋体"/>
          <w:highlight w:val="none"/>
        </w:rPr>
      </w:pPr>
      <w:bookmarkStart w:id="689" w:name="_Toc144974547"/>
      <w:bookmarkStart w:id="690" w:name="_Toc35425103"/>
      <w:bookmarkStart w:id="691" w:name="_Toc247085738"/>
      <w:bookmarkStart w:id="692" w:name="_Toc506107315"/>
      <w:bookmarkStart w:id="693" w:name="_Toc15058900"/>
      <w:bookmarkStart w:id="694" w:name="_Toc179632598"/>
      <w:bookmarkStart w:id="695" w:name="_Toc152045580"/>
      <w:bookmarkStart w:id="696" w:name="_Toc246996224"/>
      <w:bookmarkStart w:id="697" w:name="_Toc20669"/>
      <w:bookmarkStart w:id="698" w:name="_Toc324404862"/>
      <w:bookmarkStart w:id="699" w:name="_Toc246996967"/>
      <w:bookmarkStart w:id="700" w:name="_Toc152042357"/>
      <w:bookmarkStart w:id="701" w:name="_Toc35424937"/>
      <w:bookmarkStart w:id="702" w:name="_Toc31643"/>
      <w:bookmarkStart w:id="703" w:name="_Toc16463"/>
      <w:bookmarkStart w:id="704" w:name="_Toc78803373"/>
      <w:r>
        <w:rPr>
          <w:rFonts w:hint="eastAsia" w:ascii="宋体" w:hAnsi="宋体" w:eastAsia="宋体" w:cs="宋体"/>
          <w:highlight w:val="none"/>
          <w:lang w:val="en-US" w:eastAsia="zh-CN"/>
        </w:rPr>
        <w:t>9</w:t>
      </w:r>
      <w:r>
        <w:rPr>
          <w:rFonts w:hint="eastAsia" w:ascii="宋体" w:hAnsi="宋体" w:eastAsia="宋体" w:cs="宋体"/>
          <w:highlight w:val="none"/>
        </w:rPr>
        <w:t>.需要补充的其他内容</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14:paraId="2610702A">
      <w:pPr>
        <w:spacing w:line="440" w:lineRule="exact"/>
        <w:ind w:firstLine="420" w:firstLineChars="200"/>
        <w:jc w:val="left"/>
        <w:rPr>
          <w:rFonts w:ascii="宋体" w:hAnsi="宋体" w:cs="宋体"/>
          <w:szCs w:val="21"/>
          <w:highlight w:val="none"/>
        </w:rPr>
      </w:pPr>
      <w:bookmarkStart w:id="705" w:name="_Toc15058901"/>
      <w:r>
        <w:rPr>
          <w:rFonts w:hint="eastAsia" w:ascii="宋体" w:hAnsi="宋体" w:cs="宋体"/>
          <w:szCs w:val="21"/>
          <w:highlight w:val="none"/>
        </w:rPr>
        <w:t>需要补充的其他内容：见投标人须知前附表。</w:t>
      </w:r>
      <w:bookmarkEnd w:id="705"/>
    </w:p>
    <w:p w14:paraId="13695F73">
      <w:pPr>
        <w:spacing w:line="440" w:lineRule="exact"/>
        <w:jc w:val="left"/>
        <w:rPr>
          <w:rFonts w:ascii="宋体" w:hAnsi="宋体" w:cs="宋体"/>
          <w:szCs w:val="21"/>
          <w:highlight w:val="none"/>
        </w:rPr>
      </w:pPr>
    </w:p>
    <w:p w14:paraId="146D6C50">
      <w:pPr>
        <w:pageBreakBefore/>
        <w:spacing w:beforeLines="80" w:afterLines="80" w:line="440" w:lineRule="exact"/>
        <w:jc w:val="center"/>
        <w:outlineLvl w:val="1"/>
        <w:rPr>
          <w:rFonts w:ascii="宋体"/>
          <w:b/>
          <w:sz w:val="32"/>
          <w:szCs w:val="32"/>
          <w:highlight w:val="none"/>
        </w:rPr>
      </w:pPr>
      <w:bookmarkStart w:id="706" w:name="_Toc78803375"/>
      <w:r>
        <w:rPr>
          <w:rFonts w:hint="eastAsia" w:ascii="宋体"/>
          <w:b/>
          <w:sz w:val="32"/>
          <w:szCs w:val="32"/>
          <w:highlight w:val="none"/>
        </w:rPr>
        <w:t>第二章  资格审查</w:t>
      </w:r>
      <w:bookmarkEnd w:id="602"/>
      <w:r>
        <w:rPr>
          <w:rFonts w:hint="eastAsia" w:ascii="宋体"/>
          <w:b/>
          <w:sz w:val="32"/>
          <w:szCs w:val="32"/>
          <w:highlight w:val="none"/>
        </w:rPr>
        <w:t>办法</w:t>
      </w:r>
      <w:bookmarkEnd w:id="603"/>
      <w:bookmarkEnd w:id="604"/>
      <w:bookmarkEnd w:id="605"/>
      <w:bookmarkEnd w:id="606"/>
      <w:bookmarkEnd w:id="706"/>
    </w:p>
    <w:p w14:paraId="510BB1C6">
      <w:pPr>
        <w:spacing w:beforeLines="50" w:afterLines="50" w:line="440" w:lineRule="exact"/>
        <w:jc w:val="center"/>
        <w:rPr>
          <w:rFonts w:ascii="宋体" w:hAnsi="宋体" w:cs="宋体"/>
          <w:b/>
          <w:bCs/>
          <w:sz w:val="28"/>
          <w:szCs w:val="22"/>
          <w:highlight w:val="none"/>
        </w:rPr>
      </w:pPr>
      <w:bookmarkStart w:id="707" w:name="_Toc35425106"/>
      <w:bookmarkStart w:id="708" w:name="_Toc324404865"/>
      <w:bookmarkStart w:id="709" w:name="_Toc506107318"/>
      <w:bookmarkStart w:id="710" w:name="_Toc35424940"/>
      <w:bookmarkStart w:id="711" w:name="_Toc15058903"/>
      <w:r>
        <w:rPr>
          <w:rFonts w:hint="eastAsia" w:ascii="宋体" w:hAnsi="宋体" w:cs="宋体"/>
          <w:b/>
          <w:bCs/>
          <w:sz w:val="28"/>
          <w:szCs w:val="22"/>
          <w:highlight w:val="none"/>
        </w:rPr>
        <w:t>资格审查办法前附表</w:t>
      </w:r>
      <w:bookmarkEnd w:id="707"/>
      <w:bookmarkEnd w:id="708"/>
      <w:bookmarkEnd w:id="709"/>
      <w:bookmarkEnd w:id="710"/>
      <w:bookmarkEnd w:id="711"/>
    </w:p>
    <w:p w14:paraId="07C7DA4B">
      <w:pPr>
        <w:spacing w:beforeLines="50" w:afterLines="50" w:line="440" w:lineRule="exact"/>
        <w:jc w:val="center"/>
        <w:rPr>
          <w:b/>
          <w:bCs/>
          <w:sz w:val="24"/>
          <w:highlight w:val="none"/>
        </w:rPr>
      </w:pPr>
      <w:r>
        <w:rPr>
          <w:rFonts w:hint="eastAsia"/>
          <w:b/>
          <w:bCs/>
          <w:sz w:val="24"/>
          <w:highlight w:val="none"/>
        </w:rPr>
        <w:t>资信证明文件评审</w:t>
      </w:r>
    </w:p>
    <w:tbl>
      <w:tblPr>
        <w:tblStyle w:val="47"/>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183"/>
        <w:gridCol w:w="1860"/>
      </w:tblGrid>
      <w:tr w14:paraId="3443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gridSpan w:val="2"/>
            <w:noWrap/>
            <w:vAlign w:val="center"/>
          </w:tcPr>
          <w:p w14:paraId="21EA50D5">
            <w:pPr>
              <w:spacing w:line="440" w:lineRule="exact"/>
              <w:jc w:val="center"/>
              <w:rPr>
                <w:rFonts w:ascii="宋体" w:hAnsi="宋体" w:cs="宋体"/>
                <w:b/>
                <w:bCs/>
                <w:szCs w:val="21"/>
                <w:highlight w:val="none"/>
              </w:rPr>
            </w:pPr>
            <w:r>
              <w:rPr>
                <w:rFonts w:hint="eastAsia" w:ascii="宋体" w:hAnsi="宋体" w:cs="宋体"/>
                <w:b/>
                <w:bCs/>
                <w:szCs w:val="21"/>
                <w:highlight w:val="none"/>
              </w:rPr>
              <w:t>序号</w:t>
            </w:r>
          </w:p>
        </w:tc>
        <w:tc>
          <w:tcPr>
            <w:tcW w:w="6183" w:type="dxa"/>
            <w:noWrap/>
            <w:vAlign w:val="center"/>
          </w:tcPr>
          <w:p w14:paraId="737B946D">
            <w:pPr>
              <w:spacing w:line="440" w:lineRule="exact"/>
              <w:jc w:val="center"/>
              <w:rPr>
                <w:rFonts w:ascii="宋体" w:hAnsi="宋体" w:cs="宋体"/>
                <w:b/>
                <w:bCs/>
                <w:szCs w:val="21"/>
                <w:highlight w:val="none"/>
              </w:rPr>
            </w:pPr>
            <w:r>
              <w:rPr>
                <w:rFonts w:hint="eastAsia" w:ascii="宋体" w:hAnsi="宋体" w:cs="宋体"/>
                <w:b/>
                <w:bCs/>
                <w:szCs w:val="21"/>
                <w:highlight w:val="none"/>
              </w:rPr>
              <w:t>审查内容</w:t>
            </w:r>
          </w:p>
        </w:tc>
        <w:tc>
          <w:tcPr>
            <w:tcW w:w="1860" w:type="dxa"/>
            <w:noWrap/>
            <w:vAlign w:val="center"/>
          </w:tcPr>
          <w:p w14:paraId="10B4B499">
            <w:pPr>
              <w:spacing w:line="440" w:lineRule="exact"/>
              <w:jc w:val="center"/>
              <w:rPr>
                <w:rFonts w:ascii="宋体" w:hAnsi="宋体" w:cs="宋体"/>
                <w:b/>
                <w:bCs/>
                <w:szCs w:val="21"/>
                <w:highlight w:val="none"/>
              </w:rPr>
            </w:pPr>
            <w:r>
              <w:rPr>
                <w:rFonts w:hint="eastAsia" w:ascii="宋体" w:hAnsi="宋体" w:cs="宋体"/>
                <w:b/>
                <w:bCs/>
                <w:szCs w:val="21"/>
                <w:highlight w:val="none"/>
              </w:rPr>
              <w:t>评审标准</w:t>
            </w:r>
          </w:p>
        </w:tc>
      </w:tr>
      <w:tr w14:paraId="5E38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noWrap/>
            <w:vAlign w:val="center"/>
          </w:tcPr>
          <w:p w14:paraId="4867F738">
            <w:pPr>
              <w:spacing w:line="440" w:lineRule="exact"/>
              <w:jc w:val="center"/>
              <w:rPr>
                <w:rFonts w:ascii="宋体" w:hAnsi="宋体" w:cs="宋体"/>
                <w:szCs w:val="21"/>
                <w:highlight w:val="none"/>
              </w:rPr>
            </w:pPr>
            <w:r>
              <w:rPr>
                <w:rFonts w:hint="eastAsia" w:ascii="宋体" w:hAnsi="宋体" w:cs="宋体"/>
                <w:szCs w:val="21"/>
                <w:highlight w:val="none"/>
              </w:rPr>
              <w:t>1</w:t>
            </w:r>
          </w:p>
        </w:tc>
        <w:tc>
          <w:tcPr>
            <w:tcW w:w="1258" w:type="dxa"/>
            <w:vMerge w:val="restart"/>
            <w:noWrap/>
            <w:vAlign w:val="center"/>
          </w:tcPr>
          <w:p w14:paraId="12F9F292">
            <w:pPr>
              <w:spacing w:line="440" w:lineRule="exact"/>
              <w:jc w:val="center"/>
              <w:rPr>
                <w:rFonts w:ascii="宋体" w:hAnsi="宋体" w:cs="宋体"/>
                <w:b/>
                <w:bCs/>
                <w:szCs w:val="21"/>
                <w:highlight w:val="none"/>
              </w:rPr>
            </w:pPr>
            <w:r>
              <w:rPr>
                <w:rFonts w:hint="eastAsia" w:ascii="宋体" w:hAnsi="宋体" w:cs="宋体"/>
                <w:b/>
                <w:bCs/>
                <w:szCs w:val="21"/>
                <w:highlight w:val="none"/>
              </w:rPr>
              <w:t>审查资料</w:t>
            </w:r>
          </w:p>
        </w:tc>
        <w:tc>
          <w:tcPr>
            <w:tcW w:w="6183" w:type="dxa"/>
            <w:noWrap/>
            <w:vAlign w:val="center"/>
          </w:tcPr>
          <w:p w14:paraId="4223BCB8">
            <w:pPr>
              <w:spacing w:line="440" w:lineRule="exact"/>
              <w:rPr>
                <w:rFonts w:ascii="宋体" w:hAnsi="宋体" w:cs="宋体"/>
                <w:szCs w:val="21"/>
                <w:highlight w:val="none"/>
              </w:rPr>
            </w:pPr>
            <w:r>
              <w:rPr>
                <w:rFonts w:hint="eastAsia" w:ascii="宋体" w:hAnsi="宋体" w:cs="宋体"/>
                <w:szCs w:val="21"/>
                <w:highlight w:val="none"/>
              </w:rPr>
              <w:t>法定代表人身份证明文件和本人有效身份证(或法定代表人授权委托书和委托代理人有效身份证)</w:t>
            </w:r>
          </w:p>
        </w:tc>
        <w:tc>
          <w:tcPr>
            <w:tcW w:w="1860" w:type="dxa"/>
            <w:noWrap/>
            <w:vAlign w:val="center"/>
          </w:tcPr>
          <w:p w14:paraId="08425CC0">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0BB7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0CBF773D">
            <w:pPr>
              <w:spacing w:line="440" w:lineRule="exact"/>
              <w:jc w:val="center"/>
              <w:rPr>
                <w:rFonts w:ascii="宋体" w:hAnsi="宋体" w:cs="宋体"/>
                <w:szCs w:val="21"/>
                <w:highlight w:val="none"/>
              </w:rPr>
            </w:pPr>
          </w:p>
        </w:tc>
        <w:tc>
          <w:tcPr>
            <w:tcW w:w="1258" w:type="dxa"/>
            <w:vMerge w:val="continue"/>
            <w:noWrap/>
            <w:vAlign w:val="center"/>
          </w:tcPr>
          <w:p w14:paraId="5DD98737">
            <w:pPr>
              <w:spacing w:line="440" w:lineRule="exact"/>
              <w:jc w:val="center"/>
              <w:rPr>
                <w:rFonts w:ascii="宋体" w:hAnsi="宋体" w:cs="宋体"/>
                <w:b/>
                <w:bCs/>
                <w:szCs w:val="21"/>
                <w:highlight w:val="none"/>
              </w:rPr>
            </w:pPr>
          </w:p>
        </w:tc>
        <w:tc>
          <w:tcPr>
            <w:tcW w:w="6183" w:type="dxa"/>
            <w:noWrap/>
            <w:vAlign w:val="center"/>
          </w:tcPr>
          <w:p w14:paraId="356F4FA9">
            <w:pPr>
              <w:spacing w:line="440" w:lineRule="exact"/>
              <w:rPr>
                <w:rFonts w:ascii="宋体" w:hAnsi="宋体" w:cs="宋体"/>
                <w:szCs w:val="21"/>
                <w:highlight w:val="none"/>
              </w:rPr>
            </w:pPr>
            <w:r>
              <w:rPr>
                <w:rFonts w:hint="eastAsia" w:ascii="宋体" w:hAnsi="宋体" w:cs="宋体"/>
                <w:szCs w:val="21"/>
                <w:highlight w:val="none"/>
              </w:rPr>
              <w:t>诚信投标承诺书</w:t>
            </w:r>
          </w:p>
        </w:tc>
        <w:tc>
          <w:tcPr>
            <w:tcW w:w="1860" w:type="dxa"/>
            <w:vMerge w:val="restart"/>
            <w:noWrap/>
            <w:vAlign w:val="center"/>
          </w:tcPr>
          <w:p w14:paraId="1D178232">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6FB2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7D8563C4">
            <w:pPr>
              <w:spacing w:line="440" w:lineRule="exact"/>
              <w:jc w:val="center"/>
              <w:rPr>
                <w:rFonts w:ascii="宋体" w:hAnsi="宋体" w:cs="宋体"/>
                <w:szCs w:val="21"/>
                <w:highlight w:val="none"/>
              </w:rPr>
            </w:pPr>
          </w:p>
        </w:tc>
        <w:tc>
          <w:tcPr>
            <w:tcW w:w="1258" w:type="dxa"/>
            <w:vMerge w:val="continue"/>
            <w:noWrap/>
            <w:vAlign w:val="center"/>
          </w:tcPr>
          <w:p w14:paraId="04C1B076">
            <w:pPr>
              <w:spacing w:line="440" w:lineRule="exact"/>
              <w:jc w:val="center"/>
              <w:rPr>
                <w:rFonts w:ascii="宋体" w:hAnsi="宋体" w:cs="宋体"/>
                <w:b/>
                <w:bCs/>
                <w:szCs w:val="21"/>
                <w:highlight w:val="none"/>
              </w:rPr>
            </w:pPr>
          </w:p>
        </w:tc>
        <w:tc>
          <w:tcPr>
            <w:tcW w:w="6183" w:type="dxa"/>
            <w:noWrap/>
            <w:vAlign w:val="center"/>
          </w:tcPr>
          <w:p w14:paraId="7DE2EBA3">
            <w:pPr>
              <w:spacing w:line="440" w:lineRule="exact"/>
              <w:rPr>
                <w:rFonts w:ascii="宋体" w:hAnsi="宋体" w:cs="宋体"/>
                <w:szCs w:val="21"/>
                <w:highlight w:val="none"/>
              </w:rPr>
            </w:pPr>
            <w:r>
              <w:rPr>
                <w:rFonts w:hint="eastAsia" w:ascii="宋体" w:hAnsi="宋体" w:cs="宋体"/>
                <w:szCs w:val="21"/>
                <w:highlight w:val="none"/>
              </w:rPr>
              <w:t>企业法人营业执照</w:t>
            </w:r>
          </w:p>
        </w:tc>
        <w:tc>
          <w:tcPr>
            <w:tcW w:w="1860" w:type="dxa"/>
            <w:vMerge w:val="continue"/>
            <w:noWrap/>
            <w:vAlign w:val="center"/>
          </w:tcPr>
          <w:p w14:paraId="779E57B8">
            <w:pPr>
              <w:spacing w:line="440" w:lineRule="exact"/>
              <w:rPr>
                <w:rFonts w:ascii="宋体" w:hAnsi="宋体" w:cs="宋体"/>
                <w:b/>
                <w:szCs w:val="21"/>
                <w:highlight w:val="none"/>
              </w:rPr>
            </w:pPr>
          </w:p>
        </w:tc>
      </w:tr>
      <w:tr w14:paraId="25FC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65" w:type="dxa"/>
            <w:vMerge w:val="continue"/>
            <w:noWrap/>
            <w:vAlign w:val="center"/>
          </w:tcPr>
          <w:p w14:paraId="2D4982A9">
            <w:pPr>
              <w:spacing w:line="440" w:lineRule="exact"/>
              <w:jc w:val="center"/>
              <w:rPr>
                <w:rFonts w:ascii="宋体" w:hAnsi="宋体" w:cs="宋体"/>
                <w:szCs w:val="21"/>
                <w:highlight w:val="none"/>
              </w:rPr>
            </w:pPr>
          </w:p>
        </w:tc>
        <w:tc>
          <w:tcPr>
            <w:tcW w:w="1258" w:type="dxa"/>
            <w:vMerge w:val="continue"/>
            <w:noWrap/>
            <w:vAlign w:val="center"/>
          </w:tcPr>
          <w:p w14:paraId="0B3A3CE4">
            <w:pPr>
              <w:spacing w:line="440" w:lineRule="exact"/>
              <w:jc w:val="center"/>
              <w:rPr>
                <w:rFonts w:ascii="宋体" w:hAnsi="宋体" w:cs="宋体"/>
                <w:b/>
                <w:bCs/>
                <w:szCs w:val="21"/>
                <w:highlight w:val="none"/>
              </w:rPr>
            </w:pPr>
          </w:p>
        </w:tc>
        <w:tc>
          <w:tcPr>
            <w:tcW w:w="6183" w:type="dxa"/>
            <w:noWrap/>
            <w:vAlign w:val="center"/>
          </w:tcPr>
          <w:p w14:paraId="5DF3ACB3">
            <w:pPr>
              <w:spacing w:line="440" w:lineRule="exact"/>
              <w:rPr>
                <w:rFonts w:ascii="宋体" w:hAnsi="宋体" w:cs="宋体"/>
                <w:szCs w:val="21"/>
                <w:highlight w:val="none"/>
              </w:rPr>
            </w:pPr>
            <w:r>
              <w:rPr>
                <w:rFonts w:hint="eastAsia" w:ascii="宋体" w:hAnsi="宋体" w:cs="宋体"/>
                <w:szCs w:val="21"/>
                <w:highlight w:val="none"/>
              </w:rPr>
              <w:t>企业资质证书</w:t>
            </w:r>
          </w:p>
        </w:tc>
        <w:tc>
          <w:tcPr>
            <w:tcW w:w="1860" w:type="dxa"/>
            <w:vMerge w:val="continue"/>
            <w:noWrap/>
            <w:vAlign w:val="center"/>
          </w:tcPr>
          <w:p w14:paraId="2E943AB5">
            <w:pPr>
              <w:spacing w:line="440" w:lineRule="exact"/>
              <w:rPr>
                <w:rFonts w:ascii="宋体" w:hAnsi="宋体" w:cs="宋体"/>
                <w:szCs w:val="21"/>
                <w:highlight w:val="none"/>
              </w:rPr>
            </w:pPr>
          </w:p>
        </w:tc>
      </w:tr>
      <w:tr w14:paraId="5484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ign w:val="center"/>
          </w:tcPr>
          <w:p w14:paraId="44F29A8D">
            <w:pPr>
              <w:spacing w:line="440" w:lineRule="exact"/>
              <w:jc w:val="center"/>
              <w:rPr>
                <w:rFonts w:ascii="宋体" w:hAnsi="宋体" w:cs="宋体"/>
                <w:szCs w:val="21"/>
                <w:highlight w:val="none"/>
              </w:rPr>
            </w:pPr>
          </w:p>
        </w:tc>
        <w:tc>
          <w:tcPr>
            <w:tcW w:w="1258" w:type="dxa"/>
            <w:vMerge w:val="continue"/>
            <w:noWrap/>
            <w:vAlign w:val="center"/>
          </w:tcPr>
          <w:p w14:paraId="5172F027">
            <w:pPr>
              <w:spacing w:line="440" w:lineRule="exact"/>
              <w:jc w:val="center"/>
              <w:rPr>
                <w:rFonts w:ascii="宋体" w:hAnsi="宋体" w:cs="宋体"/>
                <w:b/>
                <w:bCs/>
                <w:szCs w:val="21"/>
                <w:highlight w:val="none"/>
              </w:rPr>
            </w:pPr>
          </w:p>
        </w:tc>
        <w:tc>
          <w:tcPr>
            <w:tcW w:w="6183" w:type="dxa"/>
            <w:noWrap/>
            <w:vAlign w:val="top"/>
          </w:tcPr>
          <w:p w14:paraId="7910A869">
            <w:pPr>
              <w:keepNext w:val="0"/>
              <w:keepLines w:val="0"/>
              <w:pageBreakBefore w:val="0"/>
              <w:kinsoku/>
              <w:wordWrap/>
              <w:overflowPunct/>
              <w:topLinePunct w:val="0"/>
              <w:autoSpaceDN/>
              <w:bidi w:val="0"/>
              <w:adjustRightInd/>
              <w:snapToGrid/>
              <w:spacing w:line="440" w:lineRule="exact"/>
              <w:textAlignment w:val="auto"/>
              <w:rPr>
                <w:rFonts w:ascii="宋体" w:hAnsi="宋体" w:cs="宋体"/>
                <w:szCs w:val="21"/>
                <w:highlight w:val="none"/>
              </w:rPr>
            </w:pPr>
            <w:r>
              <w:rPr>
                <w:rFonts w:hint="eastAsia" w:ascii="宋体" w:hAnsi="宋体" w:eastAsia="宋体" w:cs="宋体"/>
                <w:sz w:val="21"/>
                <w:szCs w:val="21"/>
                <w:highlight w:val="none"/>
              </w:rPr>
              <w:t>拟派项目负责人</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总监理工程师</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的</w:t>
            </w:r>
            <w:r>
              <w:rPr>
                <w:rFonts w:hint="eastAsia" w:ascii="宋体" w:hAnsi="宋体" w:eastAsia="宋体" w:cs="宋体"/>
                <w:sz w:val="21"/>
                <w:szCs w:val="21"/>
                <w:highlight w:val="none"/>
                <w:lang w:val="en-US" w:eastAsia="zh-CN"/>
              </w:rPr>
              <w:t>有效</w:t>
            </w:r>
            <w:r>
              <w:rPr>
                <w:rFonts w:hint="eastAsia" w:ascii="宋体" w:hAnsi="宋体" w:eastAsia="宋体" w:cs="宋体"/>
                <w:sz w:val="21"/>
                <w:szCs w:val="21"/>
                <w:highlight w:val="none"/>
              </w:rPr>
              <w:t>身份证</w:t>
            </w:r>
            <w:r>
              <w:rPr>
                <w:rFonts w:hint="eastAsia" w:ascii="宋体" w:hAnsi="宋体" w:eastAsia="宋体" w:cs="宋体"/>
                <w:sz w:val="21"/>
                <w:szCs w:val="21"/>
                <w:highlight w:val="none"/>
                <w:lang w:val="en-US" w:eastAsia="zh-CN"/>
              </w:rPr>
              <w:t>及在本单位注册的国家注册监理工程师证书</w:t>
            </w:r>
          </w:p>
        </w:tc>
        <w:tc>
          <w:tcPr>
            <w:tcW w:w="1860" w:type="dxa"/>
            <w:vMerge w:val="continue"/>
            <w:noWrap/>
            <w:vAlign w:val="center"/>
          </w:tcPr>
          <w:p w14:paraId="2BFDCB77">
            <w:pPr>
              <w:spacing w:line="440" w:lineRule="exact"/>
              <w:rPr>
                <w:rFonts w:ascii="宋体" w:hAnsi="宋体" w:cs="宋体"/>
                <w:szCs w:val="21"/>
                <w:highlight w:val="none"/>
              </w:rPr>
            </w:pPr>
          </w:p>
        </w:tc>
      </w:tr>
      <w:tr w14:paraId="7C44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ign w:val="center"/>
          </w:tcPr>
          <w:p w14:paraId="08434D79">
            <w:pPr>
              <w:spacing w:line="440" w:lineRule="exact"/>
              <w:jc w:val="center"/>
              <w:rPr>
                <w:rFonts w:ascii="宋体" w:hAnsi="宋体" w:cs="宋体"/>
                <w:szCs w:val="21"/>
                <w:highlight w:val="none"/>
              </w:rPr>
            </w:pPr>
          </w:p>
        </w:tc>
        <w:tc>
          <w:tcPr>
            <w:tcW w:w="1258" w:type="dxa"/>
            <w:vMerge w:val="continue"/>
            <w:noWrap/>
            <w:vAlign w:val="center"/>
          </w:tcPr>
          <w:p w14:paraId="08C3DF84">
            <w:pPr>
              <w:spacing w:line="440" w:lineRule="exact"/>
              <w:jc w:val="center"/>
              <w:rPr>
                <w:rFonts w:ascii="宋体" w:hAnsi="宋体" w:cs="宋体"/>
                <w:b/>
                <w:bCs/>
                <w:szCs w:val="21"/>
                <w:highlight w:val="none"/>
              </w:rPr>
            </w:pPr>
          </w:p>
        </w:tc>
        <w:tc>
          <w:tcPr>
            <w:tcW w:w="6183" w:type="dxa"/>
            <w:noWrap/>
            <w:vAlign w:val="top"/>
          </w:tcPr>
          <w:p w14:paraId="6547F5B2">
            <w:pPr>
              <w:keepNext w:val="0"/>
              <w:keepLines w:val="0"/>
              <w:pageBreakBefore w:val="0"/>
              <w:kinsoku/>
              <w:wordWrap/>
              <w:overflowPunct/>
              <w:topLinePunct w:val="0"/>
              <w:autoSpaceDN/>
              <w:bidi w:val="0"/>
              <w:adjustRightInd/>
              <w:snapToGrid/>
              <w:spacing w:line="440" w:lineRule="exact"/>
              <w:textAlignment w:val="auto"/>
              <w:rPr>
                <w:rFonts w:hint="eastAsia" w:ascii="宋体" w:hAnsi="宋体" w:eastAsia="宋体" w:cs="宋体"/>
                <w:sz w:val="21"/>
                <w:szCs w:val="21"/>
                <w:highlight w:val="none"/>
              </w:rPr>
            </w:pPr>
            <w:r>
              <w:rPr>
                <w:rFonts w:hint="eastAsia" w:ascii="宋体" w:hAnsi="宋体" w:cs="宋体"/>
                <w:szCs w:val="21"/>
                <w:highlight w:val="none"/>
              </w:rPr>
              <w:t>拟派项目负责人（总监理工程师）</w:t>
            </w:r>
            <w:r>
              <w:rPr>
                <w:rFonts w:hint="eastAsia" w:ascii="宋体" w:hAnsi="宋体" w:eastAsia="宋体" w:cs="宋体"/>
                <w:color w:val="000000"/>
                <w:szCs w:val="21"/>
                <w:highlight w:val="none"/>
              </w:rPr>
              <w:t>须持有社保部门出具的本单位为其缴纳的</w:t>
            </w:r>
            <w:r>
              <w:rPr>
                <w:rFonts w:hint="eastAsia" w:ascii="宋体" w:hAnsi="宋体" w:eastAsia="宋体" w:cs="宋体"/>
                <w:color w:val="000000"/>
                <w:szCs w:val="21"/>
                <w:highlight w:val="none"/>
                <w:lang w:val="en-US" w:eastAsia="zh-CN"/>
              </w:rPr>
              <w:t>2026年</w:t>
            </w:r>
            <w:r>
              <w:rPr>
                <w:rFonts w:hint="eastAsia" w:ascii="宋体" w:hAnsi="宋体" w:cs="宋体"/>
                <w:color w:val="000000"/>
                <w:szCs w:val="21"/>
                <w:highlight w:val="none"/>
                <w:lang w:val="en-US" w:eastAsia="zh-CN"/>
              </w:rPr>
              <w:t>6</w:t>
            </w:r>
            <w:r>
              <w:rPr>
                <w:rFonts w:hint="eastAsia" w:ascii="宋体" w:hAnsi="宋体" w:eastAsia="宋体" w:cs="宋体"/>
                <w:color w:val="000000"/>
                <w:szCs w:val="21"/>
                <w:highlight w:val="none"/>
                <w:lang w:val="en-US" w:eastAsia="zh-CN"/>
              </w:rPr>
              <w:t>月至2026年</w:t>
            </w:r>
            <w:r>
              <w:rPr>
                <w:rFonts w:hint="eastAsia" w:ascii="宋体" w:hAnsi="宋体" w:cs="宋体"/>
                <w:color w:val="000000"/>
                <w:szCs w:val="21"/>
                <w:highlight w:val="none"/>
                <w:lang w:val="en-US" w:eastAsia="zh-CN"/>
              </w:rPr>
              <w:t>9</w:t>
            </w:r>
            <w:r>
              <w:rPr>
                <w:rFonts w:hint="eastAsia" w:ascii="宋体" w:hAnsi="宋体" w:eastAsia="宋体" w:cs="宋体"/>
                <w:color w:val="000000"/>
                <w:szCs w:val="21"/>
                <w:highlight w:val="none"/>
                <w:lang w:val="en-US" w:eastAsia="zh-CN"/>
              </w:rPr>
              <w:t>月范围内任意</w:t>
            </w:r>
            <w:r>
              <w:rPr>
                <w:rFonts w:hint="eastAsia" w:ascii="宋体" w:hAnsi="宋体" w:eastAsia="宋体" w:cs="宋体"/>
                <w:color w:val="000000"/>
                <w:szCs w:val="21"/>
                <w:highlight w:val="none"/>
              </w:rPr>
              <w:t>连续三个月的养老保险证明</w:t>
            </w:r>
            <w:r>
              <w:rPr>
                <w:rFonts w:hint="eastAsia" w:ascii="宋体" w:hAnsi="宋体" w:eastAsia="宋体" w:cs="宋体"/>
                <w:color w:val="000000"/>
                <w:szCs w:val="21"/>
                <w:highlight w:val="none"/>
                <w:lang w:eastAsia="zh-CN"/>
              </w:rPr>
              <w:t>；</w:t>
            </w:r>
          </w:p>
        </w:tc>
        <w:tc>
          <w:tcPr>
            <w:tcW w:w="1860" w:type="dxa"/>
            <w:vMerge w:val="continue"/>
            <w:noWrap/>
            <w:vAlign w:val="center"/>
          </w:tcPr>
          <w:p w14:paraId="223D78F9">
            <w:pPr>
              <w:spacing w:line="440" w:lineRule="exact"/>
              <w:rPr>
                <w:rFonts w:ascii="宋体" w:hAnsi="宋体" w:cs="宋体"/>
                <w:szCs w:val="21"/>
                <w:highlight w:val="none"/>
              </w:rPr>
            </w:pPr>
          </w:p>
        </w:tc>
      </w:tr>
      <w:tr w14:paraId="4C6A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765" w:type="dxa"/>
            <w:vMerge w:val="continue"/>
            <w:noWrap/>
            <w:vAlign w:val="center"/>
          </w:tcPr>
          <w:p w14:paraId="2C443F97">
            <w:pPr>
              <w:spacing w:line="440" w:lineRule="exact"/>
              <w:jc w:val="center"/>
              <w:rPr>
                <w:rFonts w:ascii="宋体" w:hAnsi="宋体" w:cs="宋体"/>
                <w:szCs w:val="21"/>
                <w:highlight w:val="none"/>
              </w:rPr>
            </w:pPr>
          </w:p>
        </w:tc>
        <w:tc>
          <w:tcPr>
            <w:tcW w:w="1258" w:type="dxa"/>
            <w:vMerge w:val="continue"/>
            <w:noWrap/>
            <w:vAlign w:val="center"/>
          </w:tcPr>
          <w:p w14:paraId="7D51B5B8">
            <w:pPr>
              <w:spacing w:line="440" w:lineRule="exact"/>
              <w:jc w:val="center"/>
              <w:rPr>
                <w:rFonts w:ascii="宋体" w:hAnsi="宋体" w:cs="宋体"/>
                <w:b/>
                <w:bCs/>
                <w:szCs w:val="21"/>
                <w:highlight w:val="none"/>
              </w:rPr>
            </w:pPr>
          </w:p>
        </w:tc>
        <w:tc>
          <w:tcPr>
            <w:tcW w:w="6183" w:type="dxa"/>
            <w:noWrap/>
            <w:vAlign w:val="top"/>
          </w:tcPr>
          <w:p w14:paraId="7DB448B8">
            <w:pPr>
              <w:spacing w:line="440" w:lineRule="exact"/>
              <w:rPr>
                <w:rFonts w:hint="eastAsia" w:ascii="宋体" w:hAnsi="宋体" w:eastAsia="宋体" w:cs="宋体"/>
                <w:highlight w:val="none"/>
                <w:lang w:eastAsia="zh-CN"/>
              </w:rPr>
            </w:pPr>
            <w:r>
              <w:rPr>
                <w:rFonts w:hint="eastAsia" w:ascii="宋体" w:hAnsi="宋体"/>
                <w:szCs w:val="21"/>
                <w:highlight w:val="none"/>
              </w:rPr>
              <w:t>监理人员</w:t>
            </w:r>
            <w:r>
              <w:rPr>
                <w:rFonts w:hint="eastAsia" w:ascii="宋体" w:hAnsi="宋体"/>
                <w:szCs w:val="21"/>
                <w:highlight w:val="none"/>
                <w:lang w:val="en-US" w:eastAsia="zh-CN"/>
              </w:rPr>
              <w:t>配备</w:t>
            </w:r>
            <w:r>
              <w:rPr>
                <w:rFonts w:hint="eastAsia" w:ascii="宋体" w:hAnsi="宋体"/>
                <w:szCs w:val="21"/>
                <w:highlight w:val="none"/>
              </w:rPr>
              <w:t>名单</w:t>
            </w:r>
          </w:p>
        </w:tc>
        <w:tc>
          <w:tcPr>
            <w:tcW w:w="1860" w:type="dxa"/>
            <w:vMerge w:val="continue"/>
            <w:noWrap/>
            <w:vAlign w:val="center"/>
          </w:tcPr>
          <w:p w14:paraId="701C2C27">
            <w:pPr>
              <w:spacing w:line="440" w:lineRule="exact"/>
              <w:rPr>
                <w:rFonts w:ascii="宋体" w:hAnsi="宋体" w:cs="宋体"/>
                <w:szCs w:val="21"/>
                <w:highlight w:val="none"/>
              </w:rPr>
            </w:pPr>
          </w:p>
        </w:tc>
      </w:tr>
    </w:tbl>
    <w:p w14:paraId="44418C94">
      <w:pPr>
        <w:spacing w:line="440" w:lineRule="exact"/>
        <w:ind w:firstLine="422" w:firstLineChars="200"/>
        <w:jc w:val="left"/>
        <w:rPr>
          <w:rFonts w:ascii="宋体" w:hAnsi="宋体" w:cs="宋体"/>
          <w:b/>
          <w:bCs/>
          <w:szCs w:val="21"/>
          <w:highlight w:val="none"/>
        </w:rPr>
      </w:pPr>
      <w:r>
        <w:rPr>
          <w:rFonts w:hint="eastAsia" w:ascii="宋体" w:hAnsi="宋体" w:cs="宋体"/>
          <w:b/>
          <w:bCs/>
          <w:szCs w:val="21"/>
          <w:highlight w:val="none"/>
        </w:rPr>
        <w:t>重要提示：</w:t>
      </w:r>
    </w:p>
    <w:p w14:paraId="3BA6D769">
      <w:pPr>
        <w:spacing w:line="440" w:lineRule="exact"/>
        <w:ind w:firstLine="422" w:firstLineChars="200"/>
        <w:jc w:val="left"/>
        <w:rPr>
          <w:rFonts w:ascii="宋体" w:hAnsi="宋体" w:cs="宋体"/>
          <w:b/>
          <w:bCs/>
          <w:szCs w:val="21"/>
          <w:highlight w:val="none"/>
        </w:rPr>
      </w:pPr>
      <w:r>
        <w:rPr>
          <w:rFonts w:hint="eastAsia" w:ascii="宋体" w:hAnsi="宋体" w:cs="宋体"/>
          <w:b/>
          <w:bCs/>
          <w:szCs w:val="21"/>
          <w:highlight w:val="none"/>
        </w:rPr>
        <w:t>（</w:t>
      </w:r>
      <w:r>
        <w:rPr>
          <w:rFonts w:hint="eastAsia" w:ascii="宋体" w:hAnsi="宋体" w:cs="宋体"/>
          <w:b/>
          <w:bCs/>
          <w:szCs w:val="21"/>
          <w:highlight w:val="none"/>
          <w:lang w:val="en-US" w:eastAsia="zh-CN"/>
        </w:rPr>
        <w:t>1</w:t>
      </w:r>
      <w:r>
        <w:rPr>
          <w:rFonts w:hint="eastAsia" w:ascii="宋体" w:hAnsi="宋体" w:cs="宋体"/>
          <w:b/>
          <w:bCs/>
          <w:szCs w:val="21"/>
          <w:highlight w:val="none"/>
        </w:rPr>
        <w:t>）评标专家在检验电子投标文件过程中，如果由于投标人自身原因导致评标专家无法查看并检验电子投标文件中相关资料的，视为无效标处理。即使投标人将原件携带至现场的，同样按无效标处理。</w:t>
      </w:r>
    </w:p>
    <w:p w14:paraId="4A8A3FCB">
      <w:pPr>
        <w:pStyle w:val="3"/>
        <w:spacing w:beforeLines="50" w:afterLines="50"/>
        <w:ind w:firstLine="422" w:firstLineChars="200"/>
        <w:rPr>
          <w:rFonts w:ascii="宋体" w:hAnsi="宋体" w:eastAsia="宋体" w:cs="宋体"/>
          <w:highlight w:val="none"/>
        </w:rPr>
      </w:pPr>
      <w:bookmarkStart w:id="712" w:name="_Toc506107319"/>
      <w:bookmarkStart w:id="713" w:name="_Toc15058904"/>
      <w:bookmarkStart w:id="714" w:name="_Toc27127"/>
      <w:bookmarkStart w:id="715" w:name="_Toc35424941"/>
      <w:bookmarkStart w:id="716" w:name="_Toc324404866"/>
      <w:bookmarkStart w:id="717" w:name="_Toc35425107"/>
      <w:bookmarkStart w:id="718" w:name="_Toc78803376"/>
      <w:r>
        <w:rPr>
          <w:rFonts w:hint="eastAsia" w:ascii="宋体" w:hAnsi="宋体" w:eastAsia="宋体" w:cs="宋体"/>
          <w:highlight w:val="none"/>
        </w:rPr>
        <w:t>1.审查资料</w:t>
      </w:r>
      <w:bookmarkEnd w:id="712"/>
      <w:bookmarkEnd w:id="713"/>
      <w:bookmarkEnd w:id="714"/>
      <w:bookmarkEnd w:id="715"/>
      <w:bookmarkEnd w:id="716"/>
      <w:bookmarkEnd w:id="717"/>
      <w:bookmarkEnd w:id="718"/>
    </w:p>
    <w:p w14:paraId="393FDB9F">
      <w:pPr>
        <w:spacing w:line="440" w:lineRule="exact"/>
        <w:ind w:firstLine="420" w:firstLineChars="200"/>
        <w:jc w:val="left"/>
        <w:rPr>
          <w:rFonts w:hint="eastAsia" w:ascii="宋体" w:hAnsi="宋体" w:cs="宋体"/>
          <w:szCs w:val="21"/>
          <w:highlight w:val="none"/>
        </w:rPr>
      </w:pPr>
      <w:bookmarkStart w:id="719" w:name="_Toc15058905"/>
      <w:bookmarkStart w:id="720" w:name="_Toc324404867"/>
      <w:bookmarkStart w:id="721" w:name="_Toc35424942"/>
      <w:bookmarkStart w:id="722" w:name="_Toc506107320"/>
      <w:bookmarkStart w:id="723" w:name="_Toc78803377"/>
      <w:bookmarkStart w:id="724" w:name="_Toc12549"/>
      <w:bookmarkStart w:id="725" w:name="_Toc35425108"/>
      <w:bookmarkStart w:id="726" w:name="_Toc15058909"/>
      <w:r>
        <w:rPr>
          <w:rFonts w:hint="eastAsia" w:ascii="宋体" w:hAnsi="宋体" w:cs="宋体"/>
          <w:szCs w:val="21"/>
          <w:highlight w:val="none"/>
        </w:rPr>
        <w:t>（1）法定代表人身份证明文件和本人有效身份证(或法定代表人授权委托书和委托代理人有效身份证)；</w:t>
      </w:r>
    </w:p>
    <w:p w14:paraId="5E343FF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（2）诚信投标承诺书；</w:t>
      </w:r>
    </w:p>
    <w:p w14:paraId="3B7B0F5F">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（3）企业法人营业执照；</w:t>
      </w:r>
    </w:p>
    <w:p w14:paraId="0592746A">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（4）企业资质证书；</w:t>
      </w:r>
    </w:p>
    <w:p w14:paraId="41AE7081">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（5）拟派项目负责人（总监理工程师）的有效身份证及在本单位注册的国家注册监理工程师证书；</w:t>
      </w:r>
    </w:p>
    <w:p w14:paraId="78044B19">
      <w:pPr>
        <w:spacing w:line="440" w:lineRule="exact"/>
        <w:ind w:firstLine="420" w:firstLineChars="200"/>
        <w:jc w:val="left"/>
        <w:rPr>
          <w:rFonts w:hint="eastAsia" w:ascii="宋体" w:hAnsi="宋体" w:eastAsia="宋体" w:cs="宋体"/>
          <w:color w:val="000000"/>
          <w:szCs w:val="21"/>
          <w:highlight w:val="none"/>
          <w:lang w:eastAsia="zh-CN"/>
        </w:rPr>
      </w:pPr>
      <w:r>
        <w:rPr>
          <w:rFonts w:hint="eastAsia" w:ascii="宋体" w:hAnsi="宋体" w:cs="宋体"/>
          <w:szCs w:val="21"/>
          <w:highlight w:val="none"/>
        </w:rPr>
        <w:t>（</w:t>
      </w:r>
      <w:r>
        <w:rPr>
          <w:rFonts w:hint="eastAsia" w:ascii="宋体" w:hAnsi="宋体" w:cs="宋体"/>
          <w:szCs w:val="21"/>
          <w:highlight w:val="none"/>
          <w:lang w:val="en-US" w:eastAsia="zh-CN"/>
        </w:rPr>
        <w:t>6</w:t>
      </w:r>
      <w:r>
        <w:rPr>
          <w:rFonts w:hint="eastAsia" w:ascii="宋体" w:hAnsi="宋体" w:cs="宋体"/>
          <w:szCs w:val="21"/>
          <w:highlight w:val="none"/>
        </w:rPr>
        <w:t>）拟派项目负责人（总监理工程师）</w:t>
      </w:r>
      <w:r>
        <w:rPr>
          <w:rFonts w:hint="eastAsia" w:ascii="宋体" w:hAnsi="宋体" w:eastAsia="宋体" w:cs="宋体"/>
          <w:color w:val="000000"/>
          <w:szCs w:val="21"/>
          <w:highlight w:val="none"/>
        </w:rPr>
        <w:t>须持有社保部门出具的本单位为其缴纳的</w:t>
      </w:r>
      <w:r>
        <w:rPr>
          <w:rFonts w:hint="eastAsia" w:ascii="宋体" w:hAnsi="宋体" w:eastAsia="宋体" w:cs="宋体"/>
          <w:color w:val="000000"/>
          <w:szCs w:val="21"/>
          <w:highlight w:val="none"/>
          <w:lang w:val="en-US" w:eastAsia="zh-CN"/>
        </w:rPr>
        <w:t>2026年</w:t>
      </w:r>
      <w:r>
        <w:rPr>
          <w:rFonts w:hint="eastAsia" w:ascii="宋体" w:hAnsi="宋体" w:cs="宋体"/>
          <w:color w:val="000000"/>
          <w:szCs w:val="21"/>
          <w:highlight w:val="none"/>
          <w:lang w:val="en-US" w:eastAsia="zh-CN"/>
        </w:rPr>
        <w:t>6</w:t>
      </w:r>
      <w:r>
        <w:rPr>
          <w:rFonts w:hint="eastAsia" w:ascii="宋体" w:hAnsi="宋体" w:eastAsia="宋体" w:cs="宋体"/>
          <w:color w:val="000000"/>
          <w:szCs w:val="21"/>
          <w:highlight w:val="none"/>
          <w:lang w:val="en-US" w:eastAsia="zh-CN"/>
        </w:rPr>
        <w:t>月至2026年</w:t>
      </w:r>
      <w:r>
        <w:rPr>
          <w:rFonts w:hint="eastAsia" w:ascii="宋体" w:hAnsi="宋体" w:cs="宋体"/>
          <w:color w:val="000000"/>
          <w:szCs w:val="21"/>
          <w:highlight w:val="none"/>
          <w:lang w:val="en-US" w:eastAsia="zh-CN"/>
        </w:rPr>
        <w:t>9</w:t>
      </w:r>
      <w:r>
        <w:rPr>
          <w:rFonts w:hint="eastAsia" w:ascii="宋体" w:hAnsi="宋体" w:eastAsia="宋体" w:cs="宋体"/>
          <w:color w:val="000000"/>
          <w:szCs w:val="21"/>
          <w:highlight w:val="none"/>
          <w:lang w:val="en-US" w:eastAsia="zh-CN"/>
        </w:rPr>
        <w:t>月范围内任意</w:t>
      </w:r>
      <w:r>
        <w:rPr>
          <w:rFonts w:hint="eastAsia" w:ascii="宋体" w:hAnsi="宋体" w:eastAsia="宋体" w:cs="宋体"/>
          <w:color w:val="000000"/>
          <w:szCs w:val="21"/>
          <w:highlight w:val="none"/>
        </w:rPr>
        <w:t>连续三个月的养老保险证明</w:t>
      </w:r>
      <w:r>
        <w:rPr>
          <w:rFonts w:hint="eastAsia" w:ascii="宋体" w:hAnsi="宋体" w:eastAsia="宋体" w:cs="宋体"/>
          <w:color w:val="000000"/>
          <w:szCs w:val="21"/>
          <w:highlight w:val="none"/>
          <w:lang w:eastAsia="zh-CN"/>
        </w:rPr>
        <w:t>；</w:t>
      </w:r>
    </w:p>
    <w:p w14:paraId="0927AB42">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color w:val="000000"/>
          <w:szCs w:val="21"/>
          <w:highlight w:val="none"/>
          <w:lang w:eastAsia="zh-CN"/>
        </w:rPr>
        <w:t>注：</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投标人是事业单位的，暂未缴纳养老保险的，须由其主管部门出具证明</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lang w:eastAsia="zh-CN"/>
        </w:rPr>
        <w:t>如拟派项目经理为退休人员（包括提前退休人员，年龄在国家规定证书使用年限之前，执业年限应能覆盖项⽬⼯期），无法提供社保证明的，投标人应提供拟派项目经理的退休证及投标人企业聘用合同。提交的注册执业证书中聘用企业名称必须与投标人企业名称一致。</w:t>
      </w:r>
    </w:p>
    <w:p w14:paraId="06464384">
      <w:pPr>
        <w:spacing w:line="440" w:lineRule="exact"/>
        <w:ind w:firstLine="420" w:firstLineChars="200"/>
        <w:jc w:val="left"/>
        <w:rPr>
          <w:rFonts w:hint="eastAsia" w:ascii="宋体" w:hAnsi="宋体" w:eastAsia="宋体" w:cs="宋体"/>
          <w:highlight w:val="none"/>
          <w:lang w:val="en-US" w:eastAsia="zh-CN"/>
        </w:rPr>
      </w:pPr>
      <w:r>
        <w:rPr>
          <w:rFonts w:hint="eastAsia" w:ascii="宋体" w:hAnsi="宋体" w:cs="宋体"/>
          <w:highlight w:val="none"/>
          <w:lang w:eastAsia="zh-CN"/>
        </w:rPr>
        <w:t>（</w:t>
      </w:r>
      <w:r>
        <w:rPr>
          <w:rFonts w:hint="eastAsia" w:ascii="宋体" w:hAnsi="宋体" w:cs="宋体"/>
          <w:highlight w:val="none"/>
          <w:lang w:val="en-US" w:eastAsia="zh-CN"/>
        </w:rPr>
        <w:t>7</w:t>
      </w:r>
      <w:r>
        <w:rPr>
          <w:rFonts w:hint="eastAsia" w:ascii="宋体" w:hAnsi="宋体" w:cs="宋体"/>
          <w:highlight w:val="none"/>
          <w:lang w:eastAsia="zh-CN"/>
        </w:rPr>
        <w:t>）</w:t>
      </w:r>
      <w:r>
        <w:rPr>
          <w:rFonts w:hint="eastAsia" w:ascii="宋体" w:hAnsi="宋体"/>
          <w:szCs w:val="21"/>
          <w:highlight w:val="none"/>
        </w:rPr>
        <w:t>监理人员</w:t>
      </w:r>
      <w:r>
        <w:rPr>
          <w:rFonts w:hint="eastAsia" w:ascii="宋体" w:hAnsi="宋体"/>
          <w:szCs w:val="21"/>
          <w:highlight w:val="none"/>
          <w:lang w:val="en-US" w:eastAsia="zh-CN"/>
        </w:rPr>
        <w:t>配备</w:t>
      </w:r>
      <w:r>
        <w:rPr>
          <w:rFonts w:hint="eastAsia" w:ascii="宋体" w:hAnsi="宋体"/>
          <w:szCs w:val="21"/>
          <w:highlight w:val="none"/>
        </w:rPr>
        <w:t>名单</w:t>
      </w:r>
      <w:r>
        <w:rPr>
          <w:rFonts w:hint="eastAsia" w:ascii="宋体" w:hAnsi="宋体" w:cs="宋体"/>
          <w:highlight w:val="none"/>
          <w:lang w:eastAsia="zh-CN"/>
        </w:rPr>
        <w:t>。</w:t>
      </w:r>
    </w:p>
    <w:bookmarkEnd w:id="719"/>
    <w:p w14:paraId="5990719C">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2.审查办法</w:t>
      </w:r>
      <w:bookmarkEnd w:id="720"/>
      <w:bookmarkEnd w:id="721"/>
      <w:bookmarkEnd w:id="722"/>
      <w:bookmarkEnd w:id="723"/>
      <w:bookmarkEnd w:id="724"/>
      <w:bookmarkEnd w:id="725"/>
      <w:bookmarkEnd w:id="726"/>
    </w:p>
    <w:p w14:paraId="0B018554">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由资格审查委员会（评标委员会）按资格审查办法前附表中资格审查必要合格条件评审表要求对投标人审查资料进行核验。</w:t>
      </w:r>
    </w:p>
    <w:p w14:paraId="447D2762">
      <w:pPr>
        <w:pStyle w:val="3"/>
        <w:spacing w:beforeLines="50" w:afterLines="50"/>
        <w:ind w:firstLine="422" w:firstLineChars="200"/>
        <w:rPr>
          <w:rFonts w:ascii="宋体" w:hAnsi="宋体" w:eastAsia="宋体" w:cs="宋体"/>
          <w:highlight w:val="none"/>
        </w:rPr>
      </w:pPr>
      <w:bookmarkStart w:id="727" w:name="_Toc78803378"/>
      <w:bookmarkStart w:id="728" w:name="_Toc324404868"/>
      <w:bookmarkStart w:id="729" w:name="_Toc15058910"/>
      <w:bookmarkStart w:id="730" w:name="_Toc15626"/>
      <w:bookmarkStart w:id="731" w:name="_Toc506107321"/>
      <w:bookmarkStart w:id="732" w:name="_Toc35424943"/>
      <w:bookmarkStart w:id="733" w:name="_Toc35425109"/>
      <w:r>
        <w:rPr>
          <w:rFonts w:hint="eastAsia" w:ascii="宋体" w:hAnsi="宋体" w:eastAsia="宋体" w:cs="宋体"/>
          <w:highlight w:val="none"/>
        </w:rPr>
        <w:t>3.资格审查委员会和审查标准</w:t>
      </w:r>
      <w:bookmarkEnd w:id="727"/>
      <w:bookmarkEnd w:id="728"/>
      <w:bookmarkEnd w:id="729"/>
      <w:bookmarkEnd w:id="730"/>
      <w:bookmarkEnd w:id="731"/>
      <w:bookmarkEnd w:id="732"/>
      <w:bookmarkEnd w:id="733"/>
    </w:p>
    <w:p w14:paraId="48F20776">
      <w:pPr>
        <w:spacing w:line="440" w:lineRule="exact"/>
        <w:ind w:firstLine="420" w:firstLineChars="200"/>
        <w:jc w:val="left"/>
        <w:rPr>
          <w:rFonts w:hint="eastAsia" w:ascii="宋体" w:hAnsi="宋体" w:eastAsia="宋体" w:cs="宋体"/>
          <w:szCs w:val="21"/>
          <w:highlight w:val="none"/>
        </w:rPr>
      </w:pPr>
      <w:bookmarkStart w:id="734" w:name="_Toc324404869"/>
      <w:bookmarkStart w:id="735" w:name="_Toc35425110"/>
      <w:bookmarkStart w:id="736" w:name="_Toc506107322"/>
      <w:bookmarkStart w:id="737" w:name="_Toc35424944"/>
      <w:bookmarkStart w:id="738" w:name="_Toc78803379"/>
      <w:bookmarkStart w:id="739" w:name="_Toc10330"/>
      <w:bookmarkStart w:id="740" w:name="_Toc15058911"/>
      <w:r>
        <w:rPr>
          <w:rFonts w:hint="eastAsia" w:ascii="宋体" w:hAnsi="宋体" w:eastAsia="宋体" w:cs="宋体"/>
          <w:szCs w:val="21"/>
          <w:highlight w:val="none"/>
        </w:rPr>
        <w:t>3.1资格审查由招标人依法组建的资格审查委员会（或评标委员会）负责。审查标准见资格审查办法前附表。</w:t>
      </w:r>
    </w:p>
    <w:p w14:paraId="75FCAEF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3.2由资格审查委员会（评标委员会）按资格审查办法前附表要求对投标人的审查资料进行核验。投标申请人有下列情形之一的，其资格审查为不合格： </w:t>
      </w:r>
    </w:p>
    <w:p w14:paraId="465F4E8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（1）未上传电子标书或电子标书经审查不合格；</w:t>
      </w:r>
    </w:p>
    <w:p w14:paraId="526FEED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cs="宋体"/>
          <w:szCs w:val="21"/>
          <w:highlight w:val="none"/>
          <w:lang w:val="en-US" w:eastAsia="zh-CN"/>
        </w:rPr>
        <w:t>2</w:t>
      </w:r>
      <w:r>
        <w:rPr>
          <w:rFonts w:hint="eastAsia" w:ascii="宋体" w:hAnsi="宋体" w:eastAsia="宋体" w:cs="宋体"/>
          <w:szCs w:val="21"/>
          <w:highlight w:val="none"/>
        </w:rPr>
        <w:t>）法律、法规规定的其他情形。</w:t>
      </w:r>
    </w:p>
    <w:p w14:paraId="439F3B10">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4.审查结果</w:t>
      </w:r>
      <w:bookmarkEnd w:id="734"/>
      <w:bookmarkEnd w:id="735"/>
      <w:bookmarkEnd w:id="736"/>
      <w:bookmarkEnd w:id="737"/>
      <w:bookmarkEnd w:id="738"/>
      <w:bookmarkEnd w:id="739"/>
      <w:bookmarkEnd w:id="740"/>
    </w:p>
    <w:p w14:paraId="58D45548">
      <w:pPr>
        <w:spacing w:line="440" w:lineRule="exact"/>
        <w:ind w:firstLine="420" w:firstLineChars="200"/>
        <w:jc w:val="left"/>
        <w:rPr>
          <w:rFonts w:ascii="宋体" w:hAnsi="宋体" w:cs="宋体"/>
          <w:szCs w:val="21"/>
          <w:highlight w:val="none"/>
        </w:rPr>
      </w:pPr>
      <w:r>
        <w:rPr>
          <w:rFonts w:hint="eastAsia" w:ascii="宋体" w:hAnsi="宋体" w:cs="宋体"/>
          <w:highlight w:val="none"/>
        </w:rPr>
        <w:t>只有通过资格审查的投标人才能进入下一步的评标程序。</w:t>
      </w:r>
      <w:bookmarkStart w:id="741" w:name="_Toc506107323"/>
    </w:p>
    <w:p w14:paraId="500CB5F4">
      <w:pPr>
        <w:pStyle w:val="2"/>
        <w:spacing w:beforeLines="50" w:afterLines="50"/>
        <w:rPr>
          <w:highlight w:val="none"/>
        </w:rPr>
      </w:pPr>
      <w:bookmarkStart w:id="742" w:name="_Toc35424945"/>
      <w:bookmarkStart w:id="743" w:name="_Toc15058912"/>
      <w:bookmarkStart w:id="744" w:name="_Toc35425111"/>
      <w:r>
        <w:rPr>
          <w:rFonts w:hint="eastAsia"/>
          <w:highlight w:val="none"/>
        </w:rPr>
        <w:br w:type="page"/>
      </w:r>
      <w:bookmarkStart w:id="745" w:name="_Toc78803380"/>
      <w:r>
        <w:rPr>
          <w:rFonts w:hint="eastAsia" w:ascii="Arial" w:hAnsi="Arial"/>
          <w:kern w:val="0"/>
          <w:sz w:val="32"/>
          <w:szCs w:val="32"/>
          <w:highlight w:val="none"/>
        </w:rPr>
        <w:t>第三章  评标办法</w:t>
      </w:r>
      <w:bookmarkEnd w:id="607"/>
      <w:bookmarkEnd w:id="741"/>
      <w:bookmarkEnd w:id="742"/>
      <w:bookmarkEnd w:id="743"/>
      <w:bookmarkEnd w:id="744"/>
      <w:bookmarkEnd w:id="745"/>
    </w:p>
    <w:p w14:paraId="3303ED71">
      <w:pPr>
        <w:spacing w:beforeLines="50" w:afterLines="50" w:line="440" w:lineRule="exact"/>
        <w:jc w:val="center"/>
        <w:rPr>
          <w:rFonts w:ascii="宋体" w:hAnsi="宋体" w:cs="宋体"/>
          <w:b/>
          <w:bCs/>
          <w:sz w:val="28"/>
          <w:szCs w:val="28"/>
          <w:highlight w:val="none"/>
        </w:rPr>
      </w:pPr>
      <w:bookmarkStart w:id="746" w:name="_Toc35425112"/>
      <w:bookmarkStart w:id="747" w:name="_Toc35424946"/>
      <w:r>
        <w:rPr>
          <w:rFonts w:hint="eastAsia" w:ascii="宋体" w:hAnsi="宋体" w:cs="宋体"/>
          <w:b/>
          <w:bCs/>
          <w:sz w:val="28"/>
          <w:szCs w:val="28"/>
          <w:highlight w:val="none"/>
        </w:rPr>
        <w:t>评标办法前附表</w:t>
      </w:r>
      <w:bookmarkEnd w:id="746"/>
      <w:bookmarkEnd w:id="747"/>
    </w:p>
    <w:p w14:paraId="1395A076">
      <w:pPr>
        <w:pStyle w:val="27"/>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440" w:lineRule="exact"/>
        <w:ind w:leftChars="200"/>
        <w:jc w:val="center"/>
        <w:textAlignment w:val="auto"/>
        <w:rPr>
          <w:rFonts w:hint="eastAsia" w:ascii="Times New Roman" w:hAnsi="Times New Roman" w:eastAsia="宋体" w:cs="Times New Roman"/>
          <w:b/>
          <w:color w:val="auto"/>
          <w:sz w:val="28"/>
          <w:szCs w:val="21"/>
          <w:highlight w:val="none"/>
          <w:lang w:val="en-US" w:eastAsia="zh-CN"/>
        </w:rPr>
      </w:pPr>
      <w:r>
        <w:rPr>
          <w:rFonts w:hint="eastAsia" w:ascii="Times New Roman" w:hAnsi="Times New Roman" w:eastAsia="宋体" w:cs="Times New Roman"/>
          <w:b/>
          <w:color w:val="auto"/>
          <w:sz w:val="28"/>
          <w:szCs w:val="21"/>
          <w:highlight w:val="none"/>
          <w:lang w:val="en-US" w:eastAsia="zh-CN"/>
        </w:rPr>
        <w:t>（一）资信标评分细则（30分）</w:t>
      </w:r>
    </w:p>
    <w:tbl>
      <w:tblPr>
        <w:tblStyle w:val="48"/>
        <w:tblW w:w="10208" w:type="dxa"/>
        <w:tblInd w:w="-5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8"/>
        <w:gridCol w:w="7990"/>
      </w:tblGrid>
      <w:tr w14:paraId="750F6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218" w:type="dxa"/>
            <w:vAlign w:val="center"/>
          </w:tcPr>
          <w:p w14:paraId="0FDEEEC5">
            <w:pPr>
              <w:pStyle w:val="12"/>
              <w:ind w:left="0" w:leftChars="0"/>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评审因素</w:t>
            </w:r>
          </w:p>
        </w:tc>
        <w:tc>
          <w:tcPr>
            <w:tcW w:w="7990" w:type="dxa"/>
            <w:vAlign w:val="center"/>
          </w:tcPr>
          <w:p w14:paraId="0A5843EA">
            <w:pPr>
              <w:pStyle w:val="12"/>
              <w:ind w:left="0" w:leftChars="0"/>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评审标准</w:t>
            </w:r>
          </w:p>
        </w:tc>
      </w:tr>
      <w:tr w14:paraId="6924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218" w:type="dxa"/>
            <w:vAlign w:val="center"/>
          </w:tcPr>
          <w:p w14:paraId="77049051">
            <w:pPr>
              <w:pStyle w:val="12"/>
              <w:ind w:left="0" w:leftChars="0"/>
              <w:jc w:val="center"/>
              <w:rPr>
                <w:rFonts w:hint="default"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企业</w:t>
            </w:r>
            <w:r>
              <w:rPr>
                <w:rFonts w:hint="eastAsia" w:ascii="宋体" w:hAnsi="宋体" w:eastAsia="宋体" w:cs="宋体"/>
                <w:kern w:val="0"/>
                <w:sz w:val="21"/>
                <w:szCs w:val="21"/>
                <w:highlight w:val="none"/>
                <w:lang w:val="en-US" w:eastAsia="zh-CN"/>
              </w:rPr>
              <w:t>业绩</w:t>
            </w:r>
          </w:p>
          <w:p w14:paraId="5C120D41">
            <w:pPr>
              <w:pStyle w:val="12"/>
              <w:ind w:left="0" w:leftChars="0"/>
              <w:jc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（20</w:t>
            </w:r>
            <w:r>
              <w:rPr>
                <w:rFonts w:hint="eastAsia" w:ascii="宋体" w:hAnsi="宋体" w:eastAsia="宋体" w:cs="宋体"/>
                <w:kern w:val="0"/>
                <w:sz w:val="21"/>
                <w:szCs w:val="21"/>
                <w:highlight w:val="none"/>
              </w:rPr>
              <w:t>分</w:t>
            </w:r>
            <w:r>
              <w:rPr>
                <w:rFonts w:hint="eastAsia" w:ascii="宋体" w:hAnsi="宋体" w:eastAsia="宋体" w:cs="宋体"/>
                <w:kern w:val="0"/>
                <w:sz w:val="21"/>
                <w:szCs w:val="21"/>
                <w:highlight w:val="none"/>
                <w:lang w:eastAsia="zh-CN"/>
              </w:rPr>
              <w:t>）</w:t>
            </w:r>
          </w:p>
        </w:tc>
        <w:tc>
          <w:tcPr>
            <w:tcW w:w="7990" w:type="dxa"/>
            <w:vAlign w:val="top"/>
          </w:tcPr>
          <w:p w14:paraId="2237DC8D">
            <w:pPr>
              <w:pStyle w:val="12"/>
              <w:ind w:left="0" w:leftChars="0"/>
              <w:rPr>
                <w:rFonts w:hint="eastAsia" w:ascii="宋体" w:hAnsi="宋体" w:eastAsia="宋体" w:cs="宋体"/>
                <w:kern w:val="0"/>
                <w:sz w:val="21"/>
                <w:szCs w:val="21"/>
                <w:highlight w:val="none"/>
                <w:lang w:val="zh-CN"/>
              </w:rPr>
            </w:pPr>
            <w:r>
              <w:rPr>
                <w:rFonts w:hint="eastAsia" w:ascii="宋体" w:hAnsi="宋体" w:eastAsia="宋体" w:cs="宋体"/>
                <w:kern w:val="0"/>
                <w:sz w:val="21"/>
                <w:szCs w:val="21"/>
                <w:highlight w:val="none"/>
              </w:rPr>
              <w:t>自20</w:t>
            </w:r>
            <w:r>
              <w:rPr>
                <w:rFonts w:hint="eastAsia" w:ascii="宋体" w:hAnsi="宋体" w:eastAsia="宋体" w:cs="宋体"/>
                <w:kern w:val="0"/>
                <w:sz w:val="21"/>
                <w:szCs w:val="21"/>
                <w:highlight w:val="none"/>
                <w:lang w:val="en-US" w:eastAsia="zh-CN"/>
              </w:rPr>
              <w:t>2</w:t>
            </w:r>
            <w:r>
              <w:rPr>
                <w:rFonts w:hint="eastAsia" w:ascii="宋体" w:hAnsi="宋体" w:cs="宋体"/>
                <w:kern w:val="0"/>
                <w:sz w:val="21"/>
                <w:szCs w:val="21"/>
                <w:highlight w:val="none"/>
                <w:lang w:val="en-US" w:eastAsia="zh-CN"/>
              </w:rPr>
              <w:t>1</w:t>
            </w:r>
            <w:r>
              <w:rPr>
                <w:rFonts w:hint="eastAsia" w:ascii="宋体" w:hAnsi="宋体" w:eastAsia="宋体" w:cs="宋体"/>
                <w:kern w:val="0"/>
                <w:sz w:val="21"/>
                <w:szCs w:val="21"/>
                <w:highlight w:val="none"/>
              </w:rPr>
              <w:t>年1月1日至投标截止</w:t>
            </w:r>
            <w:r>
              <w:rPr>
                <w:rFonts w:hint="eastAsia" w:ascii="宋体" w:hAnsi="宋体" w:eastAsia="宋体" w:cs="宋体"/>
                <w:kern w:val="0"/>
                <w:sz w:val="21"/>
                <w:szCs w:val="21"/>
                <w:highlight w:val="none"/>
                <w:lang w:val="en-US" w:eastAsia="zh-CN"/>
              </w:rPr>
              <w:t>时间（以合同签订时间为准），投标人每</w:t>
            </w:r>
            <w:r>
              <w:rPr>
                <w:rFonts w:hint="eastAsia" w:ascii="宋体" w:hAnsi="宋体" w:eastAsia="宋体" w:cs="宋体"/>
                <w:kern w:val="0"/>
                <w:sz w:val="21"/>
                <w:szCs w:val="21"/>
                <w:highlight w:val="none"/>
              </w:rPr>
              <w:t>完成过</w:t>
            </w:r>
            <w:r>
              <w:rPr>
                <w:rFonts w:hint="eastAsia" w:ascii="宋体" w:hAnsi="宋体" w:eastAsia="宋体" w:cs="宋体"/>
                <w:kern w:val="0"/>
                <w:sz w:val="21"/>
                <w:szCs w:val="21"/>
                <w:highlight w:val="none"/>
                <w:lang w:val="en-US" w:eastAsia="zh-CN"/>
              </w:rPr>
              <w:t>一个电力工程监理业绩</w:t>
            </w:r>
            <w:r>
              <w:rPr>
                <w:rFonts w:hint="eastAsia" w:ascii="宋体" w:hAnsi="宋体" w:eastAsia="宋体" w:cs="宋体"/>
                <w:kern w:val="0"/>
                <w:sz w:val="21"/>
                <w:szCs w:val="21"/>
                <w:highlight w:val="none"/>
              </w:rPr>
              <w:t>得</w:t>
            </w:r>
            <w:r>
              <w:rPr>
                <w:rFonts w:hint="eastAsia" w:ascii="宋体" w:hAnsi="宋体" w:eastAsia="宋体" w:cs="宋体"/>
                <w:kern w:val="0"/>
                <w:sz w:val="21"/>
                <w:szCs w:val="21"/>
                <w:highlight w:val="none"/>
                <w:lang w:val="en-US" w:eastAsia="zh-CN"/>
              </w:rPr>
              <w:t>10</w:t>
            </w:r>
            <w:r>
              <w:rPr>
                <w:rFonts w:hint="eastAsia" w:ascii="宋体" w:hAnsi="宋体" w:eastAsia="宋体" w:cs="宋体"/>
                <w:kern w:val="0"/>
                <w:sz w:val="21"/>
                <w:szCs w:val="21"/>
                <w:highlight w:val="none"/>
              </w:rPr>
              <w:t>分</w:t>
            </w:r>
            <w:r>
              <w:rPr>
                <w:rFonts w:hint="eastAsia" w:ascii="宋体" w:hAnsi="宋体" w:eastAsia="宋体" w:cs="宋体"/>
                <w:kern w:val="0"/>
                <w:sz w:val="21"/>
                <w:szCs w:val="21"/>
                <w:highlight w:val="none"/>
                <w:lang w:val="zh-CN"/>
              </w:rPr>
              <w:t>，</w:t>
            </w:r>
            <w:r>
              <w:rPr>
                <w:rFonts w:hint="eastAsia" w:ascii="宋体" w:hAnsi="宋体" w:eastAsia="宋体" w:cs="宋体"/>
                <w:kern w:val="0"/>
                <w:sz w:val="21"/>
                <w:szCs w:val="21"/>
                <w:highlight w:val="none"/>
                <w:lang w:val="en-US" w:eastAsia="zh-CN"/>
              </w:rPr>
              <w:t>其他的不得分，</w:t>
            </w:r>
            <w:r>
              <w:rPr>
                <w:rFonts w:hint="eastAsia" w:ascii="宋体" w:hAnsi="宋体" w:eastAsia="宋体" w:cs="宋体"/>
                <w:kern w:val="0"/>
                <w:sz w:val="21"/>
                <w:szCs w:val="21"/>
                <w:highlight w:val="none"/>
                <w:lang w:val="zh-CN"/>
              </w:rPr>
              <w:t>本项最高</w:t>
            </w:r>
            <w:r>
              <w:rPr>
                <w:rFonts w:hint="eastAsia" w:ascii="宋体" w:hAnsi="宋体" w:eastAsia="宋体" w:cs="宋体"/>
                <w:kern w:val="0"/>
                <w:sz w:val="21"/>
                <w:szCs w:val="21"/>
                <w:highlight w:val="none"/>
                <w:lang w:val="en-US" w:eastAsia="zh-CN"/>
              </w:rPr>
              <w:t>20</w:t>
            </w:r>
            <w:r>
              <w:rPr>
                <w:rFonts w:hint="eastAsia" w:ascii="宋体" w:hAnsi="宋体" w:eastAsia="宋体" w:cs="宋体"/>
                <w:kern w:val="0"/>
                <w:sz w:val="21"/>
                <w:szCs w:val="21"/>
                <w:highlight w:val="none"/>
                <w:lang w:val="zh-CN"/>
              </w:rPr>
              <w:t>分。</w:t>
            </w:r>
          </w:p>
          <w:p w14:paraId="617F425A">
            <w:pPr>
              <w:pStyle w:val="12"/>
              <w:ind w:left="0" w:leftChars="0"/>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zh-CN"/>
              </w:rPr>
              <w:t>注：</w:t>
            </w:r>
            <w:r>
              <w:rPr>
                <w:rFonts w:hint="eastAsia" w:ascii="宋体" w:hAnsi="宋体" w:eastAsia="宋体" w:cs="宋体"/>
                <w:kern w:val="0"/>
                <w:sz w:val="21"/>
                <w:szCs w:val="21"/>
                <w:highlight w:val="none"/>
                <w:lang w:val="en-US" w:eastAsia="zh-CN"/>
              </w:rPr>
              <w:t>投标文件中提供业绩合同扫描件</w:t>
            </w:r>
            <w:r>
              <w:rPr>
                <w:rFonts w:hint="eastAsia" w:ascii="宋体" w:hAnsi="宋体" w:eastAsia="宋体" w:cs="宋体"/>
                <w:kern w:val="0"/>
                <w:sz w:val="21"/>
                <w:szCs w:val="21"/>
                <w:highlight w:val="none"/>
              </w:rPr>
              <w:t>，</w:t>
            </w:r>
            <w:r>
              <w:rPr>
                <w:rFonts w:hint="eastAsia" w:ascii="宋体" w:hAnsi="宋体" w:eastAsia="宋体" w:cs="宋体"/>
                <w:kern w:val="0"/>
                <w:sz w:val="21"/>
                <w:szCs w:val="21"/>
                <w:highlight w:val="none"/>
                <w:lang w:val="en-US" w:eastAsia="zh-CN"/>
              </w:rPr>
              <w:t>若合同中无法体现签订时间、服务内容等关键评审因素的，须同时提供业主(合同甲方)证明材料扫描件。</w:t>
            </w:r>
          </w:p>
        </w:tc>
      </w:tr>
      <w:tr w14:paraId="0FE22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2218" w:type="dxa"/>
            <w:vAlign w:val="center"/>
          </w:tcPr>
          <w:p w14:paraId="3B9E8D2C">
            <w:pPr>
              <w:spacing w:before="69" w:line="360" w:lineRule="exact"/>
              <w:jc w:val="center"/>
              <w:rPr>
                <w:rFonts w:hint="eastAsia" w:ascii="宋体" w:hAnsi="宋体" w:eastAsia="宋体" w:cs="宋体"/>
                <w:color w:val="auto"/>
                <w:spacing w:val="-2"/>
                <w:position w:val="11"/>
                <w:sz w:val="21"/>
                <w:szCs w:val="21"/>
                <w:highlight w:val="none"/>
              </w:rPr>
            </w:pPr>
            <w:r>
              <w:rPr>
                <w:rFonts w:hint="eastAsia" w:ascii="宋体" w:hAnsi="宋体" w:eastAsia="宋体" w:cs="宋体"/>
                <w:color w:val="auto"/>
                <w:spacing w:val="-2"/>
                <w:position w:val="11"/>
                <w:sz w:val="21"/>
                <w:szCs w:val="21"/>
                <w:highlight w:val="none"/>
              </w:rPr>
              <w:t>项目管理机构</w:t>
            </w:r>
          </w:p>
          <w:p w14:paraId="3E431E2F">
            <w:pPr>
              <w:spacing w:before="69" w:line="360" w:lineRule="exact"/>
              <w:jc w:val="center"/>
              <w:rPr>
                <w:rFonts w:hint="eastAsia" w:ascii="宋体" w:hAnsi="宋体" w:eastAsia="宋体" w:cs="宋体"/>
                <w:color w:val="auto"/>
                <w:spacing w:val="-2"/>
                <w:position w:val="11"/>
                <w:sz w:val="21"/>
                <w:szCs w:val="21"/>
                <w:highlight w:val="none"/>
                <w:lang w:val="en-US" w:eastAsia="zh-CN"/>
              </w:rPr>
            </w:pPr>
            <w:r>
              <w:rPr>
                <w:rFonts w:hint="eastAsia" w:ascii="宋体" w:hAnsi="宋体" w:eastAsia="宋体" w:cs="宋体"/>
                <w:color w:val="auto"/>
                <w:spacing w:val="-2"/>
                <w:position w:val="11"/>
                <w:sz w:val="21"/>
                <w:szCs w:val="21"/>
                <w:highlight w:val="none"/>
              </w:rPr>
              <w:t>（</w:t>
            </w:r>
            <w:r>
              <w:rPr>
                <w:rFonts w:hint="eastAsia" w:ascii="宋体" w:hAnsi="宋体" w:cs="宋体"/>
                <w:color w:val="auto"/>
                <w:spacing w:val="-2"/>
                <w:position w:val="11"/>
                <w:sz w:val="21"/>
                <w:szCs w:val="21"/>
                <w:highlight w:val="none"/>
                <w:lang w:val="en-US" w:eastAsia="zh-CN"/>
              </w:rPr>
              <w:t>10</w:t>
            </w:r>
            <w:r>
              <w:rPr>
                <w:rFonts w:hint="eastAsia" w:ascii="宋体" w:hAnsi="宋体" w:eastAsia="宋体" w:cs="宋体"/>
                <w:color w:val="auto"/>
                <w:spacing w:val="-2"/>
                <w:position w:val="11"/>
                <w:sz w:val="21"/>
                <w:szCs w:val="21"/>
                <w:highlight w:val="none"/>
              </w:rPr>
              <w:t>分）</w:t>
            </w:r>
          </w:p>
        </w:tc>
        <w:tc>
          <w:tcPr>
            <w:tcW w:w="7990" w:type="dxa"/>
            <w:vAlign w:val="center"/>
          </w:tcPr>
          <w:p w14:paraId="5D30F588">
            <w:pPr>
              <w:widowControl/>
              <w:numPr>
                <w:ilvl w:val="0"/>
                <w:numId w:val="1"/>
              </w:numPr>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总监理工程师</w:t>
            </w:r>
            <w:r>
              <w:rPr>
                <w:rFonts w:hint="eastAsia" w:ascii="宋体" w:hAnsi="宋体" w:eastAsia="宋体" w:cs="宋体"/>
                <w:color w:val="auto"/>
                <w:kern w:val="0"/>
                <w:sz w:val="21"/>
                <w:szCs w:val="21"/>
                <w:highlight w:val="none"/>
                <w:lang w:eastAsia="zh-CN"/>
              </w:rPr>
              <w:t>：</w:t>
            </w:r>
          </w:p>
          <w:p w14:paraId="52502A64">
            <w:pPr>
              <w:widowControl/>
              <w:numPr>
                <w:ilvl w:val="0"/>
                <w:numId w:val="0"/>
              </w:numPr>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①具有高级职称</w:t>
            </w:r>
            <w:r>
              <w:rPr>
                <w:rFonts w:hint="eastAsia" w:ascii="宋体" w:hAnsi="宋体" w:eastAsia="宋体" w:cs="宋体"/>
                <w:color w:val="auto"/>
                <w:kern w:val="0"/>
                <w:sz w:val="21"/>
                <w:szCs w:val="21"/>
                <w:highlight w:val="none"/>
                <w:lang w:val="en-US" w:eastAsia="zh-CN"/>
              </w:rPr>
              <w:t>得</w:t>
            </w:r>
            <w:r>
              <w:rPr>
                <w:rFonts w:hint="eastAsia" w:ascii="宋体" w:hAnsi="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分；具有中级职称</w:t>
            </w:r>
            <w:r>
              <w:rPr>
                <w:rFonts w:hint="eastAsia" w:ascii="宋体" w:hAnsi="宋体" w:eastAsia="宋体" w:cs="宋体"/>
                <w:color w:val="auto"/>
                <w:kern w:val="0"/>
                <w:sz w:val="21"/>
                <w:szCs w:val="21"/>
                <w:highlight w:val="none"/>
                <w:lang w:val="en-US" w:eastAsia="zh-CN"/>
              </w:rPr>
              <w:t>得</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分，本项最高</w:t>
            </w:r>
            <w:r>
              <w:rPr>
                <w:rFonts w:hint="eastAsia" w:ascii="宋体" w:hAnsi="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分。</w:t>
            </w:r>
          </w:p>
          <w:p w14:paraId="33625C49">
            <w:pPr>
              <w:widowControl/>
              <w:numPr>
                <w:ilvl w:val="0"/>
                <w:numId w:val="0"/>
              </w:numPr>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注：提供</w:t>
            </w:r>
            <w:r>
              <w:rPr>
                <w:rFonts w:hint="eastAsia" w:ascii="宋体" w:hAnsi="宋体" w:eastAsia="宋体" w:cs="宋体"/>
                <w:color w:val="auto"/>
                <w:kern w:val="0"/>
                <w:sz w:val="21"/>
                <w:szCs w:val="21"/>
                <w:highlight w:val="none"/>
              </w:rPr>
              <w:t>职称证书</w:t>
            </w:r>
            <w:r>
              <w:rPr>
                <w:rFonts w:hint="eastAsia" w:ascii="宋体" w:hAnsi="宋体" w:eastAsia="宋体" w:cs="宋体"/>
                <w:color w:val="auto"/>
                <w:kern w:val="0"/>
                <w:sz w:val="21"/>
                <w:szCs w:val="21"/>
                <w:highlight w:val="none"/>
                <w:lang w:val="en-US" w:eastAsia="zh-CN"/>
              </w:rPr>
              <w:t>扫描件。</w:t>
            </w:r>
          </w:p>
          <w:p w14:paraId="17F120C2">
            <w:pPr>
              <w:widowControl/>
              <w:numPr>
                <w:ilvl w:val="0"/>
                <w:numId w:val="0"/>
              </w:numPr>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②获取国家注册监理工程师资格证书10年及以上得</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5年及以上得</w:t>
            </w:r>
            <w:r>
              <w:rPr>
                <w:rFonts w:hint="eastAsia" w:ascii="宋体" w:hAnsi="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5年以下不得分，本项最高</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分。</w:t>
            </w:r>
          </w:p>
          <w:p w14:paraId="5B314C61">
            <w:pPr>
              <w:widowControl/>
              <w:numPr>
                <w:ilvl w:val="0"/>
                <w:numId w:val="0"/>
              </w:numPr>
              <w:jc w:val="left"/>
              <w:rPr>
                <w:rFonts w:hint="eastAsia" w:eastAsia="宋体"/>
                <w:color w:val="auto"/>
                <w:sz w:val="21"/>
                <w:szCs w:val="21"/>
                <w:highlight w:val="none"/>
                <w:vertAlign w:val="baseline"/>
                <w:lang w:val="en-US" w:eastAsia="zh-CN"/>
              </w:rPr>
            </w:pPr>
            <w:r>
              <w:rPr>
                <w:rFonts w:hint="eastAsia" w:ascii="宋体" w:hAnsi="宋体" w:eastAsia="宋体" w:cs="宋体"/>
                <w:color w:val="auto"/>
                <w:kern w:val="0"/>
                <w:sz w:val="21"/>
                <w:szCs w:val="21"/>
                <w:highlight w:val="none"/>
                <w:lang w:val="en-US" w:eastAsia="zh-CN"/>
              </w:rPr>
              <w:t>注：</w:t>
            </w:r>
            <w:r>
              <w:rPr>
                <w:rFonts w:hint="eastAsia" w:ascii="宋体" w:hAnsi="宋体" w:eastAsia="宋体" w:cs="宋体"/>
                <w:color w:val="auto"/>
                <w:kern w:val="0"/>
                <w:sz w:val="21"/>
                <w:szCs w:val="21"/>
                <w:highlight w:val="none"/>
              </w:rPr>
              <w:t>国家注册监理工程师资格证书</w:t>
            </w:r>
            <w:r>
              <w:rPr>
                <w:rFonts w:hint="eastAsia" w:ascii="宋体" w:hAnsi="宋体" w:eastAsia="宋体" w:cs="宋体"/>
                <w:color w:val="auto"/>
                <w:kern w:val="0"/>
                <w:sz w:val="21"/>
                <w:szCs w:val="21"/>
                <w:highlight w:val="none"/>
                <w:lang w:val="en-US" w:eastAsia="zh-CN"/>
              </w:rPr>
              <w:t>扫描件，年限以资格证书批准日期为准。</w:t>
            </w:r>
            <w:r>
              <w:rPr>
                <w:rFonts w:hint="eastAsia" w:ascii="宋体" w:hAnsi="宋体" w:eastAsia="宋体" w:cs="宋体"/>
                <w:color w:val="auto"/>
                <w:kern w:val="0"/>
                <w:sz w:val="21"/>
                <w:szCs w:val="21"/>
                <w:highlight w:val="none"/>
              </w:rPr>
              <w:t xml:space="preserve"> </w:t>
            </w:r>
          </w:p>
        </w:tc>
      </w:tr>
    </w:tbl>
    <w:p w14:paraId="6EF3540D">
      <w:pPr>
        <w:pStyle w:val="27"/>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440" w:lineRule="exact"/>
        <w:ind w:leftChars="200"/>
        <w:jc w:val="center"/>
        <w:textAlignment w:val="auto"/>
        <w:rPr>
          <w:rFonts w:hint="eastAsia" w:ascii="Times New Roman" w:hAnsi="Times New Roman" w:eastAsia="宋体" w:cs="Times New Roman"/>
          <w:b/>
          <w:color w:val="auto"/>
          <w:sz w:val="28"/>
          <w:szCs w:val="21"/>
          <w:highlight w:val="none"/>
          <w:lang w:val="en-US" w:eastAsia="zh-CN"/>
        </w:rPr>
      </w:pPr>
      <w:r>
        <w:rPr>
          <w:rFonts w:hint="eastAsia" w:ascii="Times New Roman" w:hAnsi="Times New Roman" w:eastAsia="宋体" w:cs="Times New Roman"/>
          <w:b/>
          <w:color w:val="auto"/>
          <w:sz w:val="28"/>
          <w:szCs w:val="21"/>
          <w:highlight w:val="none"/>
          <w:lang w:val="en-US" w:eastAsia="zh-CN"/>
        </w:rPr>
        <w:t>（二）技术标评分细则（</w:t>
      </w:r>
      <w:r>
        <w:rPr>
          <w:rFonts w:hint="eastAsia" w:cs="Times New Roman"/>
          <w:b/>
          <w:color w:val="auto"/>
          <w:sz w:val="28"/>
          <w:szCs w:val="21"/>
          <w:highlight w:val="none"/>
          <w:lang w:val="en-US" w:eastAsia="zh-CN"/>
        </w:rPr>
        <w:t>30</w:t>
      </w:r>
      <w:r>
        <w:rPr>
          <w:rFonts w:hint="eastAsia" w:ascii="Times New Roman" w:hAnsi="Times New Roman" w:eastAsia="宋体" w:cs="Times New Roman"/>
          <w:b/>
          <w:color w:val="auto"/>
          <w:sz w:val="28"/>
          <w:szCs w:val="21"/>
          <w:highlight w:val="none"/>
          <w:lang w:val="en-US" w:eastAsia="zh-CN"/>
        </w:rPr>
        <w:t>分）</w:t>
      </w:r>
    </w:p>
    <w:tbl>
      <w:tblPr>
        <w:tblStyle w:val="47"/>
        <w:tblW w:w="100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5"/>
        <w:gridCol w:w="1136"/>
        <w:gridCol w:w="2610"/>
        <w:gridCol w:w="1486"/>
        <w:gridCol w:w="4128"/>
      </w:tblGrid>
      <w:tr w14:paraId="5319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29" w:type="dxa"/>
            <w:gridSpan w:val="2"/>
            <w:noWrap w:val="0"/>
            <w:vAlign w:val="center"/>
          </w:tcPr>
          <w:p w14:paraId="04DD477E">
            <w:pPr>
              <w:keepNext w:val="0"/>
              <w:keepLines w:val="0"/>
              <w:pageBreakBefore w:val="0"/>
              <w:kinsoku/>
              <w:wordWrap/>
              <w:overflowPunct/>
              <w:topLinePunct w:val="0"/>
              <w:autoSpaceDE/>
              <w:autoSpaceDN/>
              <w:bidi w:val="0"/>
              <w:adjustRightInd/>
              <w:spacing w:beforeAutospacing="0" w:afterAutospacing="0"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序号</w:t>
            </w:r>
          </w:p>
        </w:tc>
        <w:tc>
          <w:tcPr>
            <w:tcW w:w="3746" w:type="dxa"/>
            <w:gridSpan w:val="2"/>
            <w:noWrap w:val="0"/>
            <w:vAlign w:val="center"/>
          </w:tcPr>
          <w:p w14:paraId="36AC2077">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w:t>
            </w:r>
          </w:p>
        </w:tc>
        <w:tc>
          <w:tcPr>
            <w:tcW w:w="5614" w:type="dxa"/>
            <w:gridSpan w:val="2"/>
            <w:noWrap w:val="0"/>
            <w:vAlign w:val="center"/>
          </w:tcPr>
          <w:p w14:paraId="5A0FAC12">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评审标准</w:t>
            </w:r>
          </w:p>
        </w:tc>
      </w:tr>
      <w:tr w14:paraId="6CE8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dxa"/>
            <w:noWrap w:val="0"/>
            <w:vAlign w:val="center"/>
          </w:tcPr>
          <w:p w14:paraId="4DD39292">
            <w:pPr>
              <w:keepNext w:val="0"/>
              <w:keepLines w:val="0"/>
              <w:pageBreakBefore w:val="0"/>
              <w:kinsoku/>
              <w:wordWrap/>
              <w:overflowPunct/>
              <w:topLinePunct w:val="0"/>
              <w:autoSpaceDE/>
              <w:autoSpaceDN/>
              <w:bidi w:val="0"/>
              <w:adjustRightInd/>
              <w:spacing w:beforeAutospacing="0" w:afterAutospacing="0"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41" w:type="dxa"/>
            <w:gridSpan w:val="2"/>
            <w:noWrap w:val="0"/>
            <w:vAlign w:val="center"/>
          </w:tcPr>
          <w:p w14:paraId="62225E09">
            <w:pPr>
              <w:keepNext w:val="0"/>
              <w:keepLines w:val="0"/>
              <w:pageBreakBefore w:val="0"/>
              <w:kinsoku/>
              <w:wordWrap/>
              <w:overflowPunct/>
              <w:topLinePunct w:val="0"/>
              <w:autoSpaceDE/>
              <w:autoSpaceDN/>
              <w:bidi w:val="0"/>
              <w:adjustRightInd/>
              <w:spacing w:beforeAutospacing="0" w:afterAutospacing="0" w:line="44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2610" w:type="dxa"/>
            <w:noWrap w:val="0"/>
            <w:vAlign w:val="center"/>
          </w:tcPr>
          <w:p w14:paraId="6F8E3EFB">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投标文件格式</w:t>
            </w:r>
          </w:p>
        </w:tc>
        <w:tc>
          <w:tcPr>
            <w:tcW w:w="5614" w:type="dxa"/>
            <w:gridSpan w:val="2"/>
            <w:noWrap w:val="0"/>
            <w:vAlign w:val="center"/>
          </w:tcPr>
          <w:p w14:paraId="33959AD9">
            <w:pPr>
              <w:keepNext w:val="0"/>
              <w:keepLines w:val="0"/>
              <w:pageBreakBefore w:val="0"/>
              <w:kinsoku/>
              <w:wordWrap/>
              <w:overflowPunct/>
              <w:topLinePunct w:val="0"/>
              <w:autoSpaceDE/>
              <w:autoSpaceDN/>
              <w:bidi w:val="0"/>
              <w:adjustRightInd/>
              <w:spacing w:beforeAutospacing="0" w:afterAutospacing="0" w:line="440" w:lineRule="exact"/>
              <w:ind w:left="0" w:leftChars="0" w:firstLine="0" w:firstLineChars="0"/>
              <w:jc w:val="left"/>
              <w:textAlignment w:val="auto"/>
              <w:rPr>
                <w:rFonts w:hint="eastAsia"/>
                <w:color w:val="auto"/>
                <w:highlight w:val="none"/>
              </w:rPr>
            </w:pPr>
            <w:r>
              <w:rPr>
                <w:rFonts w:hint="eastAsia"/>
                <w:color w:val="auto"/>
                <w:highlight w:val="none"/>
              </w:rPr>
              <w:t>符合第</w:t>
            </w:r>
            <w:r>
              <w:rPr>
                <w:rFonts w:hint="eastAsia"/>
                <w:color w:val="auto"/>
                <w:highlight w:val="none"/>
                <w:lang w:val="en-US" w:eastAsia="zh-CN"/>
              </w:rPr>
              <w:t>六</w:t>
            </w:r>
            <w:r>
              <w:rPr>
                <w:rFonts w:hint="eastAsia"/>
                <w:color w:val="auto"/>
                <w:highlight w:val="none"/>
              </w:rPr>
              <w:t>章“投标文件格式”的要求，</w:t>
            </w:r>
          </w:p>
          <w:p w14:paraId="7F09379E">
            <w:pPr>
              <w:keepNext w:val="0"/>
              <w:keepLines w:val="0"/>
              <w:pageBreakBefore w:val="0"/>
              <w:kinsoku/>
              <w:wordWrap/>
              <w:overflowPunct/>
              <w:topLinePunct w:val="0"/>
              <w:autoSpaceDE/>
              <w:autoSpaceDN/>
              <w:bidi w:val="0"/>
              <w:adjustRightInd/>
              <w:spacing w:beforeAutospacing="0" w:afterAutospacing="0" w:line="440" w:lineRule="exact"/>
              <w:ind w:left="0" w:leftChars="0" w:firstLine="0" w:firstLineChars="0"/>
              <w:jc w:val="left"/>
              <w:textAlignment w:val="auto"/>
              <w:rPr>
                <w:rFonts w:hint="eastAsia"/>
                <w:color w:val="auto"/>
                <w:highlight w:val="none"/>
              </w:rPr>
            </w:pPr>
            <w:r>
              <w:rPr>
                <w:rFonts w:hint="eastAsia"/>
                <w:color w:val="auto"/>
                <w:highlight w:val="none"/>
              </w:rPr>
              <w:t>否则经评委会一致认定后,按照无效投标处理。</w:t>
            </w:r>
          </w:p>
        </w:tc>
      </w:tr>
      <w:tr w14:paraId="35585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24" w:type="dxa"/>
            <w:vMerge w:val="restart"/>
            <w:noWrap w:val="0"/>
            <w:vAlign w:val="center"/>
          </w:tcPr>
          <w:p w14:paraId="245EB7B5">
            <w:pPr>
              <w:keepNext w:val="0"/>
              <w:keepLines w:val="0"/>
              <w:pageBreakBefore w:val="0"/>
              <w:kinsoku/>
              <w:wordWrap/>
              <w:overflowPunct/>
              <w:topLinePunct w:val="0"/>
              <w:autoSpaceDE/>
              <w:autoSpaceDN/>
              <w:bidi w:val="0"/>
              <w:adjustRightInd/>
              <w:spacing w:beforeAutospacing="0" w:afterAutospacing="0"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141" w:type="dxa"/>
            <w:gridSpan w:val="2"/>
            <w:vMerge w:val="restart"/>
            <w:noWrap w:val="0"/>
            <w:vAlign w:val="center"/>
          </w:tcPr>
          <w:p w14:paraId="770A2FD3">
            <w:pPr>
              <w:keepNext w:val="0"/>
              <w:keepLines w:val="0"/>
              <w:pageBreakBefore w:val="0"/>
              <w:kinsoku/>
              <w:wordWrap/>
              <w:overflowPunct/>
              <w:topLinePunct w:val="0"/>
              <w:autoSpaceDE/>
              <w:autoSpaceDN/>
              <w:bidi w:val="0"/>
              <w:adjustRightInd/>
              <w:spacing w:beforeAutospacing="0" w:afterAutospacing="0" w:line="44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响应性评审标准</w:t>
            </w:r>
          </w:p>
        </w:tc>
        <w:tc>
          <w:tcPr>
            <w:tcW w:w="2610" w:type="dxa"/>
            <w:noWrap w:val="0"/>
            <w:vAlign w:val="center"/>
          </w:tcPr>
          <w:p w14:paraId="3A8E1536">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投标内容</w:t>
            </w:r>
          </w:p>
        </w:tc>
        <w:tc>
          <w:tcPr>
            <w:tcW w:w="5614" w:type="dxa"/>
            <w:gridSpan w:val="2"/>
            <w:noWrap w:val="0"/>
            <w:vAlign w:val="top"/>
          </w:tcPr>
          <w:p w14:paraId="04385263">
            <w:pPr>
              <w:keepNext w:val="0"/>
              <w:keepLines w:val="0"/>
              <w:pageBreakBefore w:val="0"/>
              <w:kinsoku/>
              <w:wordWrap/>
              <w:overflowPunct/>
              <w:topLinePunct w:val="0"/>
              <w:autoSpaceDE/>
              <w:autoSpaceDN/>
              <w:bidi w:val="0"/>
              <w:adjustRightInd/>
              <w:spacing w:beforeAutospacing="0" w:afterAutospacing="0" w:line="440" w:lineRule="exact"/>
              <w:ind w:left="0" w:lef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cs="宋体"/>
                <w:color w:val="auto"/>
                <w:sz w:val="21"/>
                <w:szCs w:val="21"/>
                <w:highlight w:val="none"/>
                <w:lang w:val="en-US" w:eastAsia="zh-CN"/>
              </w:rPr>
              <w:t>一</w:t>
            </w:r>
            <w:r>
              <w:rPr>
                <w:rFonts w:hint="eastAsia" w:ascii="宋体" w:hAnsi="宋体" w:eastAsia="宋体" w:cs="宋体"/>
                <w:color w:val="auto"/>
                <w:sz w:val="21"/>
                <w:szCs w:val="21"/>
                <w:highlight w:val="none"/>
              </w:rPr>
              <w:t>章“投标人须知”第2.1项规定</w:t>
            </w:r>
          </w:p>
        </w:tc>
      </w:tr>
      <w:tr w14:paraId="4EFC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24" w:type="dxa"/>
            <w:vMerge w:val="continue"/>
            <w:noWrap w:val="0"/>
            <w:vAlign w:val="top"/>
          </w:tcPr>
          <w:p w14:paraId="7B1786F7">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top"/>
          </w:tcPr>
          <w:p w14:paraId="2FCF5146">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p>
        </w:tc>
        <w:tc>
          <w:tcPr>
            <w:tcW w:w="2610" w:type="dxa"/>
            <w:noWrap w:val="0"/>
            <w:vAlign w:val="center"/>
          </w:tcPr>
          <w:p w14:paraId="52882314">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权利义务</w:t>
            </w:r>
          </w:p>
        </w:tc>
        <w:tc>
          <w:tcPr>
            <w:tcW w:w="5614" w:type="dxa"/>
            <w:gridSpan w:val="2"/>
            <w:noWrap w:val="0"/>
            <w:vAlign w:val="top"/>
          </w:tcPr>
          <w:p w14:paraId="11F3E2BA">
            <w:pPr>
              <w:keepNext w:val="0"/>
              <w:keepLines w:val="0"/>
              <w:pageBreakBefore w:val="0"/>
              <w:kinsoku/>
              <w:wordWrap/>
              <w:overflowPunct/>
              <w:topLinePunct w:val="0"/>
              <w:autoSpaceDE/>
              <w:autoSpaceDN/>
              <w:bidi w:val="0"/>
              <w:adjustRightInd/>
              <w:spacing w:beforeAutospacing="0" w:afterAutospacing="0" w:line="440" w:lineRule="exact"/>
              <w:ind w:left="0" w:lef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14:paraId="52BB1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exact"/>
          <w:jc w:val="center"/>
        </w:trPr>
        <w:tc>
          <w:tcPr>
            <w:tcW w:w="724" w:type="dxa"/>
            <w:vMerge w:val="continue"/>
            <w:noWrap w:val="0"/>
            <w:vAlign w:val="top"/>
          </w:tcPr>
          <w:p w14:paraId="608ECE03">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top"/>
          </w:tcPr>
          <w:p w14:paraId="715F9606">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p>
        </w:tc>
        <w:tc>
          <w:tcPr>
            <w:tcW w:w="2610" w:type="dxa"/>
            <w:noWrap w:val="0"/>
            <w:vAlign w:val="center"/>
          </w:tcPr>
          <w:p w14:paraId="513D2E60">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技术标准和要求</w:t>
            </w:r>
          </w:p>
        </w:tc>
        <w:tc>
          <w:tcPr>
            <w:tcW w:w="5614" w:type="dxa"/>
            <w:gridSpan w:val="2"/>
            <w:noWrap w:val="0"/>
            <w:vAlign w:val="top"/>
          </w:tcPr>
          <w:p w14:paraId="74AE1ADE">
            <w:pPr>
              <w:keepNext w:val="0"/>
              <w:keepLines w:val="0"/>
              <w:pageBreakBefore w:val="0"/>
              <w:kinsoku/>
              <w:wordWrap/>
              <w:overflowPunct/>
              <w:topLinePunct w:val="0"/>
              <w:autoSpaceDE/>
              <w:autoSpaceDN/>
              <w:bidi w:val="0"/>
              <w:adjustRightInd/>
              <w:spacing w:beforeAutospacing="0" w:afterAutospacing="0" w:line="440" w:lineRule="exact"/>
              <w:ind w:left="0" w:lef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14:paraId="4E2AC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24" w:type="dxa"/>
            <w:vMerge w:val="restart"/>
            <w:noWrap w:val="0"/>
            <w:vAlign w:val="center"/>
          </w:tcPr>
          <w:p w14:paraId="77116A33">
            <w:pPr>
              <w:keepNext w:val="0"/>
              <w:keepLines w:val="0"/>
              <w:pageBreakBefore w:val="0"/>
              <w:kinsoku/>
              <w:wordWrap/>
              <w:overflowPunct/>
              <w:topLinePunct w:val="0"/>
              <w:autoSpaceDE/>
              <w:autoSpaceDN/>
              <w:bidi w:val="0"/>
              <w:adjustRightInd/>
              <w:spacing w:beforeAutospacing="0" w:afterAutospacing="0"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141" w:type="dxa"/>
            <w:gridSpan w:val="2"/>
            <w:vMerge w:val="restart"/>
            <w:noWrap w:val="0"/>
            <w:vAlign w:val="center"/>
          </w:tcPr>
          <w:p w14:paraId="75A57C0F">
            <w:pPr>
              <w:keepNext w:val="0"/>
              <w:keepLines w:val="0"/>
              <w:pageBreakBefore w:val="0"/>
              <w:kinsoku/>
              <w:wordWrap/>
              <w:overflowPunct/>
              <w:topLinePunct w:val="0"/>
              <w:autoSpaceDE/>
              <w:autoSpaceDN/>
              <w:bidi w:val="0"/>
              <w:adjustRightInd/>
              <w:spacing w:beforeAutospacing="0" w:afterAutospacing="0" w:line="44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技术标评分标准（</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p w14:paraId="584F3BFD">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center"/>
              <w:textAlignment w:val="auto"/>
              <w:rPr>
                <w:rFonts w:hint="eastAsia" w:ascii="宋体" w:hAnsi="宋体" w:eastAsia="宋体" w:cs="宋体"/>
                <w:color w:val="auto"/>
                <w:sz w:val="21"/>
                <w:szCs w:val="21"/>
                <w:highlight w:val="none"/>
                <w:lang w:eastAsia="zh-CN"/>
              </w:rPr>
            </w:pPr>
          </w:p>
        </w:tc>
        <w:tc>
          <w:tcPr>
            <w:tcW w:w="2610" w:type="dxa"/>
            <w:vMerge w:val="restart"/>
            <w:noWrap w:val="0"/>
            <w:vAlign w:val="center"/>
          </w:tcPr>
          <w:p w14:paraId="7A833161">
            <w:pPr>
              <w:keepNext w:val="0"/>
              <w:keepLines w:val="0"/>
              <w:pageBreakBefore w:val="0"/>
              <w:kinsoku/>
              <w:wordWrap/>
              <w:overflowPunct/>
              <w:topLinePunct w:val="0"/>
              <w:autoSpaceDE/>
              <w:autoSpaceDN/>
              <w:bidi w:val="0"/>
              <w:adjustRightInd/>
              <w:spacing w:beforeAutospacing="0" w:afterAutospacing="0" w:line="440" w:lineRule="exact"/>
              <w:jc w:val="center"/>
              <w:textAlignment w:val="auto"/>
              <w:rPr>
                <w:rFonts w:hint="default" w:eastAsia="宋体"/>
                <w:color w:val="auto"/>
                <w:highlight w:val="none"/>
                <w:lang w:val="en-US" w:eastAsia="zh-CN"/>
              </w:rPr>
            </w:pPr>
            <w:r>
              <w:rPr>
                <w:rFonts w:hint="eastAsia"/>
                <w:color w:val="auto"/>
                <w:highlight w:val="none"/>
              </w:rPr>
              <w:t>监理大纲</w:t>
            </w:r>
          </w:p>
        </w:tc>
        <w:tc>
          <w:tcPr>
            <w:tcW w:w="1486" w:type="dxa"/>
            <w:shd w:val="clear" w:color="auto" w:fill="auto"/>
            <w:noWrap w:val="0"/>
            <w:vAlign w:val="center"/>
          </w:tcPr>
          <w:p w14:paraId="6CBFA648">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jc w:val="center"/>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eastAsia="zh-CN"/>
              </w:rPr>
              <w:t>项目监理机构组织形式，人员岗位职责（</w:t>
            </w:r>
            <w:r>
              <w:rPr>
                <w:rFonts w:hint="eastAsia" w:cs="宋体"/>
                <w:color w:val="auto"/>
                <w:sz w:val="21"/>
                <w:szCs w:val="21"/>
                <w:highlight w:val="none"/>
                <w:lang w:val="en-US" w:eastAsia="zh-CN"/>
              </w:rPr>
              <w:t>0-3分</w:t>
            </w:r>
            <w:r>
              <w:rPr>
                <w:rFonts w:hint="eastAsia" w:cs="宋体"/>
                <w:color w:val="auto"/>
                <w:sz w:val="21"/>
                <w:szCs w:val="21"/>
                <w:highlight w:val="none"/>
                <w:lang w:eastAsia="zh-CN"/>
              </w:rPr>
              <w:t>）</w:t>
            </w:r>
          </w:p>
        </w:tc>
        <w:tc>
          <w:tcPr>
            <w:tcW w:w="4128" w:type="dxa"/>
            <w:shd w:val="clear" w:color="auto" w:fill="auto"/>
            <w:noWrap w:val="0"/>
            <w:vAlign w:val="center"/>
          </w:tcPr>
          <w:p w14:paraId="02649466">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有明确的组织形式并且组织机构合理；项目监理班子人员结构、职责任务明确并符合《监理规范》的要求或不与之冲突。</w:t>
            </w:r>
            <w:r>
              <w:rPr>
                <w:rFonts w:hint="eastAsia" w:ascii="宋体" w:hAnsi="宋体" w:eastAsia="宋体" w:cs="宋体"/>
                <w:color w:val="auto"/>
                <w:sz w:val="21"/>
                <w:szCs w:val="21"/>
                <w:highlight w:val="none"/>
              </w:rPr>
              <w:t>优秀的得</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分，良好的得</w:t>
            </w:r>
            <w:r>
              <w:rPr>
                <w:rFonts w:hint="eastAsia" w:cs="宋体"/>
                <w:color w:val="auto"/>
                <w:sz w:val="21"/>
                <w:szCs w:val="21"/>
                <w:highlight w:val="none"/>
                <w:lang w:val="en-US" w:eastAsia="zh-CN"/>
              </w:rPr>
              <w:t>2.7</w:t>
            </w:r>
            <w:r>
              <w:rPr>
                <w:rFonts w:hint="eastAsia" w:ascii="宋体" w:hAnsi="宋体" w:eastAsia="宋体" w:cs="宋体"/>
                <w:color w:val="auto"/>
                <w:sz w:val="21"/>
                <w:szCs w:val="21"/>
                <w:highlight w:val="none"/>
              </w:rPr>
              <w:t>分，一般得</w:t>
            </w:r>
            <w:r>
              <w:rPr>
                <w:rFonts w:hint="eastAsia" w:cs="宋体"/>
                <w:color w:val="auto"/>
                <w:sz w:val="21"/>
                <w:szCs w:val="21"/>
                <w:highlight w:val="none"/>
                <w:lang w:val="en-US" w:eastAsia="zh-CN"/>
              </w:rPr>
              <w:t>2.4</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合格的得2.1分，</w:t>
            </w:r>
            <w:r>
              <w:rPr>
                <w:rFonts w:hint="eastAsia" w:ascii="宋体" w:hAnsi="宋体" w:eastAsia="宋体" w:cs="宋体"/>
                <w:color w:val="auto"/>
                <w:sz w:val="21"/>
                <w:szCs w:val="21"/>
                <w:highlight w:val="none"/>
              </w:rPr>
              <w:t>未提供的</w:t>
            </w:r>
            <w:r>
              <w:rPr>
                <w:rFonts w:hint="eastAsia" w:cs="宋体"/>
                <w:color w:val="auto"/>
                <w:sz w:val="21"/>
                <w:szCs w:val="21"/>
                <w:highlight w:val="none"/>
                <w:lang w:val="en-US" w:eastAsia="zh-CN"/>
              </w:rPr>
              <w:t>或不合格的</w:t>
            </w:r>
            <w:r>
              <w:rPr>
                <w:rFonts w:hint="eastAsia" w:ascii="宋体" w:hAnsi="宋体" w:eastAsia="宋体" w:cs="宋体"/>
                <w:color w:val="auto"/>
                <w:sz w:val="21"/>
                <w:szCs w:val="21"/>
                <w:highlight w:val="none"/>
              </w:rPr>
              <w:t>不得分。（投标文件须能反映上述评审内容）</w:t>
            </w:r>
          </w:p>
        </w:tc>
      </w:tr>
      <w:tr w14:paraId="2135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24" w:type="dxa"/>
            <w:vMerge w:val="continue"/>
            <w:noWrap w:val="0"/>
            <w:vAlign w:val="center"/>
          </w:tcPr>
          <w:p w14:paraId="4593C0DB">
            <w:pPr>
              <w:keepNext w:val="0"/>
              <w:keepLines w:val="0"/>
              <w:pageBreakBefore w:val="0"/>
              <w:kinsoku/>
              <w:wordWrap/>
              <w:overflowPunct/>
              <w:topLinePunct w:val="0"/>
              <w:autoSpaceDE/>
              <w:autoSpaceDN/>
              <w:bidi w:val="0"/>
              <w:adjustRightInd/>
              <w:spacing w:beforeAutospacing="0" w:afterAutospacing="0" w:line="440" w:lineRule="exact"/>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2539B6AE">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center"/>
              <w:textAlignment w:val="auto"/>
              <w:rPr>
                <w:rFonts w:hint="eastAsia" w:ascii="宋体" w:hAnsi="宋体" w:eastAsia="宋体" w:cs="宋体"/>
                <w:color w:val="auto"/>
                <w:sz w:val="21"/>
                <w:szCs w:val="21"/>
                <w:highlight w:val="none"/>
                <w:lang w:eastAsia="zh-CN"/>
              </w:rPr>
            </w:pPr>
          </w:p>
        </w:tc>
        <w:tc>
          <w:tcPr>
            <w:tcW w:w="2610" w:type="dxa"/>
            <w:vMerge w:val="continue"/>
            <w:noWrap w:val="0"/>
            <w:vAlign w:val="center"/>
          </w:tcPr>
          <w:p w14:paraId="42A71716">
            <w:pPr>
              <w:keepNext w:val="0"/>
              <w:keepLines w:val="0"/>
              <w:pageBreakBefore w:val="0"/>
              <w:kinsoku/>
              <w:wordWrap/>
              <w:overflowPunct/>
              <w:topLinePunct w:val="0"/>
              <w:autoSpaceDE/>
              <w:autoSpaceDN/>
              <w:bidi w:val="0"/>
              <w:adjustRightInd/>
              <w:spacing w:beforeAutospacing="0" w:afterAutospacing="0" w:line="440" w:lineRule="exact"/>
              <w:jc w:val="center"/>
              <w:textAlignment w:val="auto"/>
              <w:rPr>
                <w:rFonts w:hint="eastAsia"/>
                <w:color w:val="auto"/>
                <w:highlight w:val="none"/>
              </w:rPr>
            </w:pPr>
          </w:p>
        </w:tc>
        <w:tc>
          <w:tcPr>
            <w:tcW w:w="1486" w:type="dxa"/>
            <w:shd w:val="clear" w:color="auto" w:fill="auto"/>
            <w:noWrap w:val="0"/>
            <w:vAlign w:val="center"/>
          </w:tcPr>
          <w:p w14:paraId="0D1E7964">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w:t>
            </w:r>
            <w:r>
              <w:rPr>
                <w:rFonts w:hint="eastAsia" w:cs="宋体"/>
                <w:color w:val="auto"/>
                <w:sz w:val="21"/>
                <w:szCs w:val="21"/>
                <w:highlight w:val="none"/>
                <w:lang w:val="en-US" w:eastAsia="zh-CN"/>
              </w:rPr>
              <w:t xml:space="preserve">管理 </w:t>
            </w:r>
            <w:r>
              <w:rPr>
                <w:rFonts w:hint="eastAsia" w:cs="宋体"/>
                <w:color w:val="auto"/>
                <w:sz w:val="21"/>
                <w:szCs w:val="21"/>
                <w:highlight w:val="none"/>
                <w:lang w:eastAsia="zh-CN"/>
              </w:rPr>
              <w:t>（</w:t>
            </w:r>
            <w:r>
              <w:rPr>
                <w:rFonts w:hint="eastAsia" w:cs="宋体"/>
                <w:color w:val="auto"/>
                <w:sz w:val="21"/>
                <w:szCs w:val="21"/>
                <w:highlight w:val="none"/>
                <w:lang w:val="en-US" w:eastAsia="zh-CN"/>
              </w:rPr>
              <w:t>0-3分</w:t>
            </w:r>
            <w:r>
              <w:rPr>
                <w:rFonts w:hint="eastAsia" w:cs="宋体"/>
                <w:color w:val="auto"/>
                <w:sz w:val="21"/>
                <w:szCs w:val="21"/>
                <w:highlight w:val="none"/>
                <w:lang w:eastAsia="zh-CN"/>
              </w:rPr>
              <w:t>）</w:t>
            </w:r>
          </w:p>
        </w:tc>
        <w:tc>
          <w:tcPr>
            <w:tcW w:w="4128" w:type="dxa"/>
            <w:shd w:val="clear" w:color="auto" w:fill="auto"/>
            <w:noWrap w:val="0"/>
            <w:vAlign w:val="center"/>
          </w:tcPr>
          <w:p w14:paraId="58DD2515">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ind w:left="0" w:lef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分布式光伏项目工程</w:t>
            </w:r>
            <w:r>
              <w:rPr>
                <w:rFonts w:hint="eastAsia" w:ascii="宋体" w:hAnsi="宋体" w:eastAsia="宋体" w:cs="宋体"/>
                <w:color w:val="auto"/>
                <w:sz w:val="21"/>
                <w:szCs w:val="21"/>
                <w:highlight w:val="none"/>
              </w:rPr>
              <w:t>质量管理体系健全、制度完善、质量控制措施可行性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对此进行横向比较、综合打分，优秀的得</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分，良好的得</w:t>
            </w:r>
            <w:r>
              <w:rPr>
                <w:rFonts w:hint="eastAsia" w:cs="宋体"/>
                <w:color w:val="auto"/>
                <w:sz w:val="21"/>
                <w:szCs w:val="21"/>
                <w:highlight w:val="none"/>
                <w:lang w:val="en-US" w:eastAsia="zh-CN"/>
              </w:rPr>
              <w:t>2.7</w:t>
            </w:r>
            <w:r>
              <w:rPr>
                <w:rFonts w:hint="eastAsia" w:ascii="宋体" w:hAnsi="宋体" w:eastAsia="宋体" w:cs="宋体"/>
                <w:color w:val="auto"/>
                <w:sz w:val="21"/>
                <w:szCs w:val="21"/>
                <w:highlight w:val="none"/>
              </w:rPr>
              <w:t>分，一般得</w:t>
            </w:r>
            <w:r>
              <w:rPr>
                <w:rFonts w:hint="eastAsia" w:cs="宋体"/>
                <w:color w:val="auto"/>
                <w:sz w:val="21"/>
                <w:szCs w:val="21"/>
                <w:highlight w:val="none"/>
                <w:lang w:val="en-US" w:eastAsia="zh-CN"/>
              </w:rPr>
              <w:t>2.4</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合格的得2.1分，</w:t>
            </w:r>
            <w:r>
              <w:rPr>
                <w:rFonts w:hint="eastAsia" w:ascii="宋体" w:hAnsi="宋体" w:eastAsia="宋体" w:cs="宋体"/>
                <w:color w:val="auto"/>
                <w:sz w:val="21"/>
                <w:szCs w:val="21"/>
                <w:highlight w:val="none"/>
              </w:rPr>
              <w:t>未提供的</w:t>
            </w:r>
            <w:r>
              <w:rPr>
                <w:rFonts w:hint="eastAsia" w:cs="宋体"/>
                <w:color w:val="auto"/>
                <w:sz w:val="21"/>
                <w:szCs w:val="21"/>
                <w:highlight w:val="none"/>
                <w:lang w:val="en-US" w:eastAsia="zh-CN"/>
              </w:rPr>
              <w:t>或不合格的</w:t>
            </w:r>
            <w:r>
              <w:rPr>
                <w:rFonts w:hint="eastAsia" w:ascii="宋体" w:hAnsi="宋体" w:eastAsia="宋体" w:cs="宋体"/>
                <w:color w:val="auto"/>
                <w:sz w:val="21"/>
                <w:szCs w:val="21"/>
                <w:highlight w:val="none"/>
              </w:rPr>
              <w:t>不得分。（投标文件须能反映上述评审内容）</w:t>
            </w:r>
          </w:p>
        </w:tc>
      </w:tr>
      <w:tr w14:paraId="419F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724" w:type="dxa"/>
            <w:vMerge w:val="continue"/>
            <w:noWrap w:val="0"/>
            <w:vAlign w:val="center"/>
          </w:tcPr>
          <w:p w14:paraId="1710E20B">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5F264B0E">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p>
        </w:tc>
        <w:tc>
          <w:tcPr>
            <w:tcW w:w="2610" w:type="dxa"/>
            <w:vMerge w:val="continue"/>
            <w:noWrap w:val="0"/>
            <w:vAlign w:val="center"/>
          </w:tcPr>
          <w:p w14:paraId="7396046E">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sz w:val="21"/>
                <w:szCs w:val="21"/>
                <w:highlight w:val="none"/>
              </w:rPr>
            </w:pPr>
          </w:p>
        </w:tc>
        <w:tc>
          <w:tcPr>
            <w:tcW w:w="1486" w:type="dxa"/>
            <w:shd w:val="clear" w:color="auto" w:fill="auto"/>
            <w:noWrap w:val="0"/>
            <w:vAlign w:val="center"/>
          </w:tcPr>
          <w:p w14:paraId="3308E4F1">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进度控制</w:t>
            </w:r>
          </w:p>
          <w:p w14:paraId="01F1A2F1">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jc w:val="center"/>
              <w:textAlignment w:val="auto"/>
              <w:rPr>
                <w:rFonts w:hint="eastAsia" w:ascii="宋体" w:hAnsi="宋体" w:eastAsia="宋体" w:cs="宋体"/>
                <w:sz w:val="21"/>
                <w:szCs w:val="21"/>
                <w:highlight w:val="none"/>
              </w:rPr>
            </w:pPr>
            <w:r>
              <w:rPr>
                <w:rFonts w:hint="eastAsia" w:cs="宋体"/>
                <w:color w:val="auto"/>
                <w:sz w:val="21"/>
                <w:szCs w:val="21"/>
                <w:highlight w:val="none"/>
                <w:lang w:eastAsia="zh-CN"/>
              </w:rPr>
              <w:t>（</w:t>
            </w:r>
            <w:r>
              <w:rPr>
                <w:rFonts w:hint="eastAsia" w:cs="宋体"/>
                <w:color w:val="auto"/>
                <w:sz w:val="21"/>
                <w:szCs w:val="21"/>
                <w:highlight w:val="none"/>
                <w:lang w:val="en-US" w:eastAsia="zh-CN"/>
              </w:rPr>
              <w:t>0-3分</w:t>
            </w:r>
            <w:r>
              <w:rPr>
                <w:rFonts w:hint="eastAsia" w:cs="宋体"/>
                <w:color w:val="auto"/>
                <w:sz w:val="21"/>
                <w:szCs w:val="21"/>
                <w:highlight w:val="none"/>
                <w:lang w:eastAsia="zh-CN"/>
              </w:rPr>
              <w:t>）</w:t>
            </w:r>
          </w:p>
        </w:tc>
        <w:tc>
          <w:tcPr>
            <w:tcW w:w="4128" w:type="dxa"/>
            <w:shd w:val="clear" w:color="auto" w:fill="auto"/>
            <w:noWrap w:val="0"/>
            <w:vAlign w:val="center"/>
          </w:tcPr>
          <w:p w14:paraId="274631F4">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ind w:left="0" w:lef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分布式光伏项目</w:t>
            </w:r>
            <w:r>
              <w:rPr>
                <w:rFonts w:hint="eastAsia" w:ascii="宋体" w:hAnsi="宋体" w:eastAsia="宋体" w:cs="宋体"/>
                <w:sz w:val="21"/>
                <w:szCs w:val="21"/>
                <w:highlight w:val="none"/>
                <w:lang w:val="en-US" w:eastAsia="zh-CN"/>
              </w:rPr>
              <w:t>工程</w:t>
            </w:r>
            <w:r>
              <w:rPr>
                <w:rFonts w:hint="eastAsia" w:ascii="宋体" w:hAnsi="宋体" w:eastAsia="宋体" w:cs="宋体"/>
                <w:sz w:val="21"/>
                <w:szCs w:val="21"/>
                <w:highlight w:val="none"/>
              </w:rPr>
              <w:t>进度控制措施有效、可行</w:t>
            </w:r>
            <w:r>
              <w:rPr>
                <w:rFonts w:hint="eastAsia" w:ascii="宋体" w:hAnsi="宋体" w:eastAsia="宋体" w:cs="宋体"/>
                <w:sz w:val="21"/>
                <w:szCs w:val="21"/>
                <w:highlight w:val="none"/>
                <w:lang w:eastAsia="zh-CN"/>
              </w:rPr>
              <w:t>，内容全面、科学、合理。</w:t>
            </w:r>
            <w:r>
              <w:rPr>
                <w:rFonts w:hint="eastAsia" w:ascii="宋体" w:hAnsi="宋体" w:eastAsia="宋体" w:cs="宋体"/>
                <w:sz w:val="21"/>
                <w:szCs w:val="21"/>
                <w:highlight w:val="none"/>
              </w:rPr>
              <w:t>对此进行横向比较、综合打分，</w:t>
            </w:r>
            <w:r>
              <w:rPr>
                <w:rFonts w:hint="eastAsia" w:ascii="宋体" w:hAnsi="宋体" w:eastAsia="宋体" w:cs="宋体"/>
                <w:color w:val="auto"/>
                <w:sz w:val="21"/>
                <w:szCs w:val="21"/>
                <w:highlight w:val="none"/>
              </w:rPr>
              <w:t>优秀的得</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分，良好的得</w:t>
            </w:r>
            <w:r>
              <w:rPr>
                <w:rFonts w:hint="eastAsia" w:cs="宋体"/>
                <w:color w:val="auto"/>
                <w:sz w:val="21"/>
                <w:szCs w:val="21"/>
                <w:highlight w:val="none"/>
                <w:lang w:val="en-US" w:eastAsia="zh-CN"/>
              </w:rPr>
              <w:t>2.7</w:t>
            </w:r>
            <w:r>
              <w:rPr>
                <w:rFonts w:hint="eastAsia" w:ascii="宋体" w:hAnsi="宋体" w:eastAsia="宋体" w:cs="宋体"/>
                <w:color w:val="auto"/>
                <w:sz w:val="21"/>
                <w:szCs w:val="21"/>
                <w:highlight w:val="none"/>
              </w:rPr>
              <w:t>分，一般得</w:t>
            </w:r>
            <w:r>
              <w:rPr>
                <w:rFonts w:hint="eastAsia" w:cs="宋体"/>
                <w:color w:val="auto"/>
                <w:sz w:val="21"/>
                <w:szCs w:val="21"/>
                <w:highlight w:val="none"/>
                <w:lang w:val="en-US" w:eastAsia="zh-CN"/>
              </w:rPr>
              <w:t>2.4</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合格的得2.1分，</w:t>
            </w:r>
            <w:r>
              <w:rPr>
                <w:rFonts w:hint="eastAsia" w:ascii="宋体" w:hAnsi="宋体" w:eastAsia="宋体" w:cs="宋体"/>
                <w:color w:val="auto"/>
                <w:sz w:val="21"/>
                <w:szCs w:val="21"/>
                <w:highlight w:val="none"/>
              </w:rPr>
              <w:t>未提供的</w:t>
            </w:r>
            <w:r>
              <w:rPr>
                <w:rFonts w:hint="eastAsia" w:cs="宋体"/>
                <w:color w:val="auto"/>
                <w:sz w:val="21"/>
                <w:szCs w:val="21"/>
                <w:highlight w:val="none"/>
                <w:lang w:val="en-US" w:eastAsia="zh-CN"/>
              </w:rPr>
              <w:t>或不合格的</w:t>
            </w:r>
            <w:r>
              <w:rPr>
                <w:rFonts w:hint="eastAsia" w:ascii="宋体" w:hAnsi="宋体" w:eastAsia="宋体" w:cs="宋体"/>
                <w:color w:val="auto"/>
                <w:sz w:val="21"/>
                <w:szCs w:val="21"/>
                <w:highlight w:val="none"/>
              </w:rPr>
              <w:t>不得分。（投标文件须能反映上述评审内容）</w:t>
            </w:r>
          </w:p>
        </w:tc>
      </w:tr>
      <w:tr w14:paraId="267D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24" w:type="dxa"/>
            <w:vMerge w:val="continue"/>
            <w:noWrap w:val="0"/>
            <w:vAlign w:val="center"/>
          </w:tcPr>
          <w:p w14:paraId="24FBB534">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709620C2">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p>
        </w:tc>
        <w:tc>
          <w:tcPr>
            <w:tcW w:w="2610" w:type="dxa"/>
            <w:vMerge w:val="continue"/>
            <w:noWrap w:val="0"/>
            <w:vAlign w:val="center"/>
          </w:tcPr>
          <w:p w14:paraId="3AF5EA81">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sz w:val="21"/>
                <w:szCs w:val="21"/>
                <w:highlight w:val="none"/>
              </w:rPr>
            </w:pPr>
          </w:p>
        </w:tc>
        <w:tc>
          <w:tcPr>
            <w:tcW w:w="1486" w:type="dxa"/>
            <w:shd w:val="clear" w:color="auto" w:fill="auto"/>
            <w:noWrap w:val="0"/>
            <w:vAlign w:val="center"/>
          </w:tcPr>
          <w:p w14:paraId="7625F96B">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jc w:val="center"/>
              <w:textAlignment w:val="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造价</w:t>
            </w:r>
            <w:r>
              <w:rPr>
                <w:rFonts w:hint="eastAsia" w:ascii="宋体" w:hAnsi="宋体" w:eastAsia="宋体" w:cs="宋体"/>
                <w:sz w:val="21"/>
                <w:szCs w:val="21"/>
                <w:highlight w:val="none"/>
              </w:rPr>
              <w:t>控制</w:t>
            </w:r>
          </w:p>
          <w:p w14:paraId="05FCD0DC">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jc w:val="center"/>
              <w:textAlignment w:val="auto"/>
              <w:rPr>
                <w:rFonts w:hint="eastAsia" w:ascii="宋体" w:hAnsi="宋体" w:eastAsia="宋体" w:cs="宋体"/>
                <w:sz w:val="21"/>
                <w:szCs w:val="21"/>
                <w:highlight w:val="none"/>
                <w:lang w:val="en-US" w:eastAsia="zh-CN"/>
              </w:rPr>
            </w:pPr>
            <w:r>
              <w:rPr>
                <w:rFonts w:hint="eastAsia" w:cs="宋体"/>
                <w:color w:val="auto"/>
                <w:sz w:val="21"/>
                <w:szCs w:val="21"/>
                <w:highlight w:val="none"/>
                <w:lang w:eastAsia="zh-CN"/>
              </w:rPr>
              <w:t>（</w:t>
            </w:r>
            <w:r>
              <w:rPr>
                <w:rFonts w:hint="eastAsia" w:cs="宋体"/>
                <w:color w:val="auto"/>
                <w:sz w:val="21"/>
                <w:szCs w:val="21"/>
                <w:highlight w:val="none"/>
                <w:lang w:val="en-US" w:eastAsia="zh-CN"/>
              </w:rPr>
              <w:t>0-3分</w:t>
            </w:r>
            <w:r>
              <w:rPr>
                <w:rFonts w:hint="eastAsia" w:cs="宋体"/>
                <w:color w:val="auto"/>
                <w:sz w:val="21"/>
                <w:szCs w:val="21"/>
                <w:highlight w:val="none"/>
                <w:lang w:eastAsia="zh-CN"/>
              </w:rPr>
              <w:t>）</w:t>
            </w:r>
          </w:p>
        </w:tc>
        <w:tc>
          <w:tcPr>
            <w:tcW w:w="4128" w:type="dxa"/>
            <w:shd w:val="clear" w:color="auto" w:fill="auto"/>
            <w:noWrap w:val="0"/>
            <w:vAlign w:val="center"/>
          </w:tcPr>
          <w:p w14:paraId="035E4475">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ind w:left="0" w:lef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分布式光伏项目</w:t>
            </w:r>
            <w:r>
              <w:rPr>
                <w:rFonts w:hint="eastAsia" w:ascii="宋体" w:hAnsi="宋体" w:eastAsia="宋体" w:cs="宋体"/>
                <w:sz w:val="21"/>
                <w:szCs w:val="21"/>
                <w:highlight w:val="none"/>
                <w:lang w:val="en-US" w:eastAsia="zh-CN"/>
              </w:rPr>
              <w:t>工程</w:t>
            </w:r>
            <w:r>
              <w:rPr>
                <w:rFonts w:hint="eastAsia" w:ascii="宋体" w:hAnsi="宋体" w:cs="宋体"/>
                <w:sz w:val="21"/>
                <w:szCs w:val="21"/>
                <w:highlight w:val="none"/>
                <w:lang w:val="en-US" w:eastAsia="zh-CN"/>
              </w:rPr>
              <w:t>投资</w:t>
            </w:r>
            <w:r>
              <w:rPr>
                <w:rFonts w:hint="eastAsia" w:ascii="宋体" w:hAnsi="宋体" w:eastAsia="宋体" w:cs="宋体"/>
                <w:sz w:val="21"/>
                <w:szCs w:val="21"/>
                <w:highlight w:val="none"/>
              </w:rPr>
              <w:t>控制措施有效、可行</w:t>
            </w:r>
            <w:r>
              <w:rPr>
                <w:rFonts w:hint="eastAsia" w:ascii="宋体" w:hAnsi="宋体" w:eastAsia="宋体" w:cs="宋体"/>
                <w:sz w:val="21"/>
                <w:szCs w:val="21"/>
                <w:highlight w:val="none"/>
                <w:lang w:eastAsia="zh-CN"/>
              </w:rPr>
              <w:t>，内容全面、科学、合理。</w:t>
            </w:r>
            <w:r>
              <w:rPr>
                <w:rFonts w:hint="eastAsia" w:ascii="宋体" w:hAnsi="宋体" w:eastAsia="宋体" w:cs="宋体"/>
                <w:sz w:val="21"/>
                <w:szCs w:val="21"/>
                <w:highlight w:val="none"/>
              </w:rPr>
              <w:t>对此进行横向比较、综合打分，</w:t>
            </w:r>
            <w:r>
              <w:rPr>
                <w:rFonts w:hint="eastAsia" w:ascii="宋体" w:hAnsi="宋体" w:eastAsia="宋体" w:cs="宋体"/>
                <w:color w:val="auto"/>
                <w:sz w:val="21"/>
                <w:szCs w:val="21"/>
                <w:highlight w:val="none"/>
              </w:rPr>
              <w:t>优秀的得</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分，良好的得</w:t>
            </w:r>
            <w:r>
              <w:rPr>
                <w:rFonts w:hint="eastAsia" w:cs="宋体"/>
                <w:color w:val="auto"/>
                <w:sz w:val="21"/>
                <w:szCs w:val="21"/>
                <w:highlight w:val="none"/>
                <w:lang w:val="en-US" w:eastAsia="zh-CN"/>
              </w:rPr>
              <w:t>2.7</w:t>
            </w:r>
            <w:r>
              <w:rPr>
                <w:rFonts w:hint="eastAsia" w:ascii="宋体" w:hAnsi="宋体" w:eastAsia="宋体" w:cs="宋体"/>
                <w:color w:val="auto"/>
                <w:sz w:val="21"/>
                <w:szCs w:val="21"/>
                <w:highlight w:val="none"/>
              </w:rPr>
              <w:t>分，一般得</w:t>
            </w:r>
            <w:r>
              <w:rPr>
                <w:rFonts w:hint="eastAsia" w:cs="宋体"/>
                <w:color w:val="auto"/>
                <w:sz w:val="21"/>
                <w:szCs w:val="21"/>
                <w:highlight w:val="none"/>
                <w:lang w:val="en-US" w:eastAsia="zh-CN"/>
              </w:rPr>
              <w:t>2.4</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合格的得2.1分，</w:t>
            </w:r>
            <w:r>
              <w:rPr>
                <w:rFonts w:hint="eastAsia" w:ascii="宋体" w:hAnsi="宋体" w:eastAsia="宋体" w:cs="宋体"/>
                <w:color w:val="auto"/>
                <w:sz w:val="21"/>
                <w:szCs w:val="21"/>
                <w:highlight w:val="none"/>
              </w:rPr>
              <w:t>未提供的</w:t>
            </w:r>
            <w:r>
              <w:rPr>
                <w:rFonts w:hint="eastAsia" w:cs="宋体"/>
                <w:color w:val="auto"/>
                <w:sz w:val="21"/>
                <w:szCs w:val="21"/>
                <w:highlight w:val="none"/>
                <w:lang w:val="en-US" w:eastAsia="zh-CN"/>
              </w:rPr>
              <w:t>或不合格的</w:t>
            </w:r>
            <w:r>
              <w:rPr>
                <w:rFonts w:hint="eastAsia" w:ascii="宋体" w:hAnsi="宋体" w:eastAsia="宋体" w:cs="宋体"/>
                <w:color w:val="auto"/>
                <w:sz w:val="21"/>
                <w:szCs w:val="21"/>
                <w:highlight w:val="none"/>
              </w:rPr>
              <w:t>不得分。（投标文件须能反映上述评审内容）</w:t>
            </w:r>
          </w:p>
        </w:tc>
      </w:tr>
      <w:tr w14:paraId="0BF8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24" w:type="dxa"/>
            <w:vMerge w:val="continue"/>
            <w:noWrap w:val="0"/>
            <w:vAlign w:val="center"/>
          </w:tcPr>
          <w:p w14:paraId="129CCDD0">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5E47A8EB">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p>
        </w:tc>
        <w:tc>
          <w:tcPr>
            <w:tcW w:w="2610" w:type="dxa"/>
            <w:vMerge w:val="continue"/>
            <w:noWrap w:val="0"/>
            <w:vAlign w:val="center"/>
          </w:tcPr>
          <w:p w14:paraId="3B5BAFC9">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sz w:val="21"/>
                <w:szCs w:val="21"/>
                <w:highlight w:val="none"/>
              </w:rPr>
            </w:pPr>
          </w:p>
        </w:tc>
        <w:tc>
          <w:tcPr>
            <w:tcW w:w="1486" w:type="dxa"/>
            <w:shd w:val="clear" w:color="auto" w:fill="auto"/>
            <w:noWrap w:val="0"/>
            <w:vAlign w:val="center"/>
          </w:tcPr>
          <w:p w14:paraId="7EDCF49E">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安全生产</w:t>
            </w:r>
          </w:p>
          <w:p w14:paraId="6CF87448">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jc w:val="center"/>
              <w:textAlignment w:val="auto"/>
              <w:rPr>
                <w:rFonts w:hint="eastAsia" w:ascii="宋体" w:hAnsi="宋体" w:eastAsia="宋体" w:cs="宋体"/>
                <w:sz w:val="21"/>
                <w:szCs w:val="21"/>
                <w:highlight w:val="none"/>
              </w:rPr>
            </w:pPr>
            <w:r>
              <w:rPr>
                <w:rFonts w:hint="eastAsia" w:cs="宋体"/>
                <w:color w:val="auto"/>
                <w:sz w:val="21"/>
                <w:szCs w:val="21"/>
                <w:highlight w:val="none"/>
                <w:lang w:eastAsia="zh-CN"/>
              </w:rPr>
              <w:t>（</w:t>
            </w:r>
            <w:r>
              <w:rPr>
                <w:rFonts w:hint="eastAsia" w:cs="宋体"/>
                <w:color w:val="auto"/>
                <w:sz w:val="21"/>
                <w:szCs w:val="21"/>
                <w:highlight w:val="none"/>
                <w:lang w:val="en-US" w:eastAsia="zh-CN"/>
              </w:rPr>
              <w:t>0-3分</w:t>
            </w:r>
            <w:r>
              <w:rPr>
                <w:rFonts w:hint="eastAsia" w:cs="宋体"/>
                <w:color w:val="auto"/>
                <w:sz w:val="21"/>
                <w:szCs w:val="21"/>
                <w:highlight w:val="none"/>
                <w:lang w:eastAsia="zh-CN"/>
              </w:rPr>
              <w:t>）</w:t>
            </w:r>
          </w:p>
        </w:tc>
        <w:tc>
          <w:tcPr>
            <w:tcW w:w="4128" w:type="dxa"/>
            <w:shd w:val="clear" w:color="auto" w:fill="auto"/>
            <w:noWrap w:val="0"/>
            <w:vAlign w:val="center"/>
          </w:tcPr>
          <w:p w14:paraId="652484D1">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ind w:left="0" w:lef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分布式光伏项目</w:t>
            </w:r>
            <w:r>
              <w:rPr>
                <w:rFonts w:hint="eastAsia" w:ascii="宋体" w:hAnsi="宋体" w:eastAsia="宋体" w:cs="宋体"/>
                <w:sz w:val="21"/>
                <w:szCs w:val="21"/>
                <w:highlight w:val="none"/>
              </w:rPr>
              <w:t>安全措施有效、</w:t>
            </w:r>
            <w:r>
              <w:rPr>
                <w:rFonts w:hint="eastAsia" w:ascii="宋体" w:hAnsi="宋体" w:eastAsia="宋体" w:cs="宋体"/>
                <w:sz w:val="21"/>
                <w:szCs w:val="21"/>
                <w:highlight w:val="none"/>
                <w:lang w:val="en-US" w:eastAsia="zh-CN"/>
              </w:rPr>
              <w:t>工作方案</w:t>
            </w:r>
            <w:r>
              <w:rPr>
                <w:rFonts w:hint="eastAsia" w:ascii="宋体" w:hAnsi="宋体" w:eastAsia="宋体" w:cs="宋体"/>
                <w:sz w:val="21"/>
                <w:szCs w:val="21"/>
                <w:highlight w:val="none"/>
              </w:rPr>
              <w:t>内容全面、科学、合理、可行</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对此进行横向比较、综合打分，</w:t>
            </w:r>
            <w:r>
              <w:rPr>
                <w:rFonts w:hint="eastAsia" w:ascii="宋体" w:hAnsi="宋体" w:eastAsia="宋体" w:cs="宋体"/>
                <w:color w:val="auto"/>
                <w:sz w:val="21"/>
                <w:szCs w:val="21"/>
                <w:highlight w:val="none"/>
              </w:rPr>
              <w:t>优秀的得</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分，良好的得</w:t>
            </w:r>
            <w:r>
              <w:rPr>
                <w:rFonts w:hint="eastAsia" w:cs="宋体"/>
                <w:color w:val="auto"/>
                <w:sz w:val="21"/>
                <w:szCs w:val="21"/>
                <w:highlight w:val="none"/>
                <w:lang w:val="en-US" w:eastAsia="zh-CN"/>
              </w:rPr>
              <w:t>2.7</w:t>
            </w:r>
            <w:r>
              <w:rPr>
                <w:rFonts w:hint="eastAsia" w:ascii="宋体" w:hAnsi="宋体" w:eastAsia="宋体" w:cs="宋体"/>
                <w:color w:val="auto"/>
                <w:sz w:val="21"/>
                <w:szCs w:val="21"/>
                <w:highlight w:val="none"/>
              </w:rPr>
              <w:t>分，一般得</w:t>
            </w:r>
            <w:r>
              <w:rPr>
                <w:rFonts w:hint="eastAsia" w:cs="宋体"/>
                <w:color w:val="auto"/>
                <w:sz w:val="21"/>
                <w:szCs w:val="21"/>
                <w:highlight w:val="none"/>
                <w:lang w:val="en-US" w:eastAsia="zh-CN"/>
              </w:rPr>
              <w:t>2.4</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合格的得2.1分，</w:t>
            </w:r>
            <w:r>
              <w:rPr>
                <w:rFonts w:hint="eastAsia" w:ascii="宋体" w:hAnsi="宋体" w:eastAsia="宋体" w:cs="宋体"/>
                <w:color w:val="auto"/>
                <w:sz w:val="21"/>
                <w:szCs w:val="21"/>
                <w:highlight w:val="none"/>
              </w:rPr>
              <w:t>未提供的</w:t>
            </w:r>
            <w:r>
              <w:rPr>
                <w:rFonts w:hint="eastAsia" w:cs="宋体"/>
                <w:color w:val="auto"/>
                <w:sz w:val="21"/>
                <w:szCs w:val="21"/>
                <w:highlight w:val="none"/>
                <w:lang w:val="en-US" w:eastAsia="zh-CN"/>
              </w:rPr>
              <w:t>或不合格的</w:t>
            </w:r>
            <w:r>
              <w:rPr>
                <w:rFonts w:hint="eastAsia" w:ascii="宋体" w:hAnsi="宋体" w:eastAsia="宋体" w:cs="宋体"/>
                <w:color w:val="auto"/>
                <w:sz w:val="21"/>
                <w:szCs w:val="21"/>
                <w:highlight w:val="none"/>
              </w:rPr>
              <w:t>不得分。（投标文件须能反映上述评审内容）</w:t>
            </w:r>
          </w:p>
        </w:tc>
      </w:tr>
      <w:tr w14:paraId="271AD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24" w:type="dxa"/>
            <w:vMerge w:val="continue"/>
            <w:noWrap w:val="0"/>
            <w:vAlign w:val="center"/>
          </w:tcPr>
          <w:p w14:paraId="7B242FE6">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1CA95F06">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p>
        </w:tc>
        <w:tc>
          <w:tcPr>
            <w:tcW w:w="2610" w:type="dxa"/>
            <w:vMerge w:val="continue"/>
            <w:noWrap w:val="0"/>
            <w:vAlign w:val="center"/>
          </w:tcPr>
          <w:p w14:paraId="7F84A2C0">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sz w:val="21"/>
                <w:szCs w:val="21"/>
                <w:highlight w:val="none"/>
              </w:rPr>
            </w:pPr>
          </w:p>
        </w:tc>
        <w:tc>
          <w:tcPr>
            <w:tcW w:w="1486" w:type="dxa"/>
            <w:shd w:val="clear" w:color="auto" w:fill="auto"/>
            <w:noWrap w:val="0"/>
            <w:vAlign w:val="center"/>
          </w:tcPr>
          <w:p w14:paraId="1A1EEBE2">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合同及</w:t>
            </w:r>
            <w:r>
              <w:rPr>
                <w:rFonts w:hint="eastAsia" w:ascii="宋体" w:hAnsi="宋体" w:eastAsia="宋体" w:cs="宋体"/>
                <w:sz w:val="21"/>
                <w:szCs w:val="21"/>
                <w:highlight w:val="none"/>
                <w:lang w:val="en-US" w:eastAsia="zh-CN"/>
              </w:rPr>
              <w:t>信息</w:t>
            </w:r>
            <w:r>
              <w:rPr>
                <w:rFonts w:hint="eastAsia" w:ascii="宋体" w:hAnsi="宋体" w:eastAsia="宋体" w:cs="宋体"/>
                <w:sz w:val="21"/>
                <w:szCs w:val="21"/>
                <w:highlight w:val="none"/>
              </w:rPr>
              <w:t>管理</w:t>
            </w:r>
            <w:r>
              <w:rPr>
                <w:rFonts w:hint="eastAsia" w:cs="宋体"/>
                <w:color w:val="auto"/>
                <w:sz w:val="21"/>
                <w:szCs w:val="21"/>
                <w:highlight w:val="none"/>
                <w:lang w:eastAsia="zh-CN"/>
              </w:rPr>
              <w:t>（</w:t>
            </w:r>
            <w:r>
              <w:rPr>
                <w:rFonts w:hint="eastAsia" w:cs="宋体"/>
                <w:color w:val="auto"/>
                <w:sz w:val="21"/>
                <w:szCs w:val="21"/>
                <w:highlight w:val="none"/>
                <w:lang w:val="en-US" w:eastAsia="zh-CN"/>
              </w:rPr>
              <w:t>0-3分</w:t>
            </w:r>
            <w:r>
              <w:rPr>
                <w:rFonts w:hint="eastAsia" w:cs="宋体"/>
                <w:color w:val="auto"/>
                <w:sz w:val="21"/>
                <w:szCs w:val="21"/>
                <w:highlight w:val="none"/>
                <w:lang w:eastAsia="zh-CN"/>
              </w:rPr>
              <w:t>）</w:t>
            </w:r>
          </w:p>
        </w:tc>
        <w:tc>
          <w:tcPr>
            <w:tcW w:w="4128" w:type="dxa"/>
            <w:shd w:val="clear" w:color="auto" w:fill="auto"/>
            <w:noWrap w:val="0"/>
            <w:vAlign w:val="center"/>
          </w:tcPr>
          <w:p w14:paraId="08BC8590">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ind w:left="0" w:lef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分布式光伏项目</w:t>
            </w:r>
            <w:r>
              <w:rPr>
                <w:rFonts w:hint="eastAsia" w:ascii="宋体" w:hAnsi="宋体" w:eastAsia="宋体" w:cs="宋体"/>
                <w:color w:val="auto"/>
                <w:sz w:val="21"/>
                <w:szCs w:val="21"/>
                <w:highlight w:val="none"/>
              </w:rPr>
              <w:t>合同</w:t>
            </w:r>
            <w:r>
              <w:rPr>
                <w:rFonts w:hint="eastAsia" w:cs="宋体"/>
                <w:color w:val="auto"/>
                <w:sz w:val="21"/>
                <w:szCs w:val="21"/>
                <w:highlight w:val="none"/>
                <w:lang w:val="en-US" w:eastAsia="zh-CN"/>
              </w:rPr>
              <w:t>及信息</w:t>
            </w:r>
            <w:r>
              <w:rPr>
                <w:rFonts w:hint="eastAsia" w:ascii="宋体" w:hAnsi="宋体" w:eastAsia="宋体" w:cs="宋体"/>
                <w:color w:val="auto"/>
                <w:sz w:val="21"/>
                <w:szCs w:val="21"/>
                <w:highlight w:val="none"/>
              </w:rPr>
              <w:t>管</w:t>
            </w:r>
            <w:r>
              <w:rPr>
                <w:rFonts w:hint="eastAsia" w:ascii="宋体" w:hAnsi="宋体" w:eastAsia="宋体" w:cs="宋体"/>
                <w:sz w:val="21"/>
                <w:szCs w:val="21"/>
                <w:highlight w:val="none"/>
              </w:rPr>
              <w:t>理措施完善可行，</w:t>
            </w:r>
            <w:r>
              <w:rPr>
                <w:rFonts w:hint="eastAsia" w:ascii="宋体" w:hAnsi="宋体" w:eastAsia="宋体" w:cs="宋体"/>
                <w:sz w:val="21"/>
                <w:szCs w:val="21"/>
                <w:highlight w:val="none"/>
                <w:lang w:val="en-US" w:eastAsia="zh-CN"/>
              </w:rPr>
              <w:t>工作方案</w:t>
            </w:r>
            <w:r>
              <w:rPr>
                <w:rFonts w:hint="eastAsia" w:ascii="宋体" w:hAnsi="宋体" w:eastAsia="宋体" w:cs="宋体"/>
                <w:sz w:val="21"/>
                <w:szCs w:val="21"/>
                <w:highlight w:val="none"/>
              </w:rPr>
              <w:t>内容全面、科学、合理、可行</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对此进行横向比较、综合打分，</w:t>
            </w:r>
            <w:r>
              <w:rPr>
                <w:rFonts w:hint="eastAsia" w:ascii="宋体" w:hAnsi="宋体" w:eastAsia="宋体" w:cs="宋体"/>
                <w:color w:val="auto"/>
                <w:sz w:val="21"/>
                <w:szCs w:val="21"/>
                <w:highlight w:val="none"/>
              </w:rPr>
              <w:t>优秀的得</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分，良好的得</w:t>
            </w:r>
            <w:r>
              <w:rPr>
                <w:rFonts w:hint="eastAsia" w:cs="宋体"/>
                <w:color w:val="auto"/>
                <w:sz w:val="21"/>
                <w:szCs w:val="21"/>
                <w:highlight w:val="none"/>
                <w:lang w:val="en-US" w:eastAsia="zh-CN"/>
              </w:rPr>
              <w:t>2.7</w:t>
            </w:r>
            <w:r>
              <w:rPr>
                <w:rFonts w:hint="eastAsia" w:ascii="宋体" w:hAnsi="宋体" w:eastAsia="宋体" w:cs="宋体"/>
                <w:color w:val="auto"/>
                <w:sz w:val="21"/>
                <w:szCs w:val="21"/>
                <w:highlight w:val="none"/>
              </w:rPr>
              <w:t>分，一般得</w:t>
            </w:r>
            <w:r>
              <w:rPr>
                <w:rFonts w:hint="eastAsia" w:cs="宋体"/>
                <w:color w:val="auto"/>
                <w:sz w:val="21"/>
                <w:szCs w:val="21"/>
                <w:highlight w:val="none"/>
                <w:lang w:val="en-US" w:eastAsia="zh-CN"/>
              </w:rPr>
              <w:t>2.4</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合格的得2.1分，</w:t>
            </w:r>
            <w:r>
              <w:rPr>
                <w:rFonts w:hint="eastAsia" w:ascii="宋体" w:hAnsi="宋体" w:eastAsia="宋体" w:cs="宋体"/>
                <w:color w:val="auto"/>
                <w:sz w:val="21"/>
                <w:szCs w:val="21"/>
                <w:highlight w:val="none"/>
              </w:rPr>
              <w:t>未提供的</w:t>
            </w:r>
            <w:r>
              <w:rPr>
                <w:rFonts w:hint="eastAsia" w:cs="宋体"/>
                <w:color w:val="auto"/>
                <w:sz w:val="21"/>
                <w:szCs w:val="21"/>
                <w:highlight w:val="none"/>
                <w:lang w:val="en-US" w:eastAsia="zh-CN"/>
              </w:rPr>
              <w:t>或不合格的</w:t>
            </w:r>
            <w:r>
              <w:rPr>
                <w:rFonts w:hint="eastAsia" w:ascii="宋体" w:hAnsi="宋体" w:eastAsia="宋体" w:cs="宋体"/>
                <w:color w:val="auto"/>
                <w:sz w:val="21"/>
                <w:szCs w:val="21"/>
                <w:highlight w:val="none"/>
              </w:rPr>
              <w:t>不得分。（投标文件须能反映上述评审内容）</w:t>
            </w:r>
          </w:p>
        </w:tc>
      </w:tr>
      <w:tr w14:paraId="587E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24" w:type="dxa"/>
            <w:vMerge w:val="continue"/>
            <w:noWrap w:val="0"/>
            <w:vAlign w:val="center"/>
          </w:tcPr>
          <w:p w14:paraId="6B8CC57D">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74D0909C">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p>
        </w:tc>
        <w:tc>
          <w:tcPr>
            <w:tcW w:w="2610" w:type="dxa"/>
            <w:vMerge w:val="continue"/>
            <w:noWrap w:val="0"/>
            <w:vAlign w:val="center"/>
          </w:tcPr>
          <w:p w14:paraId="64D9DCF4">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sz w:val="21"/>
                <w:szCs w:val="21"/>
                <w:highlight w:val="none"/>
              </w:rPr>
            </w:pPr>
          </w:p>
        </w:tc>
        <w:tc>
          <w:tcPr>
            <w:tcW w:w="1486" w:type="dxa"/>
            <w:shd w:val="clear" w:color="auto" w:fill="auto"/>
            <w:noWrap w:val="0"/>
            <w:vAlign w:val="center"/>
          </w:tcPr>
          <w:p w14:paraId="161B40AE">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文明施工管理、组织协调方法</w:t>
            </w:r>
            <w:r>
              <w:rPr>
                <w:rFonts w:hint="eastAsia" w:cs="宋体"/>
                <w:color w:val="auto"/>
                <w:sz w:val="21"/>
                <w:szCs w:val="21"/>
                <w:highlight w:val="none"/>
                <w:lang w:eastAsia="zh-CN"/>
              </w:rPr>
              <w:t>（</w:t>
            </w:r>
            <w:r>
              <w:rPr>
                <w:rFonts w:hint="eastAsia" w:cs="宋体"/>
                <w:color w:val="auto"/>
                <w:sz w:val="21"/>
                <w:szCs w:val="21"/>
                <w:highlight w:val="none"/>
                <w:lang w:val="en-US" w:eastAsia="zh-CN"/>
              </w:rPr>
              <w:t>0-3分</w:t>
            </w:r>
            <w:r>
              <w:rPr>
                <w:rFonts w:hint="eastAsia" w:cs="宋体"/>
                <w:color w:val="auto"/>
                <w:sz w:val="21"/>
                <w:szCs w:val="21"/>
                <w:highlight w:val="none"/>
                <w:lang w:eastAsia="zh-CN"/>
              </w:rPr>
              <w:t>）</w:t>
            </w:r>
          </w:p>
        </w:tc>
        <w:tc>
          <w:tcPr>
            <w:tcW w:w="4128" w:type="dxa"/>
            <w:shd w:val="clear" w:color="auto" w:fill="auto"/>
            <w:noWrap w:val="0"/>
            <w:vAlign w:val="center"/>
          </w:tcPr>
          <w:p w14:paraId="64B70A94">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ind w:left="0" w:lef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分布式光伏项目</w:t>
            </w:r>
            <w:r>
              <w:rPr>
                <w:rFonts w:hint="eastAsia" w:ascii="宋体" w:hAnsi="宋体" w:eastAsia="宋体" w:cs="宋体"/>
                <w:sz w:val="21"/>
                <w:szCs w:val="21"/>
                <w:highlight w:val="none"/>
              </w:rPr>
              <w:t>工作方案内容全面、科学、合理、可行</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对此进行横向比较、综合打分，</w:t>
            </w:r>
            <w:r>
              <w:rPr>
                <w:rFonts w:hint="eastAsia" w:ascii="宋体" w:hAnsi="宋体" w:eastAsia="宋体" w:cs="宋体"/>
                <w:color w:val="auto"/>
                <w:sz w:val="21"/>
                <w:szCs w:val="21"/>
                <w:highlight w:val="none"/>
              </w:rPr>
              <w:t>优秀的得</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分，良好的得</w:t>
            </w:r>
            <w:r>
              <w:rPr>
                <w:rFonts w:hint="eastAsia" w:cs="宋体"/>
                <w:color w:val="auto"/>
                <w:sz w:val="21"/>
                <w:szCs w:val="21"/>
                <w:highlight w:val="none"/>
                <w:lang w:val="en-US" w:eastAsia="zh-CN"/>
              </w:rPr>
              <w:t>2.7</w:t>
            </w:r>
            <w:r>
              <w:rPr>
                <w:rFonts w:hint="eastAsia" w:ascii="宋体" w:hAnsi="宋体" w:eastAsia="宋体" w:cs="宋体"/>
                <w:color w:val="auto"/>
                <w:sz w:val="21"/>
                <w:szCs w:val="21"/>
                <w:highlight w:val="none"/>
              </w:rPr>
              <w:t>分，一般得</w:t>
            </w:r>
            <w:r>
              <w:rPr>
                <w:rFonts w:hint="eastAsia" w:cs="宋体"/>
                <w:color w:val="auto"/>
                <w:sz w:val="21"/>
                <w:szCs w:val="21"/>
                <w:highlight w:val="none"/>
                <w:lang w:val="en-US" w:eastAsia="zh-CN"/>
              </w:rPr>
              <w:t>2.4</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合格的得2.1分，</w:t>
            </w:r>
            <w:r>
              <w:rPr>
                <w:rFonts w:hint="eastAsia" w:ascii="宋体" w:hAnsi="宋体" w:eastAsia="宋体" w:cs="宋体"/>
                <w:color w:val="auto"/>
                <w:sz w:val="21"/>
                <w:szCs w:val="21"/>
                <w:highlight w:val="none"/>
              </w:rPr>
              <w:t>未提供的</w:t>
            </w:r>
            <w:r>
              <w:rPr>
                <w:rFonts w:hint="eastAsia" w:cs="宋体"/>
                <w:color w:val="auto"/>
                <w:sz w:val="21"/>
                <w:szCs w:val="21"/>
                <w:highlight w:val="none"/>
                <w:lang w:val="en-US" w:eastAsia="zh-CN"/>
              </w:rPr>
              <w:t>或不合格的</w:t>
            </w:r>
            <w:r>
              <w:rPr>
                <w:rFonts w:hint="eastAsia" w:ascii="宋体" w:hAnsi="宋体" w:eastAsia="宋体" w:cs="宋体"/>
                <w:color w:val="auto"/>
                <w:sz w:val="21"/>
                <w:szCs w:val="21"/>
                <w:highlight w:val="none"/>
              </w:rPr>
              <w:t>不得分。（投标文件须能反映上述评审内容）</w:t>
            </w:r>
          </w:p>
        </w:tc>
      </w:tr>
      <w:tr w14:paraId="0BFD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24" w:type="dxa"/>
            <w:vMerge w:val="continue"/>
            <w:noWrap w:val="0"/>
            <w:vAlign w:val="center"/>
          </w:tcPr>
          <w:p w14:paraId="1E4D2E5C">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55DF22CC">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p>
        </w:tc>
        <w:tc>
          <w:tcPr>
            <w:tcW w:w="2610" w:type="dxa"/>
            <w:vMerge w:val="continue"/>
            <w:noWrap w:val="0"/>
            <w:vAlign w:val="center"/>
          </w:tcPr>
          <w:p w14:paraId="709DA5FA">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sz w:val="21"/>
                <w:szCs w:val="21"/>
                <w:highlight w:val="none"/>
              </w:rPr>
            </w:pPr>
          </w:p>
        </w:tc>
        <w:tc>
          <w:tcPr>
            <w:tcW w:w="1486" w:type="dxa"/>
            <w:shd w:val="clear" w:color="auto" w:fill="auto"/>
            <w:noWrap w:val="0"/>
            <w:vAlign w:val="center"/>
          </w:tcPr>
          <w:p w14:paraId="5A4D59DB">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jc w:val="center"/>
              <w:textAlignment w:val="auto"/>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关键工序控制</w:t>
            </w:r>
            <w:r>
              <w:rPr>
                <w:rFonts w:hint="eastAsia" w:cs="宋体"/>
                <w:color w:val="auto"/>
                <w:sz w:val="21"/>
                <w:szCs w:val="21"/>
                <w:highlight w:val="none"/>
                <w:lang w:eastAsia="zh-CN"/>
              </w:rPr>
              <w:t>（</w:t>
            </w:r>
            <w:r>
              <w:rPr>
                <w:rFonts w:hint="eastAsia" w:cs="宋体"/>
                <w:color w:val="auto"/>
                <w:sz w:val="21"/>
                <w:szCs w:val="21"/>
                <w:highlight w:val="none"/>
                <w:lang w:val="en-US" w:eastAsia="zh-CN"/>
              </w:rPr>
              <w:t>0-3分</w:t>
            </w:r>
            <w:r>
              <w:rPr>
                <w:rFonts w:hint="eastAsia" w:cs="宋体"/>
                <w:color w:val="auto"/>
                <w:sz w:val="21"/>
                <w:szCs w:val="21"/>
                <w:highlight w:val="none"/>
                <w:lang w:eastAsia="zh-CN"/>
              </w:rPr>
              <w:t>）</w:t>
            </w:r>
          </w:p>
        </w:tc>
        <w:tc>
          <w:tcPr>
            <w:tcW w:w="4128" w:type="dxa"/>
            <w:shd w:val="clear" w:color="auto" w:fill="auto"/>
            <w:noWrap w:val="0"/>
            <w:vAlign w:val="center"/>
          </w:tcPr>
          <w:p w14:paraId="469F3E5E">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ind w:left="0" w:leftChars="0" w:firstLine="0" w:firstLineChars="0"/>
              <w:jc w:val="left"/>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分布式光伏项目</w:t>
            </w:r>
            <w:r>
              <w:rPr>
                <w:rFonts w:hint="eastAsia" w:ascii="宋体" w:hAnsi="宋体" w:cs="宋体"/>
                <w:sz w:val="21"/>
                <w:szCs w:val="21"/>
                <w:highlight w:val="none"/>
                <w:lang w:val="en-US" w:eastAsia="zh-CN"/>
              </w:rPr>
              <w:t>关键工序控制</w:t>
            </w:r>
            <w:r>
              <w:rPr>
                <w:rFonts w:hint="eastAsia" w:ascii="宋体" w:hAnsi="宋体" w:eastAsia="宋体" w:cs="宋体"/>
                <w:sz w:val="21"/>
                <w:szCs w:val="21"/>
                <w:highlight w:val="none"/>
              </w:rPr>
              <w:t>措施有效、可行</w:t>
            </w:r>
            <w:r>
              <w:rPr>
                <w:rFonts w:hint="eastAsia" w:ascii="宋体" w:hAnsi="宋体" w:eastAsia="宋体" w:cs="宋体"/>
                <w:sz w:val="21"/>
                <w:szCs w:val="21"/>
                <w:highlight w:val="none"/>
                <w:lang w:eastAsia="zh-CN"/>
              </w:rPr>
              <w:t>，内容全面、科学、合理。</w:t>
            </w:r>
            <w:r>
              <w:rPr>
                <w:rFonts w:hint="eastAsia" w:ascii="宋体" w:hAnsi="宋体" w:eastAsia="宋体" w:cs="宋体"/>
                <w:sz w:val="21"/>
                <w:szCs w:val="21"/>
                <w:highlight w:val="none"/>
              </w:rPr>
              <w:t>对此进行横向比较、综合打分，</w:t>
            </w:r>
            <w:r>
              <w:rPr>
                <w:rFonts w:hint="eastAsia" w:ascii="宋体" w:hAnsi="宋体" w:eastAsia="宋体" w:cs="宋体"/>
                <w:color w:val="auto"/>
                <w:sz w:val="21"/>
                <w:szCs w:val="21"/>
                <w:highlight w:val="none"/>
              </w:rPr>
              <w:t>优秀的得</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分，良好的得</w:t>
            </w:r>
            <w:r>
              <w:rPr>
                <w:rFonts w:hint="eastAsia" w:cs="宋体"/>
                <w:color w:val="auto"/>
                <w:sz w:val="21"/>
                <w:szCs w:val="21"/>
                <w:highlight w:val="none"/>
                <w:lang w:val="en-US" w:eastAsia="zh-CN"/>
              </w:rPr>
              <w:t>2.7</w:t>
            </w:r>
            <w:r>
              <w:rPr>
                <w:rFonts w:hint="eastAsia" w:ascii="宋体" w:hAnsi="宋体" w:eastAsia="宋体" w:cs="宋体"/>
                <w:color w:val="auto"/>
                <w:sz w:val="21"/>
                <w:szCs w:val="21"/>
                <w:highlight w:val="none"/>
              </w:rPr>
              <w:t>分，一般得</w:t>
            </w:r>
            <w:r>
              <w:rPr>
                <w:rFonts w:hint="eastAsia" w:cs="宋体"/>
                <w:color w:val="auto"/>
                <w:sz w:val="21"/>
                <w:szCs w:val="21"/>
                <w:highlight w:val="none"/>
                <w:lang w:val="en-US" w:eastAsia="zh-CN"/>
              </w:rPr>
              <w:t>2.4</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合格的得2.1分，</w:t>
            </w:r>
            <w:r>
              <w:rPr>
                <w:rFonts w:hint="eastAsia" w:ascii="宋体" w:hAnsi="宋体" w:eastAsia="宋体" w:cs="宋体"/>
                <w:color w:val="auto"/>
                <w:sz w:val="21"/>
                <w:szCs w:val="21"/>
                <w:highlight w:val="none"/>
              </w:rPr>
              <w:t>未提供的</w:t>
            </w:r>
            <w:r>
              <w:rPr>
                <w:rFonts w:hint="eastAsia" w:cs="宋体"/>
                <w:color w:val="auto"/>
                <w:sz w:val="21"/>
                <w:szCs w:val="21"/>
                <w:highlight w:val="none"/>
                <w:lang w:val="en-US" w:eastAsia="zh-CN"/>
              </w:rPr>
              <w:t>或不合格的</w:t>
            </w:r>
            <w:r>
              <w:rPr>
                <w:rFonts w:hint="eastAsia" w:ascii="宋体" w:hAnsi="宋体" w:eastAsia="宋体" w:cs="宋体"/>
                <w:color w:val="auto"/>
                <w:sz w:val="21"/>
                <w:szCs w:val="21"/>
                <w:highlight w:val="none"/>
              </w:rPr>
              <w:t>不得分。（投标文件须能反映上述评审内容）</w:t>
            </w:r>
          </w:p>
        </w:tc>
      </w:tr>
      <w:tr w14:paraId="04424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9" w:hRule="atLeast"/>
          <w:jc w:val="center"/>
        </w:trPr>
        <w:tc>
          <w:tcPr>
            <w:tcW w:w="724" w:type="dxa"/>
            <w:vMerge w:val="continue"/>
            <w:noWrap w:val="0"/>
            <w:vAlign w:val="center"/>
          </w:tcPr>
          <w:p w14:paraId="22C2E3B6">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5E510D89">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p>
        </w:tc>
        <w:tc>
          <w:tcPr>
            <w:tcW w:w="2610" w:type="dxa"/>
            <w:vMerge w:val="continue"/>
            <w:noWrap w:val="0"/>
            <w:vAlign w:val="center"/>
          </w:tcPr>
          <w:p w14:paraId="33519387">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sz w:val="21"/>
                <w:szCs w:val="21"/>
                <w:highlight w:val="none"/>
              </w:rPr>
            </w:pPr>
          </w:p>
        </w:tc>
        <w:tc>
          <w:tcPr>
            <w:tcW w:w="1486" w:type="dxa"/>
            <w:shd w:val="clear" w:color="auto" w:fill="auto"/>
            <w:noWrap w:val="0"/>
            <w:vAlign w:val="center"/>
          </w:tcPr>
          <w:p w14:paraId="484541AA">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ind w:left="0" w:leftChars="0" w:right="0" w:rightChars="0"/>
              <w:jc w:val="center"/>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sz w:val="21"/>
                <w:szCs w:val="21"/>
                <w:highlight w:val="none"/>
              </w:rPr>
              <w:t>对本工程重点、难点分析</w:t>
            </w:r>
            <w:r>
              <w:rPr>
                <w:rFonts w:hint="eastAsia" w:ascii="宋体" w:hAnsi="宋体" w:eastAsia="宋体" w:cs="宋体"/>
                <w:sz w:val="21"/>
                <w:szCs w:val="21"/>
                <w:highlight w:val="none"/>
                <w:lang w:val="en-US" w:eastAsia="zh-CN"/>
              </w:rPr>
              <w:t>及建议</w:t>
            </w:r>
            <w:r>
              <w:rPr>
                <w:rFonts w:hint="eastAsia" w:cs="宋体"/>
                <w:color w:val="auto"/>
                <w:sz w:val="21"/>
                <w:szCs w:val="21"/>
                <w:highlight w:val="none"/>
                <w:lang w:eastAsia="zh-CN"/>
              </w:rPr>
              <w:t>（</w:t>
            </w:r>
            <w:r>
              <w:rPr>
                <w:rFonts w:hint="eastAsia" w:cs="宋体"/>
                <w:color w:val="auto"/>
                <w:sz w:val="21"/>
                <w:szCs w:val="21"/>
                <w:highlight w:val="none"/>
                <w:lang w:val="en-US" w:eastAsia="zh-CN"/>
              </w:rPr>
              <w:t>0-3分</w:t>
            </w:r>
            <w:r>
              <w:rPr>
                <w:rFonts w:hint="eastAsia" w:cs="宋体"/>
                <w:color w:val="auto"/>
                <w:sz w:val="21"/>
                <w:szCs w:val="21"/>
                <w:highlight w:val="none"/>
                <w:lang w:eastAsia="zh-CN"/>
              </w:rPr>
              <w:t>）</w:t>
            </w:r>
          </w:p>
        </w:tc>
        <w:tc>
          <w:tcPr>
            <w:tcW w:w="4128" w:type="dxa"/>
            <w:shd w:val="clear" w:color="auto" w:fill="auto"/>
            <w:noWrap w:val="0"/>
            <w:vAlign w:val="center"/>
          </w:tcPr>
          <w:p w14:paraId="0951B4B8">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ind w:left="0" w:leftChars="0" w:right="0" w:rightChars="0" w:firstLine="0" w:firstLineChars="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分布式光伏项目</w:t>
            </w:r>
            <w:r>
              <w:rPr>
                <w:rFonts w:hint="eastAsia" w:ascii="宋体" w:hAnsi="宋体" w:eastAsia="宋体" w:cs="宋体"/>
                <w:sz w:val="21"/>
                <w:szCs w:val="21"/>
                <w:highlight w:val="none"/>
              </w:rPr>
              <w:t>重点难点分析准确、有针对性</w:t>
            </w:r>
            <w:r>
              <w:rPr>
                <w:rFonts w:hint="eastAsia" w:ascii="宋体" w:hAnsi="宋体" w:eastAsia="宋体" w:cs="宋体"/>
                <w:sz w:val="21"/>
                <w:szCs w:val="21"/>
                <w:highlight w:val="none"/>
                <w:lang w:eastAsia="zh-CN"/>
              </w:rPr>
              <w:t>，建议合理，科学、可行。</w:t>
            </w:r>
            <w:r>
              <w:rPr>
                <w:rFonts w:hint="eastAsia" w:ascii="宋体" w:hAnsi="宋体" w:eastAsia="宋体" w:cs="宋体"/>
                <w:sz w:val="21"/>
                <w:szCs w:val="21"/>
                <w:highlight w:val="none"/>
              </w:rPr>
              <w:t>对此进行横向比较、综合打分，</w:t>
            </w:r>
            <w:r>
              <w:rPr>
                <w:rFonts w:hint="eastAsia" w:ascii="宋体" w:hAnsi="宋体" w:eastAsia="宋体" w:cs="宋体"/>
                <w:color w:val="auto"/>
                <w:sz w:val="21"/>
                <w:szCs w:val="21"/>
                <w:highlight w:val="none"/>
              </w:rPr>
              <w:t>优秀的得</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分，良好的得</w:t>
            </w:r>
            <w:r>
              <w:rPr>
                <w:rFonts w:hint="eastAsia" w:cs="宋体"/>
                <w:color w:val="auto"/>
                <w:sz w:val="21"/>
                <w:szCs w:val="21"/>
                <w:highlight w:val="none"/>
                <w:lang w:val="en-US" w:eastAsia="zh-CN"/>
              </w:rPr>
              <w:t>2.7</w:t>
            </w:r>
            <w:r>
              <w:rPr>
                <w:rFonts w:hint="eastAsia" w:ascii="宋体" w:hAnsi="宋体" w:eastAsia="宋体" w:cs="宋体"/>
                <w:color w:val="auto"/>
                <w:sz w:val="21"/>
                <w:szCs w:val="21"/>
                <w:highlight w:val="none"/>
              </w:rPr>
              <w:t>分，一般得</w:t>
            </w:r>
            <w:r>
              <w:rPr>
                <w:rFonts w:hint="eastAsia" w:cs="宋体"/>
                <w:color w:val="auto"/>
                <w:sz w:val="21"/>
                <w:szCs w:val="21"/>
                <w:highlight w:val="none"/>
                <w:lang w:val="en-US" w:eastAsia="zh-CN"/>
              </w:rPr>
              <w:t>2.4</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合格的得2.1分，</w:t>
            </w:r>
            <w:r>
              <w:rPr>
                <w:rFonts w:hint="eastAsia" w:ascii="宋体" w:hAnsi="宋体" w:eastAsia="宋体" w:cs="宋体"/>
                <w:color w:val="auto"/>
                <w:sz w:val="21"/>
                <w:szCs w:val="21"/>
                <w:highlight w:val="none"/>
              </w:rPr>
              <w:t>未提供的</w:t>
            </w:r>
            <w:r>
              <w:rPr>
                <w:rFonts w:hint="eastAsia" w:cs="宋体"/>
                <w:color w:val="auto"/>
                <w:sz w:val="21"/>
                <w:szCs w:val="21"/>
                <w:highlight w:val="none"/>
                <w:lang w:val="en-US" w:eastAsia="zh-CN"/>
              </w:rPr>
              <w:t>或不合格的</w:t>
            </w:r>
            <w:r>
              <w:rPr>
                <w:rFonts w:hint="eastAsia" w:ascii="宋体" w:hAnsi="宋体" w:eastAsia="宋体" w:cs="宋体"/>
                <w:color w:val="auto"/>
                <w:sz w:val="21"/>
                <w:szCs w:val="21"/>
                <w:highlight w:val="none"/>
              </w:rPr>
              <w:t>不得分。（投标文件须能反映上述评审内容）</w:t>
            </w:r>
          </w:p>
        </w:tc>
      </w:tr>
      <w:tr w14:paraId="00AFA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9" w:hRule="atLeast"/>
          <w:jc w:val="center"/>
        </w:trPr>
        <w:tc>
          <w:tcPr>
            <w:tcW w:w="724" w:type="dxa"/>
            <w:vMerge w:val="continue"/>
            <w:noWrap w:val="0"/>
            <w:vAlign w:val="center"/>
          </w:tcPr>
          <w:p w14:paraId="7F073A1D">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439C955C">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p>
        </w:tc>
        <w:tc>
          <w:tcPr>
            <w:tcW w:w="2610" w:type="dxa"/>
            <w:vMerge w:val="continue"/>
            <w:noWrap w:val="0"/>
            <w:vAlign w:val="center"/>
          </w:tcPr>
          <w:p w14:paraId="22822AEE">
            <w:pPr>
              <w:keepNext w:val="0"/>
              <w:keepLines w:val="0"/>
              <w:pageBreakBefore w:val="0"/>
              <w:kinsoku/>
              <w:wordWrap/>
              <w:overflowPunct/>
              <w:topLinePunct w:val="0"/>
              <w:autoSpaceDE/>
              <w:autoSpaceDN/>
              <w:bidi w:val="0"/>
              <w:adjustRightInd/>
              <w:spacing w:beforeAutospacing="0" w:afterAutospacing="0" w:line="440" w:lineRule="exact"/>
              <w:ind w:firstLine="420" w:firstLineChars="200"/>
              <w:jc w:val="left"/>
              <w:textAlignment w:val="auto"/>
              <w:rPr>
                <w:rFonts w:hint="eastAsia" w:ascii="宋体" w:hAnsi="宋体" w:eastAsia="宋体" w:cs="宋体"/>
                <w:sz w:val="21"/>
                <w:szCs w:val="21"/>
                <w:highlight w:val="none"/>
              </w:rPr>
            </w:pPr>
          </w:p>
        </w:tc>
        <w:tc>
          <w:tcPr>
            <w:tcW w:w="1486" w:type="dxa"/>
            <w:shd w:val="clear" w:color="auto" w:fill="auto"/>
            <w:noWrap w:val="0"/>
            <w:vAlign w:val="center"/>
          </w:tcPr>
          <w:p w14:paraId="708EB016">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拟用主要检测</w:t>
            </w:r>
          </w:p>
          <w:p w14:paraId="4D4AE14E">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仪器、设备</w:t>
            </w:r>
            <w:r>
              <w:rPr>
                <w:rFonts w:hint="eastAsia" w:cs="宋体"/>
                <w:color w:val="auto"/>
                <w:sz w:val="21"/>
                <w:szCs w:val="21"/>
                <w:highlight w:val="none"/>
                <w:lang w:eastAsia="zh-CN"/>
              </w:rPr>
              <w:t>（</w:t>
            </w:r>
            <w:r>
              <w:rPr>
                <w:rFonts w:hint="eastAsia" w:cs="宋体"/>
                <w:color w:val="auto"/>
                <w:sz w:val="21"/>
                <w:szCs w:val="21"/>
                <w:highlight w:val="none"/>
                <w:lang w:val="en-US" w:eastAsia="zh-CN"/>
              </w:rPr>
              <w:t>0-3分</w:t>
            </w:r>
            <w:r>
              <w:rPr>
                <w:rFonts w:hint="eastAsia" w:cs="宋体"/>
                <w:color w:val="auto"/>
                <w:sz w:val="21"/>
                <w:szCs w:val="21"/>
                <w:highlight w:val="none"/>
                <w:lang w:eastAsia="zh-CN"/>
              </w:rPr>
              <w:t>）</w:t>
            </w:r>
          </w:p>
        </w:tc>
        <w:tc>
          <w:tcPr>
            <w:tcW w:w="4128" w:type="dxa"/>
            <w:shd w:val="clear" w:color="auto" w:fill="auto"/>
            <w:noWrap w:val="0"/>
            <w:vAlign w:val="center"/>
          </w:tcPr>
          <w:p w14:paraId="637F87CF">
            <w:pPr>
              <w:pStyle w:val="43"/>
              <w:keepNext w:val="0"/>
              <w:keepLines w:val="0"/>
              <w:pageBreakBefore w:val="0"/>
              <w:kinsoku/>
              <w:wordWrap/>
              <w:overflowPunct/>
              <w:topLinePunct w:val="0"/>
              <w:autoSpaceDE/>
              <w:autoSpaceDN/>
              <w:bidi w:val="0"/>
              <w:adjustRightInd/>
              <w:spacing w:before="0" w:beforeLines="0" w:beforeAutospacing="0" w:after="0" w:afterLines="0" w:afterAutospacing="0" w:line="440" w:lineRule="exact"/>
              <w:ind w:left="0" w:leftChars="0" w:firstLine="0" w:firstLineChars="0"/>
              <w:jc w:val="left"/>
              <w:textAlignment w:val="auto"/>
              <w:rPr>
                <w:rFonts w:hint="eastAsia" w:ascii="宋体" w:hAnsi="宋体" w:eastAsia="宋体" w:cs="宋体"/>
                <w:sz w:val="21"/>
                <w:szCs w:val="21"/>
                <w:highlight w:val="none"/>
                <w:lang w:eastAsia="zh-CN"/>
              </w:rPr>
            </w:pPr>
            <w:r>
              <w:rPr>
                <w:rFonts w:hint="eastAsia" w:ascii="宋体" w:hAnsi="宋体" w:eastAsia="宋体" w:cs="宋体"/>
                <w:color w:val="auto"/>
                <w:sz w:val="21"/>
                <w:szCs w:val="21"/>
                <w:highlight w:val="none"/>
                <w:lang w:val="en-US" w:eastAsia="zh-CN"/>
              </w:rPr>
              <w:t>分布式光伏项目</w:t>
            </w:r>
            <w:r>
              <w:rPr>
                <w:rFonts w:hint="eastAsia" w:ascii="宋体" w:hAnsi="宋体" w:eastAsia="宋体" w:cs="宋体"/>
                <w:sz w:val="21"/>
                <w:szCs w:val="21"/>
                <w:highlight w:val="none"/>
              </w:rPr>
              <w:t>拟用主要检测仪器、设备对工程的满足程度。</w:t>
            </w:r>
            <w:r>
              <w:rPr>
                <w:rFonts w:hint="eastAsia" w:ascii="宋体" w:hAnsi="宋体" w:eastAsia="宋体" w:cs="宋体"/>
                <w:color w:val="auto"/>
                <w:sz w:val="21"/>
                <w:szCs w:val="21"/>
                <w:highlight w:val="none"/>
              </w:rPr>
              <w:t>优秀的得</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分，良好的得</w:t>
            </w:r>
            <w:r>
              <w:rPr>
                <w:rFonts w:hint="eastAsia" w:cs="宋体"/>
                <w:color w:val="auto"/>
                <w:sz w:val="21"/>
                <w:szCs w:val="21"/>
                <w:highlight w:val="none"/>
                <w:lang w:val="en-US" w:eastAsia="zh-CN"/>
              </w:rPr>
              <w:t>2.7</w:t>
            </w:r>
            <w:r>
              <w:rPr>
                <w:rFonts w:hint="eastAsia" w:ascii="宋体" w:hAnsi="宋体" w:eastAsia="宋体" w:cs="宋体"/>
                <w:color w:val="auto"/>
                <w:sz w:val="21"/>
                <w:szCs w:val="21"/>
                <w:highlight w:val="none"/>
              </w:rPr>
              <w:t>分，一般得</w:t>
            </w:r>
            <w:r>
              <w:rPr>
                <w:rFonts w:hint="eastAsia" w:cs="宋体"/>
                <w:color w:val="auto"/>
                <w:sz w:val="21"/>
                <w:szCs w:val="21"/>
                <w:highlight w:val="none"/>
                <w:lang w:val="en-US" w:eastAsia="zh-CN"/>
              </w:rPr>
              <w:t>2.4</w:t>
            </w:r>
            <w:r>
              <w:rPr>
                <w:rFonts w:hint="eastAsia" w:ascii="宋体" w:hAnsi="宋体" w:eastAsia="宋体" w:cs="宋体"/>
                <w:color w:val="auto"/>
                <w:sz w:val="21"/>
                <w:szCs w:val="21"/>
                <w:highlight w:val="none"/>
              </w:rPr>
              <w:t>分，</w:t>
            </w:r>
            <w:r>
              <w:rPr>
                <w:rFonts w:hint="eastAsia" w:cs="宋体"/>
                <w:color w:val="auto"/>
                <w:sz w:val="21"/>
                <w:szCs w:val="21"/>
                <w:highlight w:val="none"/>
                <w:lang w:val="en-US" w:eastAsia="zh-CN"/>
              </w:rPr>
              <w:t>合格的得2.1分，</w:t>
            </w:r>
            <w:r>
              <w:rPr>
                <w:rFonts w:hint="eastAsia" w:ascii="宋体" w:hAnsi="宋体" w:eastAsia="宋体" w:cs="宋体"/>
                <w:color w:val="auto"/>
                <w:sz w:val="21"/>
                <w:szCs w:val="21"/>
                <w:highlight w:val="none"/>
              </w:rPr>
              <w:t>未提供的</w:t>
            </w:r>
            <w:r>
              <w:rPr>
                <w:rFonts w:hint="eastAsia" w:cs="宋体"/>
                <w:color w:val="auto"/>
                <w:sz w:val="21"/>
                <w:szCs w:val="21"/>
                <w:highlight w:val="none"/>
                <w:lang w:val="en-US" w:eastAsia="zh-CN"/>
              </w:rPr>
              <w:t>或不合格的</w:t>
            </w:r>
            <w:r>
              <w:rPr>
                <w:rFonts w:hint="eastAsia" w:ascii="宋体" w:hAnsi="宋体" w:eastAsia="宋体" w:cs="宋体"/>
                <w:color w:val="auto"/>
                <w:sz w:val="21"/>
                <w:szCs w:val="21"/>
                <w:highlight w:val="none"/>
              </w:rPr>
              <w:t>不得分。（投标文件须能反映上述评审内容）</w:t>
            </w:r>
            <w:r>
              <w:rPr>
                <w:rFonts w:hint="eastAsia" w:ascii="宋体" w:hAnsi="宋体" w:eastAsia="宋体" w:cs="宋体"/>
                <w:sz w:val="21"/>
                <w:szCs w:val="21"/>
                <w:highlight w:val="none"/>
                <w:lang w:val="en-US" w:eastAsia="zh-CN"/>
              </w:rPr>
              <w:t xml:space="preserve"> </w:t>
            </w:r>
          </w:p>
        </w:tc>
      </w:tr>
    </w:tbl>
    <w:p w14:paraId="669BBA0D">
      <w:pPr>
        <w:pStyle w:val="198"/>
        <w:keepNext w:val="0"/>
        <w:keepLines w:val="0"/>
        <w:pageBreakBefore w:val="0"/>
        <w:widowControl w:val="0"/>
        <w:kinsoku/>
        <w:wordWrap/>
        <w:overflowPunct/>
        <w:topLinePunct w:val="0"/>
        <w:autoSpaceDE/>
        <w:autoSpaceDN/>
        <w:bidi w:val="0"/>
        <w:spacing w:line="440" w:lineRule="exact"/>
        <w:ind w:left="59" w:leftChars="28" w:firstLine="0"/>
        <w:jc w:val="left"/>
        <w:textAlignment w:val="auto"/>
        <w:rPr>
          <w:rFonts w:hint="eastAsia" w:ascii="宋体" w:hAnsi="宋体" w:eastAsia="宋体" w:cs="宋体"/>
          <w:b/>
          <w:bCs/>
          <w:szCs w:val="21"/>
          <w:highlight w:val="none"/>
          <w:lang w:eastAsia="zh-CN"/>
        </w:rPr>
      </w:pPr>
      <w:r>
        <w:rPr>
          <w:rFonts w:hint="eastAsia" w:ascii="宋体" w:hAnsi="宋体" w:cs="宋体"/>
          <w:b/>
          <w:bCs/>
          <w:szCs w:val="21"/>
          <w:highlight w:val="none"/>
        </w:rPr>
        <w:t>备注</w:t>
      </w:r>
      <w:r>
        <w:rPr>
          <w:rFonts w:hint="eastAsia" w:ascii="宋体" w:hAnsi="宋体" w:cs="宋体"/>
          <w:b/>
          <w:bCs/>
          <w:szCs w:val="21"/>
          <w:highlight w:val="none"/>
          <w:lang w:eastAsia="zh-CN"/>
        </w:rPr>
        <w:t>：</w:t>
      </w:r>
      <w:r>
        <w:rPr>
          <w:rFonts w:hint="eastAsia" w:ascii="宋体" w:hAnsi="宋体" w:cs="宋体"/>
          <w:b/>
          <w:bCs/>
          <w:szCs w:val="21"/>
          <w:highlight w:val="none"/>
        </w:rPr>
        <w:t>该项由专家评委评审打分，取所有评委评分的平均值为最终得分，保留两位小数点，第三位四舍五入</w:t>
      </w:r>
      <w:r>
        <w:rPr>
          <w:rFonts w:hint="eastAsia" w:ascii="宋体" w:hAnsi="宋体" w:cs="宋体"/>
          <w:b/>
          <w:bCs/>
          <w:szCs w:val="21"/>
          <w:highlight w:val="none"/>
          <w:lang w:eastAsia="zh-CN"/>
        </w:rPr>
        <w:t>。</w:t>
      </w:r>
    </w:p>
    <w:p w14:paraId="0B4C7729">
      <w:pPr>
        <w:spacing w:beforeLines="80" w:afterLines="80" w:line="440" w:lineRule="exact"/>
        <w:jc w:val="center"/>
        <w:rPr>
          <w:rFonts w:ascii="宋体" w:hAnsi="宋体" w:cs="宋体"/>
          <w:b/>
          <w:bCs/>
          <w:sz w:val="24"/>
          <w:highlight w:val="none"/>
        </w:rPr>
      </w:pPr>
      <w:r>
        <w:rPr>
          <w:rFonts w:hint="eastAsia" w:ascii="宋体" w:hAnsi="宋体" w:cs="宋体"/>
          <w:b/>
          <w:bCs/>
          <w:sz w:val="24"/>
          <w:highlight w:val="none"/>
        </w:rPr>
        <w:t>（</w:t>
      </w:r>
      <w:r>
        <w:rPr>
          <w:rFonts w:hint="eastAsia" w:ascii="宋体" w:hAnsi="宋体" w:cs="宋体"/>
          <w:b/>
          <w:bCs/>
          <w:sz w:val="24"/>
          <w:highlight w:val="none"/>
          <w:lang w:val="en-US" w:eastAsia="zh-CN"/>
        </w:rPr>
        <w:t>三</w:t>
      </w:r>
      <w:r>
        <w:rPr>
          <w:rFonts w:hint="eastAsia" w:ascii="宋体" w:hAnsi="宋体" w:cs="宋体"/>
          <w:b/>
          <w:bCs/>
          <w:sz w:val="24"/>
          <w:highlight w:val="none"/>
        </w:rPr>
        <w:t>）商务标评审</w:t>
      </w:r>
    </w:p>
    <w:tbl>
      <w:tblPr>
        <w:tblStyle w:val="47"/>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915"/>
        <w:gridCol w:w="945"/>
        <w:gridCol w:w="2158"/>
        <w:gridCol w:w="4727"/>
      </w:tblGrid>
      <w:tr w14:paraId="3073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671" w:type="dxa"/>
            <w:gridSpan w:val="3"/>
            <w:noWrap/>
            <w:vAlign w:val="center"/>
          </w:tcPr>
          <w:p w14:paraId="7C34A325">
            <w:pPr>
              <w:spacing w:line="440" w:lineRule="exact"/>
              <w:jc w:val="center"/>
              <w:rPr>
                <w:rFonts w:ascii="宋体" w:hAnsi="宋体" w:cs="宋体"/>
                <w:b/>
                <w:bCs/>
                <w:szCs w:val="21"/>
                <w:highlight w:val="none"/>
              </w:rPr>
            </w:pPr>
            <w:r>
              <w:rPr>
                <w:rFonts w:hint="eastAsia" w:ascii="宋体" w:hAnsi="宋体" w:cs="宋体"/>
                <w:b/>
                <w:bCs/>
                <w:szCs w:val="21"/>
                <w:highlight w:val="none"/>
              </w:rPr>
              <w:t>条款号</w:t>
            </w:r>
          </w:p>
        </w:tc>
        <w:tc>
          <w:tcPr>
            <w:tcW w:w="2158" w:type="dxa"/>
            <w:noWrap/>
            <w:vAlign w:val="center"/>
          </w:tcPr>
          <w:p w14:paraId="1CF92DDF">
            <w:pPr>
              <w:spacing w:line="440" w:lineRule="exact"/>
              <w:jc w:val="center"/>
              <w:rPr>
                <w:rFonts w:ascii="宋体" w:hAnsi="宋体" w:cs="宋体"/>
                <w:b/>
                <w:bCs/>
                <w:szCs w:val="21"/>
                <w:highlight w:val="none"/>
              </w:rPr>
            </w:pPr>
            <w:r>
              <w:rPr>
                <w:rFonts w:hint="eastAsia" w:ascii="宋体" w:hAnsi="宋体" w:cs="宋体"/>
                <w:b/>
                <w:bCs/>
                <w:szCs w:val="21"/>
                <w:highlight w:val="none"/>
              </w:rPr>
              <w:t>评审因素</w:t>
            </w:r>
          </w:p>
        </w:tc>
        <w:tc>
          <w:tcPr>
            <w:tcW w:w="4727" w:type="dxa"/>
            <w:noWrap/>
            <w:vAlign w:val="center"/>
          </w:tcPr>
          <w:p w14:paraId="10027A3D">
            <w:pPr>
              <w:spacing w:line="440" w:lineRule="exact"/>
              <w:jc w:val="center"/>
              <w:rPr>
                <w:rFonts w:ascii="宋体" w:hAnsi="宋体" w:cs="宋体"/>
                <w:b/>
                <w:bCs/>
                <w:szCs w:val="21"/>
                <w:highlight w:val="none"/>
              </w:rPr>
            </w:pPr>
            <w:r>
              <w:rPr>
                <w:rFonts w:hint="eastAsia" w:ascii="宋体" w:hAnsi="宋体" w:cs="宋体"/>
                <w:b/>
                <w:bCs/>
                <w:szCs w:val="21"/>
                <w:highlight w:val="none"/>
              </w:rPr>
              <w:t>评审标准</w:t>
            </w:r>
          </w:p>
        </w:tc>
      </w:tr>
      <w:tr w14:paraId="3C6C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1" w:type="dxa"/>
            <w:vMerge w:val="restart"/>
            <w:noWrap/>
            <w:vAlign w:val="center"/>
          </w:tcPr>
          <w:p w14:paraId="1606681B">
            <w:pPr>
              <w:spacing w:line="440" w:lineRule="exact"/>
              <w:jc w:val="center"/>
              <w:rPr>
                <w:rFonts w:ascii="宋体" w:hAnsi="宋体" w:cs="宋体"/>
                <w:szCs w:val="21"/>
                <w:highlight w:val="none"/>
              </w:rPr>
            </w:pPr>
            <w:r>
              <w:rPr>
                <w:rFonts w:hint="eastAsia" w:ascii="宋体" w:hAnsi="宋体" w:cs="宋体"/>
                <w:szCs w:val="21"/>
                <w:highlight w:val="none"/>
              </w:rPr>
              <w:t>4.2.1</w:t>
            </w:r>
          </w:p>
        </w:tc>
        <w:tc>
          <w:tcPr>
            <w:tcW w:w="1860" w:type="dxa"/>
            <w:gridSpan w:val="2"/>
            <w:vMerge w:val="restart"/>
            <w:noWrap/>
            <w:vAlign w:val="center"/>
          </w:tcPr>
          <w:p w14:paraId="2ABF61DD">
            <w:pPr>
              <w:spacing w:line="440" w:lineRule="exact"/>
              <w:jc w:val="center"/>
              <w:rPr>
                <w:rFonts w:ascii="宋体" w:hAnsi="宋体" w:cs="宋体"/>
                <w:szCs w:val="21"/>
                <w:highlight w:val="none"/>
              </w:rPr>
            </w:pPr>
            <w:r>
              <w:rPr>
                <w:rFonts w:hint="eastAsia" w:ascii="宋体" w:hAnsi="宋体" w:cs="宋体"/>
                <w:szCs w:val="21"/>
                <w:highlight w:val="none"/>
              </w:rPr>
              <w:t>形式评审标准</w:t>
            </w:r>
          </w:p>
        </w:tc>
        <w:tc>
          <w:tcPr>
            <w:tcW w:w="2158" w:type="dxa"/>
            <w:noWrap/>
            <w:vAlign w:val="center"/>
          </w:tcPr>
          <w:p w14:paraId="73517A2E">
            <w:pPr>
              <w:spacing w:line="440" w:lineRule="exact"/>
              <w:rPr>
                <w:rFonts w:ascii="宋体" w:hAnsi="宋体" w:cs="宋体"/>
                <w:szCs w:val="21"/>
                <w:highlight w:val="none"/>
              </w:rPr>
            </w:pPr>
            <w:r>
              <w:rPr>
                <w:rFonts w:hint="eastAsia" w:ascii="宋体" w:hAnsi="宋体" w:cs="宋体"/>
                <w:szCs w:val="21"/>
                <w:highlight w:val="none"/>
              </w:rPr>
              <w:t>投标函签字盖章</w:t>
            </w:r>
          </w:p>
        </w:tc>
        <w:tc>
          <w:tcPr>
            <w:tcW w:w="4727" w:type="dxa"/>
            <w:noWrap/>
          </w:tcPr>
          <w:p w14:paraId="2DBE6DD3">
            <w:pPr>
              <w:spacing w:line="440" w:lineRule="exact"/>
              <w:rPr>
                <w:rFonts w:ascii="宋体" w:hAnsi="宋体" w:cs="宋体"/>
                <w:szCs w:val="21"/>
                <w:highlight w:val="none"/>
              </w:rPr>
            </w:pPr>
            <w:r>
              <w:rPr>
                <w:rFonts w:hint="eastAsia" w:ascii="宋体" w:hAnsi="宋体" w:cs="宋体"/>
                <w:szCs w:val="21"/>
                <w:highlight w:val="none"/>
              </w:rPr>
              <w:t>有投标人及其法定代表人签章</w:t>
            </w:r>
          </w:p>
        </w:tc>
      </w:tr>
      <w:tr w14:paraId="5E02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11" w:type="dxa"/>
            <w:vMerge w:val="continue"/>
            <w:noWrap/>
          </w:tcPr>
          <w:p w14:paraId="274A7B26">
            <w:pPr>
              <w:spacing w:line="440" w:lineRule="exact"/>
              <w:rPr>
                <w:rFonts w:ascii="宋体" w:hAnsi="宋体" w:cs="宋体"/>
                <w:szCs w:val="21"/>
                <w:highlight w:val="none"/>
              </w:rPr>
            </w:pPr>
          </w:p>
        </w:tc>
        <w:tc>
          <w:tcPr>
            <w:tcW w:w="1860" w:type="dxa"/>
            <w:gridSpan w:val="2"/>
            <w:vMerge w:val="continue"/>
            <w:noWrap/>
          </w:tcPr>
          <w:p w14:paraId="7570E8C7">
            <w:pPr>
              <w:spacing w:line="440" w:lineRule="exact"/>
              <w:rPr>
                <w:rFonts w:ascii="宋体" w:hAnsi="宋体" w:cs="宋体"/>
                <w:szCs w:val="21"/>
                <w:highlight w:val="none"/>
              </w:rPr>
            </w:pPr>
          </w:p>
        </w:tc>
        <w:tc>
          <w:tcPr>
            <w:tcW w:w="2158" w:type="dxa"/>
            <w:noWrap/>
            <w:vAlign w:val="center"/>
          </w:tcPr>
          <w:p w14:paraId="45179B0C">
            <w:pPr>
              <w:spacing w:line="440" w:lineRule="exact"/>
              <w:rPr>
                <w:rFonts w:ascii="宋体" w:hAnsi="宋体" w:cs="宋体"/>
                <w:szCs w:val="21"/>
                <w:highlight w:val="none"/>
              </w:rPr>
            </w:pPr>
            <w:r>
              <w:rPr>
                <w:rFonts w:hint="eastAsia" w:ascii="宋体" w:hAnsi="宋体" w:cs="宋体"/>
                <w:szCs w:val="21"/>
                <w:highlight w:val="none"/>
              </w:rPr>
              <w:t>投标文件格式</w:t>
            </w:r>
          </w:p>
        </w:tc>
        <w:tc>
          <w:tcPr>
            <w:tcW w:w="4727" w:type="dxa"/>
            <w:noWrap/>
          </w:tcPr>
          <w:p w14:paraId="24166B6D">
            <w:pPr>
              <w:spacing w:line="440" w:lineRule="exact"/>
              <w:jc w:val="left"/>
              <w:rPr>
                <w:rFonts w:ascii="宋体" w:hAnsi="宋体" w:cs="宋体"/>
                <w:szCs w:val="21"/>
                <w:highlight w:val="none"/>
              </w:rPr>
            </w:pPr>
            <w:r>
              <w:rPr>
                <w:rFonts w:hint="eastAsia" w:ascii="宋体" w:hAnsi="宋体" w:cs="宋体"/>
                <w:szCs w:val="21"/>
                <w:highlight w:val="none"/>
              </w:rPr>
              <w:t>符合第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章“投标文件格式”的要求</w:t>
            </w:r>
          </w:p>
        </w:tc>
      </w:tr>
      <w:tr w14:paraId="327F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noWrap/>
          </w:tcPr>
          <w:p w14:paraId="7C9F9938">
            <w:pPr>
              <w:spacing w:line="440" w:lineRule="exact"/>
              <w:rPr>
                <w:rFonts w:ascii="宋体" w:hAnsi="宋体" w:cs="宋体"/>
                <w:szCs w:val="21"/>
                <w:highlight w:val="none"/>
              </w:rPr>
            </w:pPr>
          </w:p>
        </w:tc>
        <w:tc>
          <w:tcPr>
            <w:tcW w:w="1860" w:type="dxa"/>
            <w:gridSpan w:val="2"/>
            <w:vMerge w:val="continue"/>
            <w:noWrap/>
          </w:tcPr>
          <w:p w14:paraId="083A6289">
            <w:pPr>
              <w:spacing w:line="440" w:lineRule="exact"/>
              <w:rPr>
                <w:rFonts w:ascii="宋体" w:hAnsi="宋体" w:cs="宋体"/>
                <w:szCs w:val="21"/>
                <w:highlight w:val="none"/>
              </w:rPr>
            </w:pPr>
          </w:p>
        </w:tc>
        <w:tc>
          <w:tcPr>
            <w:tcW w:w="2158" w:type="dxa"/>
            <w:noWrap/>
            <w:vAlign w:val="center"/>
          </w:tcPr>
          <w:p w14:paraId="5EC25201">
            <w:pPr>
              <w:spacing w:line="440" w:lineRule="exact"/>
              <w:rPr>
                <w:rFonts w:ascii="宋体" w:hAnsi="宋体" w:cs="宋体"/>
                <w:szCs w:val="21"/>
                <w:highlight w:val="none"/>
              </w:rPr>
            </w:pPr>
            <w:r>
              <w:rPr>
                <w:rFonts w:hint="eastAsia" w:ascii="宋体" w:hAnsi="宋体" w:cs="宋体"/>
                <w:szCs w:val="21"/>
                <w:highlight w:val="none"/>
              </w:rPr>
              <w:t>报价唯一</w:t>
            </w:r>
          </w:p>
        </w:tc>
        <w:tc>
          <w:tcPr>
            <w:tcW w:w="4727" w:type="dxa"/>
            <w:noWrap/>
          </w:tcPr>
          <w:p w14:paraId="1080A4B7">
            <w:pPr>
              <w:spacing w:line="440" w:lineRule="exact"/>
              <w:jc w:val="left"/>
              <w:rPr>
                <w:rFonts w:ascii="宋体" w:hAnsi="宋体" w:cs="宋体"/>
                <w:szCs w:val="21"/>
                <w:highlight w:val="none"/>
              </w:rPr>
            </w:pPr>
            <w:r>
              <w:rPr>
                <w:rFonts w:hint="eastAsia" w:ascii="宋体" w:hAnsi="宋体" w:cs="宋体"/>
                <w:szCs w:val="21"/>
                <w:highlight w:val="none"/>
              </w:rPr>
              <w:t>只能有一个报价</w:t>
            </w:r>
          </w:p>
        </w:tc>
      </w:tr>
      <w:tr w14:paraId="7D30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11" w:type="dxa"/>
            <w:vMerge w:val="restart"/>
            <w:noWrap/>
            <w:vAlign w:val="center"/>
          </w:tcPr>
          <w:p w14:paraId="27814028">
            <w:pPr>
              <w:spacing w:line="440" w:lineRule="exact"/>
              <w:jc w:val="center"/>
              <w:rPr>
                <w:rFonts w:ascii="宋体" w:hAnsi="宋体" w:cs="宋体"/>
                <w:szCs w:val="21"/>
                <w:highlight w:val="none"/>
              </w:rPr>
            </w:pPr>
            <w:r>
              <w:rPr>
                <w:rFonts w:hint="eastAsia" w:ascii="宋体" w:hAnsi="宋体" w:cs="宋体"/>
                <w:szCs w:val="21"/>
                <w:highlight w:val="none"/>
              </w:rPr>
              <w:t>4.2.2</w:t>
            </w:r>
          </w:p>
        </w:tc>
        <w:tc>
          <w:tcPr>
            <w:tcW w:w="1860" w:type="dxa"/>
            <w:gridSpan w:val="2"/>
            <w:vMerge w:val="restart"/>
            <w:noWrap/>
            <w:vAlign w:val="center"/>
          </w:tcPr>
          <w:p w14:paraId="477FB6B5">
            <w:pPr>
              <w:spacing w:line="440" w:lineRule="exact"/>
              <w:rPr>
                <w:rFonts w:ascii="宋体" w:hAnsi="宋体" w:cs="宋体"/>
                <w:szCs w:val="21"/>
                <w:highlight w:val="none"/>
              </w:rPr>
            </w:pPr>
            <w:r>
              <w:rPr>
                <w:rFonts w:hint="eastAsia" w:ascii="宋体" w:hAnsi="宋体" w:cs="宋体"/>
                <w:szCs w:val="21"/>
                <w:highlight w:val="none"/>
              </w:rPr>
              <w:t>响应性评审标准</w:t>
            </w:r>
          </w:p>
        </w:tc>
        <w:tc>
          <w:tcPr>
            <w:tcW w:w="2158" w:type="dxa"/>
            <w:noWrap/>
            <w:vAlign w:val="center"/>
          </w:tcPr>
          <w:p w14:paraId="341144D6">
            <w:pPr>
              <w:spacing w:line="440" w:lineRule="exact"/>
              <w:rPr>
                <w:rFonts w:ascii="宋体" w:hAnsi="宋体" w:cs="宋体"/>
                <w:szCs w:val="21"/>
                <w:highlight w:val="none"/>
              </w:rPr>
            </w:pPr>
            <w:r>
              <w:rPr>
                <w:rFonts w:hint="eastAsia" w:ascii="宋体" w:hAnsi="宋体" w:cs="宋体"/>
                <w:szCs w:val="21"/>
                <w:highlight w:val="none"/>
              </w:rPr>
              <w:t>服务期限</w:t>
            </w:r>
          </w:p>
        </w:tc>
        <w:tc>
          <w:tcPr>
            <w:tcW w:w="4727" w:type="dxa"/>
            <w:noWrap/>
            <w:vAlign w:val="center"/>
          </w:tcPr>
          <w:p w14:paraId="37215412">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5507E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noWrap/>
          </w:tcPr>
          <w:p w14:paraId="1AFE4EF1">
            <w:pPr>
              <w:spacing w:line="440" w:lineRule="exact"/>
              <w:rPr>
                <w:rFonts w:ascii="宋体" w:hAnsi="宋体" w:cs="宋体"/>
                <w:szCs w:val="21"/>
                <w:highlight w:val="none"/>
              </w:rPr>
            </w:pPr>
          </w:p>
        </w:tc>
        <w:tc>
          <w:tcPr>
            <w:tcW w:w="1860" w:type="dxa"/>
            <w:gridSpan w:val="2"/>
            <w:vMerge w:val="continue"/>
            <w:noWrap/>
          </w:tcPr>
          <w:p w14:paraId="7B4C01AA">
            <w:pPr>
              <w:spacing w:line="440" w:lineRule="exact"/>
              <w:rPr>
                <w:rFonts w:ascii="宋体" w:hAnsi="宋体" w:cs="宋体"/>
                <w:szCs w:val="21"/>
                <w:highlight w:val="none"/>
              </w:rPr>
            </w:pPr>
          </w:p>
        </w:tc>
        <w:tc>
          <w:tcPr>
            <w:tcW w:w="2158" w:type="dxa"/>
            <w:noWrap/>
            <w:vAlign w:val="center"/>
          </w:tcPr>
          <w:p w14:paraId="1A3A3F53">
            <w:pPr>
              <w:spacing w:line="440" w:lineRule="exact"/>
              <w:rPr>
                <w:rFonts w:ascii="宋体" w:hAnsi="宋体" w:cs="宋体"/>
                <w:szCs w:val="21"/>
                <w:highlight w:val="none"/>
              </w:rPr>
            </w:pPr>
            <w:r>
              <w:rPr>
                <w:rFonts w:hint="eastAsia" w:ascii="宋体" w:hAnsi="宋体" w:cs="宋体"/>
                <w:szCs w:val="21"/>
                <w:highlight w:val="none"/>
              </w:rPr>
              <w:t>投标有效期</w:t>
            </w:r>
          </w:p>
        </w:tc>
        <w:tc>
          <w:tcPr>
            <w:tcW w:w="4727" w:type="dxa"/>
            <w:noWrap/>
            <w:vAlign w:val="center"/>
          </w:tcPr>
          <w:p w14:paraId="4CC287BA">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3F30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11" w:type="dxa"/>
            <w:vMerge w:val="continue"/>
            <w:noWrap/>
          </w:tcPr>
          <w:p w14:paraId="2D8AC126">
            <w:pPr>
              <w:spacing w:line="440" w:lineRule="exact"/>
              <w:rPr>
                <w:rFonts w:ascii="宋体" w:hAnsi="宋体" w:cs="宋体"/>
                <w:szCs w:val="21"/>
                <w:highlight w:val="none"/>
              </w:rPr>
            </w:pPr>
          </w:p>
        </w:tc>
        <w:tc>
          <w:tcPr>
            <w:tcW w:w="1860" w:type="dxa"/>
            <w:gridSpan w:val="2"/>
            <w:vMerge w:val="continue"/>
            <w:noWrap/>
          </w:tcPr>
          <w:p w14:paraId="6058B882">
            <w:pPr>
              <w:spacing w:line="440" w:lineRule="exact"/>
              <w:rPr>
                <w:rFonts w:ascii="宋体" w:hAnsi="宋体" w:cs="宋体"/>
                <w:szCs w:val="21"/>
                <w:highlight w:val="none"/>
              </w:rPr>
            </w:pPr>
          </w:p>
        </w:tc>
        <w:tc>
          <w:tcPr>
            <w:tcW w:w="2158" w:type="dxa"/>
            <w:noWrap/>
            <w:vAlign w:val="center"/>
          </w:tcPr>
          <w:p w14:paraId="59243F41">
            <w:pPr>
              <w:spacing w:line="440" w:lineRule="exact"/>
              <w:rPr>
                <w:rFonts w:ascii="宋体" w:hAnsi="宋体" w:cs="宋体"/>
                <w:szCs w:val="21"/>
                <w:highlight w:val="none"/>
              </w:rPr>
            </w:pPr>
            <w:r>
              <w:rPr>
                <w:rFonts w:hint="eastAsia" w:ascii="宋体" w:hAnsi="宋体" w:cs="宋体"/>
                <w:szCs w:val="21"/>
                <w:highlight w:val="none"/>
              </w:rPr>
              <w:t>工程质量</w:t>
            </w:r>
          </w:p>
        </w:tc>
        <w:tc>
          <w:tcPr>
            <w:tcW w:w="4727" w:type="dxa"/>
            <w:noWrap/>
            <w:vAlign w:val="center"/>
          </w:tcPr>
          <w:p w14:paraId="6B69FB9B">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2F17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811" w:type="dxa"/>
            <w:vMerge w:val="continue"/>
            <w:noWrap/>
          </w:tcPr>
          <w:p w14:paraId="58017497">
            <w:pPr>
              <w:spacing w:line="440" w:lineRule="exact"/>
              <w:rPr>
                <w:rFonts w:ascii="宋体" w:hAnsi="宋体" w:cs="宋体"/>
                <w:szCs w:val="21"/>
                <w:highlight w:val="none"/>
              </w:rPr>
            </w:pPr>
          </w:p>
        </w:tc>
        <w:tc>
          <w:tcPr>
            <w:tcW w:w="1860" w:type="dxa"/>
            <w:gridSpan w:val="2"/>
            <w:vMerge w:val="continue"/>
            <w:noWrap/>
          </w:tcPr>
          <w:p w14:paraId="03CDB8FB">
            <w:pPr>
              <w:spacing w:line="440" w:lineRule="exact"/>
              <w:rPr>
                <w:rFonts w:ascii="宋体" w:hAnsi="宋体" w:cs="宋体"/>
                <w:szCs w:val="21"/>
                <w:highlight w:val="none"/>
              </w:rPr>
            </w:pPr>
          </w:p>
        </w:tc>
        <w:tc>
          <w:tcPr>
            <w:tcW w:w="2158" w:type="dxa"/>
            <w:noWrap/>
            <w:vAlign w:val="center"/>
          </w:tcPr>
          <w:p w14:paraId="68CD3BA7">
            <w:pPr>
              <w:spacing w:line="440" w:lineRule="exact"/>
              <w:rPr>
                <w:rFonts w:ascii="宋体" w:hAnsi="宋体" w:cs="宋体"/>
                <w:szCs w:val="21"/>
                <w:highlight w:val="none"/>
              </w:rPr>
            </w:pPr>
            <w:r>
              <w:rPr>
                <w:rFonts w:hint="eastAsia" w:ascii="宋体" w:hAnsi="宋体" w:cs="宋体"/>
                <w:szCs w:val="21"/>
                <w:highlight w:val="none"/>
              </w:rPr>
              <w:t>投标文件内容</w:t>
            </w:r>
          </w:p>
        </w:tc>
        <w:tc>
          <w:tcPr>
            <w:tcW w:w="4727" w:type="dxa"/>
            <w:noWrap/>
            <w:vAlign w:val="center"/>
          </w:tcPr>
          <w:p w14:paraId="7A7D463D">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1D93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Merge w:val="continue"/>
            <w:noWrap/>
          </w:tcPr>
          <w:p w14:paraId="7CC84D4C">
            <w:pPr>
              <w:spacing w:line="440" w:lineRule="exact"/>
              <w:rPr>
                <w:rFonts w:ascii="宋体" w:hAnsi="宋体" w:cs="宋体"/>
                <w:szCs w:val="21"/>
                <w:highlight w:val="none"/>
              </w:rPr>
            </w:pPr>
          </w:p>
        </w:tc>
        <w:tc>
          <w:tcPr>
            <w:tcW w:w="1860" w:type="dxa"/>
            <w:gridSpan w:val="2"/>
            <w:vMerge w:val="continue"/>
            <w:noWrap/>
          </w:tcPr>
          <w:p w14:paraId="6C3BBE5A">
            <w:pPr>
              <w:spacing w:line="440" w:lineRule="exact"/>
              <w:rPr>
                <w:rFonts w:ascii="宋体" w:hAnsi="宋体" w:cs="宋体"/>
                <w:szCs w:val="21"/>
                <w:highlight w:val="none"/>
              </w:rPr>
            </w:pPr>
          </w:p>
        </w:tc>
        <w:tc>
          <w:tcPr>
            <w:tcW w:w="2158" w:type="dxa"/>
            <w:noWrap/>
            <w:vAlign w:val="center"/>
          </w:tcPr>
          <w:p w14:paraId="7B8E7F30">
            <w:pPr>
              <w:spacing w:line="440" w:lineRule="exact"/>
              <w:rPr>
                <w:rFonts w:ascii="宋体" w:hAnsi="宋体" w:cs="宋体"/>
                <w:szCs w:val="21"/>
                <w:highlight w:val="none"/>
              </w:rPr>
            </w:pPr>
            <w:r>
              <w:rPr>
                <w:rFonts w:hint="eastAsia" w:ascii="宋体" w:hAnsi="宋体" w:cs="宋体"/>
                <w:szCs w:val="21"/>
                <w:highlight w:val="none"/>
              </w:rPr>
              <w:t>投标报价</w:t>
            </w:r>
          </w:p>
        </w:tc>
        <w:tc>
          <w:tcPr>
            <w:tcW w:w="4727" w:type="dxa"/>
            <w:noWrap/>
            <w:vAlign w:val="center"/>
          </w:tcPr>
          <w:p w14:paraId="2BF22B2C">
            <w:pPr>
              <w:spacing w:line="440" w:lineRule="exact"/>
              <w:rPr>
                <w:rFonts w:ascii="宋体" w:hAnsi="宋体" w:cs="宋体"/>
                <w:szCs w:val="21"/>
                <w:highlight w:val="none"/>
              </w:rPr>
            </w:pPr>
            <w:r>
              <w:rPr>
                <w:rFonts w:hint="eastAsia" w:ascii="宋体" w:hAnsi="宋体" w:cs="宋体"/>
                <w:szCs w:val="21"/>
                <w:highlight w:val="none"/>
              </w:rPr>
              <w:t>不高于最高限价</w:t>
            </w:r>
          </w:p>
        </w:tc>
      </w:tr>
      <w:tr w14:paraId="1CF67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726" w:type="dxa"/>
            <w:gridSpan w:val="2"/>
            <w:noWrap/>
            <w:vAlign w:val="center"/>
          </w:tcPr>
          <w:p w14:paraId="660737A9">
            <w:pPr>
              <w:keepNext w:val="0"/>
              <w:keepLines w:val="0"/>
              <w:pageBreakBefore w:val="0"/>
              <w:kinsoku/>
              <w:wordWrap/>
              <w:overflowPunct/>
              <w:topLinePunct w:val="0"/>
              <w:autoSpaceDE/>
              <w:autoSpaceDN/>
              <w:bidi w:val="0"/>
              <w:adjustRightInd/>
              <w:spacing w:beforeAutospacing="0" w:afterAutospacing="0" w:line="440" w:lineRule="exact"/>
              <w:jc w:val="left"/>
              <w:textAlignment w:val="auto"/>
              <w:rPr>
                <w:rFonts w:hint="default" w:ascii="宋体" w:hAnsi="宋体" w:cs="宋体"/>
                <w:bCs/>
                <w:color w:val="auto"/>
                <w:szCs w:val="21"/>
                <w:highlight w:val="none"/>
                <w:lang w:val="en-US"/>
              </w:rPr>
            </w:pPr>
            <w:r>
              <w:rPr>
                <w:rFonts w:hint="eastAsia" w:ascii="宋体" w:hAnsi="宋体" w:eastAsia="宋体" w:cs="宋体"/>
                <w:color w:val="auto"/>
                <w:sz w:val="21"/>
                <w:szCs w:val="21"/>
                <w:highlight w:val="none"/>
              </w:rPr>
              <w:t>监理费报价（费率）</w:t>
            </w:r>
            <w:r>
              <w:rPr>
                <w:rFonts w:hint="eastAsia" w:ascii="宋体" w:hAnsi="宋体" w:cs="宋体"/>
                <w:color w:val="auto"/>
                <w:sz w:val="21"/>
                <w:szCs w:val="21"/>
                <w:highlight w:val="none"/>
                <w:lang w:val="en-US" w:eastAsia="zh-CN"/>
              </w:rPr>
              <w:t>（40分）</w:t>
            </w:r>
          </w:p>
        </w:tc>
        <w:tc>
          <w:tcPr>
            <w:tcW w:w="7830" w:type="dxa"/>
            <w:gridSpan w:val="3"/>
            <w:noWrap/>
            <w:vAlign w:val="center"/>
          </w:tcPr>
          <w:p w14:paraId="1F892151">
            <w:pPr>
              <w:keepNext w:val="0"/>
              <w:keepLines w:val="0"/>
              <w:pageBreakBefore w:val="0"/>
              <w:kinsoku/>
              <w:wordWrap/>
              <w:overflowPunct/>
              <w:topLinePunct w:val="0"/>
              <w:autoSpaceDE/>
              <w:autoSpaceDN/>
              <w:bidi w:val="0"/>
              <w:adjustRightInd/>
              <w:spacing w:beforeAutospacing="0" w:afterAutospacing="0" w:line="440" w:lineRule="exact"/>
              <w:jc w:val="left"/>
              <w:textAlignment w:val="auto"/>
              <w:rPr>
                <w:rFonts w:hint="eastAsia" w:ascii="宋体" w:hAnsi="宋体" w:eastAsia="宋体" w:cs="宋体"/>
                <w:color w:val="auto"/>
                <w:kern w:val="2"/>
                <w:sz w:val="21"/>
                <w:szCs w:val="21"/>
                <w:highlight w:val="none"/>
                <w:lang w:val="en-US"/>
              </w:rPr>
            </w:pPr>
            <w:r>
              <w:rPr>
                <w:rFonts w:hint="eastAsia" w:ascii="宋体" w:hAnsi="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lang w:val="en-US"/>
              </w:rPr>
              <w:t>监理费最高投标限价（费率）为</w:t>
            </w:r>
            <w:r>
              <w:rPr>
                <w:rFonts w:hint="eastAsia" w:ascii="宋体" w:hAnsi="宋体" w:eastAsia="宋体" w:cs="宋体"/>
                <w:color w:val="auto"/>
                <w:kern w:val="2"/>
                <w:sz w:val="21"/>
                <w:szCs w:val="21"/>
                <w:highlight w:val="none"/>
                <w:lang w:val="en-US" w:eastAsia="zh-CN"/>
              </w:rPr>
              <w:t>：1.0</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rPr>
              <w:t>投标报价费率不得高于招标人发布的最高投标限价（费率），否则按无效标处理。</w:t>
            </w:r>
          </w:p>
          <w:p w14:paraId="71DFDC25">
            <w:pPr>
              <w:keepNext w:val="0"/>
              <w:keepLines w:val="0"/>
              <w:pageBreakBefore w:val="0"/>
              <w:kinsoku/>
              <w:wordWrap/>
              <w:overflowPunct/>
              <w:topLinePunct w:val="0"/>
              <w:autoSpaceDE/>
              <w:autoSpaceDN/>
              <w:bidi w:val="0"/>
              <w:adjustRightInd/>
              <w:spacing w:beforeAutospacing="0" w:afterAutospacing="0" w:line="440" w:lineRule="exact"/>
              <w:jc w:val="left"/>
              <w:textAlignment w:val="auto"/>
              <w:rPr>
                <w:rFonts w:hint="eastAsia" w:ascii="宋体" w:hAnsi="宋体" w:eastAsia="宋体" w:cs="宋体"/>
                <w:color w:val="auto"/>
                <w:kern w:val="2"/>
                <w:sz w:val="21"/>
                <w:szCs w:val="21"/>
                <w:highlight w:val="none"/>
                <w:lang w:val="en-US"/>
              </w:rPr>
            </w:pPr>
            <w:r>
              <w:rPr>
                <w:rFonts w:hint="eastAsia" w:ascii="宋体" w:hAnsi="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lang w:val="en-US"/>
              </w:rPr>
              <w:t xml:space="preserve">评标基准值（B值）为经评审合格的有效投标人的投标报价（费率）的算术平均值。评标基准值的计算结果以百分数形式，百分数小数点后保留两位小数。 </w:t>
            </w:r>
          </w:p>
          <w:p w14:paraId="4EF2FFA6">
            <w:pPr>
              <w:pStyle w:val="92"/>
              <w:keepNext w:val="0"/>
              <w:keepLines w:val="0"/>
              <w:pageBreakBefore w:val="0"/>
              <w:widowControl w:val="0"/>
              <w:kinsoku/>
              <w:wordWrap/>
              <w:overflowPunct/>
              <w:topLinePunct w:val="0"/>
              <w:autoSpaceDE/>
              <w:autoSpaceDN/>
              <w:bidi w:val="0"/>
              <w:adjustRightInd/>
              <w:snapToGrid/>
              <w:spacing w:beforeAutospacing="0" w:afterAutospacing="0" w:line="440" w:lineRule="exact"/>
              <w:ind w:right="61"/>
              <w:jc w:val="left"/>
              <w:textAlignment w:val="auto"/>
              <w:rPr>
                <w:rFonts w:hint="eastAsia" w:ascii="宋体" w:hAnsi="宋体" w:eastAsia="宋体" w:cs="宋体"/>
                <w:color w:val="auto"/>
                <w:kern w:val="2"/>
                <w:sz w:val="21"/>
                <w:szCs w:val="21"/>
                <w:highlight w:val="none"/>
                <w:lang w:val="en-US"/>
              </w:rPr>
            </w:pPr>
            <w:r>
              <w:rPr>
                <w:rFonts w:hint="eastAsia"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val="en-US"/>
              </w:rPr>
              <w:t>各有效投标人的投标报价（费率）与评标基准值B相比，相同的得</w:t>
            </w:r>
            <w:r>
              <w:rPr>
                <w:rFonts w:hint="eastAsia" w:cs="宋体"/>
                <w:color w:val="auto"/>
                <w:kern w:val="2"/>
                <w:sz w:val="21"/>
                <w:szCs w:val="21"/>
                <w:highlight w:val="none"/>
                <w:lang w:val="en-US" w:eastAsia="zh-CN"/>
              </w:rPr>
              <w:t>40</w:t>
            </w:r>
            <w:r>
              <w:rPr>
                <w:rFonts w:hint="eastAsia" w:ascii="宋体" w:hAnsi="宋体" w:eastAsia="宋体" w:cs="宋体"/>
                <w:color w:val="auto"/>
                <w:kern w:val="2"/>
                <w:sz w:val="21"/>
                <w:szCs w:val="21"/>
                <w:highlight w:val="none"/>
                <w:lang w:val="en-US"/>
              </w:rPr>
              <w:t>分，</w:t>
            </w:r>
            <w:r>
              <w:rPr>
                <w:rFonts w:hint="eastAsia" w:ascii="宋体" w:hAnsi="宋体" w:eastAsia="宋体" w:cs="宋体"/>
                <w:color w:val="auto"/>
                <w:kern w:val="2"/>
                <w:sz w:val="21"/>
                <w:szCs w:val="21"/>
                <w:highlight w:val="none"/>
                <w:lang w:val="en-US" w:eastAsia="zh-CN"/>
              </w:rPr>
              <w:t>差</w:t>
            </w:r>
            <w:r>
              <w:rPr>
                <w:rFonts w:hint="eastAsia" w:cs="宋体"/>
                <w:color w:val="auto"/>
                <w:kern w:val="2"/>
                <w:sz w:val="21"/>
                <w:szCs w:val="21"/>
                <w:highlight w:val="none"/>
                <w:lang w:val="en-US" w:eastAsia="zh-CN"/>
              </w:rPr>
              <w:t>值</w:t>
            </w:r>
            <w:r>
              <w:rPr>
                <w:rFonts w:hint="eastAsia" w:ascii="宋体" w:hAnsi="宋体" w:eastAsia="宋体" w:cs="宋体"/>
                <w:color w:val="auto"/>
                <w:kern w:val="2"/>
                <w:sz w:val="21"/>
                <w:szCs w:val="21"/>
                <w:highlight w:val="none"/>
                <w:lang w:val="en-US"/>
              </w:rPr>
              <w:t>每增加 1%扣</w:t>
            </w:r>
            <w:r>
              <w:rPr>
                <w:rFonts w:hint="eastAsia"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lang w:val="en-US"/>
              </w:rPr>
              <w:t>分，每减少 1%扣</w:t>
            </w:r>
            <w:r>
              <w:rPr>
                <w:rFonts w:hint="eastAsia" w:cs="宋体"/>
                <w:color w:val="auto"/>
                <w:kern w:val="2"/>
                <w:sz w:val="21"/>
                <w:szCs w:val="21"/>
                <w:highlight w:val="none"/>
                <w:lang w:val="en-US" w:eastAsia="zh-CN"/>
              </w:rPr>
              <w:t>0.5</w:t>
            </w:r>
            <w:r>
              <w:rPr>
                <w:rFonts w:hint="eastAsia" w:ascii="宋体" w:hAnsi="宋体" w:eastAsia="宋体" w:cs="宋体"/>
                <w:color w:val="auto"/>
                <w:kern w:val="2"/>
                <w:sz w:val="21"/>
                <w:szCs w:val="21"/>
                <w:highlight w:val="none"/>
                <w:lang w:val="en-US"/>
              </w:rPr>
              <w:t xml:space="preserve">分，扣完为止；不足1%时按插入法计算，百分数取两位小数，小数点后第三位四舍五入。 本项分值由评标委员会负责组织计算。 </w:t>
            </w:r>
          </w:p>
          <w:p w14:paraId="68B266EA">
            <w:pPr>
              <w:keepNext w:val="0"/>
              <w:keepLines w:val="0"/>
              <w:pageBreakBefore w:val="0"/>
              <w:widowControl w:val="0"/>
              <w:kinsoku/>
              <w:wordWrap/>
              <w:overflowPunct/>
              <w:topLinePunct w:val="0"/>
              <w:autoSpaceDE/>
              <w:autoSpaceDN/>
              <w:bidi w:val="0"/>
              <w:adjustRightInd/>
              <w:snapToGrid/>
              <w:spacing w:beforeAutospacing="0" w:afterAutospacing="0"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商务评分计算示例：</w:t>
            </w:r>
          </w:p>
          <w:p w14:paraId="1298BFA7">
            <w:pPr>
              <w:keepNext w:val="0"/>
              <w:keepLines w:val="0"/>
              <w:pageBreakBefore w:val="0"/>
              <w:kinsoku/>
              <w:wordWrap/>
              <w:overflowPunct/>
              <w:topLinePunct w:val="0"/>
              <w:autoSpaceDE/>
              <w:autoSpaceDN/>
              <w:bidi w:val="0"/>
              <w:adjustRightInd/>
              <w:spacing w:beforeAutospacing="0" w:afterAutospacing="0" w:line="440" w:lineRule="exact"/>
              <w:jc w:val="left"/>
              <w:textAlignment w:val="auto"/>
              <w:rPr>
                <w:rFonts w:hint="eastAsia" w:ascii="宋体" w:hAnsi="宋体" w:eastAsia="宋体" w:cs="宋体"/>
                <w:color w:val="auto"/>
                <w:kern w:val="2"/>
                <w:sz w:val="21"/>
                <w:szCs w:val="21"/>
                <w:highlight w:val="none"/>
                <w:lang w:val="en-US"/>
              </w:rPr>
            </w:pPr>
            <w:r>
              <w:rPr>
                <w:rFonts w:hint="eastAsia" w:ascii="宋体" w:hAnsi="宋体" w:eastAsia="宋体" w:cs="宋体"/>
                <w:color w:val="auto"/>
                <w:kern w:val="2"/>
                <w:sz w:val="21"/>
                <w:szCs w:val="21"/>
                <w:highlight w:val="none"/>
                <w:lang w:val="en-US"/>
              </w:rPr>
              <w:t>假设评标基准值为</w:t>
            </w:r>
            <w:r>
              <w:rPr>
                <w:rFonts w:hint="eastAsia" w:ascii="宋体" w:hAnsi="宋体" w:cs="宋体"/>
                <w:color w:val="auto"/>
                <w:kern w:val="2"/>
                <w:sz w:val="21"/>
                <w:szCs w:val="21"/>
                <w:highlight w:val="none"/>
                <w:lang w:val="en-US" w:eastAsia="zh-CN"/>
              </w:rPr>
              <w:t>0.85</w:t>
            </w:r>
            <w:r>
              <w:rPr>
                <w:rFonts w:hint="eastAsia" w:ascii="宋体" w:hAnsi="宋体" w:eastAsia="宋体" w:cs="宋体"/>
                <w:color w:val="auto"/>
                <w:kern w:val="2"/>
                <w:sz w:val="21"/>
                <w:szCs w:val="21"/>
                <w:highlight w:val="none"/>
                <w:lang w:val="en-US"/>
              </w:rPr>
              <w:t>%，投标人甲的报价为</w:t>
            </w:r>
            <w:r>
              <w:rPr>
                <w:rFonts w:hint="eastAsia" w:ascii="宋体" w:hAnsi="宋体" w:cs="宋体"/>
                <w:color w:val="auto"/>
                <w:kern w:val="2"/>
                <w:sz w:val="21"/>
                <w:szCs w:val="21"/>
                <w:highlight w:val="none"/>
                <w:lang w:val="en-US" w:eastAsia="zh-CN"/>
              </w:rPr>
              <w:t>0.72</w:t>
            </w:r>
            <w:r>
              <w:rPr>
                <w:rFonts w:hint="eastAsia" w:ascii="宋体" w:hAnsi="宋体" w:eastAsia="宋体" w:cs="宋体"/>
                <w:color w:val="auto"/>
                <w:kern w:val="2"/>
                <w:sz w:val="21"/>
                <w:szCs w:val="21"/>
                <w:highlight w:val="none"/>
                <w:lang w:val="en-US"/>
              </w:rPr>
              <w:t>%、投标人乙的报价为</w:t>
            </w:r>
            <w:r>
              <w:rPr>
                <w:rFonts w:hint="eastAsia" w:ascii="宋体" w:hAnsi="宋体" w:cs="宋体"/>
                <w:color w:val="auto"/>
                <w:kern w:val="2"/>
                <w:sz w:val="21"/>
                <w:szCs w:val="21"/>
                <w:highlight w:val="none"/>
                <w:lang w:val="en-US" w:eastAsia="zh-CN"/>
              </w:rPr>
              <w:t>0.85</w:t>
            </w:r>
            <w:r>
              <w:rPr>
                <w:rFonts w:hint="eastAsia" w:ascii="宋体" w:hAnsi="宋体" w:eastAsia="宋体" w:cs="宋体"/>
                <w:color w:val="auto"/>
                <w:kern w:val="2"/>
                <w:sz w:val="21"/>
                <w:szCs w:val="21"/>
                <w:highlight w:val="none"/>
                <w:lang w:val="en-US"/>
              </w:rPr>
              <w:t>%、投标人丙的报价为</w:t>
            </w:r>
            <w:r>
              <w:rPr>
                <w:rFonts w:hint="eastAsia" w:ascii="宋体" w:hAnsi="宋体" w:cs="宋体"/>
                <w:color w:val="auto"/>
                <w:kern w:val="2"/>
                <w:sz w:val="21"/>
                <w:szCs w:val="21"/>
                <w:highlight w:val="none"/>
                <w:lang w:val="en-US" w:eastAsia="zh-CN"/>
              </w:rPr>
              <w:t>0.93</w:t>
            </w:r>
            <w:r>
              <w:rPr>
                <w:rFonts w:hint="eastAsia" w:ascii="宋体" w:hAnsi="宋体" w:eastAsia="宋体" w:cs="宋体"/>
                <w:color w:val="auto"/>
                <w:kern w:val="2"/>
                <w:sz w:val="21"/>
                <w:szCs w:val="21"/>
                <w:highlight w:val="none"/>
                <w:lang w:val="en-US"/>
              </w:rPr>
              <w:t>%，计算各投标人得分如下（得分取两位小数，小数点后第三位四舍五入）：</w:t>
            </w:r>
          </w:p>
          <w:p w14:paraId="3AD965D3">
            <w:pPr>
              <w:keepNext w:val="0"/>
              <w:keepLines w:val="0"/>
              <w:pageBreakBefore w:val="0"/>
              <w:kinsoku/>
              <w:wordWrap/>
              <w:overflowPunct/>
              <w:topLinePunct w:val="0"/>
              <w:autoSpaceDE/>
              <w:autoSpaceDN/>
              <w:bidi w:val="0"/>
              <w:adjustRightInd/>
              <w:spacing w:beforeAutospacing="0" w:afterAutospacing="0" w:line="440" w:lineRule="exact"/>
              <w:jc w:val="left"/>
              <w:textAlignment w:val="auto"/>
              <w:rPr>
                <w:rFonts w:hint="eastAsia" w:ascii="宋体" w:hAnsi="宋体" w:eastAsia="宋体" w:cs="宋体"/>
                <w:color w:val="auto"/>
                <w:kern w:val="2"/>
                <w:sz w:val="21"/>
                <w:szCs w:val="21"/>
                <w:highlight w:val="none"/>
                <w:lang w:val="en-US"/>
              </w:rPr>
            </w:pPr>
            <w:r>
              <w:rPr>
                <w:rFonts w:hint="eastAsia" w:ascii="宋体" w:hAnsi="宋体" w:eastAsia="宋体" w:cs="宋体"/>
                <w:color w:val="auto"/>
                <w:kern w:val="2"/>
                <w:sz w:val="21"/>
                <w:szCs w:val="21"/>
                <w:highlight w:val="none"/>
                <w:lang w:val="en-US"/>
              </w:rPr>
              <w:t>投标人甲：投标报价（费率）与评标基准值的差</w:t>
            </w:r>
            <w:r>
              <w:rPr>
                <w:rFonts w:hint="eastAsia" w:ascii="宋体" w:hAnsi="宋体" w:eastAsia="宋体" w:cs="宋体"/>
                <w:color w:val="auto"/>
                <w:kern w:val="2"/>
                <w:sz w:val="21"/>
                <w:szCs w:val="21"/>
                <w:highlight w:val="none"/>
                <w:lang w:val="en-US" w:eastAsia="zh-CN"/>
              </w:rPr>
              <w:t>值</w:t>
            </w:r>
            <w:r>
              <w:rPr>
                <w:rFonts w:hint="eastAsia" w:ascii="宋体" w:hAnsi="宋体" w:eastAsia="宋体" w:cs="宋体"/>
                <w:color w:val="auto"/>
                <w:kern w:val="2"/>
                <w:sz w:val="21"/>
                <w:szCs w:val="21"/>
                <w:highlight w:val="none"/>
                <w:lang w:val="en-US"/>
              </w:rPr>
              <w:t>=</w:t>
            </w:r>
            <w:r>
              <w:rPr>
                <w:rFonts w:hint="eastAsia" w:ascii="宋体" w:hAnsi="宋体" w:cs="宋体"/>
                <w:color w:val="auto"/>
                <w:kern w:val="2"/>
                <w:sz w:val="21"/>
                <w:szCs w:val="21"/>
                <w:highlight w:val="none"/>
                <w:lang w:val="en-US" w:eastAsia="zh-CN"/>
              </w:rPr>
              <w:t>0.72</w:t>
            </w:r>
            <w:r>
              <w:rPr>
                <w:rFonts w:hint="eastAsia" w:ascii="宋体" w:hAnsi="宋体" w:eastAsia="宋体" w:cs="宋体"/>
                <w:color w:val="auto"/>
                <w:kern w:val="2"/>
                <w:sz w:val="21"/>
                <w:szCs w:val="21"/>
                <w:highlight w:val="none"/>
                <w:lang w:val="en-US"/>
              </w:rPr>
              <w:t>%-</w:t>
            </w:r>
            <w:r>
              <w:rPr>
                <w:rFonts w:hint="eastAsia" w:ascii="宋体" w:hAnsi="宋体" w:cs="宋体"/>
                <w:color w:val="auto"/>
                <w:kern w:val="2"/>
                <w:sz w:val="21"/>
                <w:szCs w:val="21"/>
                <w:highlight w:val="none"/>
                <w:lang w:val="en-US" w:eastAsia="zh-CN"/>
              </w:rPr>
              <w:t>0.85</w:t>
            </w:r>
            <w:r>
              <w:rPr>
                <w:rFonts w:hint="eastAsia" w:ascii="宋体" w:hAnsi="宋体" w:eastAsia="宋体" w:cs="宋体"/>
                <w:color w:val="auto"/>
                <w:kern w:val="2"/>
                <w:sz w:val="21"/>
                <w:szCs w:val="21"/>
                <w:highlight w:val="none"/>
                <w:lang w:val="en-US"/>
              </w:rPr>
              <w:t>%=</w:t>
            </w:r>
            <w:r>
              <w:rPr>
                <w:rFonts w:hint="eastAsia" w:ascii="宋体" w:hAnsi="宋体" w:cs="宋体"/>
                <w:color w:val="auto"/>
                <w:kern w:val="2"/>
                <w:sz w:val="21"/>
                <w:szCs w:val="21"/>
                <w:highlight w:val="none"/>
                <w:lang w:val="en-US" w:eastAsia="zh-CN"/>
              </w:rPr>
              <w:t>-0.13</w:t>
            </w:r>
            <w:r>
              <w:rPr>
                <w:rFonts w:hint="eastAsia" w:ascii="宋体" w:hAnsi="宋体" w:eastAsia="宋体" w:cs="宋体"/>
                <w:color w:val="auto"/>
                <w:kern w:val="2"/>
                <w:sz w:val="21"/>
                <w:szCs w:val="21"/>
                <w:highlight w:val="none"/>
                <w:lang w:val="en-US"/>
              </w:rPr>
              <w:t>%，该投标报价（费率）商务标得分=</w:t>
            </w:r>
            <w:r>
              <w:rPr>
                <w:rFonts w:hint="eastAsia" w:ascii="宋体" w:hAnsi="宋体" w:cs="宋体"/>
                <w:color w:val="auto"/>
                <w:kern w:val="2"/>
                <w:sz w:val="21"/>
                <w:szCs w:val="21"/>
                <w:highlight w:val="none"/>
                <w:lang w:val="en-US" w:eastAsia="zh-CN"/>
              </w:rPr>
              <w:t>40</w:t>
            </w:r>
            <w:r>
              <w:rPr>
                <w:rFonts w:hint="eastAsia" w:ascii="宋体" w:hAnsi="宋体" w:eastAsia="宋体" w:cs="宋体"/>
                <w:color w:val="auto"/>
                <w:kern w:val="2"/>
                <w:sz w:val="21"/>
                <w:szCs w:val="21"/>
                <w:highlight w:val="none"/>
                <w:lang w:val="en-US"/>
              </w:rPr>
              <w:t>-</w:t>
            </w:r>
            <w:r>
              <w:rPr>
                <w:rFonts w:hint="eastAsia" w:ascii="宋体" w:hAnsi="宋体" w:cs="宋体"/>
                <w:color w:val="auto"/>
                <w:kern w:val="2"/>
                <w:sz w:val="21"/>
                <w:szCs w:val="21"/>
                <w:highlight w:val="none"/>
                <w:lang w:val="en-US" w:eastAsia="zh-CN"/>
              </w:rPr>
              <w:t>0.13</w:t>
            </w:r>
            <w:r>
              <w:rPr>
                <w:rFonts w:hint="eastAsia" w:ascii="宋体" w:hAnsi="宋体" w:eastAsia="宋体" w:cs="宋体"/>
                <w:color w:val="auto"/>
                <w:kern w:val="2"/>
                <w:sz w:val="21"/>
                <w:szCs w:val="21"/>
                <w:highlight w:val="none"/>
                <w:lang w:val="en-US"/>
              </w:rPr>
              <w:t>×</w:t>
            </w:r>
            <w:r>
              <w:rPr>
                <w:rFonts w:hint="eastAsia" w:ascii="宋体" w:hAnsi="宋体" w:cs="宋体"/>
                <w:color w:val="auto"/>
                <w:kern w:val="2"/>
                <w:sz w:val="21"/>
                <w:szCs w:val="21"/>
                <w:highlight w:val="none"/>
                <w:lang w:val="en-US" w:eastAsia="zh-CN"/>
              </w:rPr>
              <w:t>0.5</w:t>
            </w:r>
            <w:r>
              <w:rPr>
                <w:rFonts w:hint="eastAsia" w:ascii="宋体" w:hAnsi="宋体" w:eastAsia="宋体" w:cs="宋体"/>
                <w:color w:val="auto"/>
                <w:kern w:val="2"/>
                <w:sz w:val="21"/>
                <w:szCs w:val="21"/>
                <w:highlight w:val="none"/>
                <w:lang w:val="en-US"/>
              </w:rPr>
              <w:t>=</w:t>
            </w:r>
            <w:r>
              <w:rPr>
                <w:rFonts w:hint="eastAsia" w:ascii="宋体" w:hAnsi="宋体" w:cs="宋体"/>
                <w:color w:val="auto"/>
                <w:kern w:val="2"/>
                <w:sz w:val="21"/>
                <w:szCs w:val="21"/>
                <w:highlight w:val="none"/>
                <w:lang w:val="en-US" w:eastAsia="zh-CN"/>
              </w:rPr>
              <w:t>39.94</w:t>
            </w:r>
            <w:r>
              <w:rPr>
                <w:rFonts w:hint="eastAsia" w:ascii="宋体" w:hAnsi="宋体" w:eastAsia="宋体" w:cs="宋体"/>
                <w:color w:val="auto"/>
                <w:kern w:val="2"/>
                <w:sz w:val="21"/>
                <w:szCs w:val="21"/>
                <w:highlight w:val="none"/>
                <w:lang w:val="en-US"/>
              </w:rPr>
              <w:t>分；</w:t>
            </w:r>
          </w:p>
          <w:p w14:paraId="422BBF54">
            <w:pPr>
              <w:keepNext w:val="0"/>
              <w:keepLines w:val="0"/>
              <w:pageBreakBefore w:val="0"/>
              <w:kinsoku/>
              <w:wordWrap/>
              <w:overflowPunct/>
              <w:topLinePunct w:val="0"/>
              <w:autoSpaceDE/>
              <w:autoSpaceDN/>
              <w:bidi w:val="0"/>
              <w:adjustRightInd/>
              <w:spacing w:beforeAutospacing="0" w:afterAutospacing="0" w:line="440" w:lineRule="exact"/>
              <w:jc w:val="left"/>
              <w:textAlignment w:val="auto"/>
              <w:rPr>
                <w:rFonts w:hint="eastAsia" w:ascii="宋体" w:hAnsi="宋体" w:eastAsia="宋体" w:cs="宋体"/>
                <w:color w:val="auto"/>
                <w:kern w:val="2"/>
                <w:sz w:val="21"/>
                <w:szCs w:val="21"/>
                <w:highlight w:val="none"/>
                <w:lang w:val="en-US"/>
              </w:rPr>
            </w:pPr>
            <w:r>
              <w:rPr>
                <w:rFonts w:hint="eastAsia" w:ascii="宋体" w:hAnsi="宋体" w:eastAsia="宋体" w:cs="宋体"/>
                <w:color w:val="auto"/>
                <w:kern w:val="2"/>
                <w:sz w:val="21"/>
                <w:szCs w:val="21"/>
                <w:highlight w:val="none"/>
                <w:lang w:val="en-US"/>
              </w:rPr>
              <w:t>投标人乙：投标报价（费率）与评标基准值的差</w:t>
            </w:r>
            <w:r>
              <w:rPr>
                <w:rFonts w:hint="eastAsia" w:ascii="宋体" w:hAnsi="宋体" w:eastAsia="宋体" w:cs="宋体"/>
                <w:color w:val="auto"/>
                <w:kern w:val="2"/>
                <w:sz w:val="21"/>
                <w:szCs w:val="21"/>
                <w:highlight w:val="none"/>
                <w:lang w:val="en-US" w:eastAsia="zh-CN"/>
              </w:rPr>
              <w:t>值</w:t>
            </w:r>
            <w:r>
              <w:rPr>
                <w:rFonts w:hint="eastAsia" w:ascii="宋体" w:hAnsi="宋体" w:eastAsia="宋体" w:cs="宋体"/>
                <w:color w:val="auto"/>
                <w:kern w:val="2"/>
                <w:sz w:val="21"/>
                <w:szCs w:val="21"/>
                <w:highlight w:val="none"/>
                <w:lang w:val="en-US"/>
              </w:rPr>
              <w:t>=</w:t>
            </w:r>
            <w:r>
              <w:rPr>
                <w:rFonts w:hint="eastAsia" w:ascii="宋体" w:hAnsi="宋体" w:cs="宋体"/>
                <w:color w:val="auto"/>
                <w:kern w:val="2"/>
                <w:sz w:val="21"/>
                <w:szCs w:val="21"/>
                <w:highlight w:val="none"/>
                <w:lang w:val="en-US" w:eastAsia="zh-CN"/>
              </w:rPr>
              <w:t>0.85</w:t>
            </w:r>
            <w:r>
              <w:rPr>
                <w:rFonts w:hint="eastAsia" w:ascii="宋体" w:hAnsi="宋体" w:eastAsia="宋体" w:cs="宋体"/>
                <w:color w:val="auto"/>
                <w:kern w:val="2"/>
                <w:sz w:val="21"/>
                <w:szCs w:val="21"/>
                <w:highlight w:val="none"/>
                <w:lang w:val="en-US"/>
              </w:rPr>
              <w:t>%-</w:t>
            </w:r>
            <w:r>
              <w:rPr>
                <w:rFonts w:hint="eastAsia" w:ascii="宋体" w:hAnsi="宋体" w:cs="宋体"/>
                <w:color w:val="auto"/>
                <w:kern w:val="2"/>
                <w:sz w:val="21"/>
                <w:szCs w:val="21"/>
                <w:highlight w:val="none"/>
                <w:lang w:val="en-US" w:eastAsia="zh-CN"/>
              </w:rPr>
              <w:t>0.85</w:t>
            </w:r>
            <w:r>
              <w:rPr>
                <w:rFonts w:hint="eastAsia" w:ascii="宋体" w:hAnsi="宋体" w:eastAsia="宋体" w:cs="宋体"/>
                <w:color w:val="auto"/>
                <w:kern w:val="2"/>
                <w:sz w:val="21"/>
                <w:szCs w:val="21"/>
                <w:highlight w:val="none"/>
                <w:lang w:val="en-US"/>
              </w:rPr>
              <w:t>%=0%，该投标报价（费率）商务标得分=</w:t>
            </w:r>
            <w:r>
              <w:rPr>
                <w:rFonts w:hint="eastAsia" w:ascii="宋体" w:hAnsi="宋体" w:cs="宋体"/>
                <w:color w:val="auto"/>
                <w:kern w:val="2"/>
                <w:sz w:val="21"/>
                <w:szCs w:val="21"/>
                <w:highlight w:val="none"/>
                <w:lang w:val="en-US" w:eastAsia="zh-CN"/>
              </w:rPr>
              <w:t>40</w:t>
            </w:r>
            <w:r>
              <w:rPr>
                <w:rFonts w:hint="eastAsia" w:ascii="宋体" w:hAnsi="宋体" w:eastAsia="宋体" w:cs="宋体"/>
                <w:color w:val="auto"/>
                <w:kern w:val="2"/>
                <w:sz w:val="21"/>
                <w:szCs w:val="21"/>
                <w:highlight w:val="none"/>
                <w:lang w:val="en-US"/>
              </w:rPr>
              <w:t>分；</w:t>
            </w:r>
          </w:p>
          <w:p w14:paraId="7C650270">
            <w:pPr>
              <w:keepNext w:val="0"/>
              <w:keepLines w:val="0"/>
              <w:pageBreakBefore w:val="0"/>
              <w:kinsoku/>
              <w:wordWrap/>
              <w:overflowPunct/>
              <w:topLinePunct w:val="0"/>
              <w:autoSpaceDE/>
              <w:autoSpaceDN/>
              <w:bidi w:val="0"/>
              <w:adjustRightInd/>
              <w:spacing w:beforeAutospacing="0" w:afterAutospacing="0" w:line="440" w:lineRule="exact"/>
              <w:jc w:val="left"/>
              <w:textAlignment w:val="auto"/>
              <w:rPr>
                <w:color w:val="auto"/>
                <w:highlight w:val="none"/>
              </w:rPr>
            </w:pPr>
            <w:r>
              <w:rPr>
                <w:rFonts w:hint="eastAsia" w:ascii="宋体" w:hAnsi="宋体" w:eastAsia="宋体" w:cs="宋体"/>
                <w:color w:val="auto"/>
                <w:kern w:val="2"/>
                <w:sz w:val="21"/>
                <w:szCs w:val="21"/>
                <w:highlight w:val="none"/>
                <w:lang w:val="en-US"/>
              </w:rPr>
              <w:t>投标人丙：投标报价（费率）与评标基准值的差</w:t>
            </w:r>
            <w:r>
              <w:rPr>
                <w:rFonts w:hint="eastAsia" w:ascii="宋体" w:hAnsi="宋体" w:eastAsia="宋体" w:cs="宋体"/>
                <w:color w:val="auto"/>
                <w:kern w:val="2"/>
                <w:sz w:val="21"/>
                <w:szCs w:val="21"/>
                <w:highlight w:val="none"/>
                <w:lang w:val="en-US" w:eastAsia="zh-CN"/>
              </w:rPr>
              <w:t>值</w:t>
            </w:r>
            <w:r>
              <w:rPr>
                <w:rFonts w:hint="eastAsia" w:ascii="宋体" w:hAnsi="宋体" w:eastAsia="宋体" w:cs="宋体"/>
                <w:color w:val="auto"/>
                <w:kern w:val="2"/>
                <w:sz w:val="21"/>
                <w:szCs w:val="21"/>
                <w:highlight w:val="none"/>
                <w:lang w:val="en-US"/>
              </w:rPr>
              <w:t>=</w:t>
            </w:r>
            <w:r>
              <w:rPr>
                <w:rFonts w:hint="eastAsia" w:ascii="宋体" w:hAnsi="宋体" w:cs="宋体"/>
                <w:color w:val="auto"/>
                <w:kern w:val="2"/>
                <w:sz w:val="21"/>
                <w:szCs w:val="21"/>
                <w:highlight w:val="none"/>
                <w:lang w:val="en-US" w:eastAsia="zh-CN"/>
              </w:rPr>
              <w:t>0.93</w:t>
            </w:r>
            <w:r>
              <w:rPr>
                <w:rFonts w:hint="eastAsia" w:ascii="宋体" w:hAnsi="宋体" w:eastAsia="宋体" w:cs="宋体"/>
                <w:color w:val="auto"/>
                <w:kern w:val="2"/>
                <w:sz w:val="21"/>
                <w:szCs w:val="21"/>
                <w:highlight w:val="none"/>
                <w:lang w:val="en-US"/>
              </w:rPr>
              <w:t>%-</w:t>
            </w:r>
            <w:r>
              <w:rPr>
                <w:rFonts w:hint="eastAsia" w:ascii="宋体" w:hAnsi="宋体" w:cs="宋体"/>
                <w:color w:val="auto"/>
                <w:kern w:val="2"/>
                <w:sz w:val="21"/>
                <w:szCs w:val="21"/>
                <w:highlight w:val="none"/>
                <w:lang w:val="en-US" w:eastAsia="zh-CN"/>
              </w:rPr>
              <w:t>0.85</w:t>
            </w:r>
            <w:r>
              <w:rPr>
                <w:rFonts w:hint="eastAsia" w:ascii="宋体" w:hAnsi="宋体" w:eastAsia="宋体" w:cs="宋体"/>
                <w:color w:val="auto"/>
                <w:kern w:val="2"/>
                <w:sz w:val="21"/>
                <w:szCs w:val="21"/>
                <w:highlight w:val="none"/>
                <w:lang w:val="en-US"/>
              </w:rPr>
              <w:t>%=</w:t>
            </w:r>
            <w:r>
              <w:rPr>
                <w:rFonts w:hint="eastAsia" w:ascii="宋体" w:hAnsi="宋体" w:cs="宋体"/>
                <w:color w:val="auto"/>
                <w:kern w:val="2"/>
                <w:sz w:val="21"/>
                <w:szCs w:val="21"/>
                <w:highlight w:val="none"/>
                <w:lang w:val="en-US" w:eastAsia="zh-CN"/>
              </w:rPr>
              <w:t>0.08</w:t>
            </w:r>
            <w:r>
              <w:rPr>
                <w:rFonts w:hint="eastAsia" w:ascii="宋体" w:hAnsi="宋体" w:eastAsia="宋体" w:cs="宋体"/>
                <w:color w:val="auto"/>
                <w:kern w:val="2"/>
                <w:sz w:val="21"/>
                <w:szCs w:val="21"/>
                <w:highlight w:val="none"/>
                <w:lang w:val="en-US"/>
              </w:rPr>
              <w:t>%，该投标报价（费率）商务标得分=</w:t>
            </w:r>
            <w:r>
              <w:rPr>
                <w:rFonts w:hint="eastAsia" w:ascii="宋体" w:hAnsi="宋体" w:cs="宋体"/>
                <w:color w:val="auto"/>
                <w:kern w:val="2"/>
                <w:sz w:val="21"/>
                <w:szCs w:val="21"/>
                <w:highlight w:val="none"/>
                <w:lang w:val="en-US" w:eastAsia="zh-CN"/>
              </w:rPr>
              <w:t>40</w:t>
            </w:r>
            <w:r>
              <w:rPr>
                <w:rFonts w:hint="eastAsia" w:ascii="宋体" w:hAnsi="宋体" w:eastAsia="宋体" w:cs="宋体"/>
                <w:color w:val="auto"/>
                <w:kern w:val="2"/>
                <w:sz w:val="21"/>
                <w:szCs w:val="21"/>
                <w:highlight w:val="none"/>
                <w:lang w:val="en-US"/>
              </w:rPr>
              <w:t>-</w:t>
            </w:r>
            <w:r>
              <w:rPr>
                <w:rFonts w:hint="eastAsia" w:ascii="宋体" w:hAnsi="宋体" w:cs="宋体"/>
                <w:color w:val="auto"/>
                <w:kern w:val="2"/>
                <w:sz w:val="21"/>
                <w:szCs w:val="21"/>
                <w:highlight w:val="none"/>
                <w:lang w:val="en-US" w:eastAsia="zh-CN"/>
              </w:rPr>
              <w:t>0.08</w:t>
            </w:r>
            <w:r>
              <w:rPr>
                <w:rFonts w:hint="eastAsia" w:ascii="宋体" w:hAnsi="宋体" w:eastAsia="宋体" w:cs="宋体"/>
                <w:color w:val="auto"/>
                <w:kern w:val="2"/>
                <w:sz w:val="21"/>
                <w:szCs w:val="21"/>
                <w:highlight w:val="none"/>
                <w:lang w:val="en-US"/>
              </w:rPr>
              <w:t>×</w:t>
            </w:r>
            <w:r>
              <w:rPr>
                <w:rFonts w:hint="eastAsia" w:ascii="宋体" w:hAnsi="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lang w:val="en-US"/>
              </w:rPr>
              <w:t>=</w:t>
            </w:r>
            <w:r>
              <w:rPr>
                <w:rFonts w:hint="eastAsia" w:ascii="宋体" w:hAnsi="宋体" w:cs="宋体"/>
                <w:color w:val="auto"/>
                <w:kern w:val="2"/>
                <w:sz w:val="21"/>
                <w:szCs w:val="21"/>
                <w:highlight w:val="none"/>
                <w:lang w:val="en-US" w:eastAsia="zh-CN"/>
              </w:rPr>
              <w:t>39.92</w:t>
            </w:r>
            <w:r>
              <w:rPr>
                <w:rFonts w:hint="eastAsia" w:ascii="宋体" w:hAnsi="宋体" w:eastAsia="宋体" w:cs="宋体"/>
                <w:color w:val="auto"/>
                <w:kern w:val="2"/>
                <w:sz w:val="21"/>
                <w:szCs w:val="21"/>
                <w:highlight w:val="none"/>
                <w:lang w:val="en-US"/>
              </w:rPr>
              <w:t>分。</w:t>
            </w:r>
          </w:p>
        </w:tc>
      </w:tr>
    </w:tbl>
    <w:p w14:paraId="59E5148A">
      <w:pPr>
        <w:pStyle w:val="3"/>
        <w:spacing w:beforeLines="50" w:afterLines="50"/>
        <w:ind w:firstLine="422" w:firstLineChars="200"/>
        <w:rPr>
          <w:rFonts w:ascii="宋体" w:hAnsi="宋体" w:eastAsia="宋体" w:cs="宋体"/>
          <w:highlight w:val="none"/>
        </w:rPr>
      </w:pPr>
      <w:bookmarkStart w:id="748" w:name="_Toc246996232"/>
      <w:bookmarkStart w:id="749" w:name="_Toc144974556"/>
      <w:bookmarkStart w:id="750" w:name="_Toc35424947"/>
      <w:bookmarkStart w:id="751" w:name="_Toc506107324"/>
      <w:bookmarkStart w:id="752" w:name="_Toc246996975"/>
      <w:bookmarkStart w:id="753" w:name="_Toc324404872"/>
      <w:bookmarkStart w:id="754" w:name="_Toc6491"/>
      <w:bookmarkStart w:id="755" w:name="_Toc15058913"/>
      <w:bookmarkStart w:id="756" w:name="_Toc152045589"/>
      <w:bookmarkStart w:id="757" w:name="_Toc78803381"/>
      <w:bookmarkStart w:id="758" w:name="_Toc247085747"/>
      <w:bookmarkStart w:id="759" w:name="_Toc179632607"/>
      <w:bookmarkStart w:id="760" w:name="_Toc35425113"/>
      <w:bookmarkStart w:id="761" w:name="_Toc152042366"/>
      <w:r>
        <w:rPr>
          <w:rFonts w:hint="eastAsia" w:ascii="宋体" w:hAnsi="宋体" w:eastAsia="宋体" w:cs="宋体"/>
          <w:highlight w:val="none"/>
        </w:rPr>
        <w:t>1.评标方法</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14:paraId="172AB4E8">
      <w:pPr>
        <w:keepNext w:val="0"/>
        <w:keepLines w:val="0"/>
        <w:pageBreakBefore w:val="0"/>
        <w:widowControl w:val="0"/>
        <w:kinsoku/>
        <w:wordWrap w:val="0"/>
        <w:overflowPunct/>
        <w:topLinePunct w:val="0"/>
        <w:autoSpaceDE/>
        <w:autoSpaceDN/>
        <w:bidi w:val="0"/>
        <w:adjustRightInd/>
        <w:snapToGrid w:val="0"/>
        <w:spacing w:line="440" w:lineRule="exact"/>
        <w:ind w:right="252" w:rightChars="120" w:firstLine="420" w:firstLineChars="200"/>
        <w:jc w:val="left"/>
        <w:textAlignment w:val="auto"/>
        <w:rPr>
          <w:rFonts w:hint="eastAsia" w:ascii="宋体" w:hAnsi="宋体" w:cs="宋体"/>
          <w:szCs w:val="21"/>
          <w:highlight w:val="none"/>
        </w:rPr>
      </w:pPr>
      <w:bookmarkStart w:id="762" w:name="_Toc324404873"/>
      <w:bookmarkStart w:id="763" w:name="_Toc246996976"/>
      <w:bookmarkStart w:id="764" w:name="_Toc247085748"/>
      <w:bookmarkStart w:id="765" w:name="_Toc296602478"/>
      <w:bookmarkStart w:id="766" w:name="_Toc246996233"/>
      <w:bookmarkStart w:id="767" w:name="_Toc152045590"/>
      <w:bookmarkStart w:id="768" w:name="_Toc152042367"/>
      <w:bookmarkStart w:id="769" w:name="_Toc144974557"/>
      <w:bookmarkStart w:id="770" w:name="_Toc179632608"/>
      <w:r>
        <w:rPr>
          <w:rFonts w:hint="eastAsia" w:ascii="宋体" w:hAnsi="宋体" w:cs="宋体"/>
          <w:szCs w:val="21"/>
          <w:highlight w:val="none"/>
        </w:rPr>
        <w:t>本次评标采用综合评估法。评标委员会对满足招标文件实质性要求的投标文件，按照本章规定的评分标准进行打分，并按总得分（资信分+技术分+商务分）由高到低顺序推荐中标候选人</w:t>
      </w:r>
      <w:r>
        <w:rPr>
          <w:rFonts w:hint="eastAsia" w:ascii="宋体" w:hAnsi="宋体" w:cs="宋体"/>
          <w:szCs w:val="21"/>
          <w:highlight w:val="none"/>
          <w:lang w:val="en-US" w:eastAsia="zh-CN"/>
        </w:rPr>
        <w:t>3</w:t>
      </w:r>
      <w:r>
        <w:rPr>
          <w:rFonts w:hint="eastAsia" w:ascii="宋体" w:hAnsi="宋体" w:cs="宋体"/>
          <w:szCs w:val="21"/>
          <w:highlight w:val="none"/>
        </w:rPr>
        <w:t>名，并标明</w:t>
      </w:r>
      <w:r>
        <w:rPr>
          <w:rFonts w:hint="eastAsia" w:ascii="宋体" w:hAnsi="宋体" w:cs="宋体"/>
          <w:color w:val="auto"/>
          <w:szCs w:val="21"/>
          <w:highlight w:val="none"/>
        </w:rPr>
        <w:t>排序，但投标报价低于其成本的除外。总评分相等时，以投标报价低的优先；若投标报价也相等，由</w:t>
      </w:r>
      <w:r>
        <w:rPr>
          <w:rFonts w:hint="eastAsia" w:ascii="宋体" w:hAnsi="宋体" w:cs="宋体"/>
          <w:szCs w:val="21"/>
          <w:highlight w:val="none"/>
        </w:rPr>
        <w:t>招标人抽签确定。</w:t>
      </w:r>
    </w:p>
    <w:p w14:paraId="2683A2A4">
      <w:pPr>
        <w:keepNext w:val="0"/>
        <w:keepLines w:val="0"/>
        <w:pageBreakBefore w:val="0"/>
        <w:widowControl w:val="0"/>
        <w:kinsoku/>
        <w:wordWrap w:val="0"/>
        <w:overflowPunct/>
        <w:topLinePunct w:val="0"/>
        <w:autoSpaceDE/>
        <w:autoSpaceDN/>
        <w:bidi w:val="0"/>
        <w:adjustRightInd/>
        <w:snapToGrid w:val="0"/>
        <w:spacing w:line="440" w:lineRule="exact"/>
        <w:ind w:right="252" w:rightChars="120"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评标委员会登录全国建筑市场监管公共服务平台( 四库一平台)https://jsc.mohurd.gov.cn/home 进行实时查询，对中标候选人的关系企业履约能力的注册人员数量进行评审:</w:t>
      </w:r>
    </w:p>
    <w:p w14:paraId="4467260C">
      <w:pPr>
        <w:keepNext w:val="0"/>
        <w:keepLines w:val="0"/>
        <w:pageBreakBefore w:val="0"/>
        <w:widowControl w:val="0"/>
        <w:kinsoku/>
        <w:wordWrap w:val="0"/>
        <w:overflowPunct/>
        <w:topLinePunct w:val="0"/>
        <w:autoSpaceDE/>
        <w:autoSpaceDN/>
        <w:bidi w:val="0"/>
        <w:adjustRightInd/>
        <w:snapToGrid w:val="0"/>
        <w:spacing w:line="440" w:lineRule="exact"/>
        <w:ind w:right="252" w:rightChars="120"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具体要求执行工程监理企业资质管理最新规定。</w:t>
      </w:r>
    </w:p>
    <w:p w14:paraId="6093B6CA">
      <w:pPr>
        <w:keepNext w:val="0"/>
        <w:keepLines w:val="0"/>
        <w:pageBreakBefore w:val="0"/>
        <w:widowControl w:val="0"/>
        <w:kinsoku/>
        <w:wordWrap w:val="0"/>
        <w:overflowPunct/>
        <w:topLinePunct w:val="0"/>
        <w:autoSpaceDE/>
        <w:autoSpaceDN/>
        <w:bidi w:val="0"/>
        <w:adjustRightInd/>
        <w:snapToGrid w:val="0"/>
        <w:spacing w:line="440" w:lineRule="exact"/>
        <w:ind w:right="252" w:rightChars="120" w:firstLine="420" w:firstLineChars="200"/>
        <w:jc w:val="left"/>
        <w:textAlignment w:val="auto"/>
        <w:rPr>
          <w:rFonts w:hint="eastAsia" w:ascii="宋体" w:hAnsi="宋体" w:cs="宋体"/>
          <w:szCs w:val="21"/>
          <w:highlight w:val="none"/>
        </w:rPr>
      </w:pPr>
      <w:r>
        <w:rPr>
          <w:rFonts w:hint="eastAsia" w:ascii="宋体" w:hAnsi="宋体" w:eastAsia="宋体" w:cs="宋体"/>
          <w:szCs w:val="21"/>
          <w:highlight w:val="none"/>
        </w:rPr>
        <w:t>重要说明</w:t>
      </w:r>
      <w:r>
        <w:rPr>
          <w:rFonts w:hint="eastAsia" w:ascii="宋体" w:hAnsi="宋体" w:eastAsia="宋体" w:cs="宋体"/>
          <w:szCs w:val="21"/>
          <w:highlight w:val="none"/>
          <w:lang w:eastAsia="zh-CN"/>
        </w:rPr>
        <w:t>：</w:t>
      </w:r>
      <w:r>
        <w:rPr>
          <w:rFonts w:hint="eastAsia" w:ascii="宋体" w:hAnsi="宋体" w:eastAsia="宋体" w:cs="宋体"/>
          <w:szCs w:val="21"/>
          <w:highlight w:val="none"/>
        </w:rPr>
        <w:t>若投标人资质证书为甲级资质，需满足甲级资质注册人员要求，否则，评标委员会对该投标不予认可</w:t>
      </w:r>
      <w:r>
        <w:rPr>
          <w:rFonts w:hint="eastAsia" w:ascii="宋体" w:hAnsi="宋体" w:eastAsia="宋体" w:cs="宋体"/>
          <w:szCs w:val="21"/>
          <w:highlight w:val="none"/>
          <w:lang w:eastAsia="zh-CN"/>
        </w:rPr>
        <w:t>；</w:t>
      </w:r>
      <w:r>
        <w:rPr>
          <w:rFonts w:hint="eastAsia" w:ascii="宋体" w:hAnsi="宋体" w:eastAsia="宋体" w:cs="宋体"/>
          <w:szCs w:val="21"/>
          <w:highlight w:val="none"/>
        </w:rPr>
        <w:t>若投标人资质证书为乙级资质，需满足乙级资质注册人员要求，否则，评标委员会对该投标不予认可，并将该情形报送相关行政主管部门；中标候选人依次替补，评标委员会再次对替补单位进行核查。注:住房城乡建设部办公厅《关于调整工程监理企业甲级资质标准注册人员指标的通知》</w:t>
      </w:r>
      <w:r>
        <w:rPr>
          <w:rFonts w:hint="eastAsia" w:ascii="宋体" w:hAnsi="宋体" w:eastAsia="宋体" w:cs="宋体"/>
          <w:szCs w:val="21"/>
          <w:highlight w:val="none"/>
          <w:lang w:eastAsia="zh-CN"/>
        </w:rPr>
        <w:t>：</w:t>
      </w:r>
      <w:r>
        <w:rPr>
          <w:rFonts w:hint="eastAsia" w:ascii="宋体" w:hAnsi="宋体" w:eastAsia="宋体" w:cs="宋体"/>
          <w:szCs w:val="21"/>
          <w:highlight w:val="none"/>
        </w:rPr>
        <w:t>自2019年2月1日起，审查工程监理专业甲级资质(含升级、延续、变更)申请时，对注册类人员指标，按相应专业乙级资质标准要求核定。(https://www.mohurd.gov.cn/gongkai/zc/wjk/art/2018/art_17339_238998.html)</w:t>
      </w:r>
    </w:p>
    <w:p w14:paraId="3F12DD3B">
      <w:pPr>
        <w:pStyle w:val="3"/>
        <w:spacing w:beforeLines="50" w:afterLines="50"/>
        <w:ind w:firstLine="422" w:firstLineChars="200"/>
        <w:rPr>
          <w:rFonts w:ascii="宋体" w:hAnsi="宋体" w:eastAsia="宋体" w:cs="宋体"/>
          <w:highlight w:val="none"/>
        </w:rPr>
      </w:pPr>
      <w:bookmarkStart w:id="771" w:name="_Toc78803382"/>
      <w:bookmarkStart w:id="772" w:name="_Toc11945"/>
      <w:bookmarkStart w:id="773" w:name="_Toc15058914"/>
      <w:bookmarkStart w:id="774" w:name="_Toc35425114"/>
      <w:bookmarkStart w:id="775" w:name="_Toc35424948"/>
      <w:bookmarkStart w:id="776" w:name="_Toc506107325"/>
      <w:r>
        <w:rPr>
          <w:rFonts w:hint="eastAsia" w:ascii="宋体" w:hAnsi="宋体" w:eastAsia="宋体" w:cs="宋体"/>
          <w:highlight w:val="none"/>
        </w:rPr>
        <w:t>2.评标委员会的职责</w:t>
      </w:r>
      <w:bookmarkEnd w:id="762"/>
      <w:bookmarkEnd w:id="771"/>
      <w:bookmarkEnd w:id="772"/>
      <w:bookmarkEnd w:id="773"/>
      <w:bookmarkEnd w:id="774"/>
      <w:bookmarkEnd w:id="775"/>
      <w:bookmarkEnd w:id="776"/>
    </w:p>
    <w:p w14:paraId="009BCFE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59C91FEC">
      <w:pPr>
        <w:spacing w:line="440" w:lineRule="exact"/>
        <w:ind w:firstLine="420" w:firstLineChars="200"/>
        <w:jc w:val="left"/>
        <w:rPr>
          <w:rFonts w:ascii="宋体" w:hAnsi="宋体" w:cs="宋体"/>
          <w:szCs w:val="21"/>
          <w:highlight w:val="none"/>
        </w:rPr>
      </w:pPr>
      <w:bookmarkStart w:id="777" w:name="_Toc78803383"/>
      <w:r>
        <w:rPr>
          <w:rFonts w:hint="eastAsia" w:ascii="宋体" w:hAnsi="宋体" w:cs="宋体"/>
          <w:szCs w:val="21"/>
          <w:highlight w:val="none"/>
        </w:rPr>
        <w:t>评标委员会应加强对报价合理性审查。评标评审委员会认为投标人的报价明显低于其他通过符合性审查投标人的报价，有可能影响项目质量或者不能诚信履约的，应当要求其线上远程在开标大厅合理的时间内提供书面说明，必要时提交相关证明材料；投标人不能证明其报价合理性的，评标评审委员会应当将其作为无效投标处理。</w:t>
      </w:r>
      <w:bookmarkEnd w:id="777"/>
    </w:p>
    <w:p w14:paraId="2EE942C7">
      <w:pPr>
        <w:pStyle w:val="3"/>
        <w:spacing w:beforeLines="50" w:afterLines="50"/>
        <w:ind w:firstLine="422" w:firstLineChars="200"/>
        <w:rPr>
          <w:rFonts w:ascii="宋体" w:hAnsi="宋体" w:eastAsia="宋体" w:cs="宋体"/>
          <w:highlight w:val="none"/>
        </w:rPr>
      </w:pPr>
      <w:bookmarkStart w:id="778" w:name="_Toc35425115"/>
      <w:bookmarkStart w:id="779" w:name="_Toc78803384"/>
      <w:bookmarkStart w:id="780" w:name="_Toc15058915"/>
      <w:bookmarkStart w:id="781" w:name="_Toc35424949"/>
      <w:bookmarkStart w:id="782" w:name="_Toc506107326"/>
      <w:bookmarkStart w:id="783" w:name="_Toc17377"/>
      <w:bookmarkStart w:id="784" w:name="_Toc324404874"/>
      <w:r>
        <w:rPr>
          <w:rFonts w:hint="eastAsia" w:ascii="宋体" w:hAnsi="宋体" w:eastAsia="宋体" w:cs="宋体"/>
          <w:highlight w:val="none"/>
        </w:rPr>
        <w:t>3.评标程序</w:t>
      </w:r>
      <w:bookmarkEnd w:id="778"/>
      <w:bookmarkEnd w:id="779"/>
      <w:bookmarkEnd w:id="780"/>
      <w:bookmarkEnd w:id="781"/>
      <w:bookmarkEnd w:id="782"/>
      <w:bookmarkEnd w:id="783"/>
      <w:bookmarkEnd w:id="784"/>
    </w:p>
    <w:p w14:paraId="609184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评标先做准备工作，先进行资信评审，然后进行技术标评审，最后进行商务标评审。</w:t>
      </w:r>
    </w:p>
    <w:p w14:paraId="6E980930">
      <w:pPr>
        <w:pStyle w:val="3"/>
        <w:ind w:firstLine="422" w:firstLineChars="200"/>
        <w:rPr>
          <w:rFonts w:ascii="宋体" w:hAnsi="宋体" w:eastAsia="宋体" w:cs="宋体"/>
          <w:highlight w:val="none"/>
        </w:rPr>
      </w:pPr>
      <w:bookmarkStart w:id="785" w:name="_Toc27389"/>
      <w:bookmarkStart w:id="786" w:name="_Toc35424950"/>
      <w:bookmarkStart w:id="787" w:name="_Toc78803385"/>
      <w:bookmarkStart w:id="788" w:name="_Toc15058916"/>
      <w:bookmarkStart w:id="789" w:name="_Toc35425116"/>
      <w:r>
        <w:rPr>
          <w:rFonts w:hint="eastAsia" w:ascii="宋体" w:hAnsi="宋体" w:eastAsia="宋体" w:cs="宋体"/>
          <w:highlight w:val="none"/>
        </w:rPr>
        <w:t>3.1评标准备工作</w:t>
      </w:r>
      <w:bookmarkEnd w:id="785"/>
      <w:bookmarkEnd w:id="786"/>
      <w:bookmarkEnd w:id="787"/>
      <w:bookmarkEnd w:id="788"/>
      <w:bookmarkEnd w:id="789"/>
    </w:p>
    <w:p w14:paraId="12DD11E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评标委员会熟悉评标工作情况：</w:t>
      </w:r>
    </w:p>
    <w:p w14:paraId="61A767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（1）阅读由招标人或者其委托的工程代理机构编制的招标项目情况材料。</w:t>
      </w:r>
    </w:p>
    <w:p w14:paraId="3327388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（2）阅读、研究招标文件和相关评标资料，获取评标所需要的重要信息和数据，至少应了解和熟悉以下内容：招标项目的范围和性质，招标文件规定的主要技术要求、标准和商务条款。</w:t>
      </w:r>
    </w:p>
    <w:p w14:paraId="3514C3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（3）熟悉招标文件规定的评标标准和评标方法及在评标过程中需要考虑的相关因素。</w:t>
      </w:r>
    </w:p>
    <w:p w14:paraId="0377C0C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（4）核对评标工作用表。</w:t>
      </w:r>
    </w:p>
    <w:p w14:paraId="13E391E0">
      <w:pPr>
        <w:pStyle w:val="3"/>
        <w:ind w:firstLine="422" w:firstLineChars="200"/>
        <w:rPr>
          <w:rFonts w:ascii="宋体" w:hAnsi="宋体" w:eastAsia="宋体" w:cs="宋体"/>
          <w:highlight w:val="none"/>
        </w:rPr>
      </w:pPr>
      <w:bookmarkStart w:id="790" w:name="_Toc1299"/>
      <w:bookmarkStart w:id="791" w:name="_Toc24650"/>
      <w:bookmarkStart w:id="792" w:name="_Toc15058917"/>
      <w:bookmarkStart w:id="793" w:name="_Toc78803386"/>
      <w:bookmarkStart w:id="794" w:name="_Toc35424951"/>
      <w:bookmarkStart w:id="795" w:name="_Toc35425117"/>
      <w:bookmarkStart w:id="796" w:name="_Toc506107327"/>
      <w:bookmarkStart w:id="797" w:name="_Toc35424954"/>
      <w:bookmarkStart w:id="798" w:name="_Toc15058919"/>
      <w:bookmarkStart w:id="799" w:name="_Toc12200"/>
      <w:bookmarkStart w:id="800" w:name="_Toc324404875"/>
      <w:bookmarkStart w:id="801" w:name="_Toc35425120"/>
      <w:r>
        <w:rPr>
          <w:rFonts w:hint="eastAsia" w:ascii="宋体" w:hAnsi="宋体" w:eastAsia="宋体" w:cs="宋体"/>
          <w:highlight w:val="none"/>
        </w:rPr>
        <w:t>3.2技术标评审</w:t>
      </w:r>
      <w:bookmarkEnd w:id="790"/>
      <w:bookmarkEnd w:id="791"/>
      <w:bookmarkEnd w:id="792"/>
      <w:bookmarkEnd w:id="793"/>
      <w:bookmarkEnd w:id="794"/>
      <w:bookmarkEnd w:id="795"/>
    </w:p>
    <w:p w14:paraId="755D589C">
      <w:pPr>
        <w:spacing w:line="440" w:lineRule="exact"/>
        <w:ind w:firstLine="420" w:firstLineChars="200"/>
        <w:rPr>
          <w:rFonts w:ascii="宋体" w:hAnsi="宋体" w:cs="宋体"/>
          <w:szCs w:val="21"/>
          <w:highlight w:val="none"/>
        </w:rPr>
      </w:pPr>
      <w:r>
        <w:rPr>
          <w:rFonts w:hint="eastAsia" w:ascii="宋体" w:hAnsi="宋体" w:cs="宋体"/>
          <w:szCs w:val="21"/>
          <w:highlight w:val="none"/>
        </w:rPr>
        <w:t>详见技术标评审表。</w:t>
      </w:r>
    </w:p>
    <w:p w14:paraId="6912EA5D">
      <w:pPr>
        <w:pStyle w:val="3"/>
        <w:ind w:firstLine="422" w:firstLineChars="200"/>
        <w:rPr>
          <w:rFonts w:ascii="宋体" w:hAnsi="宋体" w:eastAsia="宋体" w:cs="宋体"/>
          <w:highlight w:val="none"/>
        </w:rPr>
      </w:pPr>
      <w:bookmarkStart w:id="802" w:name="_Toc35424952"/>
      <w:bookmarkStart w:id="803" w:name="_Toc78803387"/>
      <w:bookmarkStart w:id="804" w:name="_Toc17468"/>
      <w:bookmarkStart w:id="805" w:name="_Toc35425118"/>
      <w:bookmarkStart w:id="806" w:name="_Toc15058918"/>
      <w:bookmarkStart w:id="807" w:name="_Toc11990"/>
      <w:r>
        <w:rPr>
          <w:rFonts w:hint="eastAsia" w:ascii="宋体" w:hAnsi="宋体" w:eastAsia="宋体" w:cs="宋体"/>
          <w:highlight w:val="none"/>
        </w:rPr>
        <w:t>3.3商务标评审</w:t>
      </w:r>
      <w:bookmarkEnd w:id="802"/>
      <w:bookmarkEnd w:id="803"/>
      <w:bookmarkEnd w:id="804"/>
      <w:bookmarkEnd w:id="805"/>
      <w:bookmarkEnd w:id="806"/>
      <w:bookmarkEnd w:id="807"/>
    </w:p>
    <w:p w14:paraId="686CA6CF">
      <w:pPr>
        <w:spacing w:line="440" w:lineRule="exact"/>
        <w:ind w:firstLine="420" w:firstLineChars="200"/>
        <w:rPr>
          <w:rFonts w:ascii="宋体" w:hAnsi="宋体" w:cs="宋体"/>
          <w:szCs w:val="21"/>
          <w:highlight w:val="none"/>
        </w:rPr>
      </w:pPr>
      <w:r>
        <w:rPr>
          <w:rFonts w:hint="eastAsia" w:ascii="宋体" w:hAnsi="宋体" w:cs="宋体"/>
          <w:szCs w:val="21"/>
          <w:highlight w:val="none"/>
        </w:rPr>
        <w:t>详见商务标评审表。</w:t>
      </w:r>
    </w:p>
    <w:p w14:paraId="56AFC15C">
      <w:pPr>
        <w:spacing w:line="440" w:lineRule="exact"/>
        <w:ind w:firstLine="422" w:firstLineChars="200"/>
        <w:rPr>
          <w:rFonts w:ascii="宋体" w:hAnsi="宋体" w:cs="宋体"/>
          <w:color w:val="auto"/>
          <w:szCs w:val="21"/>
          <w:highlight w:val="none"/>
        </w:rPr>
      </w:pPr>
      <w:bookmarkStart w:id="808" w:name="_Toc35425119"/>
      <w:bookmarkStart w:id="809" w:name="_Toc26895"/>
      <w:bookmarkStart w:id="810" w:name="_Toc78803388"/>
      <w:bookmarkStart w:id="811" w:name="_Toc35424953"/>
      <w:bookmarkStart w:id="812" w:name="_Toc18087"/>
      <w:r>
        <w:rPr>
          <w:rStyle w:val="197"/>
          <w:rFonts w:hint="eastAsia" w:ascii="宋体" w:hAnsi="宋体" w:eastAsia="宋体" w:cs="宋体"/>
          <w:highlight w:val="none"/>
        </w:rPr>
        <w:t>3.4推荐中标候选人</w:t>
      </w:r>
      <w:bookmarkEnd w:id="808"/>
      <w:bookmarkEnd w:id="809"/>
      <w:bookmarkEnd w:id="810"/>
      <w:bookmarkEnd w:id="811"/>
      <w:bookmarkEnd w:id="812"/>
      <w:r>
        <w:rPr>
          <w:rFonts w:hint="eastAsia" w:ascii="宋体" w:hAnsi="宋体" w:cs="宋体"/>
          <w:b/>
          <w:bCs/>
          <w:highlight w:val="none"/>
        </w:rPr>
        <w:t>：</w:t>
      </w:r>
      <w:r>
        <w:rPr>
          <w:rFonts w:hint="eastAsia" w:ascii="宋体" w:hAnsi="宋体" w:cs="宋体"/>
          <w:highlight w:val="none"/>
        </w:rPr>
        <w:t>资信评审、技术标评审、商务标</w:t>
      </w:r>
      <w:r>
        <w:rPr>
          <w:rFonts w:hint="eastAsia" w:ascii="宋体" w:hAnsi="宋体" w:cs="宋体"/>
          <w:color w:val="auto"/>
          <w:highlight w:val="none"/>
        </w:rPr>
        <w:t>评审后，推荐</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3</w:t>
      </w:r>
      <w:r>
        <w:rPr>
          <w:rFonts w:hint="eastAsia" w:ascii="宋体" w:hAnsi="宋体" w:cs="宋体"/>
          <w:color w:val="auto"/>
          <w:highlight w:val="none"/>
          <w:u w:val="single"/>
        </w:rPr>
        <w:t xml:space="preserve"> </w:t>
      </w:r>
      <w:r>
        <w:rPr>
          <w:rFonts w:hint="eastAsia" w:ascii="宋体" w:hAnsi="宋体" w:cs="宋体"/>
          <w:color w:val="auto"/>
          <w:highlight w:val="none"/>
        </w:rPr>
        <w:t>名中标候选人。</w:t>
      </w:r>
    </w:p>
    <w:p w14:paraId="3113A55A">
      <w:pPr>
        <w:pStyle w:val="3"/>
        <w:spacing w:beforeLines="50" w:afterLines="50"/>
        <w:ind w:firstLine="422" w:firstLineChars="200"/>
        <w:rPr>
          <w:rFonts w:ascii="宋体" w:hAnsi="宋体" w:eastAsia="宋体" w:cs="宋体"/>
          <w:highlight w:val="none"/>
        </w:rPr>
      </w:pPr>
      <w:bookmarkStart w:id="813" w:name="_Toc78803389"/>
      <w:r>
        <w:rPr>
          <w:rFonts w:hint="eastAsia" w:ascii="宋体" w:hAnsi="宋体" w:eastAsia="宋体" w:cs="宋体"/>
          <w:highlight w:val="none"/>
        </w:rPr>
        <w:t>4.评审内容</w:t>
      </w:r>
      <w:bookmarkEnd w:id="796"/>
      <w:bookmarkEnd w:id="797"/>
      <w:bookmarkEnd w:id="798"/>
      <w:bookmarkEnd w:id="799"/>
      <w:bookmarkEnd w:id="800"/>
      <w:bookmarkEnd w:id="801"/>
      <w:bookmarkEnd w:id="813"/>
    </w:p>
    <w:p w14:paraId="0F1392E9">
      <w:pPr>
        <w:pStyle w:val="3"/>
        <w:ind w:firstLine="422" w:firstLineChars="200"/>
        <w:rPr>
          <w:rFonts w:ascii="宋体" w:hAnsi="宋体" w:eastAsia="宋体" w:cs="宋体"/>
          <w:highlight w:val="none"/>
        </w:rPr>
      </w:pPr>
      <w:bookmarkStart w:id="814" w:name="_Toc9630"/>
      <w:bookmarkStart w:id="815" w:name="_Toc78803390"/>
      <w:r>
        <w:rPr>
          <w:rFonts w:hint="eastAsia" w:ascii="宋体" w:hAnsi="宋体" w:eastAsia="宋体" w:cs="宋体"/>
          <w:highlight w:val="none"/>
        </w:rPr>
        <w:t>4.1</w:t>
      </w:r>
      <w:bookmarkEnd w:id="814"/>
      <w:bookmarkEnd w:id="815"/>
      <w:bookmarkStart w:id="816" w:name="_Toc15058921"/>
      <w:bookmarkStart w:id="817" w:name="_Toc35424956"/>
      <w:bookmarkStart w:id="818" w:name="_Toc78803391"/>
      <w:bookmarkStart w:id="819" w:name="_Toc3531"/>
      <w:bookmarkStart w:id="820" w:name="_Toc35425122"/>
      <w:bookmarkStart w:id="821" w:name="_Toc324404876"/>
      <w:r>
        <w:rPr>
          <w:rFonts w:hint="eastAsia" w:ascii="宋体" w:hAnsi="宋体" w:eastAsia="宋体" w:cs="宋体"/>
          <w:highlight w:val="none"/>
        </w:rPr>
        <w:t>商务标评审</w:t>
      </w:r>
      <w:bookmarkEnd w:id="816"/>
      <w:bookmarkEnd w:id="817"/>
      <w:bookmarkEnd w:id="818"/>
      <w:bookmarkEnd w:id="819"/>
      <w:bookmarkEnd w:id="820"/>
    </w:p>
    <w:p w14:paraId="79EFB735">
      <w:pPr>
        <w:spacing w:line="440" w:lineRule="exact"/>
        <w:ind w:firstLine="420" w:firstLineChars="200"/>
        <w:jc w:val="left"/>
        <w:rPr>
          <w:rFonts w:ascii="宋体" w:hAnsi="宋体" w:cs="宋体"/>
          <w:highlight w:val="none"/>
        </w:rPr>
      </w:pPr>
      <w:r>
        <w:rPr>
          <w:rFonts w:hint="eastAsia" w:ascii="宋体" w:hAnsi="宋体" w:cs="宋体"/>
          <w:highlight w:val="none"/>
        </w:rPr>
        <w:t>只有通过技术标评审的投标才能够进入本阶段评审。</w:t>
      </w:r>
    </w:p>
    <w:p w14:paraId="7908D5C2">
      <w:pPr>
        <w:spacing w:line="440" w:lineRule="exact"/>
        <w:ind w:firstLine="420" w:firstLineChars="200"/>
        <w:jc w:val="left"/>
        <w:rPr>
          <w:rFonts w:ascii="宋体" w:hAnsi="宋体" w:cs="宋体"/>
          <w:highlight w:val="none"/>
        </w:rPr>
      </w:pPr>
      <w:r>
        <w:rPr>
          <w:rFonts w:hint="eastAsia" w:ascii="宋体" w:hAnsi="宋体" w:cs="宋体"/>
          <w:highlight w:val="none"/>
        </w:rPr>
        <w:t>4.1.1形式性评审标准：见商务标评审表。</w:t>
      </w:r>
    </w:p>
    <w:p w14:paraId="5FDB8153">
      <w:pPr>
        <w:spacing w:line="440" w:lineRule="exact"/>
        <w:ind w:firstLine="420" w:firstLineChars="200"/>
        <w:jc w:val="left"/>
        <w:rPr>
          <w:rFonts w:ascii="宋体" w:hAnsi="宋体" w:cs="宋体"/>
          <w:highlight w:val="none"/>
        </w:rPr>
      </w:pPr>
      <w:r>
        <w:rPr>
          <w:rFonts w:hint="eastAsia" w:ascii="宋体" w:hAnsi="宋体" w:cs="宋体"/>
          <w:highlight w:val="none"/>
        </w:rPr>
        <w:t>4.1.2响应性评审标准：见商务标评审表。</w:t>
      </w:r>
    </w:p>
    <w:p w14:paraId="5104F405">
      <w:pPr>
        <w:spacing w:line="440" w:lineRule="exact"/>
        <w:ind w:firstLine="420" w:firstLineChars="200"/>
        <w:jc w:val="left"/>
        <w:rPr>
          <w:rFonts w:ascii="宋体" w:hAnsi="宋体" w:cs="宋体"/>
          <w:highlight w:val="none"/>
        </w:rPr>
      </w:pPr>
      <w:r>
        <w:rPr>
          <w:rFonts w:hint="eastAsia" w:ascii="宋体" w:hAnsi="宋体" w:cs="宋体"/>
          <w:highlight w:val="none"/>
        </w:rPr>
        <w:t>评标委员会依据上述标准对投标文件进行初步评审。有一项不符合评审标准的，作无效投标处理。</w:t>
      </w:r>
    </w:p>
    <w:p w14:paraId="5FFAD8BA">
      <w:pPr>
        <w:spacing w:line="440" w:lineRule="exact"/>
        <w:ind w:firstLine="420" w:firstLineChars="200"/>
        <w:jc w:val="left"/>
        <w:rPr>
          <w:rFonts w:ascii="宋体" w:hAnsi="宋体" w:cs="宋体"/>
          <w:highlight w:val="none"/>
        </w:rPr>
      </w:pPr>
      <w:r>
        <w:rPr>
          <w:rFonts w:hint="eastAsia" w:ascii="宋体" w:hAnsi="宋体" w:cs="宋体"/>
          <w:highlight w:val="none"/>
        </w:rPr>
        <w:t>4.1.3投标报价评审</w:t>
      </w:r>
    </w:p>
    <w:p w14:paraId="43D228EB">
      <w:pPr>
        <w:spacing w:line="440" w:lineRule="exact"/>
        <w:ind w:firstLine="420" w:firstLineChars="200"/>
        <w:jc w:val="left"/>
        <w:rPr>
          <w:rFonts w:ascii="宋体" w:hAnsi="宋体" w:cs="宋体"/>
          <w:highlight w:val="none"/>
        </w:rPr>
      </w:pPr>
      <w:r>
        <w:rPr>
          <w:rFonts w:hint="eastAsia" w:ascii="宋体" w:hAnsi="宋体" w:cs="宋体"/>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7914B093">
      <w:pPr>
        <w:spacing w:line="440" w:lineRule="exact"/>
        <w:ind w:firstLine="420" w:firstLineChars="200"/>
        <w:jc w:val="left"/>
        <w:rPr>
          <w:rFonts w:ascii="宋体" w:hAnsi="宋体" w:cs="宋体"/>
          <w:highlight w:val="none"/>
        </w:rPr>
      </w:pPr>
      <w:r>
        <w:rPr>
          <w:rFonts w:hint="eastAsia" w:ascii="宋体" w:hAnsi="宋体" w:cs="宋体"/>
          <w:highlight w:val="none"/>
        </w:rPr>
        <w:t>4.1.4评标委员会审查投标文件，投标报价有错误的，评标委员会按以下原则对投标报价进行修正。</w:t>
      </w:r>
    </w:p>
    <w:p w14:paraId="263D918E">
      <w:pPr>
        <w:spacing w:line="440" w:lineRule="exact"/>
        <w:ind w:firstLine="420" w:firstLineChars="200"/>
        <w:jc w:val="left"/>
        <w:rPr>
          <w:rFonts w:ascii="宋体" w:hAnsi="宋体" w:cs="宋体"/>
          <w:highlight w:val="none"/>
        </w:rPr>
      </w:pPr>
      <w:r>
        <w:rPr>
          <w:rFonts w:hint="eastAsia" w:ascii="宋体" w:hAnsi="宋体" w:cs="宋体"/>
          <w:highlight w:val="none"/>
        </w:rPr>
        <w:t>（1）投标文件中的大写金额与小写金额不一致的，以大写金额为准。</w:t>
      </w:r>
    </w:p>
    <w:p w14:paraId="62D11E9B">
      <w:pPr>
        <w:spacing w:line="440" w:lineRule="exact"/>
        <w:ind w:firstLine="420" w:firstLineChars="200"/>
        <w:jc w:val="left"/>
        <w:rPr>
          <w:rFonts w:ascii="宋体" w:hAnsi="宋体" w:cs="宋体"/>
          <w:szCs w:val="21"/>
          <w:highlight w:val="none"/>
        </w:rPr>
      </w:pPr>
      <w:r>
        <w:rPr>
          <w:rFonts w:hint="eastAsia" w:ascii="宋体" w:hAnsi="宋体" w:cs="宋体"/>
          <w:highlight w:val="none"/>
        </w:rPr>
        <w:t>（2）总价金额与依据单价计算出的结果不一致的，以单价金额为准修正总价，但单价金额小数点有明显错误的除外。</w:t>
      </w:r>
    </w:p>
    <w:p w14:paraId="5839829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0D8AA3CD">
      <w:pPr>
        <w:pStyle w:val="3"/>
        <w:spacing w:beforeLines="50" w:afterLines="50"/>
        <w:ind w:firstLine="422" w:firstLineChars="200"/>
        <w:rPr>
          <w:rFonts w:ascii="宋体" w:hAnsi="宋体" w:eastAsia="宋体" w:cs="宋体"/>
          <w:highlight w:val="none"/>
        </w:rPr>
      </w:pPr>
      <w:bookmarkStart w:id="822" w:name="_Toc15058922"/>
      <w:bookmarkStart w:id="823" w:name="_Toc35425123"/>
      <w:bookmarkStart w:id="824" w:name="_Toc35424957"/>
      <w:bookmarkStart w:id="825" w:name="_Toc506107328"/>
      <w:bookmarkStart w:id="826" w:name="_Toc78803392"/>
      <w:bookmarkStart w:id="827" w:name="_Toc13125"/>
      <w:r>
        <w:rPr>
          <w:rFonts w:hint="eastAsia" w:ascii="宋体" w:hAnsi="宋体" w:eastAsia="宋体" w:cs="宋体"/>
          <w:highlight w:val="none"/>
        </w:rPr>
        <w:t>5.无效投标条款</w:t>
      </w:r>
      <w:bookmarkEnd w:id="821"/>
      <w:bookmarkEnd w:id="822"/>
      <w:bookmarkEnd w:id="823"/>
      <w:bookmarkEnd w:id="824"/>
      <w:bookmarkEnd w:id="825"/>
      <w:bookmarkEnd w:id="826"/>
      <w:bookmarkEnd w:id="827"/>
    </w:p>
    <w:p w14:paraId="0DF5C34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1</w:t>
      </w:r>
      <w:r>
        <w:rPr>
          <w:rFonts w:hint="eastAsia" w:ascii="宋体" w:hAnsi="宋体" w:cs="宋体"/>
          <w:szCs w:val="21"/>
          <w:highlight w:val="none"/>
        </w:rPr>
        <w:t>由资格审查委员会（评标委员会）按资格审查办法前附表要求对投标人审查资料的第二章《资格审查办法》进行核验。投标申请人有下列情形之一的，其资格审查为不合格：</w:t>
      </w:r>
    </w:p>
    <w:p w14:paraId="528FDC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（1）未上传电子标书或电子标书经审查不合格；</w:t>
      </w:r>
    </w:p>
    <w:p w14:paraId="18F3565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2</w:t>
      </w:r>
      <w:r>
        <w:rPr>
          <w:rFonts w:hint="eastAsia" w:ascii="宋体" w:hAnsi="宋体" w:cs="宋体"/>
          <w:szCs w:val="21"/>
          <w:highlight w:val="none"/>
        </w:rPr>
        <w:t>）法律、法规规定的其他情形。</w:t>
      </w:r>
    </w:p>
    <w:p w14:paraId="0343ABA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2</w:t>
      </w:r>
      <w:r>
        <w:rPr>
          <w:rFonts w:hint="eastAsia" w:ascii="宋体" w:hAnsi="宋体" w:cs="宋体"/>
          <w:szCs w:val="21"/>
          <w:highlight w:val="none"/>
        </w:rPr>
        <w:t>投标人有下列情形的，经评审后其投标作无效投标处理无效投标：</w:t>
      </w:r>
    </w:p>
    <w:p w14:paraId="2F946A1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2</w:t>
      </w:r>
      <w:r>
        <w:rPr>
          <w:rFonts w:hint="eastAsia" w:ascii="宋体" w:hAnsi="宋体" w:cs="宋体"/>
          <w:szCs w:val="21"/>
          <w:highlight w:val="none"/>
        </w:rPr>
        <w:t>.1商标评审</w:t>
      </w:r>
    </w:p>
    <w:p w14:paraId="5AF5194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(1)评标委员会依据《商务标评审表》进行形式性评审和响应性评审。有一项不符合评审标准的，做无效投标处理；</w:t>
      </w:r>
    </w:p>
    <w:p w14:paraId="5172AA9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（2）商务标详细评审标准中有任何一项不能通过评审的，作无效投标处理。</w:t>
      </w:r>
    </w:p>
    <w:p w14:paraId="57BB8B8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3</w:t>
      </w:r>
      <w:r>
        <w:rPr>
          <w:rFonts w:hint="eastAsia" w:ascii="宋体" w:hAnsi="宋体" w:cs="宋体"/>
          <w:szCs w:val="21"/>
          <w:highlight w:val="none"/>
        </w:rPr>
        <w:t>其他无效投标情况：</w:t>
      </w:r>
    </w:p>
    <w:p w14:paraId="78EF0F0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3ED44CD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（2）按第三章《评标方法》4.2.4条款修正错误的原则及方法调整或修正投标文件的投标报价，调整或修正的价格经投标人书面确认后具有约束力。投标人不接修正价格的，其投标将被拒绝。</w:t>
      </w:r>
    </w:p>
    <w:p w14:paraId="6F0CAC9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）投标人有串通投标、弄虚作假、行贿等违法行为。</w:t>
      </w:r>
    </w:p>
    <w:p w14:paraId="125E949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）投标文件没有对招标文件的实质性要求和条件作出响应。</w:t>
      </w:r>
    </w:p>
    <w:p w14:paraId="0FC2026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5</w:t>
      </w:r>
      <w:r>
        <w:rPr>
          <w:rFonts w:hint="eastAsia" w:ascii="宋体" w:hAnsi="宋体" w:cs="宋体"/>
          <w:szCs w:val="21"/>
          <w:highlight w:val="none"/>
        </w:rPr>
        <w:t>）未按规定的格式填写导致实质性内容不全以及实质上不响应，或者关键字迹模糊、无法辨认。</w:t>
      </w:r>
    </w:p>
    <w:p w14:paraId="1099022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6</w:t>
      </w:r>
      <w:r>
        <w:rPr>
          <w:rFonts w:hint="eastAsia" w:ascii="宋体" w:hAnsi="宋体" w:cs="宋体"/>
          <w:szCs w:val="21"/>
          <w:highlight w:val="none"/>
        </w:rPr>
        <w:t>）同一投标人提交两个以上不同的投标文件或者投标报价，但招标文件规定提交备选投标的除外。</w:t>
      </w:r>
    </w:p>
    <w:p w14:paraId="0C71CF4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7</w:t>
      </w:r>
      <w:r>
        <w:rPr>
          <w:rFonts w:hint="eastAsia" w:ascii="宋体" w:hAnsi="宋体" w:cs="宋体"/>
          <w:szCs w:val="21"/>
          <w:highlight w:val="none"/>
        </w:rPr>
        <w:t>）投标文件中存在招标人不能接受的其他实质性条件。</w:t>
      </w:r>
    </w:p>
    <w:p w14:paraId="641BCD2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8</w:t>
      </w:r>
      <w:r>
        <w:rPr>
          <w:rFonts w:hint="eastAsia" w:ascii="宋体" w:hAnsi="宋体" w:cs="宋体"/>
          <w:szCs w:val="21"/>
          <w:highlight w:val="none"/>
        </w:rPr>
        <w:t>）投标文件中填报的拟任项目负责人与资格审查通过的项目负责人前后不一致的。</w:t>
      </w:r>
    </w:p>
    <w:p w14:paraId="6FD5979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9</w:t>
      </w:r>
      <w:r>
        <w:rPr>
          <w:rFonts w:hint="eastAsia" w:ascii="宋体" w:hAnsi="宋体" w:cs="宋体"/>
          <w:szCs w:val="21"/>
          <w:highlight w:val="none"/>
        </w:rPr>
        <w:t>）投标人拒不按照要求对投标文件进行澄清、说明、补正的，或评标委员会根据招标文件的规定对招标文件的计算错误进行修正后，投标人不接受修正的投标报价的。</w:t>
      </w:r>
    </w:p>
    <w:p w14:paraId="62290F1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0</w:t>
      </w:r>
      <w:r>
        <w:rPr>
          <w:rFonts w:hint="eastAsia" w:ascii="宋体" w:hAnsi="宋体" w:cs="宋体"/>
          <w:szCs w:val="21"/>
          <w:highlight w:val="none"/>
        </w:rPr>
        <w:t>）投标人单方面出现其他投标人材料。</w:t>
      </w:r>
    </w:p>
    <w:p w14:paraId="7E65EDB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1</w:t>
      </w:r>
      <w:r>
        <w:rPr>
          <w:rFonts w:hint="eastAsia" w:ascii="宋体" w:hAnsi="宋体" w:cs="宋体"/>
          <w:szCs w:val="21"/>
          <w:highlight w:val="none"/>
        </w:rPr>
        <w:t>）法律、法规规定的其他情形。</w:t>
      </w:r>
    </w:p>
    <w:p w14:paraId="6C2FB7F4">
      <w:pPr>
        <w:pStyle w:val="3"/>
        <w:spacing w:beforeLines="50" w:afterLines="50"/>
        <w:ind w:firstLine="422" w:firstLineChars="200"/>
        <w:rPr>
          <w:rFonts w:ascii="宋体" w:hAnsi="宋体" w:eastAsia="宋体" w:cs="宋体"/>
          <w:highlight w:val="none"/>
        </w:rPr>
      </w:pPr>
      <w:bookmarkStart w:id="828" w:name="_Toc27846"/>
      <w:bookmarkStart w:id="829" w:name="_Toc506107329"/>
      <w:bookmarkStart w:id="830" w:name="_Toc324404877"/>
      <w:bookmarkStart w:id="831" w:name="_Toc35425124"/>
      <w:bookmarkStart w:id="832" w:name="_Toc35424958"/>
      <w:bookmarkStart w:id="833" w:name="_Toc15058923"/>
      <w:bookmarkStart w:id="834" w:name="_Toc78803393"/>
      <w:r>
        <w:rPr>
          <w:rFonts w:hint="eastAsia" w:ascii="宋体" w:hAnsi="宋体" w:eastAsia="宋体" w:cs="宋体"/>
          <w:highlight w:val="none"/>
        </w:rPr>
        <w:t>6.投标文件的澄清和补正</w:t>
      </w:r>
      <w:bookmarkEnd w:id="828"/>
      <w:bookmarkEnd w:id="829"/>
      <w:bookmarkEnd w:id="830"/>
      <w:bookmarkEnd w:id="831"/>
      <w:bookmarkEnd w:id="832"/>
      <w:bookmarkEnd w:id="833"/>
      <w:bookmarkEnd w:id="834"/>
    </w:p>
    <w:p w14:paraId="2F477AC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6.1在评标过程中，评标委员会可以要求投标人对所提交的投标文件中不明确的内容进行书面澄清或说明，或者对细微偏差进行补正。评标委员会不接受投标人主动提出的澄清、说明或补正。</w:t>
      </w:r>
    </w:p>
    <w:p w14:paraId="681AC39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6.2澄清、说明和补正不得改变投标文件的实质性内容（算术性错误修正的除外）。投标人的书面澄清、说明和补正属于投标文件的组成部分。</w:t>
      </w:r>
    </w:p>
    <w:p w14:paraId="2FE1D5D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6.3评标委员会对投标人提交的澄清、说明和补正有疑问的，可以要求投标人进一步澄清、说明或补正、直至满足评标委员会的要求。</w:t>
      </w:r>
    </w:p>
    <w:p w14:paraId="149643F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按照投标文件规定进行澄清、补正后的投标报价经投标人的法定代表人或其委托代理人确认后即为该投标人的最终投标报价。投标人一旦中标，此报价即为中标价。</w:t>
      </w:r>
    </w:p>
    <w:p w14:paraId="4D82B21A">
      <w:pPr>
        <w:pStyle w:val="3"/>
        <w:spacing w:beforeLines="50" w:afterLines="50"/>
        <w:ind w:firstLine="422" w:firstLineChars="200"/>
        <w:rPr>
          <w:rFonts w:ascii="宋体" w:hAnsi="宋体" w:eastAsia="宋体" w:cs="宋体"/>
          <w:highlight w:val="none"/>
        </w:rPr>
      </w:pPr>
      <w:bookmarkStart w:id="835" w:name="_Toc35425125"/>
      <w:bookmarkStart w:id="836" w:name="_Toc15058924"/>
      <w:bookmarkStart w:id="837" w:name="_Toc35424959"/>
      <w:bookmarkStart w:id="838" w:name="_Toc506107330"/>
      <w:bookmarkStart w:id="839" w:name="_Toc13990"/>
      <w:bookmarkStart w:id="840" w:name="_Toc324404878"/>
      <w:bookmarkStart w:id="841" w:name="_Toc78803394"/>
      <w:r>
        <w:rPr>
          <w:rFonts w:hint="eastAsia" w:ascii="宋体" w:hAnsi="宋体" w:eastAsia="宋体" w:cs="宋体"/>
          <w:highlight w:val="none"/>
        </w:rPr>
        <w:t>7.评分标准</w:t>
      </w:r>
      <w:bookmarkEnd w:id="835"/>
      <w:bookmarkEnd w:id="836"/>
      <w:bookmarkEnd w:id="837"/>
      <w:bookmarkEnd w:id="838"/>
      <w:bookmarkEnd w:id="839"/>
      <w:bookmarkEnd w:id="840"/>
      <w:bookmarkEnd w:id="841"/>
    </w:p>
    <w:p w14:paraId="30E8B7B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商务标评分标准：见商务标评审表。</w:t>
      </w:r>
    </w:p>
    <w:p w14:paraId="24D3B8B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技术标评分标准：见技术标评审表。</w:t>
      </w:r>
    </w:p>
    <w:p w14:paraId="481120C8">
      <w:pPr>
        <w:spacing w:line="440" w:lineRule="exact"/>
        <w:ind w:firstLine="420" w:firstLineChars="200"/>
        <w:jc w:val="left"/>
        <w:rPr>
          <w:rFonts w:hAnsi="宋体" w:cs="宋体"/>
          <w:highlight w:val="none"/>
        </w:rPr>
      </w:pPr>
      <w:r>
        <w:rPr>
          <w:rFonts w:hint="eastAsia" w:ascii="宋体" w:hAnsi="宋体" w:cs="宋体"/>
          <w:szCs w:val="21"/>
          <w:highlight w:val="none"/>
        </w:rPr>
        <w:t>资信</w:t>
      </w:r>
      <w:r>
        <w:rPr>
          <w:rFonts w:hint="eastAsia" w:ascii="宋体" w:hAnsi="宋体" w:cs="宋体"/>
          <w:szCs w:val="21"/>
          <w:highlight w:val="none"/>
          <w:lang w:val="en-US" w:eastAsia="zh-CN"/>
        </w:rPr>
        <w:t>标</w:t>
      </w:r>
      <w:r>
        <w:rPr>
          <w:rFonts w:hint="eastAsia" w:ascii="宋体" w:hAnsi="宋体" w:cs="宋体"/>
          <w:szCs w:val="21"/>
          <w:highlight w:val="none"/>
        </w:rPr>
        <w:t>评分标准：见资信评分细则</w:t>
      </w:r>
      <w:r>
        <w:rPr>
          <w:rFonts w:hint="eastAsia" w:hAnsi="宋体" w:cs="宋体"/>
          <w:szCs w:val="21"/>
          <w:highlight w:val="none"/>
        </w:rPr>
        <w:t>。</w:t>
      </w:r>
    </w:p>
    <w:p w14:paraId="26B2972C">
      <w:pPr>
        <w:pStyle w:val="3"/>
        <w:spacing w:beforeLines="50" w:afterLines="50"/>
        <w:ind w:firstLine="422" w:firstLineChars="200"/>
        <w:rPr>
          <w:rFonts w:ascii="宋体" w:hAnsi="宋体" w:eastAsia="宋体" w:cs="宋体"/>
          <w:highlight w:val="none"/>
        </w:rPr>
      </w:pPr>
      <w:bookmarkStart w:id="842" w:name="_Toc35425126"/>
      <w:bookmarkStart w:id="843" w:name="_Toc22863"/>
      <w:bookmarkStart w:id="844" w:name="_Toc506107331"/>
      <w:bookmarkStart w:id="845" w:name="_Toc324404879"/>
      <w:bookmarkStart w:id="846" w:name="_Toc35424960"/>
      <w:bookmarkStart w:id="847" w:name="_Toc15058925"/>
      <w:bookmarkStart w:id="848" w:name="_Toc78803395"/>
      <w:r>
        <w:rPr>
          <w:rFonts w:hint="eastAsia" w:ascii="宋体" w:hAnsi="宋体" w:eastAsia="宋体" w:cs="宋体"/>
          <w:highlight w:val="none"/>
        </w:rPr>
        <w:t>8.评审结果</w:t>
      </w:r>
      <w:bookmarkEnd w:id="842"/>
      <w:bookmarkEnd w:id="843"/>
      <w:bookmarkEnd w:id="844"/>
      <w:bookmarkEnd w:id="845"/>
      <w:bookmarkEnd w:id="846"/>
      <w:bookmarkEnd w:id="847"/>
      <w:bookmarkEnd w:id="848"/>
    </w:p>
    <w:p w14:paraId="6C92BA2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8.1除投标人须知前附表授权直接确定中标人外，评标委员会按照总得分由高到低顺序推荐中标候选人。</w:t>
      </w:r>
    </w:p>
    <w:p w14:paraId="538B5B0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8.2评标委员会完成评标后，应当向招标人提交书面评标报告。评标报告应当如实记载以下内容：</w:t>
      </w:r>
    </w:p>
    <w:p w14:paraId="32C6C45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（1）基本情况和数据表。</w:t>
      </w:r>
    </w:p>
    <w:p w14:paraId="420D2A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（2）评标委员会成员名单。</w:t>
      </w:r>
    </w:p>
    <w:p w14:paraId="02179E2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（3）开标记录。</w:t>
      </w:r>
    </w:p>
    <w:p w14:paraId="11B25BD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（4）符合要求的投标人一览表。</w:t>
      </w:r>
    </w:p>
    <w:p w14:paraId="43A3025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（5）废标情况说明。</w:t>
      </w:r>
    </w:p>
    <w:p w14:paraId="424F00F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（6）评标标准、评标方法或者评标因素。</w:t>
      </w:r>
    </w:p>
    <w:p w14:paraId="2FCC2BB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（7）经评审的价格一览表。</w:t>
      </w:r>
    </w:p>
    <w:p w14:paraId="2E69437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（8）经评审的投标人排序。</w:t>
      </w:r>
    </w:p>
    <w:p w14:paraId="3FF8F21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（9）推荐的中标候选人名单与签订合同前要处理的事宜。</w:t>
      </w:r>
    </w:p>
    <w:p w14:paraId="1CB6501F">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（10）澄清、说明、补正事项纪要。</w:t>
      </w:r>
    </w:p>
    <w:p w14:paraId="41797198">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8.3评标委员会推荐的中标候选人应当限定在</w:t>
      </w:r>
      <w:r>
        <w:rPr>
          <w:rFonts w:hint="eastAsia" w:ascii="宋体" w:hAnsi="宋体" w:cs="宋体"/>
          <w:color w:val="auto"/>
          <w:szCs w:val="21"/>
          <w:highlight w:val="none"/>
          <w:u w:val="single"/>
          <w:lang w:val="en-US" w:eastAsia="zh-CN"/>
        </w:rPr>
        <w:t xml:space="preserve">3 </w:t>
      </w:r>
      <w:r>
        <w:rPr>
          <w:rFonts w:hint="eastAsia" w:ascii="宋体" w:hAnsi="宋体" w:cs="宋体"/>
          <w:color w:val="auto"/>
          <w:szCs w:val="21"/>
          <w:highlight w:val="none"/>
        </w:rPr>
        <w:t>名。</w:t>
      </w:r>
    </w:p>
    <w:p w14:paraId="6FC489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8.4依法必须进行招标的项目，招标人应当确定排名第一的中标候选人为中标人。第一中标候选人放弃中标、因不可抗力提出不能履行合同，不按招标文件要求提交履约保证金，或者被查实存在影响中标结果的违法行为等情形，不符合中标条件的，投标保证金不予退还，招标人可以按照评标委员会提出的中标候选人名单排序依次确定其他中标候选人为中标人，也可以依法重新组织招标。</w:t>
      </w:r>
    </w:p>
    <w:p w14:paraId="1EF70C6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依法必须进行招标的项目，除第一中标候选人或者中标人以外的其他投标人存在串通投标、弄虚作假、行贿情形且在评标过程中未被发现的，视为对中标结果没有造成实质性影响，招标人可以依法继续开展招标活动。</w:t>
      </w:r>
    </w:p>
    <w:p w14:paraId="3E1A994F">
      <w:pPr>
        <w:pStyle w:val="3"/>
        <w:spacing w:beforeLines="50" w:afterLines="50"/>
        <w:ind w:firstLine="422" w:firstLineChars="200"/>
        <w:rPr>
          <w:rFonts w:ascii="宋体" w:hAnsi="宋体" w:eastAsia="宋体" w:cs="宋体"/>
          <w:highlight w:val="none"/>
        </w:rPr>
      </w:pPr>
      <w:bookmarkStart w:id="849" w:name="_Toc15058926"/>
      <w:bookmarkStart w:id="850" w:name="_Toc1576"/>
      <w:bookmarkStart w:id="851" w:name="_Toc506107332"/>
      <w:bookmarkStart w:id="852" w:name="_Toc78803396"/>
      <w:bookmarkStart w:id="853" w:name="_Toc35425127"/>
      <w:bookmarkStart w:id="854" w:name="_Toc324404880"/>
      <w:bookmarkStart w:id="855" w:name="_Toc35424961"/>
      <w:r>
        <w:rPr>
          <w:rFonts w:hint="eastAsia" w:ascii="宋体" w:hAnsi="宋体" w:eastAsia="宋体" w:cs="宋体"/>
          <w:highlight w:val="none"/>
        </w:rPr>
        <w:t>9.其他</w:t>
      </w:r>
      <w:bookmarkEnd w:id="849"/>
      <w:bookmarkEnd w:id="850"/>
      <w:bookmarkEnd w:id="851"/>
      <w:bookmarkEnd w:id="852"/>
      <w:bookmarkEnd w:id="853"/>
      <w:bookmarkEnd w:id="854"/>
      <w:bookmarkEnd w:id="855"/>
    </w:p>
    <w:p w14:paraId="51C03621">
      <w:pPr>
        <w:spacing w:line="440" w:lineRule="exact"/>
        <w:ind w:firstLine="420" w:firstLineChars="200"/>
        <w:jc w:val="left"/>
        <w:rPr>
          <w:highlight w:val="none"/>
        </w:rPr>
      </w:pPr>
      <w:r>
        <w:rPr>
          <w:rFonts w:hint="eastAsia" w:ascii="宋体" w:hAnsi="宋体" w:cs="宋体"/>
          <w:szCs w:val="21"/>
          <w:highlight w:val="none"/>
        </w:rPr>
        <w:t>投标人提供的与投标文件有关的各类证书、证明、文件、资料等的真实性、合法性由投标人负全责。</w:t>
      </w:r>
      <w:bookmarkEnd w:id="763"/>
      <w:bookmarkEnd w:id="764"/>
      <w:bookmarkEnd w:id="765"/>
      <w:bookmarkEnd w:id="766"/>
      <w:bookmarkEnd w:id="767"/>
      <w:bookmarkEnd w:id="768"/>
      <w:bookmarkEnd w:id="769"/>
      <w:bookmarkEnd w:id="770"/>
      <w:bookmarkStart w:id="856" w:name="_Toc324404881"/>
      <w:bookmarkStart w:id="857" w:name="_Toc152045609"/>
      <w:bookmarkStart w:id="858" w:name="_Toc246996995"/>
      <w:bookmarkStart w:id="859" w:name="_Toc246996252"/>
      <w:bookmarkStart w:id="860" w:name="_Toc247085767"/>
      <w:bookmarkStart w:id="861" w:name="_Toc144974577"/>
      <w:bookmarkStart w:id="862" w:name="_Toc179632627"/>
      <w:bookmarkStart w:id="863" w:name="_Toc417623601"/>
      <w:bookmarkStart w:id="864" w:name="_Toc152042387"/>
    </w:p>
    <w:bookmarkEnd w:id="856"/>
    <w:bookmarkEnd w:id="857"/>
    <w:bookmarkEnd w:id="858"/>
    <w:bookmarkEnd w:id="859"/>
    <w:bookmarkEnd w:id="860"/>
    <w:bookmarkEnd w:id="861"/>
    <w:bookmarkEnd w:id="862"/>
    <w:bookmarkEnd w:id="863"/>
    <w:bookmarkEnd w:id="864"/>
    <w:p w14:paraId="01EE8AAD">
      <w:pPr>
        <w:rPr>
          <w:highlight w:val="none"/>
        </w:rPr>
      </w:pPr>
      <w:bookmarkStart w:id="865" w:name="_Toc15058927"/>
      <w:bookmarkStart w:id="866" w:name="_Toc506107333"/>
      <w:bookmarkStart w:id="867" w:name="_Toc35424962"/>
      <w:bookmarkStart w:id="868" w:name="_Toc35425128"/>
      <w:bookmarkStart w:id="869" w:name="_Toc152042546"/>
      <w:bookmarkStart w:id="870" w:name="_Toc179632785"/>
      <w:bookmarkStart w:id="871" w:name="_Toc152045767"/>
      <w:bookmarkStart w:id="872" w:name="_Toc144974826"/>
    </w:p>
    <w:p w14:paraId="65923B12">
      <w:pPr>
        <w:rPr>
          <w:rFonts w:hint="eastAsia"/>
          <w:highlight w:val="none"/>
        </w:rPr>
      </w:pPr>
      <w:r>
        <w:rPr>
          <w:rFonts w:hint="eastAsia"/>
          <w:highlight w:val="none"/>
        </w:rPr>
        <w:br w:type="page"/>
      </w:r>
      <w:bookmarkStart w:id="873" w:name="_Toc78803397"/>
    </w:p>
    <w:bookmarkEnd w:id="865"/>
    <w:bookmarkEnd w:id="866"/>
    <w:bookmarkEnd w:id="867"/>
    <w:bookmarkEnd w:id="868"/>
    <w:bookmarkEnd w:id="873"/>
    <w:p w14:paraId="226BC7FC">
      <w:pPr>
        <w:pStyle w:val="2"/>
        <w:numPr>
          <w:ilvl w:val="0"/>
          <w:numId w:val="2"/>
        </w:numPr>
        <w:rPr>
          <w:rFonts w:hint="eastAsia" w:ascii="Arial" w:hAnsi="Arial"/>
          <w:kern w:val="0"/>
          <w:sz w:val="32"/>
          <w:szCs w:val="32"/>
          <w:highlight w:val="none"/>
        </w:rPr>
      </w:pPr>
      <w:bookmarkStart w:id="874" w:name="_Toc16721"/>
      <w:r>
        <w:rPr>
          <w:rFonts w:hint="eastAsia" w:ascii="Arial" w:hAnsi="Arial"/>
          <w:kern w:val="0"/>
          <w:sz w:val="32"/>
          <w:szCs w:val="32"/>
          <w:highlight w:val="none"/>
        </w:rPr>
        <w:t xml:space="preserve"> 合同条款及格式</w:t>
      </w:r>
      <w:bookmarkEnd w:id="874"/>
    </w:p>
    <w:p w14:paraId="24D23B78">
      <w:pPr>
        <w:numPr>
          <w:ilvl w:val="0"/>
          <w:numId w:val="0"/>
        </w:numPr>
        <w:rPr>
          <w:highlight w:val="none"/>
        </w:rPr>
      </w:pPr>
    </w:p>
    <w:bookmarkEnd w:id="869"/>
    <w:bookmarkEnd w:id="870"/>
    <w:bookmarkEnd w:id="871"/>
    <w:bookmarkEnd w:id="872"/>
    <w:p w14:paraId="4523D4D7">
      <w:pPr>
        <w:spacing w:line="360" w:lineRule="auto"/>
        <w:rPr>
          <w:rFonts w:hint="eastAsia" w:ascii="华文中宋" w:hAnsi="华文中宋" w:eastAsia="华文中宋"/>
          <w:b/>
          <w:bCs/>
          <w:sz w:val="48"/>
          <w:szCs w:val="48"/>
          <w:highlight w:val="none"/>
        </w:rPr>
      </w:pPr>
      <w:bookmarkStart w:id="875" w:name="_Toc506107340"/>
      <w:bookmarkStart w:id="876" w:name="_Toc35425136"/>
      <w:bookmarkStart w:id="877" w:name="_Toc246997097"/>
      <w:bookmarkStart w:id="878" w:name="_Toc247085872"/>
      <w:bookmarkStart w:id="879" w:name="_Toc152045786"/>
      <w:bookmarkStart w:id="880" w:name="_Toc324404888"/>
      <w:bookmarkStart w:id="881" w:name="_Toc144974855"/>
      <w:bookmarkStart w:id="882" w:name="_Toc35424970"/>
      <w:bookmarkStart w:id="883" w:name="_Toc246996354"/>
      <w:bookmarkStart w:id="884" w:name="_Toc179632806"/>
      <w:bookmarkStart w:id="885" w:name="_Toc78803398"/>
      <w:bookmarkStart w:id="886" w:name="_Toc15058934"/>
      <w:bookmarkStart w:id="887" w:name="_Toc152042575"/>
      <w:r>
        <w:rPr>
          <w:rFonts w:hint="eastAsia" w:ascii="仿宋_GB2312" w:eastAsia="仿宋_GB2312"/>
          <w:b/>
          <w:sz w:val="32"/>
          <w:szCs w:val="32"/>
          <w:highlight w:val="none"/>
        </w:rPr>
        <w:t>（ＧＦ－2012－0202）</w:t>
      </w:r>
    </w:p>
    <w:p w14:paraId="10AB8872">
      <w:pPr>
        <w:spacing w:line="360" w:lineRule="auto"/>
        <w:jc w:val="center"/>
        <w:rPr>
          <w:rFonts w:hint="eastAsia" w:ascii="华文中宋" w:hAnsi="华文中宋" w:eastAsia="华文中宋"/>
          <w:b/>
          <w:bCs/>
          <w:sz w:val="48"/>
          <w:szCs w:val="48"/>
          <w:highlight w:val="none"/>
        </w:rPr>
      </w:pPr>
    </w:p>
    <w:p w14:paraId="34F74C05">
      <w:pPr>
        <w:spacing w:line="360" w:lineRule="auto"/>
        <w:jc w:val="center"/>
        <w:rPr>
          <w:rFonts w:hint="eastAsia" w:ascii="华文中宋" w:hAnsi="华文中宋" w:eastAsia="华文中宋"/>
          <w:b/>
          <w:bCs/>
          <w:sz w:val="52"/>
          <w:szCs w:val="52"/>
          <w:highlight w:val="none"/>
        </w:rPr>
      </w:pPr>
      <w:r>
        <w:rPr>
          <w:rFonts w:hint="eastAsia" w:ascii="华文中宋" w:hAnsi="华文中宋" w:eastAsia="华文中宋"/>
          <w:b/>
          <w:bCs/>
          <w:sz w:val="52"/>
          <w:szCs w:val="52"/>
          <w:highlight w:val="none"/>
        </w:rPr>
        <w:t>建设工程监理合同</w:t>
      </w:r>
    </w:p>
    <w:p w14:paraId="09313533">
      <w:pPr>
        <w:spacing w:line="360" w:lineRule="auto"/>
        <w:jc w:val="center"/>
        <w:rPr>
          <w:rFonts w:hint="eastAsia" w:ascii="华文楷体" w:hAnsi="华文楷体" w:eastAsia="华文楷体"/>
          <w:b/>
          <w:bCs/>
          <w:sz w:val="52"/>
          <w:szCs w:val="52"/>
          <w:highlight w:val="none"/>
        </w:rPr>
      </w:pPr>
      <w:r>
        <w:rPr>
          <w:rFonts w:hint="eastAsia" w:ascii="华文楷体" w:hAnsi="华文楷体" w:eastAsia="华文楷体"/>
          <w:b/>
          <w:bCs/>
          <w:sz w:val="52"/>
          <w:szCs w:val="52"/>
          <w:highlight w:val="none"/>
          <w:lang w:eastAsia="zh-CN"/>
        </w:rPr>
        <w:t>（</w:t>
      </w:r>
      <w:r>
        <w:rPr>
          <w:rFonts w:hint="eastAsia" w:ascii="华文楷体" w:hAnsi="华文楷体" w:eastAsia="华文楷体"/>
          <w:b/>
          <w:bCs/>
          <w:sz w:val="52"/>
          <w:szCs w:val="52"/>
          <w:highlight w:val="none"/>
        </w:rPr>
        <w:t>示范文本</w:t>
      </w:r>
      <w:r>
        <w:rPr>
          <w:rFonts w:hint="eastAsia" w:ascii="华文楷体" w:hAnsi="华文楷体" w:eastAsia="华文楷体"/>
          <w:b/>
          <w:bCs/>
          <w:sz w:val="52"/>
          <w:szCs w:val="52"/>
          <w:highlight w:val="none"/>
          <w:lang w:eastAsia="zh-CN"/>
        </w:rPr>
        <w:t>）</w:t>
      </w:r>
    </w:p>
    <w:p w14:paraId="565D786A">
      <w:pPr>
        <w:rPr>
          <w:rFonts w:hint="eastAsia"/>
          <w:highlight w:val="none"/>
        </w:rPr>
      </w:pPr>
    </w:p>
    <w:p w14:paraId="401305DF">
      <w:pPr>
        <w:spacing w:line="360" w:lineRule="auto"/>
        <w:rPr>
          <w:rFonts w:hint="eastAsia" w:ascii="仿宋_GB2312" w:hAnsi="宋体" w:eastAsia="仿宋_GB2312"/>
          <w:b/>
          <w:bCs/>
          <w:sz w:val="24"/>
          <w:highlight w:val="none"/>
        </w:rPr>
      </w:pPr>
    </w:p>
    <w:p w14:paraId="27616471">
      <w:pPr>
        <w:pStyle w:val="14"/>
        <w:rPr>
          <w:rFonts w:hint="eastAsia" w:ascii="仿宋_GB2312" w:hAnsi="宋体" w:eastAsia="仿宋_GB2312"/>
          <w:b/>
          <w:bCs/>
          <w:sz w:val="24"/>
          <w:highlight w:val="none"/>
        </w:rPr>
      </w:pPr>
    </w:p>
    <w:p w14:paraId="3A4A64C9">
      <w:pPr>
        <w:rPr>
          <w:rFonts w:hint="eastAsia" w:ascii="仿宋_GB2312" w:hAnsi="宋体" w:eastAsia="仿宋_GB2312"/>
          <w:b/>
          <w:bCs/>
          <w:sz w:val="24"/>
          <w:highlight w:val="none"/>
        </w:rPr>
      </w:pPr>
    </w:p>
    <w:p w14:paraId="09D3C66D">
      <w:pPr>
        <w:pStyle w:val="14"/>
        <w:rPr>
          <w:rFonts w:hint="eastAsia" w:ascii="仿宋_GB2312" w:hAnsi="宋体" w:eastAsia="仿宋_GB2312"/>
          <w:b/>
          <w:bCs/>
          <w:sz w:val="24"/>
          <w:highlight w:val="none"/>
        </w:rPr>
      </w:pPr>
    </w:p>
    <w:p w14:paraId="2A5CC445">
      <w:pPr>
        <w:rPr>
          <w:rFonts w:hint="eastAsia" w:ascii="仿宋_GB2312" w:hAnsi="宋体" w:eastAsia="仿宋_GB2312"/>
          <w:b/>
          <w:bCs/>
          <w:sz w:val="24"/>
          <w:highlight w:val="none"/>
        </w:rPr>
      </w:pPr>
    </w:p>
    <w:p w14:paraId="0DEC4C6F">
      <w:pPr>
        <w:pStyle w:val="14"/>
        <w:rPr>
          <w:rFonts w:hint="eastAsia" w:ascii="仿宋_GB2312" w:hAnsi="宋体" w:eastAsia="仿宋_GB2312"/>
          <w:b/>
          <w:bCs/>
          <w:sz w:val="24"/>
          <w:highlight w:val="none"/>
        </w:rPr>
      </w:pPr>
    </w:p>
    <w:p w14:paraId="06D84180">
      <w:pPr>
        <w:rPr>
          <w:rFonts w:hint="eastAsia" w:ascii="仿宋_GB2312" w:hAnsi="宋体" w:eastAsia="仿宋_GB2312"/>
          <w:b/>
          <w:bCs/>
          <w:sz w:val="24"/>
          <w:highlight w:val="none"/>
        </w:rPr>
      </w:pPr>
    </w:p>
    <w:p w14:paraId="4C7715EE">
      <w:pPr>
        <w:pStyle w:val="14"/>
        <w:rPr>
          <w:rFonts w:hint="eastAsia" w:ascii="仿宋_GB2312" w:hAnsi="宋体" w:eastAsia="仿宋_GB2312"/>
          <w:b/>
          <w:bCs/>
          <w:sz w:val="24"/>
          <w:highlight w:val="none"/>
        </w:rPr>
      </w:pPr>
    </w:p>
    <w:p w14:paraId="216B107A">
      <w:pPr>
        <w:rPr>
          <w:rFonts w:hint="eastAsia" w:ascii="仿宋_GB2312" w:hAnsi="宋体" w:eastAsia="仿宋_GB2312"/>
          <w:b/>
          <w:bCs/>
          <w:sz w:val="24"/>
          <w:highlight w:val="none"/>
        </w:rPr>
      </w:pPr>
    </w:p>
    <w:p w14:paraId="0C467C86">
      <w:pPr>
        <w:pStyle w:val="14"/>
        <w:rPr>
          <w:rFonts w:hint="eastAsia" w:ascii="仿宋_GB2312" w:hAnsi="宋体" w:eastAsia="仿宋_GB2312"/>
          <w:b/>
          <w:bCs/>
          <w:sz w:val="24"/>
          <w:highlight w:val="none"/>
        </w:rPr>
      </w:pPr>
    </w:p>
    <w:p w14:paraId="09F4BB66">
      <w:pPr>
        <w:rPr>
          <w:rFonts w:hint="eastAsia" w:ascii="仿宋_GB2312" w:hAnsi="宋体" w:eastAsia="仿宋_GB2312"/>
          <w:b/>
          <w:bCs/>
          <w:sz w:val="24"/>
          <w:highlight w:val="none"/>
        </w:rPr>
      </w:pPr>
    </w:p>
    <w:p w14:paraId="4C014281">
      <w:pPr>
        <w:pStyle w:val="14"/>
        <w:rPr>
          <w:rFonts w:hint="eastAsia" w:ascii="仿宋_GB2312" w:hAnsi="宋体" w:eastAsia="仿宋_GB2312"/>
          <w:b/>
          <w:bCs/>
          <w:sz w:val="24"/>
          <w:highlight w:val="none"/>
        </w:rPr>
      </w:pPr>
    </w:p>
    <w:p w14:paraId="5D5C1FAF">
      <w:pPr>
        <w:rPr>
          <w:rFonts w:hint="eastAsia" w:ascii="仿宋_GB2312" w:hAnsi="宋体" w:eastAsia="仿宋_GB2312"/>
          <w:b/>
          <w:bCs/>
          <w:sz w:val="24"/>
          <w:highlight w:val="none"/>
        </w:rPr>
      </w:pPr>
    </w:p>
    <w:p w14:paraId="6E95FF45">
      <w:pPr>
        <w:pStyle w:val="14"/>
        <w:rPr>
          <w:rFonts w:hint="eastAsia"/>
          <w:highlight w:val="none"/>
        </w:rPr>
      </w:pPr>
    </w:p>
    <w:p w14:paraId="28A667A7">
      <w:pPr>
        <w:spacing w:line="360" w:lineRule="auto"/>
        <w:jc w:val="center"/>
        <w:rPr>
          <w:rFonts w:hint="eastAsia" w:ascii="华文中宋" w:hAnsi="华文中宋" w:eastAsia="华文中宋"/>
          <w:b/>
          <w:highlight w:val="none"/>
        </w:rPr>
      </w:pPr>
      <w:r>
        <w:rPr>
          <w:rFonts w:hint="eastAsia" w:ascii="仿宋_GB2312" w:hAnsi="宋体" w:eastAsia="仿宋_GB2312"/>
          <w:b/>
          <w:bCs/>
          <w:sz w:val="32"/>
          <w:szCs w:val="32"/>
          <w:highlight w:val="none"/>
        </w:rPr>
        <w:t xml:space="preserve">  </w:t>
      </w:r>
      <w:r>
        <w:rPr>
          <w:rFonts w:hint="eastAsia" w:ascii="华文中宋" w:hAnsi="华文中宋" w:eastAsia="华文中宋"/>
          <w:b/>
          <w:bCs/>
          <w:sz w:val="32"/>
          <w:szCs w:val="32"/>
          <w:highlight w:val="none"/>
        </w:rPr>
        <w:t>住房和城乡建设部</w:t>
      </w:r>
    </w:p>
    <w:p w14:paraId="538B45A5">
      <w:pPr>
        <w:spacing w:line="360" w:lineRule="auto"/>
        <w:jc w:val="center"/>
        <w:rPr>
          <w:rFonts w:hint="eastAsia" w:ascii="华文中宋" w:hAnsi="华文中宋" w:eastAsia="华文中宋"/>
          <w:b/>
          <w:sz w:val="32"/>
          <w:szCs w:val="32"/>
          <w:highlight w:val="none"/>
        </w:rPr>
      </w:pPr>
      <w:r>
        <w:rPr>
          <w:rFonts w:hint="eastAsia" w:ascii="华文中宋" w:hAnsi="华文中宋" w:eastAsia="华文中宋"/>
          <w:b/>
          <w:highlight w:val="none"/>
        </w:rPr>
        <w:t xml:space="preserve">                                                          </w:t>
      </w:r>
      <w:r>
        <w:rPr>
          <w:rFonts w:hint="eastAsia" w:ascii="华文中宋" w:hAnsi="华文中宋" w:eastAsia="华文中宋"/>
          <w:b/>
          <w:sz w:val="32"/>
          <w:szCs w:val="32"/>
          <w:highlight w:val="none"/>
        </w:rPr>
        <w:t>制定</w:t>
      </w:r>
    </w:p>
    <w:p w14:paraId="3754E194">
      <w:pPr>
        <w:spacing w:line="360" w:lineRule="auto"/>
        <w:jc w:val="center"/>
        <w:rPr>
          <w:rFonts w:hint="eastAsia" w:ascii="华文中宋" w:hAnsi="华文中宋" w:eastAsia="华文中宋"/>
          <w:b/>
          <w:highlight w:val="none"/>
        </w:rPr>
      </w:pPr>
      <w:r>
        <w:rPr>
          <w:rFonts w:hint="eastAsia" w:ascii="华文中宋" w:hAnsi="华文中宋" w:eastAsia="华文中宋"/>
          <w:b/>
          <w:bCs/>
          <w:sz w:val="32"/>
          <w:szCs w:val="32"/>
          <w:highlight w:val="none"/>
        </w:rPr>
        <w:t xml:space="preserve">   国家工商行政管理总局</w:t>
      </w:r>
    </w:p>
    <w:p w14:paraId="39873920">
      <w:pPr>
        <w:rPr>
          <w:rFonts w:hint="eastAsia"/>
          <w:highlight w:val="none"/>
        </w:rPr>
      </w:pPr>
      <w:r>
        <w:rPr>
          <w:rFonts w:hint="eastAsia"/>
          <w:highlight w:val="none"/>
        </w:rPr>
        <w:br w:type="page"/>
      </w:r>
    </w:p>
    <w:p w14:paraId="60FD21AF">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jc w:val="center"/>
        <w:textAlignment w:val="auto"/>
        <w:outlineLvl w:val="0"/>
        <w:rPr>
          <w:rFonts w:hint="eastAsia" w:ascii="仿宋_GB2312" w:hAnsi="宋体" w:eastAsia="仿宋_GB2312"/>
          <w:b/>
          <w:sz w:val="13"/>
          <w:szCs w:val="13"/>
          <w:highlight w:val="none"/>
        </w:rPr>
      </w:pPr>
      <w:r>
        <w:rPr>
          <w:rFonts w:hint="eastAsia" w:ascii="宋体" w:hAnsi="宋体" w:eastAsia="宋体" w:cs="宋体"/>
          <w:b/>
          <w:bCs/>
          <w:sz w:val="32"/>
          <w:szCs w:val="32"/>
          <w:highlight w:val="none"/>
        </w:rPr>
        <w:t xml:space="preserve"> </w:t>
      </w:r>
      <w:bookmarkStart w:id="888" w:name="_Toc7788"/>
      <w:bookmarkStart w:id="889" w:name="_Toc19644"/>
      <w:r>
        <w:rPr>
          <w:rFonts w:hint="eastAsia" w:ascii="宋体" w:hAnsi="宋体" w:eastAsia="宋体" w:cs="宋体"/>
          <w:b/>
          <w:bCs/>
          <w:sz w:val="32"/>
          <w:szCs w:val="32"/>
          <w:highlight w:val="none"/>
        </w:rPr>
        <w:t>第一部分  协议书</w:t>
      </w:r>
      <w:bookmarkEnd w:id="888"/>
      <w:bookmarkEnd w:id="889"/>
    </w:p>
    <w:p w14:paraId="6181C83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2" w:firstLineChars="200"/>
        <w:jc w:val="left"/>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委托人（全称）：</w:t>
      </w:r>
      <w:r>
        <w:rPr>
          <w:rFonts w:hint="eastAsia" w:ascii="宋体" w:hAnsi="宋体" w:eastAsia="宋体" w:cs="宋体"/>
          <w:b/>
          <w:sz w:val="21"/>
          <w:szCs w:val="21"/>
          <w:highlight w:val="none"/>
          <w:u w:val="single"/>
        </w:rPr>
        <w:t xml:space="preserve">  </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u w:val="single"/>
        </w:rPr>
        <w:t xml:space="preserve">  </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u w:val="single"/>
        </w:rPr>
        <w:t xml:space="preserve">   </w:t>
      </w:r>
    </w:p>
    <w:p w14:paraId="28E52EEB">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2" w:firstLineChars="200"/>
        <w:jc w:val="left"/>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监理人（全称）：</w:t>
      </w:r>
      <w:r>
        <w:rPr>
          <w:rFonts w:hint="eastAsia" w:ascii="宋体" w:hAnsi="宋体" w:eastAsia="宋体" w:cs="宋体"/>
          <w:b/>
          <w:sz w:val="21"/>
          <w:szCs w:val="21"/>
          <w:highlight w:val="none"/>
          <w:u w:val="single"/>
        </w:rPr>
        <w:t xml:space="preserve">                                   </w:t>
      </w:r>
      <w:r>
        <w:rPr>
          <w:rFonts w:hint="eastAsia" w:ascii="宋体" w:hAnsi="宋体" w:eastAsia="宋体" w:cs="宋体"/>
          <w:sz w:val="21"/>
          <w:szCs w:val="21"/>
          <w:highlight w:val="none"/>
          <w:u w:val="single"/>
        </w:rPr>
        <w:t xml:space="preserve">   </w:t>
      </w:r>
    </w:p>
    <w:p w14:paraId="0E0187E0">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根据《</w:t>
      </w:r>
      <w:r>
        <w:rPr>
          <w:rFonts w:hint="eastAsia" w:ascii="宋体" w:hAnsi="宋体" w:cs="宋体"/>
          <w:sz w:val="21"/>
          <w:szCs w:val="21"/>
          <w:highlight w:val="none"/>
          <w:lang w:eastAsia="zh-CN"/>
        </w:rPr>
        <w:t>中华人民共和国民法典</w:t>
      </w:r>
      <w:r>
        <w:rPr>
          <w:rFonts w:hint="eastAsia" w:ascii="宋体" w:hAnsi="宋体" w:eastAsia="宋体" w:cs="宋体"/>
          <w:sz w:val="21"/>
          <w:szCs w:val="21"/>
          <w:highlight w:val="none"/>
        </w:rPr>
        <w:t>》、《中华人民共和国建筑法》及其他有关法律、法规，遵循平等、自愿、公平和诚信的原则，双方就下述工程委托监理与相关服务事项协商一致，订立本合同。</w:t>
      </w:r>
    </w:p>
    <w:p w14:paraId="652B3410">
      <w:pPr>
        <w:keepNext w:val="0"/>
        <w:keepLines w:val="0"/>
        <w:pageBreakBefore w:val="0"/>
        <w:widowControl w:val="0"/>
        <w:kinsoku/>
        <w:wordWrap/>
        <w:overflowPunct/>
        <w:topLinePunct w:val="0"/>
        <w:autoSpaceDE/>
        <w:autoSpaceDN/>
        <w:bidi w:val="0"/>
        <w:adjustRightInd/>
        <w:snapToGrid/>
        <w:spacing w:before="95" w:beforeLines="30" w:after="95" w:afterLines="30" w:line="440" w:lineRule="exact"/>
        <w:ind w:left="0" w:leftChars="0" w:firstLine="422" w:firstLineChars="200"/>
        <w:jc w:val="left"/>
        <w:textAlignment w:val="auto"/>
        <w:outlineLvl w:val="0"/>
        <w:rPr>
          <w:rFonts w:hint="eastAsia" w:ascii="宋体" w:hAnsi="宋体" w:eastAsia="宋体" w:cs="宋体"/>
          <w:b/>
          <w:sz w:val="21"/>
          <w:szCs w:val="21"/>
          <w:highlight w:val="none"/>
        </w:rPr>
      </w:pPr>
      <w:bookmarkStart w:id="890" w:name="_Toc9153"/>
      <w:bookmarkStart w:id="891" w:name="_Toc681"/>
      <w:bookmarkStart w:id="892" w:name="_Toc20679"/>
      <w:r>
        <w:rPr>
          <w:rFonts w:hint="eastAsia" w:ascii="宋体" w:hAnsi="宋体" w:eastAsia="宋体" w:cs="宋体"/>
          <w:b/>
          <w:sz w:val="21"/>
          <w:szCs w:val="21"/>
          <w:highlight w:val="none"/>
        </w:rPr>
        <w:t>一、工程概况</w:t>
      </w:r>
      <w:bookmarkEnd w:id="890"/>
      <w:bookmarkEnd w:id="891"/>
      <w:bookmarkEnd w:id="892"/>
    </w:p>
    <w:p w14:paraId="065D5CDD">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 工程名称：</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7ACEB1C1">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 工程地点：</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49997A2C">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 工程规模：</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65A7B0C6">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 工程</w:t>
      </w:r>
      <w:r>
        <w:rPr>
          <w:rFonts w:hint="eastAsia" w:ascii="宋体" w:hAnsi="宋体" w:eastAsia="宋体" w:cs="宋体"/>
          <w:kern w:val="0"/>
          <w:sz w:val="21"/>
          <w:szCs w:val="21"/>
          <w:highlight w:val="none"/>
        </w:rPr>
        <w:t>概算投资额或建筑安装工程费</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6EDEFFCA">
      <w:pPr>
        <w:keepNext w:val="0"/>
        <w:keepLines w:val="0"/>
        <w:pageBreakBefore w:val="0"/>
        <w:widowControl w:val="0"/>
        <w:kinsoku/>
        <w:wordWrap/>
        <w:overflowPunct/>
        <w:topLinePunct w:val="0"/>
        <w:autoSpaceDE/>
        <w:autoSpaceDN/>
        <w:bidi w:val="0"/>
        <w:adjustRightInd/>
        <w:snapToGrid/>
        <w:spacing w:before="95" w:beforeLines="30" w:after="95" w:afterLines="30" w:line="440" w:lineRule="exact"/>
        <w:ind w:left="0" w:leftChars="0" w:firstLine="422" w:firstLineChars="200"/>
        <w:jc w:val="left"/>
        <w:textAlignment w:val="auto"/>
        <w:outlineLvl w:val="0"/>
        <w:rPr>
          <w:rFonts w:hint="eastAsia" w:ascii="宋体" w:hAnsi="宋体" w:eastAsia="宋体" w:cs="宋体"/>
          <w:b/>
          <w:sz w:val="21"/>
          <w:szCs w:val="21"/>
          <w:highlight w:val="none"/>
        </w:rPr>
      </w:pPr>
      <w:bookmarkStart w:id="893" w:name="_Toc5109"/>
      <w:r>
        <w:rPr>
          <w:rFonts w:hint="eastAsia" w:ascii="宋体" w:hAnsi="宋体" w:eastAsia="宋体" w:cs="宋体"/>
          <w:b/>
          <w:sz w:val="21"/>
          <w:szCs w:val="21"/>
          <w:highlight w:val="none"/>
        </w:rPr>
        <w:t>二、词语限定</w:t>
      </w:r>
      <w:bookmarkEnd w:id="893"/>
    </w:p>
    <w:p w14:paraId="4944E94A">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协议书中相关词语的含义与通用条件中的定义与解释相同。</w:t>
      </w:r>
    </w:p>
    <w:p w14:paraId="2A115724">
      <w:pPr>
        <w:keepNext w:val="0"/>
        <w:keepLines w:val="0"/>
        <w:pageBreakBefore w:val="0"/>
        <w:widowControl w:val="0"/>
        <w:kinsoku/>
        <w:wordWrap/>
        <w:overflowPunct/>
        <w:topLinePunct w:val="0"/>
        <w:autoSpaceDE/>
        <w:autoSpaceDN/>
        <w:bidi w:val="0"/>
        <w:adjustRightInd/>
        <w:snapToGrid/>
        <w:spacing w:before="95" w:beforeLines="30" w:after="95" w:afterLines="30" w:line="440" w:lineRule="exact"/>
        <w:ind w:left="0" w:leftChars="0" w:firstLine="422" w:firstLineChars="200"/>
        <w:jc w:val="left"/>
        <w:textAlignment w:val="auto"/>
        <w:outlineLvl w:val="0"/>
        <w:rPr>
          <w:rFonts w:hint="eastAsia" w:ascii="宋体" w:hAnsi="宋体" w:eastAsia="宋体" w:cs="宋体"/>
          <w:b/>
          <w:sz w:val="21"/>
          <w:szCs w:val="21"/>
          <w:highlight w:val="none"/>
        </w:rPr>
      </w:pPr>
      <w:bookmarkStart w:id="894" w:name="_Toc22199"/>
      <w:bookmarkStart w:id="895" w:name="_Toc21994"/>
      <w:bookmarkStart w:id="896" w:name="_Toc28974"/>
      <w:r>
        <w:rPr>
          <w:rFonts w:hint="eastAsia" w:ascii="宋体" w:hAnsi="宋体" w:eastAsia="宋体" w:cs="宋体"/>
          <w:b/>
          <w:sz w:val="21"/>
          <w:szCs w:val="21"/>
          <w:highlight w:val="none"/>
        </w:rPr>
        <w:t>三、组成本合同的文件</w:t>
      </w:r>
      <w:bookmarkEnd w:id="894"/>
      <w:bookmarkEnd w:id="895"/>
      <w:bookmarkEnd w:id="896"/>
    </w:p>
    <w:p w14:paraId="435B553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 协议书；</w:t>
      </w:r>
    </w:p>
    <w:p w14:paraId="0515219A">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 中标通知书（适用于招标工程）或委托书（适用于非招标工程）；</w:t>
      </w:r>
    </w:p>
    <w:p w14:paraId="537C0087">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 投标文件（适用于招标工程）或监理与相关服务建议书（适用于非招标工程）；</w:t>
      </w:r>
    </w:p>
    <w:p w14:paraId="388112D9">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 专用条件；</w:t>
      </w:r>
    </w:p>
    <w:p w14:paraId="58FBCA71">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 通用条件；</w:t>
      </w:r>
    </w:p>
    <w:p w14:paraId="54191A3D">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 附录，即：</w:t>
      </w:r>
    </w:p>
    <w:p w14:paraId="2EF18C83">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附录A  相关服务的范围和内容</w:t>
      </w:r>
    </w:p>
    <w:p w14:paraId="36E9D2EF">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附录B  委托人派遣的人员和提供的</w:t>
      </w:r>
      <w:r>
        <w:rPr>
          <w:rFonts w:hint="eastAsia" w:ascii="宋体" w:hAnsi="宋体" w:eastAsia="宋体" w:cs="宋体"/>
          <w:bCs/>
          <w:sz w:val="21"/>
          <w:szCs w:val="21"/>
          <w:highlight w:val="none"/>
        </w:rPr>
        <w:t>房屋、资料</w:t>
      </w:r>
      <w:r>
        <w:rPr>
          <w:rFonts w:hint="eastAsia" w:ascii="宋体" w:hAnsi="宋体" w:eastAsia="宋体" w:cs="宋体"/>
          <w:sz w:val="21"/>
          <w:szCs w:val="21"/>
          <w:highlight w:val="none"/>
        </w:rPr>
        <w:t>、设备</w:t>
      </w:r>
    </w:p>
    <w:p w14:paraId="63E486D9">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本合同签订后，双方依法签订的补充协议也是本合同文件的组成部分。</w:t>
      </w:r>
    </w:p>
    <w:p w14:paraId="1794376D">
      <w:pPr>
        <w:keepNext w:val="0"/>
        <w:keepLines w:val="0"/>
        <w:pageBreakBefore w:val="0"/>
        <w:widowControl w:val="0"/>
        <w:kinsoku/>
        <w:wordWrap/>
        <w:overflowPunct/>
        <w:topLinePunct w:val="0"/>
        <w:autoSpaceDE/>
        <w:autoSpaceDN/>
        <w:bidi w:val="0"/>
        <w:adjustRightInd/>
        <w:snapToGrid/>
        <w:spacing w:before="95" w:beforeLines="30" w:after="95" w:afterLines="30" w:line="440" w:lineRule="exact"/>
        <w:ind w:left="0" w:leftChars="0" w:firstLine="422" w:firstLineChars="200"/>
        <w:jc w:val="left"/>
        <w:textAlignment w:val="auto"/>
        <w:outlineLvl w:val="0"/>
        <w:rPr>
          <w:rFonts w:hint="eastAsia" w:ascii="宋体" w:hAnsi="宋体" w:eastAsia="宋体" w:cs="宋体"/>
          <w:b/>
          <w:sz w:val="21"/>
          <w:szCs w:val="21"/>
          <w:highlight w:val="none"/>
        </w:rPr>
      </w:pPr>
      <w:bookmarkStart w:id="897" w:name="_Toc7338"/>
      <w:bookmarkStart w:id="898" w:name="_Toc16696"/>
      <w:bookmarkStart w:id="899" w:name="_Toc1406"/>
      <w:r>
        <w:rPr>
          <w:rFonts w:hint="eastAsia" w:ascii="宋体" w:hAnsi="宋体" w:eastAsia="宋体" w:cs="宋体"/>
          <w:b/>
          <w:sz w:val="21"/>
          <w:szCs w:val="21"/>
          <w:highlight w:val="none"/>
        </w:rPr>
        <w:t>四、总监理工程师</w:t>
      </w:r>
      <w:bookmarkEnd w:id="897"/>
      <w:bookmarkEnd w:id="898"/>
      <w:bookmarkEnd w:id="899"/>
    </w:p>
    <w:p w14:paraId="4626371F">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总监理工程师姓名：</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，身份证号码：</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，注册号：</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w:t>
      </w:r>
    </w:p>
    <w:p w14:paraId="278FA13E">
      <w:pPr>
        <w:keepNext w:val="0"/>
        <w:keepLines w:val="0"/>
        <w:pageBreakBefore w:val="0"/>
        <w:widowControl w:val="0"/>
        <w:kinsoku/>
        <w:wordWrap/>
        <w:overflowPunct/>
        <w:topLinePunct w:val="0"/>
        <w:autoSpaceDE/>
        <w:autoSpaceDN/>
        <w:bidi w:val="0"/>
        <w:adjustRightInd/>
        <w:snapToGrid/>
        <w:spacing w:before="95" w:beforeLines="30" w:after="95" w:afterLines="30" w:line="440" w:lineRule="exact"/>
        <w:ind w:left="0" w:leftChars="0" w:firstLine="422" w:firstLineChars="200"/>
        <w:jc w:val="left"/>
        <w:textAlignment w:val="auto"/>
        <w:outlineLvl w:val="0"/>
        <w:rPr>
          <w:rFonts w:hint="eastAsia" w:ascii="宋体" w:hAnsi="宋体" w:eastAsia="宋体" w:cs="宋体"/>
          <w:b/>
          <w:sz w:val="21"/>
          <w:szCs w:val="21"/>
          <w:highlight w:val="none"/>
        </w:rPr>
      </w:pPr>
      <w:bookmarkStart w:id="900" w:name="_Toc16314"/>
      <w:bookmarkStart w:id="901" w:name="_Toc12474"/>
      <w:bookmarkStart w:id="902" w:name="_Toc30508"/>
      <w:r>
        <w:rPr>
          <w:rFonts w:hint="eastAsia" w:ascii="宋体" w:hAnsi="宋体" w:eastAsia="宋体" w:cs="宋体"/>
          <w:b/>
          <w:sz w:val="21"/>
          <w:szCs w:val="21"/>
          <w:highlight w:val="none"/>
        </w:rPr>
        <w:t>五、签约酬金</w:t>
      </w:r>
      <w:bookmarkEnd w:id="900"/>
      <w:bookmarkEnd w:id="901"/>
      <w:bookmarkEnd w:id="902"/>
    </w:p>
    <w:p w14:paraId="2A2C41FA">
      <w:pPr>
        <w:adjustRightInd w:val="0"/>
        <w:snapToGrid w:val="0"/>
        <w:spacing w:line="440" w:lineRule="exact"/>
        <w:ind w:firstLine="422" w:firstLineChars="200"/>
        <w:rPr>
          <w:rFonts w:hint="eastAsia" w:ascii="宋体" w:hAnsi="宋体" w:cs="宋体"/>
          <w:szCs w:val="21"/>
          <w:highlight w:val="none"/>
        </w:rPr>
      </w:pPr>
      <w:r>
        <w:rPr>
          <w:rFonts w:hint="eastAsia" w:ascii="宋体" w:hAnsi="宋体" w:cs="宋体"/>
          <w:b/>
          <w:szCs w:val="21"/>
          <w:highlight w:val="none"/>
          <w:lang w:val="en-US" w:eastAsia="zh-CN" w:bidi="ar-SA"/>
        </w:rPr>
        <w:t>监理费率</w:t>
      </w:r>
      <w:r>
        <w:rPr>
          <w:rFonts w:hint="eastAsia" w:ascii="宋体" w:hAnsi="宋体" w:eastAsia="宋体" w:cs="宋体"/>
          <w:b/>
          <w:szCs w:val="21"/>
          <w:highlight w:val="none"/>
          <w:u w:val="single"/>
          <w:lang w:bidi="ar-SA"/>
        </w:rPr>
        <w:t xml:space="preserve">     </w:t>
      </w:r>
      <w:r>
        <w:rPr>
          <w:rFonts w:hint="eastAsia" w:ascii="宋体" w:hAnsi="宋体" w:eastAsia="宋体" w:cs="宋体"/>
          <w:b/>
          <w:szCs w:val="21"/>
          <w:highlight w:val="none"/>
          <w:lang w:val="en-US" w:eastAsia="zh-CN" w:bidi="ar-SA"/>
        </w:rPr>
        <w:t>%</w:t>
      </w:r>
      <w:r>
        <w:rPr>
          <w:rFonts w:hint="eastAsia" w:ascii="宋体" w:hAnsi="宋体" w:eastAsia="宋体" w:cs="宋体"/>
          <w:b/>
          <w:szCs w:val="21"/>
          <w:highlight w:val="none"/>
          <w:lang w:bidi="ar-SA"/>
        </w:rPr>
        <w:t>，</w:t>
      </w:r>
      <w:r>
        <w:rPr>
          <w:rFonts w:hint="eastAsia" w:ascii="宋体" w:hAnsi="宋体" w:cs="宋体"/>
          <w:szCs w:val="21"/>
          <w:highlight w:val="none"/>
        </w:rPr>
        <w:t>签约酬金（大写）：</w:t>
      </w:r>
      <w:r>
        <w:rPr>
          <w:rFonts w:hint="eastAsia" w:ascii="宋体" w:hAnsi="宋体" w:cs="宋体"/>
          <w:szCs w:val="21"/>
          <w:highlight w:val="none"/>
          <w:u w:val="single"/>
        </w:rPr>
        <w:t xml:space="preserve">                            </w:t>
      </w:r>
      <w:r>
        <w:rPr>
          <w:rFonts w:hint="eastAsia" w:ascii="宋体" w:hAnsi="宋体" w:cs="宋体"/>
          <w:szCs w:val="21"/>
          <w:highlight w:val="none"/>
        </w:rPr>
        <w:t>（¥</w:t>
      </w:r>
      <w:r>
        <w:rPr>
          <w:rFonts w:hint="eastAsia" w:ascii="宋体" w:hAnsi="宋体" w:cs="宋体"/>
          <w:szCs w:val="21"/>
          <w:highlight w:val="none"/>
          <w:u w:val="single"/>
        </w:rPr>
        <w:t xml:space="preserve">                  </w:t>
      </w:r>
      <w:r>
        <w:rPr>
          <w:rFonts w:hint="eastAsia" w:ascii="宋体" w:hAnsi="宋体" w:cs="宋体"/>
          <w:szCs w:val="21"/>
          <w:highlight w:val="none"/>
        </w:rPr>
        <w:t>）。</w:t>
      </w:r>
    </w:p>
    <w:p w14:paraId="270C4FC3">
      <w:pPr>
        <w:keepNext w:val="0"/>
        <w:keepLines w:val="0"/>
        <w:pageBreakBefore w:val="0"/>
        <w:widowControl/>
        <w:kinsoku/>
        <w:wordWrap/>
        <w:overflowPunct/>
        <w:topLinePunct w:val="0"/>
        <w:autoSpaceDE/>
        <w:autoSpaceDN/>
        <w:bidi w:val="0"/>
        <w:adjustRightInd w:val="0"/>
        <w:spacing w:line="440" w:lineRule="exact"/>
        <w:ind w:firstLine="422" w:firstLineChars="200"/>
        <w:jc w:val="left"/>
        <w:textAlignment w:val="auto"/>
        <w:rPr>
          <w:rFonts w:hint="eastAsia" w:ascii="宋体" w:hAnsi="宋体" w:eastAsia="宋体" w:cs="宋体"/>
          <w:b/>
          <w:szCs w:val="21"/>
          <w:highlight w:val="none"/>
          <w:lang w:eastAsia="zh-CN" w:bidi="ar-SA"/>
        </w:rPr>
      </w:pPr>
      <w:r>
        <w:rPr>
          <w:rFonts w:hint="eastAsia" w:ascii="宋体" w:hAnsi="宋体" w:cs="宋体"/>
          <w:b/>
          <w:bCs/>
          <w:highlight w:val="none"/>
          <w:lang w:val="en-US" w:eastAsia="zh-CN"/>
        </w:rPr>
        <w:t>合同履行期内各项目监理费用累计至28万元时，完成履约项目后合同终止，正在履约的项目不做费用增加。</w:t>
      </w:r>
      <w:r>
        <w:rPr>
          <w:rFonts w:hint="eastAsia" w:ascii="宋体" w:hAnsi="宋体" w:eastAsia="宋体" w:cs="宋体"/>
          <w:b/>
          <w:bCs/>
          <w:highlight w:val="none"/>
          <w:lang w:val="en-US" w:eastAsia="zh-CN"/>
        </w:rPr>
        <w:t>合同履行期内各项目</w:t>
      </w:r>
      <w:r>
        <w:rPr>
          <w:rFonts w:hint="eastAsia" w:ascii="宋体" w:hAnsi="宋体" w:eastAsia="宋体" w:cs="宋体"/>
          <w:b/>
          <w:szCs w:val="21"/>
          <w:highlight w:val="none"/>
          <w:lang w:bidi="ar-SA"/>
        </w:rPr>
        <w:t>无论任何原因导致的工期延长，委托人均不再增加监理费用</w:t>
      </w:r>
      <w:r>
        <w:rPr>
          <w:rFonts w:hint="eastAsia" w:ascii="宋体" w:hAnsi="宋体" w:cs="宋体"/>
          <w:b/>
          <w:szCs w:val="21"/>
          <w:highlight w:val="none"/>
          <w:lang w:eastAsia="zh-CN" w:bidi="ar-SA"/>
        </w:rPr>
        <w:t>。</w:t>
      </w:r>
    </w:p>
    <w:p w14:paraId="330DB465">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包括：</w:t>
      </w:r>
    </w:p>
    <w:p w14:paraId="1C4267B7">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 监理酬金：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0E77AE15">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 相关服务酬金：</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3C564DCD">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其中：</w:t>
      </w:r>
    </w:p>
    <w:p w14:paraId="67C13188">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（1）勘察阶段服务</w:t>
      </w:r>
      <w:r>
        <w:rPr>
          <w:rFonts w:hint="eastAsia" w:ascii="宋体" w:hAnsi="宋体" w:eastAsia="宋体" w:cs="宋体"/>
          <w:sz w:val="21"/>
          <w:szCs w:val="21"/>
          <w:highlight w:val="none"/>
        </w:rPr>
        <w:t>酬金：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52FBC3EB">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（2）设计阶段服务</w:t>
      </w:r>
      <w:r>
        <w:rPr>
          <w:rFonts w:hint="eastAsia" w:ascii="宋体" w:hAnsi="宋体" w:eastAsia="宋体" w:cs="宋体"/>
          <w:sz w:val="21"/>
          <w:szCs w:val="21"/>
          <w:highlight w:val="none"/>
        </w:rPr>
        <w:t>酬金：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309F0C05">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（3）保修阶段服务</w:t>
      </w:r>
      <w:r>
        <w:rPr>
          <w:rFonts w:hint="eastAsia" w:ascii="宋体" w:hAnsi="宋体" w:eastAsia="宋体" w:cs="宋体"/>
          <w:sz w:val="21"/>
          <w:szCs w:val="21"/>
          <w:highlight w:val="none"/>
        </w:rPr>
        <w:t>酬金：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22828961">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（4）</w:t>
      </w:r>
      <w:r>
        <w:rPr>
          <w:rFonts w:hint="eastAsia" w:ascii="宋体" w:hAnsi="宋体" w:eastAsia="宋体" w:cs="宋体"/>
          <w:sz w:val="21"/>
          <w:szCs w:val="21"/>
          <w:highlight w:val="none"/>
        </w:rPr>
        <w:t>其他相关服务酬金：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4147FA9D">
      <w:pPr>
        <w:keepNext w:val="0"/>
        <w:keepLines w:val="0"/>
        <w:pageBreakBefore w:val="0"/>
        <w:widowControl w:val="0"/>
        <w:kinsoku/>
        <w:wordWrap/>
        <w:overflowPunct/>
        <w:topLinePunct w:val="0"/>
        <w:autoSpaceDE/>
        <w:autoSpaceDN/>
        <w:bidi w:val="0"/>
        <w:adjustRightInd/>
        <w:snapToGrid/>
        <w:spacing w:before="95" w:beforeLines="30" w:after="95" w:afterLines="30" w:line="400" w:lineRule="exact"/>
        <w:ind w:left="0" w:leftChars="0" w:firstLine="422" w:firstLineChars="200"/>
        <w:jc w:val="left"/>
        <w:textAlignment w:val="auto"/>
        <w:outlineLvl w:val="0"/>
        <w:rPr>
          <w:rFonts w:hint="eastAsia" w:ascii="宋体" w:hAnsi="宋体" w:eastAsia="宋体" w:cs="宋体"/>
          <w:b/>
          <w:sz w:val="21"/>
          <w:szCs w:val="21"/>
          <w:highlight w:val="none"/>
        </w:rPr>
      </w:pPr>
      <w:bookmarkStart w:id="903" w:name="_Toc9390"/>
      <w:bookmarkStart w:id="904" w:name="_Toc16163"/>
      <w:bookmarkStart w:id="905" w:name="_Toc19082"/>
      <w:r>
        <w:rPr>
          <w:rFonts w:hint="eastAsia" w:ascii="宋体" w:hAnsi="宋体" w:eastAsia="宋体" w:cs="宋体"/>
          <w:b/>
          <w:sz w:val="21"/>
          <w:szCs w:val="21"/>
          <w:highlight w:val="none"/>
        </w:rPr>
        <w:t>六、期限</w:t>
      </w:r>
      <w:bookmarkEnd w:id="903"/>
      <w:bookmarkEnd w:id="904"/>
      <w:bookmarkEnd w:id="905"/>
    </w:p>
    <w:p w14:paraId="6A90D751">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 xml:space="preserve">1. </w:t>
      </w:r>
      <w:r>
        <w:rPr>
          <w:rFonts w:hint="eastAsia" w:ascii="宋体" w:hAnsi="宋体" w:eastAsia="宋体" w:cs="宋体"/>
          <w:sz w:val="21"/>
          <w:szCs w:val="21"/>
          <w:highlight w:val="none"/>
        </w:rPr>
        <w:t>监理期限：自</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日始，至</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日止</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同施工工期</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w:t>
      </w:r>
    </w:p>
    <w:p w14:paraId="28855AB1">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 xml:space="preserve">2. </w:t>
      </w:r>
      <w:r>
        <w:rPr>
          <w:rFonts w:hint="eastAsia" w:ascii="宋体" w:hAnsi="宋体" w:eastAsia="宋体" w:cs="宋体"/>
          <w:sz w:val="21"/>
          <w:szCs w:val="21"/>
          <w:highlight w:val="none"/>
        </w:rPr>
        <w:t>相关服务期限：</w:t>
      </w:r>
    </w:p>
    <w:p w14:paraId="67F3CB2B">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（1）勘察阶段</w:t>
      </w:r>
      <w:r>
        <w:rPr>
          <w:rFonts w:hint="eastAsia" w:ascii="宋体" w:hAnsi="宋体" w:eastAsia="宋体" w:cs="宋体"/>
          <w:sz w:val="21"/>
          <w:szCs w:val="21"/>
          <w:highlight w:val="none"/>
        </w:rPr>
        <w:t>服务期限自</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日始，至</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日止。</w:t>
      </w:r>
    </w:p>
    <w:p w14:paraId="38B6DD4C">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（2）设计阶段</w:t>
      </w:r>
      <w:r>
        <w:rPr>
          <w:rFonts w:hint="eastAsia" w:ascii="宋体" w:hAnsi="宋体" w:eastAsia="宋体" w:cs="宋体"/>
          <w:sz w:val="21"/>
          <w:szCs w:val="21"/>
          <w:highlight w:val="none"/>
        </w:rPr>
        <w:t>服务期限自</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日始，至</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日止。</w:t>
      </w:r>
    </w:p>
    <w:p w14:paraId="68ACA1E5">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（3）保修阶段</w:t>
      </w:r>
      <w:r>
        <w:rPr>
          <w:rFonts w:hint="eastAsia" w:ascii="宋体" w:hAnsi="宋体" w:eastAsia="宋体" w:cs="宋体"/>
          <w:sz w:val="21"/>
          <w:szCs w:val="21"/>
          <w:highlight w:val="none"/>
        </w:rPr>
        <w:t>服务期限自</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日始，至</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日止。</w:t>
      </w:r>
    </w:p>
    <w:p w14:paraId="5436A419">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（4）</w:t>
      </w:r>
      <w:r>
        <w:rPr>
          <w:rFonts w:hint="eastAsia" w:ascii="宋体" w:hAnsi="宋体" w:eastAsia="宋体" w:cs="宋体"/>
          <w:sz w:val="21"/>
          <w:szCs w:val="21"/>
          <w:highlight w:val="none"/>
        </w:rPr>
        <w:t>其他相关服务期限自</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日始，至</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日止。</w:t>
      </w:r>
    </w:p>
    <w:p w14:paraId="4D482B5F">
      <w:pPr>
        <w:keepNext w:val="0"/>
        <w:keepLines w:val="0"/>
        <w:pageBreakBefore w:val="0"/>
        <w:widowControl w:val="0"/>
        <w:kinsoku/>
        <w:wordWrap/>
        <w:overflowPunct/>
        <w:topLinePunct w:val="0"/>
        <w:autoSpaceDE/>
        <w:autoSpaceDN/>
        <w:bidi w:val="0"/>
        <w:adjustRightInd/>
        <w:snapToGrid/>
        <w:spacing w:before="95" w:beforeLines="30" w:after="95" w:afterLines="30" w:line="400" w:lineRule="exact"/>
        <w:ind w:left="0" w:leftChars="0" w:firstLine="422" w:firstLineChars="200"/>
        <w:jc w:val="left"/>
        <w:textAlignment w:val="auto"/>
        <w:outlineLvl w:val="0"/>
        <w:rPr>
          <w:rFonts w:hint="eastAsia" w:ascii="宋体" w:hAnsi="宋体" w:eastAsia="宋体" w:cs="宋体"/>
          <w:b/>
          <w:sz w:val="21"/>
          <w:szCs w:val="21"/>
          <w:highlight w:val="none"/>
          <w:lang w:val="en-US" w:eastAsia="zh-CN"/>
        </w:rPr>
      </w:pPr>
      <w:bookmarkStart w:id="906" w:name="_Toc12274"/>
      <w:bookmarkStart w:id="907" w:name="_Toc3907"/>
      <w:bookmarkStart w:id="908" w:name="_Toc27015"/>
      <w:r>
        <w:rPr>
          <w:rFonts w:hint="eastAsia" w:ascii="宋体" w:hAnsi="宋体" w:eastAsia="宋体" w:cs="宋体"/>
          <w:b/>
          <w:sz w:val="21"/>
          <w:szCs w:val="21"/>
          <w:highlight w:val="none"/>
        </w:rPr>
        <w:t>七、双方承诺</w:t>
      </w:r>
      <w:bookmarkEnd w:id="906"/>
      <w:bookmarkEnd w:id="907"/>
      <w:bookmarkEnd w:id="908"/>
      <w:r>
        <w:rPr>
          <w:rFonts w:hint="eastAsia" w:ascii="宋体" w:hAnsi="宋体" w:eastAsia="宋体" w:cs="宋体"/>
          <w:b/>
          <w:sz w:val="21"/>
          <w:szCs w:val="21"/>
          <w:highlight w:val="none"/>
          <w:lang w:val="en-US" w:eastAsia="zh-CN"/>
        </w:rPr>
        <w:t xml:space="preserve"> </w:t>
      </w:r>
    </w:p>
    <w:p w14:paraId="6C1B0608">
      <w:pPr>
        <w:keepNext w:val="0"/>
        <w:keepLines w:val="0"/>
        <w:pageBreakBefore w:val="0"/>
        <w:widowControl w:val="0"/>
        <w:kinsoku/>
        <w:wordWrap/>
        <w:overflowPunct/>
        <w:topLinePunct w:val="0"/>
        <w:autoSpaceDE/>
        <w:autoSpaceDN/>
        <w:bidi w:val="0"/>
        <w:spacing w:line="400" w:lineRule="exact"/>
        <w:ind w:left="0" w:leftChars="0" w:firstLine="420" w:firstLineChars="200"/>
        <w:jc w:val="left"/>
        <w:textAlignment w:val="auto"/>
        <w:outlineLvl w:val="0"/>
        <w:rPr>
          <w:rFonts w:hint="eastAsia" w:ascii="宋体" w:hAnsi="宋体" w:eastAsia="宋体" w:cs="宋体"/>
          <w:b/>
          <w:sz w:val="21"/>
          <w:szCs w:val="21"/>
          <w:highlight w:val="none"/>
        </w:rPr>
      </w:pPr>
      <w:bookmarkStart w:id="909" w:name="_Toc25648"/>
      <w:bookmarkStart w:id="910" w:name="_Toc17889"/>
      <w:bookmarkStart w:id="911" w:name="_Toc2209"/>
      <w:r>
        <w:rPr>
          <w:rFonts w:hint="eastAsia" w:ascii="宋体" w:hAnsi="宋体" w:eastAsia="宋体" w:cs="宋体"/>
          <w:sz w:val="21"/>
          <w:szCs w:val="21"/>
          <w:highlight w:val="none"/>
        </w:rPr>
        <w:t>1. 监理人向委托人承诺，按照本合同约定</w:t>
      </w:r>
      <w:r>
        <w:rPr>
          <w:rFonts w:hint="eastAsia" w:ascii="宋体" w:hAnsi="宋体" w:eastAsia="宋体" w:cs="宋体"/>
          <w:kern w:val="0"/>
          <w:sz w:val="21"/>
          <w:szCs w:val="21"/>
          <w:highlight w:val="none"/>
        </w:rPr>
        <w:t>提供</w:t>
      </w:r>
      <w:r>
        <w:rPr>
          <w:rFonts w:hint="eastAsia" w:ascii="宋体" w:hAnsi="宋体" w:eastAsia="宋体" w:cs="宋体"/>
          <w:sz w:val="21"/>
          <w:szCs w:val="21"/>
          <w:highlight w:val="none"/>
        </w:rPr>
        <w:t>监理与相关服务。</w:t>
      </w:r>
      <w:bookmarkEnd w:id="909"/>
      <w:bookmarkEnd w:id="910"/>
      <w:bookmarkEnd w:id="911"/>
    </w:p>
    <w:p w14:paraId="78F55333">
      <w:pPr>
        <w:keepNext w:val="0"/>
        <w:keepLines w:val="0"/>
        <w:pageBreakBefore w:val="0"/>
        <w:widowControl w:val="0"/>
        <w:kinsoku/>
        <w:wordWrap/>
        <w:overflowPunct/>
        <w:topLinePunct w:val="0"/>
        <w:autoSpaceDE/>
        <w:autoSpaceDN/>
        <w:bidi w:val="0"/>
        <w:spacing w:line="400" w:lineRule="exact"/>
        <w:ind w:left="0" w:leftChars="0" w:firstLine="420" w:firstLineChars="200"/>
        <w:jc w:val="left"/>
        <w:textAlignment w:val="auto"/>
        <w:outlineLvl w:val="0"/>
        <w:rPr>
          <w:rFonts w:hint="eastAsia" w:ascii="宋体" w:hAnsi="宋体" w:eastAsia="宋体" w:cs="宋体"/>
          <w:sz w:val="21"/>
          <w:szCs w:val="21"/>
          <w:highlight w:val="none"/>
        </w:rPr>
      </w:pPr>
      <w:bookmarkStart w:id="912" w:name="_Toc14048"/>
      <w:bookmarkStart w:id="913" w:name="_Toc11663"/>
      <w:bookmarkStart w:id="914" w:name="_Toc22188"/>
      <w:r>
        <w:rPr>
          <w:rFonts w:hint="eastAsia" w:ascii="宋体" w:hAnsi="宋体" w:eastAsia="宋体" w:cs="宋体"/>
          <w:sz w:val="21"/>
          <w:szCs w:val="21"/>
          <w:highlight w:val="none"/>
        </w:rPr>
        <w:t>2. 委托人向监理人承诺，按照本合同约定派遣相应的人员，提供</w:t>
      </w:r>
      <w:r>
        <w:rPr>
          <w:rFonts w:hint="eastAsia" w:ascii="宋体" w:hAnsi="宋体" w:eastAsia="宋体" w:cs="宋体"/>
          <w:bCs/>
          <w:sz w:val="21"/>
          <w:szCs w:val="21"/>
          <w:highlight w:val="none"/>
        </w:rPr>
        <w:t>房屋、资料</w:t>
      </w:r>
      <w:r>
        <w:rPr>
          <w:rFonts w:hint="eastAsia" w:ascii="宋体" w:hAnsi="宋体" w:eastAsia="宋体" w:cs="宋体"/>
          <w:sz w:val="21"/>
          <w:szCs w:val="21"/>
          <w:highlight w:val="none"/>
        </w:rPr>
        <w:t>、设备，并按本合同约定支付酬金。</w:t>
      </w:r>
      <w:bookmarkEnd w:id="912"/>
      <w:bookmarkEnd w:id="913"/>
      <w:bookmarkEnd w:id="914"/>
    </w:p>
    <w:p w14:paraId="1F1AAE76">
      <w:pPr>
        <w:keepNext w:val="0"/>
        <w:keepLines w:val="0"/>
        <w:pageBreakBefore w:val="0"/>
        <w:widowControl w:val="0"/>
        <w:kinsoku/>
        <w:wordWrap/>
        <w:overflowPunct/>
        <w:topLinePunct w:val="0"/>
        <w:autoSpaceDE/>
        <w:autoSpaceDN/>
        <w:bidi w:val="0"/>
        <w:adjustRightInd/>
        <w:snapToGrid/>
        <w:spacing w:before="95" w:beforeLines="30" w:after="95" w:afterLines="30" w:line="400" w:lineRule="exact"/>
        <w:ind w:left="0" w:leftChars="0" w:firstLine="422" w:firstLineChars="200"/>
        <w:jc w:val="left"/>
        <w:textAlignment w:val="auto"/>
        <w:outlineLvl w:val="0"/>
        <w:rPr>
          <w:rFonts w:hint="eastAsia" w:ascii="宋体" w:hAnsi="宋体" w:eastAsia="宋体" w:cs="宋体"/>
          <w:b/>
          <w:sz w:val="21"/>
          <w:szCs w:val="21"/>
          <w:highlight w:val="none"/>
        </w:rPr>
      </w:pPr>
      <w:bookmarkStart w:id="915" w:name="_Toc5312"/>
      <w:bookmarkStart w:id="916" w:name="_Toc32139"/>
      <w:bookmarkStart w:id="917" w:name="_Toc10244"/>
      <w:r>
        <w:rPr>
          <w:rFonts w:hint="eastAsia" w:ascii="宋体" w:hAnsi="宋体" w:eastAsia="宋体" w:cs="宋体"/>
          <w:b/>
          <w:sz w:val="21"/>
          <w:szCs w:val="21"/>
          <w:highlight w:val="none"/>
        </w:rPr>
        <w:t>八、合同订立</w:t>
      </w:r>
      <w:bookmarkEnd w:id="915"/>
      <w:bookmarkEnd w:id="916"/>
      <w:bookmarkEnd w:id="917"/>
    </w:p>
    <w:p w14:paraId="40CA12F7">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 订立时间：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14:paraId="696BC2DD">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 订立地点：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32CAAE07">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 本合同一式</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份，具有同等法律效力，双方各执</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份。</w:t>
      </w:r>
    </w:p>
    <w:p w14:paraId="081034EE">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委托人：</w:t>
      </w:r>
      <w:r>
        <w:rPr>
          <w:rFonts w:hint="eastAsia" w:ascii="宋体" w:hAnsi="宋体" w:eastAsia="宋体" w:cs="宋体"/>
          <w:sz w:val="21"/>
          <w:szCs w:val="21"/>
          <w:highlight w:val="none"/>
          <w:u w:val="single"/>
        </w:rPr>
        <w:t xml:space="preserve">   （盖章）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监理人：</w:t>
      </w:r>
      <w:r>
        <w:rPr>
          <w:rFonts w:hint="eastAsia" w:ascii="宋体" w:hAnsi="宋体" w:eastAsia="宋体" w:cs="宋体"/>
          <w:sz w:val="21"/>
          <w:szCs w:val="21"/>
          <w:highlight w:val="none"/>
          <w:u w:val="single"/>
        </w:rPr>
        <w:t xml:space="preserve">   （盖章）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14:paraId="09567AA7">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住所：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住所： </w:t>
      </w:r>
      <w:r>
        <w:rPr>
          <w:rFonts w:hint="eastAsia" w:ascii="宋体" w:hAnsi="宋体" w:eastAsia="宋体" w:cs="宋体"/>
          <w:sz w:val="21"/>
          <w:szCs w:val="21"/>
          <w:highlight w:val="none"/>
          <w:u w:val="single"/>
        </w:rPr>
        <w:t xml:space="preserve">                      </w:t>
      </w:r>
    </w:p>
    <w:p w14:paraId="52C2270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邮政编码：</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邮政编码：</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14:paraId="6B82EE33">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法定代表人或其授权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法定代表人或其授权</w:t>
      </w:r>
    </w:p>
    <w:p w14:paraId="48E0F4EA">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的代理人：</w:t>
      </w:r>
      <w:r>
        <w:rPr>
          <w:rFonts w:hint="eastAsia" w:ascii="宋体" w:hAnsi="宋体" w:eastAsia="宋体" w:cs="宋体"/>
          <w:sz w:val="21"/>
          <w:szCs w:val="21"/>
          <w:highlight w:val="none"/>
          <w:u w:val="single"/>
        </w:rPr>
        <w:t xml:space="preserve">（签字）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 的代理人：</w:t>
      </w:r>
      <w:r>
        <w:rPr>
          <w:rFonts w:hint="eastAsia" w:ascii="宋体" w:hAnsi="宋体" w:eastAsia="宋体" w:cs="宋体"/>
          <w:sz w:val="21"/>
          <w:szCs w:val="21"/>
          <w:highlight w:val="none"/>
          <w:u w:val="single"/>
        </w:rPr>
        <w:t xml:space="preserve">（签字）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14:paraId="0D960696">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开户银行：</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开户银行：</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14:paraId="6D717088">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账号：</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账号：</w:t>
      </w:r>
      <w:r>
        <w:rPr>
          <w:rFonts w:hint="eastAsia" w:ascii="宋体" w:hAnsi="宋体" w:eastAsia="宋体" w:cs="宋体"/>
          <w:sz w:val="21"/>
          <w:szCs w:val="21"/>
          <w:highlight w:val="none"/>
          <w:u w:val="single"/>
        </w:rPr>
        <w:t xml:space="preserve">                       </w:t>
      </w:r>
    </w:p>
    <w:p w14:paraId="051BE3CF">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电话：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电话：</w:t>
      </w:r>
      <w:r>
        <w:rPr>
          <w:rFonts w:hint="eastAsia" w:ascii="宋体" w:hAnsi="宋体" w:eastAsia="宋体" w:cs="宋体"/>
          <w:sz w:val="21"/>
          <w:szCs w:val="21"/>
          <w:highlight w:val="none"/>
          <w:u w:val="single"/>
        </w:rPr>
        <w:t xml:space="preserve">                       </w:t>
      </w:r>
    </w:p>
    <w:p w14:paraId="1A28FFAC">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传真：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传真：</w:t>
      </w:r>
      <w:r>
        <w:rPr>
          <w:rFonts w:hint="eastAsia" w:ascii="宋体" w:hAnsi="宋体" w:eastAsia="宋体" w:cs="宋体"/>
          <w:sz w:val="21"/>
          <w:szCs w:val="21"/>
          <w:highlight w:val="none"/>
          <w:u w:val="single"/>
        </w:rPr>
        <w:t xml:space="preserve">                       </w:t>
      </w:r>
    </w:p>
    <w:p w14:paraId="2855A8A3">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电子邮箱：</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电子邮箱：</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14:paraId="5FB8F150">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jc w:val="center"/>
        <w:textAlignment w:val="auto"/>
        <w:outlineLvl w:val="0"/>
        <w:rPr>
          <w:rFonts w:hint="eastAsia" w:ascii="宋体" w:hAnsi="宋体" w:eastAsia="宋体" w:cs="宋体"/>
          <w:b/>
          <w:bCs/>
          <w:sz w:val="32"/>
          <w:szCs w:val="32"/>
          <w:highlight w:val="none"/>
        </w:rPr>
      </w:pPr>
      <w:bookmarkStart w:id="918" w:name="_Toc29801"/>
      <w:bookmarkStart w:id="919" w:name="_Toc2308"/>
      <w:r>
        <w:rPr>
          <w:rFonts w:hint="eastAsia" w:ascii="宋体" w:hAnsi="宋体" w:eastAsia="宋体" w:cs="宋体"/>
          <w:b/>
          <w:bCs/>
          <w:sz w:val="32"/>
          <w:szCs w:val="32"/>
          <w:highlight w:val="none"/>
        </w:rPr>
        <w:br w:type="page"/>
      </w:r>
      <w:r>
        <w:rPr>
          <w:rFonts w:hint="eastAsia" w:ascii="宋体" w:hAnsi="宋体" w:eastAsia="宋体" w:cs="宋体"/>
          <w:b/>
          <w:bCs/>
          <w:sz w:val="32"/>
          <w:szCs w:val="32"/>
          <w:highlight w:val="none"/>
        </w:rPr>
        <w:t>第二部分  通用条件</w:t>
      </w:r>
      <w:bookmarkEnd w:id="918"/>
      <w:bookmarkEnd w:id="919"/>
    </w:p>
    <w:p w14:paraId="0F852882">
      <w:pPr>
        <w:keepNext w:val="0"/>
        <w:keepLines w:val="0"/>
        <w:pageBreakBefore w:val="0"/>
        <w:widowControl w:val="0"/>
        <w:kinsoku/>
        <w:wordWrap/>
        <w:overflowPunct/>
        <w:topLinePunct w:val="0"/>
        <w:autoSpaceDE/>
        <w:autoSpaceDN/>
        <w:bidi w:val="0"/>
        <w:spacing w:line="440" w:lineRule="exact"/>
        <w:ind w:left="0" w:leftChars="0" w:firstLine="422" w:firstLineChars="200"/>
        <w:jc w:val="left"/>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1. 定义与解释</w:t>
      </w:r>
    </w:p>
    <w:p w14:paraId="4B8A84A2">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 xml:space="preserve">1.1 </w:t>
      </w:r>
      <w:r>
        <w:rPr>
          <w:rFonts w:hint="eastAsia" w:ascii="宋体" w:hAnsi="宋体" w:eastAsia="宋体" w:cs="宋体"/>
          <w:bCs/>
          <w:sz w:val="21"/>
          <w:szCs w:val="21"/>
          <w:highlight w:val="none"/>
        </w:rPr>
        <w:t>定义</w:t>
      </w:r>
    </w:p>
    <w:p w14:paraId="31A7F84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除根据上下文另有其意义外，组成本合同的全部文件中的下列名词和用语应具有本款所赋予的含义：</w:t>
      </w:r>
    </w:p>
    <w:p w14:paraId="7716B711">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1.1.1 “工程”是指按照本合同约定实施监理与相关服务的建设工程。</w:t>
      </w:r>
    </w:p>
    <w:p w14:paraId="40429CB4">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1.1.2 “委托人”是指本合同中委托监理与相关服务的一方，及其合法的继承人或受让人。</w:t>
      </w:r>
    </w:p>
    <w:p w14:paraId="00B68AC8">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1.1.3 “监理人”是指本合同中提供监理与相关服务的一方，及其合法的继承人。</w:t>
      </w:r>
    </w:p>
    <w:p w14:paraId="182266C7">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1.1.4 “承包人”是指在工程范围内与委托人签订勘察、设计、施工等有关合同的当事人，及其合法的继承人。</w:t>
      </w:r>
    </w:p>
    <w:p w14:paraId="5A506913">
      <w:pPr>
        <w:pStyle w:val="24"/>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1130C378">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1.1.6 “相关服务”是指监理人受委托人的委托 ，按照本合同约定，在勘察、设计、保修等阶段提供的服务活动。</w:t>
      </w:r>
    </w:p>
    <w:p w14:paraId="6C03FF2A">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1.1.7 “正常工作”指本合同订立时通用条件和专用条件中约定的监理人的</w:t>
      </w:r>
      <w:r>
        <w:rPr>
          <w:rFonts w:hint="eastAsia" w:ascii="宋体" w:hAnsi="宋体" w:eastAsia="宋体" w:cs="宋体"/>
          <w:color w:val="000000"/>
          <w:sz w:val="21"/>
          <w:szCs w:val="21"/>
          <w:highlight w:val="none"/>
        </w:rPr>
        <w:t>工作</w:t>
      </w:r>
      <w:r>
        <w:rPr>
          <w:rFonts w:hint="eastAsia" w:ascii="宋体" w:hAnsi="宋体" w:eastAsia="宋体" w:cs="宋体"/>
          <w:sz w:val="21"/>
          <w:szCs w:val="21"/>
          <w:highlight w:val="none"/>
        </w:rPr>
        <w:t>。</w:t>
      </w:r>
    </w:p>
    <w:p w14:paraId="08A9D773">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1.1.8 “附加工作”是指本合同约定的正常工作以外监理人的工作。</w:t>
      </w:r>
    </w:p>
    <w:p w14:paraId="24330A03">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1.1.9 “项目监理机构”是指监理人派驻工程负责履行本合同的组织机构。</w:t>
      </w:r>
    </w:p>
    <w:p w14:paraId="03397E38">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1.1.10 “总监理工程师”是指由监理人的法定代表人书面授权，全面负责履行本合同、主持项目监理机构工作的注册监理工程师。</w:t>
      </w:r>
    </w:p>
    <w:p w14:paraId="4E9D1D23">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1.1.11 “酬金”是指监理人履行本合同义务，委托人按照本合同约定给付监理人的金额。</w:t>
      </w:r>
    </w:p>
    <w:p w14:paraId="7AC082ED">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1.1.12 “正常工作</w:t>
      </w:r>
      <w:r>
        <w:rPr>
          <w:rFonts w:hint="eastAsia" w:ascii="宋体" w:hAnsi="宋体" w:eastAsia="宋体" w:cs="宋体"/>
          <w:kern w:val="0"/>
          <w:sz w:val="21"/>
          <w:szCs w:val="21"/>
          <w:highlight w:val="none"/>
        </w:rPr>
        <w:t>酬金”</w:t>
      </w:r>
      <w:r>
        <w:rPr>
          <w:rFonts w:hint="eastAsia" w:ascii="宋体" w:hAnsi="宋体" w:eastAsia="宋体" w:cs="宋体"/>
          <w:sz w:val="21"/>
          <w:szCs w:val="21"/>
          <w:highlight w:val="none"/>
        </w:rPr>
        <w:t>是指监理人完成正常工作，委托人应给付监理人并在协议书中载明的签约</w:t>
      </w:r>
      <w:r>
        <w:rPr>
          <w:rFonts w:hint="eastAsia" w:ascii="宋体" w:hAnsi="宋体" w:eastAsia="宋体" w:cs="宋体"/>
          <w:kern w:val="0"/>
          <w:sz w:val="21"/>
          <w:szCs w:val="21"/>
          <w:highlight w:val="none"/>
        </w:rPr>
        <w:t>酬金额</w:t>
      </w:r>
      <w:r>
        <w:rPr>
          <w:rFonts w:hint="eastAsia" w:ascii="宋体" w:hAnsi="宋体" w:eastAsia="宋体" w:cs="宋体"/>
          <w:sz w:val="21"/>
          <w:szCs w:val="21"/>
          <w:highlight w:val="none"/>
        </w:rPr>
        <w:t>。</w:t>
      </w:r>
    </w:p>
    <w:p w14:paraId="756F34DD">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1.1.13 “附加工作酬金”是指监理人完成附加工作，委托人应给付监理人的金额。</w:t>
      </w:r>
    </w:p>
    <w:p w14:paraId="796AC0C8">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1.1.14 “一方”是指委托人或监理人；“双方”是指委托人和监理人；“第三方”是指除委托人和监理人以外的有关方。</w:t>
      </w:r>
    </w:p>
    <w:p w14:paraId="574B5758">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1.1.15 “书面形式”是指合同书、信件和数据电文（包括电报、电传、传真、电子数据交换和电子邮件）等可以有形地表现所载内容的形式。</w:t>
      </w:r>
    </w:p>
    <w:p w14:paraId="2618DFE5">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1.1.16 “天”是指第一天零时至第二天零时的时间。</w:t>
      </w:r>
    </w:p>
    <w:p w14:paraId="4DEF469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1.1.17“月”是指按公历从一个月中任何一天开始的一个公历月时间。</w:t>
      </w:r>
    </w:p>
    <w:p w14:paraId="510D64F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1.1.18 “不可抗力”是指委托人和监理人在订立本合同时不可预见，在工程施工过程中不可避免发生并不能克服的自然灾害和社会性突发事件，如地震、海啸、瘟疫、水灾、骚乱、暴动、战争和专用条件约定的其他情形。</w:t>
      </w:r>
    </w:p>
    <w:p w14:paraId="6E7C010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bCs/>
          <w:sz w:val="21"/>
          <w:szCs w:val="21"/>
          <w:highlight w:val="none"/>
        </w:rPr>
        <w:t xml:space="preserve">1.2 </w:t>
      </w:r>
      <w:r>
        <w:rPr>
          <w:rFonts w:hint="eastAsia" w:ascii="宋体" w:hAnsi="宋体" w:eastAsia="宋体" w:cs="宋体"/>
          <w:sz w:val="21"/>
          <w:szCs w:val="21"/>
          <w:highlight w:val="none"/>
        </w:rPr>
        <w:t>解释</w:t>
      </w:r>
    </w:p>
    <w:p w14:paraId="6A6FFBFB">
      <w:pPr>
        <w:keepNext w:val="0"/>
        <w:keepLines w:val="0"/>
        <w:pageBreakBefore w:val="0"/>
        <w:widowControl w:val="0"/>
        <w:tabs>
          <w:tab w:val="left" w:pos="6140"/>
        </w:tabs>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1.2.1本合同使用中文书写、解释和说明。如专用条件约定使用两种及以上语言文字时，应以中文为准。</w:t>
      </w:r>
    </w:p>
    <w:p w14:paraId="5D3C415F">
      <w:pPr>
        <w:keepNext w:val="0"/>
        <w:keepLines w:val="0"/>
        <w:pageBreakBefore w:val="0"/>
        <w:widowControl w:val="0"/>
        <w:tabs>
          <w:tab w:val="left" w:pos="6140"/>
        </w:tabs>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1.2.2 组成本合同的下列文件彼此应能相互解释、互为说明。除专用条件另有约定外，本合同文件的解释顺序如下：</w:t>
      </w:r>
    </w:p>
    <w:p w14:paraId="348930A6">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（1）协议书；</w:t>
      </w:r>
    </w:p>
    <w:p w14:paraId="2507AAA9">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（2）中标通知书（适用于招标工程）或委托书（适用于非招标工程）；</w:t>
      </w:r>
    </w:p>
    <w:p w14:paraId="23D26A03">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（3）专用条件及附录A、附录B；</w:t>
      </w:r>
    </w:p>
    <w:p w14:paraId="70DF8945">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（4）通用条件；</w:t>
      </w:r>
    </w:p>
    <w:p w14:paraId="7072AED6">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（5）投标文件（适用于招标工程）或监理与相关服务建议书（适用于非招标工程）。</w:t>
      </w:r>
    </w:p>
    <w:p w14:paraId="303EFEC8">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双方签订的补充协议与其他文件发生矛盾或歧义时，属于同一类内容的文件，应以最新签署的为准。</w:t>
      </w:r>
    </w:p>
    <w:p w14:paraId="21BAD1A5">
      <w:pPr>
        <w:keepNext w:val="0"/>
        <w:keepLines w:val="0"/>
        <w:pageBreakBefore w:val="0"/>
        <w:widowControl w:val="0"/>
        <w:kinsoku/>
        <w:wordWrap/>
        <w:overflowPunct/>
        <w:topLinePunct w:val="0"/>
        <w:autoSpaceDE/>
        <w:autoSpaceDN/>
        <w:bidi w:val="0"/>
        <w:spacing w:line="440" w:lineRule="exact"/>
        <w:ind w:left="0" w:leftChars="0" w:firstLine="422" w:firstLineChars="200"/>
        <w:jc w:val="left"/>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 监理人的义务</w:t>
      </w:r>
    </w:p>
    <w:p w14:paraId="023F4D57">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2.1 监理的范围和工作内容</w:t>
      </w:r>
    </w:p>
    <w:p w14:paraId="5921EB21">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2.1.1 监理范围在专用条件中约定。</w:t>
      </w:r>
    </w:p>
    <w:p w14:paraId="3C8AB833">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2.1.2 除专用条件另有约定外，监理工作内容包括：</w:t>
      </w:r>
    </w:p>
    <w:p w14:paraId="209A1315">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（1）收到工程设计文件后编制监理规划，并在第一次工地会议7天前报委托人。根据有关规定和监理工作需要，编制监理实施细则；</w:t>
      </w:r>
    </w:p>
    <w:p w14:paraId="324130B8">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（2）熟悉工程设计文件，并参加由委托人主持的图纸会审和设计交底会议；</w:t>
      </w:r>
    </w:p>
    <w:p w14:paraId="56AE49E3">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（3）参加由委托人主持的第一次工地会议；主持监理例会并根据工程需要主持或参加专题会议；</w:t>
      </w:r>
    </w:p>
    <w:p w14:paraId="42A4832C">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（4）审查施工承包人提交的施工组织设计，重点审查其中的质量安全技术措施、专项施工方案与工程建设强制性标准的符合性；</w:t>
      </w:r>
    </w:p>
    <w:p w14:paraId="057BC7CC">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（5）检查施工承包人工程质量、安全生产管理制度及组织机构和人员资格； </w:t>
      </w:r>
    </w:p>
    <w:p w14:paraId="03E3A427">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（6）检查施工承包人专职安全生产管理人员的配备情况；</w:t>
      </w:r>
    </w:p>
    <w:p w14:paraId="7959F73E">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（7）审查施工承包人提交的施工进度计划，核查承包人对施工进度计划的调整；</w:t>
      </w:r>
    </w:p>
    <w:p w14:paraId="0950AFDD">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（9）审核施工分包人资质条件；</w:t>
      </w:r>
    </w:p>
    <w:p w14:paraId="5AAD0201">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（10）查验施工承包人的施工测量放线成果；</w:t>
      </w:r>
    </w:p>
    <w:p w14:paraId="2738AA98">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（11）审查工程开工条件，对条件具备的签发开工令；</w:t>
      </w:r>
    </w:p>
    <w:p w14:paraId="79458330">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（12）审查施工承包人报送的工程材料、构配件、设备质量证明文件的有效性和符合性，并按规定对用于工程的材料采取平行检验或见证取样方式进行抽检；</w:t>
      </w:r>
    </w:p>
    <w:p w14:paraId="4B23035A">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（13）审核施工承包人提交的工程款支付申请，签发或出具工程款支付证书，并报委托人审核、批准；</w:t>
      </w:r>
    </w:p>
    <w:p w14:paraId="0427B12B">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（14）在巡视、旁站和检验过程中，发现工程质量、施工安全存在事故隐患的，要求施工承包人整改并报委托人；</w:t>
      </w:r>
    </w:p>
    <w:p w14:paraId="516DA840">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（15）经委托人同意，签发工程暂停令和复工令；</w:t>
      </w:r>
    </w:p>
    <w:p w14:paraId="151954D0">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（16）审查施工承包人提交的采用新材料、新工艺、新技术、新设备的论证材料及相关验收标准；</w:t>
      </w:r>
    </w:p>
    <w:p w14:paraId="0517FC3A">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（17）验收隐蔽工程、分部分项工程；</w:t>
      </w:r>
    </w:p>
    <w:p w14:paraId="4A6E0F6A">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（18）审查施工承包人提交的工程变更申请，协调处理施工进度调整、费用索赔、合同争议等事项；</w:t>
      </w:r>
    </w:p>
    <w:p w14:paraId="7275B2CB">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（19）审查施工承包人提交的竣工验收申请，编写工程质量评估报告；</w:t>
      </w:r>
    </w:p>
    <w:p w14:paraId="317A1690">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（20）参加工程竣工验收，签署竣工验收意见；</w:t>
      </w:r>
    </w:p>
    <w:p w14:paraId="25207E3C">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（21）审查施工承包人提交的竣工结算申请并报委托人；</w:t>
      </w:r>
    </w:p>
    <w:p w14:paraId="6403A4C7">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（22）编制、整理工程监理归档文件并报委托人。</w:t>
      </w:r>
    </w:p>
    <w:p w14:paraId="4DBF6D77">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2.1.3 相关服务的范围和内容在附录A中约定。</w:t>
      </w:r>
    </w:p>
    <w:p w14:paraId="7BF48435">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 xml:space="preserve">2.2 </w:t>
      </w:r>
      <w:r>
        <w:rPr>
          <w:rFonts w:hint="eastAsia" w:ascii="宋体" w:hAnsi="宋体" w:eastAsia="宋体" w:cs="宋体"/>
          <w:bCs/>
          <w:sz w:val="21"/>
          <w:szCs w:val="21"/>
          <w:highlight w:val="none"/>
        </w:rPr>
        <w:t>监理与相关服务依据</w:t>
      </w:r>
    </w:p>
    <w:p w14:paraId="1FE4BBFF">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2.2.1 监理依据包括：</w:t>
      </w:r>
    </w:p>
    <w:p w14:paraId="7CC03BF7">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（1）适用的法律、行政法规及部门规章；</w:t>
      </w:r>
    </w:p>
    <w:p w14:paraId="2FE0FABF">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（2）与工程有关的标准；</w:t>
      </w:r>
    </w:p>
    <w:p w14:paraId="24DA4D2B">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（3）工程设计及有关文件；</w:t>
      </w:r>
    </w:p>
    <w:p w14:paraId="0A815E34">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（4）本合同及委托人与第三方签订的与实施工程有关的其他合同。</w:t>
      </w:r>
    </w:p>
    <w:p w14:paraId="4E8F6D6B">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双方根据工程的行业和地域特点，在专用条件中具体约定监理依据。</w:t>
      </w:r>
    </w:p>
    <w:p w14:paraId="56EDACB9">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2.2.2 相关服务依据在专用条件中约定。</w:t>
      </w:r>
    </w:p>
    <w:p w14:paraId="54B013CE">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 项目监理机构和人员</w:t>
      </w:r>
    </w:p>
    <w:p w14:paraId="6B228FED">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2.3.1 监理人应组建满足工作需要的项目监理机构，配备必要的检测设备。项目监理机构的主要人员应具有相应的资格条件。</w:t>
      </w:r>
    </w:p>
    <w:p w14:paraId="46DD4283">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2.3.2本合同履行过程中，总监理工程师及重要岗位监理人员应保持相对稳定，以保证监理工作正常进行。</w:t>
      </w:r>
    </w:p>
    <w:p w14:paraId="22E9779A">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14:paraId="2A4DE18C">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2.3.4 监理人应及时更换有下列情形之一的监理人员：</w:t>
      </w:r>
    </w:p>
    <w:p w14:paraId="71FF0337">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（1）严重过失行为的；</w:t>
      </w:r>
    </w:p>
    <w:p w14:paraId="54BEFDE1">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（2）有违法行为不能履行职责的；</w:t>
      </w:r>
    </w:p>
    <w:p w14:paraId="73EB7BF8">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（3）涉嫌犯罪的；</w:t>
      </w:r>
    </w:p>
    <w:p w14:paraId="4A38B88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（4）不能胜任岗位职责的；</w:t>
      </w:r>
    </w:p>
    <w:p w14:paraId="20186166">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（5）严重违反职业道德的；</w:t>
      </w:r>
    </w:p>
    <w:p w14:paraId="6D95ACAE">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（6）专用条件约定的其他情形。</w:t>
      </w:r>
    </w:p>
    <w:p w14:paraId="066CEE67">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2.3.5 委托人可要求监理人更换不能胜任本职工作的项目监理机构人员。</w:t>
      </w:r>
    </w:p>
    <w:p w14:paraId="7478EA71">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 履行职责</w:t>
      </w:r>
    </w:p>
    <w:p w14:paraId="7DD1A40B">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监理人应遵循职业道德准则和行为规范，严格按照法律法规、工程建设有关标准及本合同履行职责。</w:t>
      </w:r>
    </w:p>
    <w:p w14:paraId="41B02459">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2.4.1 在监理与相关服务范围内，委托人和承包人提出的意见和要求，监理人应及时提出处置意见。当委托人与承包人之间发生合同争议时，监理人应协助委托人、承包人协商解决。</w:t>
      </w:r>
    </w:p>
    <w:p w14:paraId="4314109B">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2.4.2 当委托人与承包人之间的合同争议提交仲裁机构仲裁或人民法院审理时，监理人应提供必要的证明资料。</w:t>
      </w:r>
    </w:p>
    <w:p w14:paraId="30B5A0D0">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2.4.3 监理人应在专用条件约定的授权范围内，处理委托人与承包人所签订合同的变更事宜。如果变更超过授权范围，应以书面形式报委托人批准。</w:t>
      </w:r>
    </w:p>
    <w:p w14:paraId="79FF28D6">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在紧急情况下，为了保护财产和人身安全，监理人所发出的指令未能事先报委托人批准时，应在发出指令后的24小时内以书面形式报委托人。</w:t>
      </w:r>
    </w:p>
    <w:p w14:paraId="6B8A2DCE">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2.4.4 除专用条件另有约定外，监理人发现承包人的人员不能胜任本职工作的，有权要求承包人予以调换。</w:t>
      </w:r>
    </w:p>
    <w:p w14:paraId="70C9FA19">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2.5 提交报告</w:t>
      </w:r>
    </w:p>
    <w:p w14:paraId="6F5A42F6">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监理人应按专用条件约定的种类、时间和份数向委托人提交监理与相关服务的报告。</w:t>
      </w:r>
    </w:p>
    <w:p w14:paraId="710815B4">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2.6 文件资料</w:t>
      </w:r>
    </w:p>
    <w:p w14:paraId="131CAB22">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在本合同履行期内，监理人应在现场保留工作所用的图纸、报告及记录监理工</w:t>
      </w:r>
      <w:r>
        <w:rPr>
          <w:rFonts w:hint="eastAsia" w:ascii="宋体" w:hAnsi="宋体" w:eastAsia="宋体" w:cs="宋体"/>
          <w:sz w:val="21"/>
          <w:szCs w:val="21"/>
          <w:highlight w:val="none"/>
        </w:rPr>
        <w:t>作的相关文件。工程竣工后，应当按照档案管理规定将监理有关文件归档。</w:t>
      </w:r>
    </w:p>
    <w:p w14:paraId="55C6C04D">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2.7 使用委托人的财产</w:t>
      </w:r>
    </w:p>
    <w:p w14:paraId="2A33A70E">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14:paraId="56D54932">
      <w:pPr>
        <w:keepNext w:val="0"/>
        <w:keepLines w:val="0"/>
        <w:pageBreakBefore w:val="0"/>
        <w:widowControl w:val="0"/>
        <w:kinsoku/>
        <w:wordWrap/>
        <w:overflowPunct/>
        <w:topLinePunct w:val="0"/>
        <w:autoSpaceDE/>
        <w:autoSpaceDN/>
        <w:bidi w:val="0"/>
        <w:spacing w:line="440" w:lineRule="exact"/>
        <w:ind w:left="0" w:leftChars="0" w:firstLine="422" w:firstLineChars="200"/>
        <w:jc w:val="left"/>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3．委托人的义务</w:t>
      </w:r>
    </w:p>
    <w:p w14:paraId="73865265">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3.1 告知</w:t>
      </w:r>
    </w:p>
    <w:p w14:paraId="2B447A83">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委托人应在委托人与承包人签订的合同中明确监理人、总监理工程师和授予项目监理机构的权限。如有变更，应及时通知承包人。</w:t>
      </w:r>
    </w:p>
    <w:p w14:paraId="04C95584">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3.2 提供资料</w:t>
      </w:r>
    </w:p>
    <w:p w14:paraId="3B0A40E7">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委托人应按照附录B约定，</w:t>
      </w:r>
      <w:r>
        <w:rPr>
          <w:rFonts w:hint="eastAsia" w:ascii="宋体" w:hAnsi="宋体" w:eastAsia="宋体" w:cs="宋体"/>
          <w:color w:val="000000"/>
          <w:kern w:val="0"/>
          <w:sz w:val="21"/>
          <w:szCs w:val="21"/>
          <w:highlight w:val="none"/>
        </w:rPr>
        <w:t>无偿</w:t>
      </w:r>
      <w:r>
        <w:rPr>
          <w:rFonts w:hint="eastAsia" w:ascii="宋体" w:hAnsi="宋体" w:eastAsia="宋体" w:cs="宋体"/>
          <w:kern w:val="0"/>
          <w:sz w:val="21"/>
          <w:szCs w:val="21"/>
          <w:highlight w:val="none"/>
        </w:rPr>
        <w:t>向监理人提供工程有关的资料。</w:t>
      </w:r>
      <w:r>
        <w:rPr>
          <w:rFonts w:hint="eastAsia" w:ascii="宋体" w:hAnsi="宋体" w:eastAsia="宋体" w:cs="宋体"/>
          <w:sz w:val="21"/>
          <w:szCs w:val="21"/>
          <w:highlight w:val="none"/>
        </w:rPr>
        <w:t>在本合同履行过程中，委托人应及时向监理人提供最新的与工程有关的资料。</w:t>
      </w:r>
    </w:p>
    <w:p w14:paraId="79F3D8BB">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3.3 提供工作条件</w:t>
      </w:r>
    </w:p>
    <w:p w14:paraId="75658B5D">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委托人应为监理人完成监理与相关服务提供必要的条件。</w:t>
      </w:r>
    </w:p>
    <w:p w14:paraId="34C23B39">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 xml:space="preserve">3.3.1 </w:t>
      </w:r>
      <w:r>
        <w:rPr>
          <w:rFonts w:hint="eastAsia" w:ascii="宋体" w:hAnsi="宋体" w:eastAsia="宋体" w:cs="宋体"/>
          <w:sz w:val="21"/>
          <w:szCs w:val="21"/>
          <w:highlight w:val="none"/>
        </w:rPr>
        <w:t>委托人应按照附录B约定，派遣相应的人员，提供房屋、设备，供监理人</w:t>
      </w:r>
      <w:r>
        <w:rPr>
          <w:rFonts w:hint="eastAsia" w:ascii="宋体" w:hAnsi="宋体" w:eastAsia="宋体" w:cs="宋体"/>
          <w:kern w:val="0"/>
          <w:sz w:val="21"/>
          <w:szCs w:val="21"/>
          <w:highlight w:val="none"/>
        </w:rPr>
        <w:t>无偿</w:t>
      </w:r>
      <w:r>
        <w:rPr>
          <w:rFonts w:hint="eastAsia" w:ascii="宋体" w:hAnsi="宋体" w:eastAsia="宋体" w:cs="宋体"/>
          <w:sz w:val="21"/>
          <w:szCs w:val="21"/>
          <w:highlight w:val="none"/>
        </w:rPr>
        <w:t>使用。</w:t>
      </w:r>
    </w:p>
    <w:p w14:paraId="2FBE42BA">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 xml:space="preserve">3.3.2 </w:t>
      </w:r>
      <w:r>
        <w:rPr>
          <w:rFonts w:hint="eastAsia" w:ascii="宋体" w:hAnsi="宋体" w:eastAsia="宋体" w:cs="宋体"/>
          <w:sz w:val="21"/>
          <w:szCs w:val="21"/>
          <w:highlight w:val="none"/>
        </w:rPr>
        <w:t>委托人应负责协调工程建设中所有外部关系，为监理人履行本合同提供必要的外部条件。</w:t>
      </w:r>
    </w:p>
    <w:p w14:paraId="5B6C66B6">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3.4 委托人代表</w:t>
      </w:r>
    </w:p>
    <w:p w14:paraId="566811D5">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委托人应授权一名熟悉工程情况的代表，负责与监理人联系。委托人应在双方签订本合同后7天内，将委托人代表的姓名和职责书面告知监理人。当委托人更换委托人代表时，应提前7天通知监理人。</w:t>
      </w:r>
    </w:p>
    <w:p w14:paraId="3EC72818">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3.5 委托人意见或要求</w:t>
      </w:r>
    </w:p>
    <w:p w14:paraId="25051BFE">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在本合同约定的监理与相关服务工作范围内，委托人对承包人的任何意见或要求应通知监理人，由监理人向承包人发出相应指令。</w:t>
      </w:r>
    </w:p>
    <w:p w14:paraId="1430E2D0">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3.6 答复</w:t>
      </w:r>
    </w:p>
    <w:p w14:paraId="082A7ADF">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委托人应在专用条件约定的时间内，对监理人以书面形式提交并要求作出决定的事宜，给予书面答复。逾期未答复的，视为委托人认可。</w:t>
      </w:r>
    </w:p>
    <w:p w14:paraId="7432DE7D">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3.7 支付</w:t>
      </w:r>
    </w:p>
    <w:p w14:paraId="7D66AC23">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委托人应按本合同约定，向监理人支付酬金。</w:t>
      </w:r>
    </w:p>
    <w:p w14:paraId="430B5FDA">
      <w:pPr>
        <w:keepNext w:val="0"/>
        <w:keepLines w:val="0"/>
        <w:pageBreakBefore w:val="0"/>
        <w:widowControl w:val="0"/>
        <w:kinsoku/>
        <w:wordWrap/>
        <w:overflowPunct/>
        <w:topLinePunct w:val="0"/>
        <w:autoSpaceDE/>
        <w:autoSpaceDN/>
        <w:bidi w:val="0"/>
        <w:snapToGrid w:val="0"/>
        <w:spacing w:line="440" w:lineRule="exact"/>
        <w:ind w:left="0" w:leftChars="0" w:firstLine="422" w:firstLineChars="200"/>
        <w:jc w:val="left"/>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4. 违约责任</w:t>
      </w:r>
    </w:p>
    <w:p w14:paraId="5FE14C54">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4.1 监理人的违约责任</w:t>
      </w:r>
    </w:p>
    <w:p w14:paraId="6A731219">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监理人未履行本合同义务的，应承担相应的责任。</w:t>
      </w:r>
    </w:p>
    <w:p w14:paraId="7D992C6E">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4.1.1 因监理人违反本合同约定</w:t>
      </w:r>
      <w:r>
        <w:rPr>
          <w:rFonts w:hint="eastAsia" w:ascii="宋体" w:hAnsi="宋体" w:eastAsia="宋体" w:cs="宋体"/>
          <w:sz w:val="21"/>
          <w:szCs w:val="21"/>
          <w:highlight w:val="none"/>
        </w:rPr>
        <w:t>给委托人造成损失的，监理人应当赔偿委托人损失</w:t>
      </w:r>
      <w:r>
        <w:rPr>
          <w:rFonts w:hint="eastAsia" w:ascii="宋体" w:hAnsi="宋体" w:eastAsia="宋体" w:cs="宋体"/>
          <w:kern w:val="0"/>
          <w:sz w:val="21"/>
          <w:szCs w:val="21"/>
          <w:highlight w:val="none"/>
        </w:rPr>
        <w:t>。赔偿金额的确定方法在专用条件中约定。监理人承担部分赔偿责任的，其承担赔偿金额由双方协商确定。</w:t>
      </w:r>
    </w:p>
    <w:p w14:paraId="3907E550">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4.1.2 监理人向委托人的索赔不成立时，监理人应赔偿委托人由此发生的费用。</w:t>
      </w:r>
    </w:p>
    <w:p w14:paraId="627274C5">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4.2 委托人的违约责任</w:t>
      </w:r>
    </w:p>
    <w:p w14:paraId="4F89AC7C">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委托人未履行本合同义务的，应承担相应的责任。</w:t>
      </w:r>
    </w:p>
    <w:p w14:paraId="577C5CE1">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4.2.1 委托人违反本合同约定造成监理人损失的，委托人应予以赔偿。</w:t>
      </w:r>
    </w:p>
    <w:p w14:paraId="37526E90">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4.2.2 委托人向监理人的索赔不成立时，应赔偿监理人由此引起的费用。</w:t>
      </w:r>
    </w:p>
    <w:p w14:paraId="464132F0">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sz w:val="21"/>
          <w:szCs w:val="21"/>
          <w:highlight w:val="none"/>
        </w:rPr>
        <w:t xml:space="preserve">4.2.3 </w:t>
      </w:r>
      <w:r>
        <w:rPr>
          <w:rFonts w:hint="eastAsia" w:ascii="宋体" w:hAnsi="宋体" w:eastAsia="宋体" w:cs="宋体"/>
          <w:kern w:val="0"/>
          <w:sz w:val="21"/>
          <w:szCs w:val="21"/>
          <w:highlight w:val="none"/>
        </w:rPr>
        <w:t>委托人未能按期支付</w:t>
      </w:r>
      <w:r>
        <w:rPr>
          <w:rFonts w:hint="eastAsia" w:ascii="宋体" w:hAnsi="宋体" w:eastAsia="宋体" w:cs="宋体"/>
          <w:sz w:val="21"/>
          <w:szCs w:val="21"/>
          <w:highlight w:val="none"/>
        </w:rPr>
        <w:t>酬金</w:t>
      </w:r>
      <w:r>
        <w:rPr>
          <w:rFonts w:hint="eastAsia" w:ascii="宋体" w:hAnsi="宋体" w:eastAsia="宋体" w:cs="宋体"/>
          <w:kern w:val="0"/>
          <w:sz w:val="21"/>
          <w:szCs w:val="21"/>
          <w:highlight w:val="none"/>
        </w:rPr>
        <w:t>超过28天，应按专用条件约定支付逾期付款利息。</w:t>
      </w:r>
    </w:p>
    <w:p w14:paraId="5A5157C9">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4.3 除外责任</w:t>
      </w:r>
    </w:p>
    <w:p w14:paraId="66548964">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因非监理人的原因，且监理人无过错，发生工程质量事故、安全事故、工期延误等造成的损失，监理人不承担赔偿责任。</w:t>
      </w:r>
    </w:p>
    <w:p w14:paraId="0296FC94">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因不可抗力导致本合同全部或部分不能履行时，双方各自承担其因此而造成的损失、损害。</w:t>
      </w:r>
    </w:p>
    <w:p w14:paraId="48E7E99D">
      <w:pPr>
        <w:keepNext w:val="0"/>
        <w:keepLines w:val="0"/>
        <w:pageBreakBefore w:val="0"/>
        <w:widowControl w:val="0"/>
        <w:kinsoku/>
        <w:wordWrap/>
        <w:overflowPunct/>
        <w:topLinePunct w:val="0"/>
        <w:autoSpaceDE/>
        <w:autoSpaceDN/>
        <w:bidi w:val="0"/>
        <w:snapToGrid w:val="0"/>
        <w:spacing w:line="440" w:lineRule="exact"/>
        <w:ind w:left="0" w:leftChars="0" w:firstLine="422" w:firstLineChars="200"/>
        <w:jc w:val="left"/>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5. 支付</w:t>
      </w:r>
    </w:p>
    <w:p w14:paraId="4DDBB903">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 xml:space="preserve">5.1 </w:t>
      </w:r>
      <w:r>
        <w:rPr>
          <w:rFonts w:hint="eastAsia" w:ascii="宋体" w:hAnsi="宋体" w:eastAsia="宋体" w:cs="宋体"/>
          <w:bCs/>
          <w:sz w:val="21"/>
          <w:szCs w:val="21"/>
          <w:highlight w:val="none"/>
        </w:rPr>
        <w:t>支付货币</w:t>
      </w:r>
    </w:p>
    <w:p w14:paraId="4C9F5D24">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除专用条件另有约定外，酬金均以人民币支付。涉及外币支付的，所采用的货币种类、比例和汇率在专用条件中约定。</w:t>
      </w:r>
    </w:p>
    <w:p w14:paraId="02B01BBF">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5.2 支付申请</w:t>
      </w:r>
    </w:p>
    <w:p w14:paraId="7D7A510F">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监理人应在本合同约定的每次应付款时间的7天前，向委托人提交支付申请书。支付申请书应当说明当期应付款总额，并列出当期应支付的款项及其金额。</w:t>
      </w:r>
    </w:p>
    <w:p w14:paraId="5ADE20FD">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5.3 支付酬金</w:t>
      </w:r>
    </w:p>
    <w:p w14:paraId="6A7EE696">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支付的酬金包括正常工作酬金、附加工作酬金、合理化建议奖励金额及费用。</w:t>
      </w:r>
    </w:p>
    <w:p w14:paraId="16AE5067">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 xml:space="preserve">5.4 </w:t>
      </w:r>
      <w:r>
        <w:rPr>
          <w:rFonts w:hint="eastAsia" w:ascii="宋体" w:hAnsi="宋体" w:eastAsia="宋体" w:cs="宋体"/>
          <w:bCs/>
          <w:sz w:val="21"/>
          <w:szCs w:val="21"/>
          <w:highlight w:val="none"/>
        </w:rPr>
        <w:t>有争议部分的付款</w:t>
      </w:r>
    </w:p>
    <w:p w14:paraId="3714BA33">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委托人对监理人提交的支付申请书有异议时，应当在收到监理人提交的支付申请书后7天内，以书面形式向监理人发出异议通知。无异议部分的款项应按期支付，有异议部分的款项按第7条约定办理。</w:t>
      </w:r>
    </w:p>
    <w:p w14:paraId="78EE9A33">
      <w:pPr>
        <w:keepNext w:val="0"/>
        <w:keepLines w:val="0"/>
        <w:pageBreakBefore w:val="0"/>
        <w:widowControl w:val="0"/>
        <w:kinsoku/>
        <w:wordWrap/>
        <w:overflowPunct/>
        <w:topLinePunct w:val="0"/>
        <w:autoSpaceDE/>
        <w:autoSpaceDN/>
        <w:bidi w:val="0"/>
        <w:snapToGrid w:val="0"/>
        <w:spacing w:line="440" w:lineRule="exact"/>
        <w:ind w:left="0" w:leftChars="0" w:firstLine="422" w:firstLineChars="200"/>
        <w:jc w:val="left"/>
        <w:textAlignment w:val="auto"/>
        <w:rPr>
          <w:rFonts w:hint="eastAsia" w:ascii="宋体" w:hAnsi="宋体" w:eastAsia="宋体" w:cs="宋体"/>
          <w:b/>
          <w:bCs/>
          <w:color w:val="FF0000"/>
          <w:sz w:val="21"/>
          <w:szCs w:val="21"/>
          <w:highlight w:val="none"/>
        </w:rPr>
      </w:pPr>
      <w:r>
        <w:rPr>
          <w:rFonts w:hint="eastAsia" w:ascii="宋体" w:hAnsi="宋体" w:eastAsia="宋体" w:cs="宋体"/>
          <w:b/>
          <w:bCs/>
          <w:sz w:val="21"/>
          <w:szCs w:val="21"/>
          <w:highlight w:val="none"/>
        </w:rPr>
        <w:t>6. 合同生效、变更、暂停、解除与终止</w:t>
      </w:r>
    </w:p>
    <w:p w14:paraId="78876D92">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6.1生效</w:t>
      </w:r>
    </w:p>
    <w:p w14:paraId="16567E21">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除法律另有规定或者专用条件另有约定外，委托人和监理人的法定代表人或其授权代理人在协议书上签字并盖单位章后本合同生效。</w:t>
      </w:r>
    </w:p>
    <w:p w14:paraId="5682F26A">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6.2</w:t>
      </w:r>
      <w:r>
        <w:rPr>
          <w:rFonts w:hint="eastAsia" w:ascii="宋体" w:hAnsi="宋体" w:eastAsia="宋体" w:cs="宋体"/>
          <w:bCs/>
          <w:sz w:val="21"/>
          <w:szCs w:val="21"/>
          <w:highlight w:val="none"/>
        </w:rPr>
        <w:t>变更</w:t>
      </w:r>
    </w:p>
    <w:p w14:paraId="4C20C47B">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6.2.1 任何一方提出变更请求时，双方经协商一致后可进行变更。</w:t>
      </w:r>
    </w:p>
    <w:p w14:paraId="540E6DDE">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14:paraId="5F0BED93">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14:paraId="0BED4D67">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6.2.4合同签订后，遇有与工程相关的法律法规、标准颁布或修订的，双方应遵照执行。由此引起监理与相关服务的范围、时间、酬金变化的，双方应通过协商进行相应调整。</w:t>
      </w:r>
    </w:p>
    <w:p w14:paraId="1EC6B63D">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6.2.5 因非监理人原因造成工程概算投资额或建筑安装工程费增加时，正常工作酬金应作相应调整。调整方法在专用条件中约定。</w:t>
      </w:r>
    </w:p>
    <w:p w14:paraId="3508A909">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6.2.6 因工程规模、监理范围的变化导致监理人的正常工作量减少时，正常工作酬金应作相应调整。调整方法在专用条件中约定。</w:t>
      </w:r>
    </w:p>
    <w:p w14:paraId="21764690">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6.3 暂停与</w:t>
      </w:r>
      <w:r>
        <w:rPr>
          <w:rFonts w:hint="eastAsia" w:ascii="宋体" w:hAnsi="宋体" w:eastAsia="宋体" w:cs="宋体"/>
          <w:bCs/>
          <w:sz w:val="21"/>
          <w:szCs w:val="21"/>
          <w:highlight w:val="none"/>
        </w:rPr>
        <w:t>解除</w:t>
      </w:r>
    </w:p>
    <w:p w14:paraId="268C6053">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除双方协商一致可以解除本合同外，当一方无正当理由未履行本合同约定的义务时，另一方可以根据本合同约定暂停履行本合同直至解除本合同。</w:t>
      </w:r>
    </w:p>
    <w:p w14:paraId="414837C9">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14:paraId="2A2BF694">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因解除本合同或解除监理人的部分义务导致监理人遭受的损失，除依法可以免除责任的情况外，应由委托人予以补偿，补偿金额由双方协商确定。</w:t>
      </w:r>
    </w:p>
    <w:p w14:paraId="73F42C7C">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解除本合同的协议必须采取书面形式，协议未达成之前，本合同仍然有效。</w:t>
      </w:r>
    </w:p>
    <w:p w14:paraId="58AD6FD5">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14:paraId="3C22A65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暂停部分监理与相关服务时间超过182天，监理人可发出解除本合同约定的该部分义务的通知；暂停全部工作时间超过182天，监理人可发出解除本合同的通知，本合同自通知到达委托人时解除。委托人应将监理与相关服务</w:t>
      </w:r>
      <w:r>
        <w:rPr>
          <w:rFonts w:hint="eastAsia" w:ascii="宋体" w:hAnsi="宋体" w:eastAsia="宋体" w:cs="宋体"/>
          <w:kern w:val="0"/>
          <w:sz w:val="21"/>
          <w:szCs w:val="21"/>
          <w:highlight w:val="none"/>
        </w:rPr>
        <w:t>的</w:t>
      </w:r>
      <w:r>
        <w:rPr>
          <w:rFonts w:hint="eastAsia" w:ascii="宋体" w:hAnsi="宋体" w:eastAsia="宋体" w:cs="宋体"/>
          <w:sz w:val="21"/>
          <w:szCs w:val="21"/>
          <w:highlight w:val="none"/>
        </w:rPr>
        <w:t>酬金支付至本合同解除日，且应承担第4.2款约定的责任。</w:t>
      </w:r>
    </w:p>
    <w:p w14:paraId="6BBA1348">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w:t>
      </w:r>
      <w:r>
        <w:rPr>
          <w:rFonts w:hint="eastAsia" w:ascii="宋体" w:hAnsi="宋体" w:eastAsia="宋体" w:cs="宋体"/>
          <w:kern w:val="0"/>
          <w:sz w:val="21"/>
          <w:szCs w:val="21"/>
          <w:highlight w:val="none"/>
        </w:rPr>
        <w:t>的</w:t>
      </w:r>
      <w:r>
        <w:rPr>
          <w:rFonts w:hint="eastAsia" w:ascii="宋体" w:hAnsi="宋体" w:eastAsia="宋体" w:cs="宋体"/>
          <w:sz w:val="21"/>
          <w:szCs w:val="21"/>
          <w:highlight w:val="none"/>
        </w:rPr>
        <w:t>酬金支付至</w:t>
      </w:r>
      <w:r>
        <w:rPr>
          <w:rFonts w:hint="eastAsia" w:ascii="宋体" w:hAnsi="宋体" w:eastAsia="宋体" w:cs="宋体"/>
          <w:kern w:val="0"/>
          <w:sz w:val="21"/>
          <w:szCs w:val="21"/>
          <w:highlight w:val="none"/>
        </w:rPr>
        <w:t>限期改正通知到达监理人之日</w:t>
      </w:r>
      <w:r>
        <w:rPr>
          <w:rFonts w:hint="eastAsia" w:ascii="宋体" w:hAnsi="宋体" w:eastAsia="宋体" w:cs="宋体"/>
          <w:sz w:val="21"/>
          <w:szCs w:val="21"/>
          <w:highlight w:val="none"/>
        </w:rPr>
        <w:t>，但监理人应承担第4.1款约定的责任。</w:t>
      </w:r>
    </w:p>
    <w:p w14:paraId="06371765">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14:paraId="1109520C">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sz w:val="21"/>
          <w:szCs w:val="21"/>
          <w:highlight w:val="none"/>
        </w:rPr>
        <w:t>6.3.5 因不可抗力致使本合同部分或全部不能履行时，一方应立即通知另一方，可暂停或解除本合同。</w:t>
      </w:r>
    </w:p>
    <w:p w14:paraId="0F101499">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6.3.6 本合同解除后，本合同约定的有关结算、清理、争议解决方式的条件仍然有效。</w:t>
      </w:r>
    </w:p>
    <w:p w14:paraId="27A97831">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 xml:space="preserve">6.4 </w:t>
      </w:r>
      <w:r>
        <w:rPr>
          <w:rFonts w:hint="eastAsia" w:ascii="宋体" w:hAnsi="宋体" w:eastAsia="宋体" w:cs="宋体"/>
          <w:bCs/>
          <w:sz w:val="21"/>
          <w:szCs w:val="21"/>
          <w:highlight w:val="none"/>
        </w:rPr>
        <w:t>终止</w:t>
      </w:r>
    </w:p>
    <w:p w14:paraId="64E56216">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以下条件全部满足时，本合同即告终止：</w:t>
      </w:r>
    </w:p>
    <w:p w14:paraId="285E1CF9">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（1）监理人完成本合同约定的全部工作；</w:t>
      </w:r>
    </w:p>
    <w:p w14:paraId="0969A288">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（2）委托人与监理人结清并支付全部酬金。</w:t>
      </w:r>
    </w:p>
    <w:p w14:paraId="31298AAC">
      <w:pPr>
        <w:keepNext w:val="0"/>
        <w:keepLines w:val="0"/>
        <w:pageBreakBefore w:val="0"/>
        <w:widowControl w:val="0"/>
        <w:kinsoku/>
        <w:wordWrap/>
        <w:overflowPunct/>
        <w:topLinePunct w:val="0"/>
        <w:autoSpaceDE/>
        <w:autoSpaceDN/>
        <w:bidi w:val="0"/>
        <w:snapToGrid w:val="0"/>
        <w:spacing w:line="420" w:lineRule="exact"/>
        <w:ind w:left="0" w:leftChars="0" w:firstLine="422" w:firstLineChars="200"/>
        <w:jc w:val="left"/>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7. 争议解决</w:t>
      </w:r>
    </w:p>
    <w:p w14:paraId="41845E07">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7.1</w:t>
      </w:r>
      <w:r>
        <w:rPr>
          <w:rFonts w:hint="eastAsia" w:ascii="宋体" w:hAnsi="宋体" w:eastAsia="宋体" w:cs="宋体"/>
          <w:bCs/>
          <w:sz w:val="21"/>
          <w:szCs w:val="21"/>
          <w:highlight w:val="none"/>
        </w:rPr>
        <w:t>协商</w:t>
      </w:r>
    </w:p>
    <w:p w14:paraId="3C36CD4C">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双方应本着诚信原则协商解决彼此间的争议。</w:t>
      </w:r>
    </w:p>
    <w:p w14:paraId="0407D7DE">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7.2</w:t>
      </w:r>
      <w:r>
        <w:rPr>
          <w:rFonts w:hint="eastAsia" w:ascii="宋体" w:hAnsi="宋体" w:eastAsia="宋体" w:cs="宋体"/>
          <w:bCs/>
          <w:sz w:val="21"/>
          <w:szCs w:val="21"/>
          <w:highlight w:val="none"/>
        </w:rPr>
        <w:t>调解</w:t>
      </w:r>
    </w:p>
    <w:p w14:paraId="4DDEDB1F">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如果双方不能在14天内或双方商定的其他时间内解决本合同争议，可以将其提交给专用条件约定的或事后达成协议的调解人进行调解。</w:t>
      </w:r>
    </w:p>
    <w:p w14:paraId="58E4E3DE">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7.3</w:t>
      </w:r>
      <w:r>
        <w:rPr>
          <w:rFonts w:hint="eastAsia" w:ascii="宋体" w:hAnsi="宋体" w:eastAsia="宋体" w:cs="宋体"/>
          <w:bCs/>
          <w:sz w:val="21"/>
          <w:szCs w:val="21"/>
          <w:highlight w:val="none"/>
        </w:rPr>
        <w:t>仲裁或诉讼</w:t>
      </w:r>
    </w:p>
    <w:p w14:paraId="6719CEE4">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双方均有权不经调解直接向专用条件约定的仲裁机构申请仲裁或向有管辖权的人民法院提起诉讼。</w:t>
      </w:r>
    </w:p>
    <w:p w14:paraId="6622AA19">
      <w:pPr>
        <w:keepNext w:val="0"/>
        <w:keepLines w:val="0"/>
        <w:pageBreakBefore w:val="0"/>
        <w:widowControl w:val="0"/>
        <w:kinsoku/>
        <w:wordWrap/>
        <w:overflowPunct/>
        <w:topLinePunct w:val="0"/>
        <w:autoSpaceDE/>
        <w:autoSpaceDN/>
        <w:bidi w:val="0"/>
        <w:snapToGrid w:val="0"/>
        <w:spacing w:line="420" w:lineRule="exact"/>
        <w:ind w:left="0" w:leftChars="0" w:firstLine="422" w:firstLineChars="200"/>
        <w:jc w:val="left"/>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8. 其他</w:t>
      </w:r>
    </w:p>
    <w:p w14:paraId="1660B2D6">
      <w:pPr>
        <w:keepNext w:val="0"/>
        <w:keepLines w:val="0"/>
        <w:pageBreakBefore w:val="0"/>
        <w:widowControl w:val="0"/>
        <w:kinsoku/>
        <w:wordWrap/>
        <w:overflowPunct/>
        <w:topLinePunct w:val="0"/>
        <w:autoSpaceDE/>
        <w:autoSpaceDN/>
        <w:bidi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 xml:space="preserve">8.1 </w:t>
      </w:r>
      <w:r>
        <w:rPr>
          <w:rFonts w:hint="eastAsia" w:ascii="宋体" w:hAnsi="宋体" w:eastAsia="宋体" w:cs="宋体"/>
          <w:bCs/>
          <w:sz w:val="21"/>
          <w:szCs w:val="21"/>
          <w:highlight w:val="none"/>
        </w:rPr>
        <w:t>外出考察费用</w:t>
      </w:r>
    </w:p>
    <w:p w14:paraId="2FAA35E0">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经委托人同意，监理人员外出考察发生的费用由委托人审核后支付。</w:t>
      </w:r>
    </w:p>
    <w:p w14:paraId="2FFE6BE4">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 xml:space="preserve">8.2 </w:t>
      </w:r>
      <w:r>
        <w:rPr>
          <w:rFonts w:hint="eastAsia" w:ascii="宋体" w:hAnsi="宋体" w:eastAsia="宋体" w:cs="宋体"/>
          <w:bCs/>
          <w:sz w:val="21"/>
          <w:szCs w:val="21"/>
          <w:highlight w:val="none"/>
        </w:rPr>
        <w:t>检测费用</w:t>
      </w:r>
    </w:p>
    <w:p w14:paraId="1EA88895">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委托人要求监理人进行的材料和设备检测所发生的费用，由委托人支付，支付时间在专用条件中约定。</w:t>
      </w:r>
    </w:p>
    <w:p w14:paraId="06DF0997">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 xml:space="preserve">8.3 </w:t>
      </w:r>
      <w:r>
        <w:rPr>
          <w:rFonts w:hint="eastAsia" w:ascii="宋体" w:hAnsi="宋体" w:eastAsia="宋体" w:cs="宋体"/>
          <w:bCs/>
          <w:sz w:val="21"/>
          <w:szCs w:val="21"/>
          <w:highlight w:val="none"/>
        </w:rPr>
        <w:t>咨询费用</w:t>
      </w:r>
    </w:p>
    <w:p w14:paraId="562EE113">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经委托人同意，根据工程需要由监理人组织的相关咨询论证会以及聘请相关专家等发生的费用由委托人支付，支付时间在专用条件中约定。</w:t>
      </w:r>
    </w:p>
    <w:p w14:paraId="6B2EC3E0">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 xml:space="preserve">8.4 </w:t>
      </w:r>
      <w:r>
        <w:rPr>
          <w:rFonts w:hint="eastAsia" w:ascii="宋体" w:hAnsi="宋体" w:eastAsia="宋体" w:cs="宋体"/>
          <w:bCs/>
          <w:sz w:val="21"/>
          <w:szCs w:val="21"/>
          <w:highlight w:val="none"/>
        </w:rPr>
        <w:t>奖励</w:t>
      </w:r>
    </w:p>
    <w:p w14:paraId="5AAE7ACB">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监理人在服务过程中提出的合理化建议，使委托人获得经济效益的，双方在专用条件中约定奖励金额的确定方法。奖励金额在合理化建议被采纳后，与最近一期的正常工作酬金同期支付。</w:t>
      </w:r>
    </w:p>
    <w:p w14:paraId="23BAE234">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 xml:space="preserve">8.5 </w:t>
      </w:r>
      <w:r>
        <w:rPr>
          <w:rFonts w:hint="eastAsia" w:ascii="宋体" w:hAnsi="宋体" w:eastAsia="宋体" w:cs="宋体"/>
          <w:bCs/>
          <w:sz w:val="21"/>
          <w:szCs w:val="21"/>
          <w:highlight w:val="none"/>
        </w:rPr>
        <w:t>守法诚信</w:t>
      </w:r>
    </w:p>
    <w:p w14:paraId="6069C6FB">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监理人及其工作人员不得从与实施工程有关的第三方处获得任何经济利益。</w:t>
      </w:r>
    </w:p>
    <w:p w14:paraId="473EC0B3">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 xml:space="preserve">8.6 </w:t>
      </w:r>
      <w:r>
        <w:rPr>
          <w:rFonts w:hint="eastAsia" w:ascii="宋体" w:hAnsi="宋体" w:eastAsia="宋体" w:cs="宋体"/>
          <w:bCs/>
          <w:sz w:val="21"/>
          <w:szCs w:val="21"/>
          <w:highlight w:val="none"/>
        </w:rPr>
        <w:t>保密</w:t>
      </w:r>
    </w:p>
    <w:p w14:paraId="04E3220C">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双方不得泄露对方申明的保密资料，亦不得泄露与实施工程有关的第三方所提供的保密资料，保密事项在专用条件中约定。</w:t>
      </w:r>
    </w:p>
    <w:p w14:paraId="26CCFFC4">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 xml:space="preserve">8.7 </w:t>
      </w:r>
      <w:r>
        <w:rPr>
          <w:rFonts w:hint="eastAsia" w:ascii="宋体" w:hAnsi="宋体" w:eastAsia="宋体" w:cs="宋体"/>
          <w:bCs/>
          <w:sz w:val="21"/>
          <w:szCs w:val="21"/>
          <w:highlight w:val="none"/>
        </w:rPr>
        <w:t>通知</w:t>
      </w:r>
    </w:p>
    <w:p w14:paraId="7EBF6291">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本合同涉及的通知均应当采用书面形式，并在送达对方时生效，收件人应书面签收。</w:t>
      </w:r>
    </w:p>
    <w:p w14:paraId="5133EEB7">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 xml:space="preserve">8.8 </w:t>
      </w:r>
      <w:r>
        <w:rPr>
          <w:rFonts w:hint="eastAsia" w:ascii="宋体" w:hAnsi="宋体" w:eastAsia="宋体" w:cs="宋体"/>
          <w:bCs/>
          <w:sz w:val="21"/>
          <w:szCs w:val="21"/>
          <w:highlight w:val="none"/>
        </w:rPr>
        <w:t>著作权</w:t>
      </w:r>
    </w:p>
    <w:p w14:paraId="4C98D917">
      <w:pPr>
        <w:keepNext w:val="0"/>
        <w:keepLines w:val="0"/>
        <w:pageBreakBefore w:val="0"/>
        <w:widowControl w:val="0"/>
        <w:kinsoku/>
        <w:wordWrap/>
        <w:overflowPunct/>
        <w:topLinePunct w:val="0"/>
        <w:autoSpaceDE/>
        <w:autoSpaceDN/>
        <w:bidi w:val="0"/>
        <w:adjustRightInd w:val="0"/>
        <w:snapToGrid w:val="0"/>
        <w:spacing w:line="42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监理人对其编制的文件拥有著作权。</w:t>
      </w:r>
    </w:p>
    <w:p w14:paraId="52F1EF5D">
      <w:pPr>
        <w:keepNext w:val="0"/>
        <w:keepLines w:val="0"/>
        <w:pageBreakBefore w:val="0"/>
        <w:widowControl w:val="0"/>
        <w:kinsoku/>
        <w:wordWrap/>
        <w:overflowPunct/>
        <w:topLinePunct w:val="0"/>
        <w:autoSpaceDE/>
        <w:autoSpaceDN/>
        <w:bidi w:val="0"/>
        <w:snapToGrid w:val="0"/>
        <w:spacing w:line="420" w:lineRule="exact"/>
        <w:ind w:left="0" w:leftChars="0" w:firstLine="420" w:firstLineChars="200"/>
        <w:jc w:val="left"/>
        <w:textAlignment w:val="auto"/>
        <w:rPr>
          <w:rFonts w:hint="eastAsia" w:ascii="宋体" w:hAnsi="宋体" w:eastAsia="宋体" w:cs="宋体"/>
          <w:b/>
          <w:bCs/>
          <w:sz w:val="32"/>
          <w:szCs w:val="32"/>
          <w:highlight w:val="none"/>
        </w:rPr>
      </w:pPr>
      <w:r>
        <w:rPr>
          <w:rFonts w:hint="eastAsia" w:ascii="宋体" w:hAnsi="宋体" w:eastAsia="宋体" w:cs="宋体"/>
          <w:sz w:val="21"/>
          <w:szCs w:val="21"/>
          <w:highlight w:val="none"/>
        </w:rPr>
        <w:t>监理人可单独或与他人联合出版有关监理与相关服务的资料。除专用条件另有约定外，如果监理人在本合同履行期间及本合同终止后两年内出版涉及本工程的有关监理与相关服务的资料，应当征得委托人的同意。</w:t>
      </w:r>
      <w:bookmarkStart w:id="920" w:name="_Toc4139"/>
    </w:p>
    <w:p w14:paraId="7BA8C793">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jc w:val="center"/>
        <w:textAlignment w:val="auto"/>
        <w:outlineLvl w:val="0"/>
        <w:rPr>
          <w:rFonts w:hint="eastAsia" w:ascii="宋体" w:hAnsi="宋体" w:eastAsia="宋体" w:cs="宋体"/>
          <w:b/>
          <w:bCs/>
          <w:sz w:val="32"/>
          <w:szCs w:val="32"/>
          <w:highlight w:val="none"/>
        </w:rPr>
      </w:pPr>
      <w:bookmarkStart w:id="921" w:name="_Toc14492"/>
      <w:r>
        <w:rPr>
          <w:rFonts w:hint="eastAsia" w:ascii="宋体" w:hAnsi="宋体" w:eastAsia="宋体" w:cs="宋体"/>
          <w:b/>
          <w:bCs/>
          <w:sz w:val="32"/>
          <w:szCs w:val="32"/>
          <w:highlight w:val="none"/>
        </w:rPr>
        <w:t>第三部分  专用条件</w:t>
      </w:r>
      <w:bookmarkEnd w:id="920"/>
      <w:bookmarkEnd w:id="921"/>
    </w:p>
    <w:p w14:paraId="139F3329">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2" w:firstLineChars="200"/>
        <w:jc w:val="left"/>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1. 定义与解释</w:t>
      </w:r>
    </w:p>
    <w:p w14:paraId="12C58F7A">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  解释</w:t>
      </w:r>
    </w:p>
    <w:p w14:paraId="5747D3AE">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1.2.1 本合同文件除使用中文外，还可用</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4ADDB000">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1.2.2 约定本合同文件的解释顺序为：</w:t>
      </w:r>
      <w:r>
        <w:rPr>
          <w:rFonts w:hint="eastAsia" w:ascii="宋体" w:hAnsi="宋体" w:eastAsia="宋体" w:cs="宋体"/>
          <w:sz w:val="21"/>
          <w:szCs w:val="21"/>
          <w:highlight w:val="none"/>
          <w:u w:val="single"/>
        </w:rPr>
        <w:t>（1）协议书；（2）中标通知书（适用于招标工程）或委托书（适用于非招标工程）；</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u w:val="single"/>
          <w:lang w:val="en-US" w:eastAsia="zh-CN"/>
        </w:rPr>
        <w:t>3</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u w:val="single"/>
          <w:lang w:eastAsia="zh-CN"/>
        </w:rPr>
        <w:t>招标文件</w:t>
      </w:r>
      <w:r>
        <w:rPr>
          <w:rFonts w:hint="eastAsia" w:ascii="宋体" w:hAnsi="宋体" w:eastAsia="宋体" w:cs="宋体"/>
          <w:color w:val="auto"/>
          <w:szCs w:val="21"/>
          <w:highlight w:val="none"/>
          <w:u w:val="single"/>
        </w:rPr>
        <w:t>；</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lang w:val="en-US" w:eastAsia="zh-CN"/>
        </w:rPr>
        <w:t>4</w:t>
      </w:r>
      <w:r>
        <w:rPr>
          <w:rFonts w:hint="eastAsia" w:ascii="宋体" w:hAnsi="宋体" w:eastAsia="宋体" w:cs="宋体"/>
          <w:sz w:val="21"/>
          <w:szCs w:val="21"/>
          <w:highlight w:val="none"/>
          <w:u w:val="single"/>
        </w:rPr>
        <w:t>）专用条件及附录A、附录B；（</w:t>
      </w:r>
      <w:r>
        <w:rPr>
          <w:rFonts w:hint="eastAsia" w:ascii="宋体" w:hAnsi="宋体" w:eastAsia="宋体" w:cs="宋体"/>
          <w:sz w:val="21"/>
          <w:szCs w:val="21"/>
          <w:highlight w:val="none"/>
          <w:u w:val="single"/>
          <w:lang w:val="en-US" w:eastAsia="zh-CN"/>
        </w:rPr>
        <w:t>5</w:t>
      </w:r>
      <w:r>
        <w:rPr>
          <w:rFonts w:hint="eastAsia" w:ascii="宋体" w:hAnsi="宋体" w:eastAsia="宋体" w:cs="宋体"/>
          <w:sz w:val="21"/>
          <w:szCs w:val="21"/>
          <w:highlight w:val="none"/>
          <w:u w:val="single"/>
        </w:rPr>
        <w:t>）通用条件；（</w:t>
      </w:r>
      <w:r>
        <w:rPr>
          <w:rFonts w:hint="eastAsia" w:ascii="宋体" w:hAnsi="宋体" w:eastAsia="宋体" w:cs="宋体"/>
          <w:sz w:val="21"/>
          <w:szCs w:val="21"/>
          <w:highlight w:val="none"/>
          <w:u w:val="single"/>
          <w:lang w:val="en-US" w:eastAsia="zh-CN"/>
        </w:rPr>
        <w:t>6</w:t>
      </w:r>
      <w:r>
        <w:rPr>
          <w:rFonts w:hint="eastAsia" w:ascii="宋体" w:hAnsi="宋体" w:eastAsia="宋体" w:cs="宋体"/>
          <w:sz w:val="21"/>
          <w:szCs w:val="21"/>
          <w:highlight w:val="none"/>
          <w:u w:val="single"/>
        </w:rPr>
        <w:t>）投标文件（适用于招标工程）或监理与相关服务建议书（适用于非招标工程）。</w:t>
      </w:r>
    </w:p>
    <w:p w14:paraId="1D736233">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双方签订的补充协议与其他文件发生矛盾或歧义时，属于同一类内容的文件，应以最新签署的为准。</w:t>
      </w:r>
    </w:p>
    <w:p w14:paraId="3274E688">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2" w:firstLineChars="200"/>
        <w:jc w:val="left"/>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 监理人义务</w:t>
      </w:r>
    </w:p>
    <w:p w14:paraId="43F9C9E4">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2.1 监理的范围和</w:t>
      </w:r>
      <w:r>
        <w:rPr>
          <w:rFonts w:hint="eastAsia" w:ascii="宋体" w:hAnsi="宋体" w:eastAsia="宋体" w:cs="宋体"/>
          <w:bCs/>
          <w:sz w:val="21"/>
          <w:szCs w:val="21"/>
          <w:highlight w:val="none"/>
        </w:rPr>
        <w:t>内容</w:t>
      </w:r>
    </w:p>
    <w:p w14:paraId="1378152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cs="宋体"/>
          <w:sz w:val="21"/>
          <w:szCs w:val="21"/>
          <w:highlight w:val="none"/>
          <w:u w:val="single"/>
          <w:lang w:val="en-US" w:eastAsia="zh-CN"/>
        </w:rPr>
      </w:pPr>
      <w:r>
        <w:rPr>
          <w:rFonts w:hint="eastAsia" w:ascii="宋体" w:hAnsi="宋体" w:eastAsia="宋体" w:cs="宋体"/>
          <w:sz w:val="21"/>
          <w:szCs w:val="21"/>
          <w:highlight w:val="none"/>
        </w:rPr>
        <w:t>2.1.1 监理范围包括但不限于：</w:t>
      </w:r>
      <w:r>
        <w:rPr>
          <w:rFonts w:hint="eastAsia" w:ascii="宋体" w:hAnsi="宋体" w:eastAsia="宋体" w:cs="宋体"/>
          <w:sz w:val="21"/>
          <w:szCs w:val="21"/>
          <w:highlight w:val="none"/>
          <w:u w:val="single"/>
        </w:rPr>
        <w:t xml:space="preserve"> 本工程的施工准备阶段，协助招标人开展上述前期工作，接受招标人安排履行项目各项前期手续、施工阶段的质量、安全、造价控制及工期的全过程、竣工结算阶段、保修阶段（缺陷责任期）的监理服务以及国家法律法规规定的其他监理服务。</w:t>
      </w:r>
      <w:r>
        <w:rPr>
          <w:rFonts w:hint="eastAsia" w:ascii="宋体" w:hAnsi="宋体" w:cs="宋体"/>
          <w:sz w:val="21"/>
          <w:szCs w:val="21"/>
          <w:highlight w:val="none"/>
          <w:u w:val="single"/>
          <w:lang w:val="en-US" w:eastAsia="zh-CN"/>
        </w:rPr>
        <w:t xml:space="preserve"> </w:t>
      </w:r>
    </w:p>
    <w:p w14:paraId="19A9DB81">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sz w:val="21"/>
          <w:szCs w:val="21"/>
          <w:highlight w:val="none"/>
        </w:rPr>
        <w:t>2.1.2 监理工作内容还包括：</w:t>
      </w:r>
      <w:r>
        <w:rPr>
          <w:rFonts w:hint="eastAsia" w:ascii="宋体" w:hAnsi="宋体" w:eastAsia="宋体" w:cs="宋体"/>
          <w:color w:val="auto"/>
          <w:sz w:val="21"/>
          <w:szCs w:val="21"/>
          <w:highlight w:val="none"/>
          <w:u w:val="single"/>
        </w:rPr>
        <w:t>（1）收到工程设计文件后编制监理规划，并在第一次工地会议7天前报委托人。根据有关规定和监理工作需要，编制监理实施细则；（2）熟悉工程设计文件，并参加由委托人主持的图纸会审和设计交底会议；（3）参加由委托人主持的第一次工地会议；主持监理例会并根据工程需要主持或参加专题会议；（4）审查施工承包人提交的施工组织设计，重点审查其中的质量安全技术措施、专项施工方案与工程建设强制性标准的符合性；（5）检查施工承包人工程质量、安全生产管理制度及组织机构和人员资格； （6）检查施工承包人专职安全生产管理人员的配备情况；（7）审查施工承包人提交的施工进度计划，核查承包人对施工进度计划的调整；（</w:t>
      </w:r>
      <w:r>
        <w:rPr>
          <w:rFonts w:hint="eastAsia" w:ascii="宋体" w:hAnsi="宋体" w:cs="宋体"/>
          <w:color w:val="auto"/>
          <w:sz w:val="21"/>
          <w:szCs w:val="21"/>
          <w:highlight w:val="none"/>
          <w:u w:val="single"/>
          <w:lang w:val="en-US" w:eastAsia="zh-CN"/>
        </w:rPr>
        <w:t>8</w:t>
      </w:r>
      <w:r>
        <w:rPr>
          <w:rFonts w:hint="eastAsia" w:ascii="宋体" w:hAnsi="宋体" w:eastAsia="宋体" w:cs="宋体"/>
          <w:color w:val="auto"/>
          <w:sz w:val="21"/>
          <w:szCs w:val="21"/>
          <w:highlight w:val="none"/>
          <w:u w:val="single"/>
        </w:rPr>
        <w:t>）审核施工分包人资质条件；（</w:t>
      </w:r>
      <w:r>
        <w:rPr>
          <w:rFonts w:hint="eastAsia" w:ascii="宋体" w:hAnsi="宋体" w:cs="宋体"/>
          <w:color w:val="auto"/>
          <w:sz w:val="21"/>
          <w:szCs w:val="21"/>
          <w:highlight w:val="none"/>
          <w:u w:val="single"/>
          <w:lang w:val="en-US" w:eastAsia="zh-CN"/>
        </w:rPr>
        <w:t>9</w:t>
      </w:r>
      <w:r>
        <w:rPr>
          <w:rFonts w:hint="eastAsia" w:ascii="宋体" w:hAnsi="宋体" w:eastAsia="宋体" w:cs="宋体"/>
          <w:color w:val="auto"/>
          <w:sz w:val="21"/>
          <w:szCs w:val="21"/>
          <w:highlight w:val="none"/>
          <w:u w:val="single"/>
        </w:rPr>
        <w:t>）查验施工承包人的施工测量放线成果；（1</w:t>
      </w:r>
      <w:r>
        <w:rPr>
          <w:rFonts w:hint="eastAsia" w:ascii="宋体" w:hAnsi="宋体" w:cs="宋体"/>
          <w:color w:val="auto"/>
          <w:sz w:val="21"/>
          <w:szCs w:val="21"/>
          <w:highlight w:val="none"/>
          <w:u w:val="single"/>
          <w:lang w:val="en-US" w:eastAsia="zh-CN"/>
        </w:rPr>
        <w:t>0</w:t>
      </w:r>
      <w:r>
        <w:rPr>
          <w:rFonts w:hint="eastAsia" w:ascii="宋体" w:hAnsi="宋体" w:eastAsia="宋体" w:cs="宋体"/>
          <w:color w:val="auto"/>
          <w:sz w:val="21"/>
          <w:szCs w:val="21"/>
          <w:highlight w:val="none"/>
          <w:u w:val="single"/>
        </w:rPr>
        <w:t>）审查工程开工条件，对条件具备的签发开工令；（</w:t>
      </w:r>
      <w:r>
        <w:rPr>
          <w:rFonts w:hint="eastAsia" w:ascii="宋体" w:hAnsi="宋体" w:cs="宋体"/>
          <w:color w:val="auto"/>
          <w:sz w:val="21"/>
          <w:szCs w:val="21"/>
          <w:highlight w:val="none"/>
          <w:u w:val="single"/>
          <w:lang w:val="en-US" w:eastAsia="zh-CN"/>
        </w:rPr>
        <w:t>11</w:t>
      </w:r>
      <w:r>
        <w:rPr>
          <w:rFonts w:hint="eastAsia" w:ascii="宋体" w:hAnsi="宋体" w:eastAsia="宋体" w:cs="宋体"/>
          <w:color w:val="auto"/>
          <w:sz w:val="21"/>
          <w:szCs w:val="21"/>
          <w:highlight w:val="none"/>
          <w:u w:val="single"/>
        </w:rPr>
        <w:t>）审查施工承包人报送的工程材料、构配件、设备质量证明文件的有效性和符合性，并按规定对用于工程的材料采取平行检验或见证取样方式进行抽检；（1</w:t>
      </w:r>
      <w:r>
        <w:rPr>
          <w:rFonts w:hint="eastAsia" w:ascii="宋体" w:hAnsi="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rPr>
        <w:t>）审核施工承包人提交的工程款支付申请，签发或出具工程款支付证书，并报委托人审核、批准；（1</w:t>
      </w:r>
      <w:r>
        <w:rPr>
          <w:rFonts w:hint="eastAsia" w:ascii="宋体" w:hAnsi="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）在巡视、旁站和检验过程中，发现工程质量、施工安全存在事故隐患的，要求施工承包人整改并报委托人；（1</w:t>
      </w:r>
      <w:r>
        <w:rPr>
          <w:rFonts w:hint="eastAsia" w:ascii="宋体" w:hAnsi="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rPr>
        <w:t>）经委托人同意，签发工程暂停令和复工令；（1</w:t>
      </w:r>
      <w:r>
        <w:rPr>
          <w:rFonts w:hint="eastAsia" w:ascii="宋体" w:hAnsi="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rPr>
        <w:t>）审查施工承包人提交的采用新材料、新工艺、新技术、新设备的论证材料及相关验收标准；（1</w:t>
      </w:r>
      <w:r>
        <w:rPr>
          <w:rFonts w:hint="eastAsia" w:ascii="宋体" w:hAnsi="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rPr>
        <w:t>）验收隐蔽工程、分部分项工程；（</w:t>
      </w:r>
      <w:r>
        <w:rPr>
          <w:rFonts w:hint="eastAsia" w:ascii="宋体" w:hAnsi="宋体" w:cs="宋体"/>
          <w:color w:val="auto"/>
          <w:sz w:val="21"/>
          <w:szCs w:val="21"/>
          <w:highlight w:val="none"/>
          <w:u w:val="single"/>
          <w:lang w:val="en-US" w:eastAsia="zh-CN"/>
        </w:rPr>
        <w:t>17</w:t>
      </w:r>
      <w:r>
        <w:rPr>
          <w:rFonts w:hint="eastAsia" w:ascii="宋体" w:hAnsi="宋体" w:eastAsia="宋体" w:cs="宋体"/>
          <w:color w:val="auto"/>
          <w:sz w:val="21"/>
          <w:szCs w:val="21"/>
          <w:highlight w:val="none"/>
          <w:u w:val="single"/>
        </w:rPr>
        <w:t>）审查施工承包人提交的工程变更申请，协调处理施工进度调整、费用索赔、合同争议等事项；（1</w:t>
      </w:r>
      <w:r>
        <w:rPr>
          <w:rFonts w:hint="eastAsia" w:ascii="宋体" w:hAnsi="宋体" w:cs="宋体"/>
          <w:color w:val="auto"/>
          <w:sz w:val="21"/>
          <w:szCs w:val="21"/>
          <w:highlight w:val="none"/>
          <w:u w:val="single"/>
          <w:lang w:val="en-US" w:eastAsia="zh-CN"/>
        </w:rPr>
        <w:t>8</w:t>
      </w:r>
      <w:r>
        <w:rPr>
          <w:rFonts w:hint="eastAsia" w:ascii="宋体" w:hAnsi="宋体" w:eastAsia="宋体" w:cs="宋体"/>
          <w:color w:val="auto"/>
          <w:sz w:val="21"/>
          <w:szCs w:val="21"/>
          <w:highlight w:val="none"/>
          <w:u w:val="single"/>
        </w:rPr>
        <w:t>）审查施工承包人提交的竣工验收申请，编写工程质量评估报告；（</w:t>
      </w:r>
      <w:r>
        <w:rPr>
          <w:rFonts w:hint="eastAsia" w:ascii="宋体" w:hAnsi="宋体" w:cs="宋体"/>
          <w:color w:val="auto"/>
          <w:sz w:val="21"/>
          <w:szCs w:val="21"/>
          <w:highlight w:val="none"/>
          <w:u w:val="single"/>
          <w:lang w:val="en-US" w:eastAsia="zh-CN"/>
        </w:rPr>
        <w:t>19</w:t>
      </w:r>
      <w:r>
        <w:rPr>
          <w:rFonts w:hint="eastAsia" w:ascii="宋体" w:hAnsi="宋体" w:eastAsia="宋体" w:cs="宋体"/>
          <w:color w:val="auto"/>
          <w:sz w:val="21"/>
          <w:szCs w:val="21"/>
          <w:highlight w:val="none"/>
          <w:u w:val="single"/>
        </w:rPr>
        <w:t>）参加工程竣工验收，签署竣工验收意见；（</w:t>
      </w:r>
      <w:r>
        <w:rPr>
          <w:rFonts w:hint="eastAsia" w:ascii="宋体" w:hAnsi="宋体" w:cs="宋体"/>
          <w:color w:val="auto"/>
          <w:sz w:val="21"/>
          <w:szCs w:val="21"/>
          <w:highlight w:val="none"/>
          <w:u w:val="single"/>
          <w:lang w:val="en-US" w:eastAsia="zh-CN"/>
        </w:rPr>
        <w:t>20</w:t>
      </w:r>
      <w:r>
        <w:rPr>
          <w:rFonts w:hint="eastAsia" w:ascii="宋体" w:hAnsi="宋体" w:eastAsia="宋体" w:cs="宋体"/>
          <w:color w:val="auto"/>
          <w:sz w:val="21"/>
          <w:szCs w:val="21"/>
          <w:highlight w:val="none"/>
          <w:u w:val="single"/>
        </w:rPr>
        <w:t>）审查施工承包人提交的竣工结算申请并报委托人；（</w:t>
      </w:r>
      <w:r>
        <w:rPr>
          <w:rFonts w:hint="eastAsia" w:ascii="宋体" w:hAnsi="宋体" w:cs="宋体"/>
          <w:color w:val="auto"/>
          <w:sz w:val="21"/>
          <w:szCs w:val="21"/>
          <w:highlight w:val="none"/>
          <w:u w:val="single"/>
          <w:lang w:val="en-US" w:eastAsia="zh-CN"/>
        </w:rPr>
        <w:t>21</w:t>
      </w:r>
      <w:r>
        <w:rPr>
          <w:rFonts w:hint="eastAsia" w:ascii="宋体" w:hAnsi="宋体" w:eastAsia="宋体" w:cs="宋体"/>
          <w:color w:val="auto"/>
          <w:sz w:val="21"/>
          <w:szCs w:val="21"/>
          <w:highlight w:val="none"/>
          <w:u w:val="single"/>
        </w:rPr>
        <w:t>）编制、整理工程监理归档文件并报委托人。</w:t>
      </w:r>
    </w:p>
    <w:p w14:paraId="67E2F839">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2.2 监理与相关服务依据</w:t>
      </w:r>
    </w:p>
    <w:p w14:paraId="7A9BB9F1">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sz w:val="21"/>
          <w:szCs w:val="21"/>
          <w:highlight w:val="none"/>
        </w:rPr>
        <w:t>2.2.1 监理依据包括：</w:t>
      </w:r>
      <w:r>
        <w:rPr>
          <w:rFonts w:hint="eastAsia" w:ascii="宋体" w:hAnsi="宋体" w:eastAsia="宋体" w:cs="宋体"/>
          <w:color w:val="auto"/>
          <w:sz w:val="21"/>
          <w:szCs w:val="21"/>
          <w:highlight w:val="none"/>
          <w:u w:val="single"/>
        </w:rPr>
        <w:t>（1）适用的法律、行政法规及部门规章；（2）与工程有关的标准；（3）工程设计及有关文件；（4）本合同及委托人与第三方签订的与实施工程有关的其他合同。</w:t>
      </w:r>
    </w:p>
    <w:p w14:paraId="76203809">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dstrike/>
          <w:sz w:val="21"/>
          <w:szCs w:val="21"/>
          <w:highlight w:val="none"/>
        </w:rPr>
      </w:pPr>
      <w:r>
        <w:rPr>
          <w:rFonts w:hint="eastAsia" w:ascii="宋体" w:hAnsi="宋体" w:eastAsia="宋体" w:cs="宋体"/>
          <w:sz w:val="21"/>
          <w:szCs w:val="21"/>
          <w:highlight w:val="none"/>
        </w:rPr>
        <w:t>2.2.2 相关服务依据包括：</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7AC5616A">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sz w:val="21"/>
          <w:szCs w:val="21"/>
          <w:highlight w:val="none"/>
        </w:rPr>
        <w:t>2.3</w:t>
      </w:r>
      <w:r>
        <w:rPr>
          <w:rFonts w:hint="eastAsia" w:ascii="宋体" w:hAnsi="宋体" w:eastAsia="宋体" w:cs="宋体"/>
          <w:kern w:val="0"/>
          <w:sz w:val="21"/>
          <w:szCs w:val="21"/>
          <w:highlight w:val="none"/>
        </w:rPr>
        <w:t>项目监理机构和人员</w:t>
      </w:r>
    </w:p>
    <w:p w14:paraId="56C6D29A">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2.3.4 </w:t>
      </w:r>
      <w:r>
        <w:rPr>
          <w:rFonts w:hint="eastAsia" w:ascii="宋体" w:hAnsi="宋体" w:eastAsia="宋体" w:cs="宋体"/>
          <w:kern w:val="0"/>
          <w:sz w:val="21"/>
          <w:szCs w:val="21"/>
          <w:highlight w:val="none"/>
        </w:rPr>
        <w:t>更换监理人员的其他情形：</w:t>
      </w:r>
      <w:r>
        <w:rPr>
          <w:rFonts w:hint="eastAsia" w:ascii="宋体" w:hAnsi="宋体" w:eastAsia="宋体" w:cs="宋体"/>
          <w:kern w:val="0"/>
          <w:sz w:val="21"/>
          <w:szCs w:val="21"/>
          <w:highlight w:val="none"/>
          <w:u w:val="single"/>
          <w:lang w:eastAsia="zh-CN"/>
        </w:rPr>
        <w:t>（1）项目负责人变更必须经发包人批准，并满足《关于进一步加强建筑施工现场项目负责人变更行为管理的通知》及滁州市其他相关规定要求，除①因重病或重伤三个月以上，不能履行职责的；②辞职的；③发生重大质量安全责任事故，受到刑事或行政处罚，不能担任项目负责人的；④无能力履行合同责任和义务，建设单位要求更换的；⑤被责令停止职业资格的；⑥因犯罪被羁押或判刑的；⑦死亡的等原因外，原则上不得变更。其中，亡故的需提供公安部门开具的死亡证明；重大疾病的需提供三甲及以上医院证明。出国、辞职等原因提出变更的，除需提供相关证明外，须缴纳</w:t>
      </w:r>
      <w:r>
        <w:rPr>
          <w:rFonts w:hint="eastAsia" w:ascii="宋体" w:hAnsi="宋体" w:eastAsia="宋体" w:cs="宋体"/>
          <w:kern w:val="0"/>
          <w:sz w:val="21"/>
          <w:szCs w:val="21"/>
          <w:highlight w:val="none"/>
          <w:u w:val="single"/>
          <w:lang w:val="en-US" w:eastAsia="zh-CN"/>
        </w:rPr>
        <w:t>2</w:t>
      </w:r>
      <w:r>
        <w:rPr>
          <w:rFonts w:hint="eastAsia" w:ascii="宋体" w:hAnsi="宋体" w:eastAsia="宋体" w:cs="宋体"/>
          <w:kern w:val="0"/>
          <w:sz w:val="21"/>
          <w:szCs w:val="21"/>
          <w:highlight w:val="none"/>
          <w:u w:val="single"/>
          <w:lang w:eastAsia="zh-CN"/>
        </w:rPr>
        <w:t>0万元违约金，否则不得变更。变更后的项目负责人必须符合本项目招标文件和投标承诺配备的同等条件人员，并按照滁州市有关规定履行变更审批程序。（2）监理部等关键岗位人员变更必须经发包人批准，除亡故、重大疾病、出国、辞职等原因外，原则上不得变更。其中，亡故的需提供公安部门开具的死亡证明；重大疾病的需提供三甲及以上医院证明；出国、辞职等原因提出变更的，除需提供相关证明外，须缴纳50000元违约金，否则不得变更。变更后的监理部等关键岗位人员必须符合本项目招标文件和投标承诺配备的同等条件人员。</w:t>
      </w:r>
    </w:p>
    <w:p w14:paraId="1126117B">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2.4 </w:t>
      </w:r>
      <w:r>
        <w:rPr>
          <w:rFonts w:hint="eastAsia" w:ascii="宋体" w:hAnsi="宋体" w:eastAsia="宋体" w:cs="宋体"/>
          <w:kern w:val="0"/>
          <w:sz w:val="21"/>
          <w:szCs w:val="21"/>
          <w:highlight w:val="none"/>
        </w:rPr>
        <w:t>履行职责</w:t>
      </w:r>
    </w:p>
    <w:p w14:paraId="63740CFE">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2.4.3 对监理人的授权范围：</w:t>
      </w:r>
      <w:r>
        <w:rPr>
          <w:rFonts w:hint="eastAsia" w:ascii="宋体" w:hAnsi="宋体" w:eastAsia="宋体" w:cs="宋体"/>
          <w:sz w:val="21"/>
          <w:szCs w:val="21"/>
          <w:highlight w:val="none"/>
          <w:u w:val="single"/>
        </w:rPr>
        <w:t>发布开工令、停工令、复工令权；工程质量的监督权；工程上使用的材料和施工质量检验权、确认权；工程施工进度、安全的检查、监督权、发包人授权的处罚权；工程款支付的审核权；向承包人提出施工组织设计和技术方案的建议权；发包人和承包人间的组织协调的主持权；撤换不合格的工程建设分包单位和注册建造师及有关人员的建议权；分包单位资质及能力的审查权；等等</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1C77893C">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outlineLvl w:val="0"/>
        <w:rPr>
          <w:rFonts w:hint="eastAsia" w:ascii="宋体" w:hAnsi="宋体" w:eastAsia="宋体" w:cs="宋体"/>
          <w:sz w:val="21"/>
          <w:szCs w:val="21"/>
          <w:highlight w:val="none"/>
        </w:rPr>
      </w:pPr>
      <w:bookmarkStart w:id="922" w:name="_Toc23904"/>
      <w:bookmarkStart w:id="923" w:name="_Toc32002"/>
      <w:bookmarkStart w:id="924" w:name="_Toc5124"/>
      <w:r>
        <w:rPr>
          <w:rFonts w:hint="eastAsia" w:ascii="宋体" w:hAnsi="宋体" w:eastAsia="宋体" w:cs="宋体"/>
          <w:sz w:val="21"/>
          <w:szCs w:val="21"/>
          <w:highlight w:val="none"/>
        </w:rPr>
        <w:t>在涉及工程延期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天内和（或）金额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万元内的变更，监理人不需请示委托人即可向承包人发布变更通知。</w:t>
      </w:r>
      <w:bookmarkEnd w:id="922"/>
      <w:bookmarkEnd w:id="923"/>
      <w:bookmarkEnd w:id="924"/>
    </w:p>
    <w:p w14:paraId="1F909D0E">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2.4.4 监理人有权要求承包人调换其人员</w:t>
      </w:r>
      <w:r>
        <w:rPr>
          <w:rFonts w:hint="eastAsia" w:ascii="宋体" w:hAnsi="宋体" w:eastAsia="宋体" w:cs="宋体"/>
          <w:sz w:val="21"/>
          <w:szCs w:val="21"/>
          <w:highlight w:val="none"/>
        </w:rPr>
        <w:t>的限制条件：</w:t>
      </w:r>
      <w:r>
        <w:rPr>
          <w:rFonts w:hint="eastAsia" w:ascii="宋体" w:hAnsi="宋体" w:eastAsia="宋体" w:cs="宋体"/>
          <w:sz w:val="21"/>
          <w:szCs w:val="21"/>
          <w:highlight w:val="none"/>
          <w:u w:val="single"/>
          <w:lang w:eastAsia="zh-CN"/>
        </w:rPr>
        <w:t>（1）项目负责人变更必须经发包人批准，并满足《关于进一步加强建筑施工现场项目负责人变更行为管理的通知》及滁州市其他相关规定要求，除①因重病或重伤三个月以上，不能履行职责的；②辞职的；③发生重大质量安全责任事故，受到刑事或行政处罚，不能担任项目负责人的；④无能力履行合同责任和义务，建设单位要求更换的；⑤被责令停止职业资格的；⑥因犯罪被羁押或判刑的；⑦死亡的等原因外，原则上不得变更。其中，亡故的需提供公安部门开具的死亡证明；重大疾病的需提供三甲及以上医院证明。出国、辞职等原因提出变更的，除需提供相关证明外，须</w:t>
      </w:r>
      <w:r>
        <w:rPr>
          <w:rFonts w:hint="eastAsia" w:ascii="宋体" w:hAnsi="宋体" w:eastAsia="宋体" w:cs="宋体"/>
          <w:color w:val="auto"/>
          <w:sz w:val="21"/>
          <w:szCs w:val="21"/>
          <w:highlight w:val="none"/>
          <w:u w:val="single"/>
          <w:lang w:eastAsia="zh-CN"/>
        </w:rPr>
        <w:t>缴纳</w:t>
      </w:r>
      <w:r>
        <w:rPr>
          <w:rFonts w:hint="eastAsia" w:ascii="宋体" w:hAnsi="宋体" w:cs="宋体"/>
          <w:color w:val="auto"/>
          <w:sz w:val="21"/>
          <w:szCs w:val="21"/>
          <w:highlight w:val="none"/>
          <w:u w:val="single"/>
          <w:lang w:val="en-US" w:eastAsia="zh-CN"/>
        </w:rPr>
        <w:t>20</w:t>
      </w:r>
      <w:r>
        <w:rPr>
          <w:rFonts w:hint="eastAsia" w:ascii="宋体" w:hAnsi="宋体" w:eastAsia="宋体" w:cs="宋体"/>
          <w:color w:val="auto"/>
          <w:sz w:val="21"/>
          <w:szCs w:val="21"/>
          <w:highlight w:val="none"/>
          <w:u w:val="single"/>
          <w:lang w:eastAsia="zh-CN"/>
        </w:rPr>
        <w:t>万元违约金</w:t>
      </w:r>
      <w:r>
        <w:rPr>
          <w:rFonts w:hint="eastAsia" w:ascii="宋体" w:hAnsi="宋体" w:eastAsia="宋体" w:cs="宋体"/>
          <w:sz w:val="21"/>
          <w:szCs w:val="21"/>
          <w:highlight w:val="none"/>
          <w:u w:val="single"/>
          <w:lang w:eastAsia="zh-CN"/>
        </w:rPr>
        <w:t xml:space="preserve">，否则不得变更。变更后的项目负责人必须符合本项目招标文件和投标承诺配备的同等条件人员，并按照滁州市有关规定履行变更审批程序。（2）技术负责人、项目部“五大员”等关键岗位人员变更必须经发包人批准，除亡故、重大疾病、出国、辞职等原因外，原则上不得变更。其中，亡故的需提供公安部门开具的死亡证明；重大疾病的需提供三甲及以上医院证明；出国、辞职等原因提出变更的，除需提供相关证明外，须缴纳5000元违约金，否则不得变更。变更后的技术负责人、项目部“五大员”等关键岗位人员必须符合本项目招标文件和投标承诺配备的同等条件人员。  </w:t>
      </w:r>
      <w:r>
        <w:rPr>
          <w:rFonts w:hint="eastAsia" w:ascii="宋体" w:hAnsi="宋体" w:eastAsia="宋体" w:cs="宋体"/>
          <w:sz w:val="21"/>
          <w:szCs w:val="21"/>
          <w:highlight w:val="none"/>
          <w:u w:val="single"/>
        </w:rPr>
        <w:t xml:space="preserve">  </w:t>
      </w:r>
    </w:p>
    <w:p w14:paraId="655D1736">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 xml:space="preserve">2.5 </w:t>
      </w:r>
      <w:r>
        <w:rPr>
          <w:rFonts w:hint="eastAsia" w:ascii="宋体" w:hAnsi="宋体" w:eastAsia="宋体" w:cs="宋体"/>
          <w:sz w:val="21"/>
          <w:szCs w:val="21"/>
          <w:highlight w:val="none"/>
        </w:rPr>
        <w:t>提交</w:t>
      </w:r>
      <w:r>
        <w:rPr>
          <w:rFonts w:hint="eastAsia" w:ascii="宋体" w:hAnsi="宋体" w:eastAsia="宋体" w:cs="宋体"/>
          <w:kern w:val="0"/>
          <w:sz w:val="21"/>
          <w:szCs w:val="21"/>
          <w:highlight w:val="none"/>
        </w:rPr>
        <w:t>报告</w:t>
      </w:r>
    </w:p>
    <w:p w14:paraId="7497BF5B">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监理人应提交报告的种类(</w:t>
      </w:r>
      <w:r>
        <w:rPr>
          <w:rFonts w:hint="eastAsia" w:ascii="宋体" w:hAnsi="宋体" w:eastAsia="宋体" w:cs="宋体"/>
          <w:kern w:val="0"/>
          <w:sz w:val="21"/>
          <w:szCs w:val="21"/>
          <w:highlight w:val="none"/>
        </w:rPr>
        <w:t>包括监理规划、监理月报及约定的专项报告)</w:t>
      </w:r>
      <w:r>
        <w:rPr>
          <w:rFonts w:hint="eastAsia" w:ascii="宋体" w:hAnsi="宋体" w:eastAsia="宋体" w:cs="宋体"/>
          <w:sz w:val="21"/>
          <w:szCs w:val="21"/>
          <w:highlight w:val="none"/>
        </w:rPr>
        <w:t>、时间和份数</w:t>
      </w:r>
      <w:r>
        <w:rPr>
          <w:rFonts w:hint="eastAsia" w:ascii="宋体" w:hAnsi="宋体" w:eastAsia="宋体" w:cs="宋体"/>
          <w:kern w:val="0"/>
          <w:sz w:val="21"/>
          <w:szCs w:val="21"/>
          <w:highlight w:val="none"/>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5DBBA867">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2.7 使用委托人的财产</w:t>
      </w:r>
    </w:p>
    <w:p w14:paraId="0C3B8DDE">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sz w:val="21"/>
          <w:szCs w:val="21"/>
          <w:highlight w:val="none"/>
        </w:rPr>
        <w:t>附录B中由委托人无偿提供的房屋、设备的所有权属于：</w:t>
      </w:r>
      <w:r>
        <w:rPr>
          <w:rFonts w:hint="eastAsia" w:ascii="宋体" w:hAnsi="宋体" w:eastAsia="宋体" w:cs="宋体"/>
          <w:sz w:val="21"/>
          <w:szCs w:val="21"/>
          <w:highlight w:val="none"/>
          <w:u w:val="single"/>
        </w:rPr>
        <w:t xml:space="preserve"> 委托人的财产 </w:t>
      </w:r>
      <w:r>
        <w:rPr>
          <w:rFonts w:hint="eastAsia" w:ascii="宋体" w:hAnsi="宋体" w:eastAsia="宋体" w:cs="宋体"/>
          <w:sz w:val="21"/>
          <w:szCs w:val="21"/>
          <w:highlight w:val="none"/>
        </w:rPr>
        <w:t>。</w:t>
      </w:r>
    </w:p>
    <w:p w14:paraId="24B5084F">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sz w:val="21"/>
          <w:szCs w:val="21"/>
          <w:highlight w:val="none"/>
        </w:rPr>
        <w:t>监理人应在本合同终止后</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天内移交委托人无偿提供的房屋、设备，移交的时间和方式为：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6C31C24">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2" w:firstLineChars="200"/>
        <w:jc w:val="left"/>
        <w:textAlignment w:val="auto"/>
        <w:rPr>
          <w:rFonts w:hint="eastAsia" w:ascii="宋体" w:hAnsi="宋体" w:eastAsia="宋体" w:cs="宋体"/>
          <w:b/>
          <w:sz w:val="21"/>
          <w:szCs w:val="21"/>
          <w:highlight w:val="none"/>
        </w:rPr>
      </w:pPr>
      <w:r>
        <w:rPr>
          <w:rFonts w:hint="eastAsia" w:ascii="宋体" w:hAnsi="宋体" w:eastAsia="宋体" w:cs="宋体"/>
          <w:b/>
          <w:kern w:val="0"/>
          <w:sz w:val="21"/>
          <w:szCs w:val="21"/>
          <w:highlight w:val="none"/>
        </w:rPr>
        <w:t xml:space="preserve">3. 委托人义务  </w:t>
      </w:r>
    </w:p>
    <w:p w14:paraId="0346C753">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3.4 委托人代表</w:t>
      </w:r>
    </w:p>
    <w:p w14:paraId="62B80691">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委托人代表为：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6604E4A1">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3.6 答复</w:t>
      </w:r>
    </w:p>
    <w:p w14:paraId="7A90D118">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委托人同意在</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3</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天内，对监理人书面提交并要求做出决定的事宜给予书面答复。</w:t>
      </w:r>
    </w:p>
    <w:p w14:paraId="55D688C4">
      <w:pPr>
        <w:keepNext w:val="0"/>
        <w:keepLines w:val="0"/>
        <w:pageBreakBefore w:val="0"/>
        <w:widowControl w:val="0"/>
        <w:kinsoku/>
        <w:wordWrap/>
        <w:overflowPunct/>
        <w:topLinePunct w:val="0"/>
        <w:autoSpaceDE/>
        <w:autoSpaceDN/>
        <w:bidi w:val="0"/>
        <w:snapToGrid w:val="0"/>
        <w:spacing w:line="440" w:lineRule="exact"/>
        <w:ind w:left="0" w:leftChars="0" w:firstLine="422" w:firstLineChars="200"/>
        <w:jc w:val="left"/>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4. 违约责任</w:t>
      </w:r>
    </w:p>
    <w:p w14:paraId="4BF0EE65">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4.1 监理人的违约责任</w:t>
      </w:r>
    </w:p>
    <w:p w14:paraId="686D12D9">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4.1.1监理人赔偿金额按下列方法确定：</w:t>
      </w:r>
    </w:p>
    <w:p w14:paraId="7ED9F05C">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sz w:val="21"/>
          <w:szCs w:val="21"/>
          <w:highlight w:val="none"/>
        </w:rPr>
        <w:t>赔偿金＝直接经济损失×正常工作酬金÷工程概算</w:t>
      </w:r>
      <w:r>
        <w:rPr>
          <w:rFonts w:hint="eastAsia" w:ascii="宋体" w:hAnsi="宋体" w:eastAsia="宋体" w:cs="宋体"/>
          <w:kern w:val="0"/>
          <w:sz w:val="21"/>
          <w:szCs w:val="21"/>
          <w:highlight w:val="none"/>
        </w:rPr>
        <w:t>投资额（或建筑安装工程费）</w:t>
      </w:r>
    </w:p>
    <w:p w14:paraId="2A2318C2">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4.2 委托人的违约责任</w:t>
      </w:r>
    </w:p>
    <w:p w14:paraId="75FB1714">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sz w:val="21"/>
          <w:szCs w:val="21"/>
          <w:highlight w:val="none"/>
        </w:rPr>
        <w:t>4.2.3 委托人</w:t>
      </w:r>
      <w:r>
        <w:rPr>
          <w:rFonts w:hint="eastAsia" w:ascii="宋体" w:hAnsi="宋体" w:eastAsia="宋体" w:cs="宋体"/>
          <w:kern w:val="0"/>
          <w:sz w:val="21"/>
          <w:szCs w:val="21"/>
          <w:highlight w:val="none"/>
        </w:rPr>
        <w:t>逾期付款利息按下列方法确定：</w:t>
      </w:r>
    </w:p>
    <w:p w14:paraId="09609A55">
      <w:pPr>
        <w:keepNext w:val="0"/>
        <w:keepLines w:val="0"/>
        <w:pageBreakBefore w:val="0"/>
        <w:widowControl w:val="0"/>
        <w:kinsoku/>
        <w:wordWrap/>
        <w:overflowPunct/>
        <w:topLinePunct w:val="0"/>
        <w:autoSpaceDE/>
        <w:autoSpaceDN/>
        <w:bidi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逾期付款利息＝当期应付款总额×银行同期贷款利率×拖延支付天数</w:t>
      </w:r>
    </w:p>
    <w:p w14:paraId="0813DCFC">
      <w:pPr>
        <w:keepNext w:val="0"/>
        <w:keepLines w:val="0"/>
        <w:pageBreakBefore w:val="0"/>
        <w:widowControl w:val="0"/>
        <w:kinsoku/>
        <w:wordWrap/>
        <w:overflowPunct/>
        <w:topLinePunct w:val="0"/>
        <w:autoSpaceDE/>
        <w:autoSpaceDN/>
        <w:bidi w:val="0"/>
        <w:snapToGrid w:val="0"/>
        <w:spacing w:line="440" w:lineRule="exact"/>
        <w:ind w:left="0" w:leftChars="0" w:firstLine="422" w:firstLineChars="200"/>
        <w:jc w:val="left"/>
        <w:textAlignment w:val="auto"/>
        <w:rPr>
          <w:rFonts w:hint="eastAsia" w:ascii="宋体" w:hAnsi="宋体" w:eastAsia="宋体" w:cs="宋体"/>
          <w:b/>
          <w:sz w:val="21"/>
          <w:szCs w:val="21"/>
          <w:highlight w:val="none"/>
        </w:rPr>
      </w:pPr>
      <w:r>
        <w:rPr>
          <w:rFonts w:hint="eastAsia" w:ascii="宋体" w:hAnsi="宋体" w:eastAsia="宋体" w:cs="宋体"/>
          <w:b/>
          <w:bCs/>
          <w:sz w:val="21"/>
          <w:szCs w:val="21"/>
          <w:highlight w:val="none"/>
        </w:rPr>
        <w:t>5. 支付</w:t>
      </w:r>
    </w:p>
    <w:p w14:paraId="661EC9E3">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rPr>
        <w:t xml:space="preserve">5.1 </w:t>
      </w:r>
      <w:r>
        <w:rPr>
          <w:rFonts w:hint="eastAsia" w:ascii="宋体" w:hAnsi="宋体" w:eastAsia="宋体" w:cs="宋体"/>
          <w:bCs/>
          <w:sz w:val="21"/>
          <w:szCs w:val="21"/>
          <w:highlight w:val="none"/>
        </w:rPr>
        <w:t>支付货币</w:t>
      </w:r>
    </w:p>
    <w:p w14:paraId="6E8C591F">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币种为：</w:t>
      </w:r>
      <w:r>
        <w:rPr>
          <w:rFonts w:hint="eastAsia" w:ascii="宋体" w:hAnsi="宋体" w:eastAsia="宋体" w:cs="宋体"/>
          <w:sz w:val="21"/>
          <w:szCs w:val="21"/>
          <w:highlight w:val="none"/>
          <w:u w:val="single"/>
        </w:rPr>
        <w:t xml:space="preserve"> 人民币  </w:t>
      </w:r>
      <w:r>
        <w:rPr>
          <w:rFonts w:hint="eastAsia" w:ascii="宋体" w:hAnsi="宋体" w:eastAsia="宋体" w:cs="宋体"/>
          <w:sz w:val="21"/>
          <w:szCs w:val="21"/>
          <w:highlight w:val="none"/>
        </w:rPr>
        <w:t>，比例为：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，汇率为：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7C8635E6">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5.3 支付酬金</w:t>
      </w:r>
    </w:p>
    <w:p w14:paraId="428FA061">
      <w:pPr>
        <w:keepNext w:val="0"/>
        <w:keepLines w:val="0"/>
        <w:pageBreakBefore w:val="0"/>
        <w:widowControl/>
        <w:kinsoku/>
        <w:wordWrap/>
        <w:overflowPunct/>
        <w:topLinePunct w:val="0"/>
        <w:autoSpaceDE/>
        <w:autoSpaceDN/>
        <w:bidi w:val="0"/>
        <w:adjustRightInd w:val="0"/>
        <w:spacing w:line="440" w:lineRule="exact"/>
        <w:ind w:firstLine="422" w:firstLineChars="200"/>
        <w:jc w:val="left"/>
        <w:textAlignment w:val="auto"/>
        <w:rPr>
          <w:rFonts w:hint="eastAsia" w:ascii="宋体" w:hAnsi="宋体" w:cs="宋体"/>
          <w:szCs w:val="21"/>
          <w:highlight w:val="none"/>
        </w:rPr>
      </w:pPr>
      <w:r>
        <w:rPr>
          <w:rFonts w:hint="eastAsia" w:ascii="宋体" w:hAnsi="宋体" w:eastAsia="宋体" w:cs="宋体"/>
          <w:b/>
          <w:szCs w:val="21"/>
          <w:highlight w:val="none"/>
          <w:lang w:bidi="ar-SA"/>
        </w:rPr>
        <w:t>监理费用=</w:t>
      </w:r>
      <w:r>
        <w:rPr>
          <w:rFonts w:hint="eastAsia" w:ascii="宋体" w:hAnsi="宋体" w:eastAsia="宋体" w:cs="宋体"/>
          <w:b/>
          <w:bCs/>
          <w:highlight w:val="none"/>
          <w:lang w:val="en-US" w:eastAsia="zh-CN"/>
        </w:rPr>
        <w:t>各项目</w:t>
      </w:r>
      <w:r>
        <w:rPr>
          <w:rFonts w:hint="eastAsia" w:ascii="宋体" w:hAnsi="宋体" w:cs="宋体"/>
          <w:szCs w:val="21"/>
          <w:highlight w:val="none"/>
        </w:rPr>
        <w:t>工程结算造价×</w:t>
      </w:r>
      <w:r>
        <w:rPr>
          <w:rFonts w:hint="eastAsia" w:ascii="宋体" w:hAnsi="宋体" w:cs="宋体"/>
          <w:szCs w:val="21"/>
          <w:highlight w:val="none"/>
          <w:u w:val="single"/>
          <w:lang w:val="en-US" w:eastAsia="zh-CN"/>
        </w:rPr>
        <w:t xml:space="preserve">     </w:t>
      </w:r>
      <w:r>
        <w:rPr>
          <w:rFonts w:hint="eastAsia" w:ascii="宋体" w:hAnsi="宋体" w:cs="宋体"/>
          <w:szCs w:val="21"/>
          <w:highlight w:val="none"/>
          <w:lang w:val="en-US" w:eastAsia="zh-CN"/>
        </w:rPr>
        <w:t xml:space="preserve"> </w:t>
      </w:r>
      <w:r>
        <w:rPr>
          <w:rFonts w:hint="eastAsia" w:ascii="宋体" w:hAnsi="宋体" w:cs="宋体"/>
          <w:szCs w:val="21"/>
          <w:highlight w:val="none"/>
        </w:rPr>
        <w:t>%  （最终支付以审计结算造价作为计算额）</w:t>
      </w:r>
      <w:r>
        <w:rPr>
          <w:rFonts w:hint="eastAsia" w:ascii="宋体" w:hAnsi="宋体" w:cs="宋体"/>
          <w:szCs w:val="21"/>
          <w:highlight w:val="none"/>
          <w:lang w:eastAsia="zh-CN"/>
        </w:rPr>
        <w:t>。</w:t>
      </w:r>
      <w:r>
        <w:rPr>
          <w:rFonts w:hint="eastAsia" w:ascii="宋体" w:hAnsi="宋体" w:cs="宋体"/>
          <w:b/>
          <w:bCs/>
          <w:highlight w:val="none"/>
          <w:lang w:val="en-US" w:eastAsia="zh-CN"/>
        </w:rPr>
        <w:t>合同履行期内各项目监理费用累计至28万元时，完成履约项目后合同终止，正在履约的项目不做费用增加。</w:t>
      </w:r>
      <w:r>
        <w:rPr>
          <w:rFonts w:hint="eastAsia" w:ascii="宋体" w:hAnsi="宋体" w:eastAsia="宋体" w:cs="宋体"/>
          <w:b/>
          <w:bCs/>
          <w:highlight w:val="none"/>
          <w:lang w:val="en-US" w:eastAsia="zh-CN"/>
        </w:rPr>
        <w:t>合同履行期内各项目</w:t>
      </w:r>
      <w:r>
        <w:rPr>
          <w:rFonts w:hint="eastAsia" w:ascii="宋体" w:hAnsi="宋体" w:eastAsia="宋体" w:cs="宋体"/>
          <w:b/>
          <w:szCs w:val="21"/>
          <w:highlight w:val="none"/>
          <w:lang w:bidi="ar-SA"/>
        </w:rPr>
        <w:t>无论任何原因导致的工期延长，委托人均不再增加监理费用</w:t>
      </w:r>
      <w:r>
        <w:rPr>
          <w:rFonts w:hint="eastAsia" w:ascii="宋体" w:hAnsi="宋体" w:cs="宋体"/>
          <w:b/>
          <w:szCs w:val="21"/>
          <w:highlight w:val="none"/>
          <w:lang w:eastAsia="zh-CN" w:bidi="ar-SA"/>
        </w:rPr>
        <w:t>。</w:t>
      </w:r>
    </w:p>
    <w:p w14:paraId="4139D7E3">
      <w:pPr>
        <w:snapToGrid w:val="0"/>
        <w:spacing w:line="440" w:lineRule="exact"/>
        <w:ind w:firstLine="422" w:firstLineChars="200"/>
        <w:rPr>
          <w:rFonts w:hint="eastAsia" w:ascii="宋体" w:hAnsi="宋体" w:eastAsia="宋体" w:cs="宋体"/>
          <w:b/>
          <w:sz w:val="21"/>
          <w:szCs w:val="21"/>
          <w:highlight w:val="none"/>
          <w:u w:val="single"/>
          <w:lang w:bidi="ar-SA"/>
        </w:rPr>
      </w:pPr>
      <w:r>
        <w:rPr>
          <w:rFonts w:hint="eastAsia" w:ascii="宋体" w:hAnsi="宋体" w:eastAsia="宋体" w:cs="宋体"/>
          <w:b/>
          <w:szCs w:val="21"/>
          <w:highlight w:val="none"/>
          <w:lang w:bidi="ar-SA"/>
        </w:rPr>
        <w:t>支付方式：</w:t>
      </w:r>
      <w:r>
        <w:rPr>
          <w:rFonts w:hint="eastAsia" w:ascii="宋体" w:hAnsi="宋体" w:eastAsia="宋体" w:cs="宋体"/>
          <w:color w:val="auto"/>
          <w:sz w:val="21"/>
          <w:szCs w:val="21"/>
          <w:highlight w:val="none"/>
          <w:lang w:val="en-US" w:eastAsia="zh-CN"/>
        </w:rPr>
        <w:t>每个工程每个单体竣工验收合格、施工结算、资料归档及项目审计结束后付至单体结算总价的97%，剩余3%经工程质保期满回访合格后支付完毕（无息）。</w:t>
      </w:r>
    </w:p>
    <w:p w14:paraId="5E0404E6">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b/>
          <w:bCs/>
          <w:color w:val="FF0000"/>
          <w:sz w:val="21"/>
          <w:szCs w:val="21"/>
          <w:highlight w:val="none"/>
        </w:rPr>
      </w:pPr>
      <w:r>
        <w:rPr>
          <w:rFonts w:hint="eastAsia" w:ascii="宋体" w:hAnsi="宋体" w:eastAsia="宋体" w:cs="宋体"/>
          <w:bCs/>
          <w:sz w:val="21"/>
          <w:szCs w:val="21"/>
          <w:highlight w:val="none"/>
        </w:rPr>
        <w:t>6</w:t>
      </w:r>
      <w:r>
        <w:rPr>
          <w:rFonts w:hint="eastAsia" w:ascii="宋体" w:hAnsi="宋体" w:eastAsia="宋体" w:cs="宋体"/>
          <w:b/>
          <w:bCs/>
          <w:sz w:val="21"/>
          <w:szCs w:val="21"/>
          <w:highlight w:val="none"/>
        </w:rPr>
        <w:t>. 合同生效、变更、暂停、解除与终止</w:t>
      </w:r>
    </w:p>
    <w:p w14:paraId="675336CD">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6.1 生效</w:t>
      </w:r>
    </w:p>
    <w:p w14:paraId="7736D72F">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rPr>
        <w:t>本合同生效条件：</w:t>
      </w:r>
      <w:r>
        <w:rPr>
          <w:rFonts w:hint="eastAsia" w:ascii="宋体" w:hAnsi="宋体" w:eastAsia="宋体" w:cs="宋体"/>
          <w:color w:val="auto"/>
          <w:sz w:val="21"/>
          <w:szCs w:val="21"/>
          <w:highlight w:val="none"/>
          <w:u w:val="single"/>
        </w:rPr>
        <w:t xml:space="preserve">   委托人和监理人的法定代表人或其授权代理人在协议书上签字并盖单位章后本合同生效     </w:t>
      </w:r>
      <w:r>
        <w:rPr>
          <w:rFonts w:hint="eastAsia" w:ascii="宋体" w:hAnsi="宋体" w:eastAsia="宋体" w:cs="宋体"/>
          <w:color w:val="auto"/>
          <w:sz w:val="21"/>
          <w:szCs w:val="21"/>
          <w:highlight w:val="none"/>
        </w:rPr>
        <w:t>。</w:t>
      </w:r>
    </w:p>
    <w:p w14:paraId="453C1681">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 变更</w:t>
      </w:r>
    </w:p>
    <w:p w14:paraId="6B305D8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6.2.2 除不可抗力外， 因非监理人原因导致本合同期限延长时，附加工作酬金按下列方法确定：</w:t>
      </w:r>
    </w:p>
    <w:p w14:paraId="455B124E">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附加工作</w:t>
      </w:r>
      <w:r>
        <w:rPr>
          <w:rFonts w:hint="eastAsia" w:ascii="宋体" w:hAnsi="宋体" w:eastAsia="宋体" w:cs="宋体"/>
          <w:sz w:val="21"/>
          <w:szCs w:val="21"/>
          <w:highlight w:val="none"/>
        </w:rPr>
        <w:t>酬金</w:t>
      </w:r>
      <w:r>
        <w:rPr>
          <w:rFonts w:hint="eastAsia" w:ascii="宋体" w:hAnsi="宋体" w:eastAsia="宋体" w:cs="宋体"/>
          <w:kern w:val="0"/>
          <w:sz w:val="21"/>
          <w:szCs w:val="21"/>
          <w:highlight w:val="none"/>
        </w:rPr>
        <w:t>=</w:t>
      </w:r>
      <w:r>
        <w:rPr>
          <w:rFonts w:hint="eastAsia" w:ascii="宋体" w:hAnsi="宋体" w:eastAsia="宋体" w:cs="宋体"/>
          <w:sz w:val="21"/>
          <w:szCs w:val="21"/>
          <w:highlight w:val="none"/>
        </w:rPr>
        <w:t>本合同期限延长</w:t>
      </w:r>
      <w:r>
        <w:rPr>
          <w:rFonts w:hint="eastAsia" w:ascii="宋体" w:hAnsi="宋体" w:eastAsia="宋体" w:cs="宋体"/>
          <w:kern w:val="0"/>
          <w:sz w:val="21"/>
          <w:szCs w:val="21"/>
          <w:highlight w:val="none"/>
        </w:rPr>
        <w:t>时间（天）×正常工作酬金÷</w:t>
      </w:r>
      <w:r>
        <w:rPr>
          <w:rFonts w:hint="eastAsia" w:ascii="宋体" w:hAnsi="宋体" w:eastAsia="宋体" w:cs="宋体"/>
          <w:sz w:val="21"/>
          <w:szCs w:val="21"/>
          <w:highlight w:val="none"/>
        </w:rPr>
        <w:t>协议书约定的监理与相关服务期限</w:t>
      </w:r>
      <w:r>
        <w:rPr>
          <w:rFonts w:hint="eastAsia" w:ascii="宋体" w:hAnsi="宋体" w:eastAsia="宋体" w:cs="宋体"/>
          <w:kern w:val="0"/>
          <w:sz w:val="21"/>
          <w:szCs w:val="21"/>
          <w:highlight w:val="none"/>
        </w:rPr>
        <w:t>（天）</w:t>
      </w:r>
    </w:p>
    <w:p w14:paraId="709EA18F">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6.2.3附加工作酬金按下列方法确定：</w:t>
      </w:r>
    </w:p>
    <w:p w14:paraId="04A32771">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附加工作</w:t>
      </w:r>
      <w:r>
        <w:rPr>
          <w:rFonts w:hint="eastAsia" w:ascii="宋体" w:hAnsi="宋体" w:eastAsia="宋体" w:cs="宋体"/>
          <w:sz w:val="21"/>
          <w:szCs w:val="21"/>
          <w:highlight w:val="none"/>
        </w:rPr>
        <w:t>酬金</w:t>
      </w:r>
      <w:r>
        <w:rPr>
          <w:rFonts w:hint="eastAsia" w:ascii="宋体" w:hAnsi="宋体" w:eastAsia="宋体" w:cs="宋体"/>
          <w:kern w:val="0"/>
          <w:sz w:val="21"/>
          <w:szCs w:val="21"/>
          <w:highlight w:val="none"/>
        </w:rPr>
        <w:t>=善后工作及恢复服务的准备工作时间（天）×正常工作酬金÷</w:t>
      </w:r>
      <w:r>
        <w:rPr>
          <w:rFonts w:hint="eastAsia" w:ascii="宋体" w:hAnsi="宋体" w:eastAsia="宋体" w:cs="宋体"/>
          <w:sz w:val="21"/>
          <w:szCs w:val="21"/>
          <w:highlight w:val="none"/>
        </w:rPr>
        <w:t>协议书约定的监理与相关服务期限</w:t>
      </w:r>
      <w:r>
        <w:rPr>
          <w:rFonts w:hint="eastAsia" w:ascii="宋体" w:hAnsi="宋体" w:eastAsia="宋体" w:cs="宋体"/>
          <w:kern w:val="0"/>
          <w:sz w:val="21"/>
          <w:szCs w:val="21"/>
          <w:highlight w:val="none"/>
        </w:rPr>
        <w:t>（天）</w:t>
      </w:r>
    </w:p>
    <w:p w14:paraId="09838F45">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6.2.5 正常工作酬金增加额按下列方法确定： </w:t>
      </w:r>
    </w:p>
    <w:p w14:paraId="25A413A6">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sz w:val="21"/>
          <w:szCs w:val="21"/>
          <w:highlight w:val="none"/>
        </w:rPr>
        <w:t>正常工作酬金增加额</w:t>
      </w:r>
      <w:r>
        <w:rPr>
          <w:rFonts w:hint="eastAsia" w:ascii="宋体" w:hAnsi="宋体" w:eastAsia="宋体" w:cs="宋体"/>
          <w:kern w:val="0"/>
          <w:sz w:val="21"/>
          <w:szCs w:val="21"/>
          <w:highlight w:val="none"/>
        </w:rPr>
        <w:t>=工程投资额</w:t>
      </w:r>
      <w:r>
        <w:rPr>
          <w:rFonts w:hint="eastAsia" w:ascii="宋体" w:hAnsi="宋体" w:eastAsia="宋体" w:cs="宋体"/>
          <w:sz w:val="21"/>
          <w:szCs w:val="21"/>
          <w:highlight w:val="none"/>
        </w:rPr>
        <w:t>或建筑安装工程费</w:t>
      </w:r>
      <w:r>
        <w:rPr>
          <w:rFonts w:hint="eastAsia" w:ascii="宋体" w:hAnsi="宋体" w:eastAsia="宋体" w:cs="宋体"/>
          <w:kern w:val="0"/>
          <w:sz w:val="21"/>
          <w:szCs w:val="21"/>
          <w:highlight w:val="none"/>
        </w:rPr>
        <w:t>增加额×正常工作酬金÷工程概算投资额（或建筑安装工程费）</w:t>
      </w:r>
    </w:p>
    <w:p w14:paraId="1F670660">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6.2.6 因工程规模、监理范围的变化导致监理人的正常工作量减少时，按减少工作量的比例从协议书约定的正常工作酬金中扣减相同比例的酬金。</w:t>
      </w:r>
    </w:p>
    <w:p w14:paraId="2431DACF">
      <w:pPr>
        <w:keepNext w:val="0"/>
        <w:keepLines w:val="0"/>
        <w:pageBreakBefore w:val="0"/>
        <w:widowControl w:val="0"/>
        <w:kinsoku/>
        <w:wordWrap/>
        <w:overflowPunct/>
        <w:topLinePunct w:val="0"/>
        <w:autoSpaceDE/>
        <w:autoSpaceDN/>
        <w:bidi w:val="0"/>
        <w:snapToGrid w:val="0"/>
        <w:spacing w:line="440" w:lineRule="exact"/>
        <w:ind w:left="0" w:leftChars="0" w:firstLine="422" w:firstLineChars="200"/>
        <w:jc w:val="left"/>
        <w:textAlignment w:val="auto"/>
        <w:rPr>
          <w:rFonts w:hint="eastAsia" w:ascii="宋体" w:hAnsi="宋体" w:eastAsia="宋体" w:cs="宋体"/>
          <w:b/>
          <w:sz w:val="21"/>
          <w:szCs w:val="21"/>
          <w:highlight w:val="none"/>
        </w:rPr>
      </w:pPr>
      <w:r>
        <w:rPr>
          <w:rFonts w:hint="eastAsia" w:ascii="宋体" w:hAnsi="宋体" w:eastAsia="宋体" w:cs="宋体"/>
          <w:b/>
          <w:bCs/>
          <w:sz w:val="21"/>
          <w:szCs w:val="21"/>
          <w:highlight w:val="none"/>
        </w:rPr>
        <w:t>7. 争议解决</w:t>
      </w:r>
    </w:p>
    <w:p w14:paraId="670D9C99">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7.2 </w:t>
      </w:r>
      <w:r>
        <w:rPr>
          <w:rFonts w:hint="eastAsia" w:ascii="宋体" w:hAnsi="宋体" w:eastAsia="宋体" w:cs="宋体"/>
          <w:bCs/>
          <w:sz w:val="21"/>
          <w:szCs w:val="21"/>
          <w:highlight w:val="none"/>
        </w:rPr>
        <w:t>调解</w:t>
      </w:r>
    </w:p>
    <w:p w14:paraId="28856452">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本合同争议进行调解时，可提交</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进行调解。</w:t>
      </w:r>
    </w:p>
    <w:p w14:paraId="6955DD0E">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7.3 </w:t>
      </w:r>
      <w:r>
        <w:rPr>
          <w:rFonts w:hint="eastAsia" w:ascii="宋体" w:hAnsi="宋体" w:eastAsia="宋体" w:cs="宋体"/>
          <w:bCs/>
          <w:sz w:val="21"/>
          <w:szCs w:val="21"/>
          <w:highlight w:val="none"/>
        </w:rPr>
        <w:t>仲裁或诉讼</w:t>
      </w:r>
    </w:p>
    <w:p w14:paraId="11C6B526">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合同争议的最终解决方式为下列第</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1</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种方式：</w:t>
      </w:r>
    </w:p>
    <w:p w14:paraId="0DA5A335">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（1）提请</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滁州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仲裁委员会进行仲裁。</w:t>
      </w:r>
    </w:p>
    <w:p w14:paraId="5AA10EED">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（2）向</w:t>
      </w:r>
      <w:r>
        <w:rPr>
          <w:rFonts w:hint="eastAsia" w:ascii="宋体" w:hAnsi="宋体" w:eastAsia="宋体" w:cs="宋体"/>
          <w:sz w:val="21"/>
          <w:szCs w:val="21"/>
          <w:highlight w:val="none"/>
          <w:u w:val="single"/>
        </w:rPr>
        <w:t xml:space="preserve">    </w:t>
      </w:r>
      <w:r>
        <w:rPr>
          <w:rFonts w:hint="eastAsia" w:ascii="宋体" w:hAnsi="宋体" w:eastAsia="宋体" w:cs="宋体"/>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人民法院提起诉讼。</w:t>
      </w:r>
    </w:p>
    <w:p w14:paraId="4F3BCF7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2" w:firstLineChars="200"/>
        <w:jc w:val="left"/>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8. 其他</w:t>
      </w:r>
    </w:p>
    <w:p w14:paraId="087B9C97">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8.2 检测费用</w:t>
      </w:r>
    </w:p>
    <w:p w14:paraId="67372701">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委托人应在检测工作完成后</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cs="宋体"/>
          <w:sz w:val="21"/>
          <w:szCs w:val="21"/>
          <w:highlight w:val="none"/>
          <w:u w:val="single"/>
          <w:lang w:val="en-US"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天内支付检测费用。</w:t>
      </w:r>
    </w:p>
    <w:p w14:paraId="453CF93A">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8.3 咨询费用</w:t>
      </w:r>
    </w:p>
    <w:p w14:paraId="67076A40">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委托人应在咨询工作完成后</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cs="宋体"/>
          <w:sz w:val="21"/>
          <w:szCs w:val="21"/>
          <w:highlight w:val="none"/>
          <w:u w:val="single"/>
          <w:lang w:val="en-US"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天内支付咨询费用。</w:t>
      </w:r>
    </w:p>
    <w:p w14:paraId="010BD3F8">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8.4 奖励</w:t>
      </w:r>
    </w:p>
    <w:p w14:paraId="5966C0CA">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合理化建议的奖励金额按下列方法确定为：</w:t>
      </w:r>
    </w:p>
    <w:p w14:paraId="65BC8CB3">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奖励金额＝工程投资节省额×奖励金额的比率；</w:t>
      </w:r>
    </w:p>
    <w:p w14:paraId="748DDF7D">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奖励金额的比率为</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2A6FA390">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8.6 保密</w:t>
      </w:r>
    </w:p>
    <w:p w14:paraId="2380B800">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委托人申明的保密事项和期限：</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0C4570D9">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监理人申明的保密事项和期限：</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25752431">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200"/>
        <w:jc w:val="left"/>
        <w:textAlignment w:val="auto"/>
        <w:outlineLvl w:val="0"/>
        <w:rPr>
          <w:rFonts w:hint="eastAsia" w:ascii="宋体" w:hAnsi="宋体" w:eastAsia="宋体" w:cs="宋体"/>
          <w:sz w:val="21"/>
          <w:szCs w:val="21"/>
          <w:highlight w:val="none"/>
          <w:u w:val="single"/>
        </w:rPr>
      </w:pPr>
      <w:bookmarkStart w:id="925" w:name="_Toc5493"/>
      <w:bookmarkStart w:id="926" w:name="_Toc25154"/>
      <w:r>
        <w:rPr>
          <w:rFonts w:hint="eastAsia" w:ascii="宋体" w:hAnsi="宋体" w:eastAsia="宋体" w:cs="宋体"/>
          <w:sz w:val="21"/>
          <w:szCs w:val="21"/>
          <w:highlight w:val="none"/>
        </w:rPr>
        <w:t>第三方申明的保密事项和期限：</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bookmarkEnd w:id="925"/>
      <w:bookmarkEnd w:id="926"/>
    </w:p>
    <w:p w14:paraId="43A604B1">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outlineLvl w:val="0"/>
        <w:rPr>
          <w:rFonts w:hint="eastAsia" w:ascii="宋体" w:hAnsi="宋体" w:eastAsia="宋体" w:cs="宋体"/>
          <w:bCs/>
          <w:sz w:val="21"/>
          <w:szCs w:val="21"/>
          <w:highlight w:val="none"/>
        </w:rPr>
      </w:pPr>
      <w:bookmarkStart w:id="927" w:name="_Toc25677"/>
      <w:bookmarkStart w:id="928" w:name="_Toc15769"/>
      <w:r>
        <w:rPr>
          <w:rFonts w:hint="eastAsia" w:ascii="宋体" w:hAnsi="宋体" w:eastAsia="宋体" w:cs="宋体"/>
          <w:sz w:val="21"/>
          <w:szCs w:val="21"/>
          <w:highlight w:val="none"/>
        </w:rPr>
        <w:t>8.8</w:t>
      </w:r>
      <w:r>
        <w:rPr>
          <w:rFonts w:hint="eastAsia" w:ascii="宋体" w:hAnsi="宋体" w:eastAsia="宋体" w:cs="宋体"/>
          <w:bCs/>
          <w:sz w:val="21"/>
          <w:szCs w:val="21"/>
          <w:highlight w:val="none"/>
        </w:rPr>
        <w:t>著作权</w:t>
      </w:r>
      <w:bookmarkEnd w:id="927"/>
      <w:bookmarkEnd w:id="928"/>
    </w:p>
    <w:p w14:paraId="2993A79A">
      <w:pPr>
        <w:keepNext w:val="0"/>
        <w:keepLines w:val="0"/>
        <w:pageBreakBefore w:val="0"/>
        <w:widowControl w:val="0"/>
        <w:kinsoku/>
        <w:wordWrap/>
        <w:overflowPunct/>
        <w:topLinePunct w:val="0"/>
        <w:autoSpaceDE/>
        <w:autoSpaceDN/>
        <w:bidi w:val="0"/>
        <w:snapToGrid w:val="0"/>
        <w:spacing w:line="44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监理人在本合同履行期间及本合同终止后两年内出版涉及本工程的有关监理与相关服务的资料的限制条件：</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5B09F7BD">
      <w:pPr>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br w:type="page"/>
      </w:r>
      <w:bookmarkStart w:id="929" w:name="_Toc18787"/>
      <w:r>
        <w:rPr>
          <w:rFonts w:hint="eastAsia" w:ascii="宋体" w:hAnsi="宋体" w:eastAsia="宋体" w:cs="宋体"/>
          <w:b/>
          <w:bCs/>
          <w:sz w:val="32"/>
          <w:szCs w:val="32"/>
          <w:highlight w:val="none"/>
        </w:rPr>
        <w:t>补充条款</w:t>
      </w:r>
      <w:bookmarkEnd w:id="929"/>
    </w:p>
    <w:p w14:paraId="07EA9FDF">
      <w:pPr>
        <w:pStyle w:val="67"/>
        <w:widowControl/>
        <w:autoSpaceDE/>
        <w:autoSpaceDN/>
        <w:spacing w:before="0" w:after="0" w:line="440" w:lineRule="exact"/>
        <w:ind w:left="0" w:right="0" w:firstLine="420" w:firstLineChars="200"/>
        <w:rPr>
          <w:rFonts w:hint="eastAsia" w:ascii="宋体" w:cs="宋体"/>
          <w:sz w:val="21"/>
          <w:szCs w:val="21"/>
          <w:highlight w:val="none"/>
          <w:u w:val="single"/>
        </w:rPr>
      </w:pPr>
      <w:r>
        <w:rPr>
          <w:rFonts w:hint="eastAsia" w:ascii="宋体" w:cs="宋体"/>
          <w:sz w:val="21"/>
          <w:szCs w:val="21"/>
          <w:highlight w:val="none"/>
        </w:rPr>
        <w:t xml:space="preserve">1、总监理工程师: </w:t>
      </w:r>
      <w:r>
        <w:rPr>
          <w:rFonts w:hint="eastAsia" w:ascii="宋体" w:cs="宋体"/>
          <w:sz w:val="21"/>
          <w:szCs w:val="21"/>
          <w:highlight w:val="none"/>
          <w:u w:val="single"/>
        </w:rPr>
        <w:t xml:space="preserve">  </w:t>
      </w:r>
      <w:r>
        <w:rPr>
          <w:rFonts w:hint="eastAsia" w:ascii="宋体" w:cs="宋体"/>
          <w:b/>
          <w:sz w:val="21"/>
          <w:szCs w:val="21"/>
          <w:highlight w:val="none"/>
          <w:u w:val="single"/>
        </w:rPr>
        <w:t xml:space="preserve">   </w:t>
      </w:r>
      <w:r>
        <w:rPr>
          <w:rFonts w:hint="eastAsia" w:ascii="宋体" w:cs="宋体"/>
          <w:sz w:val="21"/>
          <w:szCs w:val="21"/>
          <w:highlight w:val="none"/>
          <w:u w:val="single"/>
        </w:rPr>
        <w:t xml:space="preserve">      </w:t>
      </w:r>
    </w:p>
    <w:p w14:paraId="5596513F">
      <w:pPr>
        <w:pStyle w:val="67"/>
        <w:widowControl/>
        <w:autoSpaceDE/>
        <w:autoSpaceDN/>
        <w:spacing w:before="0" w:after="0" w:line="440" w:lineRule="exact"/>
        <w:ind w:left="0" w:right="0" w:firstLine="420" w:firstLineChars="200"/>
        <w:rPr>
          <w:rFonts w:hint="eastAsia" w:ascii="宋体" w:cs="宋体"/>
          <w:sz w:val="21"/>
          <w:szCs w:val="21"/>
          <w:highlight w:val="none"/>
        </w:rPr>
      </w:pPr>
      <w:r>
        <w:rPr>
          <w:rFonts w:hint="eastAsia" w:ascii="宋体" w:cs="宋体"/>
          <w:sz w:val="21"/>
          <w:szCs w:val="21"/>
          <w:highlight w:val="none"/>
        </w:rPr>
        <w:t>2、总监理工程师及项目组人员情况一览表</w:t>
      </w:r>
    </w:p>
    <w:tbl>
      <w:tblPr>
        <w:tblStyle w:val="47"/>
        <w:tblW w:w="9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166"/>
        <w:gridCol w:w="788"/>
        <w:gridCol w:w="1395"/>
        <w:gridCol w:w="1540"/>
        <w:gridCol w:w="1735"/>
        <w:gridCol w:w="1890"/>
      </w:tblGrid>
      <w:tr w14:paraId="11033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 w:hRule="atLeast"/>
          <w:jc w:val="center"/>
        </w:trPr>
        <w:tc>
          <w:tcPr>
            <w:tcW w:w="1366" w:type="dxa"/>
            <w:noWrap w:val="0"/>
            <w:vAlign w:val="center"/>
          </w:tcPr>
          <w:p w14:paraId="6281977A">
            <w:pPr>
              <w:spacing w:line="440" w:lineRule="exact"/>
              <w:jc w:val="center"/>
              <w:rPr>
                <w:rFonts w:hint="eastAsia" w:ascii="黑体" w:eastAsia="黑体" w:cs="宋体"/>
                <w:b/>
                <w:bCs/>
                <w:szCs w:val="21"/>
                <w:highlight w:val="none"/>
              </w:rPr>
            </w:pPr>
            <w:r>
              <w:rPr>
                <w:rFonts w:hint="eastAsia" w:ascii="黑体" w:eastAsia="黑体" w:cs="宋体"/>
                <w:b/>
                <w:bCs/>
                <w:szCs w:val="21"/>
                <w:highlight w:val="none"/>
              </w:rPr>
              <w:t>姓  名</w:t>
            </w:r>
          </w:p>
        </w:tc>
        <w:tc>
          <w:tcPr>
            <w:tcW w:w="1166" w:type="dxa"/>
            <w:noWrap w:val="0"/>
            <w:vAlign w:val="center"/>
          </w:tcPr>
          <w:p w14:paraId="362B59CB">
            <w:pPr>
              <w:spacing w:line="440" w:lineRule="exact"/>
              <w:jc w:val="center"/>
              <w:rPr>
                <w:rFonts w:hint="eastAsia" w:ascii="黑体" w:eastAsia="黑体" w:cs="宋体"/>
                <w:b/>
                <w:bCs/>
                <w:szCs w:val="21"/>
                <w:highlight w:val="none"/>
              </w:rPr>
            </w:pPr>
            <w:r>
              <w:rPr>
                <w:rFonts w:hint="eastAsia" w:ascii="黑体" w:eastAsia="黑体" w:cs="宋体"/>
                <w:b/>
                <w:bCs/>
                <w:szCs w:val="21"/>
                <w:highlight w:val="none"/>
              </w:rPr>
              <w:t>年龄</w:t>
            </w:r>
          </w:p>
        </w:tc>
        <w:tc>
          <w:tcPr>
            <w:tcW w:w="788" w:type="dxa"/>
            <w:noWrap w:val="0"/>
            <w:vAlign w:val="center"/>
          </w:tcPr>
          <w:p w14:paraId="3CEAD9FD">
            <w:pPr>
              <w:spacing w:line="440" w:lineRule="exact"/>
              <w:jc w:val="center"/>
              <w:rPr>
                <w:rFonts w:hint="eastAsia" w:ascii="黑体" w:eastAsia="黑体" w:cs="宋体"/>
                <w:b/>
                <w:bCs/>
                <w:szCs w:val="21"/>
                <w:highlight w:val="none"/>
              </w:rPr>
            </w:pPr>
            <w:r>
              <w:rPr>
                <w:rFonts w:hint="eastAsia" w:ascii="黑体" w:eastAsia="黑体" w:cs="宋体"/>
                <w:b/>
                <w:bCs/>
                <w:szCs w:val="21"/>
                <w:highlight w:val="none"/>
              </w:rPr>
              <w:t>性别</w:t>
            </w:r>
          </w:p>
        </w:tc>
        <w:tc>
          <w:tcPr>
            <w:tcW w:w="1395" w:type="dxa"/>
            <w:noWrap w:val="0"/>
            <w:vAlign w:val="center"/>
          </w:tcPr>
          <w:p w14:paraId="42E4F884">
            <w:pPr>
              <w:spacing w:line="440" w:lineRule="exact"/>
              <w:jc w:val="center"/>
              <w:rPr>
                <w:rFonts w:hint="eastAsia" w:ascii="黑体" w:eastAsia="黑体" w:cs="宋体"/>
                <w:b/>
                <w:bCs/>
                <w:szCs w:val="21"/>
                <w:highlight w:val="none"/>
              </w:rPr>
            </w:pPr>
            <w:r>
              <w:rPr>
                <w:rFonts w:hint="eastAsia" w:ascii="黑体" w:eastAsia="黑体" w:cs="宋体"/>
                <w:b/>
                <w:bCs/>
                <w:szCs w:val="21"/>
                <w:highlight w:val="none"/>
              </w:rPr>
              <w:t>职称</w:t>
            </w:r>
          </w:p>
        </w:tc>
        <w:tc>
          <w:tcPr>
            <w:tcW w:w="1540" w:type="dxa"/>
            <w:noWrap w:val="0"/>
            <w:vAlign w:val="center"/>
          </w:tcPr>
          <w:p w14:paraId="750F1F29">
            <w:pPr>
              <w:spacing w:line="440" w:lineRule="exact"/>
              <w:jc w:val="center"/>
              <w:rPr>
                <w:rFonts w:hint="eastAsia" w:ascii="黑体" w:eastAsia="黑体" w:cs="宋体"/>
                <w:b/>
                <w:bCs/>
                <w:szCs w:val="21"/>
                <w:highlight w:val="none"/>
              </w:rPr>
            </w:pPr>
            <w:r>
              <w:rPr>
                <w:rFonts w:hint="eastAsia" w:ascii="黑体" w:eastAsia="黑体" w:cs="宋体"/>
                <w:b/>
                <w:bCs/>
                <w:szCs w:val="21"/>
                <w:highlight w:val="none"/>
              </w:rPr>
              <w:t>拟任职务</w:t>
            </w:r>
          </w:p>
        </w:tc>
        <w:tc>
          <w:tcPr>
            <w:tcW w:w="1735" w:type="dxa"/>
            <w:noWrap w:val="0"/>
            <w:vAlign w:val="center"/>
          </w:tcPr>
          <w:p w14:paraId="2DFEBFE5">
            <w:pPr>
              <w:spacing w:line="440" w:lineRule="exact"/>
              <w:jc w:val="center"/>
              <w:rPr>
                <w:rFonts w:hint="eastAsia" w:ascii="黑体" w:eastAsia="黑体" w:cs="宋体"/>
                <w:b/>
                <w:bCs/>
                <w:szCs w:val="21"/>
                <w:highlight w:val="none"/>
              </w:rPr>
            </w:pPr>
            <w:r>
              <w:rPr>
                <w:rFonts w:hint="eastAsia" w:ascii="黑体" w:eastAsia="黑体" w:cs="宋体"/>
                <w:b/>
                <w:bCs/>
                <w:szCs w:val="21"/>
                <w:highlight w:val="none"/>
              </w:rPr>
              <w:t>持证名称</w:t>
            </w:r>
          </w:p>
        </w:tc>
        <w:tc>
          <w:tcPr>
            <w:tcW w:w="1890" w:type="dxa"/>
            <w:noWrap w:val="0"/>
            <w:vAlign w:val="center"/>
          </w:tcPr>
          <w:p w14:paraId="11BC6DFF">
            <w:pPr>
              <w:spacing w:line="440" w:lineRule="exact"/>
              <w:jc w:val="center"/>
              <w:rPr>
                <w:rFonts w:hint="eastAsia" w:ascii="黑体" w:eastAsia="黑体" w:cs="宋体"/>
                <w:b/>
                <w:bCs/>
                <w:szCs w:val="21"/>
                <w:highlight w:val="none"/>
              </w:rPr>
            </w:pPr>
            <w:r>
              <w:rPr>
                <w:rFonts w:hint="eastAsia" w:ascii="黑体" w:eastAsia="黑体" w:cs="宋体"/>
                <w:b/>
                <w:bCs/>
                <w:szCs w:val="21"/>
                <w:highlight w:val="none"/>
              </w:rPr>
              <w:t>持证证号</w:t>
            </w:r>
          </w:p>
        </w:tc>
      </w:tr>
      <w:tr w14:paraId="63BC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366" w:type="dxa"/>
            <w:noWrap w:val="0"/>
            <w:vAlign w:val="center"/>
          </w:tcPr>
          <w:p w14:paraId="160B7DFE">
            <w:pPr>
              <w:spacing w:line="440" w:lineRule="exact"/>
              <w:jc w:val="center"/>
              <w:rPr>
                <w:rFonts w:hint="eastAsia" w:ascii="黑体" w:eastAsia="黑体" w:cs="宋体"/>
                <w:szCs w:val="21"/>
                <w:highlight w:val="none"/>
              </w:rPr>
            </w:pPr>
          </w:p>
        </w:tc>
        <w:tc>
          <w:tcPr>
            <w:tcW w:w="1166" w:type="dxa"/>
            <w:noWrap w:val="0"/>
            <w:vAlign w:val="center"/>
          </w:tcPr>
          <w:p w14:paraId="64EF9E14">
            <w:pPr>
              <w:spacing w:line="440" w:lineRule="exact"/>
              <w:jc w:val="center"/>
              <w:rPr>
                <w:rFonts w:hint="eastAsia" w:ascii="黑体" w:eastAsia="黑体" w:cs="宋体"/>
                <w:szCs w:val="21"/>
                <w:highlight w:val="none"/>
              </w:rPr>
            </w:pPr>
          </w:p>
        </w:tc>
        <w:tc>
          <w:tcPr>
            <w:tcW w:w="788" w:type="dxa"/>
            <w:noWrap w:val="0"/>
            <w:vAlign w:val="center"/>
          </w:tcPr>
          <w:p w14:paraId="1275D651">
            <w:pPr>
              <w:spacing w:line="440" w:lineRule="exact"/>
              <w:jc w:val="center"/>
              <w:rPr>
                <w:rFonts w:hint="eastAsia" w:ascii="黑体" w:eastAsia="黑体" w:cs="宋体"/>
                <w:szCs w:val="21"/>
                <w:highlight w:val="none"/>
              </w:rPr>
            </w:pPr>
          </w:p>
        </w:tc>
        <w:tc>
          <w:tcPr>
            <w:tcW w:w="1395" w:type="dxa"/>
            <w:noWrap w:val="0"/>
            <w:vAlign w:val="center"/>
          </w:tcPr>
          <w:p w14:paraId="33A0A06F">
            <w:pPr>
              <w:spacing w:line="440" w:lineRule="exact"/>
              <w:jc w:val="center"/>
              <w:rPr>
                <w:rFonts w:hint="eastAsia" w:ascii="黑体" w:eastAsia="黑体" w:cs="宋体"/>
                <w:szCs w:val="21"/>
                <w:highlight w:val="none"/>
              </w:rPr>
            </w:pPr>
          </w:p>
        </w:tc>
        <w:tc>
          <w:tcPr>
            <w:tcW w:w="1540" w:type="dxa"/>
            <w:noWrap w:val="0"/>
            <w:vAlign w:val="center"/>
          </w:tcPr>
          <w:p w14:paraId="7FE6AC72">
            <w:pPr>
              <w:spacing w:line="440" w:lineRule="exact"/>
              <w:jc w:val="center"/>
              <w:rPr>
                <w:rFonts w:hint="eastAsia" w:ascii="黑体" w:eastAsia="黑体" w:cs="宋体"/>
                <w:szCs w:val="21"/>
                <w:highlight w:val="none"/>
              </w:rPr>
            </w:pPr>
          </w:p>
        </w:tc>
        <w:tc>
          <w:tcPr>
            <w:tcW w:w="1735" w:type="dxa"/>
            <w:noWrap w:val="0"/>
            <w:vAlign w:val="center"/>
          </w:tcPr>
          <w:p w14:paraId="17A830E6">
            <w:pPr>
              <w:spacing w:line="440" w:lineRule="exact"/>
              <w:jc w:val="center"/>
              <w:rPr>
                <w:rFonts w:hint="eastAsia" w:ascii="黑体" w:eastAsia="黑体" w:cs="宋体"/>
                <w:szCs w:val="21"/>
                <w:highlight w:val="none"/>
              </w:rPr>
            </w:pPr>
          </w:p>
        </w:tc>
        <w:tc>
          <w:tcPr>
            <w:tcW w:w="1890" w:type="dxa"/>
            <w:noWrap w:val="0"/>
            <w:vAlign w:val="center"/>
          </w:tcPr>
          <w:p w14:paraId="14DB2078">
            <w:pPr>
              <w:spacing w:line="440" w:lineRule="exact"/>
              <w:jc w:val="center"/>
              <w:rPr>
                <w:rFonts w:hint="eastAsia" w:ascii="黑体" w:eastAsia="黑体" w:cs="宋体"/>
                <w:szCs w:val="21"/>
                <w:highlight w:val="none"/>
              </w:rPr>
            </w:pPr>
          </w:p>
        </w:tc>
      </w:tr>
      <w:tr w14:paraId="0D0DD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366" w:type="dxa"/>
            <w:noWrap w:val="0"/>
            <w:vAlign w:val="center"/>
          </w:tcPr>
          <w:p w14:paraId="44F1DDCA">
            <w:pPr>
              <w:spacing w:line="440" w:lineRule="exact"/>
              <w:jc w:val="center"/>
              <w:rPr>
                <w:rFonts w:hint="eastAsia" w:ascii="黑体" w:eastAsia="黑体" w:cs="宋体"/>
                <w:szCs w:val="21"/>
                <w:highlight w:val="none"/>
              </w:rPr>
            </w:pPr>
          </w:p>
        </w:tc>
        <w:tc>
          <w:tcPr>
            <w:tcW w:w="1166" w:type="dxa"/>
            <w:noWrap w:val="0"/>
            <w:vAlign w:val="center"/>
          </w:tcPr>
          <w:p w14:paraId="7B112C54">
            <w:pPr>
              <w:spacing w:line="440" w:lineRule="exact"/>
              <w:jc w:val="center"/>
              <w:rPr>
                <w:rFonts w:hint="eastAsia" w:ascii="黑体" w:eastAsia="黑体" w:cs="宋体"/>
                <w:szCs w:val="21"/>
                <w:highlight w:val="none"/>
              </w:rPr>
            </w:pPr>
          </w:p>
        </w:tc>
        <w:tc>
          <w:tcPr>
            <w:tcW w:w="788" w:type="dxa"/>
            <w:noWrap w:val="0"/>
            <w:vAlign w:val="center"/>
          </w:tcPr>
          <w:p w14:paraId="2A2B936B">
            <w:pPr>
              <w:spacing w:line="440" w:lineRule="exact"/>
              <w:jc w:val="center"/>
              <w:rPr>
                <w:rFonts w:hint="eastAsia" w:ascii="黑体" w:eastAsia="黑体" w:cs="宋体"/>
                <w:szCs w:val="21"/>
                <w:highlight w:val="none"/>
              </w:rPr>
            </w:pPr>
          </w:p>
        </w:tc>
        <w:tc>
          <w:tcPr>
            <w:tcW w:w="1395" w:type="dxa"/>
            <w:noWrap w:val="0"/>
            <w:vAlign w:val="center"/>
          </w:tcPr>
          <w:p w14:paraId="0EEC5AAA">
            <w:pPr>
              <w:spacing w:line="440" w:lineRule="exact"/>
              <w:jc w:val="center"/>
              <w:rPr>
                <w:rFonts w:hint="eastAsia" w:ascii="黑体" w:eastAsia="黑体" w:cs="宋体"/>
                <w:szCs w:val="21"/>
                <w:highlight w:val="none"/>
              </w:rPr>
            </w:pPr>
          </w:p>
        </w:tc>
        <w:tc>
          <w:tcPr>
            <w:tcW w:w="1540" w:type="dxa"/>
            <w:noWrap w:val="0"/>
            <w:vAlign w:val="center"/>
          </w:tcPr>
          <w:p w14:paraId="2071D972">
            <w:pPr>
              <w:spacing w:line="440" w:lineRule="exact"/>
              <w:jc w:val="center"/>
              <w:rPr>
                <w:rFonts w:hint="eastAsia" w:ascii="黑体" w:eastAsia="黑体" w:cs="宋体"/>
                <w:szCs w:val="21"/>
                <w:highlight w:val="none"/>
              </w:rPr>
            </w:pPr>
          </w:p>
        </w:tc>
        <w:tc>
          <w:tcPr>
            <w:tcW w:w="1735" w:type="dxa"/>
            <w:noWrap w:val="0"/>
            <w:vAlign w:val="center"/>
          </w:tcPr>
          <w:p w14:paraId="26CEA7FE">
            <w:pPr>
              <w:spacing w:line="440" w:lineRule="exact"/>
              <w:jc w:val="center"/>
              <w:rPr>
                <w:rFonts w:hint="eastAsia" w:ascii="黑体" w:eastAsia="黑体" w:cs="宋体"/>
                <w:szCs w:val="21"/>
                <w:highlight w:val="none"/>
              </w:rPr>
            </w:pPr>
          </w:p>
        </w:tc>
        <w:tc>
          <w:tcPr>
            <w:tcW w:w="1890" w:type="dxa"/>
            <w:noWrap w:val="0"/>
            <w:vAlign w:val="center"/>
          </w:tcPr>
          <w:p w14:paraId="352A8BCC">
            <w:pPr>
              <w:spacing w:line="440" w:lineRule="exact"/>
              <w:jc w:val="center"/>
              <w:rPr>
                <w:rFonts w:hint="eastAsia" w:ascii="黑体" w:eastAsia="黑体" w:cs="宋体"/>
                <w:szCs w:val="21"/>
                <w:highlight w:val="none"/>
              </w:rPr>
            </w:pPr>
          </w:p>
        </w:tc>
      </w:tr>
      <w:tr w14:paraId="1ECF9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366" w:type="dxa"/>
            <w:noWrap w:val="0"/>
            <w:vAlign w:val="center"/>
          </w:tcPr>
          <w:p w14:paraId="433CD227">
            <w:pPr>
              <w:spacing w:line="440" w:lineRule="exact"/>
              <w:jc w:val="center"/>
              <w:rPr>
                <w:rFonts w:hint="eastAsia" w:ascii="黑体" w:eastAsia="黑体" w:cs="宋体"/>
                <w:szCs w:val="21"/>
                <w:highlight w:val="none"/>
              </w:rPr>
            </w:pPr>
          </w:p>
        </w:tc>
        <w:tc>
          <w:tcPr>
            <w:tcW w:w="1166" w:type="dxa"/>
            <w:noWrap w:val="0"/>
            <w:vAlign w:val="center"/>
          </w:tcPr>
          <w:p w14:paraId="7D2E5A5C">
            <w:pPr>
              <w:spacing w:line="440" w:lineRule="exact"/>
              <w:jc w:val="center"/>
              <w:rPr>
                <w:rFonts w:hint="eastAsia" w:ascii="黑体" w:eastAsia="黑体" w:cs="宋体"/>
                <w:szCs w:val="21"/>
                <w:highlight w:val="none"/>
              </w:rPr>
            </w:pPr>
          </w:p>
        </w:tc>
        <w:tc>
          <w:tcPr>
            <w:tcW w:w="788" w:type="dxa"/>
            <w:noWrap w:val="0"/>
            <w:vAlign w:val="center"/>
          </w:tcPr>
          <w:p w14:paraId="67D77916">
            <w:pPr>
              <w:spacing w:line="440" w:lineRule="exact"/>
              <w:jc w:val="center"/>
              <w:rPr>
                <w:rFonts w:hint="eastAsia" w:ascii="黑体" w:eastAsia="黑体" w:cs="宋体"/>
                <w:szCs w:val="21"/>
                <w:highlight w:val="none"/>
              </w:rPr>
            </w:pPr>
          </w:p>
        </w:tc>
        <w:tc>
          <w:tcPr>
            <w:tcW w:w="1395" w:type="dxa"/>
            <w:noWrap w:val="0"/>
            <w:vAlign w:val="center"/>
          </w:tcPr>
          <w:p w14:paraId="01C7C75B">
            <w:pPr>
              <w:spacing w:line="440" w:lineRule="exact"/>
              <w:jc w:val="center"/>
              <w:rPr>
                <w:rFonts w:hint="eastAsia" w:ascii="黑体" w:eastAsia="黑体" w:cs="宋体"/>
                <w:szCs w:val="21"/>
                <w:highlight w:val="none"/>
              </w:rPr>
            </w:pPr>
          </w:p>
        </w:tc>
        <w:tc>
          <w:tcPr>
            <w:tcW w:w="1540" w:type="dxa"/>
            <w:noWrap w:val="0"/>
            <w:vAlign w:val="center"/>
          </w:tcPr>
          <w:p w14:paraId="07968310">
            <w:pPr>
              <w:spacing w:line="440" w:lineRule="exact"/>
              <w:jc w:val="center"/>
              <w:rPr>
                <w:rFonts w:hint="eastAsia" w:ascii="黑体" w:eastAsia="黑体" w:cs="宋体"/>
                <w:szCs w:val="21"/>
                <w:highlight w:val="none"/>
              </w:rPr>
            </w:pPr>
          </w:p>
        </w:tc>
        <w:tc>
          <w:tcPr>
            <w:tcW w:w="1735" w:type="dxa"/>
            <w:noWrap w:val="0"/>
            <w:vAlign w:val="center"/>
          </w:tcPr>
          <w:p w14:paraId="3CCB07F8">
            <w:pPr>
              <w:spacing w:line="440" w:lineRule="exact"/>
              <w:jc w:val="center"/>
              <w:rPr>
                <w:rFonts w:hint="eastAsia" w:ascii="黑体" w:eastAsia="黑体" w:cs="宋体"/>
                <w:szCs w:val="21"/>
                <w:highlight w:val="none"/>
              </w:rPr>
            </w:pPr>
          </w:p>
        </w:tc>
        <w:tc>
          <w:tcPr>
            <w:tcW w:w="1890" w:type="dxa"/>
            <w:noWrap w:val="0"/>
            <w:vAlign w:val="center"/>
          </w:tcPr>
          <w:p w14:paraId="20064B2D">
            <w:pPr>
              <w:spacing w:line="440" w:lineRule="exact"/>
              <w:jc w:val="center"/>
              <w:rPr>
                <w:rFonts w:hint="eastAsia" w:ascii="黑体" w:eastAsia="黑体" w:cs="宋体"/>
                <w:szCs w:val="21"/>
                <w:highlight w:val="none"/>
              </w:rPr>
            </w:pPr>
          </w:p>
        </w:tc>
      </w:tr>
    </w:tbl>
    <w:p w14:paraId="28F379D2">
      <w:pPr>
        <w:pStyle w:val="67"/>
        <w:widowControl/>
        <w:autoSpaceDE/>
        <w:autoSpaceDN/>
        <w:spacing w:before="0" w:after="0" w:line="440" w:lineRule="exact"/>
        <w:ind w:left="0" w:right="0" w:firstLine="420" w:firstLineChars="200"/>
        <w:rPr>
          <w:rFonts w:hint="eastAsia" w:ascii="宋体" w:cs="宋体"/>
          <w:sz w:val="21"/>
          <w:szCs w:val="21"/>
          <w:highlight w:val="none"/>
        </w:rPr>
      </w:pPr>
      <w:r>
        <w:rPr>
          <w:rFonts w:hint="eastAsia" w:ascii="宋体" w:cs="宋体"/>
          <w:sz w:val="21"/>
          <w:szCs w:val="21"/>
          <w:highlight w:val="none"/>
          <w:lang w:val="en-US" w:eastAsia="zh-CN"/>
        </w:rPr>
        <w:t>3</w:t>
      </w:r>
      <w:r>
        <w:rPr>
          <w:rFonts w:hint="eastAsia" w:ascii="宋体" w:cs="宋体"/>
          <w:sz w:val="21"/>
          <w:szCs w:val="21"/>
          <w:highlight w:val="none"/>
        </w:rPr>
        <w:t>、</w:t>
      </w:r>
      <w:r>
        <w:rPr>
          <w:rFonts w:hint="eastAsia" w:ascii="宋体" w:cs="宋体"/>
          <w:sz w:val="21"/>
          <w:szCs w:val="21"/>
          <w:highlight w:val="none"/>
          <w:lang w:val="en-US" w:eastAsia="zh-CN"/>
        </w:rPr>
        <w:t>按《</w:t>
      </w:r>
      <w:r>
        <w:rPr>
          <w:rFonts w:hint="eastAsia" w:ascii="宋体" w:cs="宋体"/>
          <w:sz w:val="21"/>
          <w:szCs w:val="21"/>
          <w:highlight w:val="none"/>
        </w:rPr>
        <w:t>监理单位履约考核扣款细则</w:t>
      </w:r>
      <w:r>
        <w:rPr>
          <w:rFonts w:hint="eastAsia" w:ascii="宋体" w:cs="宋体"/>
          <w:sz w:val="21"/>
          <w:szCs w:val="21"/>
          <w:highlight w:val="none"/>
          <w:lang w:eastAsia="zh-CN"/>
        </w:rPr>
        <w:t>》</w:t>
      </w:r>
      <w:r>
        <w:rPr>
          <w:rFonts w:hint="eastAsia" w:ascii="宋体" w:cs="宋体"/>
          <w:sz w:val="21"/>
          <w:szCs w:val="21"/>
          <w:highlight w:val="none"/>
          <w:lang w:val="en-US" w:eastAsia="zh-CN"/>
        </w:rPr>
        <w:t>执行，详见附件</w:t>
      </w:r>
      <w:r>
        <w:rPr>
          <w:rFonts w:hint="eastAsia" w:ascii="宋体" w:cs="宋体"/>
          <w:sz w:val="21"/>
          <w:szCs w:val="21"/>
          <w:highlight w:val="none"/>
        </w:rPr>
        <w:t>。</w:t>
      </w:r>
    </w:p>
    <w:p w14:paraId="468BE4F6">
      <w:pPr>
        <w:pageBreakBefore/>
        <w:spacing w:line="440" w:lineRule="exact"/>
        <w:ind w:firstLine="422" w:firstLineChars="200"/>
        <w:jc w:val="center"/>
        <w:outlineLvl w:val="0"/>
        <w:rPr>
          <w:rFonts w:hint="eastAsia" w:ascii="宋体" w:hAnsi="宋体" w:eastAsia="宋体" w:cs="宋体"/>
          <w:b/>
          <w:bCs/>
          <w:color w:val="auto"/>
          <w:szCs w:val="21"/>
          <w:highlight w:val="none"/>
        </w:rPr>
      </w:pPr>
      <w:bookmarkStart w:id="930" w:name="_Toc27018"/>
      <w:bookmarkStart w:id="931" w:name="_Toc20311"/>
      <w:r>
        <w:rPr>
          <w:rFonts w:hint="eastAsia" w:ascii="宋体" w:hAnsi="宋体" w:eastAsia="宋体" w:cs="宋体"/>
          <w:b/>
          <w:bCs/>
          <w:color w:val="auto"/>
          <w:szCs w:val="21"/>
          <w:highlight w:val="none"/>
        </w:rPr>
        <w:t>附录A  相关服务的范围和内容</w:t>
      </w:r>
      <w:bookmarkEnd w:id="930"/>
      <w:bookmarkEnd w:id="931"/>
    </w:p>
    <w:p w14:paraId="3BFF13AC">
      <w:pPr>
        <w:snapToGrid w:val="0"/>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A-1 勘察阶段：</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38C6F23A">
      <w:pPr>
        <w:snapToGrid w:val="0"/>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A-2 设计阶段：</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36FE1F0">
      <w:pPr>
        <w:snapToGrid w:val="0"/>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A-3 保修阶段：</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E37E2E6">
      <w:pPr>
        <w:snapToGrid w:val="0"/>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A-4 </w:t>
      </w:r>
      <w:r>
        <w:rPr>
          <w:rFonts w:hint="eastAsia" w:ascii="宋体" w:hAnsi="宋体" w:eastAsia="宋体" w:cs="宋体"/>
          <w:color w:val="auto"/>
          <w:szCs w:val="21"/>
          <w:highlight w:val="none"/>
        </w:rPr>
        <w:t>其他（专业技术咨询、外部协调工作等）：</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bookmarkStart w:id="932" w:name="_Toc24500"/>
      <w:bookmarkStart w:id="933" w:name="_Toc16232"/>
    </w:p>
    <w:p w14:paraId="32E1191B">
      <w:pPr>
        <w:snapToGrid w:val="0"/>
        <w:spacing w:line="440" w:lineRule="exact"/>
        <w:ind w:firstLine="422" w:firstLineChars="20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附录B  委托人派遣的人员和提供的房屋、资料、设备</w:t>
      </w:r>
      <w:bookmarkEnd w:id="932"/>
      <w:bookmarkEnd w:id="933"/>
    </w:p>
    <w:p w14:paraId="15A18237">
      <w:pPr>
        <w:spacing w:line="440" w:lineRule="exact"/>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B-1  委托人派遣的人员</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gridCol w:w="1770"/>
        <w:gridCol w:w="2130"/>
        <w:gridCol w:w="1860"/>
      </w:tblGrid>
      <w:tr w14:paraId="7CFF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8" w:type="dxa"/>
            <w:noWrap w:val="0"/>
            <w:vAlign w:val="center"/>
          </w:tcPr>
          <w:p w14:paraId="5018F87D">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名称</w:t>
            </w:r>
          </w:p>
        </w:tc>
        <w:tc>
          <w:tcPr>
            <w:tcW w:w="1770" w:type="dxa"/>
            <w:noWrap w:val="0"/>
            <w:vAlign w:val="center"/>
          </w:tcPr>
          <w:p w14:paraId="44D9142C">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2130" w:type="dxa"/>
            <w:noWrap w:val="0"/>
            <w:vAlign w:val="center"/>
          </w:tcPr>
          <w:p w14:paraId="4FF3EC9A">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工作要求</w:t>
            </w:r>
          </w:p>
        </w:tc>
        <w:tc>
          <w:tcPr>
            <w:tcW w:w="1860" w:type="dxa"/>
            <w:noWrap w:val="0"/>
            <w:vAlign w:val="center"/>
          </w:tcPr>
          <w:p w14:paraId="657620CA">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提供时间</w:t>
            </w:r>
          </w:p>
        </w:tc>
      </w:tr>
      <w:tr w14:paraId="65C16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8" w:type="dxa"/>
            <w:noWrap w:val="0"/>
            <w:vAlign w:val="center"/>
          </w:tcPr>
          <w:p w14:paraId="7A073BA6">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工程技术人员</w:t>
            </w:r>
          </w:p>
        </w:tc>
        <w:tc>
          <w:tcPr>
            <w:tcW w:w="1770" w:type="dxa"/>
            <w:noWrap w:val="0"/>
            <w:vAlign w:val="center"/>
          </w:tcPr>
          <w:p w14:paraId="49013073">
            <w:pPr>
              <w:spacing w:line="440" w:lineRule="exact"/>
              <w:jc w:val="center"/>
              <w:rPr>
                <w:rFonts w:hint="eastAsia" w:ascii="宋体" w:hAnsi="宋体" w:eastAsia="宋体" w:cs="宋体"/>
                <w:color w:val="auto"/>
                <w:szCs w:val="21"/>
                <w:highlight w:val="none"/>
              </w:rPr>
            </w:pPr>
          </w:p>
        </w:tc>
        <w:tc>
          <w:tcPr>
            <w:tcW w:w="2130" w:type="dxa"/>
            <w:noWrap w:val="0"/>
            <w:vAlign w:val="center"/>
          </w:tcPr>
          <w:p w14:paraId="2FC02C01">
            <w:pPr>
              <w:spacing w:line="440" w:lineRule="exact"/>
              <w:jc w:val="center"/>
              <w:rPr>
                <w:rFonts w:hint="eastAsia" w:ascii="宋体" w:hAnsi="宋体" w:eastAsia="宋体" w:cs="宋体"/>
                <w:color w:val="auto"/>
                <w:szCs w:val="21"/>
                <w:highlight w:val="none"/>
              </w:rPr>
            </w:pPr>
          </w:p>
        </w:tc>
        <w:tc>
          <w:tcPr>
            <w:tcW w:w="1860" w:type="dxa"/>
            <w:noWrap w:val="0"/>
            <w:vAlign w:val="center"/>
          </w:tcPr>
          <w:p w14:paraId="3DC89209">
            <w:pPr>
              <w:spacing w:line="440" w:lineRule="exact"/>
              <w:jc w:val="center"/>
              <w:rPr>
                <w:rFonts w:hint="eastAsia" w:ascii="宋体" w:hAnsi="宋体" w:eastAsia="宋体" w:cs="宋体"/>
                <w:color w:val="auto"/>
                <w:szCs w:val="21"/>
                <w:highlight w:val="none"/>
              </w:rPr>
            </w:pPr>
          </w:p>
        </w:tc>
      </w:tr>
      <w:tr w14:paraId="63C3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8" w:type="dxa"/>
            <w:noWrap w:val="0"/>
            <w:vAlign w:val="center"/>
          </w:tcPr>
          <w:p w14:paraId="6EBBE681">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辅助工作人员</w:t>
            </w:r>
          </w:p>
        </w:tc>
        <w:tc>
          <w:tcPr>
            <w:tcW w:w="1770" w:type="dxa"/>
            <w:noWrap w:val="0"/>
            <w:vAlign w:val="center"/>
          </w:tcPr>
          <w:p w14:paraId="71798403">
            <w:pPr>
              <w:spacing w:line="440" w:lineRule="exact"/>
              <w:jc w:val="center"/>
              <w:rPr>
                <w:rFonts w:hint="eastAsia" w:ascii="宋体" w:hAnsi="宋体" w:eastAsia="宋体" w:cs="宋体"/>
                <w:color w:val="auto"/>
                <w:szCs w:val="21"/>
                <w:highlight w:val="none"/>
              </w:rPr>
            </w:pPr>
          </w:p>
        </w:tc>
        <w:tc>
          <w:tcPr>
            <w:tcW w:w="2130" w:type="dxa"/>
            <w:noWrap w:val="0"/>
            <w:vAlign w:val="center"/>
          </w:tcPr>
          <w:p w14:paraId="36131315">
            <w:pPr>
              <w:spacing w:line="440" w:lineRule="exact"/>
              <w:jc w:val="center"/>
              <w:rPr>
                <w:rFonts w:hint="eastAsia" w:ascii="宋体" w:hAnsi="宋体" w:eastAsia="宋体" w:cs="宋体"/>
                <w:color w:val="auto"/>
                <w:szCs w:val="21"/>
                <w:highlight w:val="none"/>
              </w:rPr>
            </w:pPr>
          </w:p>
        </w:tc>
        <w:tc>
          <w:tcPr>
            <w:tcW w:w="1860" w:type="dxa"/>
            <w:noWrap w:val="0"/>
            <w:vAlign w:val="center"/>
          </w:tcPr>
          <w:p w14:paraId="21DE0ADB">
            <w:pPr>
              <w:spacing w:line="440" w:lineRule="exact"/>
              <w:jc w:val="center"/>
              <w:rPr>
                <w:rFonts w:hint="eastAsia" w:ascii="宋体" w:hAnsi="宋体" w:eastAsia="宋体" w:cs="宋体"/>
                <w:color w:val="auto"/>
                <w:szCs w:val="21"/>
                <w:highlight w:val="none"/>
              </w:rPr>
            </w:pPr>
          </w:p>
        </w:tc>
      </w:tr>
      <w:tr w14:paraId="60F60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8" w:type="dxa"/>
            <w:noWrap w:val="0"/>
            <w:vAlign w:val="center"/>
          </w:tcPr>
          <w:p w14:paraId="7486B26E">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其他人员</w:t>
            </w:r>
          </w:p>
        </w:tc>
        <w:tc>
          <w:tcPr>
            <w:tcW w:w="1770" w:type="dxa"/>
            <w:noWrap w:val="0"/>
            <w:vAlign w:val="center"/>
          </w:tcPr>
          <w:p w14:paraId="468E7724">
            <w:pPr>
              <w:spacing w:line="440" w:lineRule="exact"/>
              <w:jc w:val="center"/>
              <w:rPr>
                <w:rFonts w:hint="eastAsia" w:ascii="宋体" w:hAnsi="宋体" w:eastAsia="宋体" w:cs="宋体"/>
                <w:color w:val="auto"/>
                <w:szCs w:val="21"/>
                <w:highlight w:val="none"/>
              </w:rPr>
            </w:pPr>
          </w:p>
        </w:tc>
        <w:tc>
          <w:tcPr>
            <w:tcW w:w="2130" w:type="dxa"/>
            <w:noWrap w:val="0"/>
            <w:vAlign w:val="center"/>
          </w:tcPr>
          <w:p w14:paraId="6B081E4F">
            <w:pPr>
              <w:spacing w:line="440" w:lineRule="exact"/>
              <w:jc w:val="center"/>
              <w:rPr>
                <w:rFonts w:hint="eastAsia" w:ascii="宋体" w:hAnsi="宋体" w:eastAsia="宋体" w:cs="宋体"/>
                <w:color w:val="auto"/>
                <w:szCs w:val="21"/>
                <w:highlight w:val="none"/>
              </w:rPr>
            </w:pPr>
          </w:p>
        </w:tc>
        <w:tc>
          <w:tcPr>
            <w:tcW w:w="1860" w:type="dxa"/>
            <w:noWrap w:val="0"/>
            <w:vAlign w:val="center"/>
          </w:tcPr>
          <w:p w14:paraId="59BC1B64">
            <w:pPr>
              <w:spacing w:line="440" w:lineRule="exact"/>
              <w:jc w:val="center"/>
              <w:rPr>
                <w:rFonts w:hint="eastAsia" w:ascii="宋体" w:hAnsi="宋体" w:eastAsia="宋体" w:cs="宋体"/>
                <w:color w:val="auto"/>
                <w:szCs w:val="21"/>
                <w:highlight w:val="none"/>
              </w:rPr>
            </w:pPr>
          </w:p>
        </w:tc>
      </w:tr>
      <w:tr w14:paraId="4805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8" w:type="dxa"/>
            <w:noWrap w:val="0"/>
            <w:vAlign w:val="center"/>
          </w:tcPr>
          <w:p w14:paraId="4BAC166D">
            <w:pPr>
              <w:spacing w:line="440" w:lineRule="exact"/>
              <w:jc w:val="center"/>
              <w:rPr>
                <w:rFonts w:hint="eastAsia" w:ascii="宋体" w:hAnsi="宋体" w:eastAsia="宋体" w:cs="宋体"/>
                <w:color w:val="auto"/>
                <w:szCs w:val="21"/>
                <w:highlight w:val="none"/>
              </w:rPr>
            </w:pPr>
          </w:p>
        </w:tc>
        <w:tc>
          <w:tcPr>
            <w:tcW w:w="1770" w:type="dxa"/>
            <w:noWrap w:val="0"/>
            <w:vAlign w:val="center"/>
          </w:tcPr>
          <w:p w14:paraId="1D033BA9">
            <w:pPr>
              <w:spacing w:line="440" w:lineRule="exact"/>
              <w:jc w:val="center"/>
              <w:rPr>
                <w:rFonts w:hint="eastAsia" w:ascii="宋体" w:hAnsi="宋体" w:eastAsia="宋体" w:cs="宋体"/>
                <w:color w:val="auto"/>
                <w:szCs w:val="21"/>
                <w:highlight w:val="none"/>
              </w:rPr>
            </w:pPr>
          </w:p>
        </w:tc>
        <w:tc>
          <w:tcPr>
            <w:tcW w:w="2130" w:type="dxa"/>
            <w:noWrap w:val="0"/>
            <w:vAlign w:val="center"/>
          </w:tcPr>
          <w:p w14:paraId="1F191DA4">
            <w:pPr>
              <w:spacing w:line="440" w:lineRule="exact"/>
              <w:jc w:val="center"/>
              <w:rPr>
                <w:rFonts w:hint="eastAsia" w:ascii="宋体" w:hAnsi="宋体" w:eastAsia="宋体" w:cs="宋体"/>
                <w:color w:val="auto"/>
                <w:szCs w:val="21"/>
                <w:highlight w:val="none"/>
              </w:rPr>
            </w:pPr>
          </w:p>
        </w:tc>
        <w:tc>
          <w:tcPr>
            <w:tcW w:w="1860" w:type="dxa"/>
            <w:noWrap w:val="0"/>
            <w:vAlign w:val="center"/>
          </w:tcPr>
          <w:p w14:paraId="75E214B3">
            <w:pPr>
              <w:spacing w:line="440" w:lineRule="exact"/>
              <w:jc w:val="center"/>
              <w:rPr>
                <w:rFonts w:hint="eastAsia" w:ascii="宋体" w:hAnsi="宋体" w:eastAsia="宋体" w:cs="宋体"/>
                <w:color w:val="auto"/>
                <w:szCs w:val="21"/>
                <w:highlight w:val="none"/>
              </w:rPr>
            </w:pPr>
          </w:p>
        </w:tc>
      </w:tr>
    </w:tbl>
    <w:p w14:paraId="0D5DE5DF">
      <w:pPr>
        <w:spacing w:line="440" w:lineRule="exact"/>
        <w:ind w:firstLine="422" w:firstLineChars="200"/>
        <w:outlineLvl w:val="0"/>
        <w:rPr>
          <w:rFonts w:hint="eastAsia" w:ascii="宋体" w:hAnsi="宋体" w:eastAsia="宋体" w:cs="宋体"/>
          <w:b/>
          <w:color w:val="auto"/>
          <w:kern w:val="0"/>
          <w:szCs w:val="21"/>
          <w:highlight w:val="none"/>
        </w:rPr>
      </w:pPr>
      <w:bookmarkStart w:id="934" w:name="_Toc15300912"/>
      <w:bookmarkStart w:id="935" w:name="_Toc10969"/>
      <w:bookmarkStart w:id="936" w:name="_Toc11615"/>
      <w:bookmarkStart w:id="937" w:name="_Toc13821"/>
      <w:r>
        <w:rPr>
          <w:rFonts w:hint="eastAsia" w:ascii="宋体" w:hAnsi="宋体" w:eastAsia="宋体" w:cs="宋体"/>
          <w:b/>
          <w:color w:val="auto"/>
          <w:kern w:val="0"/>
          <w:szCs w:val="21"/>
          <w:highlight w:val="none"/>
        </w:rPr>
        <w:t>B-2  委托人提供的房屋</w:t>
      </w:r>
      <w:bookmarkEnd w:id="934"/>
      <w:bookmarkEnd w:id="935"/>
      <w:bookmarkEnd w:id="936"/>
      <w:bookmarkEnd w:id="937"/>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2130"/>
        <w:gridCol w:w="2130"/>
        <w:gridCol w:w="1860"/>
      </w:tblGrid>
      <w:tr w14:paraId="78C7B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noWrap w:val="0"/>
            <w:vAlign w:val="center"/>
          </w:tcPr>
          <w:p w14:paraId="1CF6ECDC">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名称</w:t>
            </w:r>
          </w:p>
        </w:tc>
        <w:tc>
          <w:tcPr>
            <w:tcW w:w="2130" w:type="dxa"/>
            <w:noWrap w:val="0"/>
            <w:vAlign w:val="center"/>
          </w:tcPr>
          <w:p w14:paraId="2ABF6CD1">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2130" w:type="dxa"/>
            <w:noWrap w:val="0"/>
            <w:vAlign w:val="center"/>
          </w:tcPr>
          <w:p w14:paraId="479A6605">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面积</w:t>
            </w:r>
          </w:p>
        </w:tc>
        <w:tc>
          <w:tcPr>
            <w:tcW w:w="1860" w:type="dxa"/>
            <w:noWrap w:val="0"/>
            <w:vAlign w:val="center"/>
          </w:tcPr>
          <w:p w14:paraId="75D9EDED">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提供时间</w:t>
            </w:r>
          </w:p>
        </w:tc>
      </w:tr>
      <w:tr w14:paraId="4719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noWrap w:val="0"/>
            <w:vAlign w:val="center"/>
          </w:tcPr>
          <w:p w14:paraId="09757E3E">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办公用房</w:t>
            </w:r>
          </w:p>
        </w:tc>
        <w:tc>
          <w:tcPr>
            <w:tcW w:w="2130" w:type="dxa"/>
            <w:noWrap w:val="0"/>
            <w:vAlign w:val="center"/>
          </w:tcPr>
          <w:p w14:paraId="1BF29474">
            <w:pPr>
              <w:spacing w:line="440" w:lineRule="exact"/>
              <w:jc w:val="center"/>
              <w:rPr>
                <w:rFonts w:hint="eastAsia" w:ascii="宋体" w:hAnsi="宋体" w:eastAsia="宋体" w:cs="宋体"/>
                <w:color w:val="auto"/>
                <w:szCs w:val="21"/>
                <w:highlight w:val="none"/>
              </w:rPr>
            </w:pPr>
          </w:p>
        </w:tc>
        <w:tc>
          <w:tcPr>
            <w:tcW w:w="2130" w:type="dxa"/>
            <w:noWrap w:val="0"/>
            <w:vAlign w:val="center"/>
          </w:tcPr>
          <w:p w14:paraId="34C9DD17">
            <w:pPr>
              <w:spacing w:line="440" w:lineRule="exact"/>
              <w:jc w:val="center"/>
              <w:rPr>
                <w:rFonts w:hint="eastAsia" w:ascii="宋体" w:hAnsi="宋体" w:eastAsia="宋体" w:cs="宋体"/>
                <w:color w:val="auto"/>
                <w:szCs w:val="21"/>
                <w:highlight w:val="none"/>
              </w:rPr>
            </w:pPr>
          </w:p>
        </w:tc>
        <w:tc>
          <w:tcPr>
            <w:tcW w:w="1860" w:type="dxa"/>
            <w:noWrap w:val="0"/>
            <w:vAlign w:val="center"/>
          </w:tcPr>
          <w:p w14:paraId="5C2B1E34">
            <w:pPr>
              <w:spacing w:line="440" w:lineRule="exact"/>
              <w:jc w:val="center"/>
              <w:rPr>
                <w:rFonts w:hint="eastAsia" w:ascii="宋体" w:hAnsi="宋体" w:eastAsia="宋体" w:cs="宋体"/>
                <w:color w:val="auto"/>
                <w:szCs w:val="21"/>
                <w:highlight w:val="none"/>
              </w:rPr>
            </w:pPr>
          </w:p>
        </w:tc>
      </w:tr>
      <w:tr w14:paraId="3D7B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noWrap w:val="0"/>
            <w:vAlign w:val="center"/>
          </w:tcPr>
          <w:p w14:paraId="0452DF76">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生活用房</w:t>
            </w:r>
          </w:p>
        </w:tc>
        <w:tc>
          <w:tcPr>
            <w:tcW w:w="2130" w:type="dxa"/>
            <w:noWrap w:val="0"/>
            <w:vAlign w:val="center"/>
          </w:tcPr>
          <w:p w14:paraId="034A27D6">
            <w:pPr>
              <w:spacing w:line="440" w:lineRule="exact"/>
              <w:jc w:val="center"/>
              <w:rPr>
                <w:rFonts w:hint="eastAsia" w:ascii="宋体" w:hAnsi="宋体" w:eastAsia="宋体" w:cs="宋体"/>
                <w:color w:val="auto"/>
                <w:szCs w:val="21"/>
                <w:highlight w:val="none"/>
              </w:rPr>
            </w:pPr>
          </w:p>
        </w:tc>
        <w:tc>
          <w:tcPr>
            <w:tcW w:w="2130" w:type="dxa"/>
            <w:noWrap w:val="0"/>
            <w:vAlign w:val="center"/>
          </w:tcPr>
          <w:p w14:paraId="5D44F806">
            <w:pPr>
              <w:spacing w:line="440" w:lineRule="exact"/>
              <w:jc w:val="center"/>
              <w:rPr>
                <w:rFonts w:hint="eastAsia" w:ascii="宋体" w:hAnsi="宋体" w:eastAsia="宋体" w:cs="宋体"/>
                <w:color w:val="auto"/>
                <w:szCs w:val="21"/>
                <w:highlight w:val="none"/>
              </w:rPr>
            </w:pPr>
          </w:p>
        </w:tc>
        <w:tc>
          <w:tcPr>
            <w:tcW w:w="1860" w:type="dxa"/>
            <w:noWrap w:val="0"/>
            <w:vAlign w:val="center"/>
          </w:tcPr>
          <w:p w14:paraId="0CAEA494">
            <w:pPr>
              <w:spacing w:line="440" w:lineRule="exact"/>
              <w:jc w:val="center"/>
              <w:rPr>
                <w:rFonts w:hint="eastAsia" w:ascii="宋体" w:hAnsi="宋体" w:eastAsia="宋体" w:cs="宋体"/>
                <w:color w:val="auto"/>
                <w:szCs w:val="21"/>
                <w:highlight w:val="none"/>
              </w:rPr>
            </w:pPr>
          </w:p>
        </w:tc>
      </w:tr>
      <w:tr w14:paraId="478E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noWrap w:val="0"/>
            <w:vAlign w:val="center"/>
          </w:tcPr>
          <w:p w14:paraId="1D5DF436">
            <w:pPr>
              <w:spacing w:line="440" w:lineRule="exact"/>
              <w:jc w:val="center"/>
              <w:rPr>
                <w:rFonts w:hint="eastAsia" w:ascii="宋体" w:hAnsi="宋体" w:eastAsia="宋体" w:cs="宋体"/>
                <w:dstrike/>
                <w:color w:val="auto"/>
                <w:szCs w:val="21"/>
                <w:highlight w:val="none"/>
              </w:rPr>
            </w:pPr>
            <w:r>
              <w:rPr>
                <w:rFonts w:hint="eastAsia" w:ascii="宋体" w:hAnsi="宋体" w:eastAsia="宋体" w:cs="宋体"/>
                <w:color w:val="auto"/>
                <w:szCs w:val="21"/>
                <w:highlight w:val="none"/>
              </w:rPr>
              <w:t>3. 试验用房</w:t>
            </w:r>
          </w:p>
        </w:tc>
        <w:tc>
          <w:tcPr>
            <w:tcW w:w="2130" w:type="dxa"/>
            <w:noWrap w:val="0"/>
            <w:vAlign w:val="center"/>
          </w:tcPr>
          <w:p w14:paraId="2CC242B6">
            <w:pPr>
              <w:spacing w:line="440" w:lineRule="exact"/>
              <w:jc w:val="center"/>
              <w:rPr>
                <w:rFonts w:hint="eastAsia" w:ascii="宋体" w:hAnsi="宋体" w:eastAsia="宋体" w:cs="宋体"/>
                <w:color w:val="auto"/>
                <w:szCs w:val="21"/>
                <w:highlight w:val="none"/>
              </w:rPr>
            </w:pPr>
          </w:p>
        </w:tc>
        <w:tc>
          <w:tcPr>
            <w:tcW w:w="2130" w:type="dxa"/>
            <w:noWrap w:val="0"/>
            <w:vAlign w:val="center"/>
          </w:tcPr>
          <w:p w14:paraId="2BD1D8AE">
            <w:pPr>
              <w:spacing w:line="440" w:lineRule="exact"/>
              <w:jc w:val="center"/>
              <w:rPr>
                <w:rFonts w:hint="eastAsia" w:ascii="宋体" w:hAnsi="宋体" w:eastAsia="宋体" w:cs="宋体"/>
                <w:color w:val="auto"/>
                <w:szCs w:val="21"/>
                <w:highlight w:val="none"/>
              </w:rPr>
            </w:pPr>
          </w:p>
        </w:tc>
        <w:tc>
          <w:tcPr>
            <w:tcW w:w="1860" w:type="dxa"/>
            <w:noWrap w:val="0"/>
            <w:vAlign w:val="center"/>
          </w:tcPr>
          <w:p w14:paraId="2285ECAC">
            <w:pPr>
              <w:spacing w:line="440" w:lineRule="exact"/>
              <w:jc w:val="center"/>
              <w:rPr>
                <w:rFonts w:hint="eastAsia" w:ascii="宋体" w:hAnsi="宋体" w:eastAsia="宋体" w:cs="宋体"/>
                <w:color w:val="auto"/>
                <w:szCs w:val="21"/>
                <w:highlight w:val="none"/>
              </w:rPr>
            </w:pPr>
          </w:p>
        </w:tc>
      </w:tr>
      <w:tr w14:paraId="09C5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noWrap w:val="0"/>
            <w:vAlign w:val="center"/>
          </w:tcPr>
          <w:p w14:paraId="16E73F5B">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 样品用房</w:t>
            </w:r>
          </w:p>
        </w:tc>
        <w:tc>
          <w:tcPr>
            <w:tcW w:w="2130" w:type="dxa"/>
            <w:noWrap w:val="0"/>
            <w:vAlign w:val="center"/>
          </w:tcPr>
          <w:p w14:paraId="1141DDBC">
            <w:pPr>
              <w:spacing w:line="440" w:lineRule="exact"/>
              <w:jc w:val="center"/>
              <w:rPr>
                <w:rFonts w:hint="eastAsia" w:ascii="宋体" w:hAnsi="宋体" w:eastAsia="宋体" w:cs="宋体"/>
                <w:color w:val="auto"/>
                <w:szCs w:val="21"/>
                <w:highlight w:val="none"/>
              </w:rPr>
            </w:pPr>
          </w:p>
        </w:tc>
        <w:tc>
          <w:tcPr>
            <w:tcW w:w="2130" w:type="dxa"/>
            <w:noWrap w:val="0"/>
            <w:vAlign w:val="center"/>
          </w:tcPr>
          <w:p w14:paraId="669612DB">
            <w:pPr>
              <w:spacing w:line="440" w:lineRule="exact"/>
              <w:jc w:val="center"/>
              <w:rPr>
                <w:rFonts w:hint="eastAsia" w:ascii="宋体" w:hAnsi="宋体" w:eastAsia="宋体" w:cs="宋体"/>
                <w:color w:val="auto"/>
                <w:szCs w:val="21"/>
                <w:highlight w:val="none"/>
              </w:rPr>
            </w:pPr>
          </w:p>
        </w:tc>
        <w:tc>
          <w:tcPr>
            <w:tcW w:w="1860" w:type="dxa"/>
            <w:noWrap w:val="0"/>
            <w:vAlign w:val="center"/>
          </w:tcPr>
          <w:p w14:paraId="70ABC25C">
            <w:pPr>
              <w:spacing w:line="440" w:lineRule="exact"/>
              <w:jc w:val="center"/>
              <w:rPr>
                <w:rFonts w:hint="eastAsia" w:ascii="宋体" w:hAnsi="宋体" w:eastAsia="宋体" w:cs="宋体"/>
                <w:color w:val="auto"/>
                <w:szCs w:val="21"/>
                <w:highlight w:val="none"/>
              </w:rPr>
            </w:pPr>
          </w:p>
        </w:tc>
      </w:tr>
      <w:tr w14:paraId="176C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noWrap w:val="0"/>
            <w:vAlign w:val="center"/>
          </w:tcPr>
          <w:p w14:paraId="0FF09BC2">
            <w:pPr>
              <w:spacing w:line="440" w:lineRule="exact"/>
              <w:jc w:val="center"/>
              <w:rPr>
                <w:rFonts w:hint="eastAsia" w:ascii="宋体" w:hAnsi="宋体" w:eastAsia="宋体" w:cs="宋体"/>
                <w:color w:val="auto"/>
                <w:szCs w:val="21"/>
                <w:highlight w:val="none"/>
              </w:rPr>
            </w:pPr>
          </w:p>
        </w:tc>
        <w:tc>
          <w:tcPr>
            <w:tcW w:w="2130" w:type="dxa"/>
            <w:noWrap w:val="0"/>
            <w:vAlign w:val="center"/>
          </w:tcPr>
          <w:p w14:paraId="2421C130">
            <w:pPr>
              <w:spacing w:line="440" w:lineRule="exact"/>
              <w:jc w:val="center"/>
              <w:rPr>
                <w:rFonts w:hint="eastAsia" w:ascii="宋体" w:hAnsi="宋体" w:eastAsia="宋体" w:cs="宋体"/>
                <w:color w:val="auto"/>
                <w:szCs w:val="21"/>
                <w:highlight w:val="none"/>
              </w:rPr>
            </w:pPr>
          </w:p>
        </w:tc>
        <w:tc>
          <w:tcPr>
            <w:tcW w:w="2130" w:type="dxa"/>
            <w:noWrap w:val="0"/>
            <w:vAlign w:val="center"/>
          </w:tcPr>
          <w:p w14:paraId="1B6978D9">
            <w:pPr>
              <w:spacing w:line="440" w:lineRule="exact"/>
              <w:jc w:val="center"/>
              <w:rPr>
                <w:rFonts w:hint="eastAsia" w:ascii="宋体" w:hAnsi="宋体" w:eastAsia="宋体" w:cs="宋体"/>
                <w:color w:val="auto"/>
                <w:szCs w:val="21"/>
                <w:highlight w:val="none"/>
              </w:rPr>
            </w:pPr>
          </w:p>
        </w:tc>
        <w:tc>
          <w:tcPr>
            <w:tcW w:w="1860" w:type="dxa"/>
            <w:noWrap w:val="0"/>
            <w:vAlign w:val="center"/>
          </w:tcPr>
          <w:p w14:paraId="1A2876B4">
            <w:pPr>
              <w:spacing w:line="440" w:lineRule="exact"/>
              <w:jc w:val="center"/>
              <w:rPr>
                <w:rFonts w:hint="eastAsia" w:ascii="宋体" w:hAnsi="宋体" w:eastAsia="宋体" w:cs="宋体"/>
                <w:color w:val="auto"/>
                <w:szCs w:val="21"/>
                <w:highlight w:val="none"/>
              </w:rPr>
            </w:pPr>
          </w:p>
        </w:tc>
      </w:tr>
      <w:tr w14:paraId="5756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noWrap w:val="0"/>
            <w:vAlign w:val="center"/>
          </w:tcPr>
          <w:p w14:paraId="697923F8">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用餐及其他生活条件</w:t>
            </w:r>
          </w:p>
        </w:tc>
        <w:tc>
          <w:tcPr>
            <w:tcW w:w="6120" w:type="dxa"/>
            <w:gridSpan w:val="3"/>
            <w:noWrap w:val="0"/>
            <w:vAlign w:val="center"/>
          </w:tcPr>
          <w:p w14:paraId="290C184A">
            <w:pPr>
              <w:spacing w:line="440" w:lineRule="exact"/>
              <w:jc w:val="center"/>
              <w:rPr>
                <w:rFonts w:hint="eastAsia" w:ascii="宋体" w:hAnsi="宋体" w:eastAsia="宋体" w:cs="宋体"/>
                <w:color w:val="auto"/>
                <w:szCs w:val="21"/>
                <w:highlight w:val="none"/>
              </w:rPr>
            </w:pPr>
          </w:p>
        </w:tc>
      </w:tr>
    </w:tbl>
    <w:p w14:paraId="0F8D77C6">
      <w:pPr>
        <w:spacing w:line="440" w:lineRule="exact"/>
        <w:ind w:firstLine="422" w:firstLineChars="200"/>
        <w:outlineLvl w:val="0"/>
        <w:rPr>
          <w:rFonts w:hint="eastAsia" w:ascii="宋体" w:hAnsi="宋体" w:eastAsia="宋体" w:cs="宋体"/>
          <w:b/>
          <w:color w:val="auto"/>
          <w:kern w:val="0"/>
          <w:szCs w:val="21"/>
          <w:highlight w:val="none"/>
        </w:rPr>
      </w:pPr>
      <w:bookmarkStart w:id="938" w:name="_Toc19084"/>
      <w:bookmarkStart w:id="939" w:name="_Toc22478"/>
      <w:bookmarkStart w:id="940" w:name="_Toc12000"/>
      <w:bookmarkStart w:id="941" w:name="_Toc15300913"/>
      <w:r>
        <w:rPr>
          <w:rFonts w:hint="eastAsia" w:ascii="宋体" w:hAnsi="宋体" w:eastAsia="宋体" w:cs="宋体"/>
          <w:b/>
          <w:color w:val="auto"/>
          <w:kern w:val="0"/>
          <w:szCs w:val="21"/>
          <w:highlight w:val="none"/>
        </w:rPr>
        <w:t>B-3  委托人提供的资料</w:t>
      </w:r>
      <w:bookmarkEnd w:id="938"/>
      <w:bookmarkEnd w:id="939"/>
      <w:bookmarkEnd w:id="940"/>
      <w:bookmarkEnd w:id="941"/>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1491"/>
        <w:gridCol w:w="2147"/>
        <w:gridCol w:w="2082"/>
      </w:tblGrid>
      <w:tr w14:paraId="49D1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noWrap w:val="0"/>
            <w:vAlign w:val="center"/>
          </w:tcPr>
          <w:p w14:paraId="056173D7">
            <w:pPr>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名称</w:t>
            </w:r>
          </w:p>
        </w:tc>
        <w:tc>
          <w:tcPr>
            <w:tcW w:w="1491" w:type="dxa"/>
            <w:noWrap w:val="0"/>
            <w:vAlign w:val="center"/>
          </w:tcPr>
          <w:p w14:paraId="5E63500B">
            <w:pPr>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份数</w:t>
            </w:r>
          </w:p>
        </w:tc>
        <w:tc>
          <w:tcPr>
            <w:tcW w:w="2147" w:type="dxa"/>
            <w:noWrap w:val="0"/>
            <w:vAlign w:val="center"/>
          </w:tcPr>
          <w:p w14:paraId="485DBF9A">
            <w:pPr>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提供时间</w:t>
            </w:r>
          </w:p>
        </w:tc>
        <w:tc>
          <w:tcPr>
            <w:tcW w:w="2082" w:type="dxa"/>
            <w:noWrap w:val="0"/>
            <w:vAlign w:val="center"/>
          </w:tcPr>
          <w:p w14:paraId="3BB800D9">
            <w:pPr>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备注</w:t>
            </w:r>
          </w:p>
        </w:tc>
      </w:tr>
      <w:tr w14:paraId="3821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noWrap w:val="0"/>
            <w:vAlign w:val="center"/>
          </w:tcPr>
          <w:p w14:paraId="32B03219">
            <w:pPr>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 工程立项文件</w:t>
            </w:r>
          </w:p>
        </w:tc>
        <w:tc>
          <w:tcPr>
            <w:tcW w:w="1491" w:type="dxa"/>
            <w:noWrap w:val="0"/>
            <w:vAlign w:val="center"/>
          </w:tcPr>
          <w:p w14:paraId="0C2656A4">
            <w:pPr>
              <w:spacing w:line="440" w:lineRule="exact"/>
              <w:jc w:val="center"/>
              <w:rPr>
                <w:rFonts w:hint="eastAsia" w:ascii="宋体" w:hAnsi="宋体" w:eastAsia="宋体" w:cs="宋体"/>
                <w:color w:val="auto"/>
                <w:kern w:val="0"/>
                <w:szCs w:val="21"/>
                <w:highlight w:val="none"/>
              </w:rPr>
            </w:pPr>
          </w:p>
        </w:tc>
        <w:tc>
          <w:tcPr>
            <w:tcW w:w="2147" w:type="dxa"/>
            <w:noWrap w:val="0"/>
            <w:vAlign w:val="center"/>
          </w:tcPr>
          <w:p w14:paraId="54D5DF82">
            <w:pPr>
              <w:spacing w:line="440" w:lineRule="exact"/>
              <w:jc w:val="center"/>
              <w:rPr>
                <w:rFonts w:hint="eastAsia" w:ascii="宋体" w:hAnsi="宋体" w:eastAsia="宋体" w:cs="宋体"/>
                <w:color w:val="auto"/>
                <w:kern w:val="0"/>
                <w:szCs w:val="21"/>
                <w:highlight w:val="none"/>
              </w:rPr>
            </w:pPr>
          </w:p>
        </w:tc>
        <w:tc>
          <w:tcPr>
            <w:tcW w:w="2082" w:type="dxa"/>
            <w:noWrap w:val="0"/>
            <w:vAlign w:val="center"/>
          </w:tcPr>
          <w:p w14:paraId="1591814F">
            <w:pPr>
              <w:spacing w:line="440" w:lineRule="exact"/>
              <w:jc w:val="center"/>
              <w:rPr>
                <w:rFonts w:hint="eastAsia" w:ascii="宋体" w:hAnsi="宋体" w:eastAsia="宋体" w:cs="宋体"/>
                <w:color w:val="auto"/>
                <w:kern w:val="0"/>
                <w:szCs w:val="21"/>
                <w:highlight w:val="none"/>
              </w:rPr>
            </w:pPr>
          </w:p>
        </w:tc>
      </w:tr>
      <w:tr w14:paraId="008C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noWrap w:val="0"/>
            <w:vAlign w:val="center"/>
          </w:tcPr>
          <w:p w14:paraId="7E1B10B8">
            <w:pPr>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 工程勘察文件</w:t>
            </w:r>
          </w:p>
        </w:tc>
        <w:tc>
          <w:tcPr>
            <w:tcW w:w="1491" w:type="dxa"/>
            <w:noWrap w:val="0"/>
            <w:vAlign w:val="center"/>
          </w:tcPr>
          <w:p w14:paraId="18E91357">
            <w:pPr>
              <w:spacing w:line="440" w:lineRule="exact"/>
              <w:jc w:val="center"/>
              <w:rPr>
                <w:rFonts w:hint="eastAsia" w:ascii="宋体" w:hAnsi="宋体" w:eastAsia="宋体" w:cs="宋体"/>
                <w:color w:val="auto"/>
                <w:kern w:val="0"/>
                <w:szCs w:val="21"/>
                <w:highlight w:val="none"/>
              </w:rPr>
            </w:pPr>
          </w:p>
        </w:tc>
        <w:tc>
          <w:tcPr>
            <w:tcW w:w="2147" w:type="dxa"/>
            <w:noWrap w:val="0"/>
            <w:vAlign w:val="center"/>
          </w:tcPr>
          <w:p w14:paraId="11052542">
            <w:pPr>
              <w:spacing w:line="440" w:lineRule="exact"/>
              <w:jc w:val="center"/>
              <w:rPr>
                <w:rFonts w:hint="eastAsia" w:ascii="宋体" w:hAnsi="宋体" w:eastAsia="宋体" w:cs="宋体"/>
                <w:color w:val="auto"/>
                <w:kern w:val="0"/>
                <w:szCs w:val="21"/>
                <w:highlight w:val="none"/>
              </w:rPr>
            </w:pPr>
          </w:p>
        </w:tc>
        <w:tc>
          <w:tcPr>
            <w:tcW w:w="2082" w:type="dxa"/>
            <w:noWrap w:val="0"/>
            <w:vAlign w:val="center"/>
          </w:tcPr>
          <w:p w14:paraId="650B9A69">
            <w:pPr>
              <w:spacing w:line="440" w:lineRule="exact"/>
              <w:jc w:val="center"/>
              <w:rPr>
                <w:rFonts w:hint="eastAsia" w:ascii="宋体" w:hAnsi="宋体" w:eastAsia="宋体" w:cs="宋体"/>
                <w:color w:val="auto"/>
                <w:kern w:val="0"/>
                <w:szCs w:val="21"/>
                <w:highlight w:val="none"/>
              </w:rPr>
            </w:pPr>
          </w:p>
        </w:tc>
      </w:tr>
      <w:tr w14:paraId="22ABE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noWrap w:val="0"/>
            <w:vAlign w:val="center"/>
          </w:tcPr>
          <w:p w14:paraId="33C87527">
            <w:pPr>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 工程设计及施工图纸</w:t>
            </w:r>
          </w:p>
        </w:tc>
        <w:tc>
          <w:tcPr>
            <w:tcW w:w="1491" w:type="dxa"/>
            <w:noWrap w:val="0"/>
            <w:vAlign w:val="center"/>
          </w:tcPr>
          <w:p w14:paraId="061CE048">
            <w:pPr>
              <w:spacing w:line="440" w:lineRule="exact"/>
              <w:jc w:val="center"/>
              <w:rPr>
                <w:rFonts w:hint="eastAsia" w:ascii="宋体" w:hAnsi="宋体" w:eastAsia="宋体" w:cs="宋体"/>
                <w:color w:val="auto"/>
                <w:kern w:val="0"/>
                <w:szCs w:val="21"/>
                <w:highlight w:val="none"/>
              </w:rPr>
            </w:pPr>
          </w:p>
        </w:tc>
        <w:tc>
          <w:tcPr>
            <w:tcW w:w="2147" w:type="dxa"/>
            <w:noWrap w:val="0"/>
            <w:vAlign w:val="center"/>
          </w:tcPr>
          <w:p w14:paraId="3D838E04">
            <w:pPr>
              <w:spacing w:line="440" w:lineRule="exact"/>
              <w:jc w:val="center"/>
              <w:rPr>
                <w:rFonts w:hint="eastAsia" w:ascii="宋体" w:hAnsi="宋体" w:eastAsia="宋体" w:cs="宋体"/>
                <w:color w:val="auto"/>
                <w:kern w:val="0"/>
                <w:szCs w:val="21"/>
                <w:highlight w:val="none"/>
              </w:rPr>
            </w:pPr>
          </w:p>
        </w:tc>
        <w:tc>
          <w:tcPr>
            <w:tcW w:w="2082" w:type="dxa"/>
            <w:noWrap w:val="0"/>
            <w:vAlign w:val="center"/>
          </w:tcPr>
          <w:p w14:paraId="3EACEE22">
            <w:pPr>
              <w:spacing w:line="440" w:lineRule="exact"/>
              <w:jc w:val="center"/>
              <w:rPr>
                <w:rFonts w:hint="eastAsia" w:ascii="宋体" w:hAnsi="宋体" w:eastAsia="宋体" w:cs="宋体"/>
                <w:color w:val="auto"/>
                <w:kern w:val="0"/>
                <w:szCs w:val="21"/>
                <w:highlight w:val="none"/>
              </w:rPr>
            </w:pPr>
          </w:p>
        </w:tc>
      </w:tr>
      <w:tr w14:paraId="2D626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noWrap w:val="0"/>
            <w:vAlign w:val="center"/>
          </w:tcPr>
          <w:p w14:paraId="70679AC5">
            <w:pPr>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 工程承包合同及其他相关合同</w:t>
            </w:r>
          </w:p>
        </w:tc>
        <w:tc>
          <w:tcPr>
            <w:tcW w:w="1491" w:type="dxa"/>
            <w:noWrap w:val="0"/>
            <w:vAlign w:val="center"/>
          </w:tcPr>
          <w:p w14:paraId="27AA3D75">
            <w:pPr>
              <w:spacing w:line="440" w:lineRule="exact"/>
              <w:jc w:val="center"/>
              <w:rPr>
                <w:rFonts w:hint="eastAsia" w:ascii="宋体" w:hAnsi="宋体" w:eastAsia="宋体" w:cs="宋体"/>
                <w:color w:val="auto"/>
                <w:kern w:val="0"/>
                <w:szCs w:val="21"/>
                <w:highlight w:val="none"/>
              </w:rPr>
            </w:pPr>
          </w:p>
        </w:tc>
        <w:tc>
          <w:tcPr>
            <w:tcW w:w="2147" w:type="dxa"/>
            <w:noWrap w:val="0"/>
            <w:vAlign w:val="center"/>
          </w:tcPr>
          <w:p w14:paraId="678FA9AE">
            <w:pPr>
              <w:spacing w:line="440" w:lineRule="exact"/>
              <w:jc w:val="center"/>
              <w:rPr>
                <w:rFonts w:hint="eastAsia" w:ascii="宋体" w:hAnsi="宋体" w:eastAsia="宋体" w:cs="宋体"/>
                <w:color w:val="auto"/>
                <w:kern w:val="0"/>
                <w:szCs w:val="21"/>
                <w:highlight w:val="none"/>
              </w:rPr>
            </w:pPr>
          </w:p>
        </w:tc>
        <w:tc>
          <w:tcPr>
            <w:tcW w:w="2082" w:type="dxa"/>
            <w:noWrap w:val="0"/>
            <w:vAlign w:val="center"/>
          </w:tcPr>
          <w:p w14:paraId="060BBCD9">
            <w:pPr>
              <w:spacing w:line="440" w:lineRule="exact"/>
              <w:jc w:val="center"/>
              <w:rPr>
                <w:rFonts w:hint="eastAsia" w:ascii="宋体" w:hAnsi="宋体" w:eastAsia="宋体" w:cs="宋体"/>
                <w:color w:val="auto"/>
                <w:kern w:val="0"/>
                <w:szCs w:val="21"/>
                <w:highlight w:val="none"/>
              </w:rPr>
            </w:pPr>
          </w:p>
        </w:tc>
      </w:tr>
      <w:tr w14:paraId="4A28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noWrap w:val="0"/>
            <w:vAlign w:val="center"/>
          </w:tcPr>
          <w:p w14:paraId="12FE1BD2">
            <w:pPr>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 施工许可文件</w:t>
            </w:r>
          </w:p>
        </w:tc>
        <w:tc>
          <w:tcPr>
            <w:tcW w:w="1491" w:type="dxa"/>
            <w:noWrap w:val="0"/>
            <w:vAlign w:val="center"/>
          </w:tcPr>
          <w:p w14:paraId="1FCAB42D">
            <w:pPr>
              <w:spacing w:line="440" w:lineRule="exact"/>
              <w:jc w:val="center"/>
              <w:rPr>
                <w:rFonts w:hint="eastAsia" w:ascii="宋体" w:hAnsi="宋体" w:eastAsia="宋体" w:cs="宋体"/>
                <w:color w:val="auto"/>
                <w:kern w:val="0"/>
                <w:szCs w:val="21"/>
                <w:highlight w:val="none"/>
              </w:rPr>
            </w:pPr>
          </w:p>
        </w:tc>
        <w:tc>
          <w:tcPr>
            <w:tcW w:w="2147" w:type="dxa"/>
            <w:noWrap w:val="0"/>
            <w:vAlign w:val="center"/>
          </w:tcPr>
          <w:p w14:paraId="4B671961">
            <w:pPr>
              <w:spacing w:line="440" w:lineRule="exact"/>
              <w:jc w:val="center"/>
              <w:rPr>
                <w:rFonts w:hint="eastAsia" w:ascii="宋体" w:hAnsi="宋体" w:eastAsia="宋体" w:cs="宋体"/>
                <w:color w:val="auto"/>
                <w:kern w:val="0"/>
                <w:szCs w:val="21"/>
                <w:highlight w:val="none"/>
              </w:rPr>
            </w:pPr>
          </w:p>
        </w:tc>
        <w:tc>
          <w:tcPr>
            <w:tcW w:w="2082" w:type="dxa"/>
            <w:noWrap w:val="0"/>
            <w:vAlign w:val="center"/>
          </w:tcPr>
          <w:p w14:paraId="7A8CF610">
            <w:pPr>
              <w:spacing w:line="440" w:lineRule="exact"/>
              <w:jc w:val="center"/>
              <w:rPr>
                <w:rFonts w:hint="eastAsia" w:ascii="宋体" w:hAnsi="宋体" w:eastAsia="宋体" w:cs="宋体"/>
                <w:color w:val="auto"/>
                <w:kern w:val="0"/>
                <w:szCs w:val="21"/>
                <w:highlight w:val="none"/>
              </w:rPr>
            </w:pPr>
          </w:p>
        </w:tc>
      </w:tr>
      <w:tr w14:paraId="330C2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noWrap w:val="0"/>
            <w:vAlign w:val="center"/>
          </w:tcPr>
          <w:p w14:paraId="41DBDD6F">
            <w:pPr>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 其他文件</w:t>
            </w:r>
          </w:p>
        </w:tc>
        <w:tc>
          <w:tcPr>
            <w:tcW w:w="1491" w:type="dxa"/>
            <w:noWrap w:val="0"/>
            <w:vAlign w:val="center"/>
          </w:tcPr>
          <w:p w14:paraId="69969B40">
            <w:pPr>
              <w:spacing w:line="440" w:lineRule="exact"/>
              <w:jc w:val="center"/>
              <w:rPr>
                <w:rFonts w:hint="eastAsia" w:ascii="宋体" w:hAnsi="宋体" w:eastAsia="宋体" w:cs="宋体"/>
                <w:color w:val="auto"/>
                <w:kern w:val="0"/>
                <w:szCs w:val="21"/>
                <w:highlight w:val="none"/>
              </w:rPr>
            </w:pPr>
          </w:p>
        </w:tc>
        <w:tc>
          <w:tcPr>
            <w:tcW w:w="2147" w:type="dxa"/>
            <w:noWrap w:val="0"/>
            <w:vAlign w:val="center"/>
          </w:tcPr>
          <w:p w14:paraId="6BC37933">
            <w:pPr>
              <w:spacing w:line="440" w:lineRule="exact"/>
              <w:jc w:val="center"/>
              <w:rPr>
                <w:rFonts w:hint="eastAsia" w:ascii="宋体" w:hAnsi="宋体" w:eastAsia="宋体" w:cs="宋体"/>
                <w:color w:val="auto"/>
                <w:kern w:val="0"/>
                <w:szCs w:val="21"/>
                <w:highlight w:val="none"/>
              </w:rPr>
            </w:pPr>
          </w:p>
        </w:tc>
        <w:tc>
          <w:tcPr>
            <w:tcW w:w="2082" w:type="dxa"/>
            <w:noWrap w:val="0"/>
            <w:vAlign w:val="center"/>
          </w:tcPr>
          <w:p w14:paraId="710FEBBC">
            <w:pPr>
              <w:spacing w:line="440" w:lineRule="exact"/>
              <w:jc w:val="center"/>
              <w:rPr>
                <w:rFonts w:hint="eastAsia" w:ascii="宋体" w:hAnsi="宋体" w:eastAsia="宋体" w:cs="宋体"/>
                <w:color w:val="auto"/>
                <w:kern w:val="0"/>
                <w:szCs w:val="21"/>
                <w:highlight w:val="none"/>
              </w:rPr>
            </w:pPr>
          </w:p>
        </w:tc>
      </w:tr>
      <w:tr w14:paraId="26C1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noWrap w:val="0"/>
            <w:vAlign w:val="center"/>
          </w:tcPr>
          <w:p w14:paraId="278DC0F0">
            <w:pPr>
              <w:spacing w:line="440" w:lineRule="exact"/>
              <w:jc w:val="center"/>
              <w:rPr>
                <w:rFonts w:hint="eastAsia" w:ascii="宋体" w:hAnsi="宋体" w:eastAsia="宋体" w:cs="宋体"/>
                <w:color w:val="auto"/>
                <w:kern w:val="0"/>
                <w:szCs w:val="21"/>
                <w:highlight w:val="none"/>
              </w:rPr>
            </w:pPr>
          </w:p>
        </w:tc>
        <w:tc>
          <w:tcPr>
            <w:tcW w:w="1491" w:type="dxa"/>
            <w:noWrap w:val="0"/>
            <w:vAlign w:val="center"/>
          </w:tcPr>
          <w:p w14:paraId="6DD99652">
            <w:pPr>
              <w:spacing w:line="440" w:lineRule="exact"/>
              <w:jc w:val="center"/>
              <w:rPr>
                <w:rFonts w:hint="eastAsia" w:ascii="宋体" w:hAnsi="宋体" w:eastAsia="宋体" w:cs="宋体"/>
                <w:color w:val="auto"/>
                <w:kern w:val="0"/>
                <w:szCs w:val="21"/>
                <w:highlight w:val="none"/>
              </w:rPr>
            </w:pPr>
          </w:p>
        </w:tc>
        <w:tc>
          <w:tcPr>
            <w:tcW w:w="2147" w:type="dxa"/>
            <w:noWrap w:val="0"/>
            <w:vAlign w:val="center"/>
          </w:tcPr>
          <w:p w14:paraId="67B5FC7A">
            <w:pPr>
              <w:spacing w:line="440" w:lineRule="exact"/>
              <w:jc w:val="center"/>
              <w:rPr>
                <w:rFonts w:hint="eastAsia" w:ascii="宋体" w:hAnsi="宋体" w:eastAsia="宋体" w:cs="宋体"/>
                <w:color w:val="auto"/>
                <w:kern w:val="0"/>
                <w:szCs w:val="21"/>
                <w:highlight w:val="none"/>
              </w:rPr>
            </w:pPr>
          </w:p>
        </w:tc>
        <w:tc>
          <w:tcPr>
            <w:tcW w:w="2082" w:type="dxa"/>
            <w:noWrap w:val="0"/>
            <w:vAlign w:val="center"/>
          </w:tcPr>
          <w:p w14:paraId="27FA9440">
            <w:pPr>
              <w:spacing w:line="440" w:lineRule="exact"/>
              <w:jc w:val="center"/>
              <w:rPr>
                <w:rFonts w:hint="eastAsia" w:ascii="宋体" w:hAnsi="宋体" w:eastAsia="宋体" w:cs="宋体"/>
                <w:color w:val="auto"/>
                <w:kern w:val="0"/>
                <w:szCs w:val="21"/>
                <w:highlight w:val="none"/>
              </w:rPr>
            </w:pPr>
          </w:p>
        </w:tc>
      </w:tr>
    </w:tbl>
    <w:p w14:paraId="3EC703A7">
      <w:pPr>
        <w:spacing w:line="440" w:lineRule="exact"/>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B-4 委托人提供的设备</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8"/>
        <w:gridCol w:w="1590"/>
        <w:gridCol w:w="2130"/>
        <w:gridCol w:w="1860"/>
      </w:tblGrid>
      <w:tr w14:paraId="36A8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8" w:type="dxa"/>
            <w:noWrap w:val="0"/>
            <w:vAlign w:val="center"/>
          </w:tcPr>
          <w:p w14:paraId="630B3FDF">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名称</w:t>
            </w:r>
          </w:p>
        </w:tc>
        <w:tc>
          <w:tcPr>
            <w:tcW w:w="1590" w:type="dxa"/>
            <w:noWrap w:val="0"/>
            <w:vAlign w:val="center"/>
          </w:tcPr>
          <w:p w14:paraId="6A36DC55">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2130" w:type="dxa"/>
            <w:noWrap w:val="0"/>
            <w:vAlign w:val="center"/>
          </w:tcPr>
          <w:p w14:paraId="64E966EC">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型号与规格</w:t>
            </w:r>
          </w:p>
        </w:tc>
        <w:tc>
          <w:tcPr>
            <w:tcW w:w="1860" w:type="dxa"/>
            <w:noWrap w:val="0"/>
            <w:vAlign w:val="center"/>
          </w:tcPr>
          <w:p w14:paraId="307EF903">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提供时间</w:t>
            </w:r>
          </w:p>
        </w:tc>
      </w:tr>
      <w:tr w14:paraId="64EE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8" w:type="dxa"/>
            <w:noWrap w:val="0"/>
            <w:vAlign w:val="center"/>
          </w:tcPr>
          <w:p w14:paraId="342C485E">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通讯设备</w:t>
            </w:r>
          </w:p>
        </w:tc>
        <w:tc>
          <w:tcPr>
            <w:tcW w:w="1590" w:type="dxa"/>
            <w:noWrap w:val="0"/>
            <w:vAlign w:val="center"/>
          </w:tcPr>
          <w:p w14:paraId="20A95F25">
            <w:pPr>
              <w:spacing w:line="440" w:lineRule="exact"/>
              <w:jc w:val="center"/>
              <w:rPr>
                <w:rFonts w:hint="eastAsia" w:ascii="宋体" w:hAnsi="宋体" w:eastAsia="宋体" w:cs="宋体"/>
                <w:color w:val="auto"/>
                <w:szCs w:val="21"/>
                <w:highlight w:val="none"/>
              </w:rPr>
            </w:pPr>
          </w:p>
        </w:tc>
        <w:tc>
          <w:tcPr>
            <w:tcW w:w="2130" w:type="dxa"/>
            <w:noWrap w:val="0"/>
            <w:vAlign w:val="center"/>
          </w:tcPr>
          <w:p w14:paraId="0957F821">
            <w:pPr>
              <w:spacing w:line="440" w:lineRule="exact"/>
              <w:jc w:val="center"/>
              <w:rPr>
                <w:rFonts w:hint="eastAsia" w:ascii="宋体" w:hAnsi="宋体" w:eastAsia="宋体" w:cs="宋体"/>
                <w:color w:val="auto"/>
                <w:szCs w:val="21"/>
                <w:highlight w:val="none"/>
              </w:rPr>
            </w:pPr>
          </w:p>
        </w:tc>
        <w:tc>
          <w:tcPr>
            <w:tcW w:w="1860" w:type="dxa"/>
            <w:noWrap w:val="0"/>
            <w:vAlign w:val="center"/>
          </w:tcPr>
          <w:p w14:paraId="02DF37DB">
            <w:pPr>
              <w:spacing w:line="440" w:lineRule="exact"/>
              <w:jc w:val="center"/>
              <w:rPr>
                <w:rFonts w:hint="eastAsia" w:ascii="宋体" w:hAnsi="宋体" w:eastAsia="宋体" w:cs="宋体"/>
                <w:color w:val="auto"/>
                <w:szCs w:val="21"/>
                <w:highlight w:val="none"/>
              </w:rPr>
            </w:pPr>
          </w:p>
        </w:tc>
      </w:tr>
      <w:tr w14:paraId="68A9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8" w:type="dxa"/>
            <w:noWrap w:val="0"/>
            <w:vAlign w:val="center"/>
          </w:tcPr>
          <w:p w14:paraId="70855840">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办公设备</w:t>
            </w:r>
          </w:p>
        </w:tc>
        <w:tc>
          <w:tcPr>
            <w:tcW w:w="1590" w:type="dxa"/>
            <w:noWrap w:val="0"/>
            <w:vAlign w:val="center"/>
          </w:tcPr>
          <w:p w14:paraId="3B3D63FC">
            <w:pPr>
              <w:spacing w:line="440" w:lineRule="exact"/>
              <w:jc w:val="center"/>
              <w:rPr>
                <w:rFonts w:hint="eastAsia" w:ascii="宋体" w:hAnsi="宋体" w:eastAsia="宋体" w:cs="宋体"/>
                <w:color w:val="auto"/>
                <w:szCs w:val="21"/>
                <w:highlight w:val="none"/>
              </w:rPr>
            </w:pPr>
          </w:p>
        </w:tc>
        <w:tc>
          <w:tcPr>
            <w:tcW w:w="2130" w:type="dxa"/>
            <w:noWrap w:val="0"/>
            <w:vAlign w:val="center"/>
          </w:tcPr>
          <w:p w14:paraId="2F9E9E80">
            <w:pPr>
              <w:spacing w:line="440" w:lineRule="exact"/>
              <w:jc w:val="center"/>
              <w:rPr>
                <w:rFonts w:hint="eastAsia" w:ascii="宋体" w:hAnsi="宋体" w:eastAsia="宋体" w:cs="宋体"/>
                <w:color w:val="auto"/>
                <w:szCs w:val="21"/>
                <w:highlight w:val="none"/>
              </w:rPr>
            </w:pPr>
          </w:p>
        </w:tc>
        <w:tc>
          <w:tcPr>
            <w:tcW w:w="1860" w:type="dxa"/>
            <w:noWrap w:val="0"/>
            <w:vAlign w:val="center"/>
          </w:tcPr>
          <w:p w14:paraId="4C31127B">
            <w:pPr>
              <w:spacing w:line="440" w:lineRule="exact"/>
              <w:jc w:val="center"/>
              <w:rPr>
                <w:rFonts w:hint="eastAsia" w:ascii="宋体" w:hAnsi="宋体" w:eastAsia="宋体" w:cs="宋体"/>
                <w:color w:val="auto"/>
                <w:szCs w:val="21"/>
                <w:highlight w:val="none"/>
              </w:rPr>
            </w:pPr>
          </w:p>
        </w:tc>
      </w:tr>
      <w:tr w14:paraId="73F29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8" w:type="dxa"/>
            <w:noWrap w:val="0"/>
            <w:vAlign w:val="center"/>
          </w:tcPr>
          <w:p w14:paraId="3C0E01FD">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 交通工具</w:t>
            </w:r>
          </w:p>
        </w:tc>
        <w:tc>
          <w:tcPr>
            <w:tcW w:w="1590" w:type="dxa"/>
            <w:noWrap w:val="0"/>
            <w:vAlign w:val="center"/>
          </w:tcPr>
          <w:p w14:paraId="17B73ECE">
            <w:pPr>
              <w:spacing w:line="440" w:lineRule="exact"/>
              <w:jc w:val="center"/>
              <w:rPr>
                <w:rFonts w:hint="eastAsia" w:ascii="宋体" w:hAnsi="宋体" w:eastAsia="宋体" w:cs="宋体"/>
                <w:color w:val="auto"/>
                <w:szCs w:val="21"/>
                <w:highlight w:val="none"/>
              </w:rPr>
            </w:pPr>
          </w:p>
        </w:tc>
        <w:tc>
          <w:tcPr>
            <w:tcW w:w="2130" w:type="dxa"/>
            <w:noWrap w:val="0"/>
            <w:vAlign w:val="center"/>
          </w:tcPr>
          <w:p w14:paraId="64088B5E">
            <w:pPr>
              <w:spacing w:line="440" w:lineRule="exact"/>
              <w:jc w:val="center"/>
              <w:rPr>
                <w:rFonts w:hint="eastAsia" w:ascii="宋体" w:hAnsi="宋体" w:eastAsia="宋体" w:cs="宋体"/>
                <w:color w:val="auto"/>
                <w:szCs w:val="21"/>
                <w:highlight w:val="none"/>
              </w:rPr>
            </w:pPr>
          </w:p>
        </w:tc>
        <w:tc>
          <w:tcPr>
            <w:tcW w:w="1860" w:type="dxa"/>
            <w:noWrap w:val="0"/>
            <w:vAlign w:val="center"/>
          </w:tcPr>
          <w:p w14:paraId="773C8923">
            <w:pPr>
              <w:spacing w:line="440" w:lineRule="exact"/>
              <w:jc w:val="center"/>
              <w:rPr>
                <w:rFonts w:hint="eastAsia" w:ascii="宋体" w:hAnsi="宋体" w:eastAsia="宋体" w:cs="宋体"/>
                <w:color w:val="auto"/>
                <w:szCs w:val="21"/>
                <w:highlight w:val="none"/>
              </w:rPr>
            </w:pPr>
          </w:p>
        </w:tc>
      </w:tr>
      <w:tr w14:paraId="36B4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8" w:type="dxa"/>
            <w:noWrap w:val="0"/>
            <w:vAlign w:val="center"/>
          </w:tcPr>
          <w:p w14:paraId="602AAB84">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 检测和试验设备</w:t>
            </w:r>
          </w:p>
        </w:tc>
        <w:tc>
          <w:tcPr>
            <w:tcW w:w="1590" w:type="dxa"/>
            <w:noWrap w:val="0"/>
            <w:vAlign w:val="center"/>
          </w:tcPr>
          <w:p w14:paraId="08D9FF6A">
            <w:pPr>
              <w:spacing w:line="440" w:lineRule="exact"/>
              <w:jc w:val="center"/>
              <w:rPr>
                <w:rFonts w:hint="eastAsia" w:ascii="宋体" w:hAnsi="宋体" w:eastAsia="宋体" w:cs="宋体"/>
                <w:color w:val="auto"/>
                <w:szCs w:val="21"/>
                <w:highlight w:val="none"/>
              </w:rPr>
            </w:pPr>
          </w:p>
        </w:tc>
        <w:tc>
          <w:tcPr>
            <w:tcW w:w="2130" w:type="dxa"/>
            <w:noWrap w:val="0"/>
            <w:vAlign w:val="center"/>
          </w:tcPr>
          <w:p w14:paraId="0C1EFB40">
            <w:pPr>
              <w:spacing w:line="440" w:lineRule="exact"/>
              <w:jc w:val="center"/>
              <w:rPr>
                <w:rFonts w:hint="eastAsia" w:ascii="宋体" w:hAnsi="宋体" w:eastAsia="宋体" w:cs="宋体"/>
                <w:color w:val="auto"/>
                <w:szCs w:val="21"/>
                <w:highlight w:val="none"/>
              </w:rPr>
            </w:pPr>
          </w:p>
        </w:tc>
        <w:tc>
          <w:tcPr>
            <w:tcW w:w="1860" w:type="dxa"/>
            <w:noWrap w:val="0"/>
            <w:vAlign w:val="center"/>
          </w:tcPr>
          <w:p w14:paraId="34B43456">
            <w:pPr>
              <w:spacing w:line="440" w:lineRule="exact"/>
              <w:jc w:val="center"/>
              <w:rPr>
                <w:rFonts w:hint="eastAsia" w:ascii="宋体" w:hAnsi="宋体" w:eastAsia="宋体" w:cs="宋体"/>
                <w:color w:val="auto"/>
                <w:szCs w:val="21"/>
                <w:highlight w:val="none"/>
              </w:rPr>
            </w:pPr>
          </w:p>
        </w:tc>
      </w:tr>
    </w:tbl>
    <w:p w14:paraId="377466D9">
      <w:pPr>
        <w:rPr>
          <w:rFonts w:hint="eastAsia"/>
          <w:bCs/>
          <w:szCs w:val="32"/>
          <w:highlight w:val="none"/>
        </w:rPr>
      </w:pPr>
    </w:p>
    <w:p w14:paraId="215D21AA">
      <w:pPr>
        <w:pStyle w:val="2"/>
        <w:spacing w:before="156" w:beforeLines="50" w:after="156" w:afterLines="50"/>
        <w:jc w:val="center"/>
        <w:rPr>
          <w:rFonts w:hint="eastAsia"/>
          <w:sz w:val="32"/>
          <w:szCs w:val="32"/>
          <w:highlight w:val="none"/>
        </w:rPr>
      </w:pPr>
      <w:bookmarkStart w:id="942" w:name="_Toc484173788"/>
      <w:bookmarkStart w:id="943" w:name="_Toc506107339"/>
      <w:bookmarkStart w:id="944" w:name="_Toc23466"/>
      <w:bookmarkStart w:id="945" w:name="_Toc21849"/>
    </w:p>
    <w:p w14:paraId="4ACB25D3">
      <w:pPr>
        <w:rPr>
          <w:rFonts w:hint="eastAsia" w:ascii="宋体" w:cs="宋体"/>
          <w:sz w:val="21"/>
          <w:szCs w:val="21"/>
          <w:highlight w:val="none"/>
          <w:lang w:val="en-US" w:eastAsia="zh-CN"/>
        </w:rPr>
      </w:pPr>
      <w:r>
        <w:rPr>
          <w:rFonts w:hint="eastAsia" w:ascii="宋体" w:cs="宋体"/>
          <w:sz w:val="21"/>
          <w:szCs w:val="21"/>
          <w:highlight w:val="none"/>
          <w:lang w:val="en-US" w:eastAsia="zh-CN"/>
        </w:rPr>
        <w:br w:type="page"/>
      </w:r>
    </w:p>
    <w:p w14:paraId="5076DE32">
      <w:pPr>
        <w:pStyle w:val="67"/>
        <w:widowControl/>
        <w:autoSpaceDE/>
        <w:autoSpaceDN/>
        <w:spacing w:before="0" w:after="0" w:line="440" w:lineRule="exact"/>
        <w:ind w:left="0" w:right="0" w:firstLine="482" w:firstLineChars="200"/>
        <w:rPr>
          <w:rFonts w:hint="eastAsia" w:ascii="宋体" w:cs="宋体"/>
          <w:sz w:val="21"/>
          <w:szCs w:val="21"/>
          <w:highlight w:val="none"/>
          <w:lang w:val="en-US" w:eastAsia="zh-CN"/>
        </w:rPr>
      </w:pPr>
      <w:r>
        <w:rPr>
          <w:rFonts w:hint="eastAsia" w:ascii="宋体" w:cs="宋体"/>
          <w:b/>
          <w:bCs/>
          <w:sz w:val="24"/>
          <w:szCs w:val="24"/>
          <w:highlight w:val="none"/>
          <w:lang w:val="en-US" w:eastAsia="zh-CN"/>
        </w:rPr>
        <w:t>附件：监理单位履约考核扣款细则</w:t>
      </w:r>
    </w:p>
    <w:p w14:paraId="1879D624">
      <w:pPr>
        <w:pStyle w:val="67"/>
        <w:widowControl/>
        <w:autoSpaceDE/>
        <w:autoSpaceDN/>
        <w:spacing w:before="0" w:after="0" w:line="440" w:lineRule="exact"/>
        <w:ind w:left="0" w:right="0" w:firstLine="422" w:firstLineChars="200"/>
        <w:rPr>
          <w:rFonts w:hint="eastAsia" w:ascii="宋体" w:cs="宋体"/>
          <w:b/>
          <w:bCs/>
          <w:sz w:val="21"/>
          <w:szCs w:val="21"/>
          <w:highlight w:val="none"/>
          <w:lang w:val="en-US" w:eastAsia="zh-CN"/>
        </w:rPr>
      </w:pPr>
      <w:bookmarkStart w:id="946" w:name="heading_1"/>
      <w:r>
        <w:rPr>
          <w:rFonts w:hint="eastAsia" w:ascii="宋体" w:cs="宋体"/>
          <w:b/>
          <w:bCs/>
          <w:sz w:val="21"/>
          <w:szCs w:val="21"/>
          <w:highlight w:val="none"/>
          <w:lang w:val="en-US" w:eastAsia="zh-CN"/>
        </w:rPr>
        <w:t>1. 总则</w:t>
      </w:r>
      <w:bookmarkEnd w:id="946"/>
    </w:p>
    <w:p w14:paraId="71CD1D2C">
      <w:pPr>
        <w:pStyle w:val="67"/>
        <w:widowControl/>
        <w:autoSpaceDE/>
        <w:autoSpaceDN/>
        <w:spacing w:before="0" w:after="0" w:line="440" w:lineRule="exact"/>
        <w:ind w:left="0" w:right="0" w:firstLine="420" w:firstLineChars="200"/>
        <w:rPr>
          <w:rFonts w:hint="eastAsia" w:ascii="宋体" w:cs="宋体"/>
          <w:sz w:val="21"/>
          <w:szCs w:val="21"/>
          <w:highlight w:val="none"/>
          <w:lang w:val="en-US" w:eastAsia="zh-CN"/>
        </w:rPr>
      </w:pPr>
      <w:r>
        <w:rPr>
          <w:rFonts w:hint="eastAsia" w:ascii="宋体" w:cs="宋体"/>
          <w:sz w:val="21"/>
          <w:szCs w:val="21"/>
          <w:highlight w:val="none"/>
          <w:lang w:val="en-US" w:eastAsia="zh-CN"/>
        </w:rPr>
        <w:t>本细则适用于翼然公司新能源项目工程施工监理服务履约管理。所有违规扣款均从当期监理服务费中直接扣除，扣款结果作为单位履约评价、费用结算、约谈整改及合作处置的依据。</w:t>
      </w:r>
    </w:p>
    <w:p w14:paraId="0705B154">
      <w:pPr>
        <w:pStyle w:val="67"/>
        <w:widowControl/>
        <w:autoSpaceDE/>
        <w:autoSpaceDN/>
        <w:spacing w:before="0" w:after="0" w:line="440" w:lineRule="exact"/>
        <w:ind w:left="0" w:right="0" w:firstLine="422" w:firstLineChars="200"/>
        <w:rPr>
          <w:rFonts w:hint="eastAsia" w:ascii="宋体" w:cs="宋体"/>
          <w:b/>
          <w:bCs/>
          <w:sz w:val="21"/>
          <w:szCs w:val="21"/>
          <w:highlight w:val="none"/>
          <w:lang w:val="en-US" w:eastAsia="zh-CN"/>
        </w:rPr>
      </w:pPr>
      <w:bookmarkStart w:id="947" w:name="heading_2"/>
      <w:r>
        <w:rPr>
          <w:rFonts w:hint="eastAsia" w:ascii="宋体" w:cs="宋体"/>
          <w:b/>
          <w:bCs/>
          <w:sz w:val="21"/>
          <w:szCs w:val="21"/>
          <w:highlight w:val="none"/>
          <w:lang w:val="en-US" w:eastAsia="zh-CN"/>
        </w:rPr>
        <w:t>2. 会议管理违规扣款</w:t>
      </w:r>
      <w:bookmarkEnd w:id="947"/>
    </w:p>
    <w:p w14:paraId="6218E560">
      <w:pPr>
        <w:pStyle w:val="67"/>
        <w:widowControl/>
        <w:autoSpaceDE/>
        <w:autoSpaceDN/>
        <w:spacing w:before="0" w:after="0" w:line="440" w:lineRule="exact"/>
        <w:ind w:left="0" w:right="0" w:firstLine="420" w:firstLineChars="200"/>
        <w:rPr>
          <w:rFonts w:hint="eastAsia" w:ascii="宋体" w:cs="宋体"/>
          <w:sz w:val="21"/>
          <w:szCs w:val="21"/>
          <w:highlight w:val="none"/>
          <w:lang w:val="en-US" w:eastAsia="zh-CN"/>
        </w:rPr>
      </w:pPr>
      <w:r>
        <w:rPr>
          <w:rFonts w:hint="eastAsia" w:ascii="宋体" w:cs="宋体"/>
          <w:sz w:val="21"/>
          <w:szCs w:val="21"/>
          <w:highlight w:val="none"/>
          <w:lang w:val="en-US" w:eastAsia="zh-CN"/>
        </w:rPr>
        <w:t>项目例会、质量安全专题会、业主专项调度会等各类会议，总监及在岗专业监理须本人到场参会。无故缺席，单次扣款500元；迟到、早退超过15分钟或委托无授权人员代为参会，单次扣款300元；年度累计无故缺席3次及以上，额外加扣2000元，并予以履约通报。</w:t>
      </w:r>
    </w:p>
    <w:p w14:paraId="1479053A">
      <w:pPr>
        <w:pStyle w:val="67"/>
        <w:widowControl/>
        <w:autoSpaceDE/>
        <w:autoSpaceDN/>
        <w:spacing w:before="0" w:after="0" w:line="440" w:lineRule="exact"/>
        <w:ind w:left="0" w:right="0" w:firstLine="420" w:firstLineChars="200"/>
        <w:rPr>
          <w:rFonts w:hint="default" w:ascii="宋体" w:cs="宋体"/>
          <w:sz w:val="21"/>
          <w:szCs w:val="21"/>
          <w:highlight w:val="none"/>
          <w:lang w:val="en-US" w:eastAsia="zh-CN"/>
        </w:rPr>
      </w:pPr>
      <w:r>
        <w:rPr>
          <w:rFonts w:hint="default" w:ascii="宋体" w:cs="宋体"/>
          <w:sz w:val="21"/>
          <w:szCs w:val="21"/>
          <w:highlight w:val="none"/>
          <w:lang w:val="en-US" w:eastAsia="zh-CN"/>
        </w:rPr>
        <w:t>未定期</w:t>
      </w:r>
      <w:r>
        <w:rPr>
          <w:rFonts w:hint="eastAsia" w:ascii="宋体" w:cs="宋体"/>
          <w:sz w:val="21"/>
          <w:szCs w:val="21"/>
          <w:highlight w:val="none"/>
          <w:lang w:val="en-US" w:eastAsia="zh-CN"/>
        </w:rPr>
        <w:t>组织</w:t>
      </w:r>
      <w:r>
        <w:rPr>
          <w:rFonts w:hint="default" w:ascii="宋体" w:cs="宋体"/>
          <w:sz w:val="21"/>
          <w:szCs w:val="21"/>
          <w:highlight w:val="none"/>
          <w:lang w:val="en-US" w:eastAsia="zh-CN"/>
        </w:rPr>
        <w:t>召开监理例会，单次扣款1000元</w:t>
      </w:r>
      <w:r>
        <w:rPr>
          <w:rFonts w:hint="eastAsia" w:ascii="宋体" w:cs="宋体"/>
          <w:sz w:val="21"/>
          <w:szCs w:val="21"/>
          <w:highlight w:val="none"/>
          <w:lang w:val="en-US" w:eastAsia="zh-CN"/>
        </w:rPr>
        <w:t>。年度累计三次，额外加扣5000元。</w:t>
      </w:r>
    </w:p>
    <w:p w14:paraId="126C8464">
      <w:pPr>
        <w:pStyle w:val="67"/>
        <w:widowControl/>
        <w:autoSpaceDE/>
        <w:autoSpaceDN/>
        <w:spacing w:before="0" w:after="0" w:line="440" w:lineRule="exact"/>
        <w:ind w:left="0" w:right="0" w:firstLine="420" w:firstLineChars="200"/>
        <w:rPr>
          <w:rFonts w:hint="eastAsia" w:ascii="宋体" w:cs="宋体"/>
          <w:sz w:val="21"/>
          <w:szCs w:val="21"/>
          <w:highlight w:val="none"/>
          <w:lang w:val="en-US" w:eastAsia="zh-CN"/>
        </w:rPr>
      </w:pPr>
      <w:r>
        <w:rPr>
          <w:rFonts w:hint="eastAsia" w:ascii="宋体" w:cs="宋体"/>
          <w:sz w:val="21"/>
          <w:szCs w:val="21"/>
          <w:highlight w:val="none"/>
          <w:lang w:val="en-US" w:eastAsia="zh-CN"/>
        </w:rPr>
        <w:t>未按会议要求提前报送监理周报、月报、隐患整改台账、进度分析等必备资料，逾期未报送的，单次扣款300元；报送资料存在缺项、错漏、敷衍应付，无法支撑会议研判及项目管理的，按单项问题扣款200元。</w:t>
      </w:r>
    </w:p>
    <w:p w14:paraId="6253788A">
      <w:pPr>
        <w:pStyle w:val="67"/>
        <w:widowControl/>
        <w:autoSpaceDE/>
        <w:autoSpaceDN/>
        <w:spacing w:before="0" w:after="0" w:line="440" w:lineRule="exact"/>
        <w:ind w:left="0" w:right="0" w:firstLine="420" w:firstLineChars="200"/>
        <w:rPr>
          <w:rFonts w:hint="eastAsia" w:ascii="宋体" w:cs="宋体"/>
          <w:sz w:val="21"/>
          <w:szCs w:val="21"/>
          <w:highlight w:val="none"/>
          <w:lang w:val="en-US" w:eastAsia="zh-CN"/>
        </w:rPr>
      </w:pPr>
      <w:r>
        <w:rPr>
          <w:rFonts w:hint="eastAsia" w:ascii="宋体" w:cs="宋体"/>
          <w:sz w:val="21"/>
          <w:szCs w:val="21"/>
          <w:highlight w:val="none"/>
          <w:lang w:val="en-US" w:eastAsia="zh-CN"/>
        </w:rPr>
        <w:t>未按期落实会议明确的整改要求、工作指令及闭环销项任务，单次扣款400元；存在虚假闭环、隐瞒现场问题、未核实现场情况擅自销项的，单次扣款800元。</w:t>
      </w:r>
    </w:p>
    <w:p w14:paraId="77CFBAD6">
      <w:pPr>
        <w:pStyle w:val="67"/>
        <w:widowControl/>
        <w:autoSpaceDE/>
        <w:autoSpaceDN/>
        <w:spacing w:before="0" w:after="0" w:line="440" w:lineRule="exact"/>
        <w:ind w:left="0" w:right="0" w:firstLine="420" w:firstLineChars="200"/>
        <w:rPr>
          <w:rFonts w:hint="eastAsia" w:ascii="宋体" w:cs="宋体"/>
          <w:sz w:val="21"/>
          <w:szCs w:val="21"/>
          <w:highlight w:val="none"/>
          <w:lang w:val="en-US" w:eastAsia="zh-CN"/>
        </w:rPr>
      </w:pPr>
      <w:r>
        <w:rPr>
          <w:rFonts w:hint="eastAsia" w:ascii="宋体" w:cs="宋体"/>
          <w:sz w:val="21"/>
          <w:szCs w:val="21"/>
          <w:highlight w:val="none"/>
          <w:lang w:val="en-US" w:eastAsia="zh-CN"/>
        </w:rPr>
        <w:t>参与质量安全、设备调试、并网验收、进度纠偏等专项工作会议时，拒不参会、履职消极，无法提供有效专业技术支撑的，单次扣款500元。</w:t>
      </w:r>
    </w:p>
    <w:p w14:paraId="4FFD9611">
      <w:pPr>
        <w:pStyle w:val="67"/>
        <w:widowControl/>
        <w:autoSpaceDE/>
        <w:autoSpaceDN/>
        <w:spacing w:before="0" w:after="0" w:line="440" w:lineRule="exact"/>
        <w:ind w:left="0" w:right="0" w:firstLine="422" w:firstLineChars="200"/>
        <w:rPr>
          <w:rFonts w:hint="eastAsia" w:ascii="宋体" w:cs="宋体"/>
          <w:sz w:val="21"/>
          <w:szCs w:val="21"/>
          <w:highlight w:val="none"/>
          <w:lang w:val="en-US" w:eastAsia="zh-CN"/>
        </w:rPr>
      </w:pPr>
      <w:bookmarkStart w:id="948" w:name="heading_3"/>
      <w:r>
        <w:rPr>
          <w:rFonts w:hint="eastAsia" w:ascii="宋体" w:cs="宋体"/>
          <w:b/>
          <w:bCs/>
          <w:sz w:val="21"/>
          <w:szCs w:val="21"/>
          <w:highlight w:val="none"/>
          <w:lang w:val="en-US" w:eastAsia="zh-CN"/>
        </w:rPr>
        <w:t>3. 人员在岗履职违规扣款</w:t>
      </w:r>
      <w:bookmarkEnd w:id="948"/>
    </w:p>
    <w:p w14:paraId="178DD840">
      <w:pPr>
        <w:pStyle w:val="67"/>
        <w:widowControl/>
        <w:autoSpaceDE/>
        <w:autoSpaceDN/>
        <w:spacing w:before="0" w:after="0" w:line="440" w:lineRule="exact"/>
        <w:ind w:left="0" w:right="0" w:firstLine="420" w:firstLineChars="200"/>
        <w:rPr>
          <w:rFonts w:hint="eastAsia" w:ascii="宋体" w:cs="宋体"/>
          <w:sz w:val="21"/>
          <w:szCs w:val="21"/>
          <w:highlight w:val="none"/>
          <w:lang w:val="en-US" w:eastAsia="zh-CN"/>
        </w:rPr>
      </w:pPr>
      <w:r>
        <w:rPr>
          <w:rFonts w:hint="eastAsia" w:ascii="宋体" w:cs="宋体"/>
          <w:sz w:val="21"/>
          <w:szCs w:val="21"/>
          <w:highlight w:val="none"/>
          <w:lang w:val="en-US" w:eastAsia="zh-CN"/>
        </w:rPr>
        <w:t>现场监理人员配置数量、专业资质不满足合同及现场施工要求，人员资质不匹配的，单次扣款800元；核心监理人员擅自脱岗、空岗、履职不到位的，单次扣款500元；未经业主书面同意，擅自更换总监、专业监理等核心人员的，按人次扣款2000元；组件安装、隐蔽工程、设备吊装、并网调试等关键工序未按规定旁站，出现漏监、脱岗的，单次扣款1000元。</w:t>
      </w:r>
    </w:p>
    <w:p w14:paraId="163019A1">
      <w:pPr>
        <w:pStyle w:val="67"/>
        <w:widowControl/>
        <w:autoSpaceDE/>
        <w:autoSpaceDN/>
        <w:spacing w:before="0" w:after="0" w:line="440" w:lineRule="exact"/>
        <w:ind w:left="0" w:right="0" w:firstLine="422" w:firstLineChars="200"/>
        <w:rPr>
          <w:rFonts w:hint="eastAsia" w:ascii="宋体" w:cs="宋体"/>
          <w:b/>
          <w:bCs/>
          <w:sz w:val="21"/>
          <w:szCs w:val="21"/>
          <w:highlight w:val="none"/>
          <w:lang w:val="en-US" w:eastAsia="zh-CN"/>
        </w:rPr>
      </w:pPr>
      <w:bookmarkStart w:id="949" w:name="heading_4"/>
      <w:r>
        <w:rPr>
          <w:rFonts w:hint="eastAsia" w:ascii="宋体" w:cs="宋体"/>
          <w:b/>
          <w:bCs/>
          <w:sz w:val="21"/>
          <w:szCs w:val="21"/>
          <w:highlight w:val="none"/>
          <w:lang w:val="en-US" w:eastAsia="zh-CN"/>
        </w:rPr>
        <w:t>4. 工程质量管控违规扣款</w:t>
      </w:r>
      <w:bookmarkEnd w:id="949"/>
    </w:p>
    <w:p w14:paraId="7733A2DC">
      <w:pPr>
        <w:pStyle w:val="67"/>
        <w:widowControl/>
        <w:autoSpaceDE/>
        <w:autoSpaceDN/>
        <w:spacing w:before="0" w:after="0" w:line="440" w:lineRule="exact"/>
        <w:ind w:left="0" w:right="0" w:firstLine="420" w:firstLineChars="200"/>
        <w:rPr>
          <w:rFonts w:hint="eastAsia" w:ascii="宋体" w:cs="宋体"/>
          <w:sz w:val="21"/>
          <w:szCs w:val="21"/>
          <w:highlight w:val="none"/>
          <w:lang w:val="en-US" w:eastAsia="zh-CN"/>
        </w:rPr>
      </w:pPr>
      <w:r>
        <w:rPr>
          <w:rFonts w:hint="eastAsia" w:ascii="宋体" w:cs="宋体"/>
          <w:sz w:val="21"/>
          <w:szCs w:val="21"/>
          <w:highlight w:val="none"/>
          <w:lang w:val="en-US" w:eastAsia="zh-CN"/>
        </w:rPr>
        <w:t>对主要设备材料，未完成进场验收及资料核查，默许不合格物资进场使用的，单次扣款1500元；隐蔽工程、分部分项工程未验收或验收不合格，擅自放行施工的，单次扣款1200元；未及时发现、制止现场质量缺陷，未及时下发整改通知的，单次扣款800元；因监理履职不到位造成一般质量问题的，单次扣款1500元；引发重大质量隐患或质量事故的，单次扣款5000元，并依规追究履约责任。</w:t>
      </w:r>
    </w:p>
    <w:p w14:paraId="1E64E4F1">
      <w:pPr>
        <w:pStyle w:val="67"/>
        <w:widowControl/>
        <w:autoSpaceDE/>
        <w:autoSpaceDN/>
        <w:spacing w:before="0" w:after="0" w:line="440" w:lineRule="exact"/>
        <w:ind w:left="0" w:right="0" w:firstLine="422" w:firstLineChars="200"/>
        <w:rPr>
          <w:rFonts w:hint="eastAsia" w:ascii="宋体" w:cs="宋体"/>
          <w:b/>
          <w:bCs/>
          <w:sz w:val="21"/>
          <w:szCs w:val="21"/>
          <w:highlight w:val="none"/>
          <w:lang w:val="en-US" w:eastAsia="zh-CN"/>
        </w:rPr>
      </w:pPr>
      <w:bookmarkStart w:id="950" w:name="heading_5"/>
      <w:r>
        <w:rPr>
          <w:rFonts w:hint="eastAsia" w:ascii="宋体" w:cs="宋体"/>
          <w:b/>
          <w:bCs/>
          <w:sz w:val="21"/>
          <w:szCs w:val="21"/>
          <w:highlight w:val="none"/>
          <w:lang w:val="en-US" w:eastAsia="zh-CN"/>
        </w:rPr>
        <w:t>5. 安全文明施工管控违规扣款</w:t>
      </w:r>
      <w:bookmarkEnd w:id="950"/>
    </w:p>
    <w:p w14:paraId="239870B8">
      <w:pPr>
        <w:pStyle w:val="67"/>
        <w:widowControl/>
        <w:autoSpaceDE/>
        <w:autoSpaceDN/>
        <w:spacing w:before="0" w:after="0" w:line="440" w:lineRule="exact"/>
        <w:ind w:left="0" w:right="0" w:firstLine="420" w:firstLineChars="200"/>
        <w:rPr>
          <w:rFonts w:hint="eastAsia" w:ascii="宋体" w:cs="宋体"/>
          <w:sz w:val="21"/>
          <w:szCs w:val="21"/>
          <w:highlight w:val="none"/>
          <w:lang w:val="en-US" w:eastAsia="zh-CN"/>
        </w:rPr>
      </w:pPr>
      <w:r>
        <w:rPr>
          <w:rFonts w:hint="eastAsia" w:ascii="宋体" w:cs="宋体"/>
          <w:sz w:val="21"/>
          <w:szCs w:val="21"/>
          <w:highlight w:val="none"/>
          <w:lang w:val="en-US" w:eastAsia="zh-CN"/>
        </w:rPr>
        <w:t>未按要求开展常态化安全巡查，巡查记录缺失、巡查流于形式的，单次扣款300元；未及时排查、制止、上报现场重大安全隐患的，单次扣款1000元；文明施工管控不到位，现场乱象反复、整改落实不力的，单次扣款300元；因监理安全管控失职引发安全事故的，扣除当期全部履约考核费用，业主保留进一步追责权利。</w:t>
      </w:r>
    </w:p>
    <w:p w14:paraId="15BB4FA3">
      <w:pPr>
        <w:pStyle w:val="67"/>
        <w:widowControl/>
        <w:autoSpaceDE/>
        <w:autoSpaceDN/>
        <w:spacing w:before="0" w:after="0" w:line="440" w:lineRule="exact"/>
        <w:ind w:left="0" w:right="0" w:firstLine="422" w:firstLineChars="200"/>
        <w:rPr>
          <w:rFonts w:hint="eastAsia" w:ascii="宋体" w:cs="宋体"/>
          <w:b/>
          <w:bCs/>
          <w:sz w:val="21"/>
          <w:szCs w:val="21"/>
          <w:highlight w:val="none"/>
          <w:lang w:val="en-US" w:eastAsia="zh-CN"/>
        </w:rPr>
      </w:pPr>
      <w:bookmarkStart w:id="951" w:name="heading_6"/>
      <w:r>
        <w:rPr>
          <w:rFonts w:hint="eastAsia" w:ascii="宋体" w:cs="宋体"/>
          <w:b/>
          <w:bCs/>
          <w:sz w:val="21"/>
          <w:szCs w:val="21"/>
          <w:highlight w:val="none"/>
          <w:lang w:val="en-US" w:eastAsia="zh-CN"/>
        </w:rPr>
        <w:t>6. 进度管控与协调违规扣款</w:t>
      </w:r>
      <w:bookmarkEnd w:id="951"/>
    </w:p>
    <w:p w14:paraId="516DF169">
      <w:pPr>
        <w:pStyle w:val="67"/>
        <w:widowControl/>
        <w:autoSpaceDE/>
        <w:autoSpaceDN/>
        <w:spacing w:before="0" w:after="0" w:line="440" w:lineRule="exact"/>
        <w:ind w:left="0" w:right="0" w:firstLine="420" w:firstLineChars="200"/>
        <w:rPr>
          <w:rFonts w:hint="eastAsia" w:ascii="宋体" w:cs="宋体"/>
          <w:sz w:val="21"/>
          <w:szCs w:val="21"/>
          <w:highlight w:val="none"/>
          <w:lang w:val="en-US" w:eastAsia="zh-CN"/>
        </w:rPr>
      </w:pPr>
      <w:r>
        <w:rPr>
          <w:rFonts w:hint="eastAsia" w:ascii="宋体" w:cs="宋体"/>
          <w:sz w:val="21"/>
          <w:szCs w:val="21"/>
          <w:highlight w:val="none"/>
          <w:lang w:val="en-US" w:eastAsia="zh-CN"/>
        </w:rPr>
        <w:t>未定期跟踪施工进度、未开展进度分析、未梳理工期滞后原因的，单次扣款300元；交叉施工统筹协调不力，未及时化解现场矛盾，造成施工停滞、工期延误的，单次扣款800元。</w:t>
      </w:r>
    </w:p>
    <w:p w14:paraId="74F241C9">
      <w:pPr>
        <w:pStyle w:val="67"/>
        <w:widowControl/>
        <w:autoSpaceDE/>
        <w:autoSpaceDN/>
        <w:spacing w:before="0" w:after="0" w:line="440" w:lineRule="exact"/>
        <w:ind w:left="0" w:right="0" w:firstLine="422" w:firstLineChars="200"/>
        <w:rPr>
          <w:rFonts w:hint="eastAsia" w:ascii="宋体" w:cs="宋体"/>
          <w:b/>
          <w:bCs/>
          <w:sz w:val="21"/>
          <w:szCs w:val="21"/>
          <w:highlight w:val="none"/>
          <w:lang w:val="en-US" w:eastAsia="zh-CN"/>
        </w:rPr>
      </w:pPr>
      <w:bookmarkStart w:id="952" w:name="heading_7"/>
      <w:r>
        <w:rPr>
          <w:rFonts w:hint="eastAsia" w:ascii="宋体" w:cs="宋体"/>
          <w:b/>
          <w:bCs/>
          <w:sz w:val="21"/>
          <w:szCs w:val="21"/>
          <w:highlight w:val="none"/>
          <w:lang w:val="en-US" w:eastAsia="zh-CN"/>
        </w:rPr>
        <w:t>7. 资料报审管理违规扣款</w:t>
      </w:r>
      <w:bookmarkEnd w:id="952"/>
    </w:p>
    <w:p w14:paraId="0181A216">
      <w:pPr>
        <w:pStyle w:val="67"/>
        <w:widowControl/>
        <w:autoSpaceDE/>
        <w:autoSpaceDN/>
        <w:spacing w:before="0" w:after="0" w:line="440" w:lineRule="exact"/>
        <w:ind w:left="0" w:right="0" w:firstLine="420" w:firstLineChars="200"/>
        <w:rPr>
          <w:rFonts w:hint="eastAsia" w:ascii="宋体" w:cs="宋体"/>
          <w:sz w:val="21"/>
          <w:szCs w:val="21"/>
          <w:highlight w:val="none"/>
          <w:lang w:val="en-US" w:eastAsia="zh-CN"/>
        </w:rPr>
      </w:pPr>
      <w:r>
        <w:rPr>
          <w:rFonts w:hint="eastAsia" w:ascii="宋体" w:cs="宋体"/>
          <w:sz w:val="21"/>
          <w:szCs w:val="21"/>
          <w:highlight w:val="none"/>
          <w:lang w:val="en-US" w:eastAsia="zh-CN"/>
        </w:rPr>
        <w:t>监理日志、旁站记录、验收台账、整改资料未及时同步更新、存在缺项漏项的，按单项问题扣款200元；工程资料不实、造假、关键资料缺失的，单次扣款800元；资料报审、工序审核超期延误或审核失误，对项目推进造成不良影响的，单次扣款500元。</w:t>
      </w:r>
    </w:p>
    <w:p w14:paraId="3E638584">
      <w:pPr>
        <w:pStyle w:val="67"/>
        <w:widowControl/>
        <w:autoSpaceDE/>
        <w:autoSpaceDN/>
        <w:spacing w:before="0" w:after="0" w:line="440" w:lineRule="exact"/>
        <w:ind w:left="0" w:right="0" w:firstLine="422" w:firstLineChars="200"/>
        <w:rPr>
          <w:rFonts w:hint="eastAsia" w:ascii="宋体" w:cs="宋体"/>
          <w:b/>
          <w:bCs/>
          <w:sz w:val="21"/>
          <w:szCs w:val="21"/>
          <w:highlight w:val="none"/>
          <w:lang w:val="en-US" w:eastAsia="zh-CN"/>
        </w:rPr>
      </w:pPr>
      <w:bookmarkStart w:id="953" w:name="heading_8"/>
      <w:r>
        <w:rPr>
          <w:rFonts w:hint="eastAsia" w:ascii="宋体" w:cs="宋体"/>
          <w:b/>
          <w:bCs/>
          <w:sz w:val="21"/>
          <w:szCs w:val="21"/>
          <w:highlight w:val="none"/>
          <w:lang w:val="en-US" w:eastAsia="zh-CN"/>
        </w:rPr>
        <w:t>8. 整体履约配合违规扣款</w:t>
      </w:r>
      <w:bookmarkEnd w:id="953"/>
    </w:p>
    <w:p w14:paraId="7B481952">
      <w:pPr>
        <w:pStyle w:val="67"/>
        <w:widowControl/>
        <w:autoSpaceDE/>
        <w:autoSpaceDN/>
        <w:spacing w:before="0" w:after="0" w:line="440" w:lineRule="exact"/>
        <w:ind w:left="0" w:right="0" w:firstLine="420" w:firstLineChars="200"/>
        <w:rPr>
          <w:rFonts w:hint="eastAsia" w:ascii="宋体" w:cs="宋体"/>
          <w:sz w:val="21"/>
          <w:szCs w:val="21"/>
          <w:highlight w:val="none"/>
          <w:lang w:val="en-US" w:eastAsia="zh-CN"/>
        </w:rPr>
      </w:pPr>
      <w:r>
        <w:rPr>
          <w:rFonts w:hint="eastAsia" w:ascii="宋体" w:cs="宋体"/>
          <w:sz w:val="21"/>
          <w:szCs w:val="21"/>
          <w:highlight w:val="none"/>
          <w:lang w:val="en-US" w:eastAsia="zh-CN"/>
        </w:rPr>
        <w:t>不服从业主统一管理，消极配合各类检查、验收、并网调试、审计迎审等工作的，视情节轻重，单次扣款500至1000元。</w:t>
      </w:r>
    </w:p>
    <w:p w14:paraId="49DB2DA9">
      <w:pPr>
        <w:rPr>
          <w:rFonts w:hint="eastAsia"/>
          <w:sz w:val="32"/>
          <w:szCs w:val="32"/>
          <w:highlight w:val="none"/>
        </w:rPr>
      </w:pPr>
    </w:p>
    <w:p w14:paraId="3D84F0D7">
      <w:pPr>
        <w:pStyle w:val="2"/>
        <w:spacing w:before="156" w:beforeLines="50" w:after="156" w:afterLines="50"/>
        <w:jc w:val="center"/>
        <w:rPr>
          <w:rFonts w:hint="eastAsia"/>
          <w:sz w:val="32"/>
          <w:szCs w:val="32"/>
          <w:highlight w:val="none"/>
        </w:rPr>
      </w:pPr>
    </w:p>
    <w:p w14:paraId="25A18E6E">
      <w:pPr>
        <w:pStyle w:val="2"/>
        <w:spacing w:before="156" w:beforeLines="50" w:after="156" w:afterLines="50"/>
        <w:jc w:val="center"/>
        <w:rPr>
          <w:rFonts w:hint="eastAsia"/>
          <w:sz w:val="32"/>
          <w:szCs w:val="32"/>
          <w:highlight w:val="none"/>
        </w:rPr>
      </w:pPr>
    </w:p>
    <w:p w14:paraId="2C564952">
      <w:pPr>
        <w:pStyle w:val="2"/>
        <w:spacing w:before="156" w:beforeLines="50" w:after="156" w:afterLines="50"/>
        <w:jc w:val="center"/>
        <w:rPr>
          <w:rFonts w:hint="eastAsia"/>
          <w:sz w:val="32"/>
          <w:szCs w:val="32"/>
          <w:highlight w:val="none"/>
        </w:rPr>
      </w:pPr>
    </w:p>
    <w:p w14:paraId="6B39E0B8">
      <w:pPr>
        <w:rPr>
          <w:rFonts w:hint="eastAsia"/>
          <w:sz w:val="32"/>
          <w:szCs w:val="32"/>
          <w:highlight w:val="none"/>
        </w:rPr>
      </w:pPr>
      <w:r>
        <w:rPr>
          <w:rFonts w:hint="eastAsia"/>
          <w:sz w:val="32"/>
          <w:szCs w:val="32"/>
          <w:highlight w:val="none"/>
        </w:rPr>
        <w:br w:type="page"/>
      </w:r>
    </w:p>
    <w:p w14:paraId="25F33252">
      <w:pPr>
        <w:pStyle w:val="2"/>
        <w:spacing w:before="156" w:beforeLines="50" w:after="156" w:afterLines="50"/>
        <w:jc w:val="center"/>
        <w:rPr>
          <w:rFonts w:hint="eastAsia"/>
          <w:sz w:val="32"/>
          <w:szCs w:val="32"/>
          <w:highlight w:val="none"/>
        </w:rPr>
      </w:pPr>
      <w:r>
        <w:rPr>
          <w:rFonts w:hint="eastAsia"/>
          <w:sz w:val="32"/>
          <w:szCs w:val="32"/>
          <w:highlight w:val="none"/>
        </w:rPr>
        <w:t>第五章  技术标准和要求</w:t>
      </w:r>
      <w:bookmarkEnd w:id="942"/>
      <w:bookmarkEnd w:id="943"/>
      <w:bookmarkEnd w:id="944"/>
      <w:bookmarkEnd w:id="945"/>
    </w:p>
    <w:p w14:paraId="23061951">
      <w:pPr>
        <w:spacing w:line="440" w:lineRule="exact"/>
        <w:ind w:firstLine="480" w:firstLineChars="200"/>
        <w:jc w:val="left"/>
        <w:rPr>
          <w:rFonts w:hint="eastAsia" w:ascii="宋体" w:hAnsi="宋体" w:cs="宋体"/>
          <w:highlight w:val="none"/>
        </w:rPr>
      </w:pPr>
      <w:bookmarkStart w:id="954" w:name="_Toc15912049"/>
      <w:bookmarkStart w:id="955" w:name="_Toc15568852"/>
      <w:r>
        <w:rPr>
          <w:rFonts w:ascii="宋体" w:hAnsi="宋体"/>
          <w:bCs/>
          <w:kern w:val="0"/>
          <w:sz w:val="24"/>
          <w:highlight w:val="none"/>
          <w:lang w:val="zh-CN"/>
        </w:rPr>
        <w:t>按国家</w:t>
      </w:r>
      <w:r>
        <w:rPr>
          <w:rFonts w:hint="eastAsia" w:ascii="宋体" w:hAnsi="宋体"/>
          <w:bCs/>
          <w:kern w:val="0"/>
          <w:sz w:val="24"/>
          <w:highlight w:val="none"/>
          <w:lang w:val="zh-CN"/>
        </w:rPr>
        <w:t>、</w:t>
      </w:r>
      <w:r>
        <w:rPr>
          <w:rFonts w:hint="eastAsia" w:ascii="宋体" w:hAnsi="宋体"/>
          <w:bCs/>
          <w:kern w:val="0"/>
          <w:sz w:val="24"/>
          <w:highlight w:val="none"/>
        </w:rPr>
        <w:t>地方、行业</w:t>
      </w:r>
      <w:r>
        <w:rPr>
          <w:rFonts w:ascii="宋体" w:hAnsi="宋体"/>
          <w:bCs/>
          <w:kern w:val="0"/>
          <w:sz w:val="24"/>
          <w:highlight w:val="none"/>
          <w:lang w:val="zh-CN"/>
        </w:rPr>
        <w:t>相关标准执行</w:t>
      </w:r>
      <w:bookmarkEnd w:id="954"/>
      <w:bookmarkEnd w:id="955"/>
    </w:p>
    <w:p w14:paraId="527154EA">
      <w:pPr>
        <w:rPr>
          <w:rFonts w:hint="eastAsia"/>
          <w:bCs/>
          <w:szCs w:val="32"/>
          <w:highlight w:val="none"/>
        </w:rPr>
      </w:pPr>
      <w:r>
        <w:rPr>
          <w:rFonts w:hint="eastAsia"/>
          <w:bCs/>
          <w:szCs w:val="32"/>
          <w:highlight w:val="none"/>
        </w:rPr>
        <w:br w:type="page"/>
      </w:r>
    </w:p>
    <w:p w14:paraId="3A3DFD1F">
      <w:pPr>
        <w:pStyle w:val="44"/>
        <w:spacing w:beforeLines="50" w:afterLines="50" w:line="440" w:lineRule="exact"/>
        <w:rPr>
          <w:bCs/>
          <w:szCs w:val="32"/>
          <w:highlight w:val="none"/>
        </w:rPr>
      </w:pPr>
      <w:r>
        <w:rPr>
          <w:rFonts w:hint="eastAsia"/>
          <w:bCs/>
          <w:szCs w:val="32"/>
          <w:highlight w:val="none"/>
        </w:rPr>
        <w:t>第</w:t>
      </w:r>
      <w:r>
        <w:rPr>
          <w:rFonts w:hint="eastAsia"/>
          <w:bCs/>
          <w:szCs w:val="32"/>
          <w:highlight w:val="none"/>
          <w:lang w:val="en-US" w:eastAsia="zh-CN"/>
        </w:rPr>
        <w:t>六</w:t>
      </w:r>
      <w:r>
        <w:rPr>
          <w:rFonts w:hint="eastAsia"/>
          <w:bCs/>
          <w:szCs w:val="32"/>
          <w:highlight w:val="none"/>
        </w:rPr>
        <w:t>章  投标文件格式</w:t>
      </w:r>
      <w:bookmarkEnd w:id="875"/>
      <w:bookmarkEnd w:id="876"/>
      <w:bookmarkEnd w:id="877"/>
      <w:bookmarkEnd w:id="878"/>
      <w:bookmarkEnd w:id="879"/>
      <w:bookmarkEnd w:id="880"/>
      <w:bookmarkEnd w:id="881"/>
      <w:bookmarkEnd w:id="882"/>
      <w:bookmarkEnd w:id="883"/>
      <w:bookmarkEnd w:id="884"/>
      <w:bookmarkEnd w:id="885"/>
      <w:bookmarkEnd w:id="886"/>
      <w:bookmarkEnd w:id="887"/>
    </w:p>
    <w:p w14:paraId="7B05D42C">
      <w:pPr>
        <w:rPr>
          <w:highlight w:val="none"/>
        </w:rPr>
      </w:pPr>
    </w:p>
    <w:p w14:paraId="082E4B32">
      <w:pPr>
        <w:rPr>
          <w:highlight w:val="none"/>
        </w:rPr>
      </w:pPr>
    </w:p>
    <w:p w14:paraId="5069B979">
      <w:pPr>
        <w:rPr>
          <w:highlight w:val="none"/>
        </w:rPr>
      </w:pPr>
    </w:p>
    <w:p w14:paraId="56143D65">
      <w:pPr>
        <w:jc w:val="center"/>
        <w:rPr>
          <w:rFonts w:eastAsia="黑体"/>
          <w:sz w:val="20"/>
          <w:szCs w:val="20"/>
          <w:highlight w:val="none"/>
        </w:rPr>
      </w:pPr>
      <w:r>
        <w:rPr>
          <w:rFonts w:eastAsia="黑体"/>
          <w:sz w:val="28"/>
          <w:szCs w:val="28"/>
          <w:highlight w:val="none"/>
        </w:rPr>
        <w:t>（项目名称）</w:t>
      </w:r>
    </w:p>
    <w:p w14:paraId="7576ABA9">
      <w:pPr>
        <w:jc w:val="center"/>
        <w:rPr>
          <w:rFonts w:eastAsia="黑体"/>
          <w:sz w:val="20"/>
          <w:szCs w:val="20"/>
          <w:highlight w:val="none"/>
        </w:rPr>
      </w:pPr>
    </w:p>
    <w:p w14:paraId="7FF06958">
      <w:pPr>
        <w:jc w:val="center"/>
        <w:rPr>
          <w:rFonts w:eastAsia="黑体"/>
          <w:sz w:val="20"/>
          <w:szCs w:val="20"/>
          <w:highlight w:val="none"/>
        </w:rPr>
      </w:pPr>
    </w:p>
    <w:p w14:paraId="3165CB1E">
      <w:pPr>
        <w:jc w:val="center"/>
        <w:rPr>
          <w:rFonts w:eastAsia="黑体"/>
          <w:sz w:val="20"/>
          <w:szCs w:val="20"/>
          <w:highlight w:val="none"/>
        </w:rPr>
      </w:pPr>
    </w:p>
    <w:p w14:paraId="75BA9D51">
      <w:pPr>
        <w:rPr>
          <w:rFonts w:eastAsia="黑体"/>
          <w:sz w:val="20"/>
          <w:szCs w:val="20"/>
          <w:highlight w:val="none"/>
        </w:rPr>
      </w:pPr>
    </w:p>
    <w:p w14:paraId="347DEE05">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一</w:t>
      </w:r>
    </w:p>
    <w:p w14:paraId="4404D72F">
      <w:pPr>
        <w:jc w:val="center"/>
        <w:rPr>
          <w:rFonts w:eastAsia="黑体"/>
          <w:sz w:val="44"/>
          <w:szCs w:val="44"/>
          <w:highlight w:val="none"/>
        </w:rPr>
      </w:pPr>
      <w:r>
        <w:rPr>
          <w:rFonts w:hint="eastAsia" w:eastAsia="黑体"/>
          <w:sz w:val="44"/>
          <w:szCs w:val="44"/>
          <w:highlight w:val="none"/>
        </w:rPr>
        <w:t>（资信证明文件）</w:t>
      </w:r>
    </w:p>
    <w:p w14:paraId="69FD5586">
      <w:pPr>
        <w:rPr>
          <w:rFonts w:eastAsia="黑体"/>
          <w:sz w:val="28"/>
          <w:szCs w:val="28"/>
          <w:highlight w:val="none"/>
        </w:rPr>
      </w:pPr>
    </w:p>
    <w:p w14:paraId="61671114">
      <w:pPr>
        <w:rPr>
          <w:rFonts w:eastAsia="黑体"/>
          <w:sz w:val="28"/>
          <w:szCs w:val="28"/>
          <w:highlight w:val="none"/>
        </w:rPr>
      </w:pPr>
    </w:p>
    <w:p w14:paraId="7707CE46">
      <w:pPr>
        <w:rPr>
          <w:rFonts w:eastAsia="黑体"/>
          <w:sz w:val="28"/>
          <w:szCs w:val="28"/>
          <w:highlight w:val="none"/>
        </w:rPr>
      </w:pPr>
    </w:p>
    <w:p w14:paraId="3E29662A">
      <w:pPr>
        <w:rPr>
          <w:rFonts w:eastAsia="黑体"/>
          <w:sz w:val="28"/>
          <w:szCs w:val="28"/>
          <w:highlight w:val="none"/>
        </w:rPr>
      </w:pPr>
    </w:p>
    <w:p w14:paraId="69D02104">
      <w:pPr>
        <w:pStyle w:val="14"/>
        <w:ind w:firstLine="420"/>
        <w:rPr>
          <w:rFonts w:ascii="Times New Roman"/>
          <w:szCs w:val="24"/>
          <w:highlight w:val="none"/>
        </w:rPr>
      </w:pPr>
    </w:p>
    <w:p w14:paraId="3062FE47">
      <w:pPr>
        <w:rPr>
          <w:rFonts w:ascii="Times New Roman"/>
          <w:szCs w:val="24"/>
          <w:highlight w:val="none"/>
        </w:rPr>
      </w:pPr>
    </w:p>
    <w:p w14:paraId="78F93F73">
      <w:pPr>
        <w:pStyle w:val="14"/>
        <w:rPr>
          <w:rFonts w:ascii="Times New Roman"/>
          <w:szCs w:val="24"/>
          <w:highlight w:val="none"/>
        </w:rPr>
      </w:pPr>
    </w:p>
    <w:p w14:paraId="1E9D0BD8">
      <w:pPr>
        <w:rPr>
          <w:rFonts w:ascii="Times New Roman"/>
          <w:szCs w:val="24"/>
          <w:highlight w:val="none"/>
        </w:rPr>
      </w:pPr>
    </w:p>
    <w:p w14:paraId="13AFD6AD">
      <w:pPr>
        <w:pStyle w:val="14"/>
        <w:rPr>
          <w:highlight w:val="none"/>
        </w:rPr>
      </w:pPr>
    </w:p>
    <w:p w14:paraId="0799C826">
      <w:pPr>
        <w:pStyle w:val="14"/>
        <w:ind w:firstLine="420"/>
        <w:rPr>
          <w:highlight w:val="none"/>
        </w:rPr>
      </w:pPr>
    </w:p>
    <w:p w14:paraId="63F5BB9B">
      <w:pPr>
        <w:rPr>
          <w:rFonts w:eastAsia="黑体"/>
          <w:sz w:val="28"/>
          <w:szCs w:val="28"/>
          <w:highlight w:val="none"/>
        </w:rPr>
      </w:pPr>
    </w:p>
    <w:p w14:paraId="6ECEBDFF">
      <w:pPr>
        <w:rPr>
          <w:rFonts w:eastAsia="黑体"/>
          <w:sz w:val="28"/>
          <w:szCs w:val="28"/>
          <w:highlight w:val="none"/>
        </w:rPr>
      </w:pPr>
    </w:p>
    <w:p w14:paraId="62522776">
      <w:pPr>
        <w:jc w:val="center"/>
        <w:rPr>
          <w:rFonts w:eastAsia="黑体"/>
          <w:sz w:val="28"/>
          <w:szCs w:val="28"/>
          <w:highlight w:val="none"/>
          <w:u w:val="single"/>
        </w:rPr>
      </w:pPr>
      <w:r>
        <w:rPr>
          <w:rFonts w:hint="eastAsia" w:eastAsia="黑体"/>
          <w:sz w:val="28"/>
          <w:szCs w:val="28"/>
          <w:highlight w:val="none"/>
        </w:rPr>
        <w:t xml:space="preserve"> 投标人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盖</w:t>
      </w:r>
      <w:r>
        <w:rPr>
          <w:rFonts w:eastAsia="黑体"/>
          <w:sz w:val="28"/>
          <w:szCs w:val="28"/>
          <w:highlight w:val="none"/>
        </w:rPr>
        <w:t>章）</w:t>
      </w:r>
    </w:p>
    <w:p w14:paraId="097218CB">
      <w:pPr>
        <w:jc w:val="center"/>
        <w:rPr>
          <w:rFonts w:eastAsia="黑体"/>
          <w:sz w:val="28"/>
          <w:szCs w:val="28"/>
          <w:highlight w:val="none"/>
        </w:rPr>
      </w:pPr>
      <w:r>
        <w:rPr>
          <w:rFonts w:hint="eastAsia" w:eastAsia="黑体"/>
          <w:sz w:val="28"/>
          <w:szCs w:val="28"/>
          <w:highlight w:val="none"/>
        </w:rPr>
        <w:t xml:space="preserve">   </w:t>
      </w:r>
      <w:r>
        <w:rPr>
          <w:rFonts w:eastAsia="黑体"/>
          <w:sz w:val="28"/>
          <w:szCs w:val="28"/>
          <w:highlight w:val="none"/>
        </w:rPr>
        <w:t>法定代表人</w:t>
      </w:r>
      <w:r>
        <w:rPr>
          <w:rFonts w:hint="eastAsia" w:eastAsia="黑体"/>
          <w:sz w:val="28"/>
          <w:szCs w:val="28"/>
          <w:highlight w:val="none"/>
          <w:lang w:val="en-US" w:eastAsia="zh-CN"/>
        </w:rPr>
        <w:t>或授权委托人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签字或盖章</w:t>
      </w:r>
      <w:r>
        <w:rPr>
          <w:rFonts w:eastAsia="黑体"/>
          <w:sz w:val="28"/>
          <w:szCs w:val="28"/>
          <w:highlight w:val="none"/>
        </w:rPr>
        <w:t>）</w:t>
      </w:r>
    </w:p>
    <w:p w14:paraId="211A5DCF">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7802AEA0">
      <w:pPr>
        <w:rPr>
          <w:highlight w:val="none"/>
        </w:rPr>
      </w:pPr>
      <w:bookmarkStart w:id="956" w:name="_Toc35424971"/>
      <w:bookmarkStart w:id="957" w:name="_Toc35425137"/>
      <w:bookmarkStart w:id="958" w:name="_Toc12683"/>
    </w:p>
    <w:p w14:paraId="0EBCA57C">
      <w:pPr>
        <w:spacing w:beforeLines="50" w:afterLines="50" w:line="440" w:lineRule="exact"/>
        <w:ind w:firstLine="643" w:firstLineChars="200"/>
        <w:jc w:val="left"/>
        <w:rPr>
          <w:rFonts w:ascii="宋体" w:hAnsi="宋体" w:cs="宋体"/>
          <w:b/>
          <w:sz w:val="28"/>
          <w:szCs w:val="28"/>
          <w:highlight w:val="none"/>
        </w:rPr>
      </w:pPr>
      <w:bookmarkStart w:id="959" w:name="_Toc78803399"/>
      <w:r>
        <w:rPr>
          <w:rStyle w:val="120"/>
          <w:rFonts w:hint="eastAsia" w:ascii="宋体" w:hAnsi="宋体" w:cs="宋体"/>
          <w:sz w:val="32"/>
          <w:highlight w:val="none"/>
        </w:rPr>
        <w:br w:type="page"/>
      </w:r>
      <w:r>
        <w:rPr>
          <w:rStyle w:val="120"/>
          <w:rFonts w:hint="eastAsia" w:ascii="宋体" w:hAnsi="宋体" w:cs="宋体"/>
          <w:sz w:val="32"/>
          <w:highlight w:val="none"/>
        </w:rPr>
        <w:t>投标文件一</w:t>
      </w:r>
      <w:bookmarkEnd w:id="956"/>
      <w:bookmarkEnd w:id="957"/>
      <w:bookmarkEnd w:id="958"/>
      <w:bookmarkEnd w:id="959"/>
      <w:r>
        <w:rPr>
          <w:rFonts w:hint="eastAsia" w:ascii="宋体" w:hAnsi="宋体" w:cs="宋体"/>
          <w:b/>
          <w:sz w:val="28"/>
          <w:szCs w:val="28"/>
          <w:highlight w:val="none"/>
        </w:rPr>
        <w:t>：资信证明文件目录</w:t>
      </w:r>
    </w:p>
    <w:p w14:paraId="70F505C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（1）法定代表人身份证明文件和本人有效身份证(或法定代表人授权委托书和委托代理人有效身份证)；</w:t>
      </w:r>
    </w:p>
    <w:p w14:paraId="1296EE8E">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（2）诚信投标承诺书；</w:t>
      </w:r>
    </w:p>
    <w:p w14:paraId="577438A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（3）企业法人营业执照；</w:t>
      </w:r>
    </w:p>
    <w:p w14:paraId="095377A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（4）企业资质证书；</w:t>
      </w:r>
    </w:p>
    <w:p w14:paraId="5A4F3AE1">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（5）拟派项目负责人（总监理工程师）的有效身份证及在本单位注册的国家注册监理工程师证书；</w:t>
      </w:r>
    </w:p>
    <w:p w14:paraId="4D867D2A">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cs="宋体"/>
          <w:szCs w:val="21"/>
          <w:highlight w:val="none"/>
        </w:rPr>
        <w:t>（</w:t>
      </w:r>
      <w:r>
        <w:rPr>
          <w:rFonts w:hint="eastAsia" w:ascii="宋体" w:hAnsi="宋体" w:cs="宋体"/>
          <w:szCs w:val="21"/>
          <w:highlight w:val="none"/>
          <w:lang w:val="en-US" w:eastAsia="zh-CN"/>
        </w:rPr>
        <w:t>6</w:t>
      </w:r>
      <w:r>
        <w:rPr>
          <w:rFonts w:hint="eastAsia" w:ascii="宋体" w:hAnsi="宋体" w:cs="宋体"/>
          <w:szCs w:val="21"/>
          <w:highlight w:val="none"/>
        </w:rPr>
        <w:t>）拟派项目负责人（总监理工程师）</w:t>
      </w:r>
      <w:r>
        <w:rPr>
          <w:rFonts w:hint="eastAsia" w:ascii="宋体" w:hAnsi="宋体" w:cs="宋体"/>
          <w:color w:val="000000"/>
          <w:szCs w:val="21"/>
        </w:rPr>
        <w:t>须持有社保部门出具的本单位为其缴</w:t>
      </w:r>
      <w:r>
        <w:rPr>
          <w:rFonts w:hint="eastAsia" w:ascii="宋体" w:hAnsi="宋体" w:cs="宋体"/>
          <w:color w:val="000000"/>
          <w:szCs w:val="21"/>
          <w:highlight w:val="none"/>
        </w:rPr>
        <w:t>纳的</w:t>
      </w:r>
      <w:r>
        <w:rPr>
          <w:rFonts w:hint="eastAsia" w:ascii="宋体" w:hAnsi="宋体" w:cs="宋体"/>
          <w:color w:val="000000"/>
          <w:szCs w:val="21"/>
          <w:highlight w:val="none"/>
          <w:u w:val="single"/>
          <w:lang w:val="en-US" w:eastAsia="zh-CN"/>
        </w:rPr>
        <w:t>2026</w:t>
      </w:r>
      <w:r>
        <w:rPr>
          <w:rFonts w:hint="eastAsia" w:ascii="宋体" w:hAnsi="宋体" w:cs="宋体"/>
          <w:color w:val="000000"/>
          <w:szCs w:val="21"/>
          <w:highlight w:val="none"/>
          <w:lang w:val="en-US" w:eastAsia="zh-CN"/>
        </w:rPr>
        <w:t>年</w:t>
      </w:r>
      <w:r>
        <w:rPr>
          <w:rFonts w:hint="eastAsia" w:ascii="宋体" w:hAnsi="宋体" w:cs="宋体"/>
          <w:color w:val="000000"/>
          <w:szCs w:val="21"/>
          <w:highlight w:val="none"/>
          <w:u w:val="single"/>
          <w:lang w:val="en-US" w:eastAsia="zh-CN"/>
        </w:rPr>
        <w:t>6</w:t>
      </w:r>
      <w:r>
        <w:rPr>
          <w:rFonts w:hint="eastAsia" w:ascii="宋体" w:hAnsi="宋体" w:cs="宋体"/>
          <w:color w:val="000000"/>
          <w:szCs w:val="21"/>
          <w:highlight w:val="none"/>
          <w:lang w:val="en-US" w:eastAsia="zh-CN"/>
        </w:rPr>
        <w:t>月至</w:t>
      </w:r>
      <w:r>
        <w:rPr>
          <w:rFonts w:hint="eastAsia" w:ascii="宋体" w:hAnsi="宋体" w:cs="宋体"/>
          <w:color w:val="000000"/>
          <w:szCs w:val="21"/>
          <w:highlight w:val="none"/>
          <w:u w:val="single"/>
          <w:lang w:val="en-US" w:eastAsia="zh-CN"/>
        </w:rPr>
        <w:t>2026</w:t>
      </w:r>
      <w:r>
        <w:rPr>
          <w:rFonts w:hint="eastAsia" w:ascii="宋体" w:hAnsi="宋体" w:cs="宋体"/>
          <w:color w:val="000000"/>
          <w:szCs w:val="21"/>
          <w:highlight w:val="none"/>
          <w:lang w:val="en-US" w:eastAsia="zh-CN"/>
        </w:rPr>
        <w:t>年9月范围内任意</w:t>
      </w:r>
      <w:r>
        <w:rPr>
          <w:rFonts w:hint="eastAsia" w:ascii="宋体" w:hAnsi="宋体" w:cs="宋体"/>
          <w:color w:val="000000"/>
          <w:szCs w:val="21"/>
          <w:highlight w:val="none"/>
        </w:rPr>
        <w:t>连续三个月的养老保险证明</w:t>
      </w:r>
      <w:r>
        <w:rPr>
          <w:rFonts w:hint="eastAsia" w:ascii="宋体" w:hAnsi="宋体" w:cs="宋体"/>
          <w:color w:val="000000"/>
          <w:szCs w:val="21"/>
          <w:highlight w:val="none"/>
          <w:lang w:eastAsia="zh-CN"/>
        </w:rPr>
        <w:t>；</w:t>
      </w:r>
    </w:p>
    <w:p w14:paraId="1B7447BA">
      <w:pPr>
        <w:spacing w:line="440" w:lineRule="exact"/>
        <w:ind w:firstLine="420" w:firstLineChars="200"/>
        <w:jc w:val="left"/>
        <w:rPr>
          <w:rFonts w:hint="eastAsia" w:ascii="宋体" w:hAnsi="宋体" w:eastAsia="宋体" w:cs="宋体"/>
          <w:highlight w:val="none"/>
          <w:lang w:val="en-US" w:eastAsia="zh-CN"/>
        </w:rPr>
      </w:pPr>
      <w:r>
        <w:rPr>
          <w:rFonts w:hint="eastAsia" w:ascii="宋体" w:hAnsi="宋体" w:cs="宋体"/>
          <w:highlight w:val="none"/>
          <w:lang w:eastAsia="zh-CN"/>
        </w:rPr>
        <w:t>（</w:t>
      </w:r>
      <w:r>
        <w:rPr>
          <w:rFonts w:hint="eastAsia" w:ascii="宋体" w:hAnsi="宋体" w:cs="宋体"/>
          <w:highlight w:val="none"/>
          <w:lang w:val="en-US" w:eastAsia="zh-CN"/>
        </w:rPr>
        <w:t>7</w:t>
      </w:r>
      <w:r>
        <w:rPr>
          <w:rFonts w:hint="eastAsia" w:ascii="宋体" w:hAnsi="宋体" w:cs="宋体"/>
          <w:highlight w:val="none"/>
          <w:lang w:eastAsia="zh-CN"/>
        </w:rPr>
        <w:t>）</w:t>
      </w:r>
      <w:r>
        <w:rPr>
          <w:rFonts w:hint="eastAsia" w:ascii="宋体" w:hAnsi="宋体"/>
          <w:szCs w:val="21"/>
          <w:highlight w:val="none"/>
        </w:rPr>
        <w:t>监理人员</w:t>
      </w:r>
      <w:r>
        <w:rPr>
          <w:rFonts w:hint="eastAsia" w:ascii="宋体" w:hAnsi="宋体"/>
          <w:szCs w:val="21"/>
          <w:highlight w:val="none"/>
          <w:lang w:val="en-US" w:eastAsia="zh-CN"/>
        </w:rPr>
        <w:t>配备</w:t>
      </w:r>
      <w:r>
        <w:rPr>
          <w:rFonts w:hint="eastAsia" w:ascii="宋体" w:hAnsi="宋体"/>
          <w:szCs w:val="21"/>
          <w:highlight w:val="none"/>
        </w:rPr>
        <w:t>名单</w:t>
      </w:r>
      <w:r>
        <w:rPr>
          <w:rFonts w:hint="eastAsia" w:ascii="宋体" w:hAnsi="宋体"/>
          <w:szCs w:val="21"/>
          <w:highlight w:val="none"/>
          <w:lang w:eastAsia="zh-CN"/>
        </w:rPr>
        <w:t>；</w:t>
      </w:r>
    </w:p>
    <w:p w14:paraId="2737E4A6">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cs="宋体"/>
          <w:szCs w:val="21"/>
          <w:highlight w:val="none"/>
          <w:lang w:eastAsia="zh-CN"/>
        </w:rPr>
        <w:t>（</w:t>
      </w:r>
      <w:r>
        <w:rPr>
          <w:rFonts w:hint="eastAsia" w:ascii="宋体" w:hAnsi="宋体" w:cs="宋体"/>
          <w:szCs w:val="21"/>
          <w:highlight w:val="none"/>
          <w:lang w:val="en-US" w:eastAsia="zh-CN"/>
        </w:rPr>
        <w:t>8</w:t>
      </w:r>
      <w:r>
        <w:rPr>
          <w:rFonts w:hint="eastAsia" w:ascii="宋体" w:hAnsi="宋体" w:cs="宋体"/>
          <w:szCs w:val="21"/>
          <w:highlight w:val="none"/>
          <w:lang w:eastAsia="zh-CN"/>
        </w:rPr>
        <w:t>）</w:t>
      </w:r>
      <w:r>
        <w:rPr>
          <w:rFonts w:hint="eastAsia" w:ascii="宋体" w:hAnsi="宋体" w:cs="宋体"/>
          <w:szCs w:val="21"/>
          <w:highlight w:val="none"/>
          <w:lang w:val="en-US" w:eastAsia="zh-CN"/>
        </w:rPr>
        <w:t>资信</w:t>
      </w:r>
      <w:r>
        <w:rPr>
          <w:rFonts w:hint="eastAsia" w:ascii="宋体" w:hAnsi="宋体" w:cs="宋体"/>
          <w:szCs w:val="21"/>
          <w:highlight w:val="none"/>
        </w:rPr>
        <w:t>评分细则中需要提供的所有证明材料</w:t>
      </w:r>
      <w:r>
        <w:rPr>
          <w:rFonts w:hint="eastAsia" w:ascii="宋体" w:hAnsi="宋体" w:cs="宋体"/>
          <w:szCs w:val="21"/>
          <w:highlight w:val="none"/>
          <w:lang w:eastAsia="zh-CN"/>
        </w:rPr>
        <w:t>。</w:t>
      </w:r>
    </w:p>
    <w:p w14:paraId="59163E6F">
      <w:pPr>
        <w:spacing w:line="360" w:lineRule="auto"/>
        <w:jc w:val="center"/>
        <w:rPr>
          <w:rFonts w:ascii="宋体"/>
          <w:b/>
          <w:sz w:val="28"/>
          <w:szCs w:val="28"/>
          <w:highlight w:val="none"/>
        </w:rPr>
      </w:pPr>
      <w:r>
        <w:rPr>
          <w:rFonts w:hint="eastAsia"/>
          <w:b/>
          <w:sz w:val="28"/>
          <w:szCs w:val="28"/>
          <w:highlight w:val="none"/>
        </w:rPr>
        <w:br w:type="page"/>
      </w:r>
      <w:r>
        <w:rPr>
          <w:rFonts w:hint="eastAsia"/>
          <w:b/>
          <w:sz w:val="28"/>
          <w:szCs w:val="28"/>
          <w:highlight w:val="none"/>
        </w:rPr>
        <w:t>（1）法定代表人身份证明或授权委托书</w:t>
      </w:r>
    </w:p>
    <w:p w14:paraId="1618991E">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b/>
          <w:color w:val="auto"/>
          <w:sz w:val="24"/>
          <w:szCs w:val="24"/>
          <w:highlight w:val="none"/>
        </w:rPr>
      </w:pPr>
      <w:bookmarkStart w:id="960" w:name="_Toc503196197"/>
      <w:bookmarkStart w:id="961" w:name="_Toc26598"/>
      <w:bookmarkStart w:id="962" w:name="_Toc506107356"/>
      <w:r>
        <w:rPr>
          <w:rFonts w:hint="eastAsia" w:ascii="宋体"/>
          <w:color w:val="auto"/>
          <w:sz w:val="24"/>
          <w:szCs w:val="24"/>
          <w:highlight w:val="none"/>
        </w:rPr>
        <w:t>1、法定代表人身份证明</w:t>
      </w:r>
    </w:p>
    <w:p w14:paraId="5CD0926A">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投标人名称：</w:t>
      </w:r>
      <w:r>
        <w:rPr>
          <w:rFonts w:hint="eastAsia" w:ascii="宋体"/>
          <w:sz w:val="24"/>
          <w:highlight w:val="none"/>
          <w:u w:val="single"/>
        </w:rPr>
        <w:t xml:space="preserve">                            </w:t>
      </w:r>
    </w:p>
    <w:p w14:paraId="30E6B7AC">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单位性质：</w:t>
      </w:r>
      <w:r>
        <w:rPr>
          <w:rFonts w:hint="eastAsia" w:ascii="宋体"/>
          <w:sz w:val="24"/>
          <w:highlight w:val="none"/>
          <w:u w:val="single"/>
        </w:rPr>
        <w:t xml:space="preserve">                              </w:t>
      </w:r>
    </w:p>
    <w:p w14:paraId="2B53194B">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地    址：</w:t>
      </w:r>
      <w:r>
        <w:rPr>
          <w:rFonts w:hint="eastAsia" w:ascii="宋体"/>
          <w:sz w:val="24"/>
          <w:highlight w:val="none"/>
          <w:u w:val="single"/>
        </w:rPr>
        <w:t xml:space="preserve">                              </w:t>
      </w:r>
    </w:p>
    <w:p w14:paraId="2672DE77">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成立时间：</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56E18266">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经营期限：</w:t>
      </w:r>
      <w:r>
        <w:rPr>
          <w:rFonts w:hint="eastAsia" w:ascii="宋体"/>
          <w:sz w:val="24"/>
          <w:highlight w:val="none"/>
          <w:u w:val="single"/>
        </w:rPr>
        <w:t xml:space="preserve">                              </w:t>
      </w:r>
    </w:p>
    <w:p w14:paraId="7220154A">
      <w:pPr>
        <w:keepNext w:val="0"/>
        <w:keepLines w:val="0"/>
        <w:pageBreakBefore w:val="0"/>
        <w:kinsoku/>
        <w:wordWrap/>
        <w:overflowPunct/>
        <w:topLinePunct w:val="0"/>
        <w:autoSpaceDE/>
        <w:autoSpaceDN/>
        <w:bidi w:val="0"/>
        <w:adjustRightInd/>
        <w:snapToGrid/>
        <w:spacing w:line="440" w:lineRule="exact"/>
        <w:jc w:val="left"/>
        <w:rPr>
          <w:rFonts w:ascii="宋体"/>
          <w:sz w:val="24"/>
          <w:highlight w:val="none"/>
          <w:u w:val="single"/>
        </w:rPr>
      </w:pPr>
      <w:r>
        <w:rPr>
          <w:rFonts w:hint="eastAsia" w:ascii="宋体"/>
          <w:spacing w:val="240"/>
          <w:sz w:val="24"/>
          <w:highlight w:val="none"/>
        </w:rPr>
        <w:t>姓</w:t>
      </w:r>
      <w:r>
        <w:rPr>
          <w:rFonts w:hint="eastAsia" w:ascii="宋体"/>
          <w:sz w:val="24"/>
          <w:highlight w:val="none"/>
        </w:rPr>
        <w:t>名：</w:t>
      </w:r>
      <w:r>
        <w:rPr>
          <w:rFonts w:hint="eastAsia" w:ascii="宋体"/>
          <w:sz w:val="24"/>
          <w:highlight w:val="none"/>
          <w:u w:val="single"/>
        </w:rPr>
        <w:t xml:space="preserve">     </w:t>
      </w:r>
      <w:r>
        <w:rPr>
          <w:rFonts w:hint="eastAsia" w:ascii="宋体"/>
          <w:sz w:val="24"/>
          <w:highlight w:val="none"/>
        </w:rPr>
        <w:t>身份证号码：</w:t>
      </w:r>
      <w:r>
        <w:rPr>
          <w:rFonts w:hint="eastAsia" w:ascii="宋体"/>
          <w:sz w:val="24"/>
          <w:highlight w:val="none"/>
          <w:u w:val="single"/>
        </w:rPr>
        <w:t xml:space="preserve">     </w:t>
      </w:r>
      <w:r>
        <w:rPr>
          <w:rFonts w:hint="eastAsia" w:ascii="宋体"/>
          <w:sz w:val="24"/>
          <w:highlight w:val="none"/>
        </w:rPr>
        <w:t>性别</w:t>
      </w:r>
      <w:r>
        <w:rPr>
          <w:rFonts w:hint="eastAsia" w:ascii="宋体"/>
          <w:sz w:val="24"/>
          <w:highlight w:val="none"/>
          <w:u w:val="single"/>
        </w:rPr>
        <w:t xml:space="preserve">：    </w:t>
      </w:r>
      <w:r>
        <w:rPr>
          <w:rFonts w:hint="eastAsia" w:ascii="宋体"/>
          <w:sz w:val="24"/>
          <w:highlight w:val="none"/>
        </w:rPr>
        <w:t>年龄：</w:t>
      </w:r>
      <w:r>
        <w:rPr>
          <w:rFonts w:hint="eastAsia" w:ascii="宋体"/>
          <w:sz w:val="24"/>
          <w:highlight w:val="none"/>
          <w:u w:val="single"/>
        </w:rPr>
        <w:t xml:space="preserve">＿  </w:t>
      </w:r>
      <w:r>
        <w:rPr>
          <w:rFonts w:hint="eastAsia" w:ascii="宋体"/>
          <w:sz w:val="24"/>
          <w:highlight w:val="none"/>
        </w:rPr>
        <w:t>职务：</w:t>
      </w:r>
      <w:r>
        <w:rPr>
          <w:rFonts w:hint="eastAsia" w:ascii="宋体"/>
          <w:sz w:val="24"/>
          <w:highlight w:val="none"/>
          <w:u w:val="single"/>
        </w:rPr>
        <w:t xml:space="preserve">     </w:t>
      </w:r>
      <w:r>
        <w:rPr>
          <w:rFonts w:hint="eastAsia" w:ascii="宋体"/>
          <w:sz w:val="24"/>
          <w:highlight w:val="none"/>
        </w:rPr>
        <w:t>，系</w:t>
      </w:r>
      <w:r>
        <w:rPr>
          <w:rFonts w:hint="eastAsia" w:ascii="宋体"/>
          <w:sz w:val="24"/>
          <w:highlight w:val="none"/>
          <w:u w:val="single"/>
        </w:rPr>
        <w:t xml:space="preserve">     （投标人名称）</w:t>
      </w:r>
      <w:r>
        <w:rPr>
          <w:rFonts w:hint="eastAsia" w:ascii="宋体"/>
          <w:sz w:val="24"/>
          <w:highlight w:val="none"/>
        </w:rPr>
        <w:t>的法定代表人。</w:t>
      </w:r>
    </w:p>
    <w:p w14:paraId="13BA0D93">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特此证明。</w:t>
      </w:r>
    </w:p>
    <w:p w14:paraId="5AB38E67">
      <w:pPr>
        <w:keepNext w:val="0"/>
        <w:keepLines w:val="0"/>
        <w:pageBreakBefore w:val="0"/>
        <w:kinsoku/>
        <w:wordWrap/>
        <w:overflowPunct/>
        <w:topLinePunct w:val="0"/>
        <w:autoSpaceDE/>
        <w:autoSpaceDN/>
        <w:bidi w:val="0"/>
        <w:adjustRightInd/>
        <w:snapToGrid/>
        <w:spacing w:line="440" w:lineRule="exact"/>
        <w:ind w:firstLine="480" w:firstLineChars="200"/>
        <w:rPr>
          <w:highlight w:val="none"/>
        </w:rPr>
      </w:pPr>
      <w:r>
        <w:rPr>
          <w:rFonts w:hint="eastAsia" w:ascii="宋体"/>
          <w:sz w:val="24"/>
          <w:highlight w:val="none"/>
        </w:rPr>
        <w:t>附：</w:t>
      </w:r>
      <w:r>
        <w:rPr>
          <w:rFonts w:hint="eastAsia" w:ascii="宋体"/>
          <w:b/>
          <w:sz w:val="24"/>
          <w:highlight w:val="none"/>
        </w:rPr>
        <w:t>法定代表人有效身份证扫描件</w:t>
      </w:r>
    </w:p>
    <w:p w14:paraId="3089C1AB">
      <w:pPr>
        <w:keepNext w:val="0"/>
        <w:keepLines w:val="0"/>
        <w:pageBreakBefore w:val="0"/>
        <w:kinsoku/>
        <w:wordWrap/>
        <w:overflowPunct/>
        <w:topLinePunct w:val="0"/>
        <w:autoSpaceDE/>
        <w:autoSpaceDN/>
        <w:bidi w:val="0"/>
        <w:adjustRightInd/>
        <w:snapToGrid/>
        <w:spacing w:line="440" w:lineRule="exact"/>
        <w:ind w:firstLine="3720" w:firstLineChars="1550"/>
        <w:rPr>
          <w:rFonts w:ascii="宋体"/>
          <w:sz w:val="24"/>
          <w:highlight w:val="none"/>
        </w:rPr>
      </w:pPr>
      <w:r>
        <w:rPr>
          <w:rFonts w:hint="eastAsia" w:ascii="宋体"/>
          <w:sz w:val="24"/>
          <w:highlight w:val="none"/>
        </w:rPr>
        <w:t>投标人：</w:t>
      </w:r>
      <w:r>
        <w:rPr>
          <w:rFonts w:hint="eastAsia" w:ascii="宋体"/>
          <w:sz w:val="24"/>
          <w:highlight w:val="none"/>
          <w:u w:val="single"/>
        </w:rPr>
        <w:t xml:space="preserve">            （</w:t>
      </w:r>
      <w:r>
        <w:rPr>
          <w:rFonts w:hint="eastAsia" w:ascii="宋体"/>
          <w:sz w:val="24"/>
          <w:highlight w:val="none"/>
          <w:u w:val="single"/>
          <w:lang w:val="en-US" w:eastAsia="zh-CN"/>
        </w:rPr>
        <w:t>盖</w:t>
      </w:r>
      <w:r>
        <w:rPr>
          <w:rFonts w:hint="eastAsia" w:ascii="宋体"/>
          <w:sz w:val="24"/>
          <w:highlight w:val="none"/>
          <w:u w:val="single"/>
        </w:rPr>
        <w:t>章）</w:t>
      </w:r>
    </w:p>
    <w:p w14:paraId="34409C45">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 xml:space="preserve">                                        年    月     日</w:t>
      </w:r>
    </w:p>
    <w:p w14:paraId="2F0B7B0C">
      <w:pPr>
        <w:keepNext w:val="0"/>
        <w:keepLines w:val="0"/>
        <w:pageBreakBefore w:val="0"/>
        <w:kinsoku/>
        <w:wordWrap/>
        <w:overflowPunct/>
        <w:topLinePunct w:val="0"/>
        <w:autoSpaceDE/>
        <w:autoSpaceDN/>
        <w:bidi w:val="0"/>
        <w:adjustRightInd/>
        <w:snapToGrid/>
        <w:spacing w:line="440" w:lineRule="exact"/>
        <w:rPr>
          <w:highlight w:val="none"/>
        </w:rPr>
      </w:pPr>
    </w:p>
    <w:p w14:paraId="1550066F">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color w:val="auto"/>
          <w:sz w:val="24"/>
          <w:szCs w:val="24"/>
          <w:highlight w:val="none"/>
        </w:rPr>
      </w:pPr>
      <w:r>
        <w:rPr>
          <w:rFonts w:hint="eastAsia" w:ascii="宋体"/>
          <w:color w:val="auto"/>
          <w:sz w:val="24"/>
          <w:szCs w:val="24"/>
          <w:highlight w:val="none"/>
        </w:rPr>
        <w:t>或1、授权委托书</w:t>
      </w:r>
    </w:p>
    <w:p w14:paraId="00E2E773">
      <w:pPr>
        <w:keepNext w:val="0"/>
        <w:keepLines w:val="0"/>
        <w:pageBreakBefore w:val="0"/>
        <w:kinsoku/>
        <w:wordWrap/>
        <w:overflowPunct/>
        <w:topLinePunct w:val="0"/>
        <w:autoSpaceDE/>
        <w:autoSpaceDN/>
        <w:bidi w:val="0"/>
        <w:adjustRightInd/>
        <w:snapToGrid/>
        <w:spacing w:line="440" w:lineRule="exact"/>
        <w:ind w:firstLine="480" w:firstLineChars="200"/>
        <w:jc w:val="left"/>
        <w:rPr>
          <w:rFonts w:ascii="宋体"/>
          <w:sz w:val="24"/>
          <w:highlight w:val="none"/>
        </w:rPr>
      </w:pPr>
      <w:r>
        <w:rPr>
          <w:rFonts w:hint="eastAsia" w:ascii="宋体"/>
          <w:sz w:val="24"/>
          <w:highlight w:val="none"/>
        </w:rPr>
        <w:t>本人</w:t>
      </w:r>
      <w:r>
        <w:rPr>
          <w:rFonts w:hint="eastAsia" w:ascii="宋体"/>
          <w:sz w:val="24"/>
          <w:highlight w:val="none"/>
          <w:u w:val="single"/>
        </w:rPr>
        <w:t xml:space="preserve"> （姓名）</w:t>
      </w:r>
      <w:r>
        <w:rPr>
          <w:rFonts w:hint="eastAsia" w:ascii="宋体"/>
          <w:sz w:val="24"/>
          <w:highlight w:val="none"/>
        </w:rPr>
        <w:t>系</w:t>
      </w:r>
      <w:r>
        <w:rPr>
          <w:rFonts w:hint="eastAsia" w:ascii="宋体"/>
          <w:sz w:val="24"/>
          <w:highlight w:val="none"/>
          <w:u w:val="single"/>
        </w:rPr>
        <w:t>（投标人）</w:t>
      </w:r>
      <w:r>
        <w:rPr>
          <w:rFonts w:hint="eastAsia" w:ascii="宋体"/>
          <w:sz w:val="24"/>
          <w:highlight w:val="none"/>
        </w:rPr>
        <w:t>的法定代表人，现委托</w:t>
      </w:r>
      <w:r>
        <w:rPr>
          <w:rFonts w:hint="eastAsia" w:ascii="宋体"/>
          <w:sz w:val="24"/>
          <w:highlight w:val="none"/>
          <w:u w:val="single"/>
        </w:rPr>
        <w:t>（姓名）</w:t>
      </w:r>
      <w:r>
        <w:rPr>
          <w:rFonts w:hint="eastAsia" w:ascii="宋体"/>
          <w:sz w:val="24"/>
          <w:highlight w:val="none"/>
        </w:rPr>
        <w:t>为我方代理人。代理人根据授权，以我方名义签署、澄清、说明、补正、递交、撤回、修改</w:t>
      </w:r>
      <w:r>
        <w:rPr>
          <w:rFonts w:hint="eastAsia" w:ascii="宋体"/>
          <w:sz w:val="24"/>
          <w:highlight w:val="none"/>
          <w:u w:val="single"/>
        </w:rPr>
        <w:t xml:space="preserve"> “   ”(项目名称）</w:t>
      </w:r>
      <w:r>
        <w:rPr>
          <w:rFonts w:hint="eastAsia" w:ascii="宋体"/>
          <w:sz w:val="24"/>
          <w:highlight w:val="none"/>
        </w:rPr>
        <w:t>投标文件，全权处理与该项目投标、评审答疑、签订合同以及与合同执行有关的一切事务，其法律后果由我方承担。</w:t>
      </w:r>
    </w:p>
    <w:p w14:paraId="104BA12E">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委托期限：</w:t>
      </w:r>
      <w:r>
        <w:rPr>
          <w:rFonts w:hint="eastAsia" w:ascii="宋体"/>
          <w:sz w:val="24"/>
          <w:highlight w:val="none"/>
          <w:u w:val="single"/>
          <w:lang w:val="en-US" w:eastAsia="zh-CN"/>
        </w:rPr>
        <w:t xml:space="preserve">              </w:t>
      </w:r>
      <w:r>
        <w:rPr>
          <w:rFonts w:hint="eastAsia" w:ascii="宋体" w:cs="宋体"/>
          <w:sz w:val="24"/>
          <w:highlight w:val="none"/>
        </w:rPr>
        <w:t>。</w:t>
      </w:r>
    </w:p>
    <w:p w14:paraId="5334BA4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代理人无转委托权。</w:t>
      </w:r>
    </w:p>
    <w:p w14:paraId="0A2C1F2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b/>
          <w:sz w:val="24"/>
          <w:highlight w:val="none"/>
        </w:rPr>
      </w:pPr>
      <w:r>
        <w:rPr>
          <w:rFonts w:hint="eastAsia" w:ascii="宋体"/>
          <w:sz w:val="24"/>
          <w:highlight w:val="none"/>
        </w:rPr>
        <w:t>附：</w:t>
      </w:r>
      <w:r>
        <w:rPr>
          <w:rFonts w:hint="eastAsia" w:ascii="宋体"/>
          <w:b/>
          <w:sz w:val="24"/>
          <w:highlight w:val="none"/>
        </w:rPr>
        <w:t>委托代理人有效身份证扫描件</w:t>
      </w:r>
    </w:p>
    <w:p w14:paraId="3E1AE668">
      <w:pPr>
        <w:keepNext w:val="0"/>
        <w:keepLines w:val="0"/>
        <w:pageBreakBefore w:val="0"/>
        <w:kinsoku/>
        <w:wordWrap/>
        <w:overflowPunct/>
        <w:topLinePunct w:val="0"/>
        <w:autoSpaceDE/>
        <w:autoSpaceDN/>
        <w:bidi w:val="0"/>
        <w:adjustRightInd/>
        <w:snapToGrid/>
        <w:spacing w:line="440" w:lineRule="exact"/>
        <w:ind w:firstLine="964" w:firstLineChars="400"/>
        <w:rPr>
          <w:rFonts w:ascii="宋体"/>
          <w:b/>
          <w:sz w:val="24"/>
          <w:highlight w:val="none"/>
        </w:rPr>
      </w:pPr>
      <w:r>
        <w:rPr>
          <w:rFonts w:hint="eastAsia" w:ascii="宋体"/>
          <w:b/>
          <w:sz w:val="24"/>
          <w:highlight w:val="none"/>
        </w:rPr>
        <w:t>法定代表人有效身份证扫描件</w:t>
      </w:r>
    </w:p>
    <w:p w14:paraId="3DC4B743">
      <w:pPr>
        <w:keepNext w:val="0"/>
        <w:keepLines w:val="0"/>
        <w:pageBreakBefore w:val="0"/>
        <w:kinsoku/>
        <w:wordWrap/>
        <w:overflowPunct/>
        <w:topLinePunct w:val="0"/>
        <w:autoSpaceDE/>
        <w:autoSpaceDN/>
        <w:bidi w:val="0"/>
        <w:adjustRightInd/>
        <w:snapToGrid/>
        <w:spacing w:line="440" w:lineRule="exact"/>
        <w:ind w:firstLine="833" w:firstLineChars="397"/>
        <w:rPr>
          <w:highlight w:val="none"/>
        </w:rPr>
      </w:pPr>
    </w:p>
    <w:p w14:paraId="4D108BBB">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 xml:space="preserve"> 投标人（盖章）：</w:t>
      </w:r>
    </w:p>
    <w:p w14:paraId="63FE0C4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法定代表人（身份证号码）：    （签字或盖章）</w:t>
      </w:r>
    </w:p>
    <w:p w14:paraId="3BE5CF0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委托代理人（身份证号码）：    （签字或盖章）</w:t>
      </w:r>
    </w:p>
    <w:p w14:paraId="0FCD3FA1">
      <w:pPr>
        <w:keepNext w:val="0"/>
        <w:keepLines w:val="0"/>
        <w:pageBreakBefore w:val="0"/>
        <w:kinsoku/>
        <w:wordWrap/>
        <w:overflowPunct/>
        <w:topLinePunct w:val="0"/>
        <w:autoSpaceDE/>
        <w:autoSpaceDN/>
        <w:bidi w:val="0"/>
        <w:adjustRightInd/>
        <w:snapToGrid/>
        <w:spacing w:line="440" w:lineRule="exact"/>
        <w:ind w:firstLine="5040" w:firstLineChars="2100"/>
        <w:rPr>
          <w:rFonts w:ascii="宋体"/>
          <w:sz w:val="24"/>
          <w:highlight w:val="none"/>
        </w:rPr>
      </w:pPr>
      <w:r>
        <w:rPr>
          <w:rFonts w:hint="eastAsia" w:ascii="宋体"/>
          <w:sz w:val="24"/>
          <w:highlight w:val="none"/>
        </w:rPr>
        <w:t xml:space="preserve">   </w:t>
      </w:r>
    </w:p>
    <w:p w14:paraId="0F4784B3">
      <w:pPr>
        <w:keepNext w:val="0"/>
        <w:keepLines w:val="0"/>
        <w:pageBreakBefore w:val="0"/>
        <w:kinsoku/>
        <w:wordWrap/>
        <w:overflowPunct/>
        <w:topLinePunct w:val="0"/>
        <w:autoSpaceDE/>
        <w:autoSpaceDN/>
        <w:bidi w:val="0"/>
        <w:adjustRightInd/>
        <w:snapToGrid/>
        <w:spacing w:line="440" w:lineRule="exact"/>
        <w:ind w:firstLine="5700" w:firstLineChars="2375"/>
        <w:rPr>
          <w:rFonts w:ascii="宋体"/>
          <w:sz w:val="24"/>
          <w:highlight w:val="none"/>
        </w:rPr>
      </w:pPr>
      <w:r>
        <w:rPr>
          <w:rFonts w:hint="eastAsia" w:ascii="宋体"/>
          <w:sz w:val="24"/>
          <w:highlight w:val="none"/>
        </w:rPr>
        <w:t>年    月    日</w:t>
      </w:r>
    </w:p>
    <w:p w14:paraId="528761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sz w:val="28"/>
          <w:szCs w:val="28"/>
          <w:highlight w:val="none"/>
        </w:rPr>
      </w:pPr>
      <w:r>
        <w:rPr>
          <w:rFonts w:hint="eastAsia"/>
          <w:b/>
          <w:sz w:val="28"/>
          <w:szCs w:val="28"/>
          <w:highlight w:val="none"/>
        </w:rPr>
        <w:t>（2）诚信投标承诺书</w:t>
      </w:r>
      <w:bookmarkEnd w:id="960"/>
      <w:bookmarkEnd w:id="961"/>
      <w:bookmarkEnd w:id="962"/>
    </w:p>
    <w:p w14:paraId="4F449F9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szCs w:val="21"/>
          <w:highlight w:val="none"/>
        </w:rPr>
      </w:pPr>
      <w:r>
        <w:rPr>
          <w:rFonts w:hint="eastAsia" w:ascii="宋体" w:hAnsi="宋体"/>
          <w:szCs w:val="21"/>
          <w:highlight w:val="none"/>
        </w:rPr>
        <w:t>本人以企业法定代表人的身份郑重承诺：</w:t>
      </w:r>
    </w:p>
    <w:p w14:paraId="65F7576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一、将遵循公开、公正和诚实信用的原则自愿参加</w:t>
      </w:r>
      <w:r>
        <w:rPr>
          <w:rFonts w:hint="eastAsia" w:ascii="宋体" w:hAnsi="宋体"/>
          <w:szCs w:val="21"/>
          <w:highlight w:val="none"/>
          <w:u w:val="single"/>
        </w:rPr>
        <w:t xml:space="preserve">       （项目名称）        </w:t>
      </w:r>
      <w:r>
        <w:rPr>
          <w:rFonts w:hint="eastAsia" w:ascii="宋体" w:hAnsi="宋体"/>
          <w:szCs w:val="21"/>
          <w:highlight w:val="none"/>
        </w:rPr>
        <w:t>项目的投标；</w:t>
      </w:r>
    </w:p>
    <w:p w14:paraId="01C34AA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二、所提供的一切材料都是真实、有效、合法的；</w:t>
      </w:r>
    </w:p>
    <w:p w14:paraId="72E8418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三、不出借、转让资质证书，不让他人挂靠投标，不以他人名义投标或者以其他方式弄虚作假，骗取中标；</w:t>
      </w:r>
    </w:p>
    <w:p w14:paraId="12874A6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四、不与其他投标人相互串通投标报价，不排挤其他投标人的公平竞争、损害招标人的合法权益；</w:t>
      </w:r>
    </w:p>
    <w:p w14:paraId="5E82D77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五、不与招标人、招标代理机构或其他投标人串通投标，损害国家利益、社会公共利益或者他人的合法权益；</w:t>
      </w:r>
    </w:p>
    <w:p w14:paraId="3A9F29C9">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lang w:eastAsia="zh-CN"/>
        </w:rPr>
      </w:pPr>
      <w:r>
        <w:rPr>
          <w:rFonts w:hint="eastAsia" w:ascii="宋体" w:hAnsi="宋体" w:eastAsia="宋体" w:cs="Times New Roman"/>
          <w:szCs w:val="21"/>
          <w:highlight w:val="none"/>
        </w:rPr>
        <w:t>六、</w:t>
      </w:r>
      <w:r>
        <w:rPr>
          <w:rFonts w:hint="eastAsia" w:ascii="宋体" w:hAnsi="宋体" w:eastAsia="宋体" w:cs="Times New Roman"/>
          <w:szCs w:val="21"/>
          <w:highlight w:val="none"/>
          <w:lang w:eastAsia="zh-CN"/>
        </w:rPr>
        <w:t>我公司</w:t>
      </w:r>
      <w:r>
        <w:rPr>
          <w:rFonts w:hint="eastAsia" w:ascii="宋体" w:hAnsi="宋体" w:eastAsia="宋体" w:cs="Times New Roman"/>
          <w:szCs w:val="21"/>
          <w:highlight w:val="none"/>
        </w:rPr>
        <w:t>没有下列情形：</w:t>
      </w:r>
      <w:bookmarkStart w:id="963" w:name="OLE_LINK133"/>
      <w:bookmarkStart w:id="964" w:name="OLE_LINK134"/>
      <w:r>
        <w:rPr>
          <w:rFonts w:hint="eastAsia" w:ascii="宋体" w:hAnsi="宋体" w:eastAsia="宋体" w:cs="Times New Roman"/>
          <w:szCs w:val="21"/>
          <w:highlight w:val="none"/>
        </w:rPr>
        <w:t>①被列入“信用中国”网站“失信被执行人”的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②被列入“信用中国”网站“重大税收违法失信主体”的；③被列入“信用中国”网站“拖欠农民工工资失信联合惩戒对象名单”的；④被列入“信用中国”网站“</w:t>
      </w:r>
      <w:r>
        <w:rPr>
          <w:rFonts w:hint="eastAsia" w:ascii="宋体" w:hAnsi="宋体" w:eastAsia="宋体" w:cs="Times New Roman"/>
          <w:szCs w:val="21"/>
          <w:highlight w:val="none"/>
          <w:lang w:eastAsia="zh-CN"/>
        </w:rPr>
        <w:t>安全生产严重失信主体名单</w:t>
      </w:r>
      <w:r>
        <w:rPr>
          <w:rFonts w:hint="eastAsia" w:ascii="宋体" w:hAnsi="宋体" w:eastAsia="宋体" w:cs="Times New Roman"/>
          <w:szCs w:val="21"/>
          <w:highlight w:val="none"/>
        </w:rPr>
        <w:t>”的；⑤被列入国家企业信用信息公示系统网站“严重违法失信名单”的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w:t>
      </w:r>
      <w:bookmarkEnd w:id="963"/>
      <w:bookmarkEnd w:id="964"/>
      <w:r>
        <w:rPr>
          <w:rFonts w:hint="eastAsia" w:ascii="宋体" w:hAnsi="宋体" w:eastAsia="宋体" w:cs="Times New Roman"/>
          <w:szCs w:val="21"/>
          <w:highlight w:val="none"/>
        </w:rPr>
        <w:t>若招标文件对投标人（包括联合体各成员）所属分公司、办事处等分支机构有上述1-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项信誉要求，在此一并承诺我公司（包括联合体各成员）所属分公司、办事处等分支机构没有上述1-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项情形）</w:t>
      </w:r>
      <w:r>
        <w:rPr>
          <w:rFonts w:hint="eastAsia" w:ascii="宋体" w:hAnsi="宋体" w:eastAsia="宋体" w:cs="Times New Roman"/>
          <w:szCs w:val="21"/>
          <w:highlight w:val="none"/>
          <w:lang w:eastAsia="zh-CN"/>
        </w:rPr>
        <w:t>；</w:t>
      </w:r>
    </w:p>
    <w:p w14:paraId="007134E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七</w:t>
      </w:r>
      <w:r>
        <w:rPr>
          <w:rFonts w:hint="eastAsia" w:ascii="宋体" w:hAnsi="宋体"/>
          <w:szCs w:val="21"/>
          <w:highlight w:val="none"/>
        </w:rPr>
        <w:t>、保证中标后不转包及使用挂靠施工队伍，若有分包征得建设单位同意；</w:t>
      </w:r>
    </w:p>
    <w:p w14:paraId="63C6B49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八、保证中标之后，按照投标文件承诺派驻管理人员及投入机械设备，如有违反，同意接受建设单位违约处罚；</w:t>
      </w:r>
    </w:p>
    <w:p w14:paraId="775E18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九</w:t>
      </w:r>
      <w:r>
        <w:rPr>
          <w:rFonts w:hint="eastAsia" w:ascii="宋体" w:hAnsi="宋体"/>
          <w:szCs w:val="21"/>
          <w:highlight w:val="none"/>
        </w:rPr>
        <w:t>、保证企业及所属相关人员在本次投标中无行贿等犯罪行为；</w:t>
      </w:r>
    </w:p>
    <w:p w14:paraId="3DF19E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十、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23E2175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十</w:t>
      </w:r>
      <w:r>
        <w:rPr>
          <w:rFonts w:hint="eastAsia" w:ascii="宋体" w:hAnsi="宋体"/>
          <w:szCs w:val="21"/>
          <w:highlight w:val="none"/>
          <w:lang w:val="en-US" w:eastAsia="zh-CN"/>
        </w:rPr>
        <w:t>一</w:t>
      </w:r>
      <w:r>
        <w:rPr>
          <w:rFonts w:hint="eastAsia" w:ascii="宋体" w:hAnsi="宋体"/>
          <w:szCs w:val="21"/>
          <w:highlight w:val="none"/>
        </w:rPr>
        <w:t>、如我公司中标，按照国务院《关于全面治理拖欠农民工工资问题的意见》（国办发[2016]1号）及国家住建部和人社部关于《建筑工人实名制管理办法》（建市[2019]18号）的规定，总承包单位对所承建的工程项目的建筑工人实名制管理负总责，对建筑工人实行实名制管理；实行人工费用与其他工程款分账管理制度；建筑工程承包单位必须开设农民工工资专户；建设单位在支付工程款时，应将人工费部分按规定汇入建筑工程承包单位的农民工工资专户，由建筑工程承包单位按劳动合同约定，通过农民工工资专户按月足额将工资发放给建筑工人；</w:t>
      </w:r>
    </w:p>
    <w:p w14:paraId="437149D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以上内容我已仔细阅读，本公司若有违反承诺内容的行为，自愿接受取消投标或者中标资格、记入不良行为记录、投标保证金不予退还等有关处理，愿意承担法律责任，给招标人造成损失的，依法承担赔偿责任。</w:t>
      </w:r>
    </w:p>
    <w:p w14:paraId="635156B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开户银行：                          基本账户：</w:t>
      </w:r>
    </w:p>
    <w:p w14:paraId="5608ECA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投标人（盖章）：              法定代表人（签字或</w:t>
      </w:r>
      <w:r>
        <w:rPr>
          <w:rFonts w:hint="eastAsia" w:ascii="宋体" w:hAnsi="宋体"/>
          <w:szCs w:val="21"/>
          <w:highlight w:val="none"/>
          <w:lang w:val="en-US" w:eastAsia="zh-CN"/>
        </w:rPr>
        <w:t>盖</w:t>
      </w:r>
      <w:r>
        <w:rPr>
          <w:rFonts w:hint="eastAsia" w:ascii="宋体" w:hAnsi="宋体"/>
          <w:szCs w:val="21"/>
          <w:highlight w:val="none"/>
        </w:rPr>
        <w:t>章）：</w:t>
      </w:r>
    </w:p>
    <w:p w14:paraId="3617905E">
      <w:pPr>
        <w:keepNext w:val="0"/>
        <w:keepLines w:val="0"/>
        <w:pageBreakBefore w:val="0"/>
        <w:widowControl w:val="0"/>
        <w:kinsoku/>
        <w:wordWrap/>
        <w:overflowPunct/>
        <w:topLinePunct w:val="0"/>
        <w:autoSpaceDE/>
        <w:autoSpaceDN/>
        <w:bidi w:val="0"/>
        <w:adjustRightInd/>
        <w:snapToGrid/>
        <w:spacing w:line="360" w:lineRule="exact"/>
        <w:ind w:firstLine="5250" w:firstLineChars="2500"/>
        <w:textAlignment w:val="auto"/>
        <w:rPr>
          <w:highlight w:val="none"/>
        </w:rPr>
      </w:pPr>
      <w:r>
        <w:rPr>
          <w:rFonts w:hint="eastAsia" w:ascii="宋体" w:hAnsi="宋体"/>
          <w:szCs w:val="21"/>
          <w:highlight w:val="none"/>
        </w:rPr>
        <w:t>日期：    年   月   日</w:t>
      </w:r>
    </w:p>
    <w:p w14:paraId="364DDAFB">
      <w:pPr>
        <w:rPr>
          <w:rFonts w:eastAsia="黑体"/>
          <w:sz w:val="28"/>
          <w:szCs w:val="28"/>
          <w:highlight w:val="none"/>
          <w:u w:val="single"/>
        </w:rPr>
      </w:pPr>
      <w:r>
        <w:rPr>
          <w:rFonts w:hint="eastAsia" w:ascii="宋体" w:hAnsi="宋体"/>
          <w:b/>
          <w:sz w:val="32"/>
          <w:szCs w:val="32"/>
          <w:highlight w:val="none"/>
        </w:rPr>
        <w:br w:type="page"/>
      </w:r>
    </w:p>
    <w:p w14:paraId="20447F5C">
      <w:pPr>
        <w:jc w:val="center"/>
        <w:rPr>
          <w:rFonts w:eastAsia="黑体"/>
          <w:sz w:val="20"/>
          <w:szCs w:val="20"/>
          <w:highlight w:val="none"/>
        </w:rPr>
      </w:pPr>
      <w:r>
        <w:rPr>
          <w:rFonts w:eastAsia="黑体"/>
          <w:sz w:val="28"/>
          <w:szCs w:val="28"/>
          <w:highlight w:val="none"/>
        </w:rPr>
        <w:t>（项目名称）</w:t>
      </w:r>
    </w:p>
    <w:p w14:paraId="66B855F2">
      <w:pPr>
        <w:jc w:val="center"/>
        <w:rPr>
          <w:rFonts w:eastAsia="黑体"/>
          <w:sz w:val="20"/>
          <w:szCs w:val="20"/>
          <w:highlight w:val="none"/>
        </w:rPr>
      </w:pPr>
    </w:p>
    <w:p w14:paraId="792DB5BC">
      <w:pPr>
        <w:rPr>
          <w:rFonts w:eastAsia="黑体"/>
          <w:sz w:val="20"/>
          <w:szCs w:val="20"/>
          <w:highlight w:val="none"/>
        </w:rPr>
      </w:pPr>
    </w:p>
    <w:p w14:paraId="60025CC7">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二</w:t>
      </w:r>
    </w:p>
    <w:p w14:paraId="11881936">
      <w:pPr>
        <w:jc w:val="center"/>
        <w:rPr>
          <w:rFonts w:eastAsia="黑体"/>
          <w:sz w:val="44"/>
          <w:szCs w:val="44"/>
          <w:highlight w:val="none"/>
        </w:rPr>
      </w:pPr>
      <w:r>
        <w:rPr>
          <w:rFonts w:hint="eastAsia" w:eastAsia="黑体"/>
          <w:sz w:val="44"/>
          <w:szCs w:val="44"/>
          <w:highlight w:val="none"/>
        </w:rPr>
        <w:t>（技术标文件）</w:t>
      </w:r>
    </w:p>
    <w:p w14:paraId="78C47936">
      <w:pPr>
        <w:rPr>
          <w:rFonts w:eastAsia="黑体"/>
          <w:sz w:val="28"/>
          <w:szCs w:val="28"/>
          <w:highlight w:val="none"/>
        </w:rPr>
      </w:pPr>
    </w:p>
    <w:p w14:paraId="13EF90FD">
      <w:pPr>
        <w:rPr>
          <w:rFonts w:eastAsia="黑体"/>
          <w:sz w:val="28"/>
          <w:szCs w:val="28"/>
          <w:highlight w:val="none"/>
        </w:rPr>
      </w:pPr>
    </w:p>
    <w:p w14:paraId="4307D5B0">
      <w:pPr>
        <w:rPr>
          <w:rFonts w:eastAsia="黑体"/>
          <w:sz w:val="28"/>
          <w:szCs w:val="28"/>
          <w:highlight w:val="none"/>
        </w:rPr>
      </w:pPr>
    </w:p>
    <w:p w14:paraId="6B2C05F0">
      <w:pPr>
        <w:pStyle w:val="14"/>
        <w:ind w:firstLine="560"/>
        <w:rPr>
          <w:rFonts w:eastAsia="黑体"/>
          <w:sz w:val="28"/>
          <w:szCs w:val="28"/>
          <w:highlight w:val="none"/>
        </w:rPr>
      </w:pPr>
    </w:p>
    <w:p w14:paraId="1D0BEC5C">
      <w:pPr>
        <w:rPr>
          <w:rFonts w:eastAsia="黑体"/>
          <w:sz w:val="28"/>
          <w:szCs w:val="28"/>
          <w:highlight w:val="none"/>
        </w:rPr>
      </w:pPr>
    </w:p>
    <w:p w14:paraId="28D93157">
      <w:pPr>
        <w:pStyle w:val="14"/>
        <w:ind w:firstLine="560"/>
        <w:rPr>
          <w:rFonts w:eastAsia="黑体"/>
          <w:sz w:val="28"/>
          <w:szCs w:val="28"/>
          <w:highlight w:val="none"/>
        </w:rPr>
      </w:pPr>
    </w:p>
    <w:p w14:paraId="1FFAD3CF">
      <w:pPr>
        <w:rPr>
          <w:highlight w:val="none"/>
        </w:rPr>
      </w:pPr>
    </w:p>
    <w:p w14:paraId="0D2C3844">
      <w:pPr>
        <w:rPr>
          <w:rFonts w:eastAsia="黑体"/>
          <w:sz w:val="28"/>
          <w:szCs w:val="28"/>
          <w:highlight w:val="none"/>
        </w:rPr>
      </w:pPr>
    </w:p>
    <w:p w14:paraId="3D9426D8">
      <w:pPr>
        <w:rPr>
          <w:rFonts w:eastAsia="黑体"/>
          <w:sz w:val="28"/>
          <w:szCs w:val="28"/>
          <w:highlight w:val="none"/>
        </w:rPr>
      </w:pPr>
    </w:p>
    <w:p w14:paraId="21A6EBE5">
      <w:pPr>
        <w:rPr>
          <w:rFonts w:eastAsia="黑体"/>
          <w:sz w:val="28"/>
          <w:szCs w:val="28"/>
          <w:highlight w:val="none"/>
        </w:rPr>
      </w:pPr>
    </w:p>
    <w:p w14:paraId="02F825C3">
      <w:pPr>
        <w:rPr>
          <w:rFonts w:eastAsia="黑体"/>
          <w:sz w:val="28"/>
          <w:szCs w:val="28"/>
          <w:highlight w:val="none"/>
        </w:rPr>
      </w:pPr>
    </w:p>
    <w:p w14:paraId="65C29CBB">
      <w:pPr>
        <w:rPr>
          <w:rFonts w:eastAsia="黑体"/>
          <w:sz w:val="28"/>
          <w:szCs w:val="28"/>
          <w:highlight w:val="none"/>
        </w:rPr>
      </w:pPr>
    </w:p>
    <w:p w14:paraId="10883D19">
      <w:pPr>
        <w:jc w:val="center"/>
        <w:rPr>
          <w:rFonts w:eastAsia="黑体"/>
          <w:sz w:val="28"/>
          <w:szCs w:val="28"/>
          <w:highlight w:val="none"/>
          <w:u w:val="single"/>
        </w:rPr>
      </w:pPr>
      <w:bookmarkStart w:id="965" w:name="_Toc35424972"/>
      <w:bookmarkStart w:id="966" w:name="_Toc3395"/>
      <w:bookmarkStart w:id="967" w:name="_Toc35425138"/>
      <w:r>
        <w:rPr>
          <w:rFonts w:hint="eastAsia" w:eastAsia="黑体"/>
          <w:sz w:val="28"/>
          <w:szCs w:val="28"/>
          <w:highlight w:val="none"/>
        </w:rPr>
        <w:t xml:space="preserve"> 投标人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盖</w:t>
      </w:r>
      <w:r>
        <w:rPr>
          <w:rFonts w:eastAsia="黑体"/>
          <w:sz w:val="28"/>
          <w:szCs w:val="28"/>
          <w:highlight w:val="none"/>
        </w:rPr>
        <w:t>章）</w:t>
      </w:r>
    </w:p>
    <w:p w14:paraId="3B6C62B9">
      <w:pPr>
        <w:jc w:val="center"/>
        <w:rPr>
          <w:rFonts w:eastAsia="黑体"/>
          <w:sz w:val="28"/>
          <w:szCs w:val="28"/>
          <w:highlight w:val="none"/>
        </w:rPr>
      </w:pPr>
      <w:r>
        <w:rPr>
          <w:rFonts w:hint="eastAsia" w:eastAsia="黑体"/>
          <w:sz w:val="28"/>
          <w:szCs w:val="28"/>
          <w:highlight w:val="none"/>
        </w:rPr>
        <w:t xml:space="preserve">   </w:t>
      </w:r>
      <w:r>
        <w:rPr>
          <w:rFonts w:eastAsia="黑体"/>
          <w:sz w:val="28"/>
          <w:szCs w:val="28"/>
          <w:highlight w:val="none"/>
        </w:rPr>
        <w:t>法定代表人</w:t>
      </w:r>
      <w:r>
        <w:rPr>
          <w:rFonts w:hint="eastAsia" w:eastAsia="黑体"/>
          <w:sz w:val="28"/>
          <w:szCs w:val="28"/>
          <w:highlight w:val="none"/>
          <w:lang w:val="en-US" w:eastAsia="zh-CN"/>
        </w:rPr>
        <w:t>或授权委托人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签字或盖章</w:t>
      </w:r>
      <w:r>
        <w:rPr>
          <w:rFonts w:eastAsia="黑体"/>
          <w:sz w:val="28"/>
          <w:szCs w:val="28"/>
          <w:highlight w:val="none"/>
        </w:rPr>
        <w:t>）</w:t>
      </w:r>
    </w:p>
    <w:p w14:paraId="1FCEEEFE">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01D43AA9">
      <w:pPr>
        <w:spacing w:line="540" w:lineRule="exact"/>
        <w:rPr>
          <w:rStyle w:val="120"/>
          <w:rFonts w:ascii="宋体" w:hAnsi="宋体" w:cs="宋体"/>
          <w:sz w:val="32"/>
          <w:highlight w:val="none"/>
        </w:rPr>
      </w:pPr>
    </w:p>
    <w:p w14:paraId="43AB31C5">
      <w:pPr>
        <w:spacing w:beforeLines="50" w:afterLines="50" w:line="440" w:lineRule="exact"/>
        <w:ind w:firstLine="643" w:firstLineChars="200"/>
        <w:jc w:val="left"/>
        <w:rPr>
          <w:rStyle w:val="120"/>
          <w:rFonts w:ascii="宋体" w:hAnsi="宋体" w:cs="宋体"/>
          <w:sz w:val="32"/>
          <w:highlight w:val="none"/>
        </w:rPr>
      </w:pPr>
      <w:bookmarkStart w:id="968" w:name="_Toc78803400"/>
      <w:r>
        <w:rPr>
          <w:rStyle w:val="120"/>
          <w:rFonts w:hint="eastAsia" w:ascii="宋体" w:hAnsi="宋体" w:cs="宋体"/>
          <w:sz w:val="32"/>
          <w:highlight w:val="none"/>
        </w:rPr>
        <w:br w:type="page"/>
      </w:r>
      <w:r>
        <w:rPr>
          <w:rStyle w:val="120"/>
          <w:rFonts w:hint="eastAsia" w:ascii="宋体" w:hAnsi="宋体" w:cs="宋体"/>
          <w:sz w:val="32"/>
          <w:highlight w:val="none"/>
        </w:rPr>
        <w:t>投标文件二</w:t>
      </w:r>
      <w:bookmarkEnd w:id="965"/>
      <w:bookmarkEnd w:id="966"/>
      <w:bookmarkEnd w:id="967"/>
      <w:r>
        <w:rPr>
          <w:rStyle w:val="120"/>
          <w:rFonts w:hint="eastAsia" w:ascii="宋体" w:hAnsi="宋体" w:cs="宋体"/>
          <w:sz w:val="32"/>
          <w:highlight w:val="none"/>
        </w:rPr>
        <w:t>：技术标目录</w:t>
      </w:r>
      <w:bookmarkEnd w:id="968"/>
    </w:p>
    <w:p w14:paraId="6825FDF9">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1</w:t>
      </w:r>
      <w:r>
        <w:rPr>
          <w:rFonts w:hint="eastAsia" w:ascii="宋体" w:hAnsi="宋体" w:cs="宋体"/>
          <w:szCs w:val="21"/>
          <w:highlight w:val="none"/>
          <w:lang w:eastAsia="zh-CN"/>
        </w:rPr>
        <w:t>）</w:t>
      </w:r>
      <w:r>
        <w:rPr>
          <w:rFonts w:hint="eastAsia" w:ascii="宋体" w:hAnsi="宋体" w:cs="宋体"/>
          <w:szCs w:val="21"/>
          <w:highlight w:val="none"/>
        </w:rPr>
        <w:t>项目监理机构组织形式，人员岗位职责</w:t>
      </w:r>
    </w:p>
    <w:p w14:paraId="267DAFF3">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2</w:t>
      </w:r>
      <w:r>
        <w:rPr>
          <w:rFonts w:hint="eastAsia" w:ascii="宋体" w:hAnsi="宋体" w:cs="宋体"/>
          <w:szCs w:val="21"/>
          <w:highlight w:val="none"/>
          <w:lang w:eastAsia="zh-CN"/>
        </w:rPr>
        <w:t>）</w:t>
      </w:r>
      <w:r>
        <w:rPr>
          <w:rFonts w:hint="eastAsia" w:ascii="宋体" w:hAnsi="宋体" w:cs="宋体"/>
          <w:szCs w:val="21"/>
          <w:highlight w:val="none"/>
        </w:rPr>
        <w:t>质量管理</w:t>
      </w:r>
    </w:p>
    <w:p w14:paraId="5A8BA309">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3</w:t>
      </w:r>
      <w:r>
        <w:rPr>
          <w:rFonts w:hint="eastAsia" w:ascii="宋体" w:hAnsi="宋体" w:cs="宋体"/>
          <w:szCs w:val="21"/>
          <w:highlight w:val="none"/>
          <w:lang w:eastAsia="zh-CN"/>
        </w:rPr>
        <w:t>）</w:t>
      </w:r>
      <w:r>
        <w:rPr>
          <w:rFonts w:hint="eastAsia" w:ascii="宋体" w:hAnsi="宋体" w:cs="宋体"/>
          <w:szCs w:val="21"/>
          <w:highlight w:val="none"/>
        </w:rPr>
        <w:t>进度控制</w:t>
      </w:r>
    </w:p>
    <w:p w14:paraId="7788B68D">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4</w:t>
      </w:r>
      <w:r>
        <w:rPr>
          <w:rFonts w:hint="eastAsia" w:ascii="宋体" w:hAnsi="宋体" w:cs="宋体"/>
          <w:szCs w:val="21"/>
          <w:highlight w:val="none"/>
          <w:lang w:eastAsia="zh-CN"/>
        </w:rPr>
        <w:t>）</w:t>
      </w:r>
      <w:r>
        <w:rPr>
          <w:rFonts w:hint="eastAsia" w:ascii="宋体" w:hAnsi="宋体" w:cs="宋体"/>
          <w:szCs w:val="21"/>
          <w:highlight w:val="none"/>
        </w:rPr>
        <w:t>造价控制</w:t>
      </w:r>
    </w:p>
    <w:p w14:paraId="6D5F7814">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5</w:t>
      </w:r>
      <w:r>
        <w:rPr>
          <w:rFonts w:hint="eastAsia" w:ascii="宋体" w:hAnsi="宋体" w:cs="宋体"/>
          <w:szCs w:val="21"/>
          <w:highlight w:val="none"/>
          <w:lang w:eastAsia="zh-CN"/>
        </w:rPr>
        <w:t>）</w:t>
      </w:r>
      <w:r>
        <w:rPr>
          <w:rFonts w:hint="eastAsia" w:ascii="宋体" w:hAnsi="宋体" w:cs="宋体"/>
          <w:szCs w:val="21"/>
          <w:highlight w:val="none"/>
        </w:rPr>
        <w:t>安全生产</w:t>
      </w:r>
    </w:p>
    <w:p w14:paraId="7C135DC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6</w:t>
      </w:r>
      <w:r>
        <w:rPr>
          <w:rFonts w:hint="eastAsia" w:ascii="宋体" w:hAnsi="宋体" w:cs="宋体"/>
          <w:szCs w:val="21"/>
          <w:highlight w:val="none"/>
          <w:lang w:eastAsia="zh-CN"/>
        </w:rPr>
        <w:t>）</w:t>
      </w:r>
      <w:r>
        <w:rPr>
          <w:rFonts w:hint="eastAsia" w:ascii="宋体" w:hAnsi="宋体" w:cs="宋体"/>
          <w:szCs w:val="21"/>
          <w:highlight w:val="none"/>
        </w:rPr>
        <w:t>合同及信息管理</w:t>
      </w:r>
    </w:p>
    <w:p w14:paraId="7609EB5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7</w:t>
      </w:r>
      <w:r>
        <w:rPr>
          <w:rFonts w:hint="eastAsia" w:ascii="宋体" w:hAnsi="宋体" w:cs="宋体"/>
          <w:szCs w:val="21"/>
          <w:highlight w:val="none"/>
          <w:lang w:eastAsia="zh-CN"/>
        </w:rPr>
        <w:t>）</w:t>
      </w:r>
      <w:r>
        <w:rPr>
          <w:rFonts w:hint="eastAsia" w:ascii="宋体" w:hAnsi="宋体" w:cs="宋体"/>
          <w:szCs w:val="21"/>
          <w:highlight w:val="none"/>
        </w:rPr>
        <w:t>文明施工管理、组织协调方法</w:t>
      </w:r>
    </w:p>
    <w:p w14:paraId="5EEDE288">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8</w:t>
      </w:r>
      <w:r>
        <w:rPr>
          <w:rFonts w:hint="eastAsia" w:ascii="宋体" w:hAnsi="宋体" w:cs="宋体"/>
          <w:szCs w:val="21"/>
          <w:highlight w:val="none"/>
          <w:lang w:eastAsia="zh-CN"/>
        </w:rPr>
        <w:t>）</w:t>
      </w:r>
      <w:r>
        <w:rPr>
          <w:rFonts w:hint="eastAsia" w:ascii="宋体" w:hAnsi="宋体" w:cs="宋体"/>
          <w:szCs w:val="21"/>
          <w:highlight w:val="none"/>
        </w:rPr>
        <w:t>关键工序控制</w:t>
      </w:r>
    </w:p>
    <w:p w14:paraId="062E47A7">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9</w:t>
      </w:r>
      <w:r>
        <w:rPr>
          <w:rFonts w:hint="eastAsia" w:ascii="宋体" w:hAnsi="宋体" w:cs="宋体"/>
          <w:szCs w:val="21"/>
          <w:highlight w:val="none"/>
          <w:lang w:eastAsia="zh-CN"/>
        </w:rPr>
        <w:t>）</w:t>
      </w:r>
      <w:r>
        <w:rPr>
          <w:rFonts w:hint="eastAsia" w:ascii="宋体" w:hAnsi="宋体" w:cs="宋体"/>
          <w:szCs w:val="21"/>
          <w:highlight w:val="none"/>
        </w:rPr>
        <w:t>对本工程重点、难点分析及建议</w:t>
      </w:r>
    </w:p>
    <w:p w14:paraId="1DF03BC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10</w:t>
      </w:r>
      <w:r>
        <w:rPr>
          <w:rFonts w:hint="eastAsia" w:ascii="宋体" w:hAnsi="宋体" w:cs="宋体"/>
          <w:szCs w:val="21"/>
          <w:highlight w:val="none"/>
          <w:lang w:eastAsia="zh-CN"/>
        </w:rPr>
        <w:t>）</w:t>
      </w:r>
      <w:r>
        <w:rPr>
          <w:rFonts w:hint="eastAsia" w:ascii="宋体" w:hAnsi="宋体" w:cs="宋体"/>
          <w:szCs w:val="21"/>
          <w:highlight w:val="none"/>
        </w:rPr>
        <w:t>拟用主要检测仪器、设备</w:t>
      </w:r>
    </w:p>
    <w:p w14:paraId="584ABA01">
      <w:pPr>
        <w:spacing w:line="360" w:lineRule="auto"/>
        <w:ind w:firstLine="420" w:firstLineChars="200"/>
        <w:rPr>
          <w:rFonts w:ascii="宋体" w:hAnsi="宋体"/>
          <w:szCs w:val="21"/>
          <w:highlight w:val="none"/>
        </w:rPr>
      </w:pPr>
    </w:p>
    <w:p w14:paraId="69D4CBBC">
      <w:pPr>
        <w:rPr>
          <w:highlight w:val="none"/>
        </w:rPr>
      </w:pPr>
    </w:p>
    <w:p w14:paraId="21D31989">
      <w:pPr>
        <w:rPr>
          <w:highlight w:val="none"/>
        </w:rPr>
      </w:pPr>
    </w:p>
    <w:p w14:paraId="213E9083">
      <w:pPr>
        <w:pStyle w:val="30"/>
        <w:rPr>
          <w:highlight w:val="none"/>
        </w:rPr>
      </w:pPr>
      <w:r>
        <w:rPr>
          <w:highlight w:val="none"/>
        </w:rPr>
        <w:br w:type="page"/>
      </w:r>
    </w:p>
    <w:p w14:paraId="7E41CCC7">
      <w:pPr>
        <w:rPr>
          <w:highlight w:val="none"/>
        </w:rPr>
      </w:pPr>
    </w:p>
    <w:p w14:paraId="52F921F7">
      <w:pPr>
        <w:jc w:val="center"/>
        <w:rPr>
          <w:rFonts w:eastAsia="黑体"/>
          <w:sz w:val="20"/>
          <w:szCs w:val="20"/>
          <w:highlight w:val="none"/>
        </w:rPr>
      </w:pPr>
      <w:r>
        <w:rPr>
          <w:rFonts w:eastAsia="黑体"/>
          <w:sz w:val="28"/>
          <w:szCs w:val="28"/>
          <w:highlight w:val="none"/>
        </w:rPr>
        <w:t>（项目名称）</w:t>
      </w:r>
    </w:p>
    <w:p w14:paraId="1CB3AF7F">
      <w:pPr>
        <w:jc w:val="center"/>
        <w:rPr>
          <w:rFonts w:eastAsia="黑体"/>
          <w:sz w:val="20"/>
          <w:szCs w:val="20"/>
          <w:highlight w:val="none"/>
        </w:rPr>
      </w:pPr>
    </w:p>
    <w:p w14:paraId="7F67D925">
      <w:pPr>
        <w:rPr>
          <w:rFonts w:eastAsia="黑体"/>
          <w:sz w:val="20"/>
          <w:szCs w:val="20"/>
          <w:highlight w:val="none"/>
        </w:rPr>
      </w:pPr>
    </w:p>
    <w:p w14:paraId="5AE9D7EA">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三</w:t>
      </w:r>
    </w:p>
    <w:p w14:paraId="4D9A83AD">
      <w:pPr>
        <w:jc w:val="center"/>
        <w:rPr>
          <w:rFonts w:eastAsia="黑体"/>
          <w:sz w:val="44"/>
          <w:szCs w:val="44"/>
          <w:highlight w:val="none"/>
        </w:rPr>
      </w:pPr>
      <w:r>
        <w:rPr>
          <w:rFonts w:hint="eastAsia" w:eastAsia="黑体"/>
          <w:sz w:val="44"/>
          <w:szCs w:val="44"/>
          <w:highlight w:val="none"/>
        </w:rPr>
        <w:t>（商务标文件）</w:t>
      </w:r>
    </w:p>
    <w:p w14:paraId="00AD4571">
      <w:pPr>
        <w:rPr>
          <w:rFonts w:eastAsia="黑体"/>
          <w:sz w:val="28"/>
          <w:szCs w:val="28"/>
          <w:highlight w:val="none"/>
        </w:rPr>
      </w:pPr>
    </w:p>
    <w:p w14:paraId="03FF9373">
      <w:pPr>
        <w:rPr>
          <w:rFonts w:eastAsia="黑体"/>
          <w:sz w:val="28"/>
          <w:szCs w:val="28"/>
          <w:highlight w:val="none"/>
        </w:rPr>
      </w:pPr>
    </w:p>
    <w:p w14:paraId="6F4198FD">
      <w:pPr>
        <w:rPr>
          <w:rFonts w:eastAsia="黑体"/>
          <w:sz w:val="28"/>
          <w:szCs w:val="28"/>
          <w:highlight w:val="none"/>
        </w:rPr>
      </w:pPr>
    </w:p>
    <w:p w14:paraId="18D553B1">
      <w:pPr>
        <w:rPr>
          <w:rFonts w:eastAsia="黑体"/>
          <w:sz w:val="28"/>
          <w:szCs w:val="28"/>
          <w:highlight w:val="none"/>
        </w:rPr>
      </w:pPr>
    </w:p>
    <w:p w14:paraId="0E5FE50F">
      <w:pPr>
        <w:rPr>
          <w:rFonts w:eastAsia="黑体"/>
          <w:sz w:val="28"/>
          <w:szCs w:val="28"/>
          <w:highlight w:val="none"/>
        </w:rPr>
      </w:pPr>
    </w:p>
    <w:p w14:paraId="74AFA9E2">
      <w:pPr>
        <w:rPr>
          <w:rFonts w:eastAsia="黑体"/>
          <w:sz w:val="28"/>
          <w:szCs w:val="28"/>
          <w:highlight w:val="none"/>
        </w:rPr>
      </w:pPr>
    </w:p>
    <w:p w14:paraId="078AB10D">
      <w:pPr>
        <w:rPr>
          <w:rFonts w:eastAsia="黑体"/>
          <w:sz w:val="28"/>
          <w:szCs w:val="28"/>
          <w:highlight w:val="none"/>
        </w:rPr>
      </w:pPr>
    </w:p>
    <w:p w14:paraId="5C03182B">
      <w:pPr>
        <w:rPr>
          <w:rFonts w:eastAsia="黑体"/>
          <w:sz w:val="28"/>
          <w:szCs w:val="28"/>
          <w:highlight w:val="none"/>
        </w:rPr>
      </w:pPr>
    </w:p>
    <w:p w14:paraId="50FB798D">
      <w:pPr>
        <w:rPr>
          <w:rFonts w:eastAsia="黑体"/>
          <w:sz w:val="28"/>
          <w:szCs w:val="28"/>
          <w:highlight w:val="none"/>
        </w:rPr>
      </w:pPr>
    </w:p>
    <w:p w14:paraId="0682BFC9">
      <w:pPr>
        <w:rPr>
          <w:rFonts w:eastAsia="黑体"/>
          <w:sz w:val="28"/>
          <w:szCs w:val="28"/>
          <w:highlight w:val="none"/>
        </w:rPr>
      </w:pPr>
    </w:p>
    <w:p w14:paraId="68117E32">
      <w:pPr>
        <w:rPr>
          <w:rFonts w:eastAsia="黑体"/>
          <w:sz w:val="28"/>
          <w:szCs w:val="28"/>
          <w:highlight w:val="none"/>
        </w:rPr>
      </w:pPr>
    </w:p>
    <w:p w14:paraId="038F9E36">
      <w:pPr>
        <w:jc w:val="center"/>
        <w:rPr>
          <w:rFonts w:eastAsia="黑体"/>
          <w:sz w:val="28"/>
          <w:szCs w:val="28"/>
          <w:highlight w:val="none"/>
          <w:u w:val="single"/>
        </w:rPr>
      </w:pPr>
      <w:r>
        <w:rPr>
          <w:rFonts w:hint="eastAsia" w:eastAsia="黑体"/>
          <w:sz w:val="28"/>
          <w:szCs w:val="28"/>
          <w:highlight w:val="none"/>
        </w:rPr>
        <w:t xml:space="preserve"> 投标人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盖</w:t>
      </w:r>
      <w:r>
        <w:rPr>
          <w:rFonts w:eastAsia="黑体"/>
          <w:sz w:val="28"/>
          <w:szCs w:val="28"/>
          <w:highlight w:val="none"/>
        </w:rPr>
        <w:t>章）</w:t>
      </w:r>
    </w:p>
    <w:p w14:paraId="4CAB06D8">
      <w:pPr>
        <w:jc w:val="center"/>
        <w:rPr>
          <w:rFonts w:eastAsia="黑体"/>
          <w:sz w:val="28"/>
          <w:szCs w:val="28"/>
          <w:highlight w:val="none"/>
        </w:rPr>
      </w:pPr>
      <w:r>
        <w:rPr>
          <w:rFonts w:hint="eastAsia" w:eastAsia="黑体"/>
          <w:sz w:val="28"/>
          <w:szCs w:val="28"/>
          <w:highlight w:val="none"/>
        </w:rPr>
        <w:t xml:space="preserve">   </w:t>
      </w:r>
      <w:r>
        <w:rPr>
          <w:rFonts w:eastAsia="黑体"/>
          <w:sz w:val="28"/>
          <w:szCs w:val="28"/>
          <w:highlight w:val="none"/>
        </w:rPr>
        <w:t>法定代表人</w:t>
      </w:r>
      <w:r>
        <w:rPr>
          <w:rFonts w:hint="eastAsia" w:eastAsia="黑体"/>
          <w:sz w:val="28"/>
          <w:szCs w:val="28"/>
          <w:highlight w:val="none"/>
          <w:lang w:val="en-US" w:eastAsia="zh-CN"/>
        </w:rPr>
        <w:t>或授权委托人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签字或盖章</w:t>
      </w:r>
      <w:r>
        <w:rPr>
          <w:rFonts w:eastAsia="黑体"/>
          <w:sz w:val="28"/>
          <w:szCs w:val="28"/>
          <w:highlight w:val="none"/>
        </w:rPr>
        <w:t>）</w:t>
      </w:r>
    </w:p>
    <w:p w14:paraId="350C1BB2">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2EE77B13">
      <w:pPr>
        <w:rPr>
          <w:highlight w:val="none"/>
        </w:rPr>
      </w:pPr>
    </w:p>
    <w:p w14:paraId="2F4494A4">
      <w:pPr>
        <w:pStyle w:val="14"/>
        <w:ind w:firstLine="420"/>
        <w:rPr>
          <w:highlight w:val="none"/>
        </w:rPr>
      </w:pPr>
    </w:p>
    <w:p w14:paraId="3AB72A24">
      <w:pPr>
        <w:rPr>
          <w:highlight w:val="none"/>
        </w:rPr>
      </w:pPr>
    </w:p>
    <w:p w14:paraId="60A767E1">
      <w:pPr>
        <w:spacing w:beforeLines="50" w:afterLines="50" w:line="440" w:lineRule="exact"/>
        <w:ind w:firstLine="643" w:firstLineChars="200"/>
        <w:jc w:val="left"/>
        <w:rPr>
          <w:rStyle w:val="120"/>
          <w:rFonts w:ascii="宋体" w:hAnsi="宋体" w:cs="宋体"/>
          <w:sz w:val="32"/>
          <w:highlight w:val="none"/>
        </w:rPr>
      </w:pPr>
      <w:bookmarkStart w:id="969" w:name="_Toc35424973"/>
      <w:bookmarkStart w:id="970" w:name="_Toc35425139"/>
      <w:bookmarkStart w:id="971" w:name="_Toc19174"/>
      <w:bookmarkStart w:id="972" w:name="_Toc78803401"/>
      <w:r>
        <w:rPr>
          <w:rStyle w:val="120"/>
          <w:rFonts w:hint="eastAsia" w:ascii="宋体" w:hAnsi="宋体" w:cs="宋体"/>
          <w:sz w:val="32"/>
          <w:highlight w:val="none"/>
        </w:rPr>
        <w:br w:type="page"/>
      </w:r>
      <w:r>
        <w:rPr>
          <w:rStyle w:val="120"/>
          <w:rFonts w:hint="eastAsia" w:ascii="宋体" w:hAnsi="宋体" w:cs="宋体"/>
          <w:sz w:val="32"/>
          <w:highlight w:val="none"/>
        </w:rPr>
        <w:t>投标文件三</w:t>
      </w:r>
      <w:bookmarkEnd w:id="969"/>
      <w:bookmarkEnd w:id="970"/>
      <w:bookmarkEnd w:id="971"/>
      <w:r>
        <w:rPr>
          <w:rStyle w:val="120"/>
          <w:rFonts w:hint="eastAsia" w:ascii="宋体" w:hAnsi="宋体" w:cs="宋体"/>
          <w:sz w:val="32"/>
          <w:highlight w:val="none"/>
        </w:rPr>
        <w:t>：商务标目录</w:t>
      </w:r>
      <w:bookmarkEnd w:id="972"/>
    </w:p>
    <w:p w14:paraId="0F41F31A">
      <w:pPr>
        <w:numPr>
          <w:ilvl w:val="0"/>
          <w:numId w:val="0"/>
        </w:numPr>
        <w:spacing w:line="440" w:lineRule="exact"/>
        <w:ind w:firstLine="420" w:firstLineChars="200"/>
        <w:jc w:val="left"/>
        <w:rPr>
          <w:rFonts w:hint="eastAsia" w:ascii="宋体" w:hAnsi="宋体" w:cs="宋体"/>
          <w:highlight w:val="none"/>
          <w:lang w:eastAsia="zh-CN"/>
        </w:rPr>
      </w:pPr>
      <w:r>
        <w:rPr>
          <w:rFonts w:hint="eastAsia" w:ascii="宋体" w:hAnsi="宋体" w:eastAsia="宋体" w:cs="宋体"/>
          <w:kern w:val="2"/>
          <w:sz w:val="21"/>
          <w:szCs w:val="24"/>
          <w:lang w:val="en-US" w:eastAsia="zh-CN" w:bidi="ar-SA"/>
        </w:rPr>
        <w:t>（1）</w:t>
      </w:r>
      <w:r>
        <w:rPr>
          <w:rFonts w:hint="eastAsia" w:ascii="宋体" w:hAnsi="宋体" w:cs="宋体"/>
          <w:highlight w:val="none"/>
        </w:rPr>
        <w:t>投标函（格式见附件）</w:t>
      </w:r>
      <w:r>
        <w:rPr>
          <w:rFonts w:hint="eastAsia" w:ascii="宋体" w:hAnsi="宋体" w:cs="宋体"/>
          <w:highlight w:val="none"/>
          <w:lang w:eastAsia="zh-CN"/>
        </w:rPr>
        <w:t>；</w:t>
      </w:r>
    </w:p>
    <w:p w14:paraId="15662A50">
      <w:pPr>
        <w:numPr>
          <w:ilvl w:val="0"/>
          <w:numId w:val="0"/>
        </w:numPr>
        <w:spacing w:line="440" w:lineRule="exact"/>
        <w:ind w:firstLine="420" w:firstLineChars="200"/>
        <w:jc w:val="left"/>
        <w:rPr>
          <w:rFonts w:hint="eastAsia" w:eastAsia="宋体"/>
          <w:highlight w:val="none"/>
          <w:lang w:eastAsia="zh-CN"/>
        </w:rPr>
      </w:pPr>
      <w:r>
        <w:rPr>
          <w:rFonts w:ascii="宋体" w:hAnsi="宋体" w:eastAsia="宋体" w:cs="宋体"/>
          <w:kern w:val="2"/>
          <w:sz w:val="21"/>
          <w:szCs w:val="24"/>
          <w:lang w:val="en-US" w:eastAsia="zh-CN" w:bidi="ar-SA"/>
        </w:rPr>
        <w:t>（2）</w:t>
      </w:r>
      <w:r>
        <w:rPr>
          <w:rFonts w:hint="eastAsia" w:ascii="宋体" w:hAnsi="宋体" w:eastAsia="宋体" w:cs="Times New Roman"/>
          <w:color w:val="000000"/>
          <w:szCs w:val="21"/>
          <w:highlight w:val="none"/>
        </w:rPr>
        <w:t>全国建筑市场监管公共服务平台(四库一平台)企业注册人员网页截图</w:t>
      </w:r>
      <w:r>
        <w:rPr>
          <w:rFonts w:hint="eastAsia" w:ascii="宋体" w:hAnsi="宋体" w:eastAsia="宋体" w:cs="Times New Roman"/>
          <w:color w:val="000000"/>
          <w:szCs w:val="21"/>
          <w:highlight w:val="none"/>
          <w:lang w:eastAsia="zh-CN"/>
        </w:rPr>
        <w:t>。</w:t>
      </w:r>
    </w:p>
    <w:p w14:paraId="03122088">
      <w:pPr>
        <w:spacing w:line="540" w:lineRule="exact"/>
        <w:rPr>
          <w:rFonts w:eastAsia="黑体"/>
          <w:sz w:val="20"/>
          <w:szCs w:val="20"/>
          <w:highlight w:val="none"/>
        </w:rPr>
      </w:pPr>
    </w:p>
    <w:p w14:paraId="3338FC9F">
      <w:pPr>
        <w:spacing w:line="540" w:lineRule="exact"/>
        <w:rPr>
          <w:rFonts w:eastAsia="黑体"/>
          <w:sz w:val="20"/>
          <w:szCs w:val="20"/>
          <w:highlight w:val="none"/>
        </w:rPr>
      </w:pPr>
    </w:p>
    <w:p w14:paraId="3D5F9903">
      <w:pPr>
        <w:spacing w:line="540" w:lineRule="exact"/>
        <w:rPr>
          <w:rFonts w:eastAsia="黑体"/>
          <w:sz w:val="20"/>
          <w:szCs w:val="20"/>
          <w:highlight w:val="none"/>
        </w:rPr>
      </w:pPr>
    </w:p>
    <w:p w14:paraId="6FEF5B0D">
      <w:pPr>
        <w:spacing w:line="360" w:lineRule="auto"/>
        <w:ind w:firstLine="420" w:firstLineChars="200"/>
        <w:jc w:val="right"/>
        <w:rPr>
          <w:szCs w:val="21"/>
          <w:highlight w:val="none"/>
          <w:u w:val="single"/>
        </w:rPr>
      </w:pPr>
    </w:p>
    <w:p w14:paraId="70F20168">
      <w:pPr>
        <w:spacing w:line="360" w:lineRule="auto"/>
        <w:ind w:firstLine="420" w:firstLineChars="200"/>
        <w:jc w:val="right"/>
        <w:rPr>
          <w:szCs w:val="21"/>
          <w:highlight w:val="none"/>
          <w:u w:val="single"/>
        </w:rPr>
      </w:pPr>
    </w:p>
    <w:p w14:paraId="5BDCA848">
      <w:pPr>
        <w:spacing w:line="360" w:lineRule="auto"/>
        <w:ind w:firstLine="420" w:firstLineChars="200"/>
        <w:jc w:val="right"/>
        <w:rPr>
          <w:szCs w:val="21"/>
          <w:highlight w:val="none"/>
          <w:u w:val="single"/>
        </w:rPr>
      </w:pPr>
    </w:p>
    <w:p w14:paraId="5B4A47D5">
      <w:pPr>
        <w:spacing w:line="360" w:lineRule="auto"/>
        <w:ind w:firstLine="420" w:firstLineChars="200"/>
        <w:jc w:val="right"/>
        <w:rPr>
          <w:szCs w:val="21"/>
          <w:highlight w:val="none"/>
          <w:u w:val="single"/>
        </w:rPr>
      </w:pPr>
    </w:p>
    <w:p w14:paraId="6AF87BBA">
      <w:pPr>
        <w:spacing w:line="360" w:lineRule="auto"/>
        <w:ind w:firstLine="420" w:firstLineChars="200"/>
        <w:jc w:val="right"/>
        <w:rPr>
          <w:szCs w:val="21"/>
          <w:highlight w:val="none"/>
          <w:u w:val="single"/>
        </w:rPr>
      </w:pPr>
    </w:p>
    <w:p w14:paraId="49A7FE35">
      <w:pPr>
        <w:spacing w:line="360" w:lineRule="auto"/>
        <w:ind w:firstLine="420" w:firstLineChars="200"/>
        <w:jc w:val="right"/>
        <w:rPr>
          <w:szCs w:val="21"/>
          <w:highlight w:val="none"/>
          <w:u w:val="single"/>
        </w:rPr>
      </w:pPr>
    </w:p>
    <w:p w14:paraId="7EAE036F">
      <w:pPr>
        <w:spacing w:line="360" w:lineRule="auto"/>
        <w:ind w:firstLine="420" w:firstLineChars="200"/>
        <w:jc w:val="right"/>
        <w:rPr>
          <w:szCs w:val="21"/>
          <w:highlight w:val="none"/>
          <w:u w:val="single"/>
        </w:rPr>
      </w:pPr>
    </w:p>
    <w:p w14:paraId="39D3A8B9">
      <w:pPr>
        <w:spacing w:line="360" w:lineRule="auto"/>
        <w:ind w:firstLine="420" w:firstLineChars="200"/>
        <w:jc w:val="right"/>
        <w:rPr>
          <w:szCs w:val="21"/>
          <w:highlight w:val="none"/>
          <w:u w:val="single"/>
        </w:rPr>
      </w:pPr>
    </w:p>
    <w:p w14:paraId="042B576F">
      <w:pPr>
        <w:jc w:val="center"/>
        <w:rPr>
          <w:b/>
          <w:sz w:val="32"/>
          <w:szCs w:val="32"/>
          <w:highlight w:val="none"/>
        </w:rPr>
      </w:pPr>
    </w:p>
    <w:p w14:paraId="29EE3D81">
      <w:pPr>
        <w:jc w:val="center"/>
        <w:rPr>
          <w:b/>
          <w:sz w:val="32"/>
          <w:szCs w:val="32"/>
          <w:highlight w:val="none"/>
        </w:rPr>
      </w:pPr>
    </w:p>
    <w:p w14:paraId="569DA32B">
      <w:pPr>
        <w:jc w:val="center"/>
        <w:rPr>
          <w:b/>
          <w:sz w:val="32"/>
          <w:szCs w:val="32"/>
          <w:highlight w:val="none"/>
        </w:rPr>
      </w:pPr>
    </w:p>
    <w:p w14:paraId="30415CF4">
      <w:pPr>
        <w:jc w:val="center"/>
        <w:rPr>
          <w:b/>
          <w:sz w:val="32"/>
          <w:szCs w:val="32"/>
          <w:highlight w:val="none"/>
        </w:rPr>
      </w:pPr>
    </w:p>
    <w:p w14:paraId="1AAF50B0">
      <w:pPr>
        <w:jc w:val="center"/>
        <w:rPr>
          <w:b/>
          <w:sz w:val="32"/>
          <w:szCs w:val="32"/>
          <w:highlight w:val="none"/>
        </w:rPr>
      </w:pPr>
    </w:p>
    <w:p w14:paraId="5BCCA520">
      <w:pPr>
        <w:jc w:val="center"/>
        <w:rPr>
          <w:b/>
          <w:sz w:val="32"/>
          <w:szCs w:val="32"/>
          <w:highlight w:val="none"/>
        </w:rPr>
      </w:pPr>
    </w:p>
    <w:p w14:paraId="194A658F">
      <w:pPr>
        <w:jc w:val="center"/>
        <w:rPr>
          <w:b/>
          <w:sz w:val="32"/>
          <w:szCs w:val="32"/>
          <w:highlight w:val="none"/>
        </w:rPr>
      </w:pPr>
    </w:p>
    <w:p w14:paraId="3F1030A3">
      <w:pPr>
        <w:spacing w:line="360" w:lineRule="auto"/>
        <w:rPr>
          <w:b/>
          <w:bCs/>
          <w:sz w:val="32"/>
          <w:szCs w:val="32"/>
          <w:highlight w:val="none"/>
        </w:rPr>
      </w:pPr>
    </w:p>
    <w:p w14:paraId="5D358DCD">
      <w:pPr>
        <w:jc w:val="center"/>
        <w:rPr>
          <w:rFonts w:ascii="宋体" w:hAnsi="宋体"/>
          <w:b/>
          <w:sz w:val="32"/>
          <w:szCs w:val="32"/>
          <w:highlight w:val="none"/>
        </w:rPr>
      </w:pPr>
      <w:r>
        <w:rPr>
          <w:rFonts w:hint="eastAsia" w:ascii="宋体" w:hAnsi="宋体"/>
          <w:b/>
          <w:sz w:val="32"/>
          <w:szCs w:val="32"/>
          <w:highlight w:val="none"/>
        </w:rPr>
        <w:br w:type="page"/>
      </w:r>
      <w:r>
        <w:rPr>
          <w:rFonts w:hint="eastAsia" w:ascii="宋体" w:hAnsi="宋体"/>
          <w:b/>
          <w:sz w:val="32"/>
          <w:szCs w:val="32"/>
          <w:highlight w:val="none"/>
        </w:rPr>
        <w:t>（1）投 标 函</w:t>
      </w:r>
    </w:p>
    <w:p w14:paraId="246EE23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highlight w:val="none"/>
        </w:rPr>
      </w:pPr>
      <w:bookmarkStart w:id="973" w:name="_Toc35425140"/>
      <w:bookmarkStart w:id="974" w:name="_Toc15058950"/>
      <w:bookmarkStart w:id="975" w:name="_Toc35424974"/>
      <w:bookmarkStart w:id="976" w:name="_Toc506107366"/>
      <w:r>
        <w:rPr>
          <w:rFonts w:hint="eastAsia" w:ascii="宋体" w:hAnsi="宋体" w:eastAsia="宋体" w:cs="宋体"/>
          <w:b/>
          <w:bCs/>
          <w:color w:val="auto"/>
          <w:highlight w:val="none"/>
        </w:rPr>
        <w:t>致 ：</w:t>
      </w:r>
      <w:r>
        <w:rPr>
          <w:rFonts w:hint="eastAsia" w:ascii="宋体" w:hAnsi="宋体" w:eastAsia="宋体" w:cs="宋体"/>
          <w:b/>
          <w:bCs/>
          <w:color w:val="auto"/>
          <w:highlight w:val="none"/>
          <w:u w:val="single"/>
          <w:lang w:val="en-US" w:eastAsia="zh-CN"/>
        </w:rPr>
        <w:t xml:space="preserve">       （招标人） </w:t>
      </w:r>
      <w:r>
        <w:rPr>
          <w:rFonts w:hint="eastAsia" w:ascii="宋体" w:hAnsi="宋体" w:eastAsia="宋体" w:cs="宋体"/>
          <w:color w:val="auto"/>
          <w:highlight w:val="none"/>
        </w:rPr>
        <w:t xml:space="preserve">：  </w:t>
      </w:r>
    </w:p>
    <w:p w14:paraId="34202DD2">
      <w:pPr>
        <w:keepNext w:val="0"/>
        <w:keepLines w:val="0"/>
        <w:pageBreakBefore w:val="0"/>
        <w:widowControl w:val="0"/>
        <w:kinsoku/>
        <w:wordWrap/>
        <w:overflowPunct/>
        <w:topLinePunct w:val="0"/>
        <w:autoSpaceDE/>
        <w:autoSpaceDN/>
        <w:bidi w:val="0"/>
        <w:adjustRightInd/>
        <w:snapToGrid/>
        <w:spacing w:line="460" w:lineRule="exact"/>
        <w:ind w:firstLine="525" w:firstLineChars="25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我们决定参加贵单位组织的“</w:t>
      </w:r>
      <w:r>
        <w:rPr>
          <w:rFonts w:hint="eastAsia" w:ascii="宋体" w:hAnsi="宋体" w:eastAsia="宋体" w:cs="宋体"/>
          <w:color w:val="auto"/>
          <w:highlight w:val="none"/>
          <w:u w:val="single"/>
          <w:lang w:val="en-US" w:eastAsia="zh-CN"/>
        </w:rPr>
        <w:t xml:space="preserve">                   （项目名称）</w:t>
      </w:r>
      <w:r>
        <w:rPr>
          <w:rFonts w:hint="eastAsia" w:ascii="宋体" w:hAnsi="宋体" w:eastAsia="宋体" w:cs="宋体"/>
          <w:color w:val="auto"/>
          <w:highlight w:val="none"/>
        </w:rPr>
        <w:t xml:space="preserve">”的项目。我方授权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none"/>
        </w:rPr>
        <w:t>姓名和职务</w:t>
      </w:r>
      <w:r>
        <w:rPr>
          <w:rFonts w:hint="eastAsia" w:ascii="宋体" w:hAnsi="宋体" w:eastAsia="宋体" w:cs="宋体"/>
          <w:color w:val="auto"/>
          <w:highlight w:val="none"/>
        </w:rPr>
        <w:t xml:space="preserve">)代表我方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（投标单位的名称）全权处理本项目投标的有关事宜 </w:t>
      </w:r>
      <w:r>
        <w:rPr>
          <w:rFonts w:hint="eastAsia" w:ascii="宋体" w:hAnsi="宋体" w:eastAsia="宋体" w:cs="宋体"/>
          <w:color w:val="auto"/>
          <w:highlight w:val="none"/>
          <w:lang w:eastAsia="zh-CN"/>
        </w:rPr>
        <w:t>。</w:t>
      </w:r>
    </w:p>
    <w:p w14:paraId="77B38822">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highlight w:val="none"/>
          <w:lang w:val="en-US"/>
        </w:rPr>
      </w:pPr>
      <w:r>
        <w:rPr>
          <w:rFonts w:hint="eastAsia" w:ascii="宋体" w:hAnsi="宋体" w:cs="宋体"/>
          <w:color w:val="auto"/>
          <w:highlight w:val="none"/>
          <w:lang w:val="en-US" w:eastAsia="zh-CN"/>
        </w:rPr>
        <w:t>1、</w:t>
      </w:r>
      <w:r>
        <w:rPr>
          <w:rFonts w:hint="eastAsia" w:ascii="宋体" w:hAnsi="宋体" w:eastAsia="宋体" w:cs="宋体"/>
          <w:color w:val="auto"/>
          <w:highlight w:val="none"/>
        </w:rPr>
        <w:t>我们已仔细地研究了</w:t>
      </w:r>
      <w:r>
        <w:rPr>
          <w:rFonts w:hint="eastAsia" w:ascii="宋体" w:hAnsi="宋体" w:eastAsia="宋体" w:cs="宋体"/>
          <w:color w:val="auto"/>
          <w:highlight w:val="none"/>
          <w:u w:val="single"/>
          <w:lang w:val="en-US" w:eastAsia="zh-CN"/>
        </w:rPr>
        <w:t xml:space="preserve">                （项目名称）</w:t>
      </w:r>
      <w:r>
        <w:rPr>
          <w:rFonts w:hint="eastAsia" w:ascii="宋体" w:hAnsi="宋体" w:eastAsia="宋体" w:cs="宋体"/>
          <w:color w:val="auto"/>
          <w:highlight w:val="none"/>
        </w:rPr>
        <w:t>招标文件的全部内容，包括但不限于承包人须知合同条件、工作要求，以及全部补遗和澄清文件。我们已了解和审核了全部招标文件，并完全理解了招标文件</w:t>
      </w:r>
      <w:r>
        <w:rPr>
          <w:rFonts w:hint="eastAsia" w:ascii="宋体" w:hAnsi="宋体" w:eastAsia="宋体" w:cs="宋体"/>
          <w:color w:val="auto"/>
          <w:spacing w:val="-1"/>
          <w:highlight w:val="none"/>
        </w:rPr>
        <w:t>规定的合同范围，工作要求，并考虑到了潜在所有风险。据此我方愿以监理费费率：</w:t>
      </w:r>
      <w:r>
        <w:rPr>
          <w:rFonts w:hint="eastAsia" w:ascii="宋体" w:hAnsi="宋体" w:eastAsia="宋体" w:cs="宋体"/>
          <w:color w:val="auto"/>
          <w:spacing w:val="-1"/>
          <w:highlight w:val="none"/>
          <w:u w:val="single"/>
        </w:rPr>
        <w:t>大写百分之</w:t>
      </w:r>
      <w:r>
        <w:rPr>
          <w:rFonts w:hint="eastAsia" w:ascii="宋体" w:hAnsi="宋体" w:eastAsia="宋体" w:cs="宋体"/>
          <w:color w:val="auto"/>
          <w:spacing w:val="56"/>
          <w:highlight w:val="none"/>
          <w:u w:val="single"/>
        </w:rPr>
        <w:t xml:space="preserve">   </w:t>
      </w:r>
      <w:r>
        <w:rPr>
          <w:rFonts w:hint="eastAsia" w:ascii="宋体" w:hAnsi="宋体" w:eastAsia="宋体" w:cs="宋体"/>
          <w:color w:val="auto"/>
          <w:spacing w:val="-1"/>
          <w:highlight w:val="none"/>
          <w:u w:val="single"/>
        </w:rPr>
        <w:t>小写</w:t>
      </w:r>
      <w:r>
        <w:rPr>
          <w:rFonts w:hint="eastAsia" w:ascii="宋体" w:hAnsi="宋体" w:eastAsia="宋体" w:cs="宋体"/>
          <w:color w:val="auto"/>
          <w:spacing w:val="56"/>
          <w:highlight w:val="none"/>
          <w:u w:val="single"/>
        </w:rPr>
        <w:t xml:space="preserve">  </w:t>
      </w:r>
      <w:r>
        <w:rPr>
          <w:rFonts w:hint="eastAsia" w:ascii="宋体" w:hAnsi="宋体" w:eastAsia="宋体" w:cs="宋体"/>
          <w:color w:val="auto"/>
          <w:highlight w:val="none"/>
        </w:rPr>
        <w:t>%（小数点后保留 2 位）为报价，作为本项目监理工作所需的全部费用。</w:t>
      </w:r>
    </w:p>
    <w:p w14:paraId="7E63560F">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2、一旦我方中标，我方将派出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为本工程总监理工程师，按招标文件的要求承担本工程的施工监理工作。</w:t>
      </w:r>
    </w:p>
    <w:p w14:paraId="3D4AE92F">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果贵方接受我单位中标，我单位保证在承包人须知规定的期限内，按本投标配备的人员及时开展工作，否则，贵方有权单方面终止合同，并令我单位立即退场，工程项目另行处理，由此造成的一切损失由我单位负责赔偿。</w:t>
      </w:r>
    </w:p>
    <w:p w14:paraId="4621521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4、我们声明，本投标文件的全部内容我公司已了解和熟悉，并承诺中标后严格按此投标文件执行。</w:t>
      </w:r>
    </w:p>
    <w:p w14:paraId="65BC97B4">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5、单位提供如下通讯地址：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电子邮箱（地址），确认本项目相关法律文书均通过提供的以上地址送达，相关文书只要发送至以上电子邮箱（地址）即视为送达，投标人愿意承担一切法律后果。</w:t>
      </w:r>
    </w:p>
    <w:p w14:paraId="32AA8FA5">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、投标有效期为 90 日历天（从投标截止之日算起）。</w:t>
      </w:r>
    </w:p>
    <w:p w14:paraId="016CE0F7">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对本招标文件的所有条款进行承诺。</w:t>
      </w:r>
    </w:p>
    <w:p w14:paraId="58D9FF6D">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rPr>
      </w:pPr>
    </w:p>
    <w:p w14:paraId="7B092613">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盖</w:t>
      </w:r>
      <w:r>
        <w:rPr>
          <w:rFonts w:hint="eastAsia" w:ascii="宋体" w:hAnsi="宋体" w:eastAsia="宋体" w:cs="宋体"/>
          <w:color w:val="auto"/>
          <w:szCs w:val="21"/>
          <w:highlight w:val="none"/>
          <w:u w:val="single"/>
        </w:rPr>
        <w:t xml:space="preserve">章）   </w:t>
      </w:r>
    </w:p>
    <w:p w14:paraId="6586A80F">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（签</w:t>
      </w:r>
      <w:r>
        <w:rPr>
          <w:rFonts w:hint="eastAsia" w:ascii="宋体" w:hAnsi="宋体" w:cs="宋体"/>
          <w:color w:val="auto"/>
          <w:szCs w:val="21"/>
          <w:highlight w:val="none"/>
          <w:u w:val="single"/>
          <w:lang w:val="en-US" w:eastAsia="zh-CN"/>
        </w:rPr>
        <w:t>字或盖</w:t>
      </w:r>
      <w:r>
        <w:rPr>
          <w:rFonts w:hint="eastAsia" w:ascii="宋体" w:hAnsi="宋体" w:eastAsia="宋体" w:cs="宋体"/>
          <w:color w:val="auto"/>
          <w:szCs w:val="21"/>
          <w:highlight w:val="none"/>
          <w:u w:val="single"/>
        </w:rPr>
        <w:t>章）</w:t>
      </w:r>
    </w:p>
    <w:p w14:paraId="75BF44E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单位地址：</w:t>
      </w:r>
      <w:r>
        <w:rPr>
          <w:rFonts w:hint="eastAsia" w:ascii="宋体" w:hAnsi="宋体" w:eastAsia="宋体" w:cs="宋体"/>
          <w:color w:val="auto"/>
          <w:szCs w:val="21"/>
          <w:highlight w:val="none"/>
          <w:u w:val="single"/>
        </w:rPr>
        <w:t xml:space="preserve">                                       </w:t>
      </w:r>
    </w:p>
    <w:p w14:paraId="152985B8">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传真：</w:t>
      </w:r>
      <w:r>
        <w:rPr>
          <w:rFonts w:hint="eastAsia" w:ascii="宋体" w:hAnsi="宋体" w:eastAsia="宋体" w:cs="宋体"/>
          <w:color w:val="auto"/>
          <w:szCs w:val="21"/>
          <w:highlight w:val="none"/>
          <w:u w:val="single"/>
        </w:rPr>
        <w:t xml:space="preserve">       </w:t>
      </w:r>
    </w:p>
    <w:p w14:paraId="2636742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年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月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72B3F58">
      <w:pPr>
        <w:pStyle w:val="44"/>
        <w:spacing w:beforeLines="50" w:afterLines="50" w:line="440" w:lineRule="exact"/>
        <w:rPr>
          <w:bCs/>
          <w:szCs w:val="32"/>
          <w:highlight w:val="none"/>
        </w:rPr>
      </w:pPr>
      <w:r>
        <w:rPr>
          <w:rFonts w:hint="eastAsia"/>
          <w:sz w:val="32"/>
          <w:szCs w:val="32"/>
          <w:highlight w:val="none"/>
        </w:rPr>
        <w:br w:type="page"/>
      </w:r>
      <w:bookmarkEnd w:id="7"/>
      <w:bookmarkEnd w:id="8"/>
      <w:bookmarkEnd w:id="9"/>
      <w:bookmarkEnd w:id="10"/>
      <w:bookmarkEnd w:id="11"/>
      <w:bookmarkEnd w:id="973"/>
      <w:bookmarkEnd w:id="974"/>
      <w:bookmarkEnd w:id="975"/>
      <w:bookmarkEnd w:id="976"/>
      <w:bookmarkStart w:id="977" w:name="_Toc78803402"/>
      <w:r>
        <w:rPr>
          <w:rFonts w:hint="eastAsia"/>
          <w:bCs/>
          <w:szCs w:val="32"/>
          <w:highlight w:val="none"/>
        </w:rPr>
        <w:t>第</w:t>
      </w:r>
      <w:r>
        <w:rPr>
          <w:rFonts w:hint="eastAsia"/>
          <w:bCs/>
          <w:szCs w:val="32"/>
          <w:highlight w:val="none"/>
          <w:lang w:val="en-US" w:eastAsia="zh-CN"/>
        </w:rPr>
        <w:t>七</w:t>
      </w:r>
      <w:r>
        <w:rPr>
          <w:rFonts w:hint="eastAsia"/>
          <w:bCs/>
          <w:szCs w:val="32"/>
          <w:highlight w:val="none"/>
        </w:rPr>
        <w:t>章  招标单位、招标代理机构对本招标文件的确认</w:t>
      </w:r>
      <w:bookmarkEnd w:id="977"/>
    </w:p>
    <w:p w14:paraId="7D391125">
      <w:pPr>
        <w:pStyle w:val="20"/>
        <w:rPr>
          <w:highlight w:val="none"/>
        </w:rPr>
      </w:pPr>
    </w:p>
    <w:tbl>
      <w:tblPr>
        <w:tblStyle w:val="47"/>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0"/>
      </w:tblGrid>
      <w:tr w14:paraId="28B5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9" w:hRule="atLeast"/>
          <w:jc w:val="center"/>
        </w:trPr>
        <w:tc>
          <w:tcPr>
            <w:tcW w:w="9580" w:type="dxa"/>
            <w:noWrap/>
          </w:tcPr>
          <w:p w14:paraId="45DC8EDB">
            <w:pPr>
              <w:wordWrap w:val="0"/>
              <w:adjustRightInd w:val="0"/>
              <w:snapToGrid w:val="0"/>
              <w:spacing w:line="560" w:lineRule="exact"/>
              <w:rPr>
                <w:sz w:val="30"/>
                <w:highlight w:val="none"/>
              </w:rPr>
            </w:pPr>
          </w:p>
          <w:p w14:paraId="3CB446EA">
            <w:pPr>
              <w:wordWrap w:val="0"/>
              <w:spacing w:line="560" w:lineRule="exact"/>
              <w:ind w:firstLine="560" w:firstLineChars="200"/>
              <w:rPr>
                <w:sz w:val="28"/>
                <w:szCs w:val="28"/>
                <w:highlight w:val="none"/>
              </w:rPr>
            </w:pPr>
            <w:r>
              <w:rPr>
                <w:rFonts w:hint="eastAsia"/>
                <w:sz w:val="28"/>
                <w:szCs w:val="28"/>
                <w:highlight w:val="none"/>
              </w:rPr>
              <w:t>我单位对</w:t>
            </w:r>
            <w:r>
              <w:rPr>
                <w:rFonts w:hint="eastAsia"/>
                <w:sz w:val="28"/>
                <w:szCs w:val="28"/>
                <w:highlight w:val="none"/>
                <w:u w:val="single"/>
              </w:rPr>
              <w:t xml:space="preserve"> </w:t>
            </w:r>
            <w:r>
              <w:rPr>
                <w:rFonts w:hint="eastAsia"/>
                <w:sz w:val="28"/>
                <w:szCs w:val="28"/>
                <w:highlight w:val="none"/>
                <w:u w:val="single"/>
                <w:lang w:eastAsia="zh-CN"/>
              </w:rPr>
              <w:t>2026年度新能源工程监理项目</w:t>
            </w:r>
            <w:r>
              <w:rPr>
                <w:rFonts w:hint="eastAsia"/>
                <w:sz w:val="28"/>
                <w:szCs w:val="28"/>
                <w:highlight w:val="none"/>
                <w:u w:val="single"/>
              </w:rPr>
              <w:t xml:space="preserve"> </w:t>
            </w:r>
            <w:r>
              <w:rPr>
                <w:rFonts w:hint="eastAsia"/>
                <w:sz w:val="28"/>
                <w:szCs w:val="28"/>
                <w:highlight w:val="none"/>
              </w:rPr>
              <w:t>的招标文件进行确认。</w:t>
            </w:r>
          </w:p>
          <w:p w14:paraId="71A0CDF3">
            <w:pPr>
              <w:widowControl/>
              <w:spacing w:line="360" w:lineRule="auto"/>
              <w:ind w:firstLine="560" w:firstLineChars="200"/>
              <w:jc w:val="left"/>
              <w:rPr>
                <w:rFonts w:hint="eastAsia" w:ascii="宋体" w:hAnsi="宋体"/>
                <w:color w:val="auto"/>
                <w:sz w:val="28"/>
                <w:szCs w:val="28"/>
                <w:highlight w:val="none"/>
              </w:rPr>
            </w:pPr>
            <w:r>
              <w:rPr>
                <w:rFonts w:hint="eastAsia" w:ascii="宋体" w:hAnsi="宋体"/>
                <w:color w:val="auto"/>
                <w:sz w:val="28"/>
                <w:szCs w:val="28"/>
                <w:highlight w:val="none"/>
                <w:lang w:val="en-US" w:eastAsia="zh-CN"/>
              </w:rPr>
              <w:t>招标人</w:t>
            </w:r>
            <w:r>
              <w:rPr>
                <w:rFonts w:hint="eastAsia" w:ascii="宋体" w:hAnsi="宋体"/>
                <w:color w:val="auto"/>
                <w:sz w:val="28"/>
                <w:szCs w:val="28"/>
                <w:highlight w:val="none"/>
              </w:rPr>
              <w:t>：</w:t>
            </w:r>
            <w:r>
              <w:rPr>
                <w:rFonts w:hint="eastAsia" w:ascii="宋体" w:hAnsi="宋体"/>
                <w:color w:val="auto"/>
                <w:sz w:val="28"/>
                <w:szCs w:val="28"/>
                <w:highlight w:val="none"/>
                <w:lang w:eastAsia="zh-CN"/>
              </w:rPr>
              <w:t>滁州市翼然新能源开发有限公司</w:t>
            </w:r>
            <w:r>
              <w:rPr>
                <w:rFonts w:hint="eastAsia" w:ascii="宋体" w:hAnsi="宋体"/>
                <w:color w:val="auto"/>
                <w:sz w:val="28"/>
                <w:szCs w:val="28"/>
                <w:highlight w:val="none"/>
              </w:rPr>
              <w:t xml:space="preserve">  </w:t>
            </w:r>
          </w:p>
          <w:p w14:paraId="7E988D38">
            <w:pPr>
              <w:adjustRightInd w:val="0"/>
              <w:snapToGrid w:val="0"/>
              <w:spacing w:line="560" w:lineRule="exact"/>
              <w:ind w:firstLine="560" w:firstLineChars="200"/>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联 系 人：</w:t>
            </w:r>
            <w:r>
              <w:rPr>
                <w:rFonts w:hint="eastAsia" w:ascii="宋体" w:hAnsi="宋体" w:cs="Times New Roman"/>
                <w:color w:val="auto"/>
                <w:sz w:val="28"/>
                <w:szCs w:val="28"/>
                <w:highlight w:val="none"/>
                <w:lang w:val="en-US" w:eastAsia="zh-CN"/>
              </w:rPr>
              <w:t>胡雪</w:t>
            </w:r>
            <w:r>
              <w:rPr>
                <w:rFonts w:hint="eastAsia" w:ascii="宋体" w:hAnsi="宋体" w:eastAsia="宋体" w:cs="Times New Roman"/>
                <w:color w:val="auto"/>
                <w:sz w:val="28"/>
                <w:szCs w:val="28"/>
                <w:highlight w:val="none"/>
              </w:rPr>
              <w:t xml:space="preserve"> </w:t>
            </w:r>
            <w:r>
              <w:rPr>
                <w:rFonts w:hint="eastAsia" w:ascii="宋体" w:hAnsi="宋体" w:eastAsia="宋体" w:cs="Times New Roman"/>
                <w:color w:val="auto"/>
                <w:sz w:val="28"/>
                <w:szCs w:val="28"/>
                <w:highlight w:val="none"/>
                <w:lang w:val="en-US" w:eastAsia="zh-CN"/>
              </w:rPr>
              <w:t xml:space="preserve"> </w:t>
            </w:r>
          </w:p>
          <w:p w14:paraId="674C5CF9">
            <w:pPr>
              <w:adjustRightInd w:val="0"/>
              <w:snapToGrid w:val="0"/>
              <w:spacing w:line="560" w:lineRule="exact"/>
              <w:ind w:firstLine="560" w:firstLineChars="200"/>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rPr>
              <w:t>联系电话：</w:t>
            </w:r>
            <w:r>
              <w:rPr>
                <w:rFonts w:hint="eastAsia" w:ascii="宋体" w:hAnsi="宋体" w:cs="Times New Roman"/>
                <w:color w:val="auto"/>
                <w:sz w:val="28"/>
                <w:szCs w:val="28"/>
                <w:highlight w:val="none"/>
                <w:lang w:val="en-US" w:eastAsia="zh-CN"/>
              </w:rPr>
              <w:t>0550-2350288</w:t>
            </w:r>
          </w:p>
          <w:p w14:paraId="01C406FE">
            <w:pPr>
              <w:wordWrap w:val="0"/>
              <w:spacing w:line="560" w:lineRule="exact"/>
              <w:ind w:firstLine="560" w:firstLineChars="200"/>
              <w:rPr>
                <w:rFonts w:ascii="宋体" w:hAnsi="宋体"/>
                <w:sz w:val="28"/>
                <w:szCs w:val="28"/>
                <w:highlight w:val="none"/>
              </w:rPr>
            </w:pPr>
            <w:r>
              <w:rPr>
                <w:rFonts w:hint="eastAsia" w:ascii="宋体" w:hAnsi="宋体"/>
                <w:color w:val="auto"/>
                <w:sz w:val="28"/>
                <w:szCs w:val="28"/>
                <w:highlight w:val="none"/>
              </w:rPr>
              <w:t xml:space="preserve">    </w:t>
            </w:r>
            <w:r>
              <w:rPr>
                <w:rFonts w:hint="eastAsia" w:ascii="宋体" w:hAnsi="宋体"/>
                <w:color w:val="auto"/>
                <w:sz w:val="28"/>
                <w:szCs w:val="28"/>
                <w:highlight w:val="none"/>
                <w:lang w:val="en-US" w:eastAsia="zh-CN"/>
              </w:rPr>
              <w:t xml:space="preserve">    </w:t>
            </w:r>
          </w:p>
          <w:p w14:paraId="2BCF4FCB">
            <w:pPr>
              <w:wordWrap w:val="0"/>
              <w:spacing w:line="560" w:lineRule="exact"/>
              <w:ind w:firstLine="560" w:firstLineChars="200"/>
              <w:rPr>
                <w:rFonts w:ascii="宋体" w:hAnsi="宋体"/>
                <w:sz w:val="28"/>
                <w:szCs w:val="28"/>
                <w:highlight w:val="none"/>
              </w:rPr>
            </w:pPr>
          </w:p>
          <w:p w14:paraId="3879E6FD">
            <w:pPr>
              <w:wordWrap w:val="0"/>
              <w:spacing w:line="560" w:lineRule="exact"/>
              <w:ind w:firstLine="560" w:firstLineChars="200"/>
              <w:rPr>
                <w:rFonts w:ascii="宋体" w:hAnsi="宋体"/>
                <w:sz w:val="28"/>
                <w:szCs w:val="28"/>
                <w:highlight w:val="none"/>
              </w:rPr>
            </w:pPr>
          </w:p>
          <w:p w14:paraId="6BD2A618">
            <w:pPr>
              <w:wordWrap w:val="0"/>
              <w:spacing w:line="560" w:lineRule="exact"/>
              <w:ind w:firstLine="5740" w:firstLineChars="2050"/>
              <w:rPr>
                <w:rFonts w:ascii="宋体" w:hAnsi="宋体"/>
                <w:sz w:val="28"/>
                <w:szCs w:val="28"/>
                <w:highlight w:val="none"/>
              </w:rPr>
            </w:pPr>
            <w:r>
              <w:rPr>
                <w:rFonts w:hint="eastAsia" w:ascii="宋体" w:hAnsi="宋体"/>
                <w:sz w:val="28"/>
                <w:szCs w:val="28"/>
                <w:highlight w:val="none"/>
              </w:rPr>
              <w:t>（单位盖章）</w:t>
            </w:r>
          </w:p>
          <w:p w14:paraId="0DB51C41">
            <w:pPr>
              <w:spacing w:line="560" w:lineRule="exact"/>
              <w:ind w:firstLine="5880" w:firstLineChars="210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9</w:t>
            </w:r>
            <w:r>
              <w:rPr>
                <w:rFonts w:hint="eastAsia" w:ascii="宋体" w:hAnsi="宋体"/>
                <w:sz w:val="28"/>
                <w:szCs w:val="28"/>
                <w:highlight w:val="none"/>
              </w:rPr>
              <w:t>月</w:t>
            </w:r>
          </w:p>
          <w:p w14:paraId="72A7FF77">
            <w:pPr>
              <w:pStyle w:val="14"/>
              <w:ind w:firstLine="420"/>
              <w:rPr>
                <w:highlight w:val="none"/>
              </w:rPr>
            </w:pPr>
          </w:p>
        </w:tc>
      </w:tr>
      <w:tr w14:paraId="05F3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6" w:hRule="atLeast"/>
          <w:jc w:val="center"/>
        </w:trPr>
        <w:tc>
          <w:tcPr>
            <w:tcW w:w="9580" w:type="dxa"/>
            <w:noWrap/>
          </w:tcPr>
          <w:p w14:paraId="2080D8D4">
            <w:pPr>
              <w:spacing w:line="560" w:lineRule="exact"/>
              <w:ind w:firstLine="560" w:firstLineChars="200"/>
              <w:rPr>
                <w:rFonts w:ascii="宋体" w:hAnsi="宋体" w:cs="宋体"/>
                <w:sz w:val="28"/>
                <w:szCs w:val="28"/>
                <w:highlight w:val="none"/>
              </w:rPr>
            </w:pPr>
          </w:p>
          <w:p w14:paraId="297A006E">
            <w:pPr>
              <w:spacing w:line="560" w:lineRule="exact"/>
              <w:ind w:firstLine="560" w:firstLineChars="200"/>
              <w:rPr>
                <w:rFonts w:ascii="宋体" w:hAnsi="宋体" w:cs="宋体"/>
                <w:sz w:val="28"/>
                <w:szCs w:val="28"/>
                <w:highlight w:val="none"/>
                <w:u w:val="single"/>
              </w:rPr>
            </w:pPr>
            <w:r>
              <w:rPr>
                <w:rFonts w:hint="eastAsia" w:ascii="宋体" w:hAnsi="宋体" w:cs="宋体"/>
                <w:sz w:val="28"/>
                <w:szCs w:val="28"/>
                <w:highlight w:val="none"/>
              </w:rPr>
              <w:t>招标代理机构：</w:t>
            </w:r>
            <w:r>
              <w:rPr>
                <w:rFonts w:hint="eastAsia"/>
                <w:sz w:val="28"/>
                <w:szCs w:val="28"/>
                <w:highlight w:val="none"/>
              </w:rPr>
              <w:t>滁州市城投工程咨询管理有限公司</w:t>
            </w:r>
          </w:p>
          <w:p w14:paraId="04195C3D">
            <w:pPr>
              <w:spacing w:line="560" w:lineRule="exact"/>
              <w:ind w:firstLine="560" w:firstLineChars="200"/>
              <w:rPr>
                <w:rFonts w:hint="default" w:ascii="宋体" w:hAnsi="宋体" w:eastAsia="宋体" w:cs="宋体"/>
                <w:sz w:val="28"/>
                <w:szCs w:val="28"/>
                <w:highlight w:val="none"/>
                <w:u w:val="single"/>
                <w:lang w:val="en-US" w:eastAsia="zh-CN"/>
              </w:rPr>
            </w:pPr>
            <w:r>
              <w:rPr>
                <w:rFonts w:hint="eastAsia" w:ascii="宋体" w:hAnsi="宋体" w:cs="宋体"/>
                <w:sz w:val="28"/>
                <w:szCs w:val="28"/>
                <w:highlight w:val="none"/>
              </w:rPr>
              <w:t>联 系 人：</w:t>
            </w:r>
            <w:r>
              <w:rPr>
                <w:rFonts w:hint="eastAsia" w:ascii="宋体" w:hAnsi="宋体" w:cs="宋体"/>
                <w:sz w:val="28"/>
                <w:szCs w:val="28"/>
                <w:highlight w:val="none"/>
                <w:lang w:val="en-US" w:eastAsia="zh-CN"/>
              </w:rPr>
              <w:t>周蓓蕾</w:t>
            </w:r>
          </w:p>
          <w:p w14:paraId="47E8E678">
            <w:pPr>
              <w:spacing w:line="560" w:lineRule="exact"/>
              <w:ind w:firstLine="560" w:firstLineChars="200"/>
              <w:rPr>
                <w:rFonts w:hint="eastAsia" w:ascii="宋体" w:hAnsi="宋体" w:eastAsia="宋体" w:cs="宋体"/>
                <w:sz w:val="28"/>
                <w:szCs w:val="28"/>
                <w:highlight w:val="none"/>
                <w:lang w:val="en-US" w:eastAsia="zh-CN"/>
              </w:rPr>
            </w:pPr>
            <w:r>
              <w:rPr>
                <w:rFonts w:hint="eastAsia" w:ascii="宋体" w:hAnsi="宋体" w:cs="宋体"/>
                <w:sz w:val="28"/>
                <w:szCs w:val="28"/>
                <w:highlight w:val="none"/>
              </w:rPr>
              <w:t>联系电话：0550-351951</w:t>
            </w:r>
            <w:r>
              <w:rPr>
                <w:rFonts w:hint="eastAsia" w:ascii="宋体" w:hAnsi="宋体" w:cs="宋体"/>
                <w:sz w:val="28"/>
                <w:szCs w:val="28"/>
                <w:highlight w:val="none"/>
                <w:lang w:val="en-US" w:eastAsia="zh-CN"/>
              </w:rPr>
              <w:t>9</w:t>
            </w:r>
            <w:r>
              <w:rPr>
                <w:rFonts w:hint="eastAsia" w:ascii="宋体" w:hAnsi="宋体" w:cs="宋体"/>
                <w:sz w:val="28"/>
                <w:szCs w:val="28"/>
                <w:highlight w:val="none"/>
              </w:rPr>
              <w:t>、</w:t>
            </w:r>
            <w:r>
              <w:rPr>
                <w:rFonts w:hint="eastAsia" w:ascii="宋体" w:hAnsi="宋体" w:cs="宋体"/>
                <w:sz w:val="28"/>
                <w:szCs w:val="28"/>
                <w:highlight w:val="none"/>
                <w:lang w:eastAsia="zh-CN"/>
              </w:rPr>
              <w:t>18005505728</w:t>
            </w:r>
          </w:p>
          <w:p w14:paraId="60018F68">
            <w:pPr>
              <w:spacing w:line="560" w:lineRule="exact"/>
              <w:ind w:firstLine="5040" w:firstLineChars="1800"/>
              <w:rPr>
                <w:rFonts w:ascii="宋体" w:hAnsi="宋体" w:cs="宋体"/>
                <w:sz w:val="28"/>
                <w:szCs w:val="28"/>
                <w:highlight w:val="none"/>
              </w:rPr>
            </w:pPr>
          </w:p>
          <w:p w14:paraId="0781C8CF">
            <w:pPr>
              <w:spacing w:line="560" w:lineRule="exact"/>
              <w:ind w:firstLine="5460" w:firstLineChars="1950"/>
              <w:rPr>
                <w:rFonts w:ascii="宋体" w:hAnsi="宋体" w:cs="宋体"/>
                <w:sz w:val="28"/>
                <w:szCs w:val="28"/>
                <w:highlight w:val="none"/>
              </w:rPr>
            </w:pPr>
          </w:p>
          <w:p w14:paraId="0A1FE158">
            <w:pPr>
              <w:spacing w:line="560" w:lineRule="exact"/>
              <w:ind w:firstLine="5880" w:firstLineChars="2100"/>
              <w:rPr>
                <w:rFonts w:ascii="宋体" w:hAnsi="宋体" w:cs="宋体"/>
                <w:sz w:val="28"/>
                <w:szCs w:val="28"/>
                <w:highlight w:val="none"/>
              </w:rPr>
            </w:pPr>
            <w:r>
              <w:rPr>
                <w:rFonts w:hint="eastAsia" w:ascii="宋体" w:hAnsi="宋体" w:cs="宋体"/>
                <w:sz w:val="28"/>
                <w:szCs w:val="28"/>
                <w:highlight w:val="none"/>
              </w:rPr>
              <w:t>（单位盖章）</w:t>
            </w:r>
          </w:p>
          <w:p w14:paraId="144B0D1C">
            <w:pPr>
              <w:spacing w:line="560" w:lineRule="exact"/>
              <w:ind w:firstLine="6020" w:firstLineChars="215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9</w:t>
            </w:r>
            <w:r>
              <w:rPr>
                <w:rFonts w:hint="eastAsia" w:ascii="宋体" w:hAnsi="宋体"/>
                <w:sz w:val="28"/>
                <w:szCs w:val="28"/>
                <w:highlight w:val="none"/>
              </w:rPr>
              <w:t>月</w:t>
            </w:r>
          </w:p>
          <w:p w14:paraId="4EDF8AEB">
            <w:pPr>
              <w:pStyle w:val="14"/>
              <w:ind w:firstLine="420"/>
              <w:rPr>
                <w:highlight w:val="none"/>
              </w:rPr>
            </w:pPr>
          </w:p>
        </w:tc>
      </w:tr>
    </w:tbl>
    <w:p w14:paraId="2D7DD9E9">
      <w:pPr>
        <w:rPr>
          <w:highlight w:val="none"/>
        </w:rPr>
      </w:pPr>
    </w:p>
    <w:sectPr>
      <w:headerReference r:id="rId6" w:type="default"/>
      <w:footerReference r:id="rId7" w:type="default"/>
      <w:pgSz w:w="11906" w:h="16838"/>
      <w:pgMar w:top="1134" w:right="1417" w:bottom="1134" w:left="141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219B5F3-FD21-42CC-9F6D-14020868C1B8}"/>
  </w:font>
  <w:font w:name="黑体">
    <w:panose1 w:val="02010609060101010101"/>
    <w:charset w:val="86"/>
    <w:family w:val="auto"/>
    <w:pitch w:val="default"/>
    <w:sig w:usb0="800002BF" w:usb1="38CF7CFA" w:usb2="00000016" w:usb3="00000000" w:csb0="00040001" w:csb1="00000000"/>
    <w:embedRegular r:id="rId2" w:fontKey="{D43B4B8C-3E71-4282-86E0-68DB55FC21B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3" w:fontKey="{26EFBBB9-D8C9-44A4-91C6-10DB782B69B5}"/>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4" w:fontKey="{72F61C73-42EA-4B1F-AC90-89280F788109}"/>
  </w:font>
  <w:font w:name="华文楷体">
    <w:panose1 w:val="02010600040101010101"/>
    <w:charset w:val="86"/>
    <w:family w:val="auto"/>
    <w:pitch w:val="default"/>
    <w:sig w:usb0="A00002BF" w:usb1="78CF7CFB" w:usb2="00000016" w:usb3="00000000" w:csb0="6006009F" w:csb1="DFD70000"/>
    <w:embedRegular r:id="rId5" w:fontKey="{552EC90B-FDFF-4D88-9ACC-5F8672D3F6B6}"/>
  </w:font>
  <w:font w:name="KSOFE4500885">
    <w:panose1 w:val="02010609060101010101"/>
    <w:charset w:val="86"/>
    <w:family w:val="auto"/>
    <w:pitch w:val="default"/>
    <w:sig w:usb0="00000001" w:usb1="00000000" w:usb2="00000000" w:usb3="00000000" w:csb0="00040001" w:csb1="00000000"/>
  </w:font>
  <w:font w:name="ModIcon">
    <w:altName w:val="Segoe Print"/>
    <w:panose1 w:val="00000000000000000000"/>
    <w:charset w:val="00"/>
    <w:family w:val="auto"/>
    <w:pitch w:val="default"/>
    <w:sig w:usb0="00000000" w:usb1="00000000" w:usb2="00000000" w:usb3="00000000" w:csb0="00000000" w:csb1="00000000"/>
  </w:font>
  <w:font w:name="ActionIcon">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42DBF">
    <w:pPr>
      <w:pStyle w:val="29"/>
      <w:framePr w:wrap="around" w:vAnchor="text" w:hAnchor="margin" w:xAlign="center" w:y="1"/>
      <w:rPr>
        <w:rStyle w:val="51"/>
      </w:rPr>
    </w:pPr>
  </w:p>
  <w:p w14:paraId="53435915">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08C72">
    <w:pPr>
      <w:pStyle w:val="29"/>
      <w:framePr w:wrap="around" w:vAnchor="text" w:hAnchor="margin" w:xAlign="center" w:y="1"/>
      <w:rPr>
        <w:rStyle w:val="51"/>
      </w:rPr>
    </w:pPr>
  </w:p>
  <w:p w14:paraId="78B0040E">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767B4">
    <w:pPr>
      <w:pStyle w:val="29"/>
      <w:rPr>
        <w:rStyle w:val="51"/>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02D7ED">
                          <w:pPr>
                            <w:pStyle w:val="2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qv1RMoBAACcAwAADgAAAGRycy9lMm9Eb2MueG1srVPNjtMwEL4j8Q6W&#10;79RpD6hE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yhx3OLAL9+/XX78uvz8SpbV&#10;6k1WqA9QY+JDwNQ03PkhZ09+QGcmPqho8xcpEYyjvuervnJIRORH69V6XWFIYGy+IA57fB4ipLfS&#10;W5KNhkYcYNGVn95DGlPnlFzN+XttDPp5bdxfDsTMHpZ7H3vMVhr2w9T43rdn5NPj7BvqcNUpMe8c&#10;SpvXZDbibOxn4xiiPnRlj3I9CLfHhE2U3nKFEXYqjEMr7KYFy1vx571kPf5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Rqv1RMoBAACcAwAADgAAAAAAAAABACAAAAAeAQAAZHJzL2Uyb0Rv&#10;Yy54bWxQSwUGAAAAAAYABgBZAQAAWgUAAAAA&#10;">
              <v:fill on="f" focussize="0,0"/>
              <v:stroke on="f"/>
              <v:imagedata o:title=""/>
              <o:lock v:ext="edit" aspectratio="f"/>
              <v:textbox inset="0mm,0mm,0mm,0mm" style="mso-fit-shape-to-text:t;">
                <w:txbxContent>
                  <w:p w14:paraId="2802D7ED">
                    <w:pPr>
                      <w:pStyle w:val="29"/>
                    </w:pPr>
                    <w:r>
                      <w:fldChar w:fldCharType="begin"/>
                    </w:r>
                    <w:r>
                      <w:instrText xml:space="preserve"> PAGE  \* MERGEFORMAT </w:instrText>
                    </w:r>
                    <w:r>
                      <w:fldChar w:fldCharType="separate"/>
                    </w:r>
                    <w:r>
                      <w:t>2</w:t>
                    </w:r>
                    <w:r>
                      <w:fldChar w:fldCharType="end"/>
                    </w:r>
                  </w:p>
                </w:txbxContent>
              </v:textbox>
            </v:shape>
          </w:pict>
        </mc:Fallback>
      </mc:AlternateContent>
    </w:r>
  </w:p>
  <w:p w14:paraId="01B2BA8E">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EBD4B">
    <w:pPr>
      <w:pStyle w:val="3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8BC04">
    <w:pPr>
      <w:pStyle w:val="3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20616"/>
    <w:multiLevelType w:val="singleLevel"/>
    <w:tmpl w:val="B9320616"/>
    <w:lvl w:ilvl="0" w:tentative="0">
      <w:start w:val="4"/>
      <w:numFmt w:val="chineseCounting"/>
      <w:suff w:val="space"/>
      <w:lvlText w:val="第%1章"/>
      <w:lvlJc w:val="left"/>
      <w:rPr>
        <w:rFonts w:hint="eastAsia"/>
      </w:rPr>
    </w:lvl>
  </w:abstractNum>
  <w:abstractNum w:abstractNumId="1">
    <w:nsid w:val="45A08580"/>
    <w:multiLevelType w:val="singleLevel"/>
    <w:tmpl w:val="45A08580"/>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172A27"/>
    <w:rsid w:val="0000197A"/>
    <w:rsid w:val="00002E1B"/>
    <w:rsid w:val="000046EA"/>
    <w:rsid w:val="00004E34"/>
    <w:rsid w:val="00005CD8"/>
    <w:rsid w:val="00006123"/>
    <w:rsid w:val="000070B7"/>
    <w:rsid w:val="0000758B"/>
    <w:rsid w:val="00010F4B"/>
    <w:rsid w:val="0001111D"/>
    <w:rsid w:val="00011A14"/>
    <w:rsid w:val="00012844"/>
    <w:rsid w:val="00012D1D"/>
    <w:rsid w:val="00017114"/>
    <w:rsid w:val="00017EFA"/>
    <w:rsid w:val="00020FE0"/>
    <w:rsid w:val="00021BDB"/>
    <w:rsid w:val="000225E0"/>
    <w:rsid w:val="00022A89"/>
    <w:rsid w:val="00023D05"/>
    <w:rsid w:val="00026E12"/>
    <w:rsid w:val="000273CC"/>
    <w:rsid w:val="000330C1"/>
    <w:rsid w:val="000335C0"/>
    <w:rsid w:val="00034C73"/>
    <w:rsid w:val="0003719A"/>
    <w:rsid w:val="00037B93"/>
    <w:rsid w:val="00040224"/>
    <w:rsid w:val="0004332D"/>
    <w:rsid w:val="00044907"/>
    <w:rsid w:val="0004695D"/>
    <w:rsid w:val="00046C34"/>
    <w:rsid w:val="00057DBF"/>
    <w:rsid w:val="000617FE"/>
    <w:rsid w:val="0006411D"/>
    <w:rsid w:val="000642AF"/>
    <w:rsid w:val="00066792"/>
    <w:rsid w:val="00072090"/>
    <w:rsid w:val="00076B75"/>
    <w:rsid w:val="00076F1D"/>
    <w:rsid w:val="00077234"/>
    <w:rsid w:val="000837EF"/>
    <w:rsid w:val="00083ADA"/>
    <w:rsid w:val="0008659F"/>
    <w:rsid w:val="00086C18"/>
    <w:rsid w:val="00090A07"/>
    <w:rsid w:val="00090F90"/>
    <w:rsid w:val="00093100"/>
    <w:rsid w:val="000939B1"/>
    <w:rsid w:val="00094E9D"/>
    <w:rsid w:val="000A078C"/>
    <w:rsid w:val="000A11AD"/>
    <w:rsid w:val="000A2C9F"/>
    <w:rsid w:val="000A475B"/>
    <w:rsid w:val="000A65EE"/>
    <w:rsid w:val="000B0DC9"/>
    <w:rsid w:val="000B3A75"/>
    <w:rsid w:val="000B4B76"/>
    <w:rsid w:val="000B547D"/>
    <w:rsid w:val="000B7A7E"/>
    <w:rsid w:val="000B7EE6"/>
    <w:rsid w:val="000C10AA"/>
    <w:rsid w:val="000C26FD"/>
    <w:rsid w:val="000D08DE"/>
    <w:rsid w:val="000D203E"/>
    <w:rsid w:val="000D2C3D"/>
    <w:rsid w:val="000D2ECE"/>
    <w:rsid w:val="000D4E9E"/>
    <w:rsid w:val="000D7F9C"/>
    <w:rsid w:val="000E0020"/>
    <w:rsid w:val="000E1F7F"/>
    <w:rsid w:val="000E227E"/>
    <w:rsid w:val="000E24EC"/>
    <w:rsid w:val="000E3D3D"/>
    <w:rsid w:val="000F7312"/>
    <w:rsid w:val="000F740E"/>
    <w:rsid w:val="00104E44"/>
    <w:rsid w:val="001063CB"/>
    <w:rsid w:val="0011140E"/>
    <w:rsid w:val="00114707"/>
    <w:rsid w:val="00115943"/>
    <w:rsid w:val="00116988"/>
    <w:rsid w:val="00120E5D"/>
    <w:rsid w:val="00125553"/>
    <w:rsid w:val="0012738D"/>
    <w:rsid w:val="00130FBA"/>
    <w:rsid w:val="00131494"/>
    <w:rsid w:val="00132E3D"/>
    <w:rsid w:val="0014049F"/>
    <w:rsid w:val="00140BFD"/>
    <w:rsid w:val="00142868"/>
    <w:rsid w:val="00146B5E"/>
    <w:rsid w:val="0015292B"/>
    <w:rsid w:val="0015363F"/>
    <w:rsid w:val="00154C59"/>
    <w:rsid w:val="00155F6F"/>
    <w:rsid w:val="001564C3"/>
    <w:rsid w:val="001620D9"/>
    <w:rsid w:val="0016514F"/>
    <w:rsid w:val="00165414"/>
    <w:rsid w:val="00165F97"/>
    <w:rsid w:val="00167090"/>
    <w:rsid w:val="00167507"/>
    <w:rsid w:val="00172A27"/>
    <w:rsid w:val="00173108"/>
    <w:rsid w:val="00173D37"/>
    <w:rsid w:val="00174E43"/>
    <w:rsid w:val="0018238C"/>
    <w:rsid w:val="00182D4C"/>
    <w:rsid w:val="001834BA"/>
    <w:rsid w:val="001843D3"/>
    <w:rsid w:val="00184866"/>
    <w:rsid w:val="00185DBC"/>
    <w:rsid w:val="001867E2"/>
    <w:rsid w:val="001919D1"/>
    <w:rsid w:val="00191DD8"/>
    <w:rsid w:val="00193AE6"/>
    <w:rsid w:val="00194AEF"/>
    <w:rsid w:val="001963BD"/>
    <w:rsid w:val="001A120B"/>
    <w:rsid w:val="001A184C"/>
    <w:rsid w:val="001A274E"/>
    <w:rsid w:val="001A2C88"/>
    <w:rsid w:val="001A37E0"/>
    <w:rsid w:val="001A3EC9"/>
    <w:rsid w:val="001A50F2"/>
    <w:rsid w:val="001A6EF7"/>
    <w:rsid w:val="001B1DF0"/>
    <w:rsid w:val="001B21A5"/>
    <w:rsid w:val="001B45D5"/>
    <w:rsid w:val="001B4675"/>
    <w:rsid w:val="001B4BDE"/>
    <w:rsid w:val="001B59E9"/>
    <w:rsid w:val="001B62B0"/>
    <w:rsid w:val="001B6A78"/>
    <w:rsid w:val="001C1FC2"/>
    <w:rsid w:val="001C4E01"/>
    <w:rsid w:val="001C7AB4"/>
    <w:rsid w:val="001D0C94"/>
    <w:rsid w:val="001D3498"/>
    <w:rsid w:val="001E1380"/>
    <w:rsid w:val="001E5247"/>
    <w:rsid w:val="001F23AB"/>
    <w:rsid w:val="001F32ED"/>
    <w:rsid w:val="001F4F95"/>
    <w:rsid w:val="001F7E70"/>
    <w:rsid w:val="00200459"/>
    <w:rsid w:val="00202DB7"/>
    <w:rsid w:val="00207065"/>
    <w:rsid w:val="00207999"/>
    <w:rsid w:val="00212D04"/>
    <w:rsid w:val="00213FCA"/>
    <w:rsid w:val="00214988"/>
    <w:rsid w:val="00214B43"/>
    <w:rsid w:val="00214F76"/>
    <w:rsid w:val="002202CE"/>
    <w:rsid w:val="0022219A"/>
    <w:rsid w:val="00222521"/>
    <w:rsid w:val="00227461"/>
    <w:rsid w:val="0022783F"/>
    <w:rsid w:val="00230392"/>
    <w:rsid w:val="00230583"/>
    <w:rsid w:val="00230A2B"/>
    <w:rsid w:val="00231547"/>
    <w:rsid w:val="002334EC"/>
    <w:rsid w:val="00235B32"/>
    <w:rsid w:val="00236AD7"/>
    <w:rsid w:val="00237688"/>
    <w:rsid w:val="00240423"/>
    <w:rsid w:val="00243B18"/>
    <w:rsid w:val="00246AD7"/>
    <w:rsid w:val="00246B91"/>
    <w:rsid w:val="00247A64"/>
    <w:rsid w:val="00250013"/>
    <w:rsid w:val="00250BCF"/>
    <w:rsid w:val="00253591"/>
    <w:rsid w:val="00255670"/>
    <w:rsid w:val="00256780"/>
    <w:rsid w:val="00262ABE"/>
    <w:rsid w:val="002657EE"/>
    <w:rsid w:val="00276F57"/>
    <w:rsid w:val="00277D06"/>
    <w:rsid w:val="002816D4"/>
    <w:rsid w:val="00286980"/>
    <w:rsid w:val="002928CE"/>
    <w:rsid w:val="00292C87"/>
    <w:rsid w:val="0029757E"/>
    <w:rsid w:val="002A1A66"/>
    <w:rsid w:val="002A39EF"/>
    <w:rsid w:val="002A599F"/>
    <w:rsid w:val="002A6E04"/>
    <w:rsid w:val="002B4BA8"/>
    <w:rsid w:val="002B7071"/>
    <w:rsid w:val="002B7117"/>
    <w:rsid w:val="002B714A"/>
    <w:rsid w:val="002B718A"/>
    <w:rsid w:val="002B7621"/>
    <w:rsid w:val="002C2E22"/>
    <w:rsid w:val="002C4A57"/>
    <w:rsid w:val="002C528E"/>
    <w:rsid w:val="002C5643"/>
    <w:rsid w:val="002E13EC"/>
    <w:rsid w:val="002E41CC"/>
    <w:rsid w:val="002F05E9"/>
    <w:rsid w:val="002F2C99"/>
    <w:rsid w:val="002F3D6A"/>
    <w:rsid w:val="002F794D"/>
    <w:rsid w:val="003029B3"/>
    <w:rsid w:val="00303019"/>
    <w:rsid w:val="00306787"/>
    <w:rsid w:val="00306966"/>
    <w:rsid w:val="0031113D"/>
    <w:rsid w:val="00311AAC"/>
    <w:rsid w:val="00313CA4"/>
    <w:rsid w:val="00314E82"/>
    <w:rsid w:val="003150CE"/>
    <w:rsid w:val="00315FF9"/>
    <w:rsid w:val="00316270"/>
    <w:rsid w:val="00321598"/>
    <w:rsid w:val="00321FDB"/>
    <w:rsid w:val="00323870"/>
    <w:rsid w:val="00323FFD"/>
    <w:rsid w:val="00324847"/>
    <w:rsid w:val="00324A5E"/>
    <w:rsid w:val="00325624"/>
    <w:rsid w:val="0032611D"/>
    <w:rsid w:val="003264EB"/>
    <w:rsid w:val="00326940"/>
    <w:rsid w:val="00330CCD"/>
    <w:rsid w:val="00332891"/>
    <w:rsid w:val="00332BBD"/>
    <w:rsid w:val="00333810"/>
    <w:rsid w:val="003343C0"/>
    <w:rsid w:val="00340804"/>
    <w:rsid w:val="00342D97"/>
    <w:rsid w:val="00343375"/>
    <w:rsid w:val="003448C2"/>
    <w:rsid w:val="00344CD6"/>
    <w:rsid w:val="0034662F"/>
    <w:rsid w:val="003510D2"/>
    <w:rsid w:val="00351A8E"/>
    <w:rsid w:val="0035447B"/>
    <w:rsid w:val="00356B27"/>
    <w:rsid w:val="00356B90"/>
    <w:rsid w:val="00357C8A"/>
    <w:rsid w:val="00360C29"/>
    <w:rsid w:val="0036101B"/>
    <w:rsid w:val="003613C6"/>
    <w:rsid w:val="00361CBA"/>
    <w:rsid w:val="00362EE3"/>
    <w:rsid w:val="0036593D"/>
    <w:rsid w:val="00366951"/>
    <w:rsid w:val="00370107"/>
    <w:rsid w:val="003720A1"/>
    <w:rsid w:val="003745F9"/>
    <w:rsid w:val="00376808"/>
    <w:rsid w:val="0037767C"/>
    <w:rsid w:val="003817E6"/>
    <w:rsid w:val="00381E22"/>
    <w:rsid w:val="0038244A"/>
    <w:rsid w:val="00382545"/>
    <w:rsid w:val="00383221"/>
    <w:rsid w:val="00384090"/>
    <w:rsid w:val="003844ED"/>
    <w:rsid w:val="00386132"/>
    <w:rsid w:val="003871B4"/>
    <w:rsid w:val="00393016"/>
    <w:rsid w:val="00394BA5"/>
    <w:rsid w:val="00394D82"/>
    <w:rsid w:val="003A70F7"/>
    <w:rsid w:val="003B39C6"/>
    <w:rsid w:val="003B4CDE"/>
    <w:rsid w:val="003B5919"/>
    <w:rsid w:val="003B7075"/>
    <w:rsid w:val="003B7983"/>
    <w:rsid w:val="003C24F4"/>
    <w:rsid w:val="003C4452"/>
    <w:rsid w:val="003C4CBD"/>
    <w:rsid w:val="003C7646"/>
    <w:rsid w:val="003D0BFC"/>
    <w:rsid w:val="003D206A"/>
    <w:rsid w:val="003D27B4"/>
    <w:rsid w:val="003D34ED"/>
    <w:rsid w:val="003D60ED"/>
    <w:rsid w:val="003D7852"/>
    <w:rsid w:val="003E0F27"/>
    <w:rsid w:val="003E15AB"/>
    <w:rsid w:val="003E3274"/>
    <w:rsid w:val="003E441B"/>
    <w:rsid w:val="003E528B"/>
    <w:rsid w:val="003E62C9"/>
    <w:rsid w:val="003E64A4"/>
    <w:rsid w:val="003F1184"/>
    <w:rsid w:val="003F19CD"/>
    <w:rsid w:val="003F34D1"/>
    <w:rsid w:val="003F5214"/>
    <w:rsid w:val="003F56BE"/>
    <w:rsid w:val="003F72A7"/>
    <w:rsid w:val="00403578"/>
    <w:rsid w:val="0040419B"/>
    <w:rsid w:val="00404AFD"/>
    <w:rsid w:val="0041061A"/>
    <w:rsid w:val="00411B9C"/>
    <w:rsid w:val="004139CC"/>
    <w:rsid w:val="00416BD0"/>
    <w:rsid w:val="004179E4"/>
    <w:rsid w:val="00422908"/>
    <w:rsid w:val="0042416B"/>
    <w:rsid w:val="004249BA"/>
    <w:rsid w:val="0042531B"/>
    <w:rsid w:val="004306D8"/>
    <w:rsid w:val="00430F18"/>
    <w:rsid w:val="00432BC1"/>
    <w:rsid w:val="00433924"/>
    <w:rsid w:val="00434AAC"/>
    <w:rsid w:val="0043512B"/>
    <w:rsid w:val="00435537"/>
    <w:rsid w:val="004355FE"/>
    <w:rsid w:val="00441E58"/>
    <w:rsid w:val="00445715"/>
    <w:rsid w:val="00445E0F"/>
    <w:rsid w:val="00446179"/>
    <w:rsid w:val="004506F7"/>
    <w:rsid w:val="0045199B"/>
    <w:rsid w:val="00451F70"/>
    <w:rsid w:val="00454C0F"/>
    <w:rsid w:val="00454F95"/>
    <w:rsid w:val="004571AF"/>
    <w:rsid w:val="00462043"/>
    <w:rsid w:val="0046380E"/>
    <w:rsid w:val="00466093"/>
    <w:rsid w:val="004712B0"/>
    <w:rsid w:val="00471B5C"/>
    <w:rsid w:val="00473006"/>
    <w:rsid w:val="00473509"/>
    <w:rsid w:val="00473BA0"/>
    <w:rsid w:val="00474B17"/>
    <w:rsid w:val="0047678B"/>
    <w:rsid w:val="00477FF4"/>
    <w:rsid w:val="00482303"/>
    <w:rsid w:val="00487C57"/>
    <w:rsid w:val="00494CD7"/>
    <w:rsid w:val="004A3117"/>
    <w:rsid w:val="004A394F"/>
    <w:rsid w:val="004A7299"/>
    <w:rsid w:val="004B15C6"/>
    <w:rsid w:val="004C0130"/>
    <w:rsid w:val="004C1E7E"/>
    <w:rsid w:val="004C2BF2"/>
    <w:rsid w:val="004C4C36"/>
    <w:rsid w:val="004C791A"/>
    <w:rsid w:val="004D0871"/>
    <w:rsid w:val="004D31D7"/>
    <w:rsid w:val="004D6B92"/>
    <w:rsid w:val="004E085C"/>
    <w:rsid w:val="004E0F8D"/>
    <w:rsid w:val="004F0E30"/>
    <w:rsid w:val="004F1D3D"/>
    <w:rsid w:val="004F3C9D"/>
    <w:rsid w:val="004F5CF2"/>
    <w:rsid w:val="004F77A5"/>
    <w:rsid w:val="00504F99"/>
    <w:rsid w:val="00505F69"/>
    <w:rsid w:val="005078D7"/>
    <w:rsid w:val="00510F89"/>
    <w:rsid w:val="00512B81"/>
    <w:rsid w:val="00513D1E"/>
    <w:rsid w:val="0052022B"/>
    <w:rsid w:val="005212B3"/>
    <w:rsid w:val="00525D5C"/>
    <w:rsid w:val="00526B90"/>
    <w:rsid w:val="00527D18"/>
    <w:rsid w:val="005324F1"/>
    <w:rsid w:val="005345CF"/>
    <w:rsid w:val="00534798"/>
    <w:rsid w:val="00534AB4"/>
    <w:rsid w:val="005362C3"/>
    <w:rsid w:val="00536BAD"/>
    <w:rsid w:val="00537141"/>
    <w:rsid w:val="005408F8"/>
    <w:rsid w:val="00543A1A"/>
    <w:rsid w:val="00543D1A"/>
    <w:rsid w:val="00545A63"/>
    <w:rsid w:val="00550A8B"/>
    <w:rsid w:val="00551ABE"/>
    <w:rsid w:val="00551F3F"/>
    <w:rsid w:val="00553C28"/>
    <w:rsid w:val="00555711"/>
    <w:rsid w:val="0055655B"/>
    <w:rsid w:val="005575EF"/>
    <w:rsid w:val="00557CAA"/>
    <w:rsid w:val="005610A7"/>
    <w:rsid w:val="00562097"/>
    <w:rsid w:val="00562642"/>
    <w:rsid w:val="00562653"/>
    <w:rsid w:val="00563B31"/>
    <w:rsid w:val="00564616"/>
    <w:rsid w:val="00565E25"/>
    <w:rsid w:val="00566512"/>
    <w:rsid w:val="005677A2"/>
    <w:rsid w:val="00571668"/>
    <w:rsid w:val="00573193"/>
    <w:rsid w:val="005736B2"/>
    <w:rsid w:val="0057643A"/>
    <w:rsid w:val="00580342"/>
    <w:rsid w:val="00582213"/>
    <w:rsid w:val="005901E1"/>
    <w:rsid w:val="005915F5"/>
    <w:rsid w:val="00591F58"/>
    <w:rsid w:val="00592834"/>
    <w:rsid w:val="00594FBF"/>
    <w:rsid w:val="0059693D"/>
    <w:rsid w:val="00597823"/>
    <w:rsid w:val="005A3405"/>
    <w:rsid w:val="005A5E6E"/>
    <w:rsid w:val="005A65D3"/>
    <w:rsid w:val="005A71BD"/>
    <w:rsid w:val="005A7C75"/>
    <w:rsid w:val="005B3CFB"/>
    <w:rsid w:val="005B4AA4"/>
    <w:rsid w:val="005B5C42"/>
    <w:rsid w:val="005B682A"/>
    <w:rsid w:val="005B705D"/>
    <w:rsid w:val="005C0054"/>
    <w:rsid w:val="005D0BCF"/>
    <w:rsid w:val="005D1D33"/>
    <w:rsid w:val="005D1E1A"/>
    <w:rsid w:val="005D2808"/>
    <w:rsid w:val="005D49DC"/>
    <w:rsid w:val="005D6EDB"/>
    <w:rsid w:val="005E4BD5"/>
    <w:rsid w:val="005E6D8D"/>
    <w:rsid w:val="005E7874"/>
    <w:rsid w:val="005F2C58"/>
    <w:rsid w:val="005F3CD8"/>
    <w:rsid w:val="005F6D4E"/>
    <w:rsid w:val="00601231"/>
    <w:rsid w:val="006015AA"/>
    <w:rsid w:val="006053A4"/>
    <w:rsid w:val="00610D91"/>
    <w:rsid w:val="0061143B"/>
    <w:rsid w:val="006173D9"/>
    <w:rsid w:val="006174D0"/>
    <w:rsid w:val="00617B19"/>
    <w:rsid w:val="00620E0C"/>
    <w:rsid w:val="0062507F"/>
    <w:rsid w:val="00626412"/>
    <w:rsid w:val="00627097"/>
    <w:rsid w:val="00627F07"/>
    <w:rsid w:val="00630701"/>
    <w:rsid w:val="00630A52"/>
    <w:rsid w:val="006314EC"/>
    <w:rsid w:val="006317D9"/>
    <w:rsid w:val="006319A4"/>
    <w:rsid w:val="006320EC"/>
    <w:rsid w:val="00632505"/>
    <w:rsid w:val="0063261C"/>
    <w:rsid w:val="00634E49"/>
    <w:rsid w:val="006404B8"/>
    <w:rsid w:val="00640732"/>
    <w:rsid w:val="00640CD1"/>
    <w:rsid w:val="006411FA"/>
    <w:rsid w:val="006468C4"/>
    <w:rsid w:val="00656322"/>
    <w:rsid w:val="0065656C"/>
    <w:rsid w:val="00662C9C"/>
    <w:rsid w:val="00664CCB"/>
    <w:rsid w:val="0066501C"/>
    <w:rsid w:val="00667847"/>
    <w:rsid w:val="00667E21"/>
    <w:rsid w:val="00672253"/>
    <w:rsid w:val="00672477"/>
    <w:rsid w:val="006803F2"/>
    <w:rsid w:val="00680EED"/>
    <w:rsid w:val="00683A32"/>
    <w:rsid w:val="00686C3A"/>
    <w:rsid w:val="0069751D"/>
    <w:rsid w:val="00697E3A"/>
    <w:rsid w:val="006A5A61"/>
    <w:rsid w:val="006A6C9D"/>
    <w:rsid w:val="006B06AF"/>
    <w:rsid w:val="006B3780"/>
    <w:rsid w:val="006B3913"/>
    <w:rsid w:val="006B5F0A"/>
    <w:rsid w:val="006B7B67"/>
    <w:rsid w:val="006C004B"/>
    <w:rsid w:val="006C09E3"/>
    <w:rsid w:val="006C12A2"/>
    <w:rsid w:val="006C1EAD"/>
    <w:rsid w:val="006C3056"/>
    <w:rsid w:val="006C3E9D"/>
    <w:rsid w:val="006C4608"/>
    <w:rsid w:val="006E29E7"/>
    <w:rsid w:val="006E3C5D"/>
    <w:rsid w:val="006E4C81"/>
    <w:rsid w:val="006F3D17"/>
    <w:rsid w:val="007010A6"/>
    <w:rsid w:val="007010E6"/>
    <w:rsid w:val="007013D6"/>
    <w:rsid w:val="00704877"/>
    <w:rsid w:val="007056DC"/>
    <w:rsid w:val="00707B0D"/>
    <w:rsid w:val="00707F33"/>
    <w:rsid w:val="00707FB8"/>
    <w:rsid w:val="00710E91"/>
    <w:rsid w:val="00712094"/>
    <w:rsid w:val="00712899"/>
    <w:rsid w:val="00716F04"/>
    <w:rsid w:val="007220FC"/>
    <w:rsid w:val="007224C8"/>
    <w:rsid w:val="00731F87"/>
    <w:rsid w:val="00734057"/>
    <w:rsid w:val="007347A9"/>
    <w:rsid w:val="00734A59"/>
    <w:rsid w:val="00737389"/>
    <w:rsid w:val="00740EA7"/>
    <w:rsid w:val="00741E7A"/>
    <w:rsid w:val="00743A79"/>
    <w:rsid w:val="00746374"/>
    <w:rsid w:val="0074694C"/>
    <w:rsid w:val="00750DC6"/>
    <w:rsid w:val="00751F36"/>
    <w:rsid w:val="00752ABA"/>
    <w:rsid w:val="007544B3"/>
    <w:rsid w:val="00754953"/>
    <w:rsid w:val="00755F4B"/>
    <w:rsid w:val="007569BF"/>
    <w:rsid w:val="00764F21"/>
    <w:rsid w:val="007650EA"/>
    <w:rsid w:val="00771225"/>
    <w:rsid w:val="007716E8"/>
    <w:rsid w:val="00771EE2"/>
    <w:rsid w:val="00772F61"/>
    <w:rsid w:val="007735D0"/>
    <w:rsid w:val="00776CE6"/>
    <w:rsid w:val="0077709D"/>
    <w:rsid w:val="0077725B"/>
    <w:rsid w:val="0078232E"/>
    <w:rsid w:val="007825BB"/>
    <w:rsid w:val="0078387C"/>
    <w:rsid w:val="007846BD"/>
    <w:rsid w:val="007852C4"/>
    <w:rsid w:val="00785C7C"/>
    <w:rsid w:val="00791072"/>
    <w:rsid w:val="00791620"/>
    <w:rsid w:val="00792C93"/>
    <w:rsid w:val="0079603B"/>
    <w:rsid w:val="00796119"/>
    <w:rsid w:val="00797F29"/>
    <w:rsid w:val="00797F99"/>
    <w:rsid w:val="007A3AD3"/>
    <w:rsid w:val="007A5486"/>
    <w:rsid w:val="007A59DE"/>
    <w:rsid w:val="007B10BC"/>
    <w:rsid w:val="007B2FBF"/>
    <w:rsid w:val="007B6549"/>
    <w:rsid w:val="007B7D18"/>
    <w:rsid w:val="007C065A"/>
    <w:rsid w:val="007C313C"/>
    <w:rsid w:val="007C5C10"/>
    <w:rsid w:val="007C5C4D"/>
    <w:rsid w:val="007D2547"/>
    <w:rsid w:val="007D3552"/>
    <w:rsid w:val="007D5303"/>
    <w:rsid w:val="007D6C61"/>
    <w:rsid w:val="007D7027"/>
    <w:rsid w:val="007E1D6E"/>
    <w:rsid w:val="007E60BB"/>
    <w:rsid w:val="007E66F0"/>
    <w:rsid w:val="007E6E71"/>
    <w:rsid w:val="007F0879"/>
    <w:rsid w:val="007F2072"/>
    <w:rsid w:val="007F7CC1"/>
    <w:rsid w:val="00801530"/>
    <w:rsid w:val="00803277"/>
    <w:rsid w:val="00803BC6"/>
    <w:rsid w:val="008044D7"/>
    <w:rsid w:val="00811BC8"/>
    <w:rsid w:val="00812181"/>
    <w:rsid w:val="0081385B"/>
    <w:rsid w:val="00816600"/>
    <w:rsid w:val="00821645"/>
    <w:rsid w:val="00822D2E"/>
    <w:rsid w:val="00827EA0"/>
    <w:rsid w:val="0083345E"/>
    <w:rsid w:val="00834EAE"/>
    <w:rsid w:val="00841403"/>
    <w:rsid w:val="0084190B"/>
    <w:rsid w:val="0084411B"/>
    <w:rsid w:val="00844951"/>
    <w:rsid w:val="00844D6E"/>
    <w:rsid w:val="00845A5D"/>
    <w:rsid w:val="008462FB"/>
    <w:rsid w:val="008465CD"/>
    <w:rsid w:val="0084663D"/>
    <w:rsid w:val="008515C0"/>
    <w:rsid w:val="00854873"/>
    <w:rsid w:val="00855E83"/>
    <w:rsid w:val="00856515"/>
    <w:rsid w:val="0086292A"/>
    <w:rsid w:val="00864FC6"/>
    <w:rsid w:val="00865B48"/>
    <w:rsid w:val="00872E7D"/>
    <w:rsid w:val="00874549"/>
    <w:rsid w:val="008756B7"/>
    <w:rsid w:val="008757B7"/>
    <w:rsid w:val="00880472"/>
    <w:rsid w:val="008813F9"/>
    <w:rsid w:val="0088144C"/>
    <w:rsid w:val="00881587"/>
    <w:rsid w:val="0088218C"/>
    <w:rsid w:val="00884060"/>
    <w:rsid w:val="00890796"/>
    <w:rsid w:val="0089321E"/>
    <w:rsid w:val="008933DF"/>
    <w:rsid w:val="00894C08"/>
    <w:rsid w:val="00895001"/>
    <w:rsid w:val="0089560E"/>
    <w:rsid w:val="008A0CBD"/>
    <w:rsid w:val="008A0D2A"/>
    <w:rsid w:val="008A1DEE"/>
    <w:rsid w:val="008A3970"/>
    <w:rsid w:val="008A5701"/>
    <w:rsid w:val="008B3DFF"/>
    <w:rsid w:val="008B3F28"/>
    <w:rsid w:val="008C49D3"/>
    <w:rsid w:val="008C5947"/>
    <w:rsid w:val="008C6DA1"/>
    <w:rsid w:val="008C72A6"/>
    <w:rsid w:val="008D3D94"/>
    <w:rsid w:val="008D618A"/>
    <w:rsid w:val="008E1DC0"/>
    <w:rsid w:val="008E30BF"/>
    <w:rsid w:val="008E35A0"/>
    <w:rsid w:val="008E3A25"/>
    <w:rsid w:val="008E5038"/>
    <w:rsid w:val="008F031C"/>
    <w:rsid w:val="008F1463"/>
    <w:rsid w:val="008F1F11"/>
    <w:rsid w:val="008F31C7"/>
    <w:rsid w:val="008F7358"/>
    <w:rsid w:val="008F7394"/>
    <w:rsid w:val="008F79D7"/>
    <w:rsid w:val="009006DF"/>
    <w:rsid w:val="00910153"/>
    <w:rsid w:val="00910A19"/>
    <w:rsid w:val="00910BDC"/>
    <w:rsid w:val="00910F4E"/>
    <w:rsid w:val="00911695"/>
    <w:rsid w:val="00911E55"/>
    <w:rsid w:val="00913F05"/>
    <w:rsid w:val="0091562C"/>
    <w:rsid w:val="009177B6"/>
    <w:rsid w:val="00917A27"/>
    <w:rsid w:val="00923CD3"/>
    <w:rsid w:val="00924202"/>
    <w:rsid w:val="00924E50"/>
    <w:rsid w:val="00925CC6"/>
    <w:rsid w:val="00926ABF"/>
    <w:rsid w:val="00927A26"/>
    <w:rsid w:val="00927D00"/>
    <w:rsid w:val="00930969"/>
    <w:rsid w:val="0093269F"/>
    <w:rsid w:val="00936433"/>
    <w:rsid w:val="009412CD"/>
    <w:rsid w:val="0095349A"/>
    <w:rsid w:val="00955204"/>
    <w:rsid w:val="00960CAB"/>
    <w:rsid w:val="00960CCB"/>
    <w:rsid w:val="00961359"/>
    <w:rsid w:val="00962A0B"/>
    <w:rsid w:val="00962C4D"/>
    <w:rsid w:val="00964D34"/>
    <w:rsid w:val="00966F72"/>
    <w:rsid w:val="0096757C"/>
    <w:rsid w:val="00967A23"/>
    <w:rsid w:val="00972946"/>
    <w:rsid w:val="00972E84"/>
    <w:rsid w:val="00974691"/>
    <w:rsid w:val="00976022"/>
    <w:rsid w:val="00976169"/>
    <w:rsid w:val="00976580"/>
    <w:rsid w:val="00977C3F"/>
    <w:rsid w:val="00977CC3"/>
    <w:rsid w:val="00980102"/>
    <w:rsid w:val="0098316D"/>
    <w:rsid w:val="00984D59"/>
    <w:rsid w:val="0098502F"/>
    <w:rsid w:val="00986D16"/>
    <w:rsid w:val="009910B5"/>
    <w:rsid w:val="009920AD"/>
    <w:rsid w:val="0099244A"/>
    <w:rsid w:val="009938B8"/>
    <w:rsid w:val="00994EB2"/>
    <w:rsid w:val="00995053"/>
    <w:rsid w:val="009A0735"/>
    <w:rsid w:val="009A25E2"/>
    <w:rsid w:val="009A37CD"/>
    <w:rsid w:val="009A4C36"/>
    <w:rsid w:val="009B1FF8"/>
    <w:rsid w:val="009B42EF"/>
    <w:rsid w:val="009B4E7E"/>
    <w:rsid w:val="009B5EED"/>
    <w:rsid w:val="009C20D3"/>
    <w:rsid w:val="009C37BF"/>
    <w:rsid w:val="009C6EE6"/>
    <w:rsid w:val="009C7333"/>
    <w:rsid w:val="009C7979"/>
    <w:rsid w:val="009D0966"/>
    <w:rsid w:val="009D0B0C"/>
    <w:rsid w:val="009D22E5"/>
    <w:rsid w:val="009D4B7E"/>
    <w:rsid w:val="009D5E13"/>
    <w:rsid w:val="009D71F1"/>
    <w:rsid w:val="009E015C"/>
    <w:rsid w:val="009E0909"/>
    <w:rsid w:val="009E37B1"/>
    <w:rsid w:val="009E3E05"/>
    <w:rsid w:val="009E5780"/>
    <w:rsid w:val="009E5D72"/>
    <w:rsid w:val="009E6EC4"/>
    <w:rsid w:val="009F01E1"/>
    <w:rsid w:val="009F2F5E"/>
    <w:rsid w:val="009F3B2F"/>
    <w:rsid w:val="009F42ED"/>
    <w:rsid w:val="009F60D9"/>
    <w:rsid w:val="00A01456"/>
    <w:rsid w:val="00A01B5E"/>
    <w:rsid w:val="00A02A20"/>
    <w:rsid w:val="00A03301"/>
    <w:rsid w:val="00A05E3C"/>
    <w:rsid w:val="00A0769D"/>
    <w:rsid w:val="00A07925"/>
    <w:rsid w:val="00A101E8"/>
    <w:rsid w:val="00A10455"/>
    <w:rsid w:val="00A1132C"/>
    <w:rsid w:val="00A1168E"/>
    <w:rsid w:val="00A11DCF"/>
    <w:rsid w:val="00A11EE6"/>
    <w:rsid w:val="00A1213C"/>
    <w:rsid w:val="00A14C01"/>
    <w:rsid w:val="00A1556E"/>
    <w:rsid w:val="00A169DC"/>
    <w:rsid w:val="00A20C10"/>
    <w:rsid w:val="00A22308"/>
    <w:rsid w:val="00A22EC9"/>
    <w:rsid w:val="00A25ED3"/>
    <w:rsid w:val="00A264B5"/>
    <w:rsid w:val="00A26E1A"/>
    <w:rsid w:val="00A27D67"/>
    <w:rsid w:val="00A317E0"/>
    <w:rsid w:val="00A37208"/>
    <w:rsid w:val="00A373FE"/>
    <w:rsid w:val="00A37744"/>
    <w:rsid w:val="00A4126B"/>
    <w:rsid w:val="00A431C8"/>
    <w:rsid w:val="00A47E8E"/>
    <w:rsid w:val="00A50183"/>
    <w:rsid w:val="00A50E52"/>
    <w:rsid w:val="00A512D9"/>
    <w:rsid w:val="00A52488"/>
    <w:rsid w:val="00A52EF8"/>
    <w:rsid w:val="00A52F87"/>
    <w:rsid w:val="00A550F0"/>
    <w:rsid w:val="00A55F4D"/>
    <w:rsid w:val="00A56DFC"/>
    <w:rsid w:val="00A607D6"/>
    <w:rsid w:val="00A65ACF"/>
    <w:rsid w:val="00A71725"/>
    <w:rsid w:val="00A730D4"/>
    <w:rsid w:val="00A75160"/>
    <w:rsid w:val="00A80107"/>
    <w:rsid w:val="00A80270"/>
    <w:rsid w:val="00A81E1C"/>
    <w:rsid w:val="00A82C07"/>
    <w:rsid w:val="00A8654F"/>
    <w:rsid w:val="00A921C2"/>
    <w:rsid w:val="00A93040"/>
    <w:rsid w:val="00A9331E"/>
    <w:rsid w:val="00A96C90"/>
    <w:rsid w:val="00AA1C5D"/>
    <w:rsid w:val="00AA207A"/>
    <w:rsid w:val="00AA672A"/>
    <w:rsid w:val="00AA7717"/>
    <w:rsid w:val="00AA7A7D"/>
    <w:rsid w:val="00AA7BA4"/>
    <w:rsid w:val="00AB24DF"/>
    <w:rsid w:val="00AB2639"/>
    <w:rsid w:val="00AB41F5"/>
    <w:rsid w:val="00AB534D"/>
    <w:rsid w:val="00AB6C48"/>
    <w:rsid w:val="00AB7F2E"/>
    <w:rsid w:val="00AC00B4"/>
    <w:rsid w:val="00AC26EA"/>
    <w:rsid w:val="00AC2702"/>
    <w:rsid w:val="00AC5E52"/>
    <w:rsid w:val="00AC75F2"/>
    <w:rsid w:val="00AD0D0C"/>
    <w:rsid w:val="00AD28A1"/>
    <w:rsid w:val="00AD39D3"/>
    <w:rsid w:val="00AD6CA7"/>
    <w:rsid w:val="00AF04EA"/>
    <w:rsid w:val="00AF1B9D"/>
    <w:rsid w:val="00AF2D9F"/>
    <w:rsid w:val="00AF4146"/>
    <w:rsid w:val="00B01E1E"/>
    <w:rsid w:val="00B04E52"/>
    <w:rsid w:val="00B064E0"/>
    <w:rsid w:val="00B0681C"/>
    <w:rsid w:val="00B06DF0"/>
    <w:rsid w:val="00B125E7"/>
    <w:rsid w:val="00B17733"/>
    <w:rsid w:val="00B17A2D"/>
    <w:rsid w:val="00B238A2"/>
    <w:rsid w:val="00B24199"/>
    <w:rsid w:val="00B2684F"/>
    <w:rsid w:val="00B30708"/>
    <w:rsid w:val="00B30B1C"/>
    <w:rsid w:val="00B32557"/>
    <w:rsid w:val="00B40A36"/>
    <w:rsid w:val="00B421B9"/>
    <w:rsid w:val="00B43070"/>
    <w:rsid w:val="00B43FAA"/>
    <w:rsid w:val="00B46946"/>
    <w:rsid w:val="00B52319"/>
    <w:rsid w:val="00B5524B"/>
    <w:rsid w:val="00B60374"/>
    <w:rsid w:val="00B624DE"/>
    <w:rsid w:val="00B631C4"/>
    <w:rsid w:val="00B648B6"/>
    <w:rsid w:val="00B65453"/>
    <w:rsid w:val="00B669BA"/>
    <w:rsid w:val="00B67E11"/>
    <w:rsid w:val="00B75280"/>
    <w:rsid w:val="00B81D39"/>
    <w:rsid w:val="00B82D37"/>
    <w:rsid w:val="00B879EB"/>
    <w:rsid w:val="00B87A14"/>
    <w:rsid w:val="00B87A48"/>
    <w:rsid w:val="00B91A45"/>
    <w:rsid w:val="00BA398E"/>
    <w:rsid w:val="00BA58F0"/>
    <w:rsid w:val="00BA6D3B"/>
    <w:rsid w:val="00BA7453"/>
    <w:rsid w:val="00BB0336"/>
    <w:rsid w:val="00BB0FA2"/>
    <w:rsid w:val="00BB2223"/>
    <w:rsid w:val="00BB2B7B"/>
    <w:rsid w:val="00BB2E6B"/>
    <w:rsid w:val="00BC0C20"/>
    <w:rsid w:val="00BC508C"/>
    <w:rsid w:val="00BC79D7"/>
    <w:rsid w:val="00BD1389"/>
    <w:rsid w:val="00BD41E9"/>
    <w:rsid w:val="00BD51C6"/>
    <w:rsid w:val="00BD7908"/>
    <w:rsid w:val="00BE057A"/>
    <w:rsid w:val="00BE2D96"/>
    <w:rsid w:val="00BE520A"/>
    <w:rsid w:val="00BE5A23"/>
    <w:rsid w:val="00BE6705"/>
    <w:rsid w:val="00BE7FAD"/>
    <w:rsid w:val="00BF03C1"/>
    <w:rsid w:val="00BF0DAF"/>
    <w:rsid w:val="00BF0E76"/>
    <w:rsid w:val="00BF1E08"/>
    <w:rsid w:val="00BF2EB6"/>
    <w:rsid w:val="00BF7A0C"/>
    <w:rsid w:val="00C063C0"/>
    <w:rsid w:val="00C06DB4"/>
    <w:rsid w:val="00C0756A"/>
    <w:rsid w:val="00C12BE9"/>
    <w:rsid w:val="00C13786"/>
    <w:rsid w:val="00C14FCB"/>
    <w:rsid w:val="00C15A0C"/>
    <w:rsid w:val="00C15FE3"/>
    <w:rsid w:val="00C2443D"/>
    <w:rsid w:val="00C24999"/>
    <w:rsid w:val="00C25A3F"/>
    <w:rsid w:val="00C2616B"/>
    <w:rsid w:val="00C26E45"/>
    <w:rsid w:val="00C318C2"/>
    <w:rsid w:val="00C35769"/>
    <w:rsid w:val="00C405C9"/>
    <w:rsid w:val="00C40FE1"/>
    <w:rsid w:val="00C434BA"/>
    <w:rsid w:val="00C44BCE"/>
    <w:rsid w:val="00C46EAD"/>
    <w:rsid w:val="00C51140"/>
    <w:rsid w:val="00C536A9"/>
    <w:rsid w:val="00C56A2B"/>
    <w:rsid w:val="00C57A7D"/>
    <w:rsid w:val="00C57DD2"/>
    <w:rsid w:val="00C6039F"/>
    <w:rsid w:val="00C61FE7"/>
    <w:rsid w:val="00C64B7C"/>
    <w:rsid w:val="00C673DF"/>
    <w:rsid w:val="00C75A94"/>
    <w:rsid w:val="00C77A24"/>
    <w:rsid w:val="00C77AA8"/>
    <w:rsid w:val="00C804FA"/>
    <w:rsid w:val="00C82D91"/>
    <w:rsid w:val="00C82E68"/>
    <w:rsid w:val="00C862B3"/>
    <w:rsid w:val="00C87690"/>
    <w:rsid w:val="00C87B3D"/>
    <w:rsid w:val="00C92F00"/>
    <w:rsid w:val="00C936E3"/>
    <w:rsid w:val="00C93DA5"/>
    <w:rsid w:val="00C9452A"/>
    <w:rsid w:val="00C94FA3"/>
    <w:rsid w:val="00C9774D"/>
    <w:rsid w:val="00CA00CA"/>
    <w:rsid w:val="00CA0334"/>
    <w:rsid w:val="00CA2884"/>
    <w:rsid w:val="00CA2953"/>
    <w:rsid w:val="00CA3206"/>
    <w:rsid w:val="00CA348C"/>
    <w:rsid w:val="00CA4CD5"/>
    <w:rsid w:val="00CA68AA"/>
    <w:rsid w:val="00CB12D2"/>
    <w:rsid w:val="00CB3280"/>
    <w:rsid w:val="00CB3F09"/>
    <w:rsid w:val="00CB4283"/>
    <w:rsid w:val="00CB4873"/>
    <w:rsid w:val="00CB57BD"/>
    <w:rsid w:val="00CB618B"/>
    <w:rsid w:val="00CC1A9F"/>
    <w:rsid w:val="00CC1C9A"/>
    <w:rsid w:val="00CC252A"/>
    <w:rsid w:val="00CC4493"/>
    <w:rsid w:val="00CC44BA"/>
    <w:rsid w:val="00CC47DB"/>
    <w:rsid w:val="00CC5D81"/>
    <w:rsid w:val="00CC7B84"/>
    <w:rsid w:val="00CD275C"/>
    <w:rsid w:val="00CD4231"/>
    <w:rsid w:val="00CD4AF0"/>
    <w:rsid w:val="00CD7B4A"/>
    <w:rsid w:val="00CE3A30"/>
    <w:rsid w:val="00CE4050"/>
    <w:rsid w:val="00CE4F1D"/>
    <w:rsid w:val="00CE602D"/>
    <w:rsid w:val="00CE65F8"/>
    <w:rsid w:val="00CE792C"/>
    <w:rsid w:val="00CE7DD4"/>
    <w:rsid w:val="00CF59F8"/>
    <w:rsid w:val="00CF615A"/>
    <w:rsid w:val="00CF745F"/>
    <w:rsid w:val="00D0047C"/>
    <w:rsid w:val="00D01366"/>
    <w:rsid w:val="00D0265F"/>
    <w:rsid w:val="00D03403"/>
    <w:rsid w:val="00D046B8"/>
    <w:rsid w:val="00D12693"/>
    <w:rsid w:val="00D1359A"/>
    <w:rsid w:val="00D22FAB"/>
    <w:rsid w:val="00D258FD"/>
    <w:rsid w:val="00D26687"/>
    <w:rsid w:val="00D2689C"/>
    <w:rsid w:val="00D26B80"/>
    <w:rsid w:val="00D30EE3"/>
    <w:rsid w:val="00D329C5"/>
    <w:rsid w:val="00D3321C"/>
    <w:rsid w:val="00D337F6"/>
    <w:rsid w:val="00D35580"/>
    <w:rsid w:val="00D356EA"/>
    <w:rsid w:val="00D401A6"/>
    <w:rsid w:val="00D409EF"/>
    <w:rsid w:val="00D40B26"/>
    <w:rsid w:val="00D453E0"/>
    <w:rsid w:val="00D5328E"/>
    <w:rsid w:val="00D54F1A"/>
    <w:rsid w:val="00D565F5"/>
    <w:rsid w:val="00D567DA"/>
    <w:rsid w:val="00D577DB"/>
    <w:rsid w:val="00D57E1A"/>
    <w:rsid w:val="00D608B9"/>
    <w:rsid w:val="00D61861"/>
    <w:rsid w:val="00D622CD"/>
    <w:rsid w:val="00D62567"/>
    <w:rsid w:val="00D66575"/>
    <w:rsid w:val="00D70550"/>
    <w:rsid w:val="00D80FD3"/>
    <w:rsid w:val="00D82784"/>
    <w:rsid w:val="00D8528C"/>
    <w:rsid w:val="00D87357"/>
    <w:rsid w:val="00D93C90"/>
    <w:rsid w:val="00D97E72"/>
    <w:rsid w:val="00DA0B4C"/>
    <w:rsid w:val="00DA116F"/>
    <w:rsid w:val="00DA25E7"/>
    <w:rsid w:val="00DA56E9"/>
    <w:rsid w:val="00DA71CC"/>
    <w:rsid w:val="00DB0579"/>
    <w:rsid w:val="00DB697C"/>
    <w:rsid w:val="00DB727B"/>
    <w:rsid w:val="00DB7622"/>
    <w:rsid w:val="00DB7E9D"/>
    <w:rsid w:val="00DC26C6"/>
    <w:rsid w:val="00DC277E"/>
    <w:rsid w:val="00DC3027"/>
    <w:rsid w:val="00DC383B"/>
    <w:rsid w:val="00DC3D1F"/>
    <w:rsid w:val="00DD13E3"/>
    <w:rsid w:val="00DD2ED9"/>
    <w:rsid w:val="00DD33A6"/>
    <w:rsid w:val="00DD4A45"/>
    <w:rsid w:val="00DD63D1"/>
    <w:rsid w:val="00DE0362"/>
    <w:rsid w:val="00DE222A"/>
    <w:rsid w:val="00DE34C7"/>
    <w:rsid w:val="00DE3DF8"/>
    <w:rsid w:val="00DE5E9E"/>
    <w:rsid w:val="00DE7D44"/>
    <w:rsid w:val="00DF0E81"/>
    <w:rsid w:val="00DF1196"/>
    <w:rsid w:val="00DF73D5"/>
    <w:rsid w:val="00E006A4"/>
    <w:rsid w:val="00E01733"/>
    <w:rsid w:val="00E041AA"/>
    <w:rsid w:val="00E0726C"/>
    <w:rsid w:val="00E12C8B"/>
    <w:rsid w:val="00E13696"/>
    <w:rsid w:val="00E15607"/>
    <w:rsid w:val="00E15BD9"/>
    <w:rsid w:val="00E20153"/>
    <w:rsid w:val="00E213C3"/>
    <w:rsid w:val="00E24AF7"/>
    <w:rsid w:val="00E2637A"/>
    <w:rsid w:val="00E31555"/>
    <w:rsid w:val="00E31DCB"/>
    <w:rsid w:val="00E3267B"/>
    <w:rsid w:val="00E350B1"/>
    <w:rsid w:val="00E355CF"/>
    <w:rsid w:val="00E355D3"/>
    <w:rsid w:val="00E37A69"/>
    <w:rsid w:val="00E40E68"/>
    <w:rsid w:val="00E420DA"/>
    <w:rsid w:val="00E432BC"/>
    <w:rsid w:val="00E452FF"/>
    <w:rsid w:val="00E46A23"/>
    <w:rsid w:val="00E471B1"/>
    <w:rsid w:val="00E47253"/>
    <w:rsid w:val="00E52FB0"/>
    <w:rsid w:val="00E5543F"/>
    <w:rsid w:val="00E61183"/>
    <w:rsid w:val="00E61800"/>
    <w:rsid w:val="00E62303"/>
    <w:rsid w:val="00E658A8"/>
    <w:rsid w:val="00E668DA"/>
    <w:rsid w:val="00E676D9"/>
    <w:rsid w:val="00E71800"/>
    <w:rsid w:val="00E73BE6"/>
    <w:rsid w:val="00E73BEC"/>
    <w:rsid w:val="00E73D9E"/>
    <w:rsid w:val="00E73E25"/>
    <w:rsid w:val="00E74949"/>
    <w:rsid w:val="00E74A8E"/>
    <w:rsid w:val="00E76AD5"/>
    <w:rsid w:val="00E82224"/>
    <w:rsid w:val="00E87A83"/>
    <w:rsid w:val="00E96C97"/>
    <w:rsid w:val="00EA09A8"/>
    <w:rsid w:val="00EA3E32"/>
    <w:rsid w:val="00EA6D61"/>
    <w:rsid w:val="00EA704E"/>
    <w:rsid w:val="00EA7F7C"/>
    <w:rsid w:val="00EB2913"/>
    <w:rsid w:val="00EB42BD"/>
    <w:rsid w:val="00EB642C"/>
    <w:rsid w:val="00EC2475"/>
    <w:rsid w:val="00EC4E86"/>
    <w:rsid w:val="00EC5566"/>
    <w:rsid w:val="00EC69E9"/>
    <w:rsid w:val="00ED12A0"/>
    <w:rsid w:val="00ED2D4B"/>
    <w:rsid w:val="00ED4F9C"/>
    <w:rsid w:val="00ED55F8"/>
    <w:rsid w:val="00ED5689"/>
    <w:rsid w:val="00ED697B"/>
    <w:rsid w:val="00ED70F4"/>
    <w:rsid w:val="00EE0B69"/>
    <w:rsid w:val="00EE0F9A"/>
    <w:rsid w:val="00EE1A69"/>
    <w:rsid w:val="00EE5547"/>
    <w:rsid w:val="00EE7CE2"/>
    <w:rsid w:val="00EF6DB6"/>
    <w:rsid w:val="00EF6EF4"/>
    <w:rsid w:val="00F00091"/>
    <w:rsid w:val="00F005E7"/>
    <w:rsid w:val="00F01476"/>
    <w:rsid w:val="00F0190B"/>
    <w:rsid w:val="00F0202B"/>
    <w:rsid w:val="00F02302"/>
    <w:rsid w:val="00F03454"/>
    <w:rsid w:val="00F0494D"/>
    <w:rsid w:val="00F04A09"/>
    <w:rsid w:val="00F05D9E"/>
    <w:rsid w:val="00F06492"/>
    <w:rsid w:val="00F07ED0"/>
    <w:rsid w:val="00F10121"/>
    <w:rsid w:val="00F1264F"/>
    <w:rsid w:val="00F12882"/>
    <w:rsid w:val="00F1424F"/>
    <w:rsid w:val="00F1577A"/>
    <w:rsid w:val="00F21581"/>
    <w:rsid w:val="00F22362"/>
    <w:rsid w:val="00F24C6B"/>
    <w:rsid w:val="00F26850"/>
    <w:rsid w:val="00F274AF"/>
    <w:rsid w:val="00F308B0"/>
    <w:rsid w:val="00F3163A"/>
    <w:rsid w:val="00F3402B"/>
    <w:rsid w:val="00F365E1"/>
    <w:rsid w:val="00F3673E"/>
    <w:rsid w:val="00F400D9"/>
    <w:rsid w:val="00F40471"/>
    <w:rsid w:val="00F43778"/>
    <w:rsid w:val="00F43A25"/>
    <w:rsid w:val="00F44207"/>
    <w:rsid w:val="00F442EF"/>
    <w:rsid w:val="00F44932"/>
    <w:rsid w:val="00F471C7"/>
    <w:rsid w:val="00F509D2"/>
    <w:rsid w:val="00F53E92"/>
    <w:rsid w:val="00F554B2"/>
    <w:rsid w:val="00F579EE"/>
    <w:rsid w:val="00F57BC9"/>
    <w:rsid w:val="00F60225"/>
    <w:rsid w:val="00F61A0A"/>
    <w:rsid w:val="00F61AD6"/>
    <w:rsid w:val="00F641D8"/>
    <w:rsid w:val="00F64532"/>
    <w:rsid w:val="00F66627"/>
    <w:rsid w:val="00F711EC"/>
    <w:rsid w:val="00F71E61"/>
    <w:rsid w:val="00F75713"/>
    <w:rsid w:val="00F75AB0"/>
    <w:rsid w:val="00F75C73"/>
    <w:rsid w:val="00F81536"/>
    <w:rsid w:val="00F85169"/>
    <w:rsid w:val="00F85239"/>
    <w:rsid w:val="00F8527D"/>
    <w:rsid w:val="00F8540D"/>
    <w:rsid w:val="00F90548"/>
    <w:rsid w:val="00F922EF"/>
    <w:rsid w:val="00F937BD"/>
    <w:rsid w:val="00F962DC"/>
    <w:rsid w:val="00FA07CF"/>
    <w:rsid w:val="00FA2F0E"/>
    <w:rsid w:val="00FA4ABC"/>
    <w:rsid w:val="00FA51C6"/>
    <w:rsid w:val="00FA5D2F"/>
    <w:rsid w:val="00FB11E7"/>
    <w:rsid w:val="00FB7C96"/>
    <w:rsid w:val="00FC1F97"/>
    <w:rsid w:val="00FC460B"/>
    <w:rsid w:val="00FC56B8"/>
    <w:rsid w:val="00FC5F20"/>
    <w:rsid w:val="00FC69AF"/>
    <w:rsid w:val="00FC7B5E"/>
    <w:rsid w:val="00FD079E"/>
    <w:rsid w:val="00FD0B41"/>
    <w:rsid w:val="00FD20A0"/>
    <w:rsid w:val="00FD4991"/>
    <w:rsid w:val="00FE0113"/>
    <w:rsid w:val="00FE0A00"/>
    <w:rsid w:val="00FE0D2A"/>
    <w:rsid w:val="00FE417B"/>
    <w:rsid w:val="00FE6AF1"/>
    <w:rsid w:val="00FE7A2E"/>
    <w:rsid w:val="00FF1392"/>
    <w:rsid w:val="00FF2D63"/>
    <w:rsid w:val="00FF403E"/>
    <w:rsid w:val="00FF6ACF"/>
    <w:rsid w:val="00FF7157"/>
    <w:rsid w:val="01086012"/>
    <w:rsid w:val="012F23D2"/>
    <w:rsid w:val="01353E46"/>
    <w:rsid w:val="013D20EF"/>
    <w:rsid w:val="013D4C8F"/>
    <w:rsid w:val="0141555F"/>
    <w:rsid w:val="01425A17"/>
    <w:rsid w:val="01542AFA"/>
    <w:rsid w:val="015E6630"/>
    <w:rsid w:val="015F3E37"/>
    <w:rsid w:val="016C75C7"/>
    <w:rsid w:val="018D524F"/>
    <w:rsid w:val="019036D8"/>
    <w:rsid w:val="01A01767"/>
    <w:rsid w:val="01A66FAC"/>
    <w:rsid w:val="01BD4FDC"/>
    <w:rsid w:val="01C42B8B"/>
    <w:rsid w:val="01CE3A0A"/>
    <w:rsid w:val="01E941AE"/>
    <w:rsid w:val="01ED256A"/>
    <w:rsid w:val="01FE504C"/>
    <w:rsid w:val="02201D8C"/>
    <w:rsid w:val="0221105C"/>
    <w:rsid w:val="02240E71"/>
    <w:rsid w:val="022F6268"/>
    <w:rsid w:val="0230144B"/>
    <w:rsid w:val="023E2A8F"/>
    <w:rsid w:val="023F01AC"/>
    <w:rsid w:val="02497F02"/>
    <w:rsid w:val="025C7268"/>
    <w:rsid w:val="025D37A6"/>
    <w:rsid w:val="02630A21"/>
    <w:rsid w:val="027520D7"/>
    <w:rsid w:val="02910656"/>
    <w:rsid w:val="029452C8"/>
    <w:rsid w:val="0299330C"/>
    <w:rsid w:val="029E3E12"/>
    <w:rsid w:val="02AE2F1E"/>
    <w:rsid w:val="02B07476"/>
    <w:rsid w:val="02B12263"/>
    <w:rsid w:val="02B34262"/>
    <w:rsid w:val="02BA6D6B"/>
    <w:rsid w:val="02BC6761"/>
    <w:rsid w:val="02C30781"/>
    <w:rsid w:val="02C32A89"/>
    <w:rsid w:val="02EB23C8"/>
    <w:rsid w:val="02ED4254"/>
    <w:rsid w:val="02F54A67"/>
    <w:rsid w:val="02FB586B"/>
    <w:rsid w:val="032764F6"/>
    <w:rsid w:val="03355FAD"/>
    <w:rsid w:val="03357A15"/>
    <w:rsid w:val="033F6615"/>
    <w:rsid w:val="034A4B76"/>
    <w:rsid w:val="03604B36"/>
    <w:rsid w:val="03646BB0"/>
    <w:rsid w:val="036A455B"/>
    <w:rsid w:val="03700AD7"/>
    <w:rsid w:val="03881BEB"/>
    <w:rsid w:val="03B07722"/>
    <w:rsid w:val="03B94246"/>
    <w:rsid w:val="03C9092D"/>
    <w:rsid w:val="03C947DD"/>
    <w:rsid w:val="03CD0376"/>
    <w:rsid w:val="03E73921"/>
    <w:rsid w:val="03E868D9"/>
    <w:rsid w:val="03EB0F95"/>
    <w:rsid w:val="03F1290E"/>
    <w:rsid w:val="04002E0B"/>
    <w:rsid w:val="040F03FA"/>
    <w:rsid w:val="0412438A"/>
    <w:rsid w:val="04136717"/>
    <w:rsid w:val="041D2A27"/>
    <w:rsid w:val="04332546"/>
    <w:rsid w:val="04533461"/>
    <w:rsid w:val="048D54DF"/>
    <w:rsid w:val="04B51F1A"/>
    <w:rsid w:val="04BD0338"/>
    <w:rsid w:val="04C56D31"/>
    <w:rsid w:val="04CF0F22"/>
    <w:rsid w:val="04D7542D"/>
    <w:rsid w:val="04DD163F"/>
    <w:rsid w:val="04E452F2"/>
    <w:rsid w:val="04E82F5F"/>
    <w:rsid w:val="05084E1A"/>
    <w:rsid w:val="0536624A"/>
    <w:rsid w:val="05476ED2"/>
    <w:rsid w:val="05507187"/>
    <w:rsid w:val="05547F50"/>
    <w:rsid w:val="05586D81"/>
    <w:rsid w:val="056775E0"/>
    <w:rsid w:val="05812096"/>
    <w:rsid w:val="05A174D0"/>
    <w:rsid w:val="05A31C11"/>
    <w:rsid w:val="05A54A82"/>
    <w:rsid w:val="05B6570E"/>
    <w:rsid w:val="05B719DB"/>
    <w:rsid w:val="05D411B5"/>
    <w:rsid w:val="05DC03BC"/>
    <w:rsid w:val="05E03755"/>
    <w:rsid w:val="05E05D39"/>
    <w:rsid w:val="05EE025B"/>
    <w:rsid w:val="05FB2E46"/>
    <w:rsid w:val="06274DE9"/>
    <w:rsid w:val="0643158D"/>
    <w:rsid w:val="06606ACF"/>
    <w:rsid w:val="06632C8A"/>
    <w:rsid w:val="066C44D0"/>
    <w:rsid w:val="06780BE4"/>
    <w:rsid w:val="067D77AC"/>
    <w:rsid w:val="0688298E"/>
    <w:rsid w:val="06A978A6"/>
    <w:rsid w:val="06BA577F"/>
    <w:rsid w:val="06C373A0"/>
    <w:rsid w:val="06CA61EA"/>
    <w:rsid w:val="06CE3AAD"/>
    <w:rsid w:val="06D3256B"/>
    <w:rsid w:val="06E93094"/>
    <w:rsid w:val="07142FC9"/>
    <w:rsid w:val="0716354A"/>
    <w:rsid w:val="071A113A"/>
    <w:rsid w:val="071A5532"/>
    <w:rsid w:val="073F7F68"/>
    <w:rsid w:val="07433326"/>
    <w:rsid w:val="074D1200"/>
    <w:rsid w:val="07701435"/>
    <w:rsid w:val="078057A6"/>
    <w:rsid w:val="0791006E"/>
    <w:rsid w:val="07A93817"/>
    <w:rsid w:val="07AA51F7"/>
    <w:rsid w:val="07C16E32"/>
    <w:rsid w:val="07C956F1"/>
    <w:rsid w:val="07DE071F"/>
    <w:rsid w:val="07E724F1"/>
    <w:rsid w:val="07F54B10"/>
    <w:rsid w:val="080D2DB2"/>
    <w:rsid w:val="08127180"/>
    <w:rsid w:val="08236132"/>
    <w:rsid w:val="0824157E"/>
    <w:rsid w:val="082A5712"/>
    <w:rsid w:val="08365D8B"/>
    <w:rsid w:val="083932FD"/>
    <w:rsid w:val="083C1D74"/>
    <w:rsid w:val="08664D5B"/>
    <w:rsid w:val="087338E5"/>
    <w:rsid w:val="087E552F"/>
    <w:rsid w:val="08935065"/>
    <w:rsid w:val="08994E2C"/>
    <w:rsid w:val="089E0248"/>
    <w:rsid w:val="08AA7F40"/>
    <w:rsid w:val="08AC09F8"/>
    <w:rsid w:val="08AF1C74"/>
    <w:rsid w:val="08B76FB8"/>
    <w:rsid w:val="08EC3C9C"/>
    <w:rsid w:val="08EF4818"/>
    <w:rsid w:val="08F26284"/>
    <w:rsid w:val="08F57B11"/>
    <w:rsid w:val="08F617F2"/>
    <w:rsid w:val="08F64252"/>
    <w:rsid w:val="08F94C8C"/>
    <w:rsid w:val="08FD0C7A"/>
    <w:rsid w:val="09027DBF"/>
    <w:rsid w:val="090F109A"/>
    <w:rsid w:val="09151314"/>
    <w:rsid w:val="09263609"/>
    <w:rsid w:val="092E2FE0"/>
    <w:rsid w:val="093E5BC8"/>
    <w:rsid w:val="0953633D"/>
    <w:rsid w:val="095867F9"/>
    <w:rsid w:val="09697733"/>
    <w:rsid w:val="096C24BB"/>
    <w:rsid w:val="09953804"/>
    <w:rsid w:val="099A0675"/>
    <w:rsid w:val="099C034D"/>
    <w:rsid w:val="09A71810"/>
    <w:rsid w:val="09AF52BC"/>
    <w:rsid w:val="09C556F2"/>
    <w:rsid w:val="09C9680A"/>
    <w:rsid w:val="09E33DCA"/>
    <w:rsid w:val="09EA33AB"/>
    <w:rsid w:val="09EA6668"/>
    <w:rsid w:val="0A0501E5"/>
    <w:rsid w:val="0A075D0B"/>
    <w:rsid w:val="0A0A57FB"/>
    <w:rsid w:val="0A193C90"/>
    <w:rsid w:val="0A1A77A1"/>
    <w:rsid w:val="0A3E3D26"/>
    <w:rsid w:val="0A4834F8"/>
    <w:rsid w:val="0A6173D2"/>
    <w:rsid w:val="0A682231"/>
    <w:rsid w:val="0A6825A9"/>
    <w:rsid w:val="0A781198"/>
    <w:rsid w:val="0AAC10E4"/>
    <w:rsid w:val="0AB07E4A"/>
    <w:rsid w:val="0AC93B72"/>
    <w:rsid w:val="0ACA6D38"/>
    <w:rsid w:val="0AD53C26"/>
    <w:rsid w:val="0ADD3B4A"/>
    <w:rsid w:val="0AEE775A"/>
    <w:rsid w:val="0AFF5154"/>
    <w:rsid w:val="0B0260FA"/>
    <w:rsid w:val="0B127FA5"/>
    <w:rsid w:val="0B187C06"/>
    <w:rsid w:val="0B462863"/>
    <w:rsid w:val="0B4B3360"/>
    <w:rsid w:val="0B6153F6"/>
    <w:rsid w:val="0B6C4BE2"/>
    <w:rsid w:val="0B895D1E"/>
    <w:rsid w:val="0B903157"/>
    <w:rsid w:val="0B9335CE"/>
    <w:rsid w:val="0BA653BF"/>
    <w:rsid w:val="0BAC6F99"/>
    <w:rsid w:val="0BCD1EAC"/>
    <w:rsid w:val="0BCF142C"/>
    <w:rsid w:val="0BDC319A"/>
    <w:rsid w:val="0BFB783E"/>
    <w:rsid w:val="0BFD5373"/>
    <w:rsid w:val="0BFD6481"/>
    <w:rsid w:val="0C0F0CD9"/>
    <w:rsid w:val="0C3D7985"/>
    <w:rsid w:val="0C631998"/>
    <w:rsid w:val="0C6821F6"/>
    <w:rsid w:val="0C990787"/>
    <w:rsid w:val="0C992D4F"/>
    <w:rsid w:val="0CAE3A50"/>
    <w:rsid w:val="0CBF15FF"/>
    <w:rsid w:val="0CC20F4F"/>
    <w:rsid w:val="0CD91857"/>
    <w:rsid w:val="0CDA4E4E"/>
    <w:rsid w:val="0CF258A4"/>
    <w:rsid w:val="0D212A41"/>
    <w:rsid w:val="0D214045"/>
    <w:rsid w:val="0D215F2C"/>
    <w:rsid w:val="0D314FE6"/>
    <w:rsid w:val="0D330BC5"/>
    <w:rsid w:val="0D540C02"/>
    <w:rsid w:val="0D571C0F"/>
    <w:rsid w:val="0D637F0E"/>
    <w:rsid w:val="0D645222"/>
    <w:rsid w:val="0D6A5410"/>
    <w:rsid w:val="0D794CB6"/>
    <w:rsid w:val="0D8324ED"/>
    <w:rsid w:val="0D8F059D"/>
    <w:rsid w:val="0D8F5855"/>
    <w:rsid w:val="0D936D15"/>
    <w:rsid w:val="0D9827E5"/>
    <w:rsid w:val="0DAF3D29"/>
    <w:rsid w:val="0DC466B9"/>
    <w:rsid w:val="0DC54945"/>
    <w:rsid w:val="0DF25BA4"/>
    <w:rsid w:val="0DFD573A"/>
    <w:rsid w:val="0DFE1012"/>
    <w:rsid w:val="0E0B029F"/>
    <w:rsid w:val="0E230373"/>
    <w:rsid w:val="0E2A41ED"/>
    <w:rsid w:val="0E30302E"/>
    <w:rsid w:val="0E351EED"/>
    <w:rsid w:val="0E397874"/>
    <w:rsid w:val="0E461B92"/>
    <w:rsid w:val="0E6059EA"/>
    <w:rsid w:val="0E632208"/>
    <w:rsid w:val="0E844468"/>
    <w:rsid w:val="0E9E135B"/>
    <w:rsid w:val="0EA44F43"/>
    <w:rsid w:val="0EA62844"/>
    <w:rsid w:val="0EC2669E"/>
    <w:rsid w:val="0ED75315"/>
    <w:rsid w:val="0ED756CF"/>
    <w:rsid w:val="0EE34A0A"/>
    <w:rsid w:val="0EEF23A4"/>
    <w:rsid w:val="0F2500FF"/>
    <w:rsid w:val="0F2A7DB7"/>
    <w:rsid w:val="0F2D61D9"/>
    <w:rsid w:val="0F2E6B35"/>
    <w:rsid w:val="0F43254D"/>
    <w:rsid w:val="0F45451E"/>
    <w:rsid w:val="0F5372FC"/>
    <w:rsid w:val="0F543C48"/>
    <w:rsid w:val="0F54568B"/>
    <w:rsid w:val="0F6801CF"/>
    <w:rsid w:val="0F7F71A8"/>
    <w:rsid w:val="0F851480"/>
    <w:rsid w:val="0F9B0554"/>
    <w:rsid w:val="0FAF5422"/>
    <w:rsid w:val="0FAF5990"/>
    <w:rsid w:val="0FB271E8"/>
    <w:rsid w:val="0FB3423F"/>
    <w:rsid w:val="0FB73D2F"/>
    <w:rsid w:val="0FBF1392"/>
    <w:rsid w:val="0FD84D52"/>
    <w:rsid w:val="0FD93801"/>
    <w:rsid w:val="0FDC41E3"/>
    <w:rsid w:val="0FE95EB3"/>
    <w:rsid w:val="100C40A0"/>
    <w:rsid w:val="10131FB5"/>
    <w:rsid w:val="10176676"/>
    <w:rsid w:val="1031732E"/>
    <w:rsid w:val="10327E3A"/>
    <w:rsid w:val="10374301"/>
    <w:rsid w:val="10394E9C"/>
    <w:rsid w:val="103A764D"/>
    <w:rsid w:val="103B6EC4"/>
    <w:rsid w:val="10457DEF"/>
    <w:rsid w:val="10482BD9"/>
    <w:rsid w:val="104A6951"/>
    <w:rsid w:val="105628E7"/>
    <w:rsid w:val="105A27E6"/>
    <w:rsid w:val="108120DC"/>
    <w:rsid w:val="108950E7"/>
    <w:rsid w:val="109135C4"/>
    <w:rsid w:val="10A4426E"/>
    <w:rsid w:val="10B656D8"/>
    <w:rsid w:val="10BB6F68"/>
    <w:rsid w:val="10C37A22"/>
    <w:rsid w:val="10C556C7"/>
    <w:rsid w:val="10C55FD8"/>
    <w:rsid w:val="10F772EF"/>
    <w:rsid w:val="11017A58"/>
    <w:rsid w:val="11023D17"/>
    <w:rsid w:val="110F34C8"/>
    <w:rsid w:val="11491151"/>
    <w:rsid w:val="1159543F"/>
    <w:rsid w:val="116230D1"/>
    <w:rsid w:val="116A7E05"/>
    <w:rsid w:val="11722460"/>
    <w:rsid w:val="117A4F14"/>
    <w:rsid w:val="119D6F55"/>
    <w:rsid w:val="11CB1987"/>
    <w:rsid w:val="11D529F0"/>
    <w:rsid w:val="11DC5FC8"/>
    <w:rsid w:val="11E71072"/>
    <w:rsid w:val="11F55D84"/>
    <w:rsid w:val="11F95233"/>
    <w:rsid w:val="11FE73E1"/>
    <w:rsid w:val="1206271C"/>
    <w:rsid w:val="120839F3"/>
    <w:rsid w:val="120E39AF"/>
    <w:rsid w:val="12114BE2"/>
    <w:rsid w:val="121911ED"/>
    <w:rsid w:val="12261816"/>
    <w:rsid w:val="122816CA"/>
    <w:rsid w:val="1231523F"/>
    <w:rsid w:val="12392AE3"/>
    <w:rsid w:val="12421044"/>
    <w:rsid w:val="127A5380"/>
    <w:rsid w:val="12957C2C"/>
    <w:rsid w:val="1298079E"/>
    <w:rsid w:val="12AD5EBA"/>
    <w:rsid w:val="12B10442"/>
    <w:rsid w:val="12C319F0"/>
    <w:rsid w:val="12CB7F7B"/>
    <w:rsid w:val="12D57B5A"/>
    <w:rsid w:val="12D60970"/>
    <w:rsid w:val="12DA74FD"/>
    <w:rsid w:val="130354DD"/>
    <w:rsid w:val="13160E95"/>
    <w:rsid w:val="131D4A08"/>
    <w:rsid w:val="132A077A"/>
    <w:rsid w:val="132B4874"/>
    <w:rsid w:val="13365D96"/>
    <w:rsid w:val="133833D9"/>
    <w:rsid w:val="13401CF4"/>
    <w:rsid w:val="13474541"/>
    <w:rsid w:val="13597FDE"/>
    <w:rsid w:val="13610A7C"/>
    <w:rsid w:val="1370511E"/>
    <w:rsid w:val="138A2CF3"/>
    <w:rsid w:val="139600FA"/>
    <w:rsid w:val="139B1B3C"/>
    <w:rsid w:val="13AC7923"/>
    <w:rsid w:val="13BB36C2"/>
    <w:rsid w:val="13C163E4"/>
    <w:rsid w:val="13CF69C3"/>
    <w:rsid w:val="13E63AA6"/>
    <w:rsid w:val="13EB21F9"/>
    <w:rsid w:val="13F175F7"/>
    <w:rsid w:val="13F85DC5"/>
    <w:rsid w:val="13FC3073"/>
    <w:rsid w:val="14002DA6"/>
    <w:rsid w:val="141601C0"/>
    <w:rsid w:val="14183270"/>
    <w:rsid w:val="141D447E"/>
    <w:rsid w:val="141D6B0B"/>
    <w:rsid w:val="142D6F89"/>
    <w:rsid w:val="144554E0"/>
    <w:rsid w:val="144C2ACB"/>
    <w:rsid w:val="145908CD"/>
    <w:rsid w:val="146975C2"/>
    <w:rsid w:val="147F6E3A"/>
    <w:rsid w:val="148617D9"/>
    <w:rsid w:val="149258A7"/>
    <w:rsid w:val="149321EC"/>
    <w:rsid w:val="14A979BF"/>
    <w:rsid w:val="14AA6C47"/>
    <w:rsid w:val="14AD74AF"/>
    <w:rsid w:val="14B81325"/>
    <w:rsid w:val="14BB5770"/>
    <w:rsid w:val="14CA4494"/>
    <w:rsid w:val="14DD13B5"/>
    <w:rsid w:val="14DF1102"/>
    <w:rsid w:val="14E74E80"/>
    <w:rsid w:val="14FB05D3"/>
    <w:rsid w:val="14FB1DB1"/>
    <w:rsid w:val="1507775C"/>
    <w:rsid w:val="15082EFA"/>
    <w:rsid w:val="15107A3E"/>
    <w:rsid w:val="15214D63"/>
    <w:rsid w:val="1531629A"/>
    <w:rsid w:val="153E6FE7"/>
    <w:rsid w:val="15535F3F"/>
    <w:rsid w:val="155C3CBE"/>
    <w:rsid w:val="15697093"/>
    <w:rsid w:val="15760076"/>
    <w:rsid w:val="157E5DA4"/>
    <w:rsid w:val="159F6FD6"/>
    <w:rsid w:val="15A5462A"/>
    <w:rsid w:val="15B01BBF"/>
    <w:rsid w:val="15EC3B3E"/>
    <w:rsid w:val="15F1786F"/>
    <w:rsid w:val="15F46C2A"/>
    <w:rsid w:val="15FA70CF"/>
    <w:rsid w:val="16121567"/>
    <w:rsid w:val="16175528"/>
    <w:rsid w:val="162D4D4B"/>
    <w:rsid w:val="16343F81"/>
    <w:rsid w:val="163948ED"/>
    <w:rsid w:val="164275F4"/>
    <w:rsid w:val="164717FA"/>
    <w:rsid w:val="1654148B"/>
    <w:rsid w:val="165710DF"/>
    <w:rsid w:val="16573B76"/>
    <w:rsid w:val="165B71D5"/>
    <w:rsid w:val="16700A7A"/>
    <w:rsid w:val="16734728"/>
    <w:rsid w:val="167D1103"/>
    <w:rsid w:val="1683572D"/>
    <w:rsid w:val="169E0BEA"/>
    <w:rsid w:val="16AF7EFC"/>
    <w:rsid w:val="16DD2BAC"/>
    <w:rsid w:val="16F70EB5"/>
    <w:rsid w:val="17197085"/>
    <w:rsid w:val="172460AC"/>
    <w:rsid w:val="172B1987"/>
    <w:rsid w:val="173054B2"/>
    <w:rsid w:val="17424EAD"/>
    <w:rsid w:val="174C1699"/>
    <w:rsid w:val="17544559"/>
    <w:rsid w:val="175E7E76"/>
    <w:rsid w:val="1763479D"/>
    <w:rsid w:val="178667F0"/>
    <w:rsid w:val="178A4C4F"/>
    <w:rsid w:val="17942AA9"/>
    <w:rsid w:val="17987255"/>
    <w:rsid w:val="179928AA"/>
    <w:rsid w:val="17A739C7"/>
    <w:rsid w:val="17C212EB"/>
    <w:rsid w:val="17C42121"/>
    <w:rsid w:val="17D82A95"/>
    <w:rsid w:val="17FB6C91"/>
    <w:rsid w:val="18053F1E"/>
    <w:rsid w:val="18085749"/>
    <w:rsid w:val="180B6D06"/>
    <w:rsid w:val="181A3262"/>
    <w:rsid w:val="181C3FF8"/>
    <w:rsid w:val="18365CFA"/>
    <w:rsid w:val="184114A1"/>
    <w:rsid w:val="18425C49"/>
    <w:rsid w:val="186969E3"/>
    <w:rsid w:val="188C7694"/>
    <w:rsid w:val="18BE3F0D"/>
    <w:rsid w:val="18C140E3"/>
    <w:rsid w:val="18CD6371"/>
    <w:rsid w:val="18DA0A8E"/>
    <w:rsid w:val="18DC03A2"/>
    <w:rsid w:val="18E11EA5"/>
    <w:rsid w:val="18FA4C8D"/>
    <w:rsid w:val="19054750"/>
    <w:rsid w:val="19083037"/>
    <w:rsid w:val="19092828"/>
    <w:rsid w:val="19103908"/>
    <w:rsid w:val="1933462F"/>
    <w:rsid w:val="19390D64"/>
    <w:rsid w:val="19554C37"/>
    <w:rsid w:val="19566DB3"/>
    <w:rsid w:val="196279A1"/>
    <w:rsid w:val="198040A4"/>
    <w:rsid w:val="198C37FE"/>
    <w:rsid w:val="19A941C1"/>
    <w:rsid w:val="19AE5ACF"/>
    <w:rsid w:val="19AF5A77"/>
    <w:rsid w:val="19B3071D"/>
    <w:rsid w:val="19B675DA"/>
    <w:rsid w:val="19C57049"/>
    <w:rsid w:val="19C637E5"/>
    <w:rsid w:val="19C721FB"/>
    <w:rsid w:val="19CE5CD8"/>
    <w:rsid w:val="19EA2400"/>
    <w:rsid w:val="19F02EFF"/>
    <w:rsid w:val="1A052165"/>
    <w:rsid w:val="1A063EF5"/>
    <w:rsid w:val="1A0F3AD5"/>
    <w:rsid w:val="1A0F6516"/>
    <w:rsid w:val="1A0F7374"/>
    <w:rsid w:val="1A142D27"/>
    <w:rsid w:val="1A1816AF"/>
    <w:rsid w:val="1A302494"/>
    <w:rsid w:val="1A330E88"/>
    <w:rsid w:val="1A60672B"/>
    <w:rsid w:val="1A630F50"/>
    <w:rsid w:val="1A6732FB"/>
    <w:rsid w:val="1A7929A3"/>
    <w:rsid w:val="1A7B4669"/>
    <w:rsid w:val="1A870B38"/>
    <w:rsid w:val="1A8C5DB8"/>
    <w:rsid w:val="1A8C6CF6"/>
    <w:rsid w:val="1A9417D9"/>
    <w:rsid w:val="1AA572B8"/>
    <w:rsid w:val="1AA70EB7"/>
    <w:rsid w:val="1AAA4949"/>
    <w:rsid w:val="1AB31D2F"/>
    <w:rsid w:val="1AC00AAF"/>
    <w:rsid w:val="1ACE55DA"/>
    <w:rsid w:val="1ACE6054"/>
    <w:rsid w:val="1ACE6D27"/>
    <w:rsid w:val="1AE0038B"/>
    <w:rsid w:val="1B403FA5"/>
    <w:rsid w:val="1B450A9E"/>
    <w:rsid w:val="1B481CDF"/>
    <w:rsid w:val="1B4B17D0"/>
    <w:rsid w:val="1B524326"/>
    <w:rsid w:val="1B55168B"/>
    <w:rsid w:val="1B63458F"/>
    <w:rsid w:val="1B645069"/>
    <w:rsid w:val="1B7D1BE7"/>
    <w:rsid w:val="1B7D1D15"/>
    <w:rsid w:val="1B8637EA"/>
    <w:rsid w:val="1B966EEF"/>
    <w:rsid w:val="1BDD1B28"/>
    <w:rsid w:val="1BE57F51"/>
    <w:rsid w:val="1C022610"/>
    <w:rsid w:val="1C037CCC"/>
    <w:rsid w:val="1C085913"/>
    <w:rsid w:val="1C0876C1"/>
    <w:rsid w:val="1C2F4A48"/>
    <w:rsid w:val="1C37598E"/>
    <w:rsid w:val="1C400DCC"/>
    <w:rsid w:val="1C4A3D51"/>
    <w:rsid w:val="1C550B58"/>
    <w:rsid w:val="1C6062B5"/>
    <w:rsid w:val="1C656B00"/>
    <w:rsid w:val="1C657709"/>
    <w:rsid w:val="1C6D522B"/>
    <w:rsid w:val="1C762201"/>
    <w:rsid w:val="1C87757C"/>
    <w:rsid w:val="1C911F05"/>
    <w:rsid w:val="1C9232F2"/>
    <w:rsid w:val="1C943E77"/>
    <w:rsid w:val="1C993860"/>
    <w:rsid w:val="1CB517E1"/>
    <w:rsid w:val="1CBF5FD1"/>
    <w:rsid w:val="1CC07FCD"/>
    <w:rsid w:val="1CCD060E"/>
    <w:rsid w:val="1CD4109A"/>
    <w:rsid w:val="1CDE3631"/>
    <w:rsid w:val="1CE814D1"/>
    <w:rsid w:val="1CFE11B3"/>
    <w:rsid w:val="1D00167E"/>
    <w:rsid w:val="1D01132A"/>
    <w:rsid w:val="1D022EEB"/>
    <w:rsid w:val="1D2C5B34"/>
    <w:rsid w:val="1D3444B7"/>
    <w:rsid w:val="1D3A1AFC"/>
    <w:rsid w:val="1D3F2887"/>
    <w:rsid w:val="1D413DD6"/>
    <w:rsid w:val="1D442082"/>
    <w:rsid w:val="1D494085"/>
    <w:rsid w:val="1D6104E9"/>
    <w:rsid w:val="1D6D5E73"/>
    <w:rsid w:val="1D6E2EA0"/>
    <w:rsid w:val="1D7C0366"/>
    <w:rsid w:val="1D90430C"/>
    <w:rsid w:val="1DA228F6"/>
    <w:rsid w:val="1DA26C67"/>
    <w:rsid w:val="1DB571C9"/>
    <w:rsid w:val="1DBF6F58"/>
    <w:rsid w:val="1DFC5003"/>
    <w:rsid w:val="1E2527AC"/>
    <w:rsid w:val="1E2A3F9F"/>
    <w:rsid w:val="1E65546D"/>
    <w:rsid w:val="1E7B6900"/>
    <w:rsid w:val="1E933E22"/>
    <w:rsid w:val="1EB60A31"/>
    <w:rsid w:val="1EC6457D"/>
    <w:rsid w:val="1EC7170B"/>
    <w:rsid w:val="1EC7534C"/>
    <w:rsid w:val="1ECD7160"/>
    <w:rsid w:val="1ED34F83"/>
    <w:rsid w:val="1ED641E3"/>
    <w:rsid w:val="1EED4935"/>
    <w:rsid w:val="1EF15FC6"/>
    <w:rsid w:val="1F196F16"/>
    <w:rsid w:val="1F1F544D"/>
    <w:rsid w:val="1F294330"/>
    <w:rsid w:val="1F2A3EE6"/>
    <w:rsid w:val="1F5164BE"/>
    <w:rsid w:val="1F530AFF"/>
    <w:rsid w:val="1F550636"/>
    <w:rsid w:val="1F6725BD"/>
    <w:rsid w:val="1F6F0182"/>
    <w:rsid w:val="1F751014"/>
    <w:rsid w:val="1F7A16FF"/>
    <w:rsid w:val="1F841E94"/>
    <w:rsid w:val="1F86410F"/>
    <w:rsid w:val="1F987D78"/>
    <w:rsid w:val="1FAD0B55"/>
    <w:rsid w:val="1FB57B5F"/>
    <w:rsid w:val="1FBA786C"/>
    <w:rsid w:val="1FC55FF4"/>
    <w:rsid w:val="1FDF7221"/>
    <w:rsid w:val="1FE07DD2"/>
    <w:rsid w:val="1FF72B1D"/>
    <w:rsid w:val="2000702C"/>
    <w:rsid w:val="201952D2"/>
    <w:rsid w:val="2020109E"/>
    <w:rsid w:val="20220096"/>
    <w:rsid w:val="202816B6"/>
    <w:rsid w:val="20352DB6"/>
    <w:rsid w:val="204E725A"/>
    <w:rsid w:val="205050F3"/>
    <w:rsid w:val="20665891"/>
    <w:rsid w:val="208241B4"/>
    <w:rsid w:val="208F5999"/>
    <w:rsid w:val="20B05494"/>
    <w:rsid w:val="20BD4F1E"/>
    <w:rsid w:val="20D109C9"/>
    <w:rsid w:val="20EE5770"/>
    <w:rsid w:val="2107261C"/>
    <w:rsid w:val="21147FEE"/>
    <w:rsid w:val="2132760F"/>
    <w:rsid w:val="213F7E47"/>
    <w:rsid w:val="21592FEC"/>
    <w:rsid w:val="215B2DFE"/>
    <w:rsid w:val="215C5CD9"/>
    <w:rsid w:val="215F2E6D"/>
    <w:rsid w:val="218B2E3C"/>
    <w:rsid w:val="219E13DD"/>
    <w:rsid w:val="21B5456C"/>
    <w:rsid w:val="21C0289A"/>
    <w:rsid w:val="21C314C7"/>
    <w:rsid w:val="21CB366A"/>
    <w:rsid w:val="21E53DD4"/>
    <w:rsid w:val="21FE67C3"/>
    <w:rsid w:val="21FF567A"/>
    <w:rsid w:val="220019CB"/>
    <w:rsid w:val="22080E1D"/>
    <w:rsid w:val="222E4A4B"/>
    <w:rsid w:val="224564ED"/>
    <w:rsid w:val="225B1C1A"/>
    <w:rsid w:val="22655D1C"/>
    <w:rsid w:val="227A5579"/>
    <w:rsid w:val="227B3EC3"/>
    <w:rsid w:val="22AC6E9D"/>
    <w:rsid w:val="22AF6B28"/>
    <w:rsid w:val="22BF1959"/>
    <w:rsid w:val="22FE3A70"/>
    <w:rsid w:val="23007343"/>
    <w:rsid w:val="230A1D1E"/>
    <w:rsid w:val="230F3D0A"/>
    <w:rsid w:val="232E3EB1"/>
    <w:rsid w:val="23341448"/>
    <w:rsid w:val="23385650"/>
    <w:rsid w:val="23425BAE"/>
    <w:rsid w:val="23517B9F"/>
    <w:rsid w:val="23531B69"/>
    <w:rsid w:val="235C6C70"/>
    <w:rsid w:val="237F04EF"/>
    <w:rsid w:val="23841437"/>
    <w:rsid w:val="238A3CA3"/>
    <w:rsid w:val="23AF4708"/>
    <w:rsid w:val="23C16A9A"/>
    <w:rsid w:val="23C465C3"/>
    <w:rsid w:val="23E66003"/>
    <w:rsid w:val="23F80076"/>
    <w:rsid w:val="23FE2FB7"/>
    <w:rsid w:val="23FE3AF7"/>
    <w:rsid w:val="241B7142"/>
    <w:rsid w:val="24452007"/>
    <w:rsid w:val="244802C7"/>
    <w:rsid w:val="244C0B39"/>
    <w:rsid w:val="245A32E7"/>
    <w:rsid w:val="24635935"/>
    <w:rsid w:val="24660E6A"/>
    <w:rsid w:val="24665559"/>
    <w:rsid w:val="24691825"/>
    <w:rsid w:val="248E0BEE"/>
    <w:rsid w:val="249222CA"/>
    <w:rsid w:val="24B056E4"/>
    <w:rsid w:val="24CC572F"/>
    <w:rsid w:val="24CF65FC"/>
    <w:rsid w:val="24D258A5"/>
    <w:rsid w:val="24DA6A74"/>
    <w:rsid w:val="24DB4BCD"/>
    <w:rsid w:val="24F602A0"/>
    <w:rsid w:val="250025A0"/>
    <w:rsid w:val="25296C9F"/>
    <w:rsid w:val="25401D76"/>
    <w:rsid w:val="2544236B"/>
    <w:rsid w:val="25453733"/>
    <w:rsid w:val="256C3562"/>
    <w:rsid w:val="257F6C45"/>
    <w:rsid w:val="258C736F"/>
    <w:rsid w:val="25977271"/>
    <w:rsid w:val="259B2D68"/>
    <w:rsid w:val="259E7D45"/>
    <w:rsid w:val="25A6077B"/>
    <w:rsid w:val="25A941CC"/>
    <w:rsid w:val="25A97E1E"/>
    <w:rsid w:val="25B40CD0"/>
    <w:rsid w:val="25BF4424"/>
    <w:rsid w:val="25C17AFA"/>
    <w:rsid w:val="25C251DB"/>
    <w:rsid w:val="25E00E0C"/>
    <w:rsid w:val="25EF379B"/>
    <w:rsid w:val="260C11C1"/>
    <w:rsid w:val="261049C1"/>
    <w:rsid w:val="261E645E"/>
    <w:rsid w:val="26383109"/>
    <w:rsid w:val="2641214D"/>
    <w:rsid w:val="26597FFC"/>
    <w:rsid w:val="26697AAB"/>
    <w:rsid w:val="266D2F42"/>
    <w:rsid w:val="2673065B"/>
    <w:rsid w:val="26746071"/>
    <w:rsid w:val="267839D3"/>
    <w:rsid w:val="26802C75"/>
    <w:rsid w:val="268423E1"/>
    <w:rsid w:val="26890627"/>
    <w:rsid w:val="26937CAB"/>
    <w:rsid w:val="26A43060"/>
    <w:rsid w:val="26BB1EFF"/>
    <w:rsid w:val="26BB2001"/>
    <w:rsid w:val="26C467F8"/>
    <w:rsid w:val="26E35358"/>
    <w:rsid w:val="270E00FE"/>
    <w:rsid w:val="270E298C"/>
    <w:rsid w:val="270E29F5"/>
    <w:rsid w:val="271512D2"/>
    <w:rsid w:val="272A0E33"/>
    <w:rsid w:val="272A2D2F"/>
    <w:rsid w:val="274020AE"/>
    <w:rsid w:val="27446B6F"/>
    <w:rsid w:val="274F752C"/>
    <w:rsid w:val="27520933"/>
    <w:rsid w:val="27584657"/>
    <w:rsid w:val="275E5A93"/>
    <w:rsid w:val="27736226"/>
    <w:rsid w:val="27755DA7"/>
    <w:rsid w:val="277C7F9A"/>
    <w:rsid w:val="279D2924"/>
    <w:rsid w:val="27A52E1A"/>
    <w:rsid w:val="27AC7A9A"/>
    <w:rsid w:val="27C53958"/>
    <w:rsid w:val="27D36D37"/>
    <w:rsid w:val="27DA4B73"/>
    <w:rsid w:val="27E61F25"/>
    <w:rsid w:val="27EC31BB"/>
    <w:rsid w:val="27ED2CBD"/>
    <w:rsid w:val="27F63DA6"/>
    <w:rsid w:val="27FA5CB6"/>
    <w:rsid w:val="280D34EA"/>
    <w:rsid w:val="281466B1"/>
    <w:rsid w:val="281713B7"/>
    <w:rsid w:val="281824A7"/>
    <w:rsid w:val="28312BBF"/>
    <w:rsid w:val="283B7736"/>
    <w:rsid w:val="285F673E"/>
    <w:rsid w:val="28644CCA"/>
    <w:rsid w:val="28687E65"/>
    <w:rsid w:val="28732D83"/>
    <w:rsid w:val="288F6949"/>
    <w:rsid w:val="28911AF2"/>
    <w:rsid w:val="289151CA"/>
    <w:rsid w:val="28A10C81"/>
    <w:rsid w:val="28A2680F"/>
    <w:rsid w:val="28DF17A9"/>
    <w:rsid w:val="28EB31BC"/>
    <w:rsid w:val="28EB583C"/>
    <w:rsid w:val="28EC2844"/>
    <w:rsid w:val="28F402DA"/>
    <w:rsid w:val="28FC78BE"/>
    <w:rsid w:val="29000A40"/>
    <w:rsid w:val="290F29AF"/>
    <w:rsid w:val="292D0766"/>
    <w:rsid w:val="293634F4"/>
    <w:rsid w:val="29600B3C"/>
    <w:rsid w:val="29606D8E"/>
    <w:rsid w:val="29671ECA"/>
    <w:rsid w:val="29770361"/>
    <w:rsid w:val="2985201E"/>
    <w:rsid w:val="29C55899"/>
    <w:rsid w:val="29D3130E"/>
    <w:rsid w:val="29F2147C"/>
    <w:rsid w:val="2A0C4A40"/>
    <w:rsid w:val="2A0D3DED"/>
    <w:rsid w:val="2A104310"/>
    <w:rsid w:val="2A134AF4"/>
    <w:rsid w:val="2A255C2B"/>
    <w:rsid w:val="2A2B7BC9"/>
    <w:rsid w:val="2A3A5DF9"/>
    <w:rsid w:val="2A4926C2"/>
    <w:rsid w:val="2A4B107A"/>
    <w:rsid w:val="2A4D2BFD"/>
    <w:rsid w:val="2A530EDF"/>
    <w:rsid w:val="2A574428"/>
    <w:rsid w:val="2A5F6992"/>
    <w:rsid w:val="2A7949E3"/>
    <w:rsid w:val="2A80647C"/>
    <w:rsid w:val="2A8E62B6"/>
    <w:rsid w:val="2A9572CC"/>
    <w:rsid w:val="2AA9206F"/>
    <w:rsid w:val="2AD81233"/>
    <w:rsid w:val="2AE63EFE"/>
    <w:rsid w:val="2B053749"/>
    <w:rsid w:val="2B195446"/>
    <w:rsid w:val="2B2E227F"/>
    <w:rsid w:val="2B2F07C6"/>
    <w:rsid w:val="2B3404E2"/>
    <w:rsid w:val="2B363CF4"/>
    <w:rsid w:val="2B3A7305"/>
    <w:rsid w:val="2B425FD0"/>
    <w:rsid w:val="2B4268A6"/>
    <w:rsid w:val="2B536BAA"/>
    <w:rsid w:val="2B875AFE"/>
    <w:rsid w:val="2B8C79C6"/>
    <w:rsid w:val="2B9B40AD"/>
    <w:rsid w:val="2B9B4F58"/>
    <w:rsid w:val="2BA3696C"/>
    <w:rsid w:val="2BAA0794"/>
    <w:rsid w:val="2BB67A51"/>
    <w:rsid w:val="2BB769EE"/>
    <w:rsid w:val="2BB8130D"/>
    <w:rsid w:val="2BC058C2"/>
    <w:rsid w:val="2BC1223D"/>
    <w:rsid w:val="2BC40014"/>
    <w:rsid w:val="2BC51B34"/>
    <w:rsid w:val="2BDE3F9A"/>
    <w:rsid w:val="2BE07D12"/>
    <w:rsid w:val="2BF95140"/>
    <w:rsid w:val="2C063C1D"/>
    <w:rsid w:val="2C0B194E"/>
    <w:rsid w:val="2C1A4F62"/>
    <w:rsid w:val="2C3447BE"/>
    <w:rsid w:val="2C3C07B5"/>
    <w:rsid w:val="2C3D3C75"/>
    <w:rsid w:val="2C4B420E"/>
    <w:rsid w:val="2C56006A"/>
    <w:rsid w:val="2C5F50DB"/>
    <w:rsid w:val="2C660165"/>
    <w:rsid w:val="2C6619D7"/>
    <w:rsid w:val="2C6A0BA3"/>
    <w:rsid w:val="2C6E17C2"/>
    <w:rsid w:val="2C8A76F4"/>
    <w:rsid w:val="2C931BC6"/>
    <w:rsid w:val="2CA45E14"/>
    <w:rsid w:val="2CB43679"/>
    <w:rsid w:val="2CB62CA6"/>
    <w:rsid w:val="2CD40261"/>
    <w:rsid w:val="2CEE34EF"/>
    <w:rsid w:val="2CF605F7"/>
    <w:rsid w:val="2D016FE9"/>
    <w:rsid w:val="2D023B71"/>
    <w:rsid w:val="2D14362B"/>
    <w:rsid w:val="2D2E304F"/>
    <w:rsid w:val="2D3C07FE"/>
    <w:rsid w:val="2D5756FC"/>
    <w:rsid w:val="2D5D5591"/>
    <w:rsid w:val="2D74743A"/>
    <w:rsid w:val="2D7C11D4"/>
    <w:rsid w:val="2D7F4766"/>
    <w:rsid w:val="2D8D3A62"/>
    <w:rsid w:val="2DAF3E40"/>
    <w:rsid w:val="2DBE7F60"/>
    <w:rsid w:val="2DF6381D"/>
    <w:rsid w:val="2DF6788C"/>
    <w:rsid w:val="2E0D1588"/>
    <w:rsid w:val="2E3944B7"/>
    <w:rsid w:val="2E4749F8"/>
    <w:rsid w:val="2E4C1B78"/>
    <w:rsid w:val="2E73313B"/>
    <w:rsid w:val="2E866E5E"/>
    <w:rsid w:val="2E9077CD"/>
    <w:rsid w:val="2EA916B2"/>
    <w:rsid w:val="2EB46A04"/>
    <w:rsid w:val="2EB84F76"/>
    <w:rsid w:val="2EC62DA5"/>
    <w:rsid w:val="2ECB7077"/>
    <w:rsid w:val="2EED318E"/>
    <w:rsid w:val="2EFE3F3B"/>
    <w:rsid w:val="2F0F1794"/>
    <w:rsid w:val="2F176141"/>
    <w:rsid w:val="2F1A0856"/>
    <w:rsid w:val="2F2B5B05"/>
    <w:rsid w:val="2F475C7E"/>
    <w:rsid w:val="2F486024"/>
    <w:rsid w:val="2F523B34"/>
    <w:rsid w:val="2F5E78CC"/>
    <w:rsid w:val="2F681310"/>
    <w:rsid w:val="2F6C283B"/>
    <w:rsid w:val="2F743B89"/>
    <w:rsid w:val="2F7E2877"/>
    <w:rsid w:val="2F8567D8"/>
    <w:rsid w:val="2F8B5040"/>
    <w:rsid w:val="2F9107C4"/>
    <w:rsid w:val="2F961B57"/>
    <w:rsid w:val="2FDC6A42"/>
    <w:rsid w:val="2FE65B09"/>
    <w:rsid w:val="2FFF53A8"/>
    <w:rsid w:val="30047098"/>
    <w:rsid w:val="30077F63"/>
    <w:rsid w:val="30115CE5"/>
    <w:rsid w:val="30135C1F"/>
    <w:rsid w:val="30191760"/>
    <w:rsid w:val="3028092A"/>
    <w:rsid w:val="302F54E7"/>
    <w:rsid w:val="304863A9"/>
    <w:rsid w:val="30726790"/>
    <w:rsid w:val="30801AC4"/>
    <w:rsid w:val="30823D65"/>
    <w:rsid w:val="30831C53"/>
    <w:rsid w:val="308E438B"/>
    <w:rsid w:val="30A43A04"/>
    <w:rsid w:val="30C87FB8"/>
    <w:rsid w:val="30CB1DAF"/>
    <w:rsid w:val="30E90E2B"/>
    <w:rsid w:val="30ED02EA"/>
    <w:rsid w:val="30FF267A"/>
    <w:rsid w:val="31044278"/>
    <w:rsid w:val="310A2A14"/>
    <w:rsid w:val="310F59F0"/>
    <w:rsid w:val="31395BA8"/>
    <w:rsid w:val="3141666D"/>
    <w:rsid w:val="31480833"/>
    <w:rsid w:val="314B14BF"/>
    <w:rsid w:val="3158219E"/>
    <w:rsid w:val="316D537E"/>
    <w:rsid w:val="31716348"/>
    <w:rsid w:val="317355F2"/>
    <w:rsid w:val="3185517F"/>
    <w:rsid w:val="3185793C"/>
    <w:rsid w:val="319475D5"/>
    <w:rsid w:val="31975317"/>
    <w:rsid w:val="31A87524"/>
    <w:rsid w:val="31B06C89"/>
    <w:rsid w:val="31B91778"/>
    <w:rsid w:val="31C2569E"/>
    <w:rsid w:val="31C96BD0"/>
    <w:rsid w:val="31D04385"/>
    <w:rsid w:val="31D9377A"/>
    <w:rsid w:val="31E15891"/>
    <w:rsid w:val="31F043F4"/>
    <w:rsid w:val="32170EE1"/>
    <w:rsid w:val="325066A8"/>
    <w:rsid w:val="32563FE3"/>
    <w:rsid w:val="325D3410"/>
    <w:rsid w:val="3260226B"/>
    <w:rsid w:val="327652E9"/>
    <w:rsid w:val="327A5FF1"/>
    <w:rsid w:val="32A55CC0"/>
    <w:rsid w:val="32A937D2"/>
    <w:rsid w:val="32C95971"/>
    <w:rsid w:val="32CF5928"/>
    <w:rsid w:val="32E41009"/>
    <w:rsid w:val="32E9078F"/>
    <w:rsid w:val="32ED34FF"/>
    <w:rsid w:val="330856D0"/>
    <w:rsid w:val="3323023A"/>
    <w:rsid w:val="33316646"/>
    <w:rsid w:val="333A06E2"/>
    <w:rsid w:val="33462B8C"/>
    <w:rsid w:val="33491C13"/>
    <w:rsid w:val="335E45B2"/>
    <w:rsid w:val="33680D19"/>
    <w:rsid w:val="33691E57"/>
    <w:rsid w:val="336E025D"/>
    <w:rsid w:val="33735D99"/>
    <w:rsid w:val="33736E76"/>
    <w:rsid w:val="337570A4"/>
    <w:rsid w:val="33833CFC"/>
    <w:rsid w:val="33A269EC"/>
    <w:rsid w:val="33A856B1"/>
    <w:rsid w:val="33A930DF"/>
    <w:rsid w:val="33AB2922"/>
    <w:rsid w:val="33B73314"/>
    <w:rsid w:val="33C50B9E"/>
    <w:rsid w:val="33D30EC6"/>
    <w:rsid w:val="33D867E1"/>
    <w:rsid w:val="33D976B3"/>
    <w:rsid w:val="33DB2EFB"/>
    <w:rsid w:val="33DC6CF8"/>
    <w:rsid w:val="33EE36D1"/>
    <w:rsid w:val="33F54490"/>
    <w:rsid w:val="33F85833"/>
    <w:rsid w:val="33F94458"/>
    <w:rsid w:val="340B1EAD"/>
    <w:rsid w:val="34111989"/>
    <w:rsid w:val="341266A4"/>
    <w:rsid w:val="3429350C"/>
    <w:rsid w:val="343C76C2"/>
    <w:rsid w:val="343D0166"/>
    <w:rsid w:val="343D6C24"/>
    <w:rsid w:val="345873A9"/>
    <w:rsid w:val="347C5D20"/>
    <w:rsid w:val="348C4EDB"/>
    <w:rsid w:val="34997F68"/>
    <w:rsid w:val="34AF7CC9"/>
    <w:rsid w:val="34B14942"/>
    <w:rsid w:val="34E526B4"/>
    <w:rsid w:val="34F03DC0"/>
    <w:rsid w:val="34FE7262"/>
    <w:rsid w:val="352407FC"/>
    <w:rsid w:val="352612DF"/>
    <w:rsid w:val="35284201"/>
    <w:rsid w:val="35322B1F"/>
    <w:rsid w:val="3535498A"/>
    <w:rsid w:val="35471E10"/>
    <w:rsid w:val="354F3660"/>
    <w:rsid w:val="355004C3"/>
    <w:rsid w:val="3556146D"/>
    <w:rsid w:val="355724F0"/>
    <w:rsid w:val="356B5D07"/>
    <w:rsid w:val="35810326"/>
    <w:rsid w:val="358C5E8C"/>
    <w:rsid w:val="358D7C9B"/>
    <w:rsid w:val="358E2186"/>
    <w:rsid w:val="35AA4C6A"/>
    <w:rsid w:val="35B90B5D"/>
    <w:rsid w:val="35C81F43"/>
    <w:rsid w:val="35CC1726"/>
    <w:rsid w:val="35DE239E"/>
    <w:rsid w:val="35E06512"/>
    <w:rsid w:val="35E33F92"/>
    <w:rsid w:val="36010FB1"/>
    <w:rsid w:val="360212D1"/>
    <w:rsid w:val="360C7B72"/>
    <w:rsid w:val="360E2480"/>
    <w:rsid w:val="361327DB"/>
    <w:rsid w:val="361F1CFE"/>
    <w:rsid w:val="36371201"/>
    <w:rsid w:val="363720E3"/>
    <w:rsid w:val="3639711B"/>
    <w:rsid w:val="363E765D"/>
    <w:rsid w:val="36592830"/>
    <w:rsid w:val="36632356"/>
    <w:rsid w:val="367409D2"/>
    <w:rsid w:val="367B56C5"/>
    <w:rsid w:val="367C5173"/>
    <w:rsid w:val="36915D46"/>
    <w:rsid w:val="36B81FB7"/>
    <w:rsid w:val="36CA31B0"/>
    <w:rsid w:val="36D20797"/>
    <w:rsid w:val="36E65B3A"/>
    <w:rsid w:val="36FF3742"/>
    <w:rsid w:val="370346A6"/>
    <w:rsid w:val="37113475"/>
    <w:rsid w:val="37252E94"/>
    <w:rsid w:val="37296474"/>
    <w:rsid w:val="373227C5"/>
    <w:rsid w:val="37405833"/>
    <w:rsid w:val="374101FF"/>
    <w:rsid w:val="375869AC"/>
    <w:rsid w:val="375B253A"/>
    <w:rsid w:val="37666B6B"/>
    <w:rsid w:val="37675674"/>
    <w:rsid w:val="376B1978"/>
    <w:rsid w:val="37940CA8"/>
    <w:rsid w:val="37D848CF"/>
    <w:rsid w:val="37DA41AF"/>
    <w:rsid w:val="37DB157C"/>
    <w:rsid w:val="37DB3C7D"/>
    <w:rsid w:val="37EE7D30"/>
    <w:rsid w:val="37F62976"/>
    <w:rsid w:val="37F77F19"/>
    <w:rsid w:val="38042FDA"/>
    <w:rsid w:val="381C3F20"/>
    <w:rsid w:val="3822692C"/>
    <w:rsid w:val="38343F2A"/>
    <w:rsid w:val="38490F9C"/>
    <w:rsid w:val="384C1631"/>
    <w:rsid w:val="38542754"/>
    <w:rsid w:val="386C03A0"/>
    <w:rsid w:val="386D6DD1"/>
    <w:rsid w:val="38850AD8"/>
    <w:rsid w:val="38B10FD7"/>
    <w:rsid w:val="38B2326B"/>
    <w:rsid w:val="38BD498D"/>
    <w:rsid w:val="38D81B11"/>
    <w:rsid w:val="38ED2653"/>
    <w:rsid w:val="38FC71A8"/>
    <w:rsid w:val="38FD1F03"/>
    <w:rsid w:val="39020983"/>
    <w:rsid w:val="39037F6C"/>
    <w:rsid w:val="39214610"/>
    <w:rsid w:val="39317DFF"/>
    <w:rsid w:val="39464964"/>
    <w:rsid w:val="395224D9"/>
    <w:rsid w:val="39535FC7"/>
    <w:rsid w:val="395601FC"/>
    <w:rsid w:val="397B4E62"/>
    <w:rsid w:val="39972B1A"/>
    <w:rsid w:val="399A1410"/>
    <w:rsid w:val="39C47D94"/>
    <w:rsid w:val="39CD1539"/>
    <w:rsid w:val="39CD5D32"/>
    <w:rsid w:val="39DA1DFA"/>
    <w:rsid w:val="39DC71EB"/>
    <w:rsid w:val="39DD5D2E"/>
    <w:rsid w:val="39E01A69"/>
    <w:rsid w:val="3A045F91"/>
    <w:rsid w:val="3A076679"/>
    <w:rsid w:val="3A0A0953"/>
    <w:rsid w:val="3A211C22"/>
    <w:rsid w:val="3A2C4127"/>
    <w:rsid w:val="3A4F0AA8"/>
    <w:rsid w:val="3A543DA5"/>
    <w:rsid w:val="3A5576B6"/>
    <w:rsid w:val="3A682780"/>
    <w:rsid w:val="3A697EB7"/>
    <w:rsid w:val="3A7F0311"/>
    <w:rsid w:val="3A8538B6"/>
    <w:rsid w:val="3A884EF1"/>
    <w:rsid w:val="3A8C5141"/>
    <w:rsid w:val="3AA52853"/>
    <w:rsid w:val="3AA648FE"/>
    <w:rsid w:val="3AAA7D3D"/>
    <w:rsid w:val="3AD117FB"/>
    <w:rsid w:val="3AD4138A"/>
    <w:rsid w:val="3AD72904"/>
    <w:rsid w:val="3AD75A09"/>
    <w:rsid w:val="3ADC5AFD"/>
    <w:rsid w:val="3AE17BBC"/>
    <w:rsid w:val="3B007A89"/>
    <w:rsid w:val="3B0F5ABD"/>
    <w:rsid w:val="3B2F4F75"/>
    <w:rsid w:val="3B31477D"/>
    <w:rsid w:val="3B315914"/>
    <w:rsid w:val="3B422101"/>
    <w:rsid w:val="3B4715CB"/>
    <w:rsid w:val="3B5008D7"/>
    <w:rsid w:val="3B7F15E2"/>
    <w:rsid w:val="3B8536A6"/>
    <w:rsid w:val="3B9F0C51"/>
    <w:rsid w:val="3BA00572"/>
    <w:rsid w:val="3BB1021B"/>
    <w:rsid w:val="3BE15B0C"/>
    <w:rsid w:val="3BE64EF0"/>
    <w:rsid w:val="3BF72A83"/>
    <w:rsid w:val="3C135790"/>
    <w:rsid w:val="3C1752F7"/>
    <w:rsid w:val="3C193171"/>
    <w:rsid w:val="3C1E3214"/>
    <w:rsid w:val="3C2528C6"/>
    <w:rsid w:val="3C371BD0"/>
    <w:rsid w:val="3C4F1FEA"/>
    <w:rsid w:val="3C5B6745"/>
    <w:rsid w:val="3C683B38"/>
    <w:rsid w:val="3C686571"/>
    <w:rsid w:val="3C6F5E3B"/>
    <w:rsid w:val="3C83525B"/>
    <w:rsid w:val="3C87375A"/>
    <w:rsid w:val="3C88531F"/>
    <w:rsid w:val="3C8D7A42"/>
    <w:rsid w:val="3C8E189D"/>
    <w:rsid w:val="3CA22EFE"/>
    <w:rsid w:val="3CB8043D"/>
    <w:rsid w:val="3CB94BCA"/>
    <w:rsid w:val="3CC35212"/>
    <w:rsid w:val="3CC50225"/>
    <w:rsid w:val="3CD967E3"/>
    <w:rsid w:val="3CDE231E"/>
    <w:rsid w:val="3D245A63"/>
    <w:rsid w:val="3D36346C"/>
    <w:rsid w:val="3D4269DA"/>
    <w:rsid w:val="3D430EA3"/>
    <w:rsid w:val="3D47560D"/>
    <w:rsid w:val="3D523BCD"/>
    <w:rsid w:val="3D645169"/>
    <w:rsid w:val="3D6933DE"/>
    <w:rsid w:val="3D7C3859"/>
    <w:rsid w:val="3D80607F"/>
    <w:rsid w:val="3D8F2120"/>
    <w:rsid w:val="3D8F30A0"/>
    <w:rsid w:val="3D990E61"/>
    <w:rsid w:val="3DA327E5"/>
    <w:rsid w:val="3DB01C7C"/>
    <w:rsid w:val="3DB334D8"/>
    <w:rsid w:val="3DBA1ADA"/>
    <w:rsid w:val="3DC123D9"/>
    <w:rsid w:val="3DC355A6"/>
    <w:rsid w:val="3DC42D6E"/>
    <w:rsid w:val="3DD009EA"/>
    <w:rsid w:val="3DD122A2"/>
    <w:rsid w:val="3DD64752"/>
    <w:rsid w:val="3DD80DF7"/>
    <w:rsid w:val="3DE17E96"/>
    <w:rsid w:val="3DE26317"/>
    <w:rsid w:val="3DEB1B40"/>
    <w:rsid w:val="3DFC4E7F"/>
    <w:rsid w:val="3E2D1C0D"/>
    <w:rsid w:val="3E352B5B"/>
    <w:rsid w:val="3E3A2755"/>
    <w:rsid w:val="3E463101"/>
    <w:rsid w:val="3E5717D0"/>
    <w:rsid w:val="3E5E04B0"/>
    <w:rsid w:val="3E5F4189"/>
    <w:rsid w:val="3E6C1A3F"/>
    <w:rsid w:val="3E734A16"/>
    <w:rsid w:val="3E752133"/>
    <w:rsid w:val="3E7A5DA4"/>
    <w:rsid w:val="3E953235"/>
    <w:rsid w:val="3EAA3B18"/>
    <w:rsid w:val="3EAA555F"/>
    <w:rsid w:val="3EBD0BAE"/>
    <w:rsid w:val="3EC3774B"/>
    <w:rsid w:val="3ECC3927"/>
    <w:rsid w:val="3ECD2095"/>
    <w:rsid w:val="3EEF22EE"/>
    <w:rsid w:val="3EF02AD3"/>
    <w:rsid w:val="3F024C1A"/>
    <w:rsid w:val="3F0D0FA0"/>
    <w:rsid w:val="3F21052E"/>
    <w:rsid w:val="3F330C34"/>
    <w:rsid w:val="3F3917F4"/>
    <w:rsid w:val="3F397A0D"/>
    <w:rsid w:val="3F4A39C9"/>
    <w:rsid w:val="3F625E8E"/>
    <w:rsid w:val="3F6A673B"/>
    <w:rsid w:val="3F8C2A74"/>
    <w:rsid w:val="3FA70307"/>
    <w:rsid w:val="3FA7458E"/>
    <w:rsid w:val="3FB22390"/>
    <w:rsid w:val="3FCF1529"/>
    <w:rsid w:val="3FDD2A57"/>
    <w:rsid w:val="3FE37E33"/>
    <w:rsid w:val="3FF027C2"/>
    <w:rsid w:val="3FF55C7D"/>
    <w:rsid w:val="3FF676AC"/>
    <w:rsid w:val="400E03CE"/>
    <w:rsid w:val="401171AD"/>
    <w:rsid w:val="40225AF1"/>
    <w:rsid w:val="403D5148"/>
    <w:rsid w:val="403D6B94"/>
    <w:rsid w:val="40507C98"/>
    <w:rsid w:val="40580367"/>
    <w:rsid w:val="4061657E"/>
    <w:rsid w:val="40767673"/>
    <w:rsid w:val="407707ED"/>
    <w:rsid w:val="40892318"/>
    <w:rsid w:val="408E0789"/>
    <w:rsid w:val="40A76FA9"/>
    <w:rsid w:val="40AC084A"/>
    <w:rsid w:val="40D05FDB"/>
    <w:rsid w:val="40DB515E"/>
    <w:rsid w:val="40E30197"/>
    <w:rsid w:val="40E63D94"/>
    <w:rsid w:val="40EA1367"/>
    <w:rsid w:val="40EB151F"/>
    <w:rsid w:val="40ED4F53"/>
    <w:rsid w:val="40F25A91"/>
    <w:rsid w:val="411C387B"/>
    <w:rsid w:val="41292B74"/>
    <w:rsid w:val="41406E31"/>
    <w:rsid w:val="414E3836"/>
    <w:rsid w:val="41592854"/>
    <w:rsid w:val="416E516B"/>
    <w:rsid w:val="418812BB"/>
    <w:rsid w:val="418D4040"/>
    <w:rsid w:val="419E7FFC"/>
    <w:rsid w:val="419F3079"/>
    <w:rsid w:val="41AE3A67"/>
    <w:rsid w:val="41C95125"/>
    <w:rsid w:val="41EA02ED"/>
    <w:rsid w:val="42075BA1"/>
    <w:rsid w:val="4215282E"/>
    <w:rsid w:val="42225E0B"/>
    <w:rsid w:val="42383FB6"/>
    <w:rsid w:val="423D7815"/>
    <w:rsid w:val="424F30C2"/>
    <w:rsid w:val="425E14DB"/>
    <w:rsid w:val="42621029"/>
    <w:rsid w:val="426B4382"/>
    <w:rsid w:val="42725710"/>
    <w:rsid w:val="427358D4"/>
    <w:rsid w:val="42736D87"/>
    <w:rsid w:val="427E086F"/>
    <w:rsid w:val="42826F4F"/>
    <w:rsid w:val="428B0580"/>
    <w:rsid w:val="429A4E70"/>
    <w:rsid w:val="429E14C4"/>
    <w:rsid w:val="42A26186"/>
    <w:rsid w:val="42A94EAA"/>
    <w:rsid w:val="42BA0E65"/>
    <w:rsid w:val="42C13D5C"/>
    <w:rsid w:val="42DD74CF"/>
    <w:rsid w:val="42DF3579"/>
    <w:rsid w:val="42E264C2"/>
    <w:rsid w:val="42E85CD3"/>
    <w:rsid w:val="42F54D63"/>
    <w:rsid w:val="43011E27"/>
    <w:rsid w:val="430D368B"/>
    <w:rsid w:val="430F20A0"/>
    <w:rsid w:val="43135F0F"/>
    <w:rsid w:val="431B6CC7"/>
    <w:rsid w:val="43225F65"/>
    <w:rsid w:val="435720D9"/>
    <w:rsid w:val="43615785"/>
    <w:rsid w:val="43732880"/>
    <w:rsid w:val="43865952"/>
    <w:rsid w:val="438F0BB0"/>
    <w:rsid w:val="43993170"/>
    <w:rsid w:val="43BF04EA"/>
    <w:rsid w:val="43C05A1E"/>
    <w:rsid w:val="43CF4932"/>
    <w:rsid w:val="43D22CDA"/>
    <w:rsid w:val="43D354DC"/>
    <w:rsid w:val="4405353A"/>
    <w:rsid w:val="44063CF3"/>
    <w:rsid w:val="44072973"/>
    <w:rsid w:val="44095C00"/>
    <w:rsid w:val="44117E2D"/>
    <w:rsid w:val="441822E7"/>
    <w:rsid w:val="442F13DF"/>
    <w:rsid w:val="44426345"/>
    <w:rsid w:val="444B2816"/>
    <w:rsid w:val="445279AA"/>
    <w:rsid w:val="4453331F"/>
    <w:rsid w:val="445F3A86"/>
    <w:rsid w:val="4478636B"/>
    <w:rsid w:val="447A0DB3"/>
    <w:rsid w:val="4481712B"/>
    <w:rsid w:val="44901E7E"/>
    <w:rsid w:val="449F54A7"/>
    <w:rsid w:val="44A1052F"/>
    <w:rsid w:val="44C93406"/>
    <w:rsid w:val="44D74994"/>
    <w:rsid w:val="44DD0E3B"/>
    <w:rsid w:val="44E67CEF"/>
    <w:rsid w:val="44F62875"/>
    <w:rsid w:val="451730A2"/>
    <w:rsid w:val="451955A3"/>
    <w:rsid w:val="45205199"/>
    <w:rsid w:val="45260B70"/>
    <w:rsid w:val="45357C2D"/>
    <w:rsid w:val="453A003B"/>
    <w:rsid w:val="45467C1A"/>
    <w:rsid w:val="45523E0A"/>
    <w:rsid w:val="45603F46"/>
    <w:rsid w:val="45784EE5"/>
    <w:rsid w:val="457C33A8"/>
    <w:rsid w:val="458804FE"/>
    <w:rsid w:val="458D57CB"/>
    <w:rsid w:val="4595726A"/>
    <w:rsid w:val="45C67177"/>
    <w:rsid w:val="45D048BE"/>
    <w:rsid w:val="45DE626C"/>
    <w:rsid w:val="45EB660D"/>
    <w:rsid w:val="45F13477"/>
    <w:rsid w:val="45FA688F"/>
    <w:rsid w:val="45FD7B3D"/>
    <w:rsid w:val="460A10C2"/>
    <w:rsid w:val="46220C85"/>
    <w:rsid w:val="46230254"/>
    <w:rsid w:val="46244F73"/>
    <w:rsid w:val="46287B26"/>
    <w:rsid w:val="462A00B0"/>
    <w:rsid w:val="462D24EF"/>
    <w:rsid w:val="46427F4E"/>
    <w:rsid w:val="46534E0B"/>
    <w:rsid w:val="4670640B"/>
    <w:rsid w:val="46753897"/>
    <w:rsid w:val="467A71EB"/>
    <w:rsid w:val="46867477"/>
    <w:rsid w:val="468A02AD"/>
    <w:rsid w:val="468B3DD1"/>
    <w:rsid w:val="469043B7"/>
    <w:rsid w:val="46BF4C9C"/>
    <w:rsid w:val="46C936C8"/>
    <w:rsid w:val="46CB1893"/>
    <w:rsid w:val="46D87DE5"/>
    <w:rsid w:val="46E556A4"/>
    <w:rsid w:val="46E97F6B"/>
    <w:rsid w:val="46EA25E1"/>
    <w:rsid w:val="46EB1077"/>
    <w:rsid w:val="470C2558"/>
    <w:rsid w:val="472127B7"/>
    <w:rsid w:val="472165B7"/>
    <w:rsid w:val="47277064"/>
    <w:rsid w:val="47323C17"/>
    <w:rsid w:val="473660FA"/>
    <w:rsid w:val="4743767B"/>
    <w:rsid w:val="474E29C1"/>
    <w:rsid w:val="475569C5"/>
    <w:rsid w:val="475A49C5"/>
    <w:rsid w:val="475E44B5"/>
    <w:rsid w:val="476121D8"/>
    <w:rsid w:val="476A063C"/>
    <w:rsid w:val="477C748E"/>
    <w:rsid w:val="478A7058"/>
    <w:rsid w:val="47941208"/>
    <w:rsid w:val="47A101B2"/>
    <w:rsid w:val="47BF2852"/>
    <w:rsid w:val="47BF386C"/>
    <w:rsid w:val="47C3256A"/>
    <w:rsid w:val="47C95C6C"/>
    <w:rsid w:val="47EC7022"/>
    <w:rsid w:val="47FC7940"/>
    <w:rsid w:val="48030B33"/>
    <w:rsid w:val="48046015"/>
    <w:rsid w:val="4819316F"/>
    <w:rsid w:val="482F5E51"/>
    <w:rsid w:val="483F125D"/>
    <w:rsid w:val="48580B32"/>
    <w:rsid w:val="485B43A9"/>
    <w:rsid w:val="48635024"/>
    <w:rsid w:val="487B675C"/>
    <w:rsid w:val="48A95C04"/>
    <w:rsid w:val="48B22238"/>
    <w:rsid w:val="48B33076"/>
    <w:rsid w:val="48C4330A"/>
    <w:rsid w:val="48D55EB3"/>
    <w:rsid w:val="48DA0701"/>
    <w:rsid w:val="48DF324A"/>
    <w:rsid w:val="48E052EC"/>
    <w:rsid w:val="48E65AEE"/>
    <w:rsid w:val="48F80CE7"/>
    <w:rsid w:val="49096FCD"/>
    <w:rsid w:val="491D7C08"/>
    <w:rsid w:val="494625B6"/>
    <w:rsid w:val="49507E2D"/>
    <w:rsid w:val="49512BB1"/>
    <w:rsid w:val="495E0009"/>
    <w:rsid w:val="49641F5D"/>
    <w:rsid w:val="49666B6B"/>
    <w:rsid w:val="496F2CCC"/>
    <w:rsid w:val="498F64FC"/>
    <w:rsid w:val="49AD1724"/>
    <w:rsid w:val="49BE7E39"/>
    <w:rsid w:val="49C40005"/>
    <w:rsid w:val="49C65419"/>
    <w:rsid w:val="49D04BAB"/>
    <w:rsid w:val="49EA0282"/>
    <w:rsid w:val="49EA17C4"/>
    <w:rsid w:val="49EF440A"/>
    <w:rsid w:val="4A1A2F12"/>
    <w:rsid w:val="4A2C7C77"/>
    <w:rsid w:val="4A321C6F"/>
    <w:rsid w:val="4A366D8C"/>
    <w:rsid w:val="4A375709"/>
    <w:rsid w:val="4A475BFC"/>
    <w:rsid w:val="4A4E1094"/>
    <w:rsid w:val="4A561717"/>
    <w:rsid w:val="4A606796"/>
    <w:rsid w:val="4A717D8F"/>
    <w:rsid w:val="4A7D0F83"/>
    <w:rsid w:val="4A834A22"/>
    <w:rsid w:val="4A8815D3"/>
    <w:rsid w:val="4A9454F9"/>
    <w:rsid w:val="4A972DF7"/>
    <w:rsid w:val="4A992274"/>
    <w:rsid w:val="4AA77F21"/>
    <w:rsid w:val="4AAA2276"/>
    <w:rsid w:val="4AB64534"/>
    <w:rsid w:val="4ABD14F2"/>
    <w:rsid w:val="4AC66642"/>
    <w:rsid w:val="4AC87549"/>
    <w:rsid w:val="4AD37353"/>
    <w:rsid w:val="4ADC6651"/>
    <w:rsid w:val="4AE2340C"/>
    <w:rsid w:val="4AE72A13"/>
    <w:rsid w:val="4AFF6999"/>
    <w:rsid w:val="4B0E61F2"/>
    <w:rsid w:val="4B21257E"/>
    <w:rsid w:val="4B290FE3"/>
    <w:rsid w:val="4B322207"/>
    <w:rsid w:val="4B375CEE"/>
    <w:rsid w:val="4B3B5793"/>
    <w:rsid w:val="4B58050B"/>
    <w:rsid w:val="4B5A25F7"/>
    <w:rsid w:val="4B6A0768"/>
    <w:rsid w:val="4B6B0CBD"/>
    <w:rsid w:val="4B705719"/>
    <w:rsid w:val="4B7B47F9"/>
    <w:rsid w:val="4BA563FE"/>
    <w:rsid w:val="4BB77663"/>
    <w:rsid w:val="4BC54DE5"/>
    <w:rsid w:val="4BCB7306"/>
    <w:rsid w:val="4BD52968"/>
    <w:rsid w:val="4BD91D02"/>
    <w:rsid w:val="4BE2600E"/>
    <w:rsid w:val="4BE57820"/>
    <w:rsid w:val="4BF03B4A"/>
    <w:rsid w:val="4BF657A1"/>
    <w:rsid w:val="4BFB7B74"/>
    <w:rsid w:val="4C0457A1"/>
    <w:rsid w:val="4C3F2C78"/>
    <w:rsid w:val="4C42244E"/>
    <w:rsid w:val="4C437DCE"/>
    <w:rsid w:val="4C6D3DA8"/>
    <w:rsid w:val="4C727CFA"/>
    <w:rsid w:val="4C88081B"/>
    <w:rsid w:val="4C8872A2"/>
    <w:rsid w:val="4C9C19F3"/>
    <w:rsid w:val="4CA47183"/>
    <w:rsid w:val="4CB7606E"/>
    <w:rsid w:val="4CB91CB1"/>
    <w:rsid w:val="4CF745DE"/>
    <w:rsid w:val="4CFC57E0"/>
    <w:rsid w:val="4D087B01"/>
    <w:rsid w:val="4D0B58BC"/>
    <w:rsid w:val="4D0C050F"/>
    <w:rsid w:val="4D0C2AD5"/>
    <w:rsid w:val="4D2059FA"/>
    <w:rsid w:val="4D2E3574"/>
    <w:rsid w:val="4D451B18"/>
    <w:rsid w:val="4D4D5AFE"/>
    <w:rsid w:val="4D502AF2"/>
    <w:rsid w:val="4D5C07F9"/>
    <w:rsid w:val="4D755736"/>
    <w:rsid w:val="4DAC0A3B"/>
    <w:rsid w:val="4DB92102"/>
    <w:rsid w:val="4DBA3E20"/>
    <w:rsid w:val="4DBC5B64"/>
    <w:rsid w:val="4DC679DB"/>
    <w:rsid w:val="4DE61D12"/>
    <w:rsid w:val="4DF1146E"/>
    <w:rsid w:val="4DF82017"/>
    <w:rsid w:val="4E0E661C"/>
    <w:rsid w:val="4E1E3790"/>
    <w:rsid w:val="4E2E44B5"/>
    <w:rsid w:val="4E4C57ED"/>
    <w:rsid w:val="4E5505A6"/>
    <w:rsid w:val="4E820BD8"/>
    <w:rsid w:val="4E8D729C"/>
    <w:rsid w:val="4E8E1C0C"/>
    <w:rsid w:val="4E9609D8"/>
    <w:rsid w:val="4E98004C"/>
    <w:rsid w:val="4EA5208F"/>
    <w:rsid w:val="4EAE617F"/>
    <w:rsid w:val="4EBC34E2"/>
    <w:rsid w:val="4EBD702F"/>
    <w:rsid w:val="4EC310A1"/>
    <w:rsid w:val="4EC818B0"/>
    <w:rsid w:val="4ECB59F9"/>
    <w:rsid w:val="4ECE1CAC"/>
    <w:rsid w:val="4EE414BB"/>
    <w:rsid w:val="4EE87B84"/>
    <w:rsid w:val="4EFF65C5"/>
    <w:rsid w:val="4F0052D1"/>
    <w:rsid w:val="4F014784"/>
    <w:rsid w:val="4F0431E6"/>
    <w:rsid w:val="4F1B712F"/>
    <w:rsid w:val="4F1C605F"/>
    <w:rsid w:val="4F254824"/>
    <w:rsid w:val="4F2658BE"/>
    <w:rsid w:val="4F4736A7"/>
    <w:rsid w:val="4F7914EF"/>
    <w:rsid w:val="4F9174FD"/>
    <w:rsid w:val="4F9402D2"/>
    <w:rsid w:val="4F9A6D4E"/>
    <w:rsid w:val="4FB10142"/>
    <w:rsid w:val="4FB82BD0"/>
    <w:rsid w:val="4FC643B6"/>
    <w:rsid w:val="4FD1578E"/>
    <w:rsid w:val="4FE10E76"/>
    <w:rsid w:val="4FEE2189"/>
    <w:rsid w:val="4FF71C3D"/>
    <w:rsid w:val="50016856"/>
    <w:rsid w:val="5008518B"/>
    <w:rsid w:val="500B32A2"/>
    <w:rsid w:val="502B6647"/>
    <w:rsid w:val="502B6EFE"/>
    <w:rsid w:val="50324E90"/>
    <w:rsid w:val="50476DF6"/>
    <w:rsid w:val="504C1B11"/>
    <w:rsid w:val="505F48A5"/>
    <w:rsid w:val="506472D4"/>
    <w:rsid w:val="50666C7A"/>
    <w:rsid w:val="507460A4"/>
    <w:rsid w:val="5094445D"/>
    <w:rsid w:val="509C0D4E"/>
    <w:rsid w:val="50A23A1E"/>
    <w:rsid w:val="50AC44E3"/>
    <w:rsid w:val="50B57EA9"/>
    <w:rsid w:val="50BC2B26"/>
    <w:rsid w:val="50BE1984"/>
    <w:rsid w:val="50D141C6"/>
    <w:rsid w:val="50D94FDD"/>
    <w:rsid w:val="50F115EA"/>
    <w:rsid w:val="50F72C9C"/>
    <w:rsid w:val="50FC0DB6"/>
    <w:rsid w:val="511107EA"/>
    <w:rsid w:val="511F2007"/>
    <w:rsid w:val="51271E2F"/>
    <w:rsid w:val="51342CAA"/>
    <w:rsid w:val="51366F32"/>
    <w:rsid w:val="51406A38"/>
    <w:rsid w:val="514B4E4E"/>
    <w:rsid w:val="516578E1"/>
    <w:rsid w:val="517174DB"/>
    <w:rsid w:val="518049FF"/>
    <w:rsid w:val="51932FAD"/>
    <w:rsid w:val="51A06E66"/>
    <w:rsid w:val="51AF590D"/>
    <w:rsid w:val="51B475E9"/>
    <w:rsid w:val="51C05FF6"/>
    <w:rsid w:val="51D135DE"/>
    <w:rsid w:val="51DF4444"/>
    <w:rsid w:val="51F65295"/>
    <w:rsid w:val="51F872B4"/>
    <w:rsid w:val="51FD3DB6"/>
    <w:rsid w:val="52097713"/>
    <w:rsid w:val="520C3BB6"/>
    <w:rsid w:val="52252174"/>
    <w:rsid w:val="52295AE6"/>
    <w:rsid w:val="522D0E7F"/>
    <w:rsid w:val="523E4D62"/>
    <w:rsid w:val="5243507E"/>
    <w:rsid w:val="525402A0"/>
    <w:rsid w:val="52554706"/>
    <w:rsid w:val="525F5585"/>
    <w:rsid w:val="528D41E4"/>
    <w:rsid w:val="52BF5C92"/>
    <w:rsid w:val="52C2167A"/>
    <w:rsid w:val="52C7794C"/>
    <w:rsid w:val="52D279CD"/>
    <w:rsid w:val="52D32ADF"/>
    <w:rsid w:val="52E45ACB"/>
    <w:rsid w:val="52E71802"/>
    <w:rsid w:val="52F47AFB"/>
    <w:rsid w:val="53071B37"/>
    <w:rsid w:val="530A5973"/>
    <w:rsid w:val="531169F3"/>
    <w:rsid w:val="531348FB"/>
    <w:rsid w:val="53275D3D"/>
    <w:rsid w:val="533354CF"/>
    <w:rsid w:val="533407C0"/>
    <w:rsid w:val="53346B96"/>
    <w:rsid w:val="535D5DC8"/>
    <w:rsid w:val="537A3167"/>
    <w:rsid w:val="537D2360"/>
    <w:rsid w:val="53811E50"/>
    <w:rsid w:val="53B22465"/>
    <w:rsid w:val="53B72F65"/>
    <w:rsid w:val="53BE3989"/>
    <w:rsid w:val="53D83751"/>
    <w:rsid w:val="53D85151"/>
    <w:rsid w:val="53E844A9"/>
    <w:rsid w:val="53FD2AC2"/>
    <w:rsid w:val="5409404E"/>
    <w:rsid w:val="54134B75"/>
    <w:rsid w:val="54164746"/>
    <w:rsid w:val="541F238F"/>
    <w:rsid w:val="542E2ADC"/>
    <w:rsid w:val="543341B9"/>
    <w:rsid w:val="543415ED"/>
    <w:rsid w:val="5438608E"/>
    <w:rsid w:val="544B7F7E"/>
    <w:rsid w:val="54501D22"/>
    <w:rsid w:val="546146EB"/>
    <w:rsid w:val="54680D66"/>
    <w:rsid w:val="54685AA1"/>
    <w:rsid w:val="547D06FB"/>
    <w:rsid w:val="547D14B1"/>
    <w:rsid w:val="54857DDB"/>
    <w:rsid w:val="548C678B"/>
    <w:rsid w:val="54905199"/>
    <w:rsid w:val="54914216"/>
    <w:rsid w:val="549273A9"/>
    <w:rsid w:val="549405C7"/>
    <w:rsid w:val="549D6C55"/>
    <w:rsid w:val="54CA07F6"/>
    <w:rsid w:val="54E979F3"/>
    <w:rsid w:val="54EF0774"/>
    <w:rsid w:val="54F2448F"/>
    <w:rsid w:val="54FE2E33"/>
    <w:rsid w:val="550B2DC8"/>
    <w:rsid w:val="5540169E"/>
    <w:rsid w:val="55466588"/>
    <w:rsid w:val="5547793A"/>
    <w:rsid w:val="554C32B2"/>
    <w:rsid w:val="55501E76"/>
    <w:rsid w:val="55701D69"/>
    <w:rsid w:val="55731E3E"/>
    <w:rsid w:val="557A0272"/>
    <w:rsid w:val="557E29D7"/>
    <w:rsid w:val="558F2195"/>
    <w:rsid w:val="55900035"/>
    <w:rsid w:val="55AF798B"/>
    <w:rsid w:val="55CA70E8"/>
    <w:rsid w:val="55ED4967"/>
    <w:rsid w:val="55F350C4"/>
    <w:rsid w:val="561019A5"/>
    <w:rsid w:val="561B14C6"/>
    <w:rsid w:val="561B7A15"/>
    <w:rsid w:val="56247722"/>
    <w:rsid w:val="56342FDD"/>
    <w:rsid w:val="56467B64"/>
    <w:rsid w:val="565626F9"/>
    <w:rsid w:val="565671A2"/>
    <w:rsid w:val="56685CA8"/>
    <w:rsid w:val="56740DC7"/>
    <w:rsid w:val="56753961"/>
    <w:rsid w:val="5677558B"/>
    <w:rsid w:val="569C2904"/>
    <w:rsid w:val="56AA3219"/>
    <w:rsid w:val="56CF2574"/>
    <w:rsid w:val="56CF424D"/>
    <w:rsid w:val="56DE4C00"/>
    <w:rsid w:val="570847EE"/>
    <w:rsid w:val="573270B5"/>
    <w:rsid w:val="57331689"/>
    <w:rsid w:val="57443B56"/>
    <w:rsid w:val="57614844"/>
    <w:rsid w:val="57664CC0"/>
    <w:rsid w:val="576A00D2"/>
    <w:rsid w:val="576A530D"/>
    <w:rsid w:val="57971A40"/>
    <w:rsid w:val="579E4D2D"/>
    <w:rsid w:val="57A24175"/>
    <w:rsid w:val="57B75717"/>
    <w:rsid w:val="57C470D2"/>
    <w:rsid w:val="57C77E19"/>
    <w:rsid w:val="57CA488B"/>
    <w:rsid w:val="57DB3900"/>
    <w:rsid w:val="57DB47FB"/>
    <w:rsid w:val="580846BB"/>
    <w:rsid w:val="5816050F"/>
    <w:rsid w:val="581D5CC6"/>
    <w:rsid w:val="58205F1A"/>
    <w:rsid w:val="582468CD"/>
    <w:rsid w:val="582840C5"/>
    <w:rsid w:val="583074F9"/>
    <w:rsid w:val="583515AC"/>
    <w:rsid w:val="584B45E2"/>
    <w:rsid w:val="584C2587"/>
    <w:rsid w:val="585127AA"/>
    <w:rsid w:val="585D5314"/>
    <w:rsid w:val="58603D47"/>
    <w:rsid w:val="58743A0C"/>
    <w:rsid w:val="58BB3CCE"/>
    <w:rsid w:val="58CD3249"/>
    <w:rsid w:val="58DE0E81"/>
    <w:rsid w:val="59125866"/>
    <w:rsid w:val="5915352F"/>
    <w:rsid w:val="591B0458"/>
    <w:rsid w:val="59232E69"/>
    <w:rsid w:val="59304651"/>
    <w:rsid w:val="593E2965"/>
    <w:rsid w:val="594856C1"/>
    <w:rsid w:val="59486EBB"/>
    <w:rsid w:val="59493AFE"/>
    <w:rsid w:val="594C38F9"/>
    <w:rsid w:val="594C4A1E"/>
    <w:rsid w:val="59567838"/>
    <w:rsid w:val="59700D18"/>
    <w:rsid w:val="5970491E"/>
    <w:rsid w:val="597304CA"/>
    <w:rsid w:val="59794C92"/>
    <w:rsid w:val="597A0373"/>
    <w:rsid w:val="598803B1"/>
    <w:rsid w:val="59A5117A"/>
    <w:rsid w:val="59A937D5"/>
    <w:rsid w:val="59BA6CB3"/>
    <w:rsid w:val="59BA6CC4"/>
    <w:rsid w:val="59DB746A"/>
    <w:rsid w:val="59F2154E"/>
    <w:rsid w:val="59F9691A"/>
    <w:rsid w:val="5A012975"/>
    <w:rsid w:val="5A0233C6"/>
    <w:rsid w:val="5A097A39"/>
    <w:rsid w:val="5A112448"/>
    <w:rsid w:val="5A1E417A"/>
    <w:rsid w:val="5A266C4C"/>
    <w:rsid w:val="5A2D3B53"/>
    <w:rsid w:val="5A3B2434"/>
    <w:rsid w:val="5A6457FD"/>
    <w:rsid w:val="5A645A7F"/>
    <w:rsid w:val="5A653116"/>
    <w:rsid w:val="5A7035CD"/>
    <w:rsid w:val="5A873ECB"/>
    <w:rsid w:val="5A934A0F"/>
    <w:rsid w:val="5A957C98"/>
    <w:rsid w:val="5A9E6D6F"/>
    <w:rsid w:val="5AAC50E0"/>
    <w:rsid w:val="5AAD60EA"/>
    <w:rsid w:val="5AB61DE0"/>
    <w:rsid w:val="5ACB527F"/>
    <w:rsid w:val="5AD7761B"/>
    <w:rsid w:val="5B072DB6"/>
    <w:rsid w:val="5B19492B"/>
    <w:rsid w:val="5B233465"/>
    <w:rsid w:val="5B506B61"/>
    <w:rsid w:val="5B5F0F2E"/>
    <w:rsid w:val="5B667984"/>
    <w:rsid w:val="5B6B796C"/>
    <w:rsid w:val="5B7C0F56"/>
    <w:rsid w:val="5B9808C1"/>
    <w:rsid w:val="5BB10CB2"/>
    <w:rsid w:val="5BC16A09"/>
    <w:rsid w:val="5C012CC6"/>
    <w:rsid w:val="5C3B496D"/>
    <w:rsid w:val="5C503DE0"/>
    <w:rsid w:val="5C5435D1"/>
    <w:rsid w:val="5C5C5BA5"/>
    <w:rsid w:val="5C8005D2"/>
    <w:rsid w:val="5C865982"/>
    <w:rsid w:val="5C8C4702"/>
    <w:rsid w:val="5C936557"/>
    <w:rsid w:val="5C943DBC"/>
    <w:rsid w:val="5C997625"/>
    <w:rsid w:val="5CA57080"/>
    <w:rsid w:val="5CA77E21"/>
    <w:rsid w:val="5CAF0BE0"/>
    <w:rsid w:val="5CB458BA"/>
    <w:rsid w:val="5CDC782C"/>
    <w:rsid w:val="5CE23DAC"/>
    <w:rsid w:val="5CE73917"/>
    <w:rsid w:val="5D0A73AF"/>
    <w:rsid w:val="5D120F26"/>
    <w:rsid w:val="5D1F603D"/>
    <w:rsid w:val="5D376039"/>
    <w:rsid w:val="5D3E31E9"/>
    <w:rsid w:val="5D436E42"/>
    <w:rsid w:val="5D63667B"/>
    <w:rsid w:val="5D696565"/>
    <w:rsid w:val="5D6F2EDA"/>
    <w:rsid w:val="5D783847"/>
    <w:rsid w:val="5D83037A"/>
    <w:rsid w:val="5D885121"/>
    <w:rsid w:val="5D9941C1"/>
    <w:rsid w:val="5DA92832"/>
    <w:rsid w:val="5DAE502B"/>
    <w:rsid w:val="5DB466F3"/>
    <w:rsid w:val="5DB915F2"/>
    <w:rsid w:val="5DBC60F3"/>
    <w:rsid w:val="5DCB1D21"/>
    <w:rsid w:val="5DCD5A99"/>
    <w:rsid w:val="5DDA5440"/>
    <w:rsid w:val="5DDD5947"/>
    <w:rsid w:val="5DDF393D"/>
    <w:rsid w:val="5DDF6E4E"/>
    <w:rsid w:val="5DFA49E0"/>
    <w:rsid w:val="5E1D0F80"/>
    <w:rsid w:val="5E1F3B6D"/>
    <w:rsid w:val="5E224037"/>
    <w:rsid w:val="5E352C38"/>
    <w:rsid w:val="5E3E40FF"/>
    <w:rsid w:val="5E4005B4"/>
    <w:rsid w:val="5E40706E"/>
    <w:rsid w:val="5E4C1080"/>
    <w:rsid w:val="5E4E1C8A"/>
    <w:rsid w:val="5E5D7A78"/>
    <w:rsid w:val="5E7833A1"/>
    <w:rsid w:val="5E8274BA"/>
    <w:rsid w:val="5EA06D09"/>
    <w:rsid w:val="5EA53C9A"/>
    <w:rsid w:val="5EB822A5"/>
    <w:rsid w:val="5EBC7F37"/>
    <w:rsid w:val="5ECE7D1A"/>
    <w:rsid w:val="5ED36C86"/>
    <w:rsid w:val="5EDA60B0"/>
    <w:rsid w:val="5EE35A57"/>
    <w:rsid w:val="5F1645A7"/>
    <w:rsid w:val="5F522F6C"/>
    <w:rsid w:val="5F6A54DD"/>
    <w:rsid w:val="5F815969"/>
    <w:rsid w:val="5F8B4FA7"/>
    <w:rsid w:val="5F9B72D1"/>
    <w:rsid w:val="5FAB0A44"/>
    <w:rsid w:val="5FB17C29"/>
    <w:rsid w:val="5FB34738"/>
    <w:rsid w:val="5FB95E1C"/>
    <w:rsid w:val="5FC85F82"/>
    <w:rsid w:val="5FCB3FE5"/>
    <w:rsid w:val="5FDC5EDE"/>
    <w:rsid w:val="5FEB2206"/>
    <w:rsid w:val="5FED772C"/>
    <w:rsid w:val="5FF97EAE"/>
    <w:rsid w:val="60155C27"/>
    <w:rsid w:val="60162D11"/>
    <w:rsid w:val="601A6070"/>
    <w:rsid w:val="60226F8B"/>
    <w:rsid w:val="603B4F3C"/>
    <w:rsid w:val="60477ABF"/>
    <w:rsid w:val="604B06AE"/>
    <w:rsid w:val="60526566"/>
    <w:rsid w:val="607F756F"/>
    <w:rsid w:val="60917251"/>
    <w:rsid w:val="60982996"/>
    <w:rsid w:val="60C53D01"/>
    <w:rsid w:val="60C9018D"/>
    <w:rsid w:val="61012C93"/>
    <w:rsid w:val="61053FC5"/>
    <w:rsid w:val="610C088E"/>
    <w:rsid w:val="614A03E6"/>
    <w:rsid w:val="61531A50"/>
    <w:rsid w:val="61532201"/>
    <w:rsid w:val="61651210"/>
    <w:rsid w:val="61666018"/>
    <w:rsid w:val="616B46BB"/>
    <w:rsid w:val="616E5EB6"/>
    <w:rsid w:val="617526CF"/>
    <w:rsid w:val="618560EB"/>
    <w:rsid w:val="618E3791"/>
    <w:rsid w:val="619B5D77"/>
    <w:rsid w:val="61B10243"/>
    <w:rsid w:val="61BB2DD9"/>
    <w:rsid w:val="61C00B2F"/>
    <w:rsid w:val="61C3411F"/>
    <w:rsid w:val="61DD1B9A"/>
    <w:rsid w:val="61E136F6"/>
    <w:rsid w:val="61F4426B"/>
    <w:rsid w:val="61F83805"/>
    <w:rsid w:val="62022776"/>
    <w:rsid w:val="6205764C"/>
    <w:rsid w:val="62256C85"/>
    <w:rsid w:val="623600B0"/>
    <w:rsid w:val="62562501"/>
    <w:rsid w:val="6256299E"/>
    <w:rsid w:val="62574D95"/>
    <w:rsid w:val="62586747"/>
    <w:rsid w:val="626C60B7"/>
    <w:rsid w:val="62746498"/>
    <w:rsid w:val="62922E0D"/>
    <w:rsid w:val="62982A5C"/>
    <w:rsid w:val="62CB6D60"/>
    <w:rsid w:val="62E358B2"/>
    <w:rsid w:val="62EA49F7"/>
    <w:rsid w:val="62F154C5"/>
    <w:rsid w:val="62FD0A5D"/>
    <w:rsid w:val="63162338"/>
    <w:rsid w:val="632036E4"/>
    <w:rsid w:val="63232EB3"/>
    <w:rsid w:val="63267478"/>
    <w:rsid w:val="633D315E"/>
    <w:rsid w:val="63504ABF"/>
    <w:rsid w:val="63517786"/>
    <w:rsid w:val="637052D7"/>
    <w:rsid w:val="6388739F"/>
    <w:rsid w:val="6389099E"/>
    <w:rsid w:val="63954DAA"/>
    <w:rsid w:val="63C74AA3"/>
    <w:rsid w:val="63D87748"/>
    <w:rsid w:val="63DE2EEF"/>
    <w:rsid w:val="63E8362C"/>
    <w:rsid w:val="63F16145"/>
    <w:rsid w:val="64024CFF"/>
    <w:rsid w:val="641D22DD"/>
    <w:rsid w:val="64426DE8"/>
    <w:rsid w:val="645B3151"/>
    <w:rsid w:val="646A170C"/>
    <w:rsid w:val="64701038"/>
    <w:rsid w:val="64722EF6"/>
    <w:rsid w:val="64797A3F"/>
    <w:rsid w:val="647B4B09"/>
    <w:rsid w:val="647B6F79"/>
    <w:rsid w:val="64815AEE"/>
    <w:rsid w:val="648937A8"/>
    <w:rsid w:val="648B1BA9"/>
    <w:rsid w:val="648D0F64"/>
    <w:rsid w:val="649449E8"/>
    <w:rsid w:val="649D5D6D"/>
    <w:rsid w:val="64A9391A"/>
    <w:rsid w:val="64AF7CA6"/>
    <w:rsid w:val="64D77B16"/>
    <w:rsid w:val="64F953C5"/>
    <w:rsid w:val="651B533C"/>
    <w:rsid w:val="651E27DC"/>
    <w:rsid w:val="65206DF6"/>
    <w:rsid w:val="65291D8F"/>
    <w:rsid w:val="65570D94"/>
    <w:rsid w:val="655774EE"/>
    <w:rsid w:val="65795592"/>
    <w:rsid w:val="65802677"/>
    <w:rsid w:val="65A10F4D"/>
    <w:rsid w:val="65A93335"/>
    <w:rsid w:val="65BC5BDE"/>
    <w:rsid w:val="65D3678B"/>
    <w:rsid w:val="65DB69B9"/>
    <w:rsid w:val="65E142CF"/>
    <w:rsid w:val="65F16DEF"/>
    <w:rsid w:val="65FF5B93"/>
    <w:rsid w:val="660540EE"/>
    <w:rsid w:val="66081715"/>
    <w:rsid w:val="661673E0"/>
    <w:rsid w:val="661A1A97"/>
    <w:rsid w:val="661A3845"/>
    <w:rsid w:val="661B00EA"/>
    <w:rsid w:val="661D360B"/>
    <w:rsid w:val="66523C3F"/>
    <w:rsid w:val="66541F53"/>
    <w:rsid w:val="665C126F"/>
    <w:rsid w:val="6660647F"/>
    <w:rsid w:val="66613222"/>
    <w:rsid w:val="667762F5"/>
    <w:rsid w:val="66820F47"/>
    <w:rsid w:val="668A782A"/>
    <w:rsid w:val="66AF1795"/>
    <w:rsid w:val="66B07CC1"/>
    <w:rsid w:val="66B14B24"/>
    <w:rsid w:val="66B27D18"/>
    <w:rsid w:val="66D1442C"/>
    <w:rsid w:val="66D47E7F"/>
    <w:rsid w:val="66D64E5B"/>
    <w:rsid w:val="66DD089D"/>
    <w:rsid w:val="66F0016C"/>
    <w:rsid w:val="66FA0812"/>
    <w:rsid w:val="66FB2BD0"/>
    <w:rsid w:val="66FC2971"/>
    <w:rsid w:val="670008EB"/>
    <w:rsid w:val="67103ED9"/>
    <w:rsid w:val="67262B05"/>
    <w:rsid w:val="672C7CD4"/>
    <w:rsid w:val="674E513F"/>
    <w:rsid w:val="674E6BDA"/>
    <w:rsid w:val="67610E75"/>
    <w:rsid w:val="676F0F89"/>
    <w:rsid w:val="677178CC"/>
    <w:rsid w:val="677977BA"/>
    <w:rsid w:val="67797A29"/>
    <w:rsid w:val="679D31F9"/>
    <w:rsid w:val="679D3BF4"/>
    <w:rsid w:val="679D472E"/>
    <w:rsid w:val="67A41618"/>
    <w:rsid w:val="67AE4749"/>
    <w:rsid w:val="67B40D79"/>
    <w:rsid w:val="67C56A11"/>
    <w:rsid w:val="67DC3A63"/>
    <w:rsid w:val="67E071EA"/>
    <w:rsid w:val="67FC4971"/>
    <w:rsid w:val="68221BAF"/>
    <w:rsid w:val="682D62D9"/>
    <w:rsid w:val="685143BC"/>
    <w:rsid w:val="68542A0A"/>
    <w:rsid w:val="68555296"/>
    <w:rsid w:val="686C1E80"/>
    <w:rsid w:val="689079C3"/>
    <w:rsid w:val="689A2A1B"/>
    <w:rsid w:val="68D46A71"/>
    <w:rsid w:val="68D56910"/>
    <w:rsid w:val="68EF70C5"/>
    <w:rsid w:val="68F22D9F"/>
    <w:rsid w:val="69162C86"/>
    <w:rsid w:val="69180AD7"/>
    <w:rsid w:val="69214083"/>
    <w:rsid w:val="69456B9A"/>
    <w:rsid w:val="69481344"/>
    <w:rsid w:val="695700E3"/>
    <w:rsid w:val="6980516E"/>
    <w:rsid w:val="698B51FD"/>
    <w:rsid w:val="69960468"/>
    <w:rsid w:val="69A109AD"/>
    <w:rsid w:val="69B875FD"/>
    <w:rsid w:val="69D5796F"/>
    <w:rsid w:val="69E00AE8"/>
    <w:rsid w:val="69E2467A"/>
    <w:rsid w:val="69F101EA"/>
    <w:rsid w:val="69F448E4"/>
    <w:rsid w:val="6A0606AA"/>
    <w:rsid w:val="6A090874"/>
    <w:rsid w:val="6A0F6D29"/>
    <w:rsid w:val="6A1231B1"/>
    <w:rsid w:val="6A1B780C"/>
    <w:rsid w:val="6A206086"/>
    <w:rsid w:val="6A3F0B90"/>
    <w:rsid w:val="6A3F71AB"/>
    <w:rsid w:val="6A407F9F"/>
    <w:rsid w:val="6A4620BF"/>
    <w:rsid w:val="6A4D5F32"/>
    <w:rsid w:val="6A5D65D9"/>
    <w:rsid w:val="6A6908F7"/>
    <w:rsid w:val="6A722F0B"/>
    <w:rsid w:val="6A7A4D5B"/>
    <w:rsid w:val="6A7E7518"/>
    <w:rsid w:val="6A825953"/>
    <w:rsid w:val="6A881C38"/>
    <w:rsid w:val="6A8A11E6"/>
    <w:rsid w:val="6A8B2F63"/>
    <w:rsid w:val="6A9C5BA1"/>
    <w:rsid w:val="6A9C6F1F"/>
    <w:rsid w:val="6AC034F3"/>
    <w:rsid w:val="6AC96987"/>
    <w:rsid w:val="6AD24017"/>
    <w:rsid w:val="6AD42C61"/>
    <w:rsid w:val="6AE14092"/>
    <w:rsid w:val="6AEA323D"/>
    <w:rsid w:val="6AF07997"/>
    <w:rsid w:val="6AF5032D"/>
    <w:rsid w:val="6AFB2812"/>
    <w:rsid w:val="6AFF182D"/>
    <w:rsid w:val="6B0105E0"/>
    <w:rsid w:val="6B032C8C"/>
    <w:rsid w:val="6B243303"/>
    <w:rsid w:val="6B3569BE"/>
    <w:rsid w:val="6B3A1CE8"/>
    <w:rsid w:val="6B3E4E41"/>
    <w:rsid w:val="6B4D49EF"/>
    <w:rsid w:val="6B556078"/>
    <w:rsid w:val="6B565CD0"/>
    <w:rsid w:val="6B68013D"/>
    <w:rsid w:val="6B7022D0"/>
    <w:rsid w:val="6B7B5422"/>
    <w:rsid w:val="6B852192"/>
    <w:rsid w:val="6B925A32"/>
    <w:rsid w:val="6B9C4F5E"/>
    <w:rsid w:val="6BA92B5A"/>
    <w:rsid w:val="6BB42760"/>
    <w:rsid w:val="6BD37065"/>
    <w:rsid w:val="6BE13B5E"/>
    <w:rsid w:val="6BE31674"/>
    <w:rsid w:val="6BE95EA9"/>
    <w:rsid w:val="6BEA6094"/>
    <w:rsid w:val="6C114575"/>
    <w:rsid w:val="6C3E2214"/>
    <w:rsid w:val="6C427652"/>
    <w:rsid w:val="6C4D48CD"/>
    <w:rsid w:val="6C8202CD"/>
    <w:rsid w:val="6C8639E2"/>
    <w:rsid w:val="6C961621"/>
    <w:rsid w:val="6C9D5038"/>
    <w:rsid w:val="6CBB7DE1"/>
    <w:rsid w:val="6CC445CB"/>
    <w:rsid w:val="6CD042ED"/>
    <w:rsid w:val="6CDA2357"/>
    <w:rsid w:val="6CE8212C"/>
    <w:rsid w:val="6CF01775"/>
    <w:rsid w:val="6CFB62C0"/>
    <w:rsid w:val="6CFD7CAA"/>
    <w:rsid w:val="6D026DE8"/>
    <w:rsid w:val="6D0316B2"/>
    <w:rsid w:val="6D087337"/>
    <w:rsid w:val="6D0E1321"/>
    <w:rsid w:val="6D104BE0"/>
    <w:rsid w:val="6D132371"/>
    <w:rsid w:val="6D1338DD"/>
    <w:rsid w:val="6D153789"/>
    <w:rsid w:val="6D3B4D97"/>
    <w:rsid w:val="6D487B73"/>
    <w:rsid w:val="6D4A2408"/>
    <w:rsid w:val="6D4B1E5A"/>
    <w:rsid w:val="6D5E70E9"/>
    <w:rsid w:val="6D6729D8"/>
    <w:rsid w:val="6D6E09F2"/>
    <w:rsid w:val="6D852386"/>
    <w:rsid w:val="6DBD67AE"/>
    <w:rsid w:val="6DCF3167"/>
    <w:rsid w:val="6DD54C21"/>
    <w:rsid w:val="6DF453C2"/>
    <w:rsid w:val="6DFC1EB9"/>
    <w:rsid w:val="6E25722B"/>
    <w:rsid w:val="6E3363CE"/>
    <w:rsid w:val="6E3C316F"/>
    <w:rsid w:val="6E453429"/>
    <w:rsid w:val="6E456275"/>
    <w:rsid w:val="6E4E36BD"/>
    <w:rsid w:val="6E6127F4"/>
    <w:rsid w:val="6E631ECC"/>
    <w:rsid w:val="6E860D5E"/>
    <w:rsid w:val="6E880670"/>
    <w:rsid w:val="6E9028F6"/>
    <w:rsid w:val="6EB7522E"/>
    <w:rsid w:val="6EC002E5"/>
    <w:rsid w:val="6EC64ECD"/>
    <w:rsid w:val="6EC71F62"/>
    <w:rsid w:val="6ECD2CED"/>
    <w:rsid w:val="6EE1422E"/>
    <w:rsid w:val="6EE449F0"/>
    <w:rsid w:val="6EF14DB2"/>
    <w:rsid w:val="6EFA06B8"/>
    <w:rsid w:val="6F046E40"/>
    <w:rsid w:val="6F1743AC"/>
    <w:rsid w:val="6F3E2352"/>
    <w:rsid w:val="6F4656AB"/>
    <w:rsid w:val="6F5C1867"/>
    <w:rsid w:val="6F5C3F48"/>
    <w:rsid w:val="6F61462B"/>
    <w:rsid w:val="6F6D6714"/>
    <w:rsid w:val="6F8561D3"/>
    <w:rsid w:val="6F926B42"/>
    <w:rsid w:val="6F9C2017"/>
    <w:rsid w:val="6FB37BE5"/>
    <w:rsid w:val="6FC2450B"/>
    <w:rsid w:val="6FC7059A"/>
    <w:rsid w:val="6FCA64CD"/>
    <w:rsid w:val="6FE112C4"/>
    <w:rsid w:val="6FF069FB"/>
    <w:rsid w:val="6FF36A80"/>
    <w:rsid w:val="6FFB0619"/>
    <w:rsid w:val="6FFD7D02"/>
    <w:rsid w:val="70020E6A"/>
    <w:rsid w:val="701A60AC"/>
    <w:rsid w:val="702149D3"/>
    <w:rsid w:val="7021684B"/>
    <w:rsid w:val="70217D0F"/>
    <w:rsid w:val="7045295A"/>
    <w:rsid w:val="7047527A"/>
    <w:rsid w:val="704E0CBB"/>
    <w:rsid w:val="7056241A"/>
    <w:rsid w:val="707B2CB1"/>
    <w:rsid w:val="70924B19"/>
    <w:rsid w:val="70952588"/>
    <w:rsid w:val="70A34833"/>
    <w:rsid w:val="70B75478"/>
    <w:rsid w:val="70BA7DE6"/>
    <w:rsid w:val="70BF74C3"/>
    <w:rsid w:val="70D56048"/>
    <w:rsid w:val="70DA3248"/>
    <w:rsid w:val="71027F8C"/>
    <w:rsid w:val="712A4901"/>
    <w:rsid w:val="71391F94"/>
    <w:rsid w:val="7148395C"/>
    <w:rsid w:val="715D7335"/>
    <w:rsid w:val="717159EA"/>
    <w:rsid w:val="71777F8A"/>
    <w:rsid w:val="719340CC"/>
    <w:rsid w:val="71946BA2"/>
    <w:rsid w:val="71A412EF"/>
    <w:rsid w:val="71B106B0"/>
    <w:rsid w:val="71B61A42"/>
    <w:rsid w:val="71BB267E"/>
    <w:rsid w:val="71BE59CD"/>
    <w:rsid w:val="71C32243"/>
    <w:rsid w:val="71D94178"/>
    <w:rsid w:val="71E258E0"/>
    <w:rsid w:val="71E450CA"/>
    <w:rsid w:val="71EA7F5E"/>
    <w:rsid w:val="71EE0EE5"/>
    <w:rsid w:val="71F773F9"/>
    <w:rsid w:val="71FB452B"/>
    <w:rsid w:val="72025ED5"/>
    <w:rsid w:val="720A7322"/>
    <w:rsid w:val="72137E38"/>
    <w:rsid w:val="721E571E"/>
    <w:rsid w:val="721F7D69"/>
    <w:rsid w:val="7225336C"/>
    <w:rsid w:val="722E3E35"/>
    <w:rsid w:val="724A7260"/>
    <w:rsid w:val="724B68D9"/>
    <w:rsid w:val="72541E8D"/>
    <w:rsid w:val="725E62FA"/>
    <w:rsid w:val="72860473"/>
    <w:rsid w:val="7299364D"/>
    <w:rsid w:val="72C16C93"/>
    <w:rsid w:val="72D66A82"/>
    <w:rsid w:val="72D67597"/>
    <w:rsid w:val="72E43D31"/>
    <w:rsid w:val="72FF6E9B"/>
    <w:rsid w:val="73027148"/>
    <w:rsid w:val="7305147C"/>
    <w:rsid w:val="731A30F8"/>
    <w:rsid w:val="733A7EE8"/>
    <w:rsid w:val="734D11ED"/>
    <w:rsid w:val="735A55D3"/>
    <w:rsid w:val="73621B80"/>
    <w:rsid w:val="7375174D"/>
    <w:rsid w:val="73795D83"/>
    <w:rsid w:val="737B6EF7"/>
    <w:rsid w:val="73850D73"/>
    <w:rsid w:val="738B56FD"/>
    <w:rsid w:val="738B5D82"/>
    <w:rsid w:val="73993FFB"/>
    <w:rsid w:val="739F2E93"/>
    <w:rsid w:val="73A60FE9"/>
    <w:rsid w:val="73B8143C"/>
    <w:rsid w:val="73C06788"/>
    <w:rsid w:val="73D813D5"/>
    <w:rsid w:val="73DB1F8F"/>
    <w:rsid w:val="73DE1B70"/>
    <w:rsid w:val="73E6120B"/>
    <w:rsid w:val="741378E4"/>
    <w:rsid w:val="74213FF1"/>
    <w:rsid w:val="743138C9"/>
    <w:rsid w:val="74497E8D"/>
    <w:rsid w:val="744F70D5"/>
    <w:rsid w:val="74542618"/>
    <w:rsid w:val="746B1062"/>
    <w:rsid w:val="74836A59"/>
    <w:rsid w:val="74890514"/>
    <w:rsid w:val="74957A1D"/>
    <w:rsid w:val="74976F8C"/>
    <w:rsid w:val="749C28D6"/>
    <w:rsid w:val="74AC2DBE"/>
    <w:rsid w:val="74B03CF2"/>
    <w:rsid w:val="74B4279D"/>
    <w:rsid w:val="74C959EF"/>
    <w:rsid w:val="74D13C69"/>
    <w:rsid w:val="74D226D8"/>
    <w:rsid w:val="74D951DD"/>
    <w:rsid w:val="74E36253"/>
    <w:rsid w:val="74F273DA"/>
    <w:rsid w:val="74F600B5"/>
    <w:rsid w:val="750C6A4F"/>
    <w:rsid w:val="75102AF5"/>
    <w:rsid w:val="751C1B98"/>
    <w:rsid w:val="752E2E69"/>
    <w:rsid w:val="753F1C14"/>
    <w:rsid w:val="75404D65"/>
    <w:rsid w:val="75410DEE"/>
    <w:rsid w:val="754B45FC"/>
    <w:rsid w:val="754C4FE3"/>
    <w:rsid w:val="75780005"/>
    <w:rsid w:val="75846F2D"/>
    <w:rsid w:val="758E56B6"/>
    <w:rsid w:val="759D26FD"/>
    <w:rsid w:val="75BA7DC9"/>
    <w:rsid w:val="75C158E1"/>
    <w:rsid w:val="75D75BBF"/>
    <w:rsid w:val="75F25C45"/>
    <w:rsid w:val="75F8173D"/>
    <w:rsid w:val="75FE15A4"/>
    <w:rsid w:val="76087EFE"/>
    <w:rsid w:val="762F3987"/>
    <w:rsid w:val="763146BA"/>
    <w:rsid w:val="76373F9F"/>
    <w:rsid w:val="763C17CD"/>
    <w:rsid w:val="7651209F"/>
    <w:rsid w:val="765A396A"/>
    <w:rsid w:val="765B5EE0"/>
    <w:rsid w:val="76625186"/>
    <w:rsid w:val="76694515"/>
    <w:rsid w:val="7671183A"/>
    <w:rsid w:val="76795A9A"/>
    <w:rsid w:val="76850BE3"/>
    <w:rsid w:val="768E7AAD"/>
    <w:rsid w:val="769D37DC"/>
    <w:rsid w:val="76AD1FDF"/>
    <w:rsid w:val="76AF483A"/>
    <w:rsid w:val="76C37C6F"/>
    <w:rsid w:val="76C61386"/>
    <w:rsid w:val="76CF1D13"/>
    <w:rsid w:val="76D56664"/>
    <w:rsid w:val="76E81AE6"/>
    <w:rsid w:val="76FD0D45"/>
    <w:rsid w:val="77000835"/>
    <w:rsid w:val="770802F0"/>
    <w:rsid w:val="771025D4"/>
    <w:rsid w:val="77115FC5"/>
    <w:rsid w:val="77196438"/>
    <w:rsid w:val="77326AF1"/>
    <w:rsid w:val="77342D6F"/>
    <w:rsid w:val="77383B2B"/>
    <w:rsid w:val="773B467C"/>
    <w:rsid w:val="775B5775"/>
    <w:rsid w:val="775E0D1F"/>
    <w:rsid w:val="776655B0"/>
    <w:rsid w:val="77685B26"/>
    <w:rsid w:val="777B5097"/>
    <w:rsid w:val="777E55F4"/>
    <w:rsid w:val="777F79AC"/>
    <w:rsid w:val="77820DEB"/>
    <w:rsid w:val="7792671F"/>
    <w:rsid w:val="7797445D"/>
    <w:rsid w:val="77986D62"/>
    <w:rsid w:val="77A015C8"/>
    <w:rsid w:val="77A92E90"/>
    <w:rsid w:val="77B650A0"/>
    <w:rsid w:val="77CE0481"/>
    <w:rsid w:val="77E43CB3"/>
    <w:rsid w:val="77EC7456"/>
    <w:rsid w:val="77EE7D89"/>
    <w:rsid w:val="77EF0483"/>
    <w:rsid w:val="78131205"/>
    <w:rsid w:val="781911C5"/>
    <w:rsid w:val="781A279F"/>
    <w:rsid w:val="782500E0"/>
    <w:rsid w:val="782F5811"/>
    <w:rsid w:val="78384A59"/>
    <w:rsid w:val="783B343E"/>
    <w:rsid w:val="78491B75"/>
    <w:rsid w:val="784A2663"/>
    <w:rsid w:val="784A43B3"/>
    <w:rsid w:val="78511348"/>
    <w:rsid w:val="785250C1"/>
    <w:rsid w:val="78564BB1"/>
    <w:rsid w:val="78581051"/>
    <w:rsid w:val="786228CD"/>
    <w:rsid w:val="786F0FB8"/>
    <w:rsid w:val="78714DF4"/>
    <w:rsid w:val="78721CEF"/>
    <w:rsid w:val="787234C6"/>
    <w:rsid w:val="78756296"/>
    <w:rsid w:val="788334CC"/>
    <w:rsid w:val="78954AB2"/>
    <w:rsid w:val="78A468D5"/>
    <w:rsid w:val="78B20233"/>
    <w:rsid w:val="78D12FAA"/>
    <w:rsid w:val="78D855C6"/>
    <w:rsid w:val="78FC0536"/>
    <w:rsid w:val="78FE7954"/>
    <w:rsid w:val="79315979"/>
    <w:rsid w:val="79424F4F"/>
    <w:rsid w:val="795831E5"/>
    <w:rsid w:val="796E7E54"/>
    <w:rsid w:val="79756315"/>
    <w:rsid w:val="79765CDA"/>
    <w:rsid w:val="798B6ADC"/>
    <w:rsid w:val="79A47621"/>
    <w:rsid w:val="79AA18D2"/>
    <w:rsid w:val="79AB6836"/>
    <w:rsid w:val="79C56A19"/>
    <w:rsid w:val="79D957CA"/>
    <w:rsid w:val="79DA621C"/>
    <w:rsid w:val="79ED729C"/>
    <w:rsid w:val="7A0A78E3"/>
    <w:rsid w:val="7A2465E9"/>
    <w:rsid w:val="7A364577"/>
    <w:rsid w:val="7A54735F"/>
    <w:rsid w:val="7A5A319C"/>
    <w:rsid w:val="7A5B64AE"/>
    <w:rsid w:val="7A5C5D83"/>
    <w:rsid w:val="7A681FA7"/>
    <w:rsid w:val="7A6963D8"/>
    <w:rsid w:val="7A8D6E37"/>
    <w:rsid w:val="7AA21823"/>
    <w:rsid w:val="7AA7070E"/>
    <w:rsid w:val="7AA900DE"/>
    <w:rsid w:val="7AA936C9"/>
    <w:rsid w:val="7AB12D4C"/>
    <w:rsid w:val="7AD37F76"/>
    <w:rsid w:val="7AF32BF3"/>
    <w:rsid w:val="7AF771AA"/>
    <w:rsid w:val="7B063D79"/>
    <w:rsid w:val="7B095F0A"/>
    <w:rsid w:val="7B116B6D"/>
    <w:rsid w:val="7B190BA4"/>
    <w:rsid w:val="7B334D35"/>
    <w:rsid w:val="7B36137C"/>
    <w:rsid w:val="7B3A2568"/>
    <w:rsid w:val="7B51165F"/>
    <w:rsid w:val="7B6F5B5B"/>
    <w:rsid w:val="7B7415FA"/>
    <w:rsid w:val="7B765886"/>
    <w:rsid w:val="7B7C4D25"/>
    <w:rsid w:val="7B893C25"/>
    <w:rsid w:val="7B8B5C40"/>
    <w:rsid w:val="7B90640C"/>
    <w:rsid w:val="7B922E29"/>
    <w:rsid w:val="7BAB0D70"/>
    <w:rsid w:val="7BBC11CF"/>
    <w:rsid w:val="7BBF79A8"/>
    <w:rsid w:val="7BC24F1F"/>
    <w:rsid w:val="7BE129E3"/>
    <w:rsid w:val="7BE23EB3"/>
    <w:rsid w:val="7BE91898"/>
    <w:rsid w:val="7BF72207"/>
    <w:rsid w:val="7C161B08"/>
    <w:rsid w:val="7C3A2FA7"/>
    <w:rsid w:val="7C541407"/>
    <w:rsid w:val="7C5840BF"/>
    <w:rsid w:val="7C6D071B"/>
    <w:rsid w:val="7C84107F"/>
    <w:rsid w:val="7C9909ED"/>
    <w:rsid w:val="7C9C2291"/>
    <w:rsid w:val="7CA46921"/>
    <w:rsid w:val="7CA56991"/>
    <w:rsid w:val="7CA71E0B"/>
    <w:rsid w:val="7CB85E09"/>
    <w:rsid w:val="7CFE3A42"/>
    <w:rsid w:val="7CFF1519"/>
    <w:rsid w:val="7D013878"/>
    <w:rsid w:val="7D0F508E"/>
    <w:rsid w:val="7D17450A"/>
    <w:rsid w:val="7D1943FF"/>
    <w:rsid w:val="7D2557AC"/>
    <w:rsid w:val="7D3F099E"/>
    <w:rsid w:val="7D4B01E2"/>
    <w:rsid w:val="7D533A52"/>
    <w:rsid w:val="7D5B43D0"/>
    <w:rsid w:val="7D6243C6"/>
    <w:rsid w:val="7D76523E"/>
    <w:rsid w:val="7D781E69"/>
    <w:rsid w:val="7D7B5075"/>
    <w:rsid w:val="7D832173"/>
    <w:rsid w:val="7D8A3C14"/>
    <w:rsid w:val="7D8C5B06"/>
    <w:rsid w:val="7D934401"/>
    <w:rsid w:val="7D953960"/>
    <w:rsid w:val="7D961406"/>
    <w:rsid w:val="7DA56991"/>
    <w:rsid w:val="7DA623C2"/>
    <w:rsid w:val="7DA737B9"/>
    <w:rsid w:val="7DB639FC"/>
    <w:rsid w:val="7DFF0E02"/>
    <w:rsid w:val="7E070C8C"/>
    <w:rsid w:val="7E0800A0"/>
    <w:rsid w:val="7E0C521E"/>
    <w:rsid w:val="7E0E7E19"/>
    <w:rsid w:val="7E1840CC"/>
    <w:rsid w:val="7E1964D0"/>
    <w:rsid w:val="7E303249"/>
    <w:rsid w:val="7E525E1A"/>
    <w:rsid w:val="7E555123"/>
    <w:rsid w:val="7E557656"/>
    <w:rsid w:val="7E7538B7"/>
    <w:rsid w:val="7E841CD2"/>
    <w:rsid w:val="7E844BCE"/>
    <w:rsid w:val="7E8D660B"/>
    <w:rsid w:val="7E9433D2"/>
    <w:rsid w:val="7E992085"/>
    <w:rsid w:val="7EB47F46"/>
    <w:rsid w:val="7EB94600"/>
    <w:rsid w:val="7ECF7C45"/>
    <w:rsid w:val="7ED82860"/>
    <w:rsid w:val="7EF45DB1"/>
    <w:rsid w:val="7EFD2358"/>
    <w:rsid w:val="7EFF5324"/>
    <w:rsid w:val="7F03165A"/>
    <w:rsid w:val="7F077A20"/>
    <w:rsid w:val="7F077BC2"/>
    <w:rsid w:val="7F09267A"/>
    <w:rsid w:val="7F0E2EB9"/>
    <w:rsid w:val="7F2B23E6"/>
    <w:rsid w:val="7F2B4123"/>
    <w:rsid w:val="7F3426C9"/>
    <w:rsid w:val="7F3E0944"/>
    <w:rsid w:val="7F3E5DC7"/>
    <w:rsid w:val="7F5C2ED4"/>
    <w:rsid w:val="7F5E061E"/>
    <w:rsid w:val="7F643B5C"/>
    <w:rsid w:val="7F8A3D01"/>
    <w:rsid w:val="7F8B6823"/>
    <w:rsid w:val="7F9B25D3"/>
    <w:rsid w:val="7F9C4EBD"/>
    <w:rsid w:val="7FAD310E"/>
    <w:rsid w:val="7FCD6742"/>
    <w:rsid w:val="7FE44850"/>
    <w:rsid w:val="7FE546A7"/>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0"/>
    <w:qFormat/>
    <w:uiPriority w:val="0"/>
    <w:pPr>
      <w:keepNext/>
      <w:keepLines/>
      <w:spacing w:line="440" w:lineRule="exact"/>
      <w:jc w:val="center"/>
      <w:outlineLvl w:val="0"/>
    </w:pPr>
    <w:rPr>
      <w:b/>
      <w:bCs/>
      <w:kern w:val="44"/>
      <w:sz w:val="44"/>
      <w:szCs w:val="44"/>
    </w:rPr>
  </w:style>
  <w:style w:type="paragraph" w:styleId="3">
    <w:name w:val="heading 2"/>
    <w:basedOn w:val="1"/>
    <w:next w:val="1"/>
    <w:link w:val="197"/>
    <w:qFormat/>
    <w:uiPriority w:val="0"/>
    <w:pPr>
      <w:keepNext/>
      <w:keepLines/>
      <w:spacing w:line="440" w:lineRule="exact"/>
      <w:jc w:val="left"/>
      <w:outlineLvl w:val="1"/>
    </w:pPr>
    <w:rPr>
      <w:rFonts w:ascii="Arial" w:hAnsi="Arial" w:eastAsia="黑体"/>
      <w:b/>
      <w:bCs/>
      <w:szCs w:val="32"/>
    </w:rPr>
  </w:style>
  <w:style w:type="paragraph" w:styleId="4">
    <w:name w:val="heading 3"/>
    <w:basedOn w:val="1"/>
    <w:next w:val="1"/>
    <w:link w:val="153"/>
    <w:qFormat/>
    <w:uiPriority w:val="0"/>
    <w:pPr>
      <w:keepNext/>
      <w:keepLines/>
      <w:spacing w:line="415" w:lineRule="auto"/>
      <w:outlineLvl w:val="2"/>
    </w:pPr>
    <w:rPr>
      <w:b/>
      <w:bCs/>
      <w:kern w:val="0"/>
      <w:sz w:val="32"/>
      <w:szCs w:val="32"/>
    </w:rPr>
  </w:style>
  <w:style w:type="paragraph" w:styleId="5">
    <w:name w:val="heading 4"/>
    <w:basedOn w:val="1"/>
    <w:next w:val="1"/>
    <w:qFormat/>
    <w:uiPriority w:val="0"/>
    <w:pPr>
      <w:keepNext/>
      <w:keepLines/>
      <w:spacing w:line="374" w:lineRule="auto"/>
      <w:outlineLvl w:val="3"/>
    </w:pPr>
    <w:rPr>
      <w:rFonts w:ascii="Arial" w:hAnsi="Arial" w:eastAsia="黑体"/>
      <w:b/>
      <w:bCs/>
      <w:sz w:val="28"/>
      <w:szCs w:val="28"/>
    </w:rPr>
  </w:style>
  <w:style w:type="paragraph" w:styleId="6">
    <w:name w:val="heading 5"/>
    <w:basedOn w:val="1"/>
    <w:next w:val="1"/>
    <w:link w:val="129"/>
    <w:qFormat/>
    <w:uiPriority w:val="0"/>
    <w:pPr>
      <w:keepNext/>
      <w:keepLines/>
      <w:spacing w:line="376" w:lineRule="auto"/>
      <w:outlineLvl w:val="4"/>
    </w:pPr>
    <w:rPr>
      <w:b/>
      <w:bCs/>
      <w:sz w:val="28"/>
      <w:szCs w:val="28"/>
    </w:rPr>
  </w:style>
  <w:style w:type="paragraph" w:styleId="7">
    <w:name w:val="heading 6"/>
    <w:basedOn w:val="1"/>
    <w:next w:val="1"/>
    <w:qFormat/>
    <w:uiPriority w:val="0"/>
    <w:pPr>
      <w:keepNext/>
      <w:keepLines/>
      <w:widowControl/>
      <w:tabs>
        <w:tab w:val="left" w:pos="1440"/>
      </w:tabs>
      <w:spacing w:line="319" w:lineRule="auto"/>
      <w:ind w:left="1152" w:hanging="1152"/>
      <w:jc w:val="left"/>
      <w:outlineLvl w:val="5"/>
    </w:pPr>
    <w:rPr>
      <w:rFonts w:ascii="Arial" w:hAnsi="Arial" w:eastAsia="黑体"/>
      <w:b/>
      <w:bCs/>
      <w:kern w:val="0"/>
      <w:sz w:val="24"/>
    </w:rPr>
  </w:style>
  <w:style w:type="paragraph" w:styleId="8">
    <w:name w:val="heading 7"/>
    <w:basedOn w:val="1"/>
    <w:next w:val="1"/>
    <w:qFormat/>
    <w:uiPriority w:val="0"/>
    <w:pPr>
      <w:keepNext/>
      <w:keepLines/>
      <w:widowControl/>
      <w:tabs>
        <w:tab w:val="left" w:pos="2520"/>
      </w:tabs>
      <w:spacing w:line="319" w:lineRule="auto"/>
      <w:ind w:left="1296" w:hanging="1296"/>
      <w:jc w:val="left"/>
      <w:outlineLvl w:val="6"/>
    </w:pPr>
    <w:rPr>
      <w:b/>
      <w:bCs/>
      <w:kern w:val="0"/>
      <w:sz w:val="24"/>
    </w:rPr>
  </w:style>
  <w:style w:type="paragraph" w:styleId="9">
    <w:name w:val="heading 8"/>
    <w:basedOn w:val="1"/>
    <w:next w:val="1"/>
    <w:qFormat/>
    <w:uiPriority w:val="0"/>
    <w:pPr>
      <w:keepNext/>
      <w:keepLines/>
      <w:widowControl/>
      <w:tabs>
        <w:tab w:val="left" w:pos="1440"/>
      </w:tabs>
      <w:spacing w:line="319" w:lineRule="auto"/>
      <w:ind w:left="1440" w:hanging="1440"/>
      <w:jc w:val="left"/>
      <w:outlineLvl w:val="7"/>
    </w:pPr>
    <w:rPr>
      <w:rFonts w:ascii="Arial" w:hAnsi="Arial" w:eastAsia="黑体"/>
      <w:kern w:val="0"/>
      <w:sz w:val="24"/>
    </w:rPr>
  </w:style>
  <w:style w:type="paragraph" w:styleId="10">
    <w:name w:val="heading 9"/>
    <w:basedOn w:val="1"/>
    <w:next w:val="1"/>
    <w:qFormat/>
    <w:uiPriority w:val="0"/>
    <w:pPr>
      <w:keepNext/>
      <w:keepLines/>
      <w:widowControl/>
      <w:tabs>
        <w:tab w:val="left" w:pos="1584"/>
      </w:tabs>
      <w:spacing w:line="319" w:lineRule="auto"/>
      <w:ind w:left="1584" w:hanging="1584"/>
      <w:jc w:val="left"/>
      <w:outlineLvl w:val="8"/>
    </w:pPr>
    <w:rPr>
      <w:rFonts w:ascii="Arial" w:hAnsi="Arial" w:eastAsia="黑体"/>
      <w:kern w:val="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 w:val="18"/>
      <w:szCs w:val="18"/>
    </w:rPr>
  </w:style>
  <w:style w:type="paragraph" w:styleId="12">
    <w:name w:val="table of authorities"/>
    <w:basedOn w:val="1"/>
    <w:next w:val="1"/>
    <w:unhideWhenUsed/>
    <w:qFormat/>
    <w:uiPriority w:val="0"/>
    <w:pPr>
      <w:ind w:left="420" w:leftChars="200"/>
    </w:pPr>
  </w:style>
  <w:style w:type="paragraph" w:styleId="13">
    <w:name w:val="Normal Indent"/>
    <w:basedOn w:val="1"/>
    <w:next w:val="14"/>
    <w:qFormat/>
    <w:uiPriority w:val="0"/>
    <w:pPr>
      <w:ind w:firstLine="420" w:firstLineChars="200"/>
    </w:pPr>
  </w:style>
  <w:style w:type="paragraph" w:styleId="14">
    <w:name w:val="Body Text First Indent 2"/>
    <w:basedOn w:val="15"/>
    <w:next w:val="16"/>
    <w:qFormat/>
    <w:uiPriority w:val="0"/>
    <w:pPr>
      <w:spacing w:line="360" w:lineRule="auto"/>
      <w:ind w:firstLine="200" w:firstLineChars="200"/>
    </w:pPr>
    <w:rPr>
      <w:rFonts w:ascii="宋体"/>
      <w:szCs w:val="20"/>
    </w:rPr>
  </w:style>
  <w:style w:type="paragraph" w:styleId="15">
    <w:name w:val="Body Text Indent"/>
    <w:basedOn w:val="1"/>
    <w:next w:val="16"/>
    <w:qFormat/>
    <w:uiPriority w:val="0"/>
    <w:pPr>
      <w:ind w:left="420" w:leftChars="200"/>
    </w:pPr>
  </w:style>
  <w:style w:type="paragraph" w:customStyle="1" w:styleId="16">
    <w:name w:val="正文文字 8"/>
    <w:basedOn w:val="1"/>
    <w:next w:val="1"/>
    <w:qFormat/>
    <w:uiPriority w:val="0"/>
    <w:pPr>
      <w:ind w:left="240"/>
    </w:pPr>
    <w:rPr>
      <w:sz w:val="16"/>
    </w:rPr>
  </w:style>
  <w:style w:type="paragraph" w:styleId="17">
    <w:name w:val="Document Map"/>
    <w:basedOn w:val="1"/>
    <w:qFormat/>
    <w:uiPriority w:val="0"/>
    <w:pPr>
      <w:shd w:val="clear" w:color="auto" w:fill="000080"/>
    </w:pPr>
  </w:style>
  <w:style w:type="paragraph" w:styleId="18">
    <w:name w:val="annotation text"/>
    <w:basedOn w:val="1"/>
    <w:link w:val="112"/>
    <w:qFormat/>
    <w:uiPriority w:val="0"/>
    <w:pPr>
      <w:jc w:val="left"/>
    </w:pPr>
  </w:style>
  <w:style w:type="paragraph" w:styleId="19">
    <w:name w:val="Body Text 3"/>
    <w:basedOn w:val="1"/>
    <w:qFormat/>
    <w:uiPriority w:val="0"/>
    <w:rPr>
      <w:rFonts w:ascii="宋体"/>
      <w:sz w:val="24"/>
      <w:szCs w:val="20"/>
    </w:rPr>
  </w:style>
  <w:style w:type="paragraph" w:styleId="20">
    <w:name w:val="Body Text"/>
    <w:basedOn w:val="1"/>
    <w:link w:val="142"/>
    <w:qFormat/>
    <w:uiPriority w:val="0"/>
  </w:style>
  <w:style w:type="paragraph" w:styleId="21">
    <w:name w:val="Block Text"/>
    <w:basedOn w:val="1"/>
    <w:qFormat/>
    <w:uiPriority w:val="0"/>
    <w:pPr>
      <w:spacing w:line="400" w:lineRule="exact"/>
      <w:ind w:left="-359" w:leftChars="-171" w:right="31" w:rightChars="15" w:firstLine="980" w:firstLineChars="350"/>
    </w:pPr>
    <w:rPr>
      <w:rFonts w:ascii="宋体" w:hAnsi="宋体"/>
      <w:sz w:val="28"/>
      <w:szCs w:val="32"/>
    </w:rPr>
  </w:style>
  <w:style w:type="paragraph" w:styleId="22">
    <w:name w:val="toc 5"/>
    <w:basedOn w:val="1"/>
    <w:next w:val="1"/>
    <w:qFormat/>
    <w:uiPriority w:val="39"/>
    <w:pPr>
      <w:ind w:left="840"/>
      <w:jc w:val="left"/>
    </w:pPr>
    <w:rPr>
      <w:sz w:val="18"/>
      <w:szCs w:val="18"/>
    </w:rPr>
  </w:style>
  <w:style w:type="paragraph" w:styleId="23">
    <w:name w:val="toc 3"/>
    <w:basedOn w:val="1"/>
    <w:next w:val="1"/>
    <w:qFormat/>
    <w:uiPriority w:val="39"/>
    <w:pPr>
      <w:ind w:left="420"/>
      <w:jc w:val="left"/>
    </w:pPr>
    <w:rPr>
      <w:i/>
      <w:iCs/>
      <w:sz w:val="20"/>
      <w:szCs w:val="20"/>
    </w:rPr>
  </w:style>
  <w:style w:type="paragraph" w:styleId="24">
    <w:name w:val="Plain Text"/>
    <w:basedOn w:val="1"/>
    <w:next w:val="1"/>
    <w:link w:val="136"/>
    <w:qFormat/>
    <w:uiPriority w:val="0"/>
    <w:rPr>
      <w:rFonts w:ascii="Courier New" w:hAnsi="Courier New"/>
      <w:szCs w:val="20"/>
    </w:rPr>
  </w:style>
  <w:style w:type="paragraph" w:styleId="25">
    <w:name w:val="toc 8"/>
    <w:basedOn w:val="1"/>
    <w:next w:val="1"/>
    <w:qFormat/>
    <w:uiPriority w:val="39"/>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line="360" w:lineRule="exact"/>
      <w:ind w:firstLine="600" w:firstLineChars="250"/>
      <w:jc w:val="left"/>
    </w:pPr>
    <w:rPr>
      <w:sz w:val="24"/>
    </w:r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envelope return"/>
    <w:basedOn w:val="1"/>
    <w:next w:val="11"/>
    <w:qFormat/>
    <w:uiPriority w:val="0"/>
    <w:pPr>
      <w:snapToGrid w:val="0"/>
    </w:pPr>
    <w:rPr>
      <w:rFonts w:ascii="Arial" w:hAnsi="Arial"/>
    </w:rPr>
  </w:style>
  <w:style w:type="paragraph" w:styleId="3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jc w:val="left"/>
    </w:pPr>
    <w:rPr>
      <w:b/>
      <w:bCs/>
      <w:caps/>
      <w:sz w:val="20"/>
      <w:szCs w:val="20"/>
    </w:rPr>
  </w:style>
  <w:style w:type="paragraph" w:styleId="33">
    <w:name w:val="toc 4"/>
    <w:basedOn w:val="1"/>
    <w:next w:val="1"/>
    <w:qFormat/>
    <w:uiPriority w:val="39"/>
    <w:pPr>
      <w:ind w:left="630"/>
      <w:jc w:val="left"/>
    </w:pPr>
    <w:rPr>
      <w:sz w:val="18"/>
      <w:szCs w:val="18"/>
    </w:rPr>
  </w:style>
  <w:style w:type="paragraph" w:styleId="34">
    <w:name w:val="List"/>
    <w:basedOn w:val="1"/>
    <w:qFormat/>
    <w:uiPriority w:val="0"/>
    <w:pPr>
      <w:ind w:left="420" w:hanging="420"/>
    </w:pPr>
  </w:style>
  <w:style w:type="paragraph" w:styleId="35">
    <w:name w:val="footnote text"/>
    <w:basedOn w:val="1"/>
    <w:qFormat/>
    <w:uiPriority w:val="0"/>
    <w:rPr>
      <w:sz w:val="20"/>
      <w:szCs w:val="20"/>
    </w:rPr>
  </w:style>
  <w:style w:type="paragraph" w:styleId="36">
    <w:name w:val="toc 6"/>
    <w:basedOn w:val="1"/>
    <w:next w:val="1"/>
    <w:qFormat/>
    <w:uiPriority w:val="39"/>
    <w:pPr>
      <w:ind w:left="1050"/>
      <w:jc w:val="left"/>
    </w:pPr>
    <w:rPr>
      <w:sz w:val="18"/>
      <w:szCs w:val="18"/>
    </w:rPr>
  </w:style>
  <w:style w:type="paragraph" w:styleId="37">
    <w:name w:val="Body Text Indent 3"/>
    <w:basedOn w:val="1"/>
    <w:qFormat/>
    <w:uiPriority w:val="0"/>
    <w:pPr>
      <w:ind w:left="420" w:leftChars="200"/>
    </w:pPr>
    <w:rPr>
      <w:sz w:val="16"/>
      <w:szCs w:val="16"/>
    </w:rPr>
  </w:style>
  <w:style w:type="paragraph" w:styleId="38">
    <w:name w:val="table of figures"/>
    <w:basedOn w:val="1"/>
    <w:next w:val="1"/>
    <w:qFormat/>
    <w:uiPriority w:val="0"/>
    <w:pPr>
      <w:ind w:left="200" w:leftChars="200" w:hanging="200" w:hangingChars="200"/>
    </w:pPr>
  </w:style>
  <w:style w:type="paragraph" w:styleId="39">
    <w:name w:val="toc 2"/>
    <w:basedOn w:val="1"/>
    <w:next w:val="1"/>
    <w:qFormat/>
    <w:uiPriority w:val="39"/>
    <w:pPr>
      <w:ind w:left="210"/>
      <w:jc w:val="left"/>
    </w:pPr>
    <w:rPr>
      <w:smallCaps/>
      <w:sz w:val="20"/>
      <w:szCs w:val="20"/>
    </w:rPr>
  </w:style>
  <w:style w:type="paragraph" w:styleId="40">
    <w:name w:val="toc 9"/>
    <w:basedOn w:val="1"/>
    <w:next w:val="1"/>
    <w:qFormat/>
    <w:uiPriority w:val="39"/>
    <w:pPr>
      <w:ind w:left="1680"/>
      <w:jc w:val="left"/>
    </w:pPr>
    <w:rPr>
      <w:sz w:val="18"/>
      <w:szCs w:val="18"/>
    </w:rPr>
  </w:style>
  <w:style w:type="paragraph" w:styleId="41">
    <w:name w:val="Body Text 2"/>
    <w:basedOn w:val="1"/>
    <w:qFormat/>
    <w:uiPriority w:val="0"/>
    <w:pPr>
      <w:spacing w:line="440" w:lineRule="exact"/>
    </w:pPr>
    <w:rPr>
      <w:sz w:val="28"/>
    </w:rPr>
  </w:style>
  <w:style w:type="paragraph" w:styleId="42">
    <w:name w:val="HTML Preformatted"/>
    <w:basedOn w:val="1"/>
    <w:link w:val="11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next w:val="16"/>
    <w:qFormat/>
    <w:uiPriority w:val="99"/>
    <w:pPr>
      <w:widowControl/>
      <w:spacing w:beforeAutospacing="1" w:afterAutospacing="1"/>
      <w:jc w:val="left"/>
    </w:pPr>
    <w:rPr>
      <w:rFonts w:ascii="宋体" w:hAnsi="宋体" w:cs="宋体"/>
      <w:kern w:val="0"/>
      <w:sz w:val="24"/>
    </w:rPr>
  </w:style>
  <w:style w:type="paragraph" w:styleId="44">
    <w:name w:val="Title"/>
    <w:basedOn w:val="1"/>
    <w:qFormat/>
    <w:uiPriority w:val="0"/>
    <w:pPr>
      <w:adjustRightInd w:val="0"/>
      <w:spacing w:line="420" w:lineRule="atLeast"/>
      <w:jc w:val="center"/>
      <w:textAlignment w:val="baseline"/>
      <w:outlineLvl w:val="0"/>
    </w:pPr>
    <w:rPr>
      <w:rFonts w:ascii="Arial" w:hAnsi="Arial"/>
      <w:b/>
      <w:kern w:val="0"/>
      <w:sz w:val="32"/>
      <w:szCs w:val="20"/>
    </w:rPr>
  </w:style>
  <w:style w:type="paragraph" w:styleId="45">
    <w:name w:val="annotation subject"/>
    <w:basedOn w:val="18"/>
    <w:next w:val="18"/>
    <w:qFormat/>
    <w:uiPriority w:val="0"/>
    <w:rPr>
      <w:b/>
      <w:bCs/>
    </w:rPr>
  </w:style>
  <w:style w:type="paragraph" w:styleId="46">
    <w:name w:val="Body Text First Indent"/>
    <w:basedOn w:val="20"/>
    <w:qFormat/>
    <w:uiPriority w:val="0"/>
    <w:pPr>
      <w:ind w:firstLine="420" w:firstLineChars="100"/>
    </w:p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0"/>
    <w:rPr>
      <w:b/>
      <w:bCs/>
    </w:rPr>
  </w:style>
  <w:style w:type="character" w:styleId="51">
    <w:name w:val="page number"/>
    <w:basedOn w:val="49"/>
    <w:qFormat/>
    <w:uiPriority w:val="0"/>
  </w:style>
  <w:style w:type="character" w:styleId="52">
    <w:name w:val="FollowedHyperlink"/>
    <w:qFormat/>
    <w:uiPriority w:val="0"/>
    <w:rPr>
      <w:color w:val="333333"/>
      <w:u w:val="none"/>
    </w:rPr>
  </w:style>
  <w:style w:type="character" w:styleId="53">
    <w:name w:val="Emphasis"/>
    <w:qFormat/>
    <w:uiPriority w:val="0"/>
    <w:rPr>
      <w:color w:val="CC0033"/>
    </w:rPr>
  </w:style>
  <w:style w:type="character" w:styleId="54">
    <w:name w:val="HTML Definition"/>
    <w:qFormat/>
    <w:uiPriority w:val="0"/>
  </w:style>
  <w:style w:type="character" w:styleId="55">
    <w:name w:val="HTML Typewriter"/>
    <w:qFormat/>
    <w:uiPriority w:val="0"/>
    <w:rPr>
      <w:rFonts w:hint="default" w:ascii="monospace" w:hAnsi="monospace" w:eastAsia="monospace" w:cs="monospace"/>
      <w:sz w:val="20"/>
    </w:rPr>
  </w:style>
  <w:style w:type="character" w:styleId="56">
    <w:name w:val="HTML Acronym"/>
    <w:basedOn w:val="49"/>
    <w:qFormat/>
    <w:uiPriority w:val="0"/>
    <w:rPr>
      <w:bdr w:val="none" w:color="auto" w:sz="0" w:space="0"/>
    </w:rPr>
  </w:style>
  <w:style w:type="character" w:styleId="57">
    <w:name w:val="HTML Variable"/>
    <w:qFormat/>
    <w:uiPriority w:val="0"/>
  </w:style>
  <w:style w:type="character" w:styleId="58">
    <w:name w:val="Hyperlink"/>
    <w:basedOn w:val="49"/>
    <w:qFormat/>
    <w:uiPriority w:val="99"/>
    <w:rPr>
      <w:color w:val="333333"/>
      <w:u w:val="none"/>
    </w:rPr>
  </w:style>
  <w:style w:type="character" w:styleId="59">
    <w:name w:val="HTML Code"/>
    <w:qFormat/>
    <w:uiPriority w:val="0"/>
    <w:rPr>
      <w:rFonts w:hint="default" w:ascii="monospace" w:hAnsi="monospace" w:eastAsia="monospace" w:cs="monospace"/>
      <w:sz w:val="20"/>
    </w:rPr>
  </w:style>
  <w:style w:type="character" w:styleId="60">
    <w:name w:val="annotation reference"/>
    <w:qFormat/>
    <w:uiPriority w:val="0"/>
    <w:rPr>
      <w:sz w:val="21"/>
      <w:szCs w:val="21"/>
    </w:rPr>
  </w:style>
  <w:style w:type="character" w:styleId="61">
    <w:name w:val="HTML Cite"/>
    <w:qFormat/>
    <w:uiPriority w:val="0"/>
  </w:style>
  <w:style w:type="character" w:styleId="62">
    <w:name w:val="footnote reference"/>
    <w:qFormat/>
    <w:uiPriority w:val="0"/>
    <w:rPr>
      <w:vertAlign w:val="superscript"/>
    </w:rPr>
  </w:style>
  <w:style w:type="character" w:styleId="63">
    <w:name w:val="HTML Keyboard"/>
    <w:qFormat/>
    <w:uiPriority w:val="0"/>
    <w:rPr>
      <w:rFonts w:ascii="monospace" w:hAnsi="monospace" w:eastAsia="monospace" w:cs="monospace"/>
      <w:sz w:val="20"/>
    </w:rPr>
  </w:style>
  <w:style w:type="character" w:styleId="64">
    <w:name w:val="HTML Sample"/>
    <w:qFormat/>
    <w:uiPriority w:val="0"/>
    <w:rPr>
      <w:rFonts w:hint="default" w:ascii="monospace" w:hAnsi="monospace" w:eastAsia="monospace" w:cs="monospace"/>
    </w:rPr>
  </w:style>
  <w:style w:type="paragraph" w:styleId="65">
    <w:name w:val="List Paragraph"/>
    <w:basedOn w:val="1"/>
    <w:qFormat/>
    <w:uiPriority w:val="34"/>
    <w:pPr>
      <w:ind w:firstLine="420" w:firstLineChars="200"/>
    </w:pPr>
  </w:style>
  <w:style w:type="paragraph" w:customStyle="1" w:styleId="66">
    <w:name w:val="_Style 62"/>
    <w:basedOn w:val="1"/>
    <w:next w:val="1"/>
    <w:qFormat/>
    <w:uiPriority w:val="0"/>
    <w:pPr>
      <w:pBdr>
        <w:top w:val="single" w:color="auto" w:sz="6" w:space="1"/>
      </w:pBdr>
      <w:jc w:val="center"/>
    </w:pPr>
    <w:rPr>
      <w:rFonts w:ascii="Arial"/>
      <w:vanish/>
      <w:sz w:val="16"/>
    </w:rPr>
  </w:style>
  <w:style w:type="paragraph" w:customStyle="1" w:styleId="67">
    <w:name w:val="Blockquote"/>
    <w:basedOn w:val="1"/>
    <w:qFormat/>
    <w:uiPriority w:val="0"/>
    <w:pPr>
      <w:autoSpaceDE w:val="0"/>
      <w:autoSpaceDN w:val="0"/>
      <w:adjustRightInd w:val="0"/>
      <w:ind w:left="360" w:right="360"/>
      <w:jc w:val="left"/>
    </w:pPr>
    <w:rPr>
      <w:kern w:val="0"/>
      <w:sz w:val="24"/>
      <w:szCs w:val="20"/>
    </w:rPr>
  </w:style>
  <w:style w:type="paragraph" w:customStyle="1" w:styleId="68">
    <w:name w:val="表格"/>
    <w:basedOn w:val="1"/>
    <w:qFormat/>
    <w:uiPriority w:val="0"/>
    <w:pPr>
      <w:jc w:val="center"/>
      <w:textAlignment w:val="center"/>
    </w:pPr>
    <w:rPr>
      <w:rFonts w:ascii="华文细黑" w:hAnsi="华文细黑"/>
      <w:kern w:val="0"/>
      <w:szCs w:val="20"/>
    </w:rPr>
  </w:style>
  <w:style w:type="paragraph" w:customStyle="1" w:styleId="69">
    <w:name w:val="表格文字"/>
    <w:basedOn w:val="1"/>
    <w:qFormat/>
    <w:uiPriority w:val="0"/>
    <w:pPr>
      <w:adjustRightInd w:val="0"/>
      <w:spacing w:line="420" w:lineRule="atLeast"/>
      <w:jc w:val="left"/>
      <w:textAlignment w:val="baseline"/>
    </w:pPr>
    <w:rPr>
      <w:kern w:val="0"/>
      <w:szCs w:val="20"/>
    </w:rPr>
  </w:style>
  <w:style w:type="paragraph" w:customStyle="1" w:styleId="70">
    <w:name w:val="Char"/>
    <w:basedOn w:val="1"/>
    <w:next w:val="1"/>
    <w:qFormat/>
    <w:uiPriority w:val="0"/>
    <w:pPr>
      <w:widowControl/>
      <w:spacing w:line="360" w:lineRule="auto"/>
      <w:jc w:val="left"/>
    </w:pPr>
    <w:rPr>
      <w:kern w:val="0"/>
      <w:szCs w:val="20"/>
      <w:lang w:eastAsia="en-US"/>
    </w:rPr>
  </w:style>
  <w:style w:type="paragraph" w:customStyle="1" w:styleId="71">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72">
    <w:name w:val="样式2"/>
    <w:basedOn w:val="4"/>
    <w:qFormat/>
    <w:uiPriority w:val="0"/>
  </w:style>
  <w:style w:type="paragraph" w:customStyle="1" w:styleId="73">
    <w:name w:val="Default Paragraph Char Char Char Char"/>
    <w:basedOn w:val="1"/>
    <w:next w:val="1"/>
    <w:qFormat/>
    <w:uiPriority w:val="0"/>
    <w:pPr>
      <w:spacing w:line="360" w:lineRule="auto"/>
    </w:pPr>
    <w:rPr>
      <w:szCs w:val="20"/>
    </w:rPr>
  </w:style>
  <w:style w:type="paragraph" w:customStyle="1" w:styleId="74">
    <w:name w:val="节标题"/>
    <w:basedOn w:val="1"/>
    <w:next w:val="1"/>
    <w:qFormat/>
    <w:uiPriority w:val="0"/>
    <w:pPr>
      <w:widowControl/>
      <w:spacing w:line="289" w:lineRule="atLeast"/>
      <w:jc w:val="center"/>
      <w:textAlignment w:val="baseline"/>
    </w:pPr>
    <w:rPr>
      <w:color w:val="000000"/>
      <w:kern w:val="0"/>
      <w:sz w:val="28"/>
      <w:szCs w:val="20"/>
      <w:u w:color="000000"/>
    </w:rPr>
  </w:style>
  <w:style w:type="paragraph" w:customStyle="1" w:styleId="75">
    <w:name w:val="默认段落字体 Para Char Char Char Char"/>
    <w:basedOn w:val="1"/>
    <w:qFormat/>
    <w:uiPriority w:val="0"/>
  </w:style>
  <w:style w:type="paragraph" w:customStyle="1" w:styleId="76">
    <w:name w:val="样式 标题 1 + 黑体 五号"/>
    <w:basedOn w:val="2"/>
    <w:qFormat/>
    <w:uiPriority w:val="0"/>
    <w:pPr>
      <w:jc w:val="left"/>
    </w:pPr>
    <w:rPr>
      <w:rFonts w:ascii="黑体" w:hAnsi="黑体" w:eastAsia="黑体"/>
      <w:sz w:val="21"/>
    </w:rPr>
  </w:style>
  <w:style w:type="paragraph" w:customStyle="1" w:styleId="77">
    <w:name w:val="样式4"/>
    <w:basedOn w:val="4"/>
    <w:qFormat/>
    <w:uiPriority w:val="0"/>
    <w:rPr>
      <w:rFonts w:eastAsia="Arial"/>
    </w:rPr>
  </w:style>
  <w:style w:type="paragraph" w:customStyle="1" w:styleId="78">
    <w:name w:val="正文1"/>
    <w:qFormat/>
    <w:uiPriority w:val="0"/>
    <w:pPr>
      <w:widowControl w:val="0"/>
      <w:adjustRightInd w:val="0"/>
      <w:spacing w:line="312" w:lineRule="atLeast"/>
      <w:jc w:val="both"/>
      <w:textAlignment w:val="baseline"/>
    </w:pPr>
    <w:rPr>
      <w:rFonts w:ascii="宋体" w:hAnsi="Times New Roman" w:eastAsia="宋体" w:cs="宋体"/>
      <w:sz w:val="24"/>
      <w:szCs w:val="24"/>
      <w:lang w:val="en-US" w:eastAsia="zh-CN" w:bidi="ar-SA"/>
    </w:rPr>
  </w:style>
  <w:style w:type="paragraph" w:customStyle="1" w:styleId="79">
    <w:name w:val="列出段落1"/>
    <w:basedOn w:val="1"/>
    <w:qFormat/>
    <w:uiPriority w:val="0"/>
    <w:pPr>
      <w:ind w:firstLine="200" w:firstLineChars="200"/>
    </w:pPr>
  </w:style>
  <w:style w:type="paragraph" w:customStyle="1" w:styleId="80">
    <w:name w:val="p0 New"/>
    <w:basedOn w:val="1"/>
    <w:qFormat/>
    <w:uiPriority w:val="0"/>
    <w:pPr>
      <w:widowControl/>
      <w:jc w:val="left"/>
    </w:pPr>
    <w:rPr>
      <w:rFonts w:ascii="宋体" w:hAnsi="宋体" w:cs="宋体"/>
      <w:kern w:val="0"/>
      <w:sz w:val="18"/>
      <w:szCs w:val="18"/>
    </w:rPr>
  </w:style>
  <w:style w:type="paragraph" w:customStyle="1" w:styleId="81">
    <w:name w:val="样式 标题 1 + 黑体 三号 非加粗 居中 段前: 6 磅 段后: 6 磅 行距: 固定值 20 磅"/>
    <w:basedOn w:val="2"/>
    <w:qFormat/>
    <w:uiPriority w:val="0"/>
    <w:pPr>
      <w:spacing w:line="400" w:lineRule="exact"/>
    </w:pPr>
    <w:rPr>
      <w:rFonts w:ascii="黑体" w:hAnsi="黑体" w:eastAsia="黑体" w:cs="宋体"/>
      <w:b w:val="0"/>
      <w:bCs w:val="0"/>
      <w:sz w:val="32"/>
      <w:szCs w:val="20"/>
    </w:rPr>
  </w:style>
  <w:style w:type="paragraph" w:customStyle="1" w:styleId="82">
    <w:name w:val="_Style 78"/>
    <w:basedOn w:val="2"/>
    <w:next w:val="1"/>
    <w:qFormat/>
    <w:uiPriority w:val="39"/>
    <w:pPr>
      <w:widowControl/>
      <w:spacing w:before="480" w:line="276" w:lineRule="auto"/>
      <w:jc w:val="left"/>
      <w:outlineLvl w:val="9"/>
    </w:pPr>
    <w:rPr>
      <w:rFonts w:ascii="Cambria" w:hAnsi="Cambria"/>
      <w:color w:val="365F91"/>
      <w:kern w:val="0"/>
      <w:sz w:val="28"/>
      <w:szCs w:val="28"/>
    </w:rPr>
  </w:style>
  <w:style w:type="paragraph" w:customStyle="1" w:styleId="83">
    <w:name w:val="Char1"/>
    <w:basedOn w:val="1"/>
    <w:qFormat/>
    <w:uiPriority w:val="0"/>
    <w:pPr>
      <w:tabs>
        <w:tab w:val="left" w:pos="360"/>
      </w:tabs>
    </w:pPr>
    <w:rPr>
      <w:sz w:val="24"/>
    </w:rPr>
  </w:style>
  <w:style w:type="paragraph" w:customStyle="1" w:styleId="84">
    <w:name w:val="样式1"/>
    <w:basedOn w:val="4"/>
    <w:qFormat/>
    <w:uiPriority w:val="0"/>
    <w:rPr>
      <w:rFonts w:eastAsia="Arial"/>
    </w:rPr>
  </w:style>
  <w:style w:type="paragraph" w:customStyle="1" w:styleId="85">
    <w:name w:val="Char Char Char Char Char Char Char Char Char Char Char Char Char"/>
    <w:basedOn w:val="1"/>
    <w:qFormat/>
    <w:uiPriority w:val="0"/>
  </w:style>
  <w:style w:type="paragraph" w:customStyle="1" w:styleId="86">
    <w:name w:val="p"/>
    <w:basedOn w:val="1"/>
    <w:qFormat/>
    <w:uiPriority w:val="0"/>
    <w:rPr>
      <w:rFonts w:ascii="宋体"/>
      <w:sz w:val="24"/>
    </w:rPr>
  </w:style>
  <w:style w:type="paragraph" w:customStyle="1" w:styleId="87">
    <w:name w:val="Char Char Char Char"/>
    <w:basedOn w:val="1"/>
    <w:qFormat/>
    <w:uiPriority w:val="0"/>
  </w:style>
  <w:style w:type="paragraph" w:customStyle="1" w:styleId="88">
    <w:name w:val="_Style 84"/>
    <w:basedOn w:val="1"/>
    <w:next w:val="1"/>
    <w:qFormat/>
    <w:uiPriority w:val="0"/>
    <w:pPr>
      <w:pBdr>
        <w:bottom w:val="single" w:color="auto" w:sz="6" w:space="1"/>
      </w:pBdr>
      <w:jc w:val="center"/>
    </w:pPr>
    <w:rPr>
      <w:rFonts w:ascii="Arial"/>
      <w:vanish/>
      <w:sz w:val="16"/>
    </w:rPr>
  </w:style>
  <w:style w:type="paragraph" w:customStyle="1" w:styleId="89">
    <w:name w:val="1"/>
    <w:basedOn w:val="1"/>
    <w:next w:val="1"/>
    <w:qFormat/>
    <w:uiPriority w:val="0"/>
  </w:style>
  <w:style w:type="paragraph" w:customStyle="1" w:styleId="90">
    <w:name w:val="p15"/>
    <w:qFormat/>
    <w:uiPriority w:val="0"/>
    <w:pPr>
      <w:jc w:val="both"/>
    </w:pPr>
    <w:rPr>
      <w:rFonts w:ascii="宋体" w:hAnsi="Times New Roman" w:eastAsia="宋体" w:cs="宋体"/>
      <w:sz w:val="21"/>
      <w:szCs w:val="21"/>
      <w:lang w:val="en-US" w:eastAsia="zh-CN" w:bidi="ar-SA"/>
    </w:rPr>
  </w:style>
  <w:style w:type="paragraph" w:customStyle="1" w:styleId="91">
    <w:name w:val="样式 标题 2 + Times New Roman 四号 非加粗 段前: 5 磅 段后: 0 磅 行距: 固定值 20..."/>
    <w:basedOn w:val="3"/>
    <w:qFormat/>
    <w:uiPriority w:val="0"/>
    <w:pPr>
      <w:spacing w:line="400" w:lineRule="exact"/>
    </w:pPr>
    <w:rPr>
      <w:rFonts w:ascii="Times New Roman" w:hAnsi="Times New Roman" w:cs="宋体"/>
      <w:b w:val="0"/>
      <w:bCs w:val="0"/>
      <w:sz w:val="28"/>
      <w:szCs w:val="20"/>
    </w:rPr>
  </w:style>
  <w:style w:type="paragraph" w:customStyle="1" w:styleId="92">
    <w:name w:val="Table Paragraph"/>
    <w:basedOn w:val="1"/>
    <w:qFormat/>
    <w:uiPriority w:val="0"/>
    <w:pPr>
      <w:autoSpaceDE w:val="0"/>
      <w:autoSpaceDN w:val="0"/>
      <w:jc w:val="left"/>
    </w:pPr>
    <w:rPr>
      <w:rFonts w:ascii="宋体" w:hAnsi="宋体" w:cs="宋体"/>
      <w:kern w:val="0"/>
      <w:sz w:val="22"/>
      <w:szCs w:val="22"/>
      <w:lang w:val="zh-CN"/>
    </w:rPr>
  </w:style>
  <w:style w:type="paragraph" w:customStyle="1" w:styleId="93">
    <w:name w:val="p0"/>
    <w:basedOn w:val="1"/>
    <w:qFormat/>
    <w:uiPriority w:val="99"/>
    <w:pPr>
      <w:widowControl/>
    </w:pPr>
    <w:rPr>
      <w:kern w:val="0"/>
      <w:szCs w:val="21"/>
    </w:rPr>
  </w:style>
  <w:style w:type="paragraph" w:customStyle="1" w:styleId="94">
    <w:name w:val="样式3"/>
    <w:basedOn w:val="4"/>
    <w:qFormat/>
    <w:uiPriority w:val="0"/>
    <w:rPr>
      <w:rFonts w:eastAsia="Arial"/>
    </w:rPr>
  </w:style>
  <w:style w:type="paragraph" w:customStyle="1" w:styleId="95">
    <w:name w:val="样式 标题 3 + (中文) 黑体 小四 非加粗 段前: 7.8 磅 段后: 0 磅 行距: 固定值 20 磅"/>
    <w:basedOn w:val="4"/>
    <w:qFormat/>
    <w:uiPriority w:val="0"/>
    <w:pPr>
      <w:spacing w:line="400" w:lineRule="exact"/>
    </w:pPr>
    <w:rPr>
      <w:rFonts w:eastAsia="黑体" w:cs="宋体"/>
      <w:b w:val="0"/>
      <w:bCs w:val="0"/>
      <w:sz w:val="24"/>
      <w:szCs w:val="20"/>
    </w:rPr>
  </w:style>
  <w:style w:type="paragraph" w:customStyle="1" w:styleId="96">
    <w:name w:val="Char Char Char Char Char Char Char Char Char Char Char Char Char1"/>
    <w:basedOn w:val="1"/>
    <w:qFormat/>
    <w:uiPriority w:val="0"/>
  </w:style>
  <w:style w:type="paragraph" w:customStyle="1" w:styleId="97">
    <w:name w:val="Char4"/>
    <w:basedOn w:val="1"/>
    <w:qFormat/>
    <w:uiPriority w:val="0"/>
    <w:pPr>
      <w:widowControl/>
      <w:spacing w:line="360" w:lineRule="auto"/>
      <w:ind w:firstLine="200" w:firstLineChars="200"/>
      <w:textAlignment w:val="baseline"/>
    </w:pPr>
    <w:rPr>
      <w:color w:val="000000"/>
      <w:kern w:val="0"/>
      <w:szCs w:val="20"/>
      <w:u w:color="000000"/>
    </w:rPr>
  </w:style>
  <w:style w:type="paragraph" w:customStyle="1" w:styleId="98">
    <w:name w:val="正文2"/>
    <w:qFormat/>
    <w:uiPriority w:val="0"/>
    <w:pPr>
      <w:widowControl w:val="0"/>
      <w:jc w:val="both"/>
    </w:pPr>
    <w:rPr>
      <w:rFonts w:ascii="Times New Roman" w:hAnsi="Times New Roman" w:eastAsia="宋体" w:cs="Times New Roman"/>
      <w:lang w:val="en-US" w:eastAsia="zh-CN" w:bidi="ar-SA"/>
    </w:rPr>
  </w:style>
  <w:style w:type="character" w:customStyle="1" w:styleId="99">
    <w:name w:val="first-child"/>
    <w:basedOn w:val="49"/>
    <w:qFormat/>
    <w:uiPriority w:val="0"/>
  </w:style>
  <w:style w:type="character" w:customStyle="1" w:styleId="100">
    <w:name w:val="Char Char Char Char Char Char"/>
    <w:qFormat/>
    <w:uiPriority w:val="0"/>
    <w:rPr>
      <w:rFonts w:ascii="Arial" w:hAnsi="Arial" w:eastAsia="黑体"/>
      <w:b/>
      <w:bCs/>
      <w:kern w:val="2"/>
      <w:sz w:val="32"/>
      <w:szCs w:val="32"/>
      <w:lang w:val="en-US" w:eastAsia="zh-CN" w:bidi="ar-SA"/>
    </w:rPr>
  </w:style>
  <w:style w:type="character" w:customStyle="1" w:styleId="101">
    <w:name w:val="l11"/>
    <w:qFormat/>
    <w:uiPriority w:val="0"/>
    <w:rPr>
      <w:color w:val="999999"/>
    </w:rPr>
  </w:style>
  <w:style w:type="character" w:customStyle="1" w:styleId="102">
    <w:name w:val="Char Char"/>
    <w:qFormat/>
    <w:uiPriority w:val="0"/>
    <w:rPr>
      <w:rFonts w:ascii="Arial" w:hAnsi="Arial" w:eastAsia="黑体"/>
      <w:b/>
      <w:bCs/>
      <w:kern w:val="2"/>
      <w:sz w:val="32"/>
      <w:szCs w:val="32"/>
      <w:lang w:val="en-US" w:eastAsia="zh-CN" w:bidi="ar-SA"/>
    </w:rPr>
  </w:style>
  <w:style w:type="character" w:customStyle="1" w:styleId="103">
    <w:name w:val="Char Char5"/>
    <w:qFormat/>
    <w:uiPriority w:val="0"/>
    <w:rPr>
      <w:rFonts w:ascii="Arial" w:hAnsi="Arial" w:eastAsia="黑体"/>
      <w:b/>
      <w:bCs/>
      <w:kern w:val="2"/>
      <w:sz w:val="32"/>
      <w:szCs w:val="32"/>
    </w:rPr>
  </w:style>
  <w:style w:type="character" w:customStyle="1" w:styleId="104">
    <w:name w:val="msg-box28"/>
    <w:basedOn w:val="49"/>
    <w:qFormat/>
    <w:uiPriority w:val="0"/>
  </w:style>
  <w:style w:type="character" w:customStyle="1" w:styleId="105">
    <w:name w:val="img_title6"/>
    <w:qFormat/>
    <w:uiPriority w:val="0"/>
    <w:rPr>
      <w:vanish/>
    </w:rPr>
  </w:style>
  <w:style w:type="character" w:customStyle="1" w:styleId="106">
    <w:name w:val="tit12"/>
    <w:qFormat/>
    <w:uiPriority w:val="0"/>
    <w:rPr>
      <w:color w:val="04A06C"/>
    </w:rPr>
  </w:style>
  <w:style w:type="character" w:customStyle="1" w:styleId="107">
    <w:name w:val="Char Char2"/>
    <w:qFormat/>
    <w:uiPriority w:val="0"/>
    <w:rPr>
      <w:rFonts w:eastAsia="宋体"/>
      <w:kern w:val="2"/>
      <w:sz w:val="21"/>
      <w:szCs w:val="24"/>
      <w:lang w:val="en-US" w:eastAsia="zh-CN" w:bidi="ar-SA"/>
    </w:rPr>
  </w:style>
  <w:style w:type="character" w:customStyle="1" w:styleId="108">
    <w:name w:val="nostart"/>
    <w:qFormat/>
    <w:uiPriority w:val="0"/>
    <w:rPr>
      <w:color w:val="FF0000"/>
    </w:rPr>
  </w:style>
  <w:style w:type="character" w:customStyle="1" w:styleId="109">
    <w:name w:val="nostart3"/>
    <w:basedOn w:val="49"/>
    <w:qFormat/>
    <w:uiPriority w:val="0"/>
  </w:style>
  <w:style w:type="character" w:customStyle="1" w:styleId="110">
    <w:name w:val="img4"/>
    <w:basedOn w:val="49"/>
    <w:qFormat/>
    <w:uiPriority w:val="0"/>
  </w:style>
  <w:style w:type="character" w:customStyle="1" w:styleId="111">
    <w:name w:val="tit11"/>
    <w:qFormat/>
    <w:uiPriority w:val="0"/>
    <w:rPr>
      <w:color w:val="B60000"/>
    </w:rPr>
  </w:style>
  <w:style w:type="character" w:customStyle="1" w:styleId="112">
    <w:name w:val="批注文字 Char"/>
    <w:link w:val="18"/>
    <w:qFormat/>
    <w:uiPriority w:val="0"/>
    <w:rPr>
      <w:rFonts w:eastAsia="宋体"/>
      <w:kern w:val="2"/>
      <w:sz w:val="21"/>
      <w:szCs w:val="24"/>
      <w:lang w:val="en-US" w:eastAsia="zh-CN" w:bidi="ar-SA"/>
    </w:rPr>
  </w:style>
  <w:style w:type="character" w:customStyle="1" w:styleId="113">
    <w:name w:val="over"/>
    <w:qFormat/>
    <w:uiPriority w:val="0"/>
    <w:rPr>
      <w:color w:val="B60000"/>
    </w:rPr>
  </w:style>
  <w:style w:type="character" w:customStyle="1" w:styleId="114">
    <w:name w:val="HTML 预设格式 Char"/>
    <w:link w:val="42"/>
    <w:qFormat/>
    <w:uiPriority w:val="0"/>
    <w:rPr>
      <w:rFonts w:ascii="宋体" w:hAnsi="宋体" w:cs="宋体"/>
      <w:sz w:val="24"/>
      <w:szCs w:val="24"/>
    </w:rPr>
  </w:style>
  <w:style w:type="character" w:customStyle="1" w:styleId="115">
    <w:name w:val="l6"/>
    <w:qFormat/>
    <w:uiPriority w:val="0"/>
    <w:rPr>
      <w:color w:val="999999"/>
    </w:rPr>
  </w:style>
  <w:style w:type="character" w:customStyle="1" w:styleId="116">
    <w:name w:val="datetime"/>
    <w:qFormat/>
    <w:uiPriority w:val="0"/>
    <w:rPr>
      <w:rFonts w:hint="default" w:ascii="Arial" w:hAnsi="Arial" w:cs="Arial"/>
      <w:color w:val="999999"/>
      <w:sz w:val="21"/>
      <w:szCs w:val="21"/>
    </w:rPr>
  </w:style>
  <w:style w:type="character" w:customStyle="1" w:styleId="117">
    <w:name w:val="txt1"/>
    <w:basedOn w:val="49"/>
    <w:qFormat/>
    <w:uiPriority w:val="0"/>
  </w:style>
  <w:style w:type="character" w:customStyle="1" w:styleId="118">
    <w:name w:val="starting1"/>
    <w:qFormat/>
    <w:uiPriority w:val="0"/>
    <w:rPr>
      <w:color w:val="339900"/>
    </w:rPr>
  </w:style>
  <w:style w:type="character" w:customStyle="1" w:styleId="119">
    <w:name w:val="starting2"/>
    <w:qFormat/>
    <w:uiPriority w:val="0"/>
    <w:rPr>
      <w:color w:val="B60000"/>
    </w:rPr>
  </w:style>
  <w:style w:type="character" w:customStyle="1" w:styleId="120">
    <w:name w:val="标题 1 Char"/>
    <w:link w:val="2"/>
    <w:qFormat/>
    <w:uiPriority w:val="0"/>
    <w:rPr>
      <w:rFonts w:eastAsia="宋体"/>
      <w:b/>
      <w:bCs/>
      <w:kern w:val="44"/>
      <w:sz w:val="44"/>
      <w:szCs w:val="44"/>
      <w:lang w:val="en-US" w:eastAsia="zh-CN" w:bidi="ar-SA"/>
    </w:rPr>
  </w:style>
  <w:style w:type="character" w:customStyle="1" w:styleId="121">
    <w:name w:val="red"/>
    <w:qFormat/>
    <w:uiPriority w:val="0"/>
    <w:rPr>
      <w:rFonts w:hint="default" w:ascii="Arial" w:hAnsi="Arial" w:cs="Arial"/>
      <w:color w:val="E50000"/>
    </w:rPr>
  </w:style>
  <w:style w:type="character" w:customStyle="1" w:styleId="122">
    <w:name w:val="Char Char4"/>
    <w:qFormat/>
    <w:uiPriority w:val="0"/>
    <w:rPr>
      <w:rFonts w:eastAsia="宋体"/>
      <w:b/>
      <w:bCs/>
      <w:kern w:val="44"/>
      <w:sz w:val="44"/>
      <w:szCs w:val="44"/>
      <w:lang w:val="en-US" w:eastAsia="zh-CN" w:bidi="ar-SA"/>
    </w:rPr>
  </w:style>
  <w:style w:type="character" w:customStyle="1" w:styleId="123">
    <w:name w:val="font161"/>
    <w:qFormat/>
    <w:uiPriority w:val="0"/>
    <w:rPr>
      <w:b/>
      <w:bCs/>
      <w:sz w:val="32"/>
      <w:szCs w:val="32"/>
    </w:rPr>
  </w:style>
  <w:style w:type="character" w:customStyle="1" w:styleId="124">
    <w:name w:val="Char Char8"/>
    <w:qFormat/>
    <w:uiPriority w:val="0"/>
    <w:rPr>
      <w:rFonts w:ascii="Arial" w:hAnsi="Arial" w:eastAsia="黑体"/>
      <w:b/>
      <w:bCs/>
      <w:kern w:val="2"/>
      <w:sz w:val="32"/>
      <w:szCs w:val="32"/>
      <w:lang w:val="en-US" w:eastAsia="zh-CN" w:bidi="ar-SA"/>
    </w:rPr>
  </w:style>
  <w:style w:type="character" w:customStyle="1" w:styleId="125">
    <w:name w:val="msg-box29"/>
    <w:basedOn w:val="49"/>
    <w:qFormat/>
    <w:uiPriority w:val="0"/>
  </w:style>
  <w:style w:type="character" w:customStyle="1" w:styleId="126">
    <w:name w:val="over2"/>
    <w:qFormat/>
    <w:uiPriority w:val="0"/>
    <w:rPr>
      <w:color w:val="999999"/>
    </w:rPr>
  </w:style>
  <w:style w:type="character" w:customStyle="1" w:styleId="127">
    <w:name w:val="img_title7"/>
    <w:qFormat/>
    <w:uiPriority w:val="0"/>
    <w:rPr>
      <w:vanish/>
    </w:rPr>
  </w:style>
  <w:style w:type="character" w:customStyle="1" w:styleId="128">
    <w:name w:val="l7"/>
    <w:qFormat/>
    <w:uiPriority w:val="0"/>
    <w:rPr>
      <w:color w:val="999999"/>
    </w:rPr>
  </w:style>
  <w:style w:type="character" w:customStyle="1" w:styleId="129">
    <w:name w:val="标题 5 Char"/>
    <w:link w:val="6"/>
    <w:qFormat/>
    <w:uiPriority w:val="0"/>
    <w:rPr>
      <w:b/>
      <w:bCs/>
      <w:kern w:val="2"/>
      <w:sz w:val="28"/>
      <w:szCs w:val="28"/>
    </w:rPr>
  </w:style>
  <w:style w:type="character" w:customStyle="1" w:styleId="130">
    <w:name w:val="l51"/>
    <w:qFormat/>
    <w:uiPriority w:val="0"/>
    <w:rPr>
      <w:color w:val="999999"/>
    </w:rPr>
  </w:style>
  <w:style w:type="character" w:customStyle="1" w:styleId="131">
    <w:name w:val="num81"/>
    <w:basedOn w:val="49"/>
    <w:qFormat/>
    <w:uiPriority w:val="0"/>
  </w:style>
  <w:style w:type="character" w:customStyle="1" w:styleId="132">
    <w:name w:val="Char Char1"/>
    <w:qFormat/>
    <w:uiPriority w:val="0"/>
    <w:rPr>
      <w:rFonts w:eastAsia="宋体"/>
      <w:kern w:val="2"/>
      <w:sz w:val="21"/>
      <w:szCs w:val="24"/>
      <w:lang w:val="en-US" w:eastAsia="zh-CN" w:bidi="ar-SA"/>
    </w:rPr>
  </w:style>
  <w:style w:type="character" w:customStyle="1" w:styleId="133">
    <w:name w:val="zs"/>
    <w:qFormat/>
    <w:uiPriority w:val="0"/>
    <w:rPr>
      <w:color w:val="8D744B"/>
      <w:sz w:val="18"/>
      <w:szCs w:val="18"/>
    </w:rPr>
  </w:style>
  <w:style w:type="character" w:customStyle="1" w:styleId="134">
    <w:name w:val="bigfont"/>
    <w:basedOn w:val="49"/>
    <w:qFormat/>
    <w:uiPriority w:val="0"/>
  </w:style>
  <w:style w:type="character" w:customStyle="1" w:styleId="135">
    <w:name w:val="txt"/>
    <w:qFormat/>
    <w:uiPriority w:val="0"/>
    <w:rPr>
      <w:color w:val="C0C0C0"/>
    </w:rPr>
  </w:style>
  <w:style w:type="character" w:customStyle="1" w:styleId="136">
    <w:name w:val="纯文本 Char2"/>
    <w:link w:val="24"/>
    <w:qFormat/>
    <w:uiPriority w:val="0"/>
    <w:rPr>
      <w:rFonts w:ascii="Courier New" w:hAnsi="Courier New" w:eastAsia="宋体"/>
      <w:kern w:val="2"/>
      <w:sz w:val="21"/>
      <w:lang w:val="en-US" w:eastAsia="zh-CN" w:bidi="ar-SA"/>
    </w:rPr>
  </w:style>
  <w:style w:type="character" w:customStyle="1" w:styleId="137">
    <w:name w:val="jg"/>
    <w:basedOn w:val="49"/>
    <w:qFormat/>
    <w:uiPriority w:val="0"/>
  </w:style>
  <w:style w:type="character" w:customStyle="1" w:styleId="138">
    <w:name w:val="17"/>
    <w:qFormat/>
    <w:uiPriority w:val="0"/>
    <w:rPr>
      <w:rFonts w:ascii="仿宋_GB2312" w:eastAsia="仿宋_GB2312"/>
      <w:color w:val="auto"/>
      <w:sz w:val="28"/>
      <w:szCs w:val="28"/>
      <w:u w:val="single"/>
    </w:rPr>
  </w:style>
  <w:style w:type="character" w:customStyle="1" w:styleId="139">
    <w:name w:val="job"/>
    <w:basedOn w:val="49"/>
    <w:qFormat/>
    <w:uiPriority w:val="0"/>
  </w:style>
  <w:style w:type="character" w:customStyle="1" w:styleId="140">
    <w:name w:val="job1"/>
    <w:basedOn w:val="49"/>
    <w:qFormat/>
    <w:uiPriority w:val="0"/>
  </w:style>
  <w:style w:type="character" w:customStyle="1" w:styleId="141">
    <w:name w:val="标题 2 Char"/>
    <w:qFormat/>
    <w:uiPriority w:val="0"/>
    <w:rPr>
      <w:rFonts w:ascii="Arial" w:hAnsi="Arial" w:eastAsia="黑体"/>
      <w:b/>
      <w:bCs/>
      <w:kern w:val="2"/>
      <w:sz w:val="21"/>
      <w:szCs w:val="32"/>
      <w:lang w:val="en-US" w:eastAsia="zh-CN" w:bidi="ar-SA"/>
    </w:rPr>
  </w:style>
  <w:style w:type="character" w:customStyle="1" w:styleId="142">
    <w:name w:val="正文文本 Char"/>
    <w:link w:val="20"/>
    <w:qFormat/>
    <w:uiPriority w:val="0"/>
    <w:rPr>
      <w:rFonts w:eastAsia="宋体"/>
      <w:kern w:val="2"/>
      <w:sz w:val="21"/>
      <w:szCs w:val="24"/>
      <w:lang w:val="en-US" w:eastAsia="zh-CN" w:bidi="ar-SA"/>
    </w:rPr>
  </w:style>
  <w:style w:type="character" w:customStyle="1" w:styleId="143">
    <w:name w:val="p05"/>
    <w:basedOn w:val="49"/>
    <w:qFormat/>
    <w:uiPriority w:val="0"/>
  </w:style>
  <w:style w:type="character" w:customStyle="1" w:styleId="144">
    <w:name w:val="Char Char7"/>
    <w:qFormat/>
    <w:uiPriority w:val="0"/>
    <w:rPr>
      <w:rFonts w:ascii="Arial" w:hAnsi="Arial" w:eastAsia="黑体"/>
      <w:b/>
      <w:bCs/>
      <w:kern w:val="2"/>
      <w:sz w:val="32"/>
      <w:szCs w:val="32"/>
      <w:lang w:val="en-US" w:eastAsia="zh-CN" w:bidi="ar-SA"/>
    </w:rPr>
  </w:style>
  <w:style w:type="character" w:customStyle="1" w:styleId="145">
    <w:name w:val="over3"/>
    <w:basedOn w:val="49"/>
    <w:qFormat/>
    <w:uiPriority w:val="0"/>
  </w:style>
  <w:style w:type="character" w:customStyle="1" w:styleId="146">
    <w:name w:val="Char Char3"/>
    <w:qFormat/>
    <w:uiPriority w:val="0"/>
    <w:rPr>
      <w:rFonts w:ascii="Arial" w:hAnsi="Arial" w:eastAsia="黑体"/>
      <w:b/>
      <w:bCs/>
      <w:kern w:val="2"/>
      <w:sz w:val="32"/>
      <w:szCs w:val="32"/>
      <w:lang w:val="en-US" w:eastAsia="zh-CN" w:bidi="ar-SA"/>
    </w:rPr>
  </w:style>
  <w:style w:type="character" w:customStyle="1" w:styleId="147">
    <w:name w:val="Char Char71"/>
    <w:qFormat/>
    <w:uiPriority w:val="0"/>
    <w:rPr>
      <w:rFonts w:ascii="Arial" w:hAnsi="Arial" w:eastAsia="黑体"/>
      <w:b/>
      <w:bCs/>
      <w:kern w:val="2"/>
      <w:sz w:val="32"/>
      <w:szCs w:val="32"/>
      <w:lang w:val="en-US" w:eastAsia="zh-CN" w:bidi="ar-SA"/>
    </w:rPr>
  </w:style>
  <w:style w:type="character" w:customStyle="1" w:styleId="148">
    <w:name w:val="num51"/>
    <w:basedOn w:val="49"/>
    <w:qFormat/>
    <w:uiPriority w:val="0"/>
  </w:style>
  <w:style w:type="character" w:customStyle="1" w:styleId="149">
    <w:name w:val="Char Char Char"/>
    <w:qFormat/>
    <w:uiPriority w:val="0"/>
    <w:rPr>
      <w:rFonts w:eastAsia="宋体"/>
      <w:b/>
      <w:bCs/>
      <w:kern w:val="44"/>
      <w:sz w:val="44"/>
      <w:szCs w:val="44"/>
      <w:lang w:val="en-US" w:eastAsia="zh-CN" w:bidi="ar-SA"/>
    </w:rPr>
  </w:style>
  <w:style w:type="character" w:customStyle="1" w:styleId="150">
    <w:name w:val="msg-box31"/>
    <w:basedOn w:val="49"/>
    <w:qFormat/>
    <w:uiPriority w:val="0"/>
  </w:style>
  <w:style w:type="character" w:customStyle="1" w:styleId="151">
    <w:name w:val="msg-box30"/>
    <w:basedOn w:val="49"/>
    <w:qFormat/>
    <w:uiPriority w:val="0"/>
  </w:style>
  <w:style w:type="character" w:customStyle="1" w:styleId="152">
    <w:name w:val="标题 1 Char Char"/>
    <w:qFormat/>
    <w:uiPriority w:val="0"/>
    <w:rPr>
      <w:rFonts w:eastAsia="宋体"/>
      <w:b/>
      <w:bCs/>
      <w:kern w:val="44"/>
      <w:sz w:val="44"/>
      <w:szCs w:val="44"/>
      <w:lang w:val="en-US" w:eastAsia="zh-CN" w:bidi="ar-SA"/>
    </w:rPr>
  </w:style>
  <w:style w:type="character" w:customStyle="1" w:styleId="153">
    <w:name w:val="标题 3 Char"/>
    <w:link w:val="4"/>
    <w:qFormat/>
    <w:uiPriority w:val="0"/>
    <w:rPr>
      <w:b/>
      <w:bCs/>
      <w:sz w:val="32"/>
      <w:szCs w:val="32"/>
    </w:rPr>
  </w:style>
  <w:style w:type="character" w:customStyle="1" w:styleId="154">
    <w:name w:val="c1"/>
    <w:basedOn w:val="49"/>
    <w:qFormat/>
    <w:uiPriority w:val="0"/>
  </w:style>
  <w:style w:type="character" w:customStyle="1" w:styleId="155">
    <w:name w:val="纯文本 Char1"/>
    <w:qFormat/>
    <w:uiPriority w:val="0"/>
    <w:rPr>
      <w:rFonts w:ascii="Courier New" w:hAnsi="Courier New" w:eastAsia="宋体"/>
      <w:kern w:val="2"/>
      <w:sz w:val="21"/>
      <w:lang w:val="en-US" w:eastAsia="zh-CN" w:bidi="ar-SA"/>
    </w:rPr>
  </w:style>
  <w:style w:type="character" w:customStyle="1" w:styleId="156">
    <w:name w:val="Char Char Char1"/>
    <w:qFormat/>
    <w:uiPriority w:val="0"/>
    <w:rPr>
      <w:rFonts w:ascii="Arial" w:hAnsi="Arial" w:eastAsia="黑体"/>
      <w:b/>
      <w:bCs/>
      <w:kern w:val="2"/>
      <w:sz w:val="32"/>
      <w:szCs w:val="32"/>
      <w:lang w:val="en-US" w:eastAsia="zh-CN" w:bidi="ar-SA"/>
    </w:rPr>
  </w:style>
  <w:style w:type="character" w:customStyle="1" w:styleId="157">
    <w:name w:val="l3"/>
    <w:qFormat/>
    <w:uiPriority w:val="0"/>
    <w:rPr>
      <w:color w:val="999999"/>
    </w:rPr>
  </w:style>
  <w:style w:type="character" w:customStyle="1" w:styleId="158">
    <w:name w:val="tit14"/>
    <w:qFormat/>
    <w:uiPriority w:val="0"/>
    <w:rPr>
      <w:color w:val="B60000"/>
    </w:rPr>
  </w:style>
  <w:style w:type="character" w:customStyle="1" w:styleId="159">
    <w:name w:val="tit10"/>
    <w:qFormat/>
    <w:uiPriority w:val="0"/>
    <w:rPr>
      <w:color w:val="B60000"/>
    </w:rPr>
  </w:style>
  <w:style w:type="character" w:customStyle="1" w:styleId="160">
    <w:name w:val="l21"/>
    <w:qFormat/>
    <w:uiPriority w:val="0"/>
    <w:rPr>
      <w:color w:val="999999"/>
    </w:rPr>
  </w:style>
  <w:style w:type="character" w:customStyle="1" w:styleId="161">
    <w:name w:val="num71"/>
    <w:basedOn w:val="49"/>
    <w:qFormat/>
    <w:uiPriority w:val="0"/>
  </w:style>
  <w:style w:type="character" w:customStyle="1" w:styleId="162">
    <w:name w:val="标题 2 Char Char"/>
    <w:qFormat/>
    <w:uiPriority w:val="0"/>
    <w:rPr>
      <w:rFonts w:ascii="Arial" w:hAnsi="Arial" w:eastAsia="黑体"/>
      <w:b/>
      <w:bCs/>
      <w:kern w:val="2"/>
      <w:sz w:val="32"/>
      <w:szCs w:val="32"/>
      <w:lang w:val="en-US" w:eastAsia="zh-CN" w:bidi="ar-SA"/>
    </w:rPr>
  </w:style>
  <w:style w:type="character" w:customStyle="1" w:styleId="163">
    <w:name w:val="buvis"/>
    <w:qFormat/>
    <w:uiPriority w:val="0"/>
    <w:rPr>
      <w:color w:val="999999"/>
    </w:rPr>
  </w:style>
  <w:style w:type="character" w:customStyle="1" w:styleId="164">
    <w:name w:val="name"/>
    <w:qFormat/>
    <w:uiPriority w:val="0"/>
    <w:rPr>
      <w:color w:val="444444"/>
      <w:sz w:val="21"/>
      <w:szCs w:val="21"/>
    </w:rPr>
  </w:style>
  <w:style w:type="character" w:customStyle="1" w:styleId="165">
    <w:name w:val="layui-this"/>
    <w:qFormat/>
    <w:uiPriority w:val="0"/>
    <w:rPr>
      <w:bdr w:val="single" w:color="EEEEEE" w:sz="6" w:space="0"/>
      <w:shd w:val="clear" w:color="auto" w:fill="FFFFFF"/>
    </w:rPr>
  </w:style>
  <w:style w:type="character" w:customStyle="1" w:styleId="166">
    <w:name w:val="标题 2 Char1"/>
    <w:qFormat/>
    <w:uiPriority w:val="0"/>
    <w:rPr>
      <w:rFonts w:ascii="Arial" w:hAnsi="Arial" w:eastAsia="黑体"/>
      <w:b/>
      <w:bCs/>
      <w:kern w:val="2"/>
      <w:sz w:val="32"/>
      <w:szCs w:val="32"/>
      <w:lang w:val="en-US" w:eastAsia="zh-CN" w:bidi="ar-SA"/>
    </w:rPr>
  </w:style>
  <w:style w:type="character" w:customStyle="1" w:styleId="167">
    <w:name w:val="zw"/>
    <w:qFormat/>
    <w:uiPriority w:val="0"/>
    <w:rPr>
      <w:color w:val="BD1E22"/>
      <w:sz w:val="22"/>
      <w:szCs w:val="22"/>
    </w:rPr>
  </w:style>
  <w:style w:type="character" w:customStyle="1" w:styleId="168">
    <w:name w:val="name1"/>
    <w:qFormat/>
    <w:uiPriority w:val="0"/>
    <w:rPr>
      <w:color w:val="695435"/>
      <w:sz w:val="24"/>
      <w:szCs w:val="24"/>
    </w:rPr>
  </w:style>
  <w:style w:type="character" w:customStyle="1" w:styleId="169">
    <w:name w:val="num61"/>
    <w:basedOn w:val="49"/>
    <w:qFormat/>
    <w:uiPriority w:val="0"/>
  </w:style>
  <w:style w:type="character" w:customStyle="1" w:styleId="170">
    <w:name w:val="mesg-myd"/>
    <w:qFormat/>
    <w:uiPriority w:val="0"/>
    <w:rPr>
      <w:color w:val="EE0000"/>
    </w:rPr>
  </w:style>
  <w:style w:type="character" w:customStyle="1" w:styleId="171">
    <w:name w:val="c2"/>
    <w:basedOn w:val="49"/>
    <w:qFormat/>
    <w:uiPriority w:val="0"/>
  </w:style>
  <w:style w:type="character" w:customStyle="1" w:styleId="172">
    <w:name w:val="c3"/>
    <w:basedOn w:val="49"/>
    <w:qFormat/>
    <w:uiPriority w:val="0"/>
  </w:style>
  <w:style w:type="character" w:customStyle="1" w:styleId="173">
    <w:name w:val="over1"/>
    <w:qFormat/>
    <w:uiPriority w:val="0"/>
    <w:rPr>
      <w:color w:val="B60000"/>
    </w:rPr>
  </w:style>
  <w:style w:type="character" w:customStyle="1" w:styleId="174">
    <w:name w:val="tit13"/>
    <w:qFormat/>
    <w:uiPriority w:val="0"/>
    <w:rPr>
      <w:color w:val="FFFFFF"/>
    </w:rPr>
  </w:style>
  <w:style w:type="character" w:customStyle="1" w:styleId="175">
    <w:name w:val="Char Char21"/>
    <w:qFormat/>
    <w:uiPriority w:val="0"/>
    <w:rPr>
      <w:rFonts w:eastAsia="宋体"/>
      <w:kern w:val="2"/>
      <w:sz w:val="21"/>
      <w:szCs w:val="24"/>
      <w:lang w:val="en-US" w:eastAsia="zh-CN" w:bidi="ar-SA"/>
    </w:rPr>
  </w:style>
  <w:style w:type="character" w:customStyle="1" w:styleId="176">
    <w:name w:val="l41"/>
    <w:qFormat/>
    <w:uiPriority w:val="0"/>
    <w:rPr>
      <w:color w:val="999999"/>
    </w:rPr>
  </w:style>
  <w:style w:type="character" w:customStyle="1" w:styleId="177">
    <w:name w:val="16"/>
    <w:qFormat/>
    <w:uiPriority w:val="0"/>
    <w:rPr>
      <w:rFonts w:ascii="仿宋_GB2312" w:eastAsia="仿宋_GB2312"/>
      <w:color w:val="auto"/>
      <w:sz w:val="28"/>
      <w:szCs w:val="28"/>
    </w:rPr>
  </w:style>
  <w:style w:type="character" w:customStyle="1" w:styleId="178">
    <w:name w:val="num31"/>
    <w:basedOn w:val="49"/>
    <w:qFormat/>
    <w:uiPriority w:val="0"/>
  </w:style>
  <w:style w:type="character" w:customStyle="1" w:styleId="179">
    <w:name w:val="starting4"/>
    <w:basedOn w:val="49"/>
    <w:qFormat/>
    <w:uiPriority w:val="0"/>
  </w:style>
  <w:style w:type="character" w:customStyle="1" w:styleId="180">
    <w:name w:val="bsharetext"/>
    <w:basedOn w:val="49"/>
    <w:qFormat/>
    <w:uiPriority w:val="0"/>
  </w:style>
  <w:style w:type="character" w:customStyle="1" w:styleId="181">
    <w:name w:val="unit"/>
    <w:qFormat/>
    <w:uiPriority w:val="0"/>
    <w:rPr>
      <w:color w:val="999999"/>
    </w:rPr>
  </w:style>
  <w:style w:type="character" w:customStyle="1" w:styleId="182">
    <w:name w:val="nostart2"/>
    <w:qFormat/>
    <w:uiPriority w:val="0"/>
    <w:rPr>
      <w:color w:val="B60000"/>
    </w:rPr>
  </w:style>
  <w:style w:type="character" w:customStyle="1" w:styleId="183">
    <w:name w:val="纯文本 Char"/>
    <w:qFormat/>
    <w:uiPriority w:val="99"/>
    <w:rPr>
      <w:rFonts w:ascii="Courier New" w:hAnsi="Courier New" w:eastAsia="宋体"/>
      <w:kern w:val="2"/>
      <w:sz w:val="21"/>
      <w:lang w:val="en-US" w:eastAsia="zh-CN" w:bidi="ar-SA"/>
    </w:rPr>
  </w:style>
  <w:style w:type="character" w:customStyle="1" w:styleId="184">
    <w:name w:val="Char Char81"/>
    <w:qFormat/>
    <w:uiPriority w:val="0"/>
    <w:rPr>
      <w:rFonts w:ascii="Arial" w:hAnsi="Arial" w:eastAsia="黑体"/>
      <w:b/>
      <w:bCs/>
      <w:kern w:val="2"/>
      <w:sz w:val="32"/>
      <w:szCs w:val="32"/>
      <w:lang w:val="en-US" w:eastAsia="zh-CN" w:bidi="ar-SA"/>
    </w:rPr>
  </w:style>
  <w:style w:type="character" w:customStyle="1" w:styleId="185">
    <w:name w:val="starting"/>
    <w:qFormat/>
    <w:uiPriority w:val="0"/>
    <w:rPr>
      <w:color w:val="339900"/>
    </w:rPr>
  </w:style>
  <w:style w:type="character" w:customStyle="1" w:styleId="186">
    <w:name w:val="nostart1"/>
    <w:qFormat/>
    <w:uiPriority w:val="0"/>
    <w:rPr>
      <w:color w:val="FF0000"/>
    </w:rPr>
  </w:style>
  <w:style w:type="character" w:customStyle="1" w:styleId="187">
    <w:name w:val="num210"/>
    <w:basedOn w:val="49"/>
    <w:qFormat/>
    <w:uiPriority w:val="0"/>
  </w:style>
  <w:style w:type="character" w:customStyle="1" w:styleId="188">
    <w:name w:val="buvis1"/>
    <w:qFormat/>
    <w:uiPriority w:val="0"/>
    <w:rPr>
      <w:color w:val="CC0000"/>
    </w:rPr>
  </w:style>
  <w:style w:type="character" w:customStyle="1" w:styleId="189">
    <w:name w:val="starting3"/>
    <w:basedOn w:val="49"/>
    <w:qFormat/>
    <w:uiPriority w:val="0"/>
  </w:style>
  <w:style w:type="character" w:customStyle="1" w:styleId="190">
    <w:name w:val="textcontents"/>
    <w:basedOn w:val="49"/>
    <w:qFormat/>
    <w:uiPriority w:val="0"/>
  </w:style>
  <w:style w:type="character" w:customStyle="1" w:styleId="191">
    <w:name w:val="num41"/>
    <w:basedOn w:val="49"/>
    <w:qFormat/>
    <w:uiPriority w:val="0"/>
  </w:style>
  <w:style w:type="character" w:customStyle="1" w:styleId="192">
    <w:name w:val="tit9"/>
    <w:qFormat/>
    <w:uiPriority w:val="0"/>
    <w:rPr>
      <w:color w:val="B60000"/>
      <w:sz w:val="27"/>
      <w:szCs w:val="27"/>
      <w:bdr w:val="single" w:color="DFCEB8" w:sz="6" w:space="0"/>
      <w:shd w:val="clear" w:color="auto" w:fill="FFFFFF"/>
    </w:rPr>
  </w:style>
  <w:style w:type="character" w:customStyle="1" w:styleId="193">
    <w:name w:val="name2"/>
    <w:qFormat/>
    <w:uiPriority w:val="0"/>
    <w:rPr>
      <w:color w:val="000000"/>
      <w:sz w:val="39"/>
      <w:szCs w:val="39"/>
    </w:rPr>
  </w:style>
  <w:style w:type="character" w:customStyle="1" w:styleId="194">
    <w:name w:val="img_title8"/>
    <w:qFormat/>
    <w:uiPriority w:val="0"/>
    <w:rPr>
      <w:vanish/>
    </w:rPr>
  </w:style>
  <w:style w:type="character" w:customStyle="1" w:styleId="195">
    <w:name w:val="tit15"/>
    <w:qFormat/>
    <w:uiPriority w:val="0"/>
    <w:rPr>
      <w:b/>
      <w:color w:val="B60000"/>
    </w:rPr>
  </w:style>
  <w:style w:type="character" w:customStyle="1" w:styleId="196">
    <w:name w:val="img_title9"/>
    <w:qFormat/>
    <w:uiPriority w:val="0"/>
    <w:rPr>
      <w:vanish/>
    </w:rPr>
  </w:style>
  <w:style w:type="character" w:customStyle="1" w:styleId="197">
    <w:name w:val="标题 2 Char2"/>
    <w:link w:val="3"/>
    <w:qFormat/>
    <w:uiPriority w:val="0"/>
    <w:rPr>
      <w:rFonts w:ascii="Arial" w:hAnsi="Arial" w:eastAsia="黑体"/>
      <w:b/>
      <w:bCs/>
      <w:kern w:val="2"/>
      <w:sz w:val="21"/>
      <w:szCs w:val="32"/>
      <w:lang w:val="en-US" w:eastAsia="zh-CN" w:bidi="ar-SA"/>
    </w:rPr>
  </w:style>
  <w:style w:type="paragraph" w:customStyle="1" w:styleId="198">
    <w:name w:val="正文 New"/>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character" w:customStyle="1" w:styleId="199">
    <w:name w:val="font12"/>
    <w:basedOn w:val="49"/>
    <w:qFormat/>
    <w:uiPriority w:val="0"/>
    <w:rPr>
      <w:rFonts w:hint="eastAsia" w:ascii="仿宋" w:hAnsi="仿宋" w:eastAsia="仿宋" w:cs="仿宋"/>
      <w:b/>
      <w:color w:val="000000"/>
      <w:sz w:val="32"/>
      <w:szCs w:val="32"/>
      <w:u w:val="none"/>
    </w:rPr>
  </w:style>
  <w:style w:type="character" w:customStyle="1" w:styleId="200">
    <w:name w:val="font101"/>
    <w:basedOn w:val="49"/>
    <w:qFormat/>
    <w:uiPriority w:val="0"/>
    <w:rPr>
      <w:rFonts w:hint="default" w:ascii="Times New Roman" w:hAnsi="Times New Roman" w:cs="Times New Roman"/>
      <w:color w:val="000000"/>
      <w:sz w:val="24"/>
      <w:szCs w:val="24"/>
      <w:u w:val="none"/>
    </w:rPr>
  </w:style>
  <w:style w:type="character" w:customStyle="1" w:styleId="201">
    <w:name w:val="font111"/>
    <w:basedOn w:val="49"/>
    <w:qFormat/>
    <w:uiPriority w:val="0"/>
    <w:rPr>
      <w:rFonts w:ascii="仿宋_GB2312" w:eastAsia="仿宋_GB2312" w:cs="仿宋_GB2312"/>
      <w:color w:val="000000"/>
      <w:sz w:val="24"/>
      <w:szCs w:val="24"/>
      <w:u w:val="none"/>
    </w:rPr>
  </w:style>
  <w:style w:type="character" w:customStyle="1" w:styleId="202">
    <w:name w:val="font91"/>
    <w:basedOn w:val="49"/>
    <w:qFormat/>
    <w:uiPriority w:val="0"/>
    <w:rPr>
      <w:rFonts w:hint="eastAsia" w:ascii="仿宋" w:hAnsi="仿宋" w:eastAsia="仿宋" w:cs="仿宋"/>
      <w:color w:val="000000"/>
      <w:sz w:val="24"/>
      <w:szCs w:val="24"/>
      <w:u w:val="single"/>
    </w:rPr>
  </w:style>
  <w:style w:type="character" w:customStyle="1" w:styleId="203">
    <w:name w:val="font81"/>
    <w:basedOn w:val="49"/>
    <w:qFormat/>
    <w:uiPriority w:val="0"/>
    <w:rPr>
      <w:rFonts w:hint="default" w:ascii="Times New Roman" w:hAnsi="Times New Roman" w:cs="Times New Roman"/>
      <w:color w:val="000000"/>
      <w:sz w:val="24"/>
      <w:szCs w:val="24"/>
      <w:u w:val="none"/>
    </w:rPr>
  </w:style>
  <w:style w:type="character" w:customStyle="1" w:styleId="204">
    <w:name w:val="font61"/>
    <w:basedOn w:val="49"/>
    <w:qFormat/>
    <w:uiPriority w:val="0"/>
    <w:rPr>
      <w:rFonts w:hint="eastAsia" w:ascii="仿宋_GB2312" w:eastAsia="仿宋_GB2312" w:cs="仿宋_GB2312"/>
      <w:color w:val="000000"/>
      <w:sz w:val="24"/>
      <w:szCs w:val="24"/>
      <w:u w:val="none"/>
    </w:rPr>
  </w:style>
  <w:style w:type="character" w:customStyle="1" w:styleId="205">
    <w:name w:val="font21"/>
    <w:basedOn w:val="49"/>
    <w:qFormat/>
    <w:uiPriority w:val="0"/>
    <w:rPr>
      <w:rFonts w:hint="default" w:ascii="Times New Roman" w:hAnsi="Times New Roman" w:cs="Times New Roman"/>
      <w:color w:val="000000"/>
      <w:sz w:val="24"/>
      <w:szCs w:val="24"/>
      <w:u w:val="none"/>
    </w:rPr>
  </w:style>
  <w:style w:type="character" w:customStyle="1" w:styleId="206">
    <w:name w:val="NormalCharacter"/>
    <w:semiHidden/>
    <w:qFormat/>
    <w:uiPriority w:val="0"/>
    <w:rPr>
      <w:snapToGrid w:val="0"/>
      <w:kern w:val="0"/>
      <w:sz w:val="32"/>
      <w:szCs w:val="32"/>
      <w:lang w:val="en-US" w:eastAsia="zh-CN" w:bidi="ar-SA"/>
    </w:rPr>
  </w:style>
  <w:style w:type="character" w:customStyle="1" w:styleId="207">
    <w:name w:val="first-child1"/>
    <w:basedOn w:val="49"/>
    <w:qFormat/>
    <w:uiPriority w:val="0"/>
  </w:style>
  <w:style w:type="character" w:customStyle="1" w:styleId="208">
    <w:name w:val="hover1"/>
    <w:basedOn w:val="49"/>
    <w:qFormat/>
    <w:uiPriority w:val="0"/>
    <w:rPr>
      <w:color w:val="2590EB"/>
    </w:rPr>
  </w:style>
  <w:style w:type="character" w:customStyle="1" w:styleId="209">
    <w:name w:val="hover2"/>
    <w:basedOn w:val="49"/>
    <w:qFormat/>
    <w:uiPriority w:val="0"/>
  </w:style>
  <w:style w:type="character" w:customStyle="1" w:styleId="210">
    <w:name w:val="hover3"/>
    <w:basedOn w:val="49"/>
    <w:qFormat/>
    <w:uiPriority w:val="0"/>
    <w:rPr>
      <w:color w:val="2590EB"/>
    </w:rPr>
  </w:style>
  <w:style w:type="character" w:customStyle="1" w:styleId="211">
    <w:name w:val="hover4"/>
    <w:basedOn w:val="49"/>
    <w:qFormat/>
    <w:uiPriority w:val="0"/>
    <w:rPr>
      <w:color w:val="2590EB"/>
      <w:shd w:val="clear" w:fill="E9F4FD"/>
    </w:rPr>
  </w:style>
  <w:style w:type="character" w:customStyle="1" w:styleId="212">
    <w:name w:val="mini-outputtext1"/>
    <w:basedOn w:val="49"/>
    <w:qFormat/>
    <w:uiPriority w:val="0"/>
  </w:style>
  <w:style w:type="character" w:customStyle="1" w:styleId="213">
    <w:name w:val="hover"/>
    <w:basedOn w:val="49"/>
    <w:qFormat/>
    <w:uiPriority w:val="0"/>
    <w:rPr>
      <w:color w:val="2590E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57</Pages>
  <Words>60</Words>
  <Characters>66</Characters>
  <Lines>411</Lines>
  <Paragraphs>115</Paragraphs>
  <TotalTime>25</TotalTime>
  <ScaleCrop>false</ScaleCrop>
  <LinksUpToDate>false</LinksUpToDate>
  <CharactersWithSpaces>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2016-05-15T08:29:00Z</dcterms:created>
  <dc:creator>dengxiaochun</dc:creator>
  <cp:lastModifiedBy>傻傻一辈子</cp:lastModifiedBy>
  <cp:lastPrinted>2023-06-08T00:43:00Z</cp:lastPrinted>
  <dcterms:modified xsi:type="dcterms:W3CDTF">2026-09-23T16:05:38Z</dcterms:modified>
  <dc:title>标准交易文件</dc:title>
  <cp:revision>328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3E37166E933D4B56AF059194D704A7C6_13</vt:lpwstr>
  </property>
  <property fmtid="{D5CDD505-2E9C-101B-9397-08002B2CF9AE}" pid="4" name="KSOTemplateDocerSaveRecord">
    <vt:lpwstr>eyJoZGlkIjoiMTljMDcwYWJmYjExZWQzNTVmZDAzZTYwM2JlMzJmZDYiLCJ1c2VySWQiOiIzODU2Mzk2OTQifQ==</vt:lpwstr>
  </property>
</Properties>
</file>