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71AF8">
      <w:pPr>
        <w:rPr>
          <w:rFonts w:ascii="宋体" w:hAnsi="宋体"/>
          <w:color w:val="auto"/>
          <w:sz w:val="44"/>
          <w:highlight w:val="none"/>
        </w:rPr>
      </w:pPr>
      <w:r>
        <w:rPr>
          <w:rFonts w:hint="eastAsia" w:ascii="仿宋" w:hAnsi="仿宋" w:eastAsia="仿宋" w:cs="仿宋"/>
          <w:b/>
          <w:bCs/>
          <w:color w:val="auto"/>
          <w:sz w:val="28"/>
          <w:szCs w:val="28"/>
          <w:highlight w:val="none"/>
        </w:rPr>
        <w:t>【审慎阅读】</w:t>
      </w:r>
      <w:r>
        <w:rPr>
          <w:rFonts w:hint="eastAsia" w:ascii="仿宋" w:hAnsi="仿宋" w:eastAsia="仿宋" w:cs="仿宋"/>
          <w:color w:val="auto"/>
          <w:sz w:val="28"/>
          <w:szCs w:val="28"/>
          <w:highlight w:val="none"/>
        </w:rPr>
        <w:t>您在接受本合同之前，应当认真阅读本合同。</w:t>
      </w:r>
      <w:r>
        <w:rPr>
          <w:rFonts w:hint="eastAsia" w:ascii="仿宋" w:hAnsi="仿宋" w:eastAsia="仿宋" w:cs="仿宋"/>
          <w:b/>
          <w:bCs/>
          <w:color w:val="auto"/>
          <w:sz w:val="28"/>
          <w:szCs w:val="28"/>
          <w:highlight w:val="none"/>
        </w:rPr>
        <w:t>请您务必审慎阅读、充分理解各条款内容，特别是免除或者限制责任的条款、法律适用和争议解决条款。</w:t>
      </w:r>
    </w:p>
    <w:tbl>
      <w:tblPr>
        <w:tblStyle w:val="4"/>
        <w:tblpPr w:leftFromText="180" w:rightFromText="180" w:vertAnchor="page" w:horzAnchor="page" w:tblpX="7130" w:tblpY="3208"/>
        <w:tblOverlap w:val="never"/>
        <w:tblW w:w="3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tblGrid>
      <w:tr w14:paraId="65FD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3118" w:type="dxa"/>
          </w:tcPr>
          <w:p w14:paraId="5BC552B7">
            <w:pPr>
              <w:keepNext w:val="0"/>
              <w:keepLines w:val="0"/>
              <w:suppressLineNumbers w:val="0"/>
              <w:spacing w:before="0" w:beforeAutospacing="0" w:after="0" w:afterAutospacing="0"/>
              <w:ind w:left="-197" w:leftChars="-94" w:right="0" w:firstLine="419" w:firstLineChars="149"/>
              <w:rPr>
                <w:rFonts w:hint="default"/>
                <w:color w:val="auto"/>
                <w:sz w:val="28"/>
                <w:highlight w:val="none"/>
              </w:rPr>
            </w:pPr>
            <w:bookmarkStart w:id="0" w:name="page2"/>
            <w:bookmarkEnd w:id="0"/>
            <w:r>
              <w:rPr>
                <w:rFonts w:hint="eastAsia"/>
                <w:b/>
                <w:color w:val="auto"/>
                <w:sz w:val="28"/>
                <w:highlight w:val="none"/>
              </w:rPr>
              <w:t>合同编号</w:t>
            </w:r>
            <w:r>
              <w:rPr>
                <w:rFonts w:hint="eastAsia"/>
                <w:color w:val="auto"/>
                <w:sz w:val="28"/>
                <w:highlight w:val="none"/>
              </w:rPr>
              <w:t xml:space="preserve">：         </w:t>
            </w:r>
          </w:p>
          <w:p w14:paraId="1F38BA31">
            <w:pPr>
              <w:keepNext w:val="0"/>
              <w:keepLines w:val="0"/>
              <w:suppressLineNumbers w:val="0"/>
              <w:spacing w:before="0" w:beforeAutospacing="0" w:after="0" w:afterAutospacing="0"/>
              <w:ind w:left="-197" w:leftChars="-94" w:right="0" w:firstLine="419" w:firstLineChars="149"/>
              <w:rPr>
                <w:rFonts w:hint="default"/>
                <w:color w:val="auto"/>
                <w:highlight w:val="none"/>
              </w:rPr>
            </w:pPr>
            <w:r>
              <w:rPr>
                <w:rFonts w:hint="eastAsia"/>
                <w:b/>
                <w:color w:val="auto"/>
                <w:sz w:val="28"/>
                <w:highlight w:val="none"/>
              </w:rPr>
              <w:t>签订地点</w:t>
            </w:r>
            <w:r>
              <w:rPr>
                <w:rFonts w:hint="eastAsia"/>
                <w:color w:val="auto"/>
                <w:sz w:val="28"/>
                <w:highlight w:val="none"/>
              </w:rPr>
              <w:t>：</w:t>
            </w:r>
            <w:r>
              <w:rPr>
                <w:rFonts w:hint="eastAsia"/>
                <w:color w:val="auto"/>
                <w:sz w:val="28"/>
                <w:highlight w:val="none"/>
                <w:lang w:val="en-US" w:eastAsia="zh-CN"/>
              </w:rPr>
              <w:t>滁州市</w:t>
            </w:r>
            <w:r>
              <w:rPr>
                <w:rFonts w:hint="eastAsia"/>
                <w:color w:val="auto"/>
                <w:sz w:val="28"/>
                <w:highlight w:val="none"/>
              </w:rPr>
              <w:t xml:space="preserve">         </w:t>
            </w:r>
          </w:p>
          <w:p w14:paraId="4FD45B42">
            <w:pPr>
              <w:keepNext w:val="0"/>
              <w:keepLines w:val="0"/>
              <w:suppressLineNumbers w:val="0"/>
              <w:spacing w:before="0" w:beforeAutospacing="0" w:after="0" w:afterAutospacing="0"/>
              <w:ind w:left="-197" w:leftChars="-94" w:right="0" w:firstLine="419" w:firstLineChars="149"/>
              <w:rPr>
                <w:rFonts w:hint="default"/>
                <w:color w:val="auto"/>
                <w:sz w:val="28"/>
                <w:highlight w:val="none"/>
              </w:rPr>
            </w:pPr>
            <w:r>
              <w:rPr>
                <w:rFonts w:hint="eastAsia"/>
                <w:b/>
                <w:color w:val="auto"/>
                <w:sz w:val="28"/>
                <w:highlight w:val="none"/>
              </w:rPr>
              <w:t>签订日期</w:t>
            </w:r>
            <w:r>
              <w:rPr>
                <w:rFonts w:hint="eastAsia"/>
                <w:color w:val="auto"/>
                <w:sz w:val="28"/>
                <w:highlight w:val="none"/>
              </w:rPr>
              <w:t xml:space="preserve">：         </w:t>
            </w:r>
          </w:p>
        </w:tc>
      </w:tr>
    </w:tbl>
    <w:p w14:paraId="0860650D">
      <w:pPr>
        <w:spacing w:line="500" w:lineRule="exact"/>
        <w:ind w:left="-197" w:leftChars="-94" w:firstLine="655" w:firstLineChars="149"/>
        <w:jc w:val="center"/>
        <w:rPr>
          <w:rFonts w:ascii="宋体" w:hAnsi="宋体"/>
          <w:color w:val="auto"/>
          <w:sz w:val="44"/>
          <w:highlight w:val="none"/>
        </w:rPr>
      </w:pPr>
    </w:p>
    <w:p w14:paraId="3BDA733C">
      <w:pPr>
        <w:spacing w:line="500" w:lineRule="exact"/>
        <w:ind w:left="-197" w:leftChars="-94" w:firstLine="655" w:firstLineChars="149"/>
        <w:rPr>
          <w:rFonts w:ascii="宋体" w:hAnsi="宋体"/>
          <w:color w:val="auto"/>
          <w:sz w:val="44"/>
          <w:highlight w:val="none"/>
        </w:rPr>
      </w:pPr>
    </w:p>
    <w:p w14:paraId="40BC804B">
      <w:pPr>
        <w:ind w:left="-197" w:leftChars="-94" w:firstLine="1077" w:firstLineChars="149"/>
        <w:jc w:val="center"/>
        <w:rPr>
          <w:rFonts w:ascii="黑体" w:hAnsi="黑体" w:eastAsia="黑体"/>
          <w:b/>
          <w:color w:val="auto"/>
          <w:sz w:val="72"/>
          <w:szCs w:val="72"/>
          <w:highlight w:val="none"/>
        </w:rPr>
      </w:pPr>
    </w:p>
    <w:p w14:paraId="7FAD4001">
      <w:pPr>
        <w:tabs>
          <w:tab w:val="left" w:pos="5147"/>
        </w:tabs>
        <w:ind w:left="-197" w:leftChars="-94" w:firstLine="1077" w:firstLineChars="149"/>
        <w:jc w:val="left"/>
        <w:rPr>
          <w:rFonts w:ascii="黑体" w:hAnsi="黑体" w:eastAsia="黑体"/>
          <w:b/>
          <w:color w:val="auto"/>
          <w:sz w:val="72"/>
          <w:szCs w:val="72"/>
          <w:highlight w:val="none"/>
        </w:rPr>
      </w:pPr>
      <w:r>
        <w:rPr>
          <w:rFonts w:hint="eastAsia" w:ascii="黑体" w:hAnsi="黑体" w:eastAsia="黑体"/>
          <w:b/>
          <w:color w:val="auto"/>
          <w:sz w:val="72"/>
          <w:szCs w:val="72"/>
          <w:highlight w:val="none"/>
        </w:rPr>
        <w:tab/>
      </w:r>
    </w:p>
    <w:p w14:paraId="764BAF52">
      <w:pPr>
        <w:ind w:left="-197" w:leftChars="-94" w:firstLine="1077" w:firstLineChars="149"/>
        <w:jc w:val="center"/>
        <w:rPr>
          <w:rFonts w:ascii="黑体" w:hAnsi="黑体" w:eastAsia="黑体"/>
          <w:b/>
          <w:color w:val="auto"/>
          <w:sz w:val="72"/>
          <w:szCs w:val="72"/>
          <w:highlight w:val="none"/>
        </w:rPr>
      </w:pPr>
    </w:p>
    <w:p w14:paraId="7D48A9DA">
      <w:pPr>
        <w:jc w:val="center"/>
        <w:rPr>
          <w:rFonts w:ascii="黑体" w:hAnsi="黑体" w:eastAsia="黑体"/>
          <w:b/>
          <w:color w:val="auto"/>
          <w:sz w:val="72"/>
          <w:szCs w:val="72"/>
          <w:highlight w:val="none"/>
        </w:rPr>
      </w:pPr>
      <w:r>
        <w:rPr>
          <w:rFonts w:hint="eastAsia" w:ascii="黑体" w:hAnsi="黑体" w:eastAsia="黑体"/>
          <w:b/>
          <w:color w:val="auto"/>
          <w:sz w:val="72"/>
          <w:szCs w:val="72"/>
          <w:highlight w:val="none"/>
          <w:lang w:val="en-US" w:eastAsia="zh-CN"/>
        </w:rPr>
        <w:t>租</w:t>
      </w:r>
    </w:p>
    <w:p w14:paraId="588F3E9C">
      <w:pPr>
        <w:jc w:val="center"/>
        <w:rPr>
          <w:rFonts w:ascii="黑体" w:hAnsi="黑体" w:eastAsia="黑体"/>
          <w:b/>
          <w:color w:val="auto"/>
          <w:sz w:val="72"/>
          <w:szCs w:val="72"/>
          <w:highlight w:val="none"/>
        </w:rPr>
      </w:pPr>
      <w:r>
        <w:rPr>
          <w:rFonts w:hint="eastAsia" w:ascii="黑体" w:hAnsi="黑体" w:eastAsia="黑体"/>
          <w:b/>
          <w:color w:val="auto"/>
          <w:sz w:val="72"/>
          <w:szCs w:val="72"/>
          <w:highlight w:val="none"/>
          <w:lang w:val="en-US" w:eastAsia="zh-CN"/>
        </w:rPr>
        <w:t>赁</w:t>
      </w:r>
    </w:p>
    <w:p w14:paraId="03857D90">
      <w:pPr>
        <w:widowControl/>
        <w:jc w:val="center"/>
        <w:rPr>
          <w:rFonts w:ascii="黑体" w:hAnsi="黑体" w:eastAsia="黑体"/>
          <w:b/>
          <w:color w:val="auto"/>
          <w:sz w:val="72"/>
          <w:szCs w:val="72"/>
          <w:highlight w:val="none"/>
        </w:rPr>
      </w:pPr>
      <w:r>
        <w:rPr>
          <w:rFonts w:hint="eastAsia" w:ascii="黑体" w:hAnsi="黑体" w:eastAsia="黑体"/>
          <w:b/>
          <w:color w:val="auto"/>
          <w:sz w:val="72"/>
          <w:szCs w:val="72"/>
          <w:highlight w:val="none"/>
        </w:rPr>
        <w:t>合</w:t>
      </w:r>
    </w:p>
    <w:p w14:paraId="24C62696">
      <w:pPr>
        <w:widowControl/>
        <w:jc w:val="center"/>
        <w:rPr>
          <w:rFonts w:ascii="黑体" w:hAnsi="黑体" w:eastAsia="黑体"/>
          <w:b/>
          <w:color w:val="auto"/>
          <w:sz w:val="72"/>
          <w:szCs w:val="72"/>
          <w:highlight w:val="none"/>
        </w:rPr>
      </w:pPr>
      <w:r>
        <w:rPr>
          <w:rFonts w:hint="eastAsia" w:ascii="黑体" w:hAnsi="黑体" w:eastAsia="黑体"/>
          <w:b/>
          <w:color w:val="auto"/>
          <w:sz w:val="72"/>
          <w:szCs w:val="72"/>
          <w:highlight w:val="none"/>
        </w:rPr>
        <w:t>同</w:t>
      </w:r>
    </w:p>
    <w:p w14:paraId="07F70301">
      <w:pPr>
        <w:widowControl/>
        <w:ind w:left="-197" w:leftChars="-94" w:firstLine="1077" w:firstLineChars="149"/>
        <w:jc w:val="center"/>
        <w:rPr>
          <w:rFonts w:ascii="黑体" w:hAnsi="黑体" w:eastAsia="黑体"/>
          <w:b/>
          <w:color w:val="auto"/>
          <w:sz w:val="72"/>
          <w:szCs w:val="72"/>
          <w:highlight w:val="none"/>
        </w:rPr>
      </w:pPr>
    </w:p>
    <w:p w14:paraId="019E435D">
      <w:pPr>
        <w:widowControl/>
        <w:jc w:val="center"/>
        <w:rPr>
          <w:rFonts w:hint="eastAsia" w:ascii="黑体" w:hAnsi="黑体" w:eastAsia="黑体"/>
          <w:b/>
          <w:color w:val="auto"/>
          <w:sz w:val="44"/>
          <w:szCs w:val="44"/>
          <w:highlight w:val="none"/>
        </w:rPr>
      </w:pPr>
    </w:p>
    <w:p w14:paraId="70DC3851">
      <w:pPr>
        <w:widowControl/>
        <w:jc w:val="center"/>
        <w:rPr>
          <w:rFonts w:ascii="黑体" w:hAnsi="黑体" w:eastAsia="黑体"/>
          <w:b/>
          <w:color w:val="auto"/>
          <w:sz w:val="72"/>
          <w:szCs w:val="72"/>
          <w:highlight w:val="none"/>
        </w:rPr>
      </w:pPr>
      <w:r>
        <w:rPr>
          <w:rFonts w:hint="eastAsia" w:ascii="黑体" w:hAnsi="黑体" w:eastAsia="黑体"/>
          <w:b/>
          <w:color w:val="auto"/>
          <w:sz w:val="44"/>
          <w:szCs w:val="44"/>
          <w:highlight w:val="none"/>
        </w:rPr>
        <w:t>滁州中学南侧停车场商业用房</w:t>
      </w:r>
    </w:p>
    <w:p w14:paraId="6B7FE1E8">
      <w:pPr>
        <w:keepNext w:val="0"/>
        <w:keepLines w:val="0"/>
        <w:pageBreakBefore w:val="0"/>
        <w:widowControl/>
        <w:kinsoku/>
        <w:wordWrap/>
        <w:overflowPunct/>
        <w:topLinePunct w:val="0"/>
        <w:autoSpaceDE/>
        <w:autoSpaceDN/>
        <w:bidi w:val="0"/>
        <w:adjustRightInd/>
        <w:snapToGrid/>
        <w:spacing w:line="400" w:lineRule="exact"/>
        <w:ind w:left="0" w:leftChars="0" w:firstLine="1446" w:firstLineChars="200"/>
        <w:jc w:val="center"/>
        <w:textAlignment w:val="auto"/>
        <w:rPr>
          <w:rFonts w:ascii="黑体" w:hAnsi="黑体" w:eastAsia="黑体"/>
          <w:b/>
          <w:color w:val="auto"/>
          <w:sz w:val="72"/>
          <w:szCs w:val="72"/>
          <w:highlight w:val="none"/>
        </w:rPr>
      </w:pPr>
    </w:p>
    <w:p w14:paraId="4DE9FFDE">
      <w:pPr>
        <w:keepNext w:val="0"/>
        <w:keepLines w:val="0"/>
        <w:pageBreakBefore w:val="0"/>
        <w:widowControl/>
        <w:kinsoku/>
        <w:wordWrap/>
        <w:overflowPunct/>
        <w:topLinePunct w:val="0"/>
        <w:autoSpaceDE/>
        <w:autoSpaceDN/>
        <w:bidi w:val="0"/>
        <w:adjustRightInd/>
        <w:snapToGrid/>
        <w:spacing w:line="400" w:lineRule="exact"/>
        <w:ind w:left="0" w:leftChars="0" w:firstLine="1446" w:firstLineChars="200"/>
        <w:jc w:val="center"/>
        <w:textAlignment w:val="auto"/>
        <w:rPr>
          <w:rFonts w:ascii="黑体" w:hAnsi="黑体" w:eastAsia="黑体"/>
          <w:b/>
          <w:color w:val="auto"/>
          <w:sz w:val="72"/>
          <w:szCs w:val="72"/>
          <w:highlight w:val="none"/>
        </w:rPr>
      </w:pPr>
    </w:p>
    <w:p w14:paraId="71079935">
      <w:pPr>
        <w:keepNext w:val="0"/>
        <w:keepLines w:val="0"/>
        <w:pageBreakBefore w:val="0"/>
        <w:widowControl/>
        <w:kinsoku/>
        <w:wordWrap/>
        <w:overflowPunct/>
        <w:topLinePunct w:val="0"/>
        <w:autoSpaceDE/>
        <w:autoSpaceDN/>
        <w:bidi w:val="0"/>
        <w:adjustRightInd/>
        <w:snapToGrid/>
        <w:spacing w:line="400" w:lineRule="exact"/>
        <w:ind w:left="0" w:leftChars="0" w:firstLine="1446" w:firstLineChars="200"/>
        <w:jc w:val="center"/>
        <w:textAlignment w:val="auto"/>
        <w:rPr>
          <w:rFonts w:ascii="黑体" w:hAnsi="黑体" w:eastAsia="黑体"/>
          <w:b/>
          <w:color w:val="auto"/>
          <w:sz w:val="72"/>
          <w:szCs w:val="72"/>
          <w:highlight w:val="none"/>
        </w:rPr>
        <w:sectPr>
          <w:pgSz w:w="11906" w:h="16838"/>
          <w:pgMar w:top="1440" w:right="1800" w:bottom="1440" w:left="1800" w:header="851" w:footer="992" w:gutter="0"/>
          <w:cols w:space="425" w:num="1"/>
          <w:docGrid w:type="lines" w:linePitch="312" w:charSpace="0"/>
        </w:sectPr>
      </w:pPr>
    </w:p>
    <w:p w14:paraId="2169C0D4">
      <w:pPr>
        <w:widowControl/>
        <w:spacing w:line="480" w:lineRule="auto"/>
        <w:ind w:firstLine="562" w:firstLineChars="200"/>
        <w:rPr>
          <w:rFonts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甲乙双方根据《中华人民共和国民法典》及相关法律法规的规定，在平等、自愿、协商一致的基础上，甲方为乙方提供场地租赁一事达成如下条款，以资共同遵守：</w:t>
      </w:r>
    </w:p>
    <w:p w14:paraId="3F6B40E2">
      <w:pPr>
        <w:ind w:left="-197" w:leftChars="-94" w:firstLine="312" w:firstLineChars="149"/>
        <w:rPr>
          <w:color w:val="auto"/>
          <w:highlight w:val="none"/>
        </w:rPr>
      </w:pPr>
    </w:p>
    <w:p w14:paraId="4D65C487">
      <w:pPr>
        <w:ind w:left="-197" w:leftChars="-94" w:firstLine="312" w:firstLineChars="149"/>
        <w:rPr>
          <w:color w:val="auto"/>
          <w:highlight w:val="none"/>
        </w:rPr>
      </w:pPr>
    </w:p>
    <w:p w14:paraId="61C77BD5">
      <w:pPr>
        <w:ind w:left="-197" w:leftChars="-94" w:firstLine="312" w:firstLineChars="149"/>
        <w:rPr>
          <w:color w:val="auto"/>
          <w:highlight w:val="none"/>
        </w:rPr>
      </w:pPr>
    </w:p>
    <w:p w14:paraId="07CBB148">
      <w:pPr>
        <w:ind w:left="-197" w:leftChars="-94" w:firstLine="312" w:firstLineChars="149"/>
        <w:rPr>
          <w:color w:val="auto"/>
          <w:highlight w:val="none"/>
        </w:rPr>
      </w:pPr>
    </w:p>
    <w:p w14:paraId="59984D6C">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甲方：滁州市明湖城市运营管理有限责任公司</w:t>
      </w:r>
    </w:p>
    <w:p w14:paraId="3D6C83DA">
      <w:pPr>
        <w:spacing w:line="360" w:lineRule="auto"/>
        <w:ind w:firstLine="480" w:firstLineChars="200"/>
        <w:jc w:val="left"/>
        <w:rPr>
          <w:rFonts w:hint="eastAsia" w:ascii="宋体" w:hAnsi="宋体" w:cs="宋体" w:eastAsiaTheme="minorEastAsia"/>
          <w:bCs/>
          <w:color w:val="auto"/>
          <w:sz w:val="24"/>
          <w:highlight w:val="none"/>
          <w:lang w:eastAsia="zh-CN"/>
        </w:rPr>
      </w:pPr>
      <w:r>
        <w:rPr>
          <w:rFonts w:hint="eastAsia" w:ascii="宋体" w:hAnsi="宋体" w:cs="宋体"/>
          <w:bCs/>
          <w:color w:val="auto"/>
          <w:sz w:val="24"/>
          <w:highlight w:val="none"/>
        </w:rPr>
        <w:t>法定代表人/委托代理人：</w:t>
      </w:r>
    </w:p>
    <w:p w14:paraId="59B8831D">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联系地址：安徽省滁州市南谯区明湖公园内6#驿站</w:t>
      </w:r>
    </w:p>
    <w:p w14:paraId="28DEF9B1">
      <w:pPr>
        <w:spacing w:line="360" w:lineRule="auto"/>
        <w:ind w:firstLine="480" w:firstLineChars="200"/>
        <w:jc w:val="left"/>
        <w:rPr>
          <w:rFonts w:hint="default" w:ascii="宋体" w:hAnsi="宋体" w:cs="宋体"/>
          <w:bCs/>
          <w:color w:val="auto"/>
          <w:sz w:val="24"/>
          <w:highlight w:val="none"/>
          <w:lang w:val="en-US"/>
        </w:rPr>
      </w:pPr>
      <w:r>
        <w:rPr>
          <w:rFonts w:hint="eastAsia" w:ascii="宋体" w:hAnsi="宋体" w:cs="宋体"/>
          <w:bCs/>
          <w:color w:val="auto"/>
          <w:sz w:val="24"/>
          <w:highlight w:val="none"/>
        </w:rPr>
        <w:t>联系电话：</w:t>
      </w:r>
    </w:p>
    <w:p w14:paraId="2E71D492">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开户行：中国建设银行股份有限公司滁州丰乐路支行</w:t>
      </w:r>
    </w:p>
    <w:p w14:paraId="10CA0754">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银行账户：34050110116000000467</w:t>
      </w:r>
    </w:p>
    <w:p w14:paraId="03C89A46">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纳税人识别号：91341100MA8P6AYW2X(1-1)</w:t>
      </w:r>
    </w:p>
    <w:p w14:paraId="1C58B15E">
      <w:pPr>
        <w:spacing w:line="360" w:lineRule="auto"/>
        <w:ind w:left="-197" w:leftChars="-94" w:right="-315" w:rightChars="-150" w:firstLine="357" w:firstLineChars="149"/>
        <w:rPr>
          <w:rFonts w:ascii="宋体" w:hAnsi="宋体" w:cs="宋体"/>
          <w:bCs/>
          <w:color w:val="auto"/>
          <w:sz w:val="24"/>
          <w:highlight w:val="none"/>
        </w:rPr>
      </w:pPr>
    </w:p>
    <w:p w14:paraId="4B4E5AA7">
      <w:pPr>
        <w:spacing w:line="360" w:lineRule="auto"/>
        <w:ind w:left="-197" w:leftChars="-94" w:right="-315" w:rightChars="-150" w:firstLine="357" w:firstLineChars="149"/>
        <w:rPr>
          <w:rFonts w:ascii="宋体" w:hAnsi="宋体" w:cs="宋体"/>
          <w:bCs/>
          <w:color w:val="auto"/>
          <w:sz w:val="24"/>
          <w:highlight w:val="none"/>
        </w:rPr>
      </w:pPr>
    </w:p>
    <w:p w14:paraId="233222F0">
      <w:pPr>
        <w:spacing w:line="360" w:lineRule="auto"/>
        <w:ind w:firstLine="480" w:firstLineChars="200"/>
        <w:jc w:val="left"/>
        <w:rPr>
          <w:rFonts w:hint="eastAsia" w:ascii="宋体" w:hAnsi="宋体" w:cs="宋体" w:eastAsiaTheme="minorEastAsia"/>
          <w:bCs/>
          <w:color w:val="auto"/>
          <w:sz w:val="24"/>
          <w:highlight w:val="none"/>
          <w:lang w:eastAsia="zh-CN"/>
        </w:rPr>
      </w:pPr>
      <w:r>
        <w:rPr>
          <w:rFonts w:hint="eastAsia" w:ascii="宋体" w:hAnsi="宋体" w:cs="宋体"/>
          <w:bCs/>
          <w:color w:val="auto"/>
          <w:sz w:val="24"/>
          <w:highlight w:val="none"/>
        </w:rPr>
        <w:t>乙方：</w:t>
      </w:r>
      <w:r>
        <w:rPr>
          <w:rFonts w:hint="eastAsia" w:ascii="宋体" w:hAnsi="宋体" w:cs="宋体"/>
          <w:bCs/>
          <w:color w:val="auto"/>
          <w:sz w:val="24"/>
          <w:highlight w:val="none"/>
          <w:lang w:val="en-US" w:eastAsia="zh-CN"/>
        </w:rPr>
        <w:t xml:space="preserve"> </w:t>
      </w:r>
    </w:p>
    <w:p w14:paraId="3E140615">
      <w:pPr>
        <w:spacing w:line="360" w:lineRule="auto"/>
        <w:ind w:firstLine="480" w:firstLineChars="200"/>
        <w:jc w:val="left"/>
        <w:rPr>
          <w:rFonts w:hint="eastAsia" w:ascii="宋体" w:hAnsi="宋体" w:cs="宋体" w:eastAsiaTheme="minorEastAsia"/>
          <w:bCs/>
          <w:color w:val="auto"/>
          <w:sz w:val="24"/>
          <w:highlight w:val="none"/>
          <w:lang w:eastAsia="zh-CN"/>
        </w:rPr>
      </w:pPr>
      <w:r>
        <w:rPr>
          <w:rFonts w:hint="eastAsia" w:ascii="宋体" w:hAnsi="宋体" w:cs="宋体"/>
          <w:bCs/>
          <w:color w:val="auto"/>
          <w:sz w:val="24"/>
          <w:highlight w:val="none"/>
        </w:rPr>
        <w:t>法定代表人/委托代理人：</w:t>
      </w:r>
      <w:r>
        <w:rPr>
          <w:rFonts w:hint="eastAsia" w:ascii="宋体" w:hAnsi="宋体" w:cs="宋体"/>
          <w:bCs/>
          <w:color w:val="auto"/>
          <w:sz w:val="24"/>
          <w:highlight w:val="none"/>
          <w:lang w:val="en-US" w:eastAsia="zh-CN"/>
        </w:rPr>
        <w:t xml:space="preserve"> </w:t>
      </w:r>
    </w:p>
    <w:p w14:paraId="54320598">
      <w:pPr>
        <w:spacing w:line="360" w:lineRule="auto"/>
        <w:ind w:firstLine="480" w:firstLineChars="200"/>
        <w:jc w:val="left"/>
        <w:rPr>
          <w:rFonts w:hint="eastAsia" w:ascii="宋体" w:hAnsi="宋体" w:cs="宋体" w:eastAsiaTheme="minorEastAsia"/>
          <w:bCs/>
          <w:color w:val="auto"/>
          <w:sz w:val="24"/>
          <w:highlight w:val="none"/>
          <w:lang w:eastAsia="zh-CN"/>
        </w:rPr>
      </w:pPr>
      <w:r>
        <w:rPr>
          <w:rFonts w:hint="eastAsia" w:ascii="宋体" w:hAnsi="宋体" w:cs="宋体"/>
          <w:bCs/>
          <w:color w:val="auto"/>
          <w:sz w:val="24"/>
          <w:highlight w:val="none"/>
        </w:rPr>
        <w:t xml:space="preserve">联系地址： </w:t>
      </w:r>
      <w:r>
        <w:rPr>
          <w:rFonts w:hint="eastAsia" w:ascii="宋体" w:hAnsi="宋体" w:cs="宋体"/>
          <w:bCs/>
          <w:color w:val="auto"/>
          <w:sz w:val="24"/>
          <w:highlight w:val="none"/>
          <w:lang w:val="en-US" w:eastAsia="zh-CN"/>
        </w:rPr>
        <w:t xml:space="preserve"> </w:t>
      </w:r>
    </w:p>
    <w:p w14:paraId="65337991">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联系电话：</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 xml:space="preserve"> </w:t>
      </w:r>
    </w:p>
    <w:p w14:paraId="01C8C172">
      <w:pPr>
        <w:spacing w:line="360" w:lineRule="auto"/>
        <w:ind w:right="-315" w:rightChars="-150" w:firstLine="480" w:firstLineChars="200"/>
        <w:jc w:val="left"/>
        <w:rPr>
          <w:rFonts w:hint="eastAsia" w:ascii="宋体" w:hAnsi="宋体" w:cs="宋体" w:eastAsiaTheme="minorEastAsia"/>
          <w:bCs/>
          <w:color w:val="auto"/>
          <w:sz w:val="24"/>
          <w:highlight w:val="none"/>
          <w:lang w:val="en-US" w:eastAsia="zh-CN"/>
        </w:rPr>
      </w:pPr>
      <w:r>
        <w:rPr>
          <w:rFonts w:hint="eastAsia" w:ascii="宋体" w:hAnsi="宋体" w:cs="宋体"/>
          <w:bCs/>
          <w:color w:val="auto"/>
          <w:sz w:val="24"/>
          <w:highlight w:val="none"/>
        </w:rPr>
        <w:t>指定联系人：</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 xml:space="preserve"> </w:t>
      </w:r>
      <w:r>
        <w:rPr>
          <w:rFonts w:ascii="宋体" w:hAnsi="宋体" w:cs="宋体"/>
          <w:bCs/>
          <w:color w:val="auto"/>
          <w:sz w:val="24"/>
          <w:highlight w:val="none"/>
        </w:rPr>
        <w:t xml:space="preserve">      </w:t>
      </w:r>
      <w:r>
        <w:rPr>
          <w:rFonts w:hint="eastAsia" w:ascii="宋体" w:hAnsi="宋体" w:cs="宋体"/>
          <w:bCs/>
          <w:color w:val="auto"/>
          <w:sz w:val="24"/>
          <w:highlight w:val="none"/>
        </w:rPr>
        <w:t>联系电话：</w:t>
      </w:r>
      <w:r>
        <w:rPr>
          <w:rFonts w:hint="eastAsia" w:ascii="宋体" w:hAnsi="宋体" w:cs="宋体"/>
          <w:bCs/>
          <w:color w:val="auto"/>
          <w:sz w:val="24"/>
          <w:highlight w:val="none"/>
          <w:lang w:val="en-US" w:eastAsia="zh-CN"/>
        </w:rPr>
        <w:t xml:space="preserve"> </w:t>
      </w:r>
    </w:p>
    <w:p w14:paraId="25E05639">
      <w:pPr>
        <w:spacing w:line="360" w:lineRule="auto"/>
        <w:ind w:firstLine="480" w:firstLineChars="200"/>
        <w:jc w:val="left"/>
        <w:rPr>
          <w:rFonts w:hint="eastAsia" w:ascii="宋体" w:hAnsi="宋体" w:cs="宋体" w:eastAsiaTheme="minorEastAsia"/>
          <w:bCs/>
          <w:color w:val="auto"/>
          <w:sz w:val="24"/>
          <w:highlight w:val="none"/>
          <w:lang w:eastAsia="zh-CN"/>
        </w:rPr>
      </w:pPr>
      <w:r>
        <w:rPr>
          <w:rFonts w:hint="eastAsia" w:ascii="宋体" w:hAnsi="宋体" w:cs="宋体"/>
          <w:bCs/>
          <w:color w:val="auto"/>
          <w:sz w:val="24"/>
          <w:highlight w:val="none"/>
        </w:rPr>
        <w:t>开户行：</w:t>
      </w:r>
      <w:r>
        <w:rPr>
          <w:rFonts w:hint="eastAsia" w:ascii="宋体" w:hAnsi="宋体" w:cs="宋体"/>
          <w:bCs/>
          <w:color w:val="auto"/>
          <w:sz w:val="24"/>
          <w:highlight w:val="none"/>
          <w:lang w:val="en-US" w:eastAsia="zh-CN"/>
        </w:rPr>
        <w:t xml:space="preserve"> </w:t>
      </w:r>
    </w:p>
    <w:p w14:paraId="659DB2A8">
      <w:pPr>
        <w:spacing w:line="360" w:lineRule="auto"/>
        <w:ind w:firstLine="480" w:firstLineChars="200"/>
        <w:jc w:val="left"/>
        <w:rPr>
          <w:rFonts w:hint="eastAsia" w:ascii="宋体" w:hAnsi="宋体" w:cs="宋体" w:eastAsiaTheme="minorEastAsia"/>
          <w:bCs/>
          <w:color w:val="auto"/>
          <w:sz w:val="24"/>
          <w:highlight w:val="none"/>
          <w:lang w:eastAsia="zh-CN"/>
        </w:rPr>
      </w:pPr>
      <w:r>
        <w:rPr>
          <w:rFonts w:hint="eastAsia" w:ascii="宋体" w:hAnsi="宋体" w:cs="宋体"/>
          <w:bCs/>
          <w:color w:val="auto"/>
          <w:sz w:val="24"/>
          <w:highlight w:val="none"/>
        </w:rPr>
        <w:t>银行账户：</w:t>
      </w:r>
      <w:r>
        <w:rPr>
          <w:rFonts w:hint="eastAsia" w:ascii="宋体" w:hAnsi="宋体" w:cs="宋体"/>
          <w:bCs/>
          <w:color w:val="auto"/>
          <w:sz w:val="24"/>
          <w:highlight w:val="none"/>
          <w:lang w:val="en-US" w:eastAsia="zh-CN"/>
        </w:rPr>
        <w:t xml:space="preserve"> </w:t>
      </w:r>
    </w:p>
    <w:p w14:paraId="1CA3F93C">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纳税人识别号：</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 xml:space="preserve">                             </w:t>
      </w:r>
    </w:p>
    <w:p w14:paraId="0CA483B0">
      <w:pPr>
        <w:spacing w:line="360" w:lineRule="auto"/>
        <w:ind w:left="-197" w:leftChars="-94" w:right="-315" w:rightChars="-150" w:firstLine="357" w:firstLineChars="149"/>
        <w:jc w:val="left"/>
        <w:rPr>
          <w:rFonts w:ascii="宋体" w:hAnsi="宋体" w:cs="宋体"/>
          <w:bCs/>
          <w:color w:val="auto"/>
          <w:sz w:val="24"/>
          <w:highlight w:val="none"/>
        </w:rPr>
      </w:pPr>
    </w:p>
    <w:p w14:paraId="31B3DEF3">
      <w:pPr>
        <w:ind w:left="-197" w:leftChars="-94" w:firstLine="312" w:firstLineChars="149"/>
        <w:rPr>
          <w:color w:val="auto"/>
          <w:highlight w:val="none"/>
        </w:rPr>
      </w:pPr>
    </w:p>
    <w:p w14:paraId="6E0B5177">
      <w:pPr>
        <w:ind w:left="-197" w:leftChars="-94" w:firstLine="312" w:firstLineChars="149"/>
        <w:rPr>
          <w:color w:val="auto"/>
          <w:highlight w:val="none"/>
        </w:rPr>
      </w:pPr>
    </w:p>
    <w:p w14:paraId="0897931C">
      <w:pPr>
        <w:ind w:left="-197" w:leftChars="-94" w:firstLine="312" w:firstLineChars="149"/>
        <w:rPr>
          <w:color w:val="auto"/>
          <w:highlight w:val="none"/>
        </w:rPr>
      </w:pPr>
    </w:p>
    <w:p w14:paraId="4AB7DB0E">
      <w:pPr>
        <w:ind w:left="-197" w:leftChars="-94" w:firstLine="312" w:firstLineChars="149"/>
        <w:rPr>
          <w:color w:val="auto"/>
          <w:highlight w:val="none"/>
        </w:rPr>
      </w:pPr>
    </w:p>
    <w:p w14:paraId="4FBA5BBB">
      <w:pPr>
        <w:ind w:left="-197" w:leftChars="-94" w:firstLine="312" w:firstLineChars="149"/>
        <w:rPr>
          <w:color w:val="auto"/>
          <w:highlight w:val="none"/>
        </w:rPr>
      </w:pPr>
    </w:p>
    <w:p w14:paraId="2F0660BC">
      <w:pPr>
        <w:ind w:left="-197" w:leftChars="-94" w:firstLine="312" w:firstLineChars="149"/>
        <w:rPr>
          <w:color w:val="auto"/>
          <w:highlight w:val="none"/>
        </w:rPr>
      </w:pPr>
    </w:p>
    <w:p w14:paraId="4171F266">
      <w:pPr>
        <w:ind w:left="-197" w:leftChars="-94" w:firstLine="312" w:firstLineChars="149"/>
        <w:rPr>
          <w:color w:val="auto"/>
          <w:highlight w:val="none"/>
        </w:rPr>
      </w:pPr>
    </w:p>
    <w:p w14:paraId="31FD5698">
      <w:pPr>
        <w:ind w:left="-197" w:leftChars="-94" w:firstLine="312" w:firstLineChars="149"/>
        <w:rPr>
          <w:color w:val="auto"/>
          <w:highlight w:val="none"/>
        </w:rPr>
      </w:pPr>
    </w:p>
    <w:p w14:paraId="494733D5">
      <w:pPr>
        <w:rPr>
          <w:rFonts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br w:type="page"/>
      </w:r>
    </w:p>
    <w:p w14:paraId="702BBA7A">
      <w:pPr>
        <w:numPr>
          <w:ilvl w:val="0"/>
          <w:numId w:val="1"/>
        </w:numPr>
        <w:jc w:val="center"/>
        <w:outlineLvl w:val="0"/>
        <w:rPr>
          <w:rFonts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专用条款</w:t>
      </w:r>
    </w:p>
    <w:p w14:paraId="7E89AC96">
      <w:pPr>
        <w:ind w:left="-197" w:leftChars="-94" w:firstLine="479" w:firstLineChars="149"/>
        <w:rPr>
          <w:rFonts w:ascii="黑体" w:hAnsi="黑体" w:eastAsia="黑体" w:cs="黑体"/>
          <w:b/>
          <w:bCs/>
          <w:color w:val="auto"/>
          <w:sz w:val="32"/>
          <w:szCs w:val="32"/>
          <w:highlight w:val="none"/>
        </w:rPr>
      </w:pPr>
    </w:p>
    <w:p w14:paraId="7D36D1B2">
      <w:pPr>
        <w:widowControl/>
        <w:jc w:val="left"/>
        <w:outlineLvl w:val="1"/>
        <w:rPr>
          <w:rFonts w:ascii="仿宋" w:hAnsi="仿宋" w:eastAsia="仿宋" w:cs="仿宋"/>
          <w:b/>
          <w:bCs/>
          <w:color w:val="auto"/>
          <w:kern w:val="0"/>
          <w:sz w:val="32"/>
          <w:szCs w:val="32"/>
          <w:highlight w:val="none"/>
        </w:rPr>
      </w:pPr>
      <w:bookmarkStart w:id="1" w:name="BM1"/>
      <w:r>
        <w:rPr>
          <w:rFonts w:hint="eastAsia" w:ascii="仿宋" w:hAnsi="仿宋" w:eastAsia="仿宋" w:cs="仿宋"/>
          <w:b/>
          <w:bCs/>
          <w:color w:val="auto"/>
          <w:kern w:val="0"/>
          <w:sz w:val="32"/>
          <w:szCs w:val="32"/>
          <w:highlight w:val="none"/>
        </w:rPr>
        <w:t>第一条</w:t>
      </w:r>
      <w:bookmarkEnd w:id="1"/>
      <w:r>
        <w:rPr>
          <w:rFonts w:hint="eastAsia" w:ascii="仿宋" w:hAnsi="仿宋" w:eastAsia="仿宋" w:cs="仿宋"/>
          <w:b/>
          <w:bCs/>
          <w:color w:val="auto"/>
          <w:kern w:val="0"/>
          <w:sz w:val="32"/>
          <w:szCs w:val="32"/>
          <w:highlight w:val="none"/>
        </w:rPr>
        <w:t xml:space="preserve"> 场地</w:t>
      </w:r>
      <w:bookmarkStart w:id="2" w:name="BM2"/>
      <w:r>
        <w:rPr>
          <w:rFonts w:hint="eastAsia" w:ascii="仿宋" w:hAnsi="仿宋" w:eastAsia="仿宋" w:cs="仿宋"/>
          <w:b/>
          <w:bCs/>
          <w:color w:val="auto"/>
          <w:kern w:val="0"/>
          <w:sz w:val="32"/>
          <w:szCs w:val="32"/>
          <w:highlight w:val="none"/>
        </w:rPr>
        <w:t>租赁</w:t>
      </w:r>
    </w:p>
    <w:p w14:paraId="7EA2F49A">
      <w:pPr>
        <w:widowControl/>
        <w:ind w:firstLine="560" w:firstLineChars="200"/>
        <w:rPr>
          <w:rFonts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甲方将滁州中学南侧停车场商业用房（详见附件1）提供给乙方使用，建筑面积约</w:t>
      </w:r>
      <w:r>
        <w:rPr>
          <w:rFonts w:hint="eastAsia" w:ascii="仿宋" w:hAnsi="仿宋" w:eastAsia="仿宋" w:cs="仿宋"/>
          <w:color w:val="auto"/>
          <w:sz w:val="28"/>
          <w:szCs w:val="28"/>
          <w:highlight w:val="none"/>
          <w:lang w:val="en-US" w:eastAsia="zh-CN"/>
        </w:rPr>
        <w:t>为110</w:t>
      </w:r>
      <w:r>
        <w:rPr>
          <w:rFonts w:hint="eastAsia" w:ascii="仿宋" w:hAnsi="仿宋" w:eastAsia="仿宋" w:cs="仿宋"/>
          <w:color w:val="auto"/>
          <w:sz w:val="28"/>
          <w:szCs w:val="28"/>
          <w:highlight w:val="none"/>
        </w:rPr>
        <w:t>平方米</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最终以交付实际面积为准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040F1BA9">
      <w:pPr>
        <w:widowControl/>
        <w:numPr>
          <w:ilvl w:val="0"/>
          <w:numId w:val="2"/>
        </w:numPr>
        <w:jc w:val="left"/>
        <w:outlineLvl w:val="1"/>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场地用途、设备投入清单</w:t>
      </w:r>
    </w:p>
    <w:p w14:paraId="423A69D7">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（一）乙方向甲方承诺，租赁该场地</w:t>
      </w:r>
      <w:r>
        <w:rPr>
          <w:rFonts w:hint="eastAsia" w:ascii="仿宋" w:hAnsi="仿宋" w:eastAsia="仿宋" w:cs="仿宋"/>
          <w:color w:val="auto"/>
          <w:sz w:val="28"/>
          <w:szCs w:val="28"/>
          <w:highlight w:val="none"/>
          <w:lang w:val="en-US" w:eastAsia="zh-CN"/>
        </w:rPr>
        <w:t>用于</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业态。</w:t>
      </w:r>
    </w:p>
    <w:p w14:paraId="5ABEF9C7">
      <w:pPr>
        <w:widowControl/>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在本合同项下之合作期限内，未经甲方书面同意，乙方不得擅自改变经营范围及租赁物的用途、不得以任何形式转让或转租给第三方经营。甲方有权要求乙方明码标价，出示与上述品牌、门头及乙方经营的商品商标有关的营业执照、知识产权证明、注册证书、授权经营证明等文件。若乙方变更以上经营商品的品牌或类别，须向甲方提出书面申请及相关材料，经甲方书面同意后，方可开展变更事宜。甲方不得干涉乙方的一切合法合规经营活动，亦不承担乙方的一切债权债务及民事责任等。</w:t>
      </w:r>
    </w:p>
    <w:p w14:paraId="013DA7B4">
      <w:pPr>
        <w:widowControl/>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乙方因经营需要可以进行必要的可移除的装饰装修和添置设备，所有的装饰装修和添置设备须经甲方书面同意，且不得损害租赁物的安全、不得破坏租赁物的结构等，方可开展必要的可移除的装饰装修和添置设备工作。在乙方租赁合同期满且不再续约时或其他原因导致租赁合同提前解除、终止，上述必要的可移除的装修装饰和添置设备，乙方须在租赁合同期满之日起的60日历天期限内自付费用自行移除（超出60日历天期限时，甲方有权对乙方必要的可移除的装饰装修和添置设备等进行强制处理，处理过程中造成的损失，甲方一律不予认定，且甲方代为处理产生的费用及因拆除所导致不可避免的对租赁房屋的损害据实由乙方承担，甲方有权向乙方全额主张，也可从履约保证金中等额扣除），移除期限内使用费由乙方自行承担（移除期限内使用费=固定服务费/365天*实际使用天数）；任何情况下，甲方均无需就乙方必要的可移除的装饰装修和添置设备给予乙方任何补偿或赔偿。如乙方未在限期内复原并返还租赁物的，视为放弃其所有权，甲方有权单方处置，若乙方因此遭受任何损失，甲方无需就此承担任何责任；</w:t>
      </w:r>
    </w:p>
    <w:p w14:paraId="6F866DA3">
      <w:pPr>
        <w:widowControl/>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eastAsia="zh-CN"/>
        </w:rPr>
        <w:t>）若因城市规划调整、城市公益事业建设、征收、改造等原因，需收回竞得人承租的场地，在招租人书面告知竞得人收回场地缘由后，于限期30日历天内竞得人须无条件撤场，场地租金按实际发生时间周期为准，造成损失的，招租人无需就此承担任何赔偿责任；</w:t>
      </w:r>
    </w:p>
    <w:p w14:paraId="7CC61075">
      <w:pPr>
        <w:widowControl/>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lang w:eastAsia="zh-CN"/>
        </w:rPr>
        <w:t>）合同期内，若租赁物屋面非人为原因出现的漏水现象，乙方发现后需第一时间将漏水情况通过影像资料形式发送给甲方，由甲方负责维修；乙方原因造成的漏水现象，由乙方自行修缮，甲方不承担任何费用；</w:t>
      </w:r>
    </w:p>
    <w:p w14:paraId="7EE5D5B5">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lang w:eastAsia="zh-CN"/>
        </w:rPr>
        <w:t>）合同期内，甲方每年定期对设施设备进行检修，非乙方原因造成故障或损坏的，由甲方负责维修；乙方原因造成故障或损坏的，由乙方自行修缮，甲方不承担任何费用。</w:t>
      </w:r>
    </w:p>
    <w:p w14:paraId="1DACE0F2">
      <w:pPr>
        <w:widowControl/>
        <w:jc w:val="left"/>
        <w:outlineLvl w:val="1"/>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第三条</w:t>
      </w:r>
      <w:bookmarkEnd w:id="2"/>
      <w:r>
        <w:rPr>
          <w:rFonts w:hint="eastAsia" w:ascii="仿宋" w:hAnsi="仿宋" w:eastAsia="仿宋" w:cs="仿宋"/>
          <w:b/>
          <w:bCs/>
          <w:color w:val="auto"/>
          <w:kern w:val="0"/>
          <w:sz w:val="32"/>
          <w:szCs w:val="32"/>
          <w:highlight w:val="none"/>
        </w:rPr>
        <w:t xml:space="preserve"> </w:t>
      </w:r>
      <w:r>
        <w:rPr>
          <w:rFonts w:hint="eastAsia" w:ascii="仿宋" w:hAnsi="仿宋" w:eastAsia="仿宋" w:cs="仿宋"/>
          <w:b/>
          <w:bCs/>
          <w:color w:val="auto"/>
          <w:kern w:val="0"/>
          <w:sz w:val="32"/>
          <w:szCs w:val="32"/>
          <w:highlight w:val="none"/>
          <w:lang w:val="en-US" w:eastAsia="zh-CN"/>
        </w:rPr>
        <w:t>租赁</w:t>
      </w:r>
      <w:r>
        <w:rPr>
          <w:rFonts w:hint="eastAsia" w:ascii="仿宋" w:hAnsi="仿宋" w:eastAsia="仿宋" w:cs="仿宋"/>
          <w:b/>
          <w:bCs/>
          <w:color w:val="auto"/>
          <w:kern w:val="0"/>
          <w:sz w:val="32"/>
          <w:szCs w:val="32"/>
          <w:highlight w:val="none"/>
        </w:rPr>
        <w:t>期限</w:t>
      </w:r>
    </w:p>
    <w:p w14:paraId="5D9F360B">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本合同的有效期限为</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年，自</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日至</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日止。</w:t>
      </w:r>
    </w:p>
    <w:p w14:paraId="7584E5E5">
      <w:pPr>
        <w:widowControl/>
        <w:jc w:val="left"/>
        <w:outlineLvl w:val="1"/>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第四条 租赁费、支付方式及其他相关费用</w:t>
      </w:r>
    </w:p>
    <w:p w14:paraId="2EDF3DC0">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（一）租赁费</w:t>
      </w:r>
    </w:p>
    <w:p w14:paraId="1233E4B2">
      <w:pPr>
        <w:widowControl/>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租赁</w:t>
      </w:r>
      <w:r>
        <w:rPr>
          <w:rFonts w:hint="eastAsia" w:ascii="仿宋" w:hAnsi="仿宋" w:eastAsia="仿宋" w:cs="仿宋"/>
          <w:color w:val="auto"/>
          <w:sz w:val="28"/>
          <w:szCs w:val="28"/>
          <w:highlight w:val="none"/>
        </w:rPr>
        <w:t>期限内，乙方每年应向甲方交纳铺位（场地）租赁费</w:t>
      </w:r>
      <w:r>
        <w:rPr>
          <w:rFonts w:hint="eastAsia" w:ascii="仿宋" w:hAnsi="仿宋" w:eastAsia="仿宋" w:cs="仿宋"/>
          <w:color w:val="auto"/>
          <w:sz w:val="28"/>
          <w:szCs w:val="28"/>
          <w:highlight w:val="none"/>
          <w:lang w:eastAsia="zh-CN"/>
        </w:rPr>
        <w:t>：</w:t>
      </w:r>
    </w:p>
    <w:tbl>
      <w:tblPr>
        <w:tblStyle w:val="4"/>
        <w:tblW w:w="46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28"/>
        <w:gridCol w:w="3975"/>
        <w:gridCol w:w="1372"/>
        <w:gridCol w:w="1821"/>
      </w:tblGrid>
      <w:tr w14:paraId="3B7B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59" w:type="pct"/>
            <w:tcBorders>
              <w:top w:val="single" w:color="auto" w:sz="4" w:space="0"/>
              <w:left w:val="single" w:color="auto" w:sz="4" w:space="0"/>
              <w:bottom w:val="single" w:color="auto" w:sz="4" w:space="0"/>
              <w:right w:val="single" w:color="auto" w:sz="4" w:space="0"/>
            </w:tcBorders>
            <w:shd w:val="clear" w:color="auto" w:fill="auto"/>
            <w:vAlign w:val="center"/>
          </w:tcPr>
          <w:p w14:paraId="533F4D94">
            <w:pPr>
              <w:keepNext w:val="0"/>
              <w:keepLines w:val="0"/>
              <w:widowControl w:val="0"/>
              <w:suppressLineNumbers w:val="0"/>
              <w:spacing w:before="0" w:beforeLines="0" w:beforeAutospacing="0" w:after="0" w:afterLines="0" w:afterAutospacing="0" w:line="480" w:lineRule="auto"/>
              <w:ind w:left="-192" w:leftChars="-95" w:right="-147" w:rightChars="-70" w:hanging="7"/>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租赁期限</w:t>
            </w:r>
          </w:p>
        </w:tc>
        <w:tc>
          <w:tcPr>
            <w:tcW w:w="2184" w:type="pct"/>
            <w:tcBorders>
              <w:top w:val="single" w:color="auto" w:sz="4" w:space="0"/>
              <w:left w:val="nil"/>
              <w:bottom w:val="single" w:color="auto" w:sz="4" w:space="0"/>
              <w:right w:val="single" w:color="auto" w:sz="4" w:space="0"/>
            </w:tcBorders>
            <w:shd w:val="clear" w:color="auto" w:fill="auto"/>
            <w:vAlign w:val="center"/>
          </w:tcPr>
          <w:p w14:paraId="66FDA0F2">
            <w:pPr>
              <w:keepNext w:val="0"/>
              <w:keepLines w:val="0"/>
              <w:widowControl w:val="0"/>
              <w:suppressLineNumbers w:val="0"/>
              <w:spacing w:before="0" w:beforeLines="0" w:beforeAutospacing="0" w:after="0" w:afterLines="0" w:afterAutospacing="0" w:line="480" w:lineRule="auto"/>
              <w:ind w:left="-195" w:leftChars="-93" w:right="-118" w:rightChars="-56" w:firstLine="196" w:firstLineChars="70"/>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年租赁费</w:t>
            </w:r>
          </w:p>
          <w:p w14:paraId="663923A9">
            <w:pPr>
              <w:keepNext w:val="0"/>
              <w:keepLines w:val="0"/>
              <w:widowControl w:val="0"/>
              <w:suppressLineNumbers w:val="0"/>
              <w:spacing w:before="0" w:beforeLines="0" w:beforeAutospacing="0" w:after="0" w:afterLines="0" w:afterAutospacing="0" w:line="480" w:lineRule="auto"/>
              <w:ind w:left="-195" w:leftChars="-93" w:right="-118" w:rightChars="-56" w:firstLine="196" w:firstLineChars="70"/>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元/年</w:t>
            </w:r>
          </w:p>
        </w:tc>
        <w:tc>
          <w:tcPr>
            <w:tcW w:w="754" w:type="pct"/>
            <w:tcBorders>
              <w:top w:val="single" w:color="auto" w:sz="4" w:space="0"/>
              <w:left w:val="nil"/>
              <w:bottom w:val="single" w:color="auto" w:sz="4" w:space="0"/>
              <w:right w:val="single" w:color="auto" w:sz="4" w:space="0"/>
            </w:tcBorders>
            <w:shd w:val="clear" w:color="auto" w:fill="auto"/>
            <w:vAlign w:val="center"/>
          </w:tcPr>
          <w:p w14:paraId="589CE5FD">
            <w:pPr>
              <w:keepNext w:val="0"/>
              <w:keepLines w:val="0"/>
              <w:widowControl w:val="0"/>
              <w:suppressLineNumbers w:val="0"/>
              <w:spacing w:before="0" w:beforeLines="0" w:beforeAutospacing="0" w:after="0" w:afterLines="0" w:afterAutospacing="0" w:line="480" w:lineRule="auto"/>
              <w:ind w:left="-195" w:leftChars="-93" w:right="-118" w:rightChars="-56" w:firstLine="196" w:firstLineChars="70"/>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递增</w:t>
            </w:r>
          </w:p>
        </w:tc>
        <w:tc>
          <w:tcPr>
            <w:tcW w:w="1000" w:type="pct"/>
            <w:tcBorders>
              <w:top w:val="single" w:color="auto" w:sz="4" w:space="0"/>
              <w:left w:val="nil"/>
              <w:bottom w:val="single" w:color="auto" w:sz="4" w:space="0"/>
              <w:right w:val="single" w:color="auto" w:sz="4" w:space="0"/>
            </w:tcBorders>
            <w:shd w:val="clear" w:color="auto" w:fill="auto"/>
            <w:vAlign w:val="center"/>
          </w:tcPr>
          <w:p w14:paraId="49C2AC2E">
            <w:pPr>
              <w:keepNext w:val="0"/>
              <w:keepLines w:val="0"/>
              <w:widowControl w:val="0"/>
              <w:suppressLineNumbers w:val="0"/>
              <w:spacing w:before="0" w:beforeLines="0" w:beforeAutospacing="0" w:after="0" w:afterLines="0" w:afterAutospacing="0" w:line="480" w:lineRule="auto"/>
              <w:ind w:left="-195" w:leftChars="-93" w:right="-2" w:firstLine="196" w:firstLineChars="70"/>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支付方式</w:t>
            </w:r>
          </w:p>
        </w:tc>
      </w:tr>
      <w:tr w14:paraId="071E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59" w:type="pct"/>
            <w:tcBorders>
              <w:top w:val="single" w:color="auto" w:sz="4" w:space="0"/>
              <w:left w:val="single" w:color="auto" w:sz="4" w:space="0"/>
              <w:bottom w:val="single" w:color="auto" w:sz="4" w:space="0"/>
              <w:right w:val="single" w:color="auto" w:sz="4" w:space="0"/>
            </w:tcBorders>
            <w:shd w:val="clear" w:color="auto" w:fill="auto"/>
            <w:vAlign w:val="top"/>
          </w:tcPr>
          <w:p w14:paraId="776FEC6C">
            <w:pPr>
              <w:keepNext w:val="0"/>
              <w:keepLines w:val="0"/>
              <w:widowControl w:val="0"/>
              <w:suppressLineNumbers w:val="0"/>
              <w:spacing w:before="0" w:beforeLines="0" w:beforeAutospacing="0" w:after="0" w:afterLines="0" w:afterAutospacing="0" w:line="480" w:lineRule="auto"/>
              <w:ind w:left="-192" w:leftChars="-95" w:right="-315" w:rightChars="-150" w:hanging="7"/>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第一年</w:t>
            </w:r>
          </w:p>
        </w:tc>
        <w:tc>
          <w:tcPr>
            <w:tcW w:w="2184" w:type="pct"/>
            <w:tcBorders>
              <w:top w:val="single" w:color="auto" w:sz="4" w:space="0"/>
              <w:left w:val="nil"/>
              <w:bottom w:val="single" w:color="auto" w:sz="4" w:space="0"/>
              <w:right w:val="single" w:color="auto" w:sz="4" w:space="0"/>
            </w:tcBorders>
            <w:shd w:val="clear" w:color="auto" w:fill="auto"/>
            <w:vAlign w:val="top"/>
          </w:tcPr>
          <w:p w14:paraId="2250E9A6">
            <w:pPr>
              <w:keepNext w:val="0"/>
              <w:keepLines w:val="0"/>
              <w:widowControl w:val="0"/>
              <w:suppressLineNumbers w:val="0"/>
              <w:spacing w:before="0" w:beforeLines="0" w:beforeAutospacing="0" w:after="0" w:afterLines="0" w:afterAutospacing="0" w:line="480" w:lineRule="auto"/>
              <w:ind w:left="-195" w:leftChars="-93" w:right="-118" w:rightChars="-56" w:firstLine="196" w:firstLineChars="70"/>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成交价</w:t>
            </w:r>
          </w:p>
        </w:tc>
        <w:tc>
          <w:tcPr>
            <w:tcW w:w="754" w:type="pct"/>
            <w:tcBorders>
              <w:top w:val="single" w:color="auto" w:sz="4" w:space="0"/>
              <w:left w:val="nil"/>
              <w:bottom w:val="single" w:color="auto" w:sz="4" w:space="0"/>
              <w:right w:val="single" w:color="auto" w:sz="4" w:space="0"/>
            </w:tcBorders>
            <w:shd w:val="clear" w:color="auto" w:fill="auto"/>
            <w:vAlign w:val="top"/>
          </w:tcPr>
          <w:p w14:paraId="28A804BB">
            <w:pPr>
              <w:keepNext w:val="0"/>
              <w:keepLines w:val="0"/>
              <w:widowControl w:val="0"/>
              <w:suppressLineNumbers w:val="0"/>
              <w:spacing w:before="0" w:beforeLines="0" w:beforeAutospacing="0" w:after="0" w:afterLines="0" w:afterAutospacing="0" w:line="480" w:lineRule="auto"/>
              <w:ind w:left="-195" w:leftChars="-93" w:right="-118" w:rightChars="-56" w:firstLine="196" w:firstLineChars="70"/>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w:t>
            </w:r>
          </w:p>
        </w:tc>
        <w:tc>
          <w:tcPr>
            <w:tcW w:w="1000" w:type="pct"/>
            <w:tcBorders>
              <w:top w:val="single" w:color="auto" w:sz="4" w:space="0"/>
              <w:left w:val="nil"/>
              <w:bottom w:val="single" w:color="auto" w:sz="4" w:space="0"/>
              <w:right w:val="single" w:color="auto" w:sz="4" w:space="0"/>
            </w:tcBorders>
            <w:shd w:val="clear" w:color="auto" w:fill="auto"/>
            <w:vAlign w:val="top"/>
          </w:tcPr>
          <w:p w14:paraId="1A1CEBFF">
            <w:pPr>
              <w:keepNext w:val="0"/>
              <w:keepLines w:val="0"/>
              <w:widowControl w:val="0"/>
              <w:suppressLineNumbers w:val="0"/>
              <w:spacing w:before="0" w:beforeLines="0" w:beforeAutospacing="0" w:after="0" w:afterLines="0" w:afterAutospacing="0" w:line="480" w:lineRule="auto"/>
              <w:ind w:left="-195" w:leftChars="-93" w:right="-2" w:firstLine="196" w:firstLineChars="70"/>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转账</w:t>
            </w:r>
          </w:p>
        </w:tc>
      </w:tr>
      <w:tr w14:paraId="4006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59" w:type="pct"/>
            <w:tcBorders>
              <w:top w:val="single" w:color="auto" w:sz="4" w:space="0"/>
              <w:left w:val="single" w:color="auto" w:sz="4" w:space="0"/>
              <w:bottom w:val="single" w:color="auto" w:sz="4" w:space="0"/>
              <w:right w:val="single" w:color="auto" w:sz="4" w:space="0"/>
            </w:tcBorders>
            <w:shd w:val="clear" w:color="auto" w:fill="auto"/>
            <w:vAlign w:val="top"/>
          </w:tcPr>
          <w:p w14:paraId="7A43BA25">
            <w:pPr>
              <w:keepNext w:val="0"/>
              <w:keepLines w:val="0"/>
              <w:widowControl w:val="0"/>
              <w:suppressLineNumbers w:val="0"/>
              <w:spacing w:before="0" w:beforeLines="0" w:beforeAutospacing="0" w:after="0" w:afterLines="0" w:afterAutospacing="0" w:line="480" w:lineRule="auto"/>
              <w:ind w:left="-192" w:leftChars="-95" w:right="-315" w:rightChars="-150" w:hanging="7"/>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第二年</w:t>
            </w:r>
          </w:p>
        </w:tc>
        <w:tc>
          <w:tcPr>
            <w:tcW w:w="2184" w:type="pct"/>
            <w:tcBorders>
              <w:top w:val="single" w:color="auto" w:sz="4" w:space="0"/>
              <w:left w:val="nil"/>
              <w:bottom w:val="single" w:color="auto" w:sz="4" w:space="0"/>
              <w:right w:val="single" w:color="auto" w:sz="4" w:space="0"/>
            </w:tcBorders>
            <w:shd w:val="clear" w:color="auto" w:fill="auto"/>
            <w:vAlign w:val="top"/>
          </w:tcPr>
          <w:p w14:paraId="3F853F9A">
            <w:pPr>
              <w:keepNext w:val="0"/>
              <w:keepLines w:val="0"/>
              <w:widowControl w:val="0"/>
              <w:suppressLineNumbers w:val="0"/>
              <w:spacing w:before="0" w:beforeLines="0" w:beforeAutospacing="0" w:after="0" w:afterLines="0" w:afterAutospacing="0" w:line="480" w:lineRule="auto"/>
              <w:ind w:left="-195" w:leftChars="-93" w:right="-118" w:rightChars="-56" w:firstLine="196" w:firstLineChars="70"/>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成交价</w:t>
            </w:r>
          </w:p>
        </w:tc>
        <w:tc>
          <w:tcPr>
            <w:tcW w:w="754" w:type="pct"/>
            <w:tcBorders>
              <w:top w:val="single" w:color="auto" w:sz="4" w:space="0"/>
              <w:left w:val="nil"/>
              <w:bottom w:val="single" w:color="auto" w:sz="4" w:space="0"/>
              <w:right w:val="single" w:color="auto" w:sz="4" w:space="0"/>
            </w:tcBorders>
            <w:shd w:val="clear" w:color="auto" w:fill="auto"/>
            <w:vAlign w:val="top"/>
          </w:tcPr>
          <w:p w14:paraId="4E35998A">
            <w:pPr>
              <w:keepNext w:val="0"/>
              <w:keepLines w:val="0"/>
              <w:widowControl w:val="0"/>
              <w:suppressLineNumbers w:val="0"/>
              <w:spacing w:before="0" w:beforeLines="0" w:beforeAutospacing="0" w:after="0" w:afterLines="0" w:afterAutospacing="0" w:line="480" w:lineRule="auto"/>
              <w:ind w:left="-195" w:leftChars="-93" w:right="-118" w:rightChars="-56" w:firstLine="196" w:firstLineChars="70"/>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w:t>
            </w:r>
          </w:p>
        </w:tc>
        <w:tc>
          <w:tcPr>
            <w:tcW w:w="1000" w:type="pct"/>
            <w:tcBorders>
              <w:top w:val="single" w:color="auto" w:sz="4" w:space="0"/>
              <w:left w:val="nil"/>
              <w:bottom w:val="single" w:color="auto" w:sz="4" w:space="0"/>
              <w:right w:val="single" w:color="auto" w:sz="4" w:space="0"/>
            </w:tcBorders>
            <w:shd w:val="clear" w:color="auto" w:fill="auto"/>
            <w:vAlign w:val="top"/>
          </w:tcPr>
          <w:p w14:paraId="016643FD">
            <w:pPr>
              <w:keepNext w:val="0"/>
              <w:keepLines w:val="0"/>
              <w:widowControl w:val="0"/>
              <w:suppressLineNumbers w:val="0"/>
              <w:spacing w:before="0" w:beforeLines="0" w:beforeAutospacing="0" w:after="0" w:afterLines="0" w:afterAutospacing="0" w:line="480" w:lineRule="auto"/>
              <w:ind w:left="-195" w:leftChars="-93" w:right="-2" w:firstLine="196" w:firstLineChars="70"/>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转账</w:t>
            </w:r>
          </w:p>
        </w:tc>
      </w:tr>
      <w:tr w14:paraId="4925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pct"/>
            <w:tcBorders>
              <w:top w:val="single" w:color="auto" w:sz="4" w:space="0"/>
              <w:left w:val="single" w:color="auto" w:sz="4" w:space="0"/>
              <w:bottom w:val="single" w:color="auto" w:sz="4" w:space="0"/>
              <w:right w:val="single" w:color="auto" w:sz="4" w:space="0"/>
            </w:tcBorders>
            <w:shd w:val="clear" w:color="auto" w:fill="auto"/>
            <w:vAlign w:val="top"/>
          </w:tcPr>
          <w:p w14:paraId="2D9622FE">
            <w:pPr>
              <w:keepNext w:val="0"/>
              <w:keepLines w:val="0"/>
              <w:widowControl w:val="0"/>
              <w:suppressLineNumbers w:val="0"/>
              <w:spacing w:before="0" w:beforeLines="0" w:beforeAutospacing="0" w:after="0" w:afterLines="0" w:afterAutospacing="0" w:line="480" w:lineRule="auto"/>
              <w:ind w:left="-192" w:leftChars="-95" w:right="-315" w:rightChars="-150" w:hanging="7"/>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第三年</w:t>
            </w:r>
          </w:p>
        </w:tc>
        <w:tc>
          <w:tcPr>
            <w:tcW w:w="2184" w:type="pct"/>
            <w:tcBorders>
              <w:top w:val="single" w:color="auto" w:sz="4" w:space="0"/>
              <w:left w:val="nil"/>
              <w:bottom w:val="single" w:color="auto" w:sz="4" w:space="0"/>
              <w:right w:val="single" w:color="auto" w:sz="4" w:space="0"/>
            </w:tcBorders>
            <w:shd w:val="clear" w:color="auto" w:fill="auto"/>
            <w:vAlign w:val="top"/>
          </w:tcPr>
          <w:p w14:paraId="221C1558">
            <w:pPr>
              <w:keepNext w:val="0"/>
              <w:keepLines w:val="0"/>
              <w:widowControl w:val="0"/>
              <w:suppressLineNumbers w:val="0"/>
              <w:spacing w:before="0" w:beforeLines="0" w:beforeAutospacing="0" w:after="0" w:afterLines="0" w:afterAutospacing="0" w:line="480" w:lineRule="auto"/>
              <w:ind w:left="-195" w:leftChars="-93" w:right="-118" w:rightChars="-56" w:firstLine="196" w:firstLineChars="70"/>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成交价×（1+5%）</w:t>
            </w:r>
          </w:p>
        </w:tc>
        <w:tc>
          <w:tcPr>
            <w:tcW w:w="754" w:type="pct"/>
            <w:tcBorders>
              <w:top w:val="single" w:color="auto" w:sz="4" w:space="0"/>
              <w:left w:val="nil"/>
              <w:bottom w:val="single" w:color="auto" w:sz="4" w:space="0"/>
              <w:right w:val="single" w:color="auto" w:sz="4" w:space="0"/>
            </w:tcBorders>
            <w:shd w:val="clear" w:color="auto" w:fill="auto"/>
            <w:vAlign w:val="top"/>
          </w:tcPr>
          <w:p w14:paraId="44BE05D1">
            <w:pPr>
              <w:keepNext w:val="0"/>
              <w:keepLines w:val="0"/>
              <w:widowControl w:val="0"/>
              <w:suppressLineNumbers w:val="0"/>
              <w:spacing w:before="0" w:beforeLines="0" w:beforeAutospacing="0" w:after="0" w:afterLines="0" w:afterAutospacing="0" w:line="480" w:lineRule="auto"/>
              <w:ind w:left="-195" w:leftChars="-93" w:right="-118" w:rightChars="-56" w:firstLine="196" w:firstLineChars="70"/>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5%</w:t>
            </w:r>
          </w:p>
        </w:tc>
        <w:tc>
          <w:tcPr>
            <w:tcW w:w="1000" w:type="pct"/>
            <w:tcBorders>
              <w:top w:val="single" w:color="auto" w:sz="4" w:space="0"/>
              <w:left w:val="nil"/>
              <w:bottom w:val="single" w:color="auto" w:sz="4" w:space="0"/>
              <w:right w:val="single" w:color="auto" w:sz="4" w:space="0"/>
            </w:tcBorders>
            <w:shd w:val="clear" w:color="auto" w:fill="auto"/>
            <w:vAlign w:val="top"/>
          </w:tcPr>
          <w:p w14:paraId="342C1796">
            <w:pPr>
              <w:keepNext w:val="0"/>
              <w:keepLines w:val="0"/>
              <w:widowControl w:val="0"/>
              <w:suppressLineNumbers w:val="0"/>
              <w:spacing w:before="0" w:beforeLines="0" w:beforeAutospacing="0" w:after="0" w:afterLines="0" w:afterAutospacing="0" w:line="480" w:lineRule="auto"/>
              <w:ind w:left="-195" w:leftChars="-93" w:right="-2" w:firstLine="196" w:firstLineChars="70"/>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转账</w:t>
            </w:r>
          </w:p>
        </w:tc>
      </w:tr>
      <w:tr w14:paraId="0E6A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pct"/>
            <w:tcBorders>
              <w:top w:val="single" w:color="auto" w:sz="4" w:space="0"/>
              <w:left w:val="single" w:color="auto" w:sz="4" w:space="0"/>
              <w:bottom w:val="single" w:color="auto" w:sz="4" w:space="0"/>
              <w:right w:val="single" w:color="auto" w:sz="4" w:space="0"/>
            </w:tcBorders>
            <w:shd w:val="clear" w:color="auto" w:fill="auto"/>
            <w:vAlign w:val="top"/>
          </w:tcPr>
          <w:p w14:paraId="086A9B0A">
            <w:pPr>
              <w:keepNext w:val="0"/>
              <w:keepLines w:val="0"/>
              <w:widowControl w:val="0"/>
              <w:suppressLineNumbers w:val="0"/>
              <w:spacing w:before="0" w:beforeLines="0" w:beforeAutospacing="0" w:after="0" w:afterLines="0" w:afterAutospacing="0" w:line="480" w:lineRule="auto"/>
              <w:ind w:left="-192" w:leftChars="-95" w:right="-315" w:rightChars="-150" w:hanging="7"/>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第四年</w:t>
            </w:r>
          </w:p>
        </w:tc>
        <w:tc>
          <w:tcPr>
            <w:tcW w:w="2184" w:type="pct"/>
            <w:tcBorders>
              <w:top w:val="single" w:color="auto" w:sz="4" w:space="0"/>
              <w:left w:val="nil"/>
              <w:bottom w:val="single" w:color="auto" w:sz="4" w:space="0"/>
              <w:right w:val="single" w:color="auto" w:sz="4" w:space="0"/>
            </w:tcBorders>
            <w:shd w:val="clear" w:color="auto" w:fill="auto"/>
            <w:vAlign w:val="top"/>
          </w:tcPr>
          <w:p w14:paraId="5C92250B">
            <w:pPr>
              <w:keepNext w:val="0"/>
              <w:keepLines w:val="0"/>
              <w:widowControl w:val="0"/>
              <w:suppressLineNumbers w:val="0"/>
              <w:spacing w:before="0" w:beforeLines="0" w:beforeAutospacing="0" w:after="0" w:afterLines="0" w:afterAutospacing="0" w:line="480" w:lineRule="auto"/>
              <w:ind w:left="-195" w:leftChars="-93" w:right="-118" w:rightChars="-56" w:firstLine="196" w:firstLineChars="70"/>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第三年租金×（1+5%）</w:t>
            </w:r>
          </w:p>
        </w:tc>
        <w:tc>
          <w:tcPr>
            <w:tcW w:w="754" w:type="pct"/>
            <w:tcBorders>
              <w:top w:val="single" w:color="auto" w:sz="4" w:space="0"/>
              <w:left w:val="nil"/>
              <w:bottom w:val="single" w:color="auto" w:sz="4" w:space="0"/>
              <w:right w:val="single" w:color="auto" w:sz="4" w:space="0"/>
            </w:tcBorders>
            <w:shd w:val="clear" w:color="auto" w:fill="auto"/>
            <w:vAlign w:val="top"/>
          </w:tcPr>
          <w:p w14:paraId="0AE235A8">
            <w:pPr>
              <w:keepNext w:val="0"/>
              <w:keepLines w:val="0"/>
              <w:widowControl w:val="0"/>
              <w:suppressLineNumbers w:val="0"/>
              <w:spacing w:before="0" w:beforeLines="0" w:beforeAutospacing="0" w:after="0" w:afterLines="0" w:afterAutospacing="0" w:line="480" w:lineRule="auto"/>
              <w:ind w:left="-195" w:leftChars="-93" w:right="-118" w:rightChars="-56" w:firstLine="196" w:firstLineChars="70"/>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5%</w:t>
            </w:r>
          </w:p>
        </w:tc>
        <w:tc>
          <w:tcPr>
            <w:tcW w:w="1000" w:type="pct"/>
            <w:tcBorders>
              <w:top w:val="single" w:color="auto" w:sz="4" w:space="0"/>
              <w:left w:val="nil"/>
              <w:bottom w:val="single" w:color="auto" w:sz="4" w:space="0"/>
              <w:right w:val="single" w:color="auto" w:sz="4" w:space="0"/>
            </w:tcBorders>
            <w:shd w:val="clear" w:color="auto" w:fill="auto"/>
            <w:vAlign w:val="top"/>
          </w:tcPr>
          <w:p w14:paraId="28DA37A5">
            <w:pPr>
              <w:keepNext w:val="0"/>
              <w:keepLines w:val="0"/>
              <w:widowControl w:val="0"/>
              <w:suppressLineNumbers w:val="0"/>
              <w:spacing w:before="0" w:beforeLines="0" w:beforeAutospacing="0" w:after="0" w:afterLines="0" w:afterAutospacing="0" w:line="480" w:lineRule="auto"/>
              <w:ind w:left="-195" w:leftChars="-93" w:right="-2" w:firstLine="196" w:firstLineChars="70"/>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转账</w:t>
            </w:r>
          </w:p>
        </w:tc>
      </w:tr>
      <w:tr w14:paraId="56B8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59" w:type="pct"/>
            <w:tcBorders>
              <w:top w:val="single" w:color="auto" w:sz="4" w:space="0"/>
              <w:left w:val="single" w:color="auto" w:sz="4" w:space="0"/>
              <w:bottom w:val="single" w:color="auto" w:sz="4" w:space="0"/>
              <w:right w:val="single" w:color="auto" w:sz="4" w:space="0"/>
            </w:tcBorders>
            <w:shd w:val="clear" w:color="auto" w:fill="auto"/>
            <w:vAlign w:val="top"/>
          </w:tcPr>
          <w:p w14:paraId="7228F0CD">
            <w:pPr>
              <w:keepNext w:val="0"/>
              <w:keepLines w:val="0"/>
              <w:widowControl w:val="0"/>
              <w:suppressLineNumbers w:val="0"/>
              <w:spacing w:before="0" w:beforeLines="0" w:beforeAutospacing="0" w:after="0" w:afterLines="0" w:afterAutospacing="0" w:line="480" w:lineRule="auto"/>
              <w:ind w:left="-192" w:leftChars="-95" w:right="-315" w:rightChars="-150" w:hanging="7"/>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第五年</w:t>
            </w:r>
          </w:p>
        </w:tc>
        <w:tc>
          <w:tcPr>
            <w:tcW w:w="2184" w:type="pct"/>
            <w:tcBorders>
              <w:top w:val="single" w:color="auto" w:sz="4" w:space="0"/>
              <w:left w:val="nil"/>
              <w:bottom w:val="single" w:color="auto" w:sz="4" w:space="0"/>
              <w:right w:val="single" w:color="auto" w:sz="4" w:space="0"/>
            </w:tcBorders>
            <w:shd w:val="clear" w:color="auto" w:fill="auto"/>
            <w:vAlign w:val="top"/>
          </w:tcPr>
          <w:p w14:paraId="40BEBDE8">
            <w:pPr>
              <w:keepNext w:val="0"/>
              <w:keepLines w:val="0"/>
              <w:widowControl w:val="0"/>
              <w:suppressLineNumbers w:val="0"/>
              <w:spacing w:before="0" w:beforeLines="0" w:beforeAutospacing="0" w:after="0" w:afterLines="0" w:afterAutospacing="0" w:line="480" w:lineRule="auto"/>
              <w:ind w:left="-195" w:leftChars="-93" w:right="-118" w:rightChars="-56" w:firstLine="196" w:firstLineChars="70"/>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第四年租金×（1+5%）</w:t>
            </w:r>
          </w:p>
        </w:tc>
        <w:tc>
          <w:tcPr>
            <w:tcW w:w="754" w:type="pct"/>
            <w:tcBorders>
              <w:top w:val="single" w:color="auto" w:sz="4" w:space="0"/>
              <w:left w:val="nil"/>
              <w:bottom w:val="single" w:color="auto" w:sz="4" w:space="0"/>
              <w:right w:val="single" w:color="auto" w:sz="4" w:space="0"/>
            </w:tcBorders>
            <w:shd w:val="clear" w:color="auto" w:fill="auto"/>
            <w:vAlign w:val="top"/>
          </w:tcPr>
          <w:p w14:paraId="600AB499">
            <w:pPr>
              <w:keepNext w:val="0"/>
              <w:keepLines w:val="0"/>
              <w:widowControl w:val="0"/>
              <w:suppressLineNumbers w:val="0"/>
              <w:spacing w:before="0" w:beforeLines="0" w:beforeAutospacing="0" w:after="0" w:afterLines="0" w:afterAutospacing="0" w:line="480" w:lineRule="auto"/>
              <w:ind w:left="-195" w:leftChars="-93" w:right="-118" w:rightChars="-56" w:firstLine="196" w:firstLineChars="70"/>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5%</w:t>
            </w:r>
          </w:p>
        </w:tc>
        <w:tc>
          <w:tcPr>
            <w:tcW w:w="1000" w:type="pct"/>
            <w:tcBorders>
              <w:top w:val="single" w:color="auto" w:sz="4" w:space="0"/>
              <w:left w:val="nil"/>
              <w:bottom w:val="single" w:color="auto" w:sz="4" w:space="0"/>
              <w:right w:val="single" w:color="auto" w:sz="4" w:space="0"/>
            </w:tcBorders>
            <w:shd w:val="clear" w:color="auto" w:fill="auto"/>
            <w:vAlign w:val="top"/>
          </w:tcPr>
          <w:p w14:paraId="67D6AB2E">
            <w:pPr>
              <w:keepNext w:val="0"/>
              <w:keepLines w:val="0"/>
              <w:widowControl w:val="0"/>
              <w:suppressLineNumbers w:val="0"/>
              <w:spacing w:before="0" w:beforeLines="0" w:beforeAutospacing="0" w:after="0" w:afterLines="0" w:afterAutospacing="0" w:line="480" w:lineRule="auto"/>
              <w:ind w:left="-195" w:leftChars="-93" w:right="-2" w:firstLine="196" w:firstLineChars="70"/>
              <w:jc w:val="center"/>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转账</w:t>
            </w:r>
          </w:p>
        </w:tc>
      </w:tr>
    </w:tbl>
    <w:p w14:paraId="7FF3839B">
      <w:pPr>
        <w:widowControl/>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）支付方式</w:t>
      </w:r>
    </w:p>
    <w:p w14:paraId="25A613A5">
      <w:pPr>
        <w:widowControl/>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固定租赁费以年为单位支付，自本合同签订后7个工作日内，乙方支付50%场地服务费，剩余50%场地服务费须于半年度场地服务期后7个工作日内支付。</w:t>
      </w:r>
    </w:p>
    <w:p w14:paraId="6F9ABC9D">
      <w:pPr>
        <w:widowControl/>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（注：对公转账时，付款方名称须与合同签订方名称一致）。</w:t>
      </w:r>
    </w:p>
    <w:p w14:paraId="50F4A595">
      <w:pPr>
        <w:widowControl/>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）其他相关费用：</w:t>
      </w:r>
    </w:p>
    <w:p w14:paraId="52589130">
      <w:pPr>
        <w:widowControl/>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1.能耗、通讯及卫生清洁费用</w:t>
      </w:r>
    </w:p>
    <w:p w14:paraId="13B93FD6">
      <w:pPr>
        <w:widowControl/>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乙方在收到甲方出具的缴费通知后7个工作日内向甲方支付场地内上月发生的水、电、暖气、通讯、垃圾清运等费用。（本条的“其他相关费用”不包含在场地租赁租赁费内）。</w:t>
      </w:r>
    </w:p>
    <w:p w14:paraId="56D56E89">
      <w:pPr>
        <w:widowControl/>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.装饰装修保证金</w:t>
      </w:r>
    </w:p>
    <w:p w14:paraId="1102E785">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若乙方对租赁场地进行必要的可移除的装饰装修和添置设备，乙方须在进场装修前3个工作日内向甲方支付 10000元（大写：壹万元整 ）装修保证金，待乙方必要的可移除的装饰装修和添置设备工作全部完成后，在无损坏租赁物的情况下，经甲乙双方确认后，甲方于3个工作日内无息足额退还装饰装修保证金。   </w:t>
      </w:r>
    </w:p>
    <w:p w14:paraId="350E00E0">
      <w:pPr>
        <w:widowControl/>
        <w:jc w:val="left"/>
        <w:outlineLvl w:val="1"/>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第五条 履约保证金、设备移交保证金</w:t>
      </w:r>
    </w:p>
    <w:p w14:paraId="2C362820">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（一）履约保证金</w:t>
      </w:r>
    </w:p>
    <w:p w14:paraId="0938BB6F">
      <w:pPr>
        <w:widowControl/>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乙方在本合同签订</w:t>
      </w:r>
      <w:r>
        <w:rPr>
          <w:rFonts w:hint="eastAsia" w:ascii="仿宋" w:hAnsi="仿宋" w:eastAsia="仿宋" w:cs="仿宋"/>
          <w:color w:val="auto"/>
          <w:sz w:val="28"/>
          <w:szCs w:val="28"/>
          <w:highlight w:val="none"/>
          <w:lang w:val="en-US" w:eastAsia="zh-CN"/>
        </w:rPr>
        <w:t>前</w:t>
      </w:r>
      <w:bookmarkStart w:id="3" w:name="_GoBack"/>
      <w:bookmarkEnd w:id="3"/>
      <w:r>
        <w:rPr>
          <w:rFonts w:hint="eastAsia" w:ascii="仿宋" w:hAnsi="仿宋" w:eastAsia="仿宋" w:cs="仿宋"/>
          <w:color w:val="auto"/>
          <w:sz w:val="28"/>
          <w:szCs w:val="28"/>
          <w:highlight w:val="none"/>
        </w:rPr>
        <w:t>须向甲方支付</w:t>
      </w:r>
      <w:r>
        <w:rPr>
          <w:rFonts w:hint="eastAsia" w:ascii="仿宋" w:hAnsi="仿宋" w:eastAsia="仿宋" w:cs="仿宋"/>
          <w:color w:val="auto"/>
          <w:sz w:val="28"/>
          <w:szCs w:val="28"/>
          <w:highlight w:val="none"/>
          <w:u w:val="single"/>
          <w:lang w:val="en-US" w:eastAsia="zh-CN"/>
        </w:rPr>
        <w:t>5000</w:t>
      </w:r>
      <w:r>
        <w:rPr>
          <w:rFonts w:hint="eastAsia" w:ascii="仿宋" w:hAnsi="仿宋" w:eastAsia="仿宋" w:cs="仿宋"/>
          <w:color w:val="auto"/>
          <w:sz w:val="28"/>
          <w:szCs w:val="28"/>
          <w:highlight w:val="none"/>
          <w:u w:val="single"/>
        </w:rPr>
        <w:t xml:space="preserve"> 元（大写：</w:t>
      </w:r>
      <w:r>
        <w:rPr>
          <w:rFonts w:hint="eastAsia" w:ascii="仿宋" w:hAnsi="仿宋" w:eastAsia="仿宋" w:cs="仿宋"/>
          <w:color w:val="auto"/>
          <w:sz w:val="28"/>
          <w:szCs w:val="28"/>
          <w:highlight w:val="none"/>
          <w:u w:val="single"/>
          <w:lang w:val="en-US" w:eastAsia="zh-CN"/>
        </w:rPr>
        <w:t>伍仟元整</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的履约保证金，由甲方保存并出具相应的履约保证金收据。在本合同期满后,在无任何场地、设备损害及乙方违约的情况,乙方将所有水、电、燃气等应付款项全部结清、处理完毕一切经营期间所发生的争议、注销场地内登记相关证照、妥善处理剩余预付卡的条件下,甲方于7个工作日内将此履约保证金无息足额退还给乙方。如乙方未履行或不完全履行本合同，应当承担违约责任，甲方有权根据实际情况扣除履约保证金。若乙方经营期间侵害第三方权益或有拖欠费用等违约行为，甲方可在书面告知乙方后动用履约保证金先行垫付，乙方在收到甲方扣款通知后7个工作日内补足至</w:t>
      </w:r>
      <w:r>
        <w:rPr>
          <w:rFonts w:hint="eastAsia" w:ascii="仿宋" w:hAnsi="仿宋" w:eastAsia="仿宋" w:cs="仿宋"/>
          <w:color w:val="auto"/>
          <w:sz w:val="28"/>
          <w:szCs w:val="28"/>
          <w:highlight w:val="none"/>
          <w:u w:val="single"/>
          <w:lang w:val="en-US" w:eastAsia="zh-CN"/>
        </w:rPr>
        <w:t>5000</w:t>
      </w:r>
      <w:r>
        <w:rPr>
          <w:rFonts w:hint="eastAsia" w:ascii="仿宋" w:hAnsi="仿宋" w:eastAsia="仿宋" w:cs="仿宋"/>
          <w:color w:val="auto"/>
          <w:sz w:val="28"/>
          <w:szCs w:val="28"/>
          <w:highlight w:val="none"/>
        </w:rPr>
        <w:t>元。</w:t>
      </w:r>
    </w:p>
    <w:p w14:paraId="6A57AC70">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（二）设备移交保证金</w:t>
      </w:r>
    </w:p>
    <w:p w14:paraId="7D351AEA">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乙方应保管好租赁场地内设施设备，确保租赁场地内设施设备完好性。甲方根据租赁场地内设施设备实际资产情况收取设备移交保证金，保证金总额为人民币</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），自合同签订之日起7个工作日内缴纳设备移交保证金。租赁期满双方交接设施设备，若无人为损毁及非正常锈蚀，无息返还全部设备移交保证金。</w:t>
      </w:r>
    </w:p>
    <w:p w14:paraId="73582AC8">
      <w:pPr>
        <w:widowControl/>
        <w:jc w:val="left"/>
        <w:rPr>
          <w:rFonts w:ascii="黑体" w:hAnsi="黑体" w:eastAsia="黑体" w:cs="黑体"/>
          <w:b/>
          <w:bCs/>
          <w:color w:val="auto"/>
          <w:sz w:val="32"/>
          <w:szCs w:val="32"/>
          <w:highlight w:val="none"/>
        </w:rPr>
      </w:pPr>
      <w:r>
        <w:rPr>
          <w:rFonts w:ascii="黑体" w:hAnsi="黑体" w:eastAsia="黑体" w:cs="黑体"/>
          <w:b/>
          <w:bCs/>
          <w:color w:val="auto"/>
          <w:sz w:val="32"/>
          <w:szCs w:val="32"/>
          <w:highlight w:val="none"/>
        </w:rPr>
        <w:br w:type="page"/>
      </w:r>
    </w:p>
    <w:p w14:paraId="0838E34F">
      <w:pPr>
        <w:jc w:val="center"/>
        <w:outlineLvl w:val="0"/>
        <w:rPr>
          <w:rFonts w:ascii="仿宋" w:hAnsi="仿宋" w:eastAsia="仿宋" w:cs="仿宋"/>
          <w:b/>
          <w:bCs/>
          <w:color w:val="auto"/>
          <w:kern w:val="0"/>
          <w:sz w:val="32"/>
          <w:szCs w:val="32"/>
          <w:highlight w:val="none"/>
        </w:rPr>
      </w:pPr>
      <w:r>
        <w:rPr>
          <w:rFonts w:hint="eastAsia" w:ascii="黑体" w:hAnsi="黑体" w:eastAsia="黑体" w:cs="黑体"/>
          <w:b/>
          <w:bCs/>
          <w:color w:val="auto"/>
          <w:sz w:val="32"/>
          <w:szCs w:val="32"/>
          <w:highlight w:val="none"/>
        </w:rPr>
        <w:t>第二部分 通用条款</w:t>
      </w:r>
    </w:p>
    <w:p w14:paraId="1F85D9CE">
      <w:pPr>
        <w:ind w:left="-197"/>
        <w:rPr>
          <w:color w:val="auto"/>
          <w:highlight w:val="none"/>
        </w:rPr>
      </w:pPr>
    </w:p>
    <w:p w14:paraId="6EA0620A">
      <w:pPr>
        <w:ind w:left="-197"/>
        <w:rPr>
          <w:color w:val="auto"/>
          <w:highlight w:val="none"/>
        </w:rPr>
      </w:pPr>
    </w:p>
    <w:p w14:paraId="06CE17B5">
      <w:pPr>
        <w:widowControl/>
        <w:jc w:val="left"/>
        <w:outlineLvl w:val="1"/>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第一条 甲方权利义务</w:t>
      </w:r>
    </w:p>
    <w:p w14:paraId="1ED31D59">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甲方有权按照合同约定向乙方收取合同约定费用。甲方有权定期对乙方的租赁情况进行监督检查，跟进国家法律法规及相关标准，对于检查不合格的，甲方有权要求乙方进行整改，并根据检查的结果对乙方进行考核。</w:t>
      </w:r>
    </w:p>
    <w:p w14:paraId="71F65EC7">
      <w:pPr>
        <w:widowControl/>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乙方在申办营业执照、税务登记证和各类经营许可证的过程中，甲方应提供必要的协助与支持。甲方为乙方提供入园引导，场地周边安保、环境靓化、固定设施（甲方提供范围）维护等必要服务，该等必要服务以保障乙方在园区内的正常经营条件为限。</w:t>
      </w:r>
    </w:p>
    <w:p w14:paraId="43AF3D31">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（三）经甲方同意由乙方自行建设设施的，在合同终止、解除时，乙方应当恢复原状或适用状态，如乙方拒绝履行，甲方可从履约保证金和设备移交保证金中扣除相关修复费用，不足部分由乙方另行支付。</w:t>
      </w:r>
    </w:p>
    <w:p w14:paraId="46A6169D">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（四）甲方应保证乙方在合作期限内可持续完整地使用该租赁场地，不存在任何的权利瑕疵或其他任何第三方的权利主张。按本合同的约定将租赁场地交付于乙方使用,并保证在租赁期内甲方为合法出租人。</w:t>
      </w:r>
    </w:p>
    <w:p w14:paraId="464791BB">
      <w:pPr>
        <w:widowControl/>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（五）甲方应积极配合乙方对该场地的装修施工工作,乙方在装修设计方案中涉及的结构部分改动必须征得甲方书面同意并提交设计方案。合同终止或解除，甲方不因任何原因补偿乙方装修损失。</w:t>
      </w:r>
    </w:p>
    <w:p w14:paraId="4CE9D2B8">
      <w:pPr>
        <w:widowControl/>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（六）在合作期间内，甲方拥有乙方进行的所有项目促销、推广宣传、艺术表演（如有）等项目的知情权，并有权对其活动进行监督管理。</w:t>
      </w:r>
    </w:p>
    <w:p w14:paraId="23738A34">
      <w:pPr>
        <w:widowControl/>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（七）在合作期间内，甲方在进行园区宣传时，有权展示乙方的形象、名称、字号等内容用于推广。</w:t>
      </w:r>
    </w:p>
    <w:p w14:paraId="56DAE178">
      <w:pPr>
        <w:widowControl/>
        <w:ind w:firstLine="560" w:firstLineChars="200"/>
        <w:rPr>
          <w:rFonts w:hint="eastAsia" w:ascii="仿宋" w:hAnsi="仿宋" w:eastAsia="仿宋" w:cs="仿宋"/>
          <w:color w:val="auto"/>
          <w:sz w:val="28"/>
          <w:szCs w:val="28"/>
          <w:highlight w:val="none"/>
        </w:rPr>
      </w:pPr>
    </w:p>
    <w:p w14:paraId="5C9CDC8E">
      <w:pPr>
        <w:widowControl/>
        <w:jc w:val="left"/>
        <w:outlineLvl w:val="1"/>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第二条 乙方权利义务</w:t>
      </w:r>
    </w:p>
    <w:p w14:paraId="060D55E8">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（一）乙方须办理相关证照等手续后，方可从事经营活动。乙方承诺自觉遵守甲方制定的有关管理制度、经营规则</w:t>
      </w:r>
      <w:r>
        <w:rPr>
          <w:rFonts w:hint="eastAsia" w:ascii="仿宋" w:hAnsi="仿宋" w:eastAsia="仿宋" w:cs="仿宋"/>
          <w:color w:val="auto"/>
          <w:kern w:val="0"/>
          <w:sz w:val="28"/>
          <w:szCs w:val="28"/>
          <w:highlight w:val="none"/>
        </w:rPr>
        <w:t>，配合甲方不定期或定期开展的园区活动、策划</w:t>
      </w:r>
      <w:r>
        <w:rPr>
          <w:rFonts w:hint="eastAsia" w:ascii="仿宋" w:hAnsi="仿宋" w:eastAsia="仿宋" w:cs="仿宋"/>
          <w:color w:val="auto"/>
          <w:sz w:val="28"/>
          <w:szCs w:val="28"/>
          <w:highlight w:val="none"/>
        </w:rPr>
        <w:t>，并按时缴纳相关费用。租赁场地内的安全及卫生问题由乙方负责（甲方承接的活动除外）。</w:t>
      </w:r>
    </w:p>
    <w:p w14:paraId="6E631B67">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（二）乙方在主管机关核准经营的范围内享有自主经营的权利。乙方在从事营运活动中与第三方发生的侵权、合同、劳务、人员伤亡等任何纠纷，给第三方造成损失的，均由乙方自行承担引起的经济和法律责任。</w:t>
      </w:r>
      <w:r>
        <w:rPr>
          <w:rFonts w:hint="eastAsia" w:ascii="仿宋" w:hAnsi="仿宋" w:eastAsia="仿宋" w:cs="仿宋"/>
          <w:color w:val="auto"/>
          <w:kern w:val="0"/>
          <w:sz w:val="28"/>
          <w:szCs w:val="28"/>
          <w:highlight w:val="none"/>
        </w:rPr>
        <w:t>乙方举办大型活动，需提前向甲方申请批准，并报备活动内容。</w:t>
      </w:r>
    </w:p>
    <w:p w14:paraId="3E4F4168">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（三）乙方及其聘请的工作人员与甲方不存在劳动、劳务、雇佣、帮工等关系，乙方员工所发生的工伤、经济补偿、劳动争议等均由乙方承担。</w:t>
      </w:r>
    </w:p>
    <w:p w14:paraId="5C876253">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（四）如政府相关部门要求或不可抗力因素而导致该租赁场地暂停营业、调整、整修的，乙方应积极配合甲方工作，合作期限相应顺延。</w:t>
      </w:r>
    </w:p>
    <w:p w14:paraId="0A1164EE">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（五）乙方在租赁期间所产生的一切费用由乙方自行承担，包括但不限于人工费、保险费、各项税费、安全生产费用、水电燃气、卫生等相关费用。</w:t>
      </w:r>
    </w:p>
    <w:p w14:paraId="751B612B">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（六）乙方应确保合作期间其所有产品的元素（包括但不限于创意、设计、衍生品销售、产品品牌等）均不侵犯第三人知识产权</w:t>
      </w:r>
      <w:r>
        <w:rPr>
          <w:rFonts w:hint="eastAsia" w:ascii="仿宋" w:hAnsi="仿宋" w:eastAsia="仿宋" w:cs="仿宋"/>
          <w:color w:val="auto"/>
          <w:kern w:val="0"/>
          <w:sz w:val="28"/>
          <w:szCs w:val="28"/>
          <w:highlight w:val="none"/>
        </w:rPr>
        <w:t>等权益</w:t>
      </w:r>
      <w:r>
        <w:rPr>
          <w:rFonts w:hint="eastAsia" w:ascii="仿宋" w:hAnsi="仿宋" w:eastAsia="仿宋" w:cs="仿宋"/>
          <w:color w:val="auto"/>
          <w:sz w:val="28"/>
          <w:szCs w:val="28"/>
          <w:highlight w:val="none"/>
        </w:rPr>
        <w:t>。因乙方侵犯第三人知识产权</w:t>
      </w:r>
      <w:r>
        <w:rPr>
          <w:rFonts w:hint="eastAsia" w:ascii="仿宋" w:hAnsi="仿宋" w:eastAsia="仿宋" w:cs="仿宋"/>
          <w:color w:val="auto"/>
          <w:kern w:val="0"/>
          <w:sz w:val="28"/>
          <w:szCs w:val="28"/>
          <w:highlight w:val="none"/>
        </w:rPr>
        <w:t>等权益</w:t>
      </w:r>
      <w:r>
        <w:rPr>
          <w:rFonts w:hint="eastAsia" w:ascii="仿宋" w:hAnsi="仿宋" w:eastAsia="仿宋" w:cs="仿宋"/>
          <w:color w:val="auto"/>
          <w:sz w:val="28"/>
          <w:szCs w:val="28"/>
          <w:highlight w:val="none"/>
        </w:rPr>
        <w:t>导致甲方被索赔的，甲方有权要求乙方承担所有责任，或者在甲方代为赔偿后向乙方追偿损失。</w:t>
      </w:r>
    </w:p>
    <w:p w14:paraId="3E5AED56">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七）在合作期间内，乙方必须加强该租赁场地内用电安全、消防、环保、卫生防疫等管理工作，若因乙方及由乙方（含乙方引入的入场单位和人员，以及产品及结构）原因导致的安全、消防、环保、卫生防疫等责任问题均由乙方负责；如给甲方造成损失的，乙方应赔偿甲方实际遭受的损失额；涉及法律责任，均由乙方承担，同时甲方保留向乙方进一步追溯违约责任和经济损失赔偿的权利。</w:t>
      </w:r>
    </w:p>
    <w:p w14:paraId="2C0491BE">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八</w:t>
      </w:r>
      <w:r>
        <w:rPr>
          <w:rFonts w:hint="eastAsia" w:ascii="仿宋" w:hAnsi="仿宋" w:eastAsia="仿宋" w:cs="仿宋"/>
          <w:color w:val="auto"/>
          <w:sz w:val="28"/>
          <w:szCs w:val="28"/>
          <w:highlight w:val="none"/>
        </w:rPr>
        <w:t>）甲方自行承接的各类赛事、汇演等项目占用乙方租赁场地的，甲方应至少提前7个日历天通知乙方，乙方应无条件配合甲方保障赛事、汇演等项目的进行,相关成本及收益均由甲方承担和享有。甲方将按具体赛事活动举办累计天数，给予乙方减免相应固定租赁费（年固定租赁费/365天*具体赛事活动举办累计天数）。</w:t>
      </w:r>
    </w:p>
    <w:p w14:paraId="49C2793C">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九</w:t>
      </w:r>
      <w:r>
        <w:rPr>
          <w:rFonts w:hint="eastAsia" w:ascii="仿宋" w:hAnsi="仿宋" w:eastAsia="仿宋" w:cs="仿宋"/>
          <w:color w:val="auto"/>
          <w:sz w:val="28"/>
          <w:szCs w:val="28"/>
          <w:highlight w:val="none"/>
        </w:rPr>
        <w:t>）场馆设施设备由人为或使用不当导致损坏（由甲方人为或使用不当导致的除外），乙方应限期内予以修复至原状或适用状态。甲方不定期检查该租赁场地内设施设备，若出现人为或使用不当损坏的，甲方通告于乙方并责令乙方限期修复，限期内未修复的，按照设施设备折旧后价款扣除相应设备移交保证金。</w:t>
      </w:r>
    </w:p>
    <w:p w14:paraId="53A2CFB4">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（十）若甲乙双方对设施设备损坏责任有异议的，可邀请第三方专业机构进行评估（评估产生的所有费用由双方共同承担），甲乙双方根据评估结果划分双方责任。</w:t>
      </w:r>
    </w:p>
    <w:p w14:paraId="066FA6FC">
      <w:pPr>
        <w:widowControl/>
        <w:spacing w:line="480" w:lineRule="auto"/>
        <w:ind w:left="-197" w:leftChars="-94" w:right="-315" w:rightChars="-150" w:firstLine="417" w:firstLineChars="149"/>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）在乙方管理期间发生的任何安全事故（包括但不限于租赁场地内，由乙方经营管理活动的相关人员发生的任何安全事故）责任均由乙方独自承担（甲方承接活动并自行管理的除外）。</w:t>
      </w:r>
      <w:r>
        <w:rPr>
          <w:rFonts w:hint="eastAsia" w:ascii="仿宋" w:hAnsi="仿宋" w:eastAsia="仿宋" w:cs="仿宋"/>
          <w:color w:val="auto"/>
          <w:kern w:val="0"/>
          <w:sz w:val="28"/>
          <w:szCs w:val="28"/>
          <w:highlight w:val="none"/>
        </w:rPr>
        <w:t>若甲方被司法机构裁决承担责任，有权就承担责任部分向乙方追偿。</w:t>
      </w:r>
    </w:p>
    <w:p w14:paraId="32872DF8">
      <w:pPr>
        <w:widowControl/>
        <w:jc w:val="left"/>
        <w:outlineLvl w:val="1"/>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第三条 保险</w:t>
      </w:r>
    </w:p>
    <w:p w14:paraId="51268B1B">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乙方负责向中国国内信誉优良的保险公司购买足额保险，包括但不限于公众责任险、财产一切险。乙方并应当为租赁场地内乙方完成的装饰装修、租赁场地内存放的物品、货物以及乙方自行购置的设施设备购买财产一切险，并承担保险费用。如乙方未办理保险，其租赁场地内存放的财产遭受火灾等意外损失时，由乙方负全责，甲方不承担任何赔偿责任。</w:t>
      </w:r>
    </w:p>
    <w:p w14:paraId="671C3526">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双方各自承担保险范围内的所有因盗窃、水灾、火灾等人为和自然灾害或事件所引起的上述财产损失、损坏和人身伤害、死亡的责任，并保证对方不需对此负任何法律责任。如因乙方原因导致保险赔付范围以外的损失（含甲方的损失），乙方需全额承担（含法律责任）。</w:t>
      </w:r>
    </w:p>
    <w:p w14:paraId="7935F8D8">
      <w:pPr>
        <w:widowControl/>
        <w:jc w:val="left"/>
        <w:outlineLvl w:val="1"/>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第四条 相关制度要求</w:t>
      </w:r>
    </w:p>
    <w:p w14:paraId="39764D50">
      <w:pPr>
        <w:widowControl/>
        <w:ind w:firstLine="560" w:firstLineChars="200"/>
        <w:rPr>
          <w:rFonts w:hint="eastAsia" w:ascii="仿宋" w:hAnsi="仿宋" w:eastAsia="仿宋" w:cs="仿宋"/>
          <w:b/>
          <w:bCs/>
          <w:color w:val="auto"/>
          <w:kern w:val="0"/>
          <w:sz w:val="32"/>
          <w:szCs w:val="32"/>
          <w:highlight w:val="none"/>
        </w:rPr>
      </w:pPr>
      <w:r>
        <w:rPr>
          <w:rFonts w:hint="eastAsia" w:ascii="仿宋" w:hAnsi="仿宋" w:eastAsia="仿宋" w:cs="仿宋"/>
          <w:b w:val="0"/>
          <w:bCs w:val="0"/>
          <w:color w:val="auto"/>
          <w:kern w:val="0"/>
          <w:sz w:val="28"/>
          <w:szCs w:val="28"/>
          <w:highlight w:val="none"/>
          <w:lang w:val="en-US" w:eastAsia="zh-CN"/>
        </w:rPr>
        <w:t>乙方需保持场地办公环境卫生。</w:t>
      </w:r>
    </w:p>
    <w:p w14:paraId="7B52097C">
      <w:pPr>
        <w:widowControl/>
        <w:jc w:val="left"/>
        <w:outlineLvl w:val="1"/>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第五条 合同终止与解除</w:t>
      </w:r>
    </w:p>
    <w:p w14:paraId="3A161A2A">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（一）乙方必须严格遵守</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的各项规章制度和管理，如有违反，甲方将以书面形式通知整改，自发出通知之日起一月内未完成整改的，甲方有权对乙方罚款并视情节解除合同。</w:t>
      </w:r>
    </w:p>
    <w:p w14:paraId="3F22316B">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（二）乙方有下列情形之一的，甲方有权单方解除合同、没收履约保证金、提前收回租赁场地，乙方还应向甲方支付违约金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违约金金额为</w:t>
      </w:r>
      <w:r>
        <w:rPr>
          <w:rFonts w:hint="default" w:ascii="仿宋" w:hAnsi="仿宋" w:eastAsia="仿宋" w:cs="仿宋"/>
          <w:color w:val="auto"/>
          <w:sz w:val="28"/>
          <w:szCs w:val="28"/>
          <w:highlight w:val="none"/>
          <w:lang w:val="en-US"/>
        </w:rPr>
        <w:t>3</w:t>
      </w:r>
      <w:r>
        <w:rPr>
          <w:rFonts w:hint="eastAsia" w:ascii="仿宋" w:hAnsi="仿宋" w:eastAsia="仿宋" w:cs="仿宋"/>
          <w:color w:val="auto"/>
          <w:sz w:val="28"/>
          <w:szCs w:val="28"/>
          <w:highlight w:val="none"/>
          <w:lang w:val="en-US" w:eastAsia="zh-CN"/>
        </w:rPr>
        <w:t>个月租金；</w:t>
      </w:r>
    </w:p>
    <w:p w14:paraId="594D78FC">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1.乙方拖欠租赁费、水电费、物业管理费等其他各项应付费用其中任何一项或几项达30日（或以上），经过催缴后超过7日仍不缴纳的；</w:t>
      </w:r>
    </w:p>
    <w:p w14:paraId="0AAB71E4">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2.乙方未经甲方书面同意，擅自变更该租赁区域经营用途的；</w:t>
      </w:r>
    </w:p>
    <w:p w14:paraId="72FA979C">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3.未经甲方书面许可，擅自改变租赁场地主要结构；</w:t>
      </w:r>
    </w:p>
    <w:p w14:paraId="44AC3F06">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未经甲方书面同意，乙方在租赁期对该租赁场地进行或试图进行销售、转让、转租或变相转让、转租、转借他人或调换使用、或交与第三方承包经营、合作经营或联合经营、分租、抵押、抵债、担保、入股或擅自中途退租、撤离、终止营业的；</w:t>
      </w:r>
    </w:p>
    <w:p w14:paraId="6BC908EF">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5.对该租赁区域采取任何侵犯业主所有权的行为的；</w:t>
      </w:r>
    </w:p>
    <w:p w14:paraId="6FE715CA">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6.乙方不安全使用场地及设施，或者故意损坏承租场地及设备的；</w:t>
      </w:r>
    </w:p>
    <w:p w14:paraId="573ADBEB">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7.乙方用承租场地进行违法违章活动或者因违法违章行为被相关政府职能部门处以吊销许可证或营业执照之行政处罚的；</w:t>
      </w:r>
    </w:p>
    <w:p w14:paraId="1C27FC0A">
      <w:pPr>
        <w:widowControl/>
        <w:spacing w:line="480" w:lineRule="auto"/>
        <w:ind w:left="-197" w:leftChars="-94" w:right="-315" w:rightChars="-150" w:firstLine="697" w:firstLineChars="249"/>
        <w:jc w:val="left"/>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8.经营内容和品质不符合合同规定要求，经甲方提出指正后，在1个月内未整改到位的</w:t>
      </w:r>
      <w:r>
        <w:rPr>
          <w:rFonts w:hint="eastAsia" w:ascii="仿宋" w:hAnsi="仿宋" w:eastAsia="仿宋" w:cs="仿宋"/>
          <w:color w:val="auto"/>
          <w:kern w:val="0"/>
          <w:sz w:val="28"/>
          <w:szCs w:val="28"/>
          <w:highlight w:val="none"/>
        </w:rPr>
        <w:t>，或经营内容和品质不符合法律规定，被执法部门处罚情节严重的；</w:t>
      </w:r>
    </w:p>
    <w:p w14:paraId="0ACED616">
      <w:pPr>
        <w:widowControl/>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9.在合同期限内，乙方对外经营无正当理由连续10日或累计25日未正常经营的</w:t>
      </w:r>
      <w:r>
        <w:rPr>
          <w:rFonts w:hint="eastAsia" w:ascii="仿宋" w:hAnsi="仿宋" w:eastAsia="仿宋" w:cs="仿宋"/>
          <w:color w:val="auto"/>
          <w:kern w:val="0"/>
          <w:sz w:val="28"/>
          <w:szCs w:val="28"/>
          <w:highlight w:val="none"/>
        </w:rPr>
        <w:t>，或不配合甲方策划的园区活动的。乙方因自身原因，无力维持正常经营状态的，甲方亦有权引入其他方经营体育场馆，并调整乙方经营场地、经营范围等经营内容；</w:t>
      </w:r>
    </w:p>
    <w:p w14:paraId="77058515">
      <w:pPr>
        <w:widowControl/>
        <w:spacing w:line="360" w:lineRule="auto"/>
        <w:ind w:left="-197" w:leftChars="-94" w:right="-315" w:rightChars="-150" w:firstLine="697" w:firstLineChars="249"/>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default" w:ascii="仿宋" w:hAnsi="仿宋" w:eastAsia="仿宋" w:cs="仿宋"/>
          <w:color w:val="auto"/>
          <w:kern w:val="0"/>
          <w:sz w:val="28"/>
          <w:szCs w:val="28"/>
          <w:highlight w:val="none"/>
          <w:lang w:val="en-US"/>
        </w:rPr>
        <w:t>0</w:t>
      </w:r>
      <w:r>
        <w:rPr>
          <w:rFonts w:hint="eastAsia" w:ascii="仿宋" w:hAnsi="仿宋" w:eastAsia="仿宋" w:cs="仿宋"/>
          <w:color w:val="auto"/>
          <w:kern w:val="0"/>
          <w:sz w:val="28"/>
          <w:szCs w:val="28"/>
          <w:highlight w:val="none"/>
        </w:rPr>
        <w:t>.乙方存在其他违反合同约定的行为，经甲方多次催告拒不整改的。</w:t>
      </w:r>
    </w:p>
    <w:p w14:paraId="77550D46">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none"/>
        </w:rPr>
        <w:t>如一方违约，需支付另一方因减少损失所产生的额外费用，同时还应承担对方因此产生的诉讼费、律师费、交通费、公证费等。</w:t>
      </w:r>
      <w:r>
        <w:rPr>
          <w:rFonts w:hint="eastAsia" w:ascii="仿宋" w:hAnsi="仿宋" w:eastAsia="仿宋" w:cs="仿宋"/>
          <w:color w:val="auto"/>
          <w:kern w:val="0"/>
          <w:sz w:val="28"/>
          <w:szCs w:val="28"/>
          <w:highlight w:val="none"/>
        </w:rPr>
        <w:t>合同终止后，乙方应当7日内撤离，以原状交还场地，结清一切欠付甲方费用，</w:t>
      </w:r>
      <w:r>
        <w:rPr>
          <w:rFonts w:hint="eastAsia" w:ascii="仿宋" w:hAnsi="仿宋" w:eastAsia="仿宋" w:cs="仿宋"/>
          <w:color w:val="auto"/>
          <w:sz w:val="28"/>
          <w:szCs w:val="28"/>
          <w:highlight w:val="none"/>
        </w:rPr>
        <w:t>处理完毕经营期间所发生</w:t>
      </w:r>
      <w:r>
        <w:rPr>
          <w:rFonts w:hint="eastAsia" w:ascii="仿宋" w:hAnsi="仿宋" w:eastAsia="仿宋" w:cs="仿宋"/>
          <w:color w:val="auto"/>
          <w:sz w:val="28"/>
          <w:szCs w:val="28"/>
          <w:highlight w:val="none"/>
          <w:lang w:val="en-US" w:eastAsia="zh-CN"/>
        </w:rPr>
        <w:t>的一切</w:t>
      </w:r>
      <w:r>
        <w:rPr>
          <w:rFonts w:hint="eastAsia" w:ascii="仿宋" w:hAnsi="仿宋" w:eastAsia="仿宋" w:cs="仿宋"/>
          <w:color w:val="auto"/>
          <w:sz w:val="28"/>
          <w:szCs w:val="28"/>
          <w:highlight w:val="none"/>
        </w:rPr>
        <w:t>争议</w:t>
      </w:r>
      <w:r>
        <w:rPr>
          <w:rFonts w:hint="eastAsia" w:ascii="仿宋" w:hAnsi="仿宋" w:eastAsia="仿宋" w:cs="仿宋"/>
          <w:color w:val="auto"/>
          <w:sz w:val="28"/>
          <w:szCs w:val="28"/>
          <w:highlight w:val="none"/>
          <w:lang w:val="en-US" w:eastAsia="zh-CN"/>
        </w:rPr>
        <w:t>问题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包含但不限于</w:t>
      </w:r>
      <w:r>
        <w:rPr>
          <w:rFonts w:hint="eastAsia" w:ascii="仿宋" w:hAnsi="仿宋" w:eastAsia="仿宋" w:cs="仿宋"/>
          <w:color w:val="auto"/>
          <w:sz w:val="28"/>
          <w:szCs w:val="28"/>
          <w:highlight w:val="none"/>
        </w:rPr>
        <w:t>注销场地内登记相关证照</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rPr>
        <w:t>不得影响甲方利用场地继续经营，否则，乙方按照合同终止前</w:t>
      </w:r>
      <w:r>
        <w:rPr>
          <w:rFonts w:hint="eastAsia" w:ascii="仿宋" w:hAnsi="仿宋" w:eastAsia="仿宋" w:cs="仿宋"/>
          <w:color w:val="auto"/>
          <w:kern w:val="0"/>
          <w:sz w:val="28"/>
          <w:szCs w:val="28"/>
          <w:highlight w:val="none"/>
          <w:lang w:val="en-US" w:eastAsia="zh-CN"/>
        </w:rPr>
        <w:t>租金标准</w:t>
      </w:r>
      <w:r>
        <w:rPr>
          <w:rFonts w:hint="eastAsia" w:ascii="仿宋" w:hAnsi="仿宋" w:eastAsia="仿宋" w:cs="仿宋"/>
          <w:color w:val="auto"/>
          <w:kern w:val="0"/>
          <w:sz w:val="28"/>
          <w:szCs w:val="28"/>
          <w:highlight w:val="none"/>
        </w:rPr>
        <w:t>，向甲方支付场地占用费，直至完全履行前述约定义务为止。</w:t>
      </w:r>
    </w:p>
    <w:p w14:paraId="265EBBBB">
      <w:pPr>
        <w:widowControl/>
        <w:jc w:val="left"/>
        <w:outlineLvl w:val="1"/>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2160270</wp:posOffset>
                </wp:positionH>
                <wp:positionV relativeFrom="margin">
                  <wp:posOffset>9001125</wp:posOffset>
                </wp:positionV>
                <wp:extent cx="1183005" cy="289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83005" cy="289560"/>
                        </a:xfrm>
                        <a:prstGeom prst="rect">
                          <a:avLst/>
                        </a:prstGeom>
                        <a:noFill/>
                        <a:ln>
                          <a:noFill/>
                        </a:ln>
                      </wps:spPr>
                      <wps:txbx>
                        <w:txbxContent>
                          <w:p w14:paraId="501DFD9A"/>
                        </w:txbxContent>
                      </wps:txbx>
                      <wps:bodyPr upright="1">
                        <a:spAutoFit/>
                      </wps:bodyPr>
                    </wps:wsp>
                  </a:graphicData>
                </a:graphic>
              </wp:anchor>
            </w:drawing>
          </mc:Choice>
          <mc:Fallback>
            <w:pict>
              <v:shape id="_x0000_s1026" o:spid="_x0000_s1026" o:spt="202" type="#_x0000_t202" style="position:absolute;left:0pt;margin-left:170.1pt;margin-top:708.75pt;height:22.8pt;width:93.15pt;mso-position-vertical-relative:margin;z-index:251660288;mso-width-relative:page;mso-height-relative:page;" filled="f" stroked="f" coordsize="21600,21600" o:gfxdata="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d3GEPZAAAADQEAAA8AAAAAAAAAAQAgAAAAIgAAAGRycy9kb3ducmV2LnhtbFBLAQIU&#10;ABQAAAAIAIdO4kD+tZ14uQEAAGgDAAAOAAAAAAAAAAEAIAAAACgBAABkcnMvZTJvRG9jLnhtbFBL&#10;BQYAAAAABgAGAFkBAABTBQAAAAA=&#10;">
                <v:fill on="f" focussize="0,0"/>
                <v:stroke on="f"/>
                <v:imagedata o:title=""/>
                <o:lock v:ext="edit" aspectratio="f"/>
                <v:textbox style="mso-fit-shape-to-text:t;">
                  <w:txbxContent>
                    <w:p w14:paraId="501DFD9A"/>
                  </w:txbxContent>
                </v:textbox>
              </v:shape>
            </w:pict>
          </mc:Fallback>
        </mc:AlternateContent>
      </w:r>
      <w:r>
        <w:rPr>
          <w:rFonts w:hint="eastAsia" w:ascii="仿宋" w:hAnsi="仿宋" w:eastAsia="仿宋" w:cs="仿宋"/>
          <w:b/>
          <w:bCs/>
          <w:color w:val="auto"/>
          <w:kern w:val="0"/>
          <w:sz w:val="32"/>
          <w:szCs w:val="32"/>
          <w:highlight w:val="none"/>
        </w:rPr>
        <w:t>第六条 免责条款</w:t>
      </w:r>
    </w:p>
    <w:p w14:paraId="72582A13">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同意在使用经营期限内如发生自然灾害（例如洪水、火灾、风暴、闪电、台风、地震、冰雹等）、政府征收征用、罢工、骚乱，或其他在合同订立时不能预见、不能避免并不能克服的客观情况导致任何一方迟延履行其在本合同下的义务时，本合同终止，甲乙双方互不承担责任，相关经营费用按实际经营天数计算，多退少补。</w:t>
      </w:r>
    </w:p>
    <w:p w14:paraId="0CA8F940">
      <w:pPr>
        <w:widowControl/>
        <w:jc w:val="left"/>
        <w:outlineLvl w:val="1"/>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第七条 争议解决条款</w:t>
      </w:r>
    </w:p>
    <w:p w14:paraId="32B48C93">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因本合同的签订或履行过程中发生的一切争议，由双方协商解决；协商不成时，任何一方均可向</w:t>
      </w:r>
      <w:r>
        <w:rPr>
          <w:rFonts w:hint="eastAsia" w:ascii="仿宋" w:hAnsi="仿宋" w:eastAsia="仿宋" w:cs="仿宋"/>
          <w:color w:val="auto"/>
          <w:sz w:val="28"/>
          <w:szCs w:val="28"/>
          <w:highlight w:val="none"/>
          <w:lang w:val="en-US" w:eastAsia="zh-CN"/>
        </w:rPr>
        <w:t>甲方所在</w:t>
      </w:r>
      <w:r>
        <w:rPr>
          <w:rFonts w:hint="eastAsia" w:ascii="仿宋" w:hAnsi="仿宋" w:eastAsia="仿宋" w:cs="仿宋"/>
          <w:color w:val="auto"/>
          <w:sz w:val="28"/>
          <w:szCs w:val="28"/>
          <w:highlight w:val="none"/>
        </w:rPr>
        <w:t>地人民法院提起诉讼。</w:t>
      </w:r>
    </w:p>
    <w:p w14:paraId="4AD48EC7">
      <w:pPr>
        <w:widowControl/>
        <w:jc w:val="left"/>
        <w:outlineLvl w:val="1"/>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第八条 其它</w:t>
      </w:r>
    </w:p>
    <w:p w14:paraId="0003EEF1">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（一）本合同自双方签字并盖章之日起生效，本合同壹式肆份，甲方叁份、乙方壹份，具有同等法律效力。</w:t>
      </w:r>
    </w:p>
    <w:p w14:paraId="343B007C">
      <w:pPr>
        <w:widowControl/>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（二）本合同未尽事宜，甲乙双方经协商一致可签订补充协议。补充协议为本合同不可分割的部分，与本合同具有同等法律效力。如果补充协议与本合同及附件的条款内容不一致，则以补充协议内容为准。</w:t>
      </w:r>
    </w:p>
    <w:p w14:paraId="3A7D3077">
      <w:pPr>
        <w:widowControl/>
        <w:spacing w:line="480" w:lineRule="auto"/>
        <w:ind w:left="-197" w:leftChars="-94" w:right="-315" w:rightChars="-150" w:firstLine="417" w:firstLineChars="149"/>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（三）甲方所致送函件、通知等法律文件，到达乙方指定联系人、指定邮箱后，视为乙方已接收并获悉。乙方收悉后，应及时向甲方指定联系邮箱回复，否则视为乙方认可甲方函告事宜。</w:t>
      </w:r>
    </w:p>
    <w:p w14:paraId="332B6517">
      <w:pPr>
        <w:widowControl/>
        <w:ind w:firstLine="560" w:firstLineChars="200"/>
        <w:rPr>
          <w:rFonts w:hint="eastAsia" w:ascii="仿宋" w:hAnsi="仿宋" w:eastAsia="仿宋" w:cs="仿宋"/>
          <w:color w:val="auto"/>
          <w:sz w:val="28"/>
          <w:szCs w:val="28"/>
          <w:highlight w:val="none"/>
        </w:rPr>
      </w:pPr>
    </w:p>
    <w:p w14:paraId="35E06045">
      <w:pPr>
        <w:widowControl/>
        <w:ind w:left="-197"/>
        <w:jc w:val="left"/>
        <w:rPr>
          <w:rFonts w:ascii="仿宋" w:hAnsi="仿宋" w:eastAsia="仿宋" w:cs="仿宋"/>
          <w:color w:val="auto"/>
          <w:kern w:val="0"/>
          <w:sz w:val="28"/>
          <w:szCs w:val="28"/>
          <w:highlight w:val="none"/>
        </w:rPr>
      </w:pPr>
    </w:p>
    <w:p w14:paraId="0E5CE1AD">
      <w:pPr>
        <w:widowControl/>
        <w:ind w:left="-197"/>
        <w:jc w:val="left"/>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在签署本合同时，甲乙双方对合同的所有条款已经阅悉，均无异议，并对双方之间的法律关系、有关权利、义务和责任的条款的法律含义有准确无误的理解，双方一致同意，本协议的各项条款均为双方协商一致达成，非任何一方的格式条款。</w:t>
      </w:r>
    </w:p>
    <w:p w14:paraId="7642FE05">
      <w:pPr>
        <w:widowControl/>
        <w:ind w:left="-197"/>
        <w:jc w:val="left"/>
        <w:rPr>
          <w:rFonts w:ascii="仿宋" w:hAnsi="仿宋" w:eastAsia="仿宋" w:cs="仿宋"/>
          <w:color w:val="auto"/>
          <w:kern w:val="0"/>
          <w:sz w:val="28"/>
          <w:szCs w:val="28"/>
          <w:highlight w:val="none"/>
        </w:rPr>
      </w:pPr>
    </w:p>
    <w:p w14:paraId="27717BA3">
      <w:pPr>
        <w:widowControl/>
        <w:ind w:left="-197"/>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（以下无正文）</w:t>
      </w:r>
    </w:p>
    <w:p w14:paraId="085E234D">
      <w:pPr>
        <w:widowControl/>
        <w:ind w:left="-197"/>
        <w:jc w:val="center"/>
        <w:rPr>
          <w:rFonts w:ascii="仿宋" w:hAnsi="仿宋" w:eastAsia="仿宋" w:cs="仿宋"/>
          <w:color w:val="auto"/>
          <w:sz w:val="28"/>
          <w:szCs w:val="28"/>
          <w:highlight w:val="none"/>
        </w:rPr>
      </w:pPr>
    </w:p>
    <w:p w14:paraId="71E65929">
      <w:pPr>
        <w:widowControl/>
        <w:ind w:firstLine="562" w:firstLineChars="200"/>
        <w:jc w:val="left"/>
        <w:rPr>
          <w:rFonts w:ascii="仿宋" w:hAnsi="仿宋" w:eastAsia="仿宋" w:cs="仿宋"/>
          <w:color w:val="auto"/>
          <w:kern w:val="0"/>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color w:val="auto"/>
          <w:kern w:val="0"/>
          <w:sz w:val="28"/>
          <w:szCs w:val="28"/>
          <w:highlight w:val="none"/>
        </w:rPr>
        <w:t>本合同的所有附件，均是本合同的补充和组成部分，与合同具有同等法律效力，双方必须共同遵守。签订本合同，即表明乙方已经审阅并同意接受执行本合同全部内容及附件条款。</w:t>
      </w:r>
    </w:p>
    <w:p w14:paraId="5F2ECB22">
      <w:pPr>
        <w:widowControl/>
        <w:numPr>
          <w:ilvl w:val="0"/>
          <w:numId w:val="0"/>
        </w:numPr>
        <w:ind w:firstLine="560" w:firstLineChars="200"/>
        <w:jc w:val="left"/>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lang w:val="en-US" w:eastAsia="zh-CN" w:bidi="ar-SA"/>
        </w:rPr>
        <w:t>（1）</w:t>
      </w:r>
      <w:r>
        <w:rPr>
          <w:rFonts w:hint="eastAsia" w:ascii="仿宋" w:hAnsi="仿宋" w:eastAsia="仿宋" w:cs="仿宋"/>
          <w:color w:val="auto"/>
          <w:kern w:val="0"/>
          <w:sz w:val="28"/>
          <w:szCs w:val="28"/>
          <w:highlight w:val="none"/>
        </w:rPr>
        <w:t>租赁场地位置、面积</w:t>
      </w:r>
    </w:p>
    <w:p w14:paraId="7C87EBD8">
      <w:pPr>
        <w:widowControl/>
        <w:numPr>
          <w:ilvl w:val="0"/>
          <w:numId w:val="0"/>
        </w:numPr>
        <w:ind w:firstLine="560" w:firstLineChars="200"/>
        <w:jc w:val="left"/>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lang w:val="en-US" w:eastAsia="zh-CN" w:bidi="ar-SA"/>
        </w:rPr>
        <w:t>（2）</w:t>
      </w:r>
      <w:r>
        <w:rPr>
          <w:rFonts w:hint="eastAsia" w:ascii="仿宋" w:hAnsi="仿宋" w:eastAsia="仿宋" w:cs="仿宋"/>
          <w:color w:val="auto"/>
          <w:kern w:val="0"/>
          <w:sz w:val="28"/>
          <w:szCs w:val="28"/>
          <w:highlight w:val="none"/>
        </w:rPr>
        <w:t>设施设备交接清单</w:t>
      </w:r>
    </w:p>
    <w:p w14:paraId="1F3E5EAF">
      <w:pPr>
        <w:widowControl/>
        <w:numPr>
          <w:ilvl w:val="0"/>
          <w:numId w:val="0"/>
        </w:numPr>
        <w:ind w:firstLine="560" w:firstLineChars="200"/>
        <w:jc w:val="left"/>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lang w:val="en-US" w:eastAsia="zh-CN" w:bidi="ar-SA"/>
        </w:rPr>
        <w:t>（3）</w:t>
      </w:r>
      <w:r>
        <w:rPr>
          <w:rFonts w:hint="eastAsia" w:ascii="仿宋" w:hAnsi="仿宋" w:eastAsia="仿宋" w:cs="仿宋"/>
          <w:color w:val="auto"/>
          <w:kern w:val="0"/>
          <w:sz w:val="28"/>
          <w:szCs w:val="28"/>
          <w:highlight w:val="none"/>
        </w:rPr>
        <w:t>商铺经营管理规定</w:t>
      </w:r>
    </w:p>
    <w:p w14:paraId="69018440">
      <w:pPr>
        <w:widowControl/>
        <w:numPr>
          <w:ilvl w:val="0"/>
          <w:numId w:val="0"/>
        </w:numPr>
        <w:ind w:firstLine="560" w:firstLineChars="200"/>
        <w:jc w:val="left"/>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lang w:val="en-US" w:eastAsia="zh-CN" w:bidi="ar-SA"/>
        </w:rPr>
        <w:t>（4）</w:t>
      </w:r>
      <w:r>
        <w:rPr>
          <w:rFonts w:hint="eastAsia" w:ascii="仿宋" w:hAnsi="仿宋" w:eastAsia="仿宋" w:cs="仿宋"/>
          <w:color w:val="auto"/>
          <w:kern w:val="0"/>
          <w:sz w:val="28"/>
          <w:szCs w:val="28"/>
          <w:highlight w:val="none"/>
        </w:rPr>
        <w:t>消防、治安、安全生产责任书</w:t>
      </w:r>
    </w:p>
    <w:p w14:paraId="3E1513C3">
      <w:pPr>
        <w:widowControl/>
        <w:numPr>
          <w:ilvl w:val="0"/>
          <w:numId w:val="0"/>
        </w:numPr>
        <w:ind w:firstLine="560" w:firstLineChars="200"/>
        <w:jc w:val="left"/>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lang w:val="en-US" w:eastAsia="zh-CN" w:bidi="ar-SA"/>
        </w:rPr>
        <w:t>（5）</w:t>
      </w:r>
      <w:r>
        <w:rPr>
          <w:rFonts w:hint="eastAsia" w:ascii="仿宋" w:hAnsi="仿宋" w:eastAsia="仿宋" w:cs="仿宋"/>
          <w:color w:val="auto"/>
          <w:kern w:val="0"/>
          <w:sz w:val="28"/>
          <w:szCs w:val="28"/>
          <w:highlight w:val="none"/>
        </w:rPr>
        <w:t>进场交易商品质量安全保障书</w:t>
      </w:r>
    </w:p>
    <w:p w14:paraId="6FA377BC">
      <w:pPr>
        <w:widowControl/>
        <w:numPr>
          <w:ilvl w:val="0"/>
          <w:numId w:val="0"/>
        </w:numPr>
        <w:ind w:firstLine="560" w:firstLineChars="200"/>
        <w:jc w:val="left"/>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lang w:val="en-US" w:eastAsia="zh-CN" w:bidi="ar-SA"/>
        </w:rPr>
        <w:t>（6）</w:t>
      </w:r>
      <w:r>
        <w:rPr>
          <w:rFonts w:hint="eastAsia" w:ascii="仿宋" w:hAnsi="仿宋" w:eastAsia="仿宋" w:cs="仿宋"/>
          <w:color w:val="auto"/>
          <w:kern w:val="0"/>
          <w:sz w:val="28"/>
          <w:szCs w:val="28"/>
          <w:highlight w:val="none"/>
        </w:rPr>
        <w:t>安全承诺书</w:t>
      </w:r>
    </w:p>
    <w:p w14:paraId="6014D603">
      <w:pPr>
        <w:widowControl/>
        <w:numPr>
          <w:ilvl w:val="0"/>
          <w:numId w:val="0"/>
        </w:numPr>
        <w:ind w:firstLine="560" w:firstLineChars="200"/>
        <w:jc w:val="left"/>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lang w:val="en-US" w:eastAsia="zh-CN"/>
        </w:rPr>
        <w:t>甲方签字确认审核装修方案审批表</w:t>
      </w:r>
    </w:p>
    <w:p w14:paraId="724EC204">
      <w:pPr>
        <w:widowControl/>
        <w:numPr>
          <w:ilvl w:val="0"/>
          <w:numId w:val="0"/>
        </w:numPr>
        <w:ind w:firstLine="560" w:firstLineChars="200"/>
        <w:jc w:val="left"/>
        <w:rPr>
          <w:rFonts w:ascii="仿宋" w:hAnsi="仿宋" w:eastAsia="仿宋" w:cs="仿宋"/>
          <w:color w:val="auto"/>
          <w:kern w:val="0"/>
          <w:sz w:val="28"/>
          <w:szCs w:val="28"/>
          <w:highlight w:val="none"/>
        </w:rPr>
      </w:pPr>
    </w:p>
    <w:p w14:paraId="11A350B1">
      <w:pPr>
        <w:widowControl/>
        <w:ind w:left="-197"/>
        <w:jc w:val="left"/>
        <w:rPr>
          <w:rFonts w:ascii="仿宋" w:hAnsi="仿宋" w:eastAsia="仿宋" w:cs="仿宋"/>
          <w:color w:val="auto"/>
          <w:kern w:val="0"/>
          <w:sz w:val="28"/>
          <w:szCs w:val="28"/>
          <w:highlight w:val="none"/>
        </w:rPr>
      </w:pPr>
    </w:p>
    <w:p w14:paraId="1A212F51">
      <w:pPr>
        <w:widowControl/>
        <w:jc w:val="left"/>
        <w:rPr>
          <w:rFonts w:ascii="宋体" w:hAnsi="宋体"/>
          <w:color w:val="auto"/>
          <w:sz w:val="28"/>
          <w:szCs w:val="28"/>
          <w:highlight w:val="none"/>
        </w:rPr>
      </w:pPr>
    </w:p>
    <w:p w14:paraId="608D1374">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甲方（签章）：                        乙方（签章）：</w:t>
      </w:r>
    </w:p>
    <w:p w14:paraId="1D36D9C3">
      <w:pPr>
        <w:rPr>
          <w:rFonts w:ascii="仿宋" w:hAnsi="仿宋" w:eastAsia="仿宋" w:cs="仿宋"/>
          <w:b/>
          <w:color w:val="auto"/>
          <w:sz w:val="28"/>
          <w:szCs w:val="28"/>
          <w:highlight w:val="none"/>
        </w:rPr>
      </w:pPr>
    </w:p>
    <w:p w14:paraId="36DC0215">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法定代表人/委托代理人：　　　　　　　 法定代表人/委托代理人：</w:t>
      </w:r>
    </w:p>
    <w:p w14:paraId="7E273504">
      <w:pPr>
        <w:ind w:left="-197"/>
        <w:rPr>
          <w:rFonts w:ascii="宋体" w:hAnsi="宋体" w:cs="宋体"/>
          <w:color w:val="auto"/>
          <w:sz w:val="24"/>
          <w:highlight w:val="none"/>
        </w:rPr>
      </w:pPr>
    </w:p>
    <w:p w14:paraId="130220BD">
      <w:pPr>
        <w:ind w:left="-197"/>
        <w:rPr>
          <w:rFonts w:ascii="宋体" w:hAnsi="宋体" w:cs="宋体"/>
          <w:color w:val="auto"/>
          <w:sz w:val="24"/>
          <w:highlight w:val="none"/>
        </w:rPr>
      </w:pPr>
    </w:p>
    <w:p w14:paraId="2AFA63D9">
      <w:pPr>
        <w:ind w:left="-197"/>
        <w:rPr>
          <w:rFonts w:ascii="宋体" w:hAnsi="宋体" w:cs="宋体"/>
          <w:color w:val="auto"/>
          <w:sz w:val="24"/>
          <w:highlight w:val="none"/>
        </w:rPr>
      </w:pPr>
    </w:p>
    <w:p w14:paraId="37567E59">
      <w:pPr>
        <w:ind w:left="-197"/>
        <w:rPr>
          <w:rFonts w:ascii="宋体" w:hAnsi="宋体" w:cs="宋体"/>
          <w:color w:val="auto"/>
          <w:sz w:val="24"/>
          <w:highlight w:val="none"/>
        </w:rPr>
      </w:pPr>
    </w:p>
    <w:p w14:paraId="0D040AFE">
      <w:pPr>
        <w:ind w:left="-197"/>
        <w:rPr>
          <w:rFonts w:ascii="宋体" w:hAnsi="宋体" w:cs="宋体"/>
          <w:color w:val="auto"/>
          <w:sz w:val="24"/>
          <w:highlight w:val="none"/>
        </w:rPr>
      </w:pPr>
    </w:p>
    <w:p w14:paraId="5743AE3B">
      <w:pPr>
        <w:ind w:left="-197"/>
        <w:rPr>
          <w:rFonts w:ascii="宋体" w:hAnsi="宋体" w:cs="宋体"/>
          <w:color w:val="auto"/>
          <w:sz w:val="24"/>
          <w:highlight w:val="none"/>
        </w:rPr>
      </w:pPr>
    </w:p>
    <w:p w14:paraId="082C0F2E">
      <w:pPr>
        <w:ind w:left="-197"/>
        <w:rPr>
          <w:rFonts w:ascii="宋体" w:hAnsi="宋体" w:cs="宋体"/>
          <w:color w:val="auto"/>
          <w:sz w:val="24"/>
          <w:highlight w:val="none"/>
        </w:rPr>
      </w:pPr>
    </w:p>
    <w:p w14:paraId="11C6A231">
      <w:pPr>
        <w:ind w:left="-197"/>
        <w:rPr>
          <w:rFonts w:ascii="宋体" w:hAnsi="宋体" w:cs="宋体"/>
          <w:color w:val="auto"/>
          <w:sz w:val="24"/>
          <w:highlight w:val="none"/>
        </w:rPr>
      </w:pPr>
    </w:p>
    <w:p w14:paraId="40A81C55">
      <w:pPr>
        <w:ind w:left="-197"/>
        <w:rPr>
          <w:rFonts w:ascii="宋体" w:hAnsi="宋体" w:cs="宋体"/>
          <w:color w:val="auto"/>
          <w:sz w:val="24"/>
          <w:highlight w:val="none"/>
        </w:rPr>
      </w:pPr>
    </w:p>
    <w:p w14:paraId="4FC31709">
      <w:pPr>
        <w:ind w:left="-197"/>
        <w:rPr>
          <w:rFonts w:ascii="宋体" w:hAnsi="宋体" w:cs="宋体"/>
          <w:color w:val="auto"/>
          <w:sz w:val="24"/>
          <w:highlight w:val="none"/>
        </w:rPr>
      </w:pPr>
    </w:p>
    <w:p w14:paraId="2F468354">
      <w:pPr>
        <w:ind w:left="-197"/>
        <w:rPr>
          <w:rFonts w:ascii="宋体" w:hAnsi="宋体" w:cs="宋体"/>
          <w:color w:val="auto"/>
          <w:sz w:val="24"/>
          <w:highlight w:val="none"/>
        </w:rPr>
      </w:pPr>
    </w:p>
    <w:p w14:paraId="610DC039">
      <w:pPr>
        <w:ind w:left="-197"/>
        <w:rPr>
          <w:rFonts w:ascii="宋体" w:hAnsi="宋体" w:cs="宋体"/>
          <w:color w:val="auto"/>
          <w:sz w:val="24"/>
          <w:highlight w:val="none"/>
        </w:rPr>
      </w:pPr>
    </w:p>
    <w:p w14:paraId="08ACD027">
      <w:pPr>
        <w:ind w:left="-197"/>
        <w:rPr>
          <w:rFonts w:ascii="宋体" w:hAnsi="宋体" w:cs="宋体"/>
          <w:color w:val="auto"/>
          <w:sz w:val="24"/>
          <w:highlight w:val="none"/>
        </w:rPr>
      </w:pPr>
    </w:p>
    <w:p w14:paraId="7AD7C344">
      <w:pPr>
        <w:ind w:left="-197"/>
        <w:rPr>
          <w:rFonts w:ascii="宋体" w:hAnsi="宋体" w:cs="宋体"/>
          <w:color w:val="auto"/>
          <w:sz w:val="24"/>
          <w:highlight w:val="none"/>
        </w:rPr>
      </w:pPr>
    </w:p>
    <w:p w14:paraId="6B38CF33">
      <w:pPr>
        <w:ind w:left="-197"/>
        <w:rPr>
          <w:rFonts w:ascii="宋体" w:hAnsi="宋体" w:cs="宋体"/>
          <w:color w:val="auto"/>
          <w:sz w:val="24"/>
          <w:highlight w:val="none"/>
        </w:rPr>
      </w:pPr>
    </w:p>
    <w:p w14:paraId="7FD424C7">
      <w:pPr>
        <w:ind w:left="-197"/>
        <w:rPr>
          <w:rFonts w:ascii="宋体" w:hAnsi="宋体" w:cs="宋体"/>
          <w:color w:val="auto"/>
          <w:sz w:val="24"/>
          <w:highlight w:val="none"/>
        </w:rPr>
      </w:pPr>
    </w:p>
    <w:p w14:paraId="6BD715BC">
      <w:pPr>
        <w:ind w:left="-197"/>
        <w:rPr>
          <w:rFonts w:ascii="宋体" w:hAnsi="宋体" w:cs="宋体"/>
          <w:color w:val="auto"/>
          <w:sz w:val="24"/>
          <w:highlight w:val="none"/>
        </w:rPr>
      </w:pPr>
    </w:p>
    <w:p w14:paraId="53595C39">
      <w:pPr>
        <w:ind w:left="-197"/>
        <w:rPr>
          <w:rFonts w:ascii="宋体" w:hAnsi="宋体" w:cs="宋体"/>
          <w:color w:val="auto"/>
          <w:sz w:val="24"/>
          <w:highlight w:val="none"/>
        </w:rPr>
      </w:pPr>
    </w:p>
    <w:p w14:paraId="7A60081D">
      <w:pPr>
        <w:ind w:left="-197"/>
        <w:rPr>
          <w:rFonts w:ascii="宋体" w:hAnsi="宋体" w:cs="宋体"/>
          <w:color w:val="auto"/>
          <w:sz w:val="24"/>
          <w:highlight w:val="none"/>
        </w:rPr>
      </w:pPr>
    </w:p>
    <w:p w14:paraId="251AB0BE">
      <w:pPr>
        <w:ind w:left="-197"/>
        <w:rPr>
          <w:rFonts w:ascii="宋体" w:hAnsi="宋体" w:cs="宋体"/>
          <w:color w:val="auto"/>
          <w:sz w:val="24"/>
          <w:highlight w:val="none"/>
        </w:rPr>
      </w:pPr>
    </w:p>
    <w:p w14:paraId="4CCA1888">
      <w:pPr>
        <w:ind w:left="-197"/>
        <w:rPr>
          <w:rFonts w:ascii="宋体" w:hAnsi="宋体" w:cs="宋体"/>
          <w:color w:val="auto"/>
          <w:sz w:val="24"/>
          <w:highlight w:val="none"/>
        </w:rPr>
      </w:pPr>
    </w:p>
    <w:p w14:paraId="6C44F297">
      <w:pPr>
        <w:ind w:left="-197"/>
        <w:rPr>
          <w:rFonts w:ascii="宋体" w:hAnsi="宋体" w:cs="宋体"/>
          <w:color w:val="auto"/>
          <w:sz w:val="24"/>
          <w:highlight w:val="none"/>
        </w:rPr>
      </w:pPr>
    </w:p>
    <w:p w14:paraId="0097C02D">
      <w:pPr>
        <w:ind w:left="-197"/>
        <w:rPr>
          <w:rFonts w:ascii="宋体" w:hAnsi="宋体" w:cs="宋体"/>
          <w:color w:val="auto"/>
          <w:sz w:val="24"/>
          <w:highlight w:val="none"/>
        </w:rPr>
      </w:pPr>
    </w:p>
    <w:p w14:paraId="31E218C8">
      <w:pPr>
        <w:ind w:left="-197"/>
        <w:rPr>
          <w:rFonts w:ascii="宋体" w:hAnsi="宋体" w:cs="宋体"/>
          <w:color w:val="auto"/>
          <w:sz w:val="24"/>
          <w:highlight w:val="none"/>
        </w:rPr>
      </w:pPr>
    </w:p>
    <w:p w14:paraId="570B71CF">
      <w:pPr>
        <w:ind w:left="-197"/>
        <w:rPr>
          <w:rFonts w:ascii="宋体" w:hAnsi="宋体" w:cs="宋体"/>
          <w:color w:val="auto"/>
          <w:sz w:val="24"/>
          <w:highlight w:val="none"/>
        </w:rPr>
      </w:pPr>
    </w:p>
    <w:p w14:paraId="13515A36">
      <w:pPr>
        <w:ind w:left="-197"/>
        <w:rPr>
          <w:rFonts w:ascii="宋体" w:hAnsi="宋体" w:cs="宋体"/>
          <w:color w:val="auto"/>
          <w:sz w:val="24"/>
          <w:highlight w:val="none"/>
        </w:rPr>
      </w:pPr>
    </w:p>
    <w:p w14:paraId="11C62093">
      <w:pPr>
        <w:ind w:left="-197"/>
        <w:rPr>
          <w:rFonts w:ascii="宋体" w:hAnsi="宋体" w:cs="宋体"/>
          <w:color w:val="auto"/>
          <w:sz w:val="24"/>
          <w:highlight w:val="none"/>
        </w:rPr>
      </w:pPr>
    </w:p>
    <w:p w14:paraId="20EF2FE4">
      <w:pPr>
        <w:ind w:left="-197"/>
        <w:rPr>
          <w:rFonts w:ascii="宋体" w:hAnsi="宋体" w:cs="宋体"/>
          <w:color w:val="auto"/>
          <w:sz w:val="24"/>
          <w:highlight w:val="none"/>
        </w:rPr>
      </w:pPr>
    </w:p>
    <w:p w14:paraId="4249BF85">
      <w:pPr>
        <w:ind w:left="-197"/>
        <w:rPr>
          <w:rFonts w:ascii="宋体" w:hAnsi="宋体" w:cs="宋体"/>
          <w:color w:val="auto"/>
          <w:sz w:val="24"/>
          <w:highlight w:val="none"/>
        </w:rPr>
      </w:pPr>
    </w:p>
    <w:p w14:paraId="33ED97CE">
      <w:pPr>
        <w:ind w:left="-197"/>
        <w:rPr>
          <w:rFonts w:ascii="宋体" w:hAnsi="宋体" w:cs="宋体"/>
          <w:color w:val="auto"/>
          <w:sz w:val="24"/>
          <w:highlight w:val="none"/>
        </w:rPr>
      </w:pPr>
    </w:p>
    <w:p w14:paraId="54A1F6A3">
      <w:pPr>
        <w:ind w:left="-197"/>
        <w:rPr>
          <w:rFonts w:ascii="宋体" w:hAnsi="宋体" w:cs="宋体"/>
          <w:color w:val="auto"/>
          <w:sz w:val="24"/>
          <w:highlight w:val="none"/>
        </w:rPr>
      </w:pPr>
    </w:p>
    <w:p w14:paraId="3C500F17">
      <w:pPr>
        <w:ind w:left="-197"/>
        <w:rPr>
          <w:rFonts w:ascii="宋体" w:hAnsi="宋体" w:cs="宋体"/>
          <w:color w:val="auto"/>
          <w:sz w:val="24"/>
          <w:highlight w:val="none"/>
        </w:rPr>
      </w:pPr>
    </w:p>
    <w:p w14:paraId="0160BE18">
      <w:pPr>
        <w:ind w:left="-197"/>
        <w:rPr>
          <w:rFonts w:ascii="宋体" w:hAnsi="宋体" w:cs="宋体"/>
          <w:color w:val="auto"/>
          <w:sz w:val="24"/>
          <w:highlight w:val="none"/>
        </w:rPr>
      </w:pPr>
    </w:p>
    <w:p w14:paraId="75971824">
      <w:pPr>
        <w:ind w:left="-197"/>
        <w:rPr>
          <w:rFonts w:ascii="宋体" w:hAnsi="宋体" w:cs="宋体"/>
          <w:color w:val="auto"/>
          <w:sz w:val="24"/>
          <w:highlight w:val="none"/>
        </w:rPr>
      </w:pPr>
    </w:p>
    <w:p w14:paraId="066F5B22">
      <w:pPr>
        <w:ind w:left="-197"/>
        <w:rPr>
          <w:rFonts w:ascii="宋体" w:hAnsi="宋体" w:cs="宋体"/>
          <w:color w:val="auto"/>
          <w:sz w:val="24"/>
          <w:highlight w:val="none"/>
        </w:rPr>
      </w:pPr>
    </w:p>
    <w:p w14:paraId="057E0372">
      <w:pPr>
        <w:widowControl/>
        <w:jc w:val="left"/>
        <w:outlineLvl w:val="1"/>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附件1：</w:t>
      </w:r>
      <w:r>
        <w:rPr>
          <w:rFonts w:hint="eastAsia" w:ascii="仿宋" w:hAnsi="仿宋" w:eastAsia="仿宋" w:cs="仿宋"/>
          <w:b/>
          <w:bCs/>
          <w:color w:val="auto"/>
          <w:sz w:val="28"/>
          <w:szCs w:val="28"/>
          <w:highlight w:val="none"/>
        </w:rPr>
        <w:t>租赁场地位置、面积</w:t>
      </w:r>
    </w:p>
    <w:p w14:paraId="235CAAD1">
      <w:pPr>
        <w:jc w:val="center"/>
        <w:rPr>
          <w:color w:val="auto"/>
          <w:highlight w:val="none"/>
        </w:rPr>
      </w:pPr>
    </w:p>
    <w:p w14:paraId="08C3136F">
      <w:pPr>
        <w:jc w:val="center"/>
        <w:rPr>
          <w:rFonts w:hint="eastAsia" w:eastAsiaTheme="minorEastAsia"/>
          <w:color w:val="auto"/>
          <w:highlight w:val="none"/>
          <w:lang w:eastAsia="zh-CN"/>
        </w:rPr>
      </w:pPr>
    </w:p>
    <w:p w14:paraId="19FB5B51">
      <w:pPr>
        <w:ind w:left="-197"/>
        <w:rPr>
          <w:color w:val="auto"/>
          <w:highlight w:val="none"/>
        </w:rPr>
      </w:pPr>
    </w:p>
    <w:p w14:paraId="6DCCAE49">
      <w:pPr>
        <w:ind w:left="-197"/>
        <w:rPr>
          <w:color w:val="auto"/>
          <w:highlight w:val="none"/>
        </w:rPr>
      </w:pPr>
    </w:p>
    <w:p w14:paraId="7108292A">
      <w:pPr>
        <w:ind w:left="-197"/>
        <w:rPr>
          <w:color w:val="auto"/>
          <w:highlight w:val="none"/>
        </w:rPr>
      </w:pPr>
    </w:p>
    <w:p w14:paraId="26D18DD6">
      <w:pPr>
        <w:ind w:left="-197"/>
        <w:rPr>
          <w:color w:val="auto"/>
          <w:highlight w:val="none"/>
        </w:rPr>
      </w:pPr>
    </w:p>
    <w:p w14:paraId="62CA39E5">
      <w:pPr>
        <w:ind w:left="-197"/>
        <w:rPr>
          <w:color w:val="auto"/>
          <w:highlight w:val="none"/>
        </w:rPr>
      </w:pPr>
    </w:p>
    <w:p w14:paraId="1EBB53AD">
      <w:pPr>
        <w:ind w:left="-197"/>
        <w:rPr>
          <w:color w:val="auto"/>
          <w:highlight w:val="none"/>
        </w:rPr>
      </w:pPr>
    </w:p>
    <w:p w14:paraId="5169FBEF">
      <w:pPr>
        <w:ind w:left="-197"/>
        <w:rPr>
          <w:color w:val="auto"/>
          <w:highlight w:val="none"/>
        </w:rPr>
      </w:pPr>
    </w:p>
    <w:p w14:paraId="04DD6CA9">
      <w:pPr>
        <w:ind w:left="-197"/>
        <w:rPr>
          <w:color w:val="auto"/>
          <w:highlight w:val="none"/>
        </w:rPr>
      </w:pPr>
    </w:p>
    <w:p w14:paraId="54FC82A4">
      <w:pPr>
        <w:ind w:left="-197"/>
        <w:rPr>
          <w:color w:val="auto"/>
          <w:highlight w:val="none"/>
        </w:rPr>
      </w:pPr>
    </w:p>
    <w:p w14:paraId="53D7DEEC">
      <w:pPr>
        <w:ind w:left="-197"/>
        <w:rPr>
          <w:color w:val="auto"/>
          <w:highlight w:val="none"/>
        </w:rPr>
      </w:pPr>
    </w:p>
    <w:p w14:paraId="72989A3D">
      <w:pPr>
        <w:ind w:left="-197"/>
        <w:rPr>
          <w:color w:val="auto"/>
          <w:highlight w:val="none"/>
        </w:rPr>
      </w:pPr>
    </w:p>
    <w:p w14:paraId="4CE74FC5">
      <w:pPr>
        <w:ind w:left="-197"/>
        <w:rPr>
          <w:color w:val="auto"/>
          <w:highlight w:val="none"/>
        </w:rPr>
      </w:pPr>
    </w:p>
    <w:p w14:paraId="3BD93A0C">
      <w:pPr>
        <w:ind w:left="-197"/>
        <w:rPr>
          <w:color w:val="auto"/>
          <w:highlight w:val="none"/>
        </w:rPr>
      </w:pPr>
    </w:p>
    <w:p w14:paraId="3BC76B31">
      <w:pPr>
        <w:ind w:left="-197"/>
        <w:rPr>
          <w:color w:val="auto"/>
          <w:highlight w:val="none"/>
        </w:rPr>
      </w:pPr>
    </w:p>
    <w:p w14:paraId="16A2AE32">
      <w:pPr>
        <w:ind w:left="-197"/>
        <w:rPr>
          <w:color w:val="auto"/>
          <w:highlight w:val="none"/>
        </w:rPr>
      </w:pPr>
    </w:p>
    <w:p w14:paraId="64FB7AA4">
      <w:pPr>
        <w:ind w:left="-197"/>
        <w:rPr>
          <w:color w:val="auto"/>
          <w:highlight w:val="none"/>
        </w:rPr>
      </w:pPr>
    </w:p>
    <w:p w14:paraId="6B698522">
      <w:pPr>
        <w:ind w:left="-197"/>
        <w:rPr>
          <w:color w:val="auto"/>
          <w:highlight w:val="none"/>
        </w:rPr>
      </w:pPr>
    </w:p>
    <w:p w14:paraId="2EBEAA27">
      <w:pPr>
        <w:ind w:left="-197"/>
        <w:rPr>
          <w:color w:val="auto"/>
          <w:highlight w:val="none"/>
        </w:rPr>
      </w:pPr>
    </w:p>
    <w:p w14:paraId="00108104">
      <w:pPr>
        <w:ind w:left="-197"/>
        <w:rPr>
          <w:color w:val="auto"/>
          <w:highlight w:val="none"/>
        </w:rPr>
      </w:pPr>
    </w:p>
    <w:p w14:paraId="435D07DB">
      <w:pPr>
        <w:ind w:left="-197"/>
        <w:rPr>
          <w:color w:val="auto"/>
          <w:highlight w:val="none"/>
        </w:rPr>
      </w:pPr>
    </w:p>
    <w:p w14:paraId="262883D6">
      <w:pPr>
        <w:ind w:left="-197"/>
        <w:rPr>
          <w:color w:val="auto"/>
          <w:highlight w:val="none"/>
        </w:rPr>
      </w:pPr>
    </w:p>
    <w:p w14:paraId="5138E9D8">
      <w:pPr>
        <w:ind w:left="-197"/>
        <w:rPr>
          <w:color w:val="auto"/>
          <w:highlight w:val="none"/>
        </w:rPr>
      </w:pPr>
    </w:p>
    <w:p w14:paraId="58258729">
      <w:pPr>
        <w:ind w:left="-197"/>
        <w:rPr>
          <w:color w:val="auto"/>
          <w:highlight w:val="none"/>
        </w:rPr>
      </w:pPr>
    </w:p>
    <w:p w14:paraId="68D85A5E">
      <w:pPr>
        <w:ind w:left="-197"/>
        <w:rPr>
          <w:color w:val="auto"/>
          <w:highlight w:val="none"/>
        </w:rPr>
      </w:pPr>
    </w:p>
    <w:p w14:paraId="32D76BD6">
      <w:pPr>
        <w:ind w:left="-197"/>
        <w:rPr>
          <w:color w:val="auto"/>
          <w:highlight w:val="none"/>
        </w:rPr>
      </w:pPr>
    </w:p>
    <w:p w14:paraId="06E82E5F">
      <w:pPr>
        <w:widowControl/>
        <w:jc w:val="left"/>
        <w:outlineLvl w:val="1"/>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附件2：设施设备</w:t>
      </w:r>
      <w:r>
        <w:rPr>
          <w:rFonts w:ascii="仿宋" w:hAnsi="仿宋" w:eastAsia="仿宋" w:cs="仿宋"/>
          <w:b/>
          <w:bCs/>
          <w:color w:val="auto"/>
          <w:kern w:val="0"/>
          <w:sz w:val="28"/>
          <w:szCs w:val="28"/>
          <w:highlight w:val="none"/>
        </w:rPr>
        <w:t>交接</w:t>
      </w:r>
      <w:r>
        <w:rPr>
          <w:rFonts w:hint="eastAsia" w:ascii="仿宋" w:hAnsi="仿宋" w:eastAsia="仿宋" w:cs="仿宋"/>
          <w:b/>
          <w:bCs/>
          <w:color w:val="auto"/>
          <w:kern w:val="0"/>
          <w:sz w:val="28"/>
          <w:szCs w:val="28"/>
          <w:highlight w:val="none"/>
        </w:rPr>
        <w:t>清单</w:t>
      </w:r>
    </w:p>
    <w:p w14:paraId="18443BDF">
      <w:pPr>
        <w:ind w:left="-197"/>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以双方共同签署的设施设备交接资料为合同附件</w:t>
      </w:r>
    </w:p>
    <w:p w14:paraId="71A2F30A">
      <w:pPr>
        <w:widowControl/>
        <w:jc w:val="left"/>
        <w:outlineLvl w:val="1"/>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r>
        <w:rPr>
          <w:rFonts w:hint="eastAsia" w:ascii="仿宋" w:hAnsi="仿宋" w:eastAsia="仿宋" w:cs="仿宋"/>
          <w:b/>
          <w:bCs/>
          <w:color w:val="auto"/>
          <w:kern w:val="0"/>
          <w:sz w:val="28"/>
          <w:szCs w:val="28"/>
          <w:highlight w:val="none"/>
        </w:rPr>
        <w:t>附件3：</w:t>
      </w:r>
      <w:r>
        <w:rPr>
          <w:rFonts w:hint="eastAsia" w:ascii="仿宋" w:hAnsi="仿宋" w:eastAsia="仿宋" w:cs="仿宋"/>
          <w:b/>
          <w:bCs/>
          <w:color w:val="auto"/>
          <w:sz w:val="28"/>
          <w:szCs w:val="28"/>
          <w:highlight w:val="none"/>
        </w:rPr>
        <w:t>商户经营管理规定</w:t>
      </w:r>
    </w:p>
    <w:p w14:paraId="23F11F53">
      <w:pPr>
        <w:widowControl/>
        <w:jc w:val="left"/>
        <w:rPr>
          <w:rFonts w:ascii="仿宋" w:hAnsi="仿宋" w:eastAsia="仿宋" w:cs="仿宋"/>
          <w:b/>
          <w:bCs/>
          <w:color w:val="auto"/>
          <w:kern w:val="0"/>
          <w:sz w:val="28"/>
          <w:szCs w:val="28"/>
          <w:highlight w:val="none"/>
        </w:rPr>
      </w:pPr>
    </w:p>
    <w:p w14:paraId="06C1DB97">
      <w:pPr>
        <w:keepNext w:val="0"/>
        <w:keepLines w:val="0"/>
        <w:widowControl w:val="0"/>
        <w:suppressLineNumbers w:val="0"/>
        <w:spacing w:before="0" w:beforeAutospacing="0" w:after="0" w:afterAutospacing="0" w:line="480" w:lineRule="auto"/>
        <w:ind w:left="0" w:right="0" w:firstLine="643" w:firstLineChars="200"/>
        <w:jc w:val="both"/>
        <w:rPr>
          <w:rFonts w:hint="eastAsia" w:ascii="仿宋_GB2312" w:hAnsi="Times New Roman" w:eastAsia="仿宋_GB2312" w:cs="Times New Roman"/>
          <w:b/>
          <w:bCs w:val="0"/>
          <w:kern w:val="2"/>
          <w:sz w:val="32"/>
          <w:szCs w:val="32"/>
        </w:rPr>
      </w:pPr>
      <w:r>
        <w:rPr>
          <w:rFonts w:hint="eastAsia" w:ascii="仿宋_GB2312" w:hAnsi="Times New Roman" w:eastAsia="仿宋_GB2312" w:cs="仿宋_GB2312"/>
          <w:b/>
          <w:bCs w:val="0"/>
          <w:kern w:val="2"/>
          <w:sz w:val="32"/>
          <w:szCs w:val="32"/>
          <w:lang w:val="en-US" w:eastAsia="zh-CN" w:bidi="ar"/>
        </w:rPr>
        <w:t>总则</w:t>
      </w:r>
    </w:p>
    <w:p w14:paraId="4FC2EC7F">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为建立和维护优良经营秩序，树立良好的公众形象和美誉度，提升滁州明湖奥体中心知名度和影响力，保护经营者和消费者的合法权益，特制定企业经营管理规定。</w:t>
      </w:r>
    </w:p>
    <w:p w14:paraId="0AEF3E69">
      <w:pPr>
        <w:keepNext w:val="0"/>
        <w:keepLines w:val="0"/>
        <w:widowControl w:val="0"/>
        <w:suppressLineNumbers w:val="0"/>
        <w:spacing w:before="0" w:beforeAutospacing="0" w:after="0" w:afterAutospacing="0" w:line="480" w:lineRule="auto"/>
        <w:ind w:left="0" w:right="0" w:firstLine="643" w:firstLineChars="200"/>
        <w:jc w:val="both"/>
        <w:rPr>
          <w:rFonts w:hint="eastAsia" w:ascii="仿宋_GB2312" w:hAnsi="Times New Roman" w:eastAsia="仿宋_GB2312" w:cs="Times New Roman"/>
          <w:b/>
          <w:bCs w:val="0"/>
          <w:kern w:val="2"/>
          <w:sz w:val="32"/>
          <w:szCs w:val="32"/>
        </w:rPr>
      </w:pPr>
      <w:r>
        <w:rPr>
          <w:rFonts w:hint="eastAsia" w:ascii="仿宋_GB2312" w:hAnsi="Times New Roman" w:eastAsia="仿宋_GB2312" w:cs="仿宋_GB2312"/>
          <w:b/>
          <w:bCs w:val="0"/>
          <w:kern w:val="2"/>
          <w:sz w:val="32"/>
          <w:szCs w:val="32"/>
          <w:lang w:val="en-US" w:eastAsia="zh-CN" w:bidi="ar"/>
        </w:rPr>
        <w:t>（一）经营行为</w:t>
      </w:r>
    </w:p>
    <w:p w14:paraId="4FB4FD92">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1.经营人员须统一着装，文明经商，礼貌待客；</w:t>
      </w:r>
    </w:p>
    <w:p w14:paraId="6BF05184">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2.严禁乙方经营管理区域内携带宠物及各种动物进入，发现一次处</w:t>
      </w:r>
      <w:r>
        <w:rPr>
          <w:rFonts w:hint="eastAsia" w:ascii="仿宋_GB2312"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00元/次罚款；</w:t>
      </w:r>
    </w:p>
    <w:p w14:paraId="58204B61">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3.乙方须服从甲方管理人员的管理和检查。严禁侮辱、漫骂、殴打、刁难顾客、管理人员、保安人员、保洁员等，若有前述行为的，处1000元/次罚款，且视情节轻重，甲方有权单方解除合同；</w:t>
      </w:r>
    </w:p>
    <w:p w14:paraId="1DCFB21B">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4.乙方不得以闭店、罢市等形式扰乱正常经营秩序。如有发生，甲方有权单方解除合同，没收全部履约保证金；</w:t>
      </w:r>
    </w:p>
    <w:p w14:paraId="334159EF">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5.乙方必须保证租赁物应急疏散通道、消防通道畅通。严禁占道经营，若有发生拒不整改者，处1000元/次罚款，且甲方有权单方解除合同；</w:t>
      </w:r>
    </w:p>
    <w:p w14:paraId="29B903B7">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6.严禁在滁州明湖奥体中心内乱搭乱建。如有违反，需自行拆除，拆除费用及损失由乙方自负，甲方针对乙方乱搭乱建行为给以1000元/次罚款处罚，且甲方有权单方解除合同；</w:t>
      </w:r>
    </w:p>
    <w:p w14:paraId="5BD05C47">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7.乙方需对自身投入运营的设施设备定期保养，保养费用由乙方自理，确保外观完好且能正常使用；对甲方交付使用的设施设备应当爱惜使用并适当保养；</w:t>
      </w:r>
    </w:p>
    <w:p w14:paraId="1176B5FE">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8.乙方须按其上报的营业时间经营，若乙方未按规定时间正常营业，处1000元/次罚款。</w:t>
      </w:r>
    </w:p>
    <w:p w14:paraId="56E9AAE9">
      <w:pPr>
        <w:keepNext w:val="0"/>
        <w:keepLines w:val="0"/>
        <w:widowControl w:val="0"/>
        <w:suppressLineNumbers w:val="0"/>
        <w:spacing w:before="0" w:beforeAutospacing="0" w:after="0" w:afterAutospacing="0" w:line="480" w:lineRule="auto"/>
        <w:ind w:left="0" w:right="0" w:firstLine="643" w:firstLineChars="200"/>
        <w:jc w:val="both"/>
        <w:rPr>
          <w:rFonts w:hint="eastAsia" w:ascii="仿宋_GB2312" w:hAnsi="Times New Roman" w:eastAsia="仿宋_GB2312" w:cs="Times New Roman"/>
          <w:b/>
          <w:bCs w:val="0"/>
          <w:kern w:val="2"/>
          <w:sz w:val="32"/>
          <w:szCs w:val="32"/>
        </w:rPr>
      </w:pPr>
      <w:r>
        <w:rPr>
          <w:rFonts w:hint="eastAsia" w:ascii="仿宋_GB2312" w:hAnsi="Times New Roman" w:eastAsia="仿宋_GB2312" w:cs="仿宋_GB2312"/>
          <w:b/>
          <w:bCs w:val="0"/>
          <w:kern w:val="2"/>
          <w:sz w:val="32"/>
          <w:szCs w:val="32"/>
          <w:lang w:val="en-US" w:eastAsia="zh-CN" w:bidi="ar"/>
        </w:rPr>
        <w:t>（二）商品陈列</w:t>
      </w:r>
    </w:p>
    <w:p w14:paraId="05FF4858">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乙方经营的商品种类须在合同约定的范围之内，不得擅自更改；</w:t>
      </w:r>
    </w:p>
    <w:p w14:paraId="58FC763F">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2</w:t>
      </w:r>
      <w:r>
        <w:rPr>
          <w:rFonts w:hint="eastAsia" w:ascii="仿宋_GB2312"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商品美观、整洁，货物摆放有序；</w:t>
      </w:r>
    </w:p>
    <w:p w14:paraId="2DA77DA9">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3</w:t>
      </w:r>
      <w:r>
        <w:rPr>
          <w:rFonts w:hint="eastAsia" w:ascii="仿宋_GB2312"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乙方应按国家相关质量要求，保证商品质量；</w:t>
      </w:r>
    </w:p>
    <w:p w14:paraId="3BC2D733">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4</w:t>
      </w:r>
      <w:r>
        <w:rPr>
          <w:rFonts w:hint="eastAsia" w:ascii="仿宋_GB2312"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若因商品质量问题造成顾客人身伤害或财产损失，乙方应承担全部经济和法律责任；</w:t>
      </w:r>
    </w:p>
    <w:p w14:paraId="25E2D552">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5</w:t>
      </w:r>
      <w:r>
        <w:rPr>
          <w:rFonts w:hint="eastAsia" w:ascii="仿宋_GB2312"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乙方不得陈列销售伪劣假冒商品，及国家明令禁止销售的管制类商品；</w:t>
      </w:r>
    </w:p>
    <w:p w14:paraId="125BE792">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6</w:t>
      </w:r>
      <w:r>
        <w:rPr>
          <w:rFonts w:hint="eastAsia" w:ascii="仿宋_GB2312"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乙方应保证商品货物供应，按季度调配货，保证商品种类齐全，货量丰富。</w:t>
      </w:r>
    </w:p>
    <w:p w14:paraId="1548B1DB">
      <w:pPr>
        <w:keepNext w:val="0"/>
        <w:keepLines w:val="0"/>
        <w:widowControl w:val="0"/>
        <w:suppressLineNumbers w:val="0"/>
        <w:spacing w:before="0" w:beforeAutospacing="0" w:after="0" w:afterAutospacing="0" w:line="480" w:lineRule="auto"/>
        <w:ind w:left="0" w:right="0" w:firstLine="643" w:firstLineChars="200"/>
        <w:jc w:val="both"/>
        <w:rPr>
          <w:rFonts w:hint="eastAsia" w:ascii="仿宋_GB2312" w:hAnsi="Times New Roman" w:eastAsia="仿宋_GB2312" w:cs="Times New Roman"/>
          <w:b/>
          <w:bCs w:val="0"/>
          <w:kern w:val="2"/>
          <w:sz w:val="32"/>
          <w:szCs w:val="32"/>
        </w:rPr>
      </w:pPr>
      <w:r>
        <w:rPr>
          <w:rFonts w:hint="eastAsia" w:ascii="仿宋_GB2312" w:hAnsi="Times New Roman" w:eastAsia="仿宋_GB2312" w:cs="仿宋_GB2312"/>
          <w:b/>
          <w:bCs w:val="0"/>
          <w:kern w:val="2"/>
          <w:sz w:val="32"/>
          <w:szCs w:val="32"/>
          <w:lang w:val="en-US" w:eastAsia="zh-CN" w:bidi="ar"/>
        </w:rPr>
        <w:t>（三）广告宣传管理</w:t>
      </w:r>
    </w:p>
    <w:p w14:paraId="6E39BD19">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1</w:t>
      </w:r>
      <w:r>
        <w:rPr>
          <w:rFonts w:hint="eastAsia" w:ascii="仿宋_GB2312"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未经甲方许可，乙方不得在自身经营范围外对其他经营企业或顾客发放、放置各种广告宣传品，一经发现，予以没收和清理，并处1000元/次罚款；</w:t>
      </w:r>
    </w:p>
    <w:p w14:paraId="16CCFBBB">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2</w:t>
      </w:r>
      <w:r>
        <w:rPr>
          <w:rFonts w:hint="eastAsia" w:ascii="仿宋_GB2312"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奥体中心内任何地方严禁经营者私自张贴各类广告，如属情况特殊，应事先向甲方提出书面申请，经同意后方可实施；</w:t>
      </w:r>
    </w:p>
    <w:p w14:paraId="6C491B11">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3</w:t>
      </w:r>
      <w:r>
        <w:rPr>
          <w:rFonts w:hint="eastAsia" w:ascii="仿宋_GB2312"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乙方在奥体中心内制作路牌、展板、灯箱广告招牌时，经甲方审核同意后方可制作发布，否则甲方有权拆除；拆除费用由违反规定的乙方承担，并处1000元/次罚款；</w:t>
      </w:r>
    </w:p>
    <w:p w14:paraId="0F1DC3F0">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4</w:t>
      </w:r>
      <w:r>
        <w:rPr>
          <w:rFonts w:hint="eastAsia" w:ascii="仿宋_GB2312"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乙方因自身销售活动有需要使用奥体中心名称、标志时，应提前将相关活动内容送交甲方审核，征得甲方书面同意后方可实施。</w:t>
      </w:r>
    </w:p>
    <w:p w14:paraId="38057A89">
      <w:pPr>
        <w:keepNext w:val="0"/>
        <w:keepLines w:val="0"/>
        <w:widowControl w:val="0"/>
        <w:suppressLineNumbers w:val="0"/>
        <w:spacing w:before="0" w:beforeAutospacing="0" w:after="0" w:afterAutospacing="0" w:line="480" w:lineRule="auto"/>
        <w:ind w:left="0" w:right="0" w:firstLine="643" w:firstLineChars="200"/>
        <w:jc w:val="both"/>
        <w:rPr>
          <w:rFonts w:hint="eastAsia" w:ascii="仿宋_GB2312" w:hAnsi="Times New Roman" w:eastAsia="仿宋_GB2312" w:cs="Times New Roman"/>
          <w:b/>
          <w:bCs w:val="0"/>
          <w:kern w:val="2"/>
          <w:sz w:val="32"/>
          <w:szCs w:val="32"/>
        </w:rPr>
      </w:pPr>
      <w:r>
        <w:rPr>
          <w:rFonts w:hint="eastAsia" w:ascii="仿宋_GB2312" w:hAnsi="Times New Roman" w:eastAsia="仿宋_GB2312" w:cs="仿宋_GB2312"/>
          <w:b/>
          <w:bCs w:val="0"/>
          <w:kern w:val="2"/>
          <w:sz w:val="32"/>
          <w:szCs w:val="32"/>
          <w:lang w:val="en-US" w:eastAsia="zh-CN" w:bidi="ar"/>
        </w:rPr>
        <w:t>（四）卫生及环境管理</w:t>
      </w:r>
    </w:p>
    <w:p w14:paraId="71A3FD7B">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1</w:t>
      </w:r>
      <w:r>
        <w:rPr>
          <w:rFonts w:hint="eastAsia" w:ascii="仿宋_GB2312"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乙方租赁物周边严禁堆放垃圾；违规者甲方将予以制止，并处1000元/天罚款；</w:t>
      </w:r>
    </w:p>
    <w:p w14:paraId="5BD6D322">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2.不得随地吐痰，乱扔杂物，乱倒垃圾，不准在公共区域乱堆乱放杂物；</w:t>
      </w:r>
    </w:p>
    <w:p w14:paraId="71C53513">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3.经营中产生的垃圾应及时存放在甲方指定的存放处。违规者甲方将予以制止，并处1000元/天罚款。</w:t>
      </w:r>
    </w:p>
    <w:p w14:paraId="07416268">
      <w:pPr>
        <w:keepNext w:val="0"/>
        <w:keepLines w:val="0"/>
        <w:widowControl w:val="0"/>
        <w:suppressLineNumbers w:val="0"/>
        <w:spacing w:before="0" w:beforeAutospacing="0" w:after="0" w:afterAutospacing="0" w:line="480" w:lineRule="auto"/>
        <w:ind w:left="0" w:right="0" w:firstLine="643" w:firstLineChars="200"/>
        <w:jc w:val="both"/>
        <w:rPr>
          <w:rFonts w:hint="eastAsia" w:ascii="仿宋_GB2312" w:hAnsi="Times New Roman" w:eastAsia="仿宋_GB2312" w:cs="Times New Roman"/>
          <w:b/>
          <w:bCs w:val="0"/>
          <w:kern w:val="2"/>
          <w:sz w:val="32"/>
          <w:szCs w:val="32"/>
        </w:rPr>
      </w:pPr>
      <w:r>
        <w:rPr>
          <w:rFonts w:hint="eastAsia" w:ascii="仿宋_GB2312" w:hAnsi="Times New Roman" w:eastAsia="仿宋_GB2312" w:cs="仿宋_GB2312"/>
          <w:b/>
          <w:bCs w:val="0"/>
          <w:kern w:val="2"/>
          <w:sz w:val="32"/>
          <w:szCs w:val="32"/>
          <w:lang w:val="en-US" w:eastAsia="zh-CN" w:bidi="ar"/>
        </w:rPr>
        <w:t>（五）售后服务管理</w:t>
      </w:r>
    </w:p>
    <w:p w14:paraId="05B5D00B">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1.乙方在交易过程中应主动向顾客提供销售凭证，如产生纠纷，由乙方全权负责；</w:t>
      </w:r>
    </w:p>
    <w:p w14:paraId="760A489C">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2.乙方如与顾客一个季度内发生纠纷的次数超过3次以上（经查实属乙方责任），甲方将视为其无经营能力，并视情节限期停业整顿，逾期仍未整改的甲方有权单方解除合同。</w:t>
      </w:r>
    </w:p>
    <w:p w14:paraId="15D606FB">
      <w:pPr>
        <w:keepNext w:val="0"/>
        <w:keepLines w:val="0"/>
        <w:widowControl w:val="0"/>
        <w:suppressLineNumbers w:val="0"/>
        <w:spacing w:before="0" w:beforeAutospacing="0" w:after="0" w:afterAutospacing="0" w:line="480" w:lineRule="auto"/>
        <w:ind w:left="0" w:right="0" w:firstLine="643" w:firstLineChars="200"/>
        <w:jc w:val="both"/>
        <w:rPr>
          <w:rFonts w:hint="eastAsia" w:ascii="仿宋_GB2312" w:hAnsi="Times New Roman" w:eastAsia="仿宋_GB2312" w:cs="Times New Roman"/>
          <w:b/>
          <w:bCs w:val="0"/>
          <w:kern w:val="2"/>
          <w:sz w:val="32"/>
          <w:szCs w:val="32"/>
        </w:rPr>
      </w:pPr>
      <w:r>
        <w:rPr>
          <w:rFonts w:hint="eastAsia" w:ascii="仿宋_GB2312" w:hAnsi="Times New Roman" w:eastAsia="仿宋_GB2312" w:cs="仿宋_GB2312"/>
          <w:b/>
          <w:bCs w:val="0"/>
          <w:kern w:val="2"/>
          <w:sz w:val="32"/>
          <w:szCs w:val="32"/>
          <w:lang w:val="en-US" w:eastAsia="zh-CN" w:bidi="ar"/>
        </w:rPr>
        <w:t>（六）设备设施（消防、供水供电等）安全使用管理</w:t>
      </w:r>
    </w:p>
    <w:p w14:paraId="3AFFCD27">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1.乙方应遵守奥体中心有关消防及设备的规章制度，不得违背；</w:t>
      </w:r>
    </w:p>
    <w:p w14:paraId="03A57CB6">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2.乙方应爱护消防器材，不准埋压和圈占消防栓，不准占用消防间距，不准堵塞防火通道，如有违反，甲方将对其批评教育，屡教不改者予以1000元/次罚款处罚；</w:t>
      </w:r>
    </w:p>
    <w:p w14:paraId="2A75531B">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3.乙方严禁擅自装修场地和私拉电线，自觉维护消防报警按钮、警铃、喷淋及照明线路等，如有违反，甲方将限期整改，情节严重或逾期不改者，处1000元/次罚款；</w:t>
      </w:r>
    </w:p>
    <w:p w14:paraId="150C5A08">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4.乙方须参加甲方举办的各种安全学习、培训等活动，不断增强安全、消防意识；</w:t>
      </w:r>
    </w:p>
    <w:p w14:paraId="3EB7E2D1">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5.乙方因违反规定造成火灾事故的，除包赔因火灾给甲方及第三方所造成的一切经济损失外，情节严重者甲方有权单方解除合同，并追究其法律责任。</w:t>
      </w:r>
    </w:p>
    <w:p w14:paraId="7D603115">
      <w:pPr>
        <w:keepNext w:val="0"/>
        <w:keepLines w:val="0"/>
        <w:widowControl w:val="0"/>
        <w:suppressLineNumbers w:val="0"/>
        <w:spacing w:before="0" w:beforeAutospacing="0" w:after="0" w:afterAutospacing="0" w:line="480" w:lineRule="auto"/>
        <w:ind w:left="0" w:right="0" w:firstLine="643" w:firstLineChars="200"/>
        <w:jc w:val="both"/>
        <w:rPr>
          <w:rFonts w:hint="eastAsia" w:ascii="仿宋_GB2312" w:hAnsi="Times New Roman" w:eastAsia="仿宋_GB2312" w:cs="Times New Roman"/>
          <w:b/>
          <w:bCs w:val="0"/>
          <w:kern w:val="2"/>
          <w:sz w:val="32"/>
          <w:szCs w:val="32"/>
        </w:rPr>
      </w:pPr>
      <w:r>
        <w:rPr>
          <w:rFonts w:hint="eastAsia" w:ascii="仿宋_GB2312" w:hAnsi="Times New Roman" w:eastAsia="仿宋_GB2312" w:cs="仿宋_GB2312"/>
          <w:b/>
          <w:bCs w:val="0"/>
          <w:kern w:val="2"/>
          <w:sz w:val="32"/>
          <w:szCs w:val="32"/>
          <w:lang w:val="en-US" w:eastAsia="zh-CN" w:bidi="ar"/>
        </w:rPr>
        <w:t>（七）安全管理</w:t>
      </w:r>
    </w:p>
    <w:p w14:paraId="7F9B68BB">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1.乙方应全力配合、支持、服从奥体中心管理人员的工作，不得借故滋事生非，如有违反，甲方将视情节给予警告，情节严重甲方有权单方解除合同；</w:t>
      </w:r>
    </w:p>
    <w:p w14:paraId="35664873">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2.乙方在合同期内，应加强安保意识，维护自身财产，发现有偷盗、抢夺或其他违法行为时，应及时处理或报警。</w:t>
      </w:r>
    </w:p>
    <w:p w14:paraId="1F08D6BB">
      <w:pPr>
        <w:keepNext w:val="0"/>
        <w:keepLines w:val="0"/>
        <w:widowControl w:val="0"/>
        <w:suppressLineNumbers w:val="0"/>
        <w:spacing w:before="0" w:beforeAutospacing="0" w:after="0" w:afterAutospacing="0" w:line="480" w:lineRule="auto"/>
        <w:ind w:left="0" w:right="0" w:firstLine="643" w:firstLineChars="200"/>
        <w:jc w:val="both"/>
        <w:rPr>
          <w:rFonts w:hint="eastAsia" w:ascii="仿宋_GB2312" w:hAnsi="Times New Roman" w:eastAsia="仿宋_GB2312" w:cs="Times New Roman"/>
          <w:b/>
          <w:bCs w:val="0"/>
          <w:kern w:val="2"/>
          <w:sz w:val="32"/>
          <w:szCs w:val="32"/>
        </w:rPr>
      </w:pPr>
      <w:r>
        <w:rPr>
          <w:rFonts w:hint="eastAsia" w:ascii="仿宋_GB2312" w:hAnsi="Times New Roman" w:eastAsia="仿宋_GB2312" w:cs="仿宋_GB2312"/>
          <w:b/>
          <w:bCs w:val="0"/>
          <w:kern w:val="2"/>
          <w:sz w:val="32"/>
          <w:szCs w:val="32"/>
          <w:lang w:val="en-US" w:eastAsia="zh-CN" w:bidi="ar"/>
        </w:rPr>
        <w:t>（八）场地转用转让管理</w:t>
      </w:r>
    </w:p>
    <w:p w14:paraId="73FEE322">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1.未经甲方书面同意，乙方不得在合同期内对该租赁房屋进行或试图进行销售、转让、转租或变相转让、转租、转借他人或调换使用、或交与第三方承包经营、合作经营或联合经营、分租、抵押、抵债、担保、入股或擅自中途退租、撤离、终止营业；</w:t>
      </w:r>
    </w:p>
    <w:p w14:paraId="18D52376">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2.甲方书面同意转租的，租赁物的受让方需重新与甲方签订本合同及所有附件内容，同时应按标准向奥体中心缴纳履约保证金及其它转让者应缴纳费用；未经甲方书面同意转让且转让场地的承接者（或实际承接使用者）未与甲方重新签订合同及附件的，转让方与受让方（或实际承接使用者）之间所有行为及协议无效且甲方不认可，一切责任由转让方及受让方（或实际承接使用者）自行共同承担，一切纠纷与甲方无关，甲方不承担任何责任。</w:t>
      </w:r>
    </w:p>
    <w:p w14:paraId="6F0E6DCD">
      <w:pPr>
        <w:keepNext w:val="0"/>
        <w:keepLines w:val="0"/>
        <w:widowControl w:val="0"/>
        <w:suppressLineNumbers w:val="0"/>
        <w:spacing w:before="0" w:beforeAutospacing="0" w:after="0" w:afterAutospacing="0" w:line="480" w:lineRule="auto"/>
        <w:ind w:left="0" w:right="0" w:firstLine="643" w:firstLineChars="200"/>
        <w:jc w:val="both"/>
        <w:rPr>
          <w:rFonts w:hint="eastAsia" w:ascii="仿宋_GB2312" w:hAnsi="Times New Roman" w:eastAsia="仿宋_GB2312" w:cs="Times New Roman"/>
          <w:b/>
          <w:bCs w:val="0"/>
          <w:kern w:val="2"/>
          <w:sz w:val="32"/>
          <w:szCs w:val="32"/>
        </w:rPr>
      </w:pPr>
      <w:r>
        <w:rPr>
          <w:rFonts w:hint="eastAsia" w:ascii="仿宋_GB2312" w:hAnsi="Times New Roman" w:eastAsia="仿宋_GB2312" w:cs="仿宋_GB2312"/>
          <w:b/>
          <w:bCs w:val="0"/>
          <w:kern w:val="2"/>
          <w:sz w:val="32"/>
          <w:szCs w:val="32"/>
          <w:lang w:val="en-US" w:eastAsia="zh-CN" w:bidi="ar"/>
        </w:rPr>
        <w:t>（九）附则</w:t>
      </w:r>
    </w:p>
    <w:p w14:paraId="6BE15ED6">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1.本规定内容如有补充或修改，甲方将通过单册印制、集中培训宣讲等方式将《企业经营管理规定》告知经营企业，自收到或告知之日起视为经营企业已知晓所有管理规定；</w:t>
      </w:r>
    </w:p>
    <w:p w14:paraId="17CC7FBF">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2.甲方将以本规定内容为基础为乙方提供服务和管理，乙方的日常经营行为以本规定为基本依据。</w:t>
      </w:r>
    </w:p>
    <w:p w14:paraId="294396C5">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kern w:val="2"/>
          <w:sz w:val="24"/>
          <w:szCs w:val="24"/>
        </w:rPr>
      </w:pPr>
    </w:p>
    <w:p w14:paraId="15A99FE2">
      <w:pPr>
        <w:widowControl/>
        <w:ind w:firstLine="560" w:firstLineChars="200"/>
        <w:rPr>
          <w:rFonts w:ascii="仿宋" w:hAnsi="仿宋" w:eastAsia="仿宋" w:cs="仿宋"/>
          <w:color w:val="auto"/>
          <w:sz w:val="28"/>
          <w:szCs w:val="28"/>
          <w:highlight w:val="none"/>
        </w:rPr>
      </w:pPr>
    </w:p>
    <w:p w14:paraId="3E3DAA13">
      <w:pP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p>
    <w:p w14:paraId="7E747D6E">
      <w:pPr>
        <w:widowControl/>
        <w:jc w:val="left"/>
        <w:outlineLvl w:val="1"/>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附件4：</w:t>
      </w:r>
      <w:r>
        <w:rPr>
          <w:rFonts w:hint="eastAsia" w:ascii="仿宋" w:hAnsi="仿宋" w:eastAsia="仿宋" w:cs="仿宋"/>
          <w:b/>
          <w:bCs/>
          <w:color w:val="auto"/>
          <w:sz w:val="28"/>
          <w:szCs w:val="28"/>
          <w:highlight w:val="none"/>
        </w:rPr>
        <w:t>消防、治安、安全生产责任书</w:t>
      </w:r>
    </w:p>
    <w:p w14:paraId="558048D7">
      <w:pPr>
        <w:ind w:left="-197"/>
        <w:jc w:val="center"/>
        <w:rPr>
          <w:rFonts w:ascii="黑体" w:eastAsia="黑体"/>
          <w:color w:val="auto"/>
          <w:sz w:val="24"/>
          <w:highlight w:val="none"/>
        </w:rPr>
      </w:pPr>
    </w:p>
    <w:p w14:paraId="2A71F47A">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根据《中华人民共和国消防法》、《中华人民共和国治安处罚法》及《中华人民共和国安全生产法》等相关法律法规精神，为认真落实贯彻“安全第一、预防为主、综合治理”方针。本着“谁租赁、谁使用、谁负责”的原则，经甲乙双方协商一致。就消防、治安、安全生产管理责任签订以下责任书：</w:t>
      </w:r>
    </w:p>
    <w:p w14:paraId="228F1C2B">
      <w:pPr>
        <w:keepNext w:val="0"/>
        <w:keepLines w:val="0"/>
        <w:widowControl w:val="0"/>
        <w:suppressLineNumbers w:val="0"/>
        <w:spacing w:before="0" w:beforeAutospacing="0" w:after="0" w:afterAutospacing="0" w:line="480" w:lineRule="auto"/>
        <w:ind w:left="0" w:right="0" w:firstLine="643" w:firstLineChars="200"/>
        <w:jc w:val="both"/>
        <w:rPr>
          <w:rFonts w:hint="eastAsia" w:ascii="仿宋_GB2312" w:hAnsi="Times New Roman" w:eastAsia="仿宋_GB2312" w:cs="Times New Roman"/>
          <w:b/>
          <w:bCs w:val="0"/>
          <w:kern w:val="2"/>
          <w:sz w:val="32"/>
          <w:szCs w:val="32"/>
        </w:rPr>
      </w:pPr>
      <w:r>
        <w:rPr>
          <w:rFonts w:hint="eastAsia" w:ascii="仿宋_GB2312" w:hAnsi="Times New Roman" w:eastAsia="仿宋_GB2312" w:cs="仿宋_GB2312"/>
          <w:b/>
          <w:bCs w:val="0"/>
          <w:kern w:val="2"/>
          <w:sz w:val="32"/>
          <w:szCs w:val="32"/>
          <w:lang w:val="en-US" w:eastAsia="zh-CN" w:bidi="ar"/>
        </w:rPr>
        <w:t>（一）甲方的消防、治安及安全生产责任</w:t>
      </w:r>
    </w:p>
    <w:p w14:paraId="06262452">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1.负责向乙方传达、宣传有关消防、治安及安全生产方面的法律法规等相关知识；</w:t>
      </w:r>
    </w:p>
    <w:p w14:paraId="25D933D7">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2.负责奥体中心公共区域消防、治安安全的巡查、巡视和安全控制工作；</w:t>
      </w:r>
    </w:p>
    <w:p w14:paraId="3093B712">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3.为确保奥体中心和乙方财产及人身安全，甲方在必要时，经乙方同意可对乙方承租区域进行消防、治安及安全生产检查。在遇紧急情况（如火灾、漏水、漏气等）乙方不在场或不能及时赶到，甲方有权破门进入乙方承租区域进行确认及灭火等抢险工作，且不承担应急处置所造成的损坏；</w:t>
      </w:r>
    </w:p>
    <w:p w14:paraId="547C9733">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4.负责配合行政执法机关对案件和事故进行调查取证；</w:t>
      </w:r>
    </w:p>
    <w:p w14:paraId="3371BB81">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5.根据法律、法规及奥体中心相关管理规定，甲方将定期或不定期履行安全检查职责。如发现乙方承租区域内存在安全隐患，会及时告知并督促整改，使治安、消防安全符合规范要求；</w:t>
      </w:r>
    </w:p>
    <w:p w14:paraId="22368B6B">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6.负责定期对公共消防、治安设施、设备、器材进行检查保养，使其始终处于完好状态，发现问题及时处理；</w:t>
      </w:r>
    </w:p>
    <w:p w14:paraId="02E73427">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7.积极协助乙方落实消防、治安、安全生产措施，做好安全服务工作。</w:t>
      </w:r>
    </w:p>
    <w:p w14:paraId="05BB22A6">
      <w:pPr>
        <w:keepNext w:val="0"/>
        <w:keepLines w:val="0"/>
        <w:widowControl w:val="0"/>
        <w:suppressLineNumbers w:val="0"/>
        <w:spacing w:before="0" w:beforeAutospacing="0" w:after="0" w:afterAutospacing="0" w:line="480" w:lineRule="auto"/>
        <w:ind w:left="0" w:right="0" w:firstLine="643" w:firstLineChars="200"/>
        <w:jc w:val="both"/>
        <w:rPr>
          <w:rFonts w:hint="eastAsia" w:ascii="仿宋_GB2312" w:hAnsi="Times New Roman" w:eastAsia="仿宋_GB2312" w:cs="Times New Roman"/>
          <w:b/>
          <w:bCs w:val="0"/>
          <w:kern w:val="2"/>
          <w:sz w:val="32"/>
          <w:szCs w:val="32"/>
        </w:rPr>
      </w:pPr>
      <w:r>
        <w:rPr>
          <w:rFonts w:hint="eastAsia" w:ascii="仿宋_GB2312" w:hAnsi="Times New Roman" w:eastAsia="仿宋_GB2312" w:cs="仿宋_GB2312"/>
          <w:b/>
          <w:bCs w:val="0"/>
          <w:kern w:val="2"/>
          <w:sz w:val="32"/>
          <w:szCs w:val="32"/>
          <w:lang w:val="en-US" w:eastAsia="zh-CN" w:bidi="ar"/>
        </w:rPr>
        <w:t>（二）乙方的消防、治安及安全生产责任</w:t>
      </w:r>
    </w:p>
    <w:p w14:paraId="3B03C19A">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1.乙方为租赁物场地消防、治安及安全生产第一责任人。对场所内一切消防、治安及安全生产负全权责任。为此，乙方应设立专职或兼职消防、治安和安全生产管理责任人，协助履行本责任书并支持配合甲方做好安全保卫工作。如未设定，则由承租人承担其工作职能；</w:t>
      </w:r>
    </w:p>
    <w:p w14:paraId="4AD52FA4">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2.乙方负责自有人员管理，并教育自有人员自觉遵守国家消防、治安、安全生产法律法规、技术规范和市场相应消防、治安、安全生产规定。否则，出现一切事故均由乙方承担经济责任；</w:t>
      </w:r>
    </w:p>
    <w:p w14:paraId="2D090BA4">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.组织制定内部电源、火源、易燃易爆、防盗、安全保护等安全管理措施，并督促自觉执行；</w:t>
      </w:r>
    </w:p>
    <w:p w14:paraId="067B105B">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4</w:t>
      </w:r>
      <w:r>
        <w:rPr>
          <w:rFonts w:hint="eastAsia" w:ascii="仿宋_GB2312" w:hAnsi="Times New Roman" w:eastAsia="仿宋_GB2312" w:cs="仿宋_GB2312"/>
          <w:kern w:val="2"/>
          <w:sz w:val="32"/>
          <w:szCs w:val="32"/>
          <w:lang w:val="en-US" w:eastAsia="zh-CN" w:bidi="ar"/>
        </w:rPr>
        <w:t>.组织开展内部防火、防盗、防破坏、防灾害检查，及时消除安全隐患；</w:t>
      </w:r>
    </w:p>
    <w:p w14:paraId="1D0A2C93">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.在租赁物场地配备和安装必需的灭火器材、防盗装备，并经常检查保证完好。教育员工自觉维护公共消防设施设备，不遮挡、圈占、挪用。发现破坏或损坏要及时向告知甲方；</w:t>
      </w:r>
    </w:p>
    <w:p w14:paraId="725F7429">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6</w:t>
      </w:r>
      <w:r>
        <w:rPr>
          <w:rFonts w:hint="eastAsia" w:ascii="仿宋_GB2312" w:hAnsi="Times New Roman" w:eastAsia="仿宋_GB2312" w:cs="仿宋_GB2312"/>
          <w:kern w:val="2"/>
          <w:sz w:val="32"/>
          <w:szCs w:val="32"/>
          <w:lang w:val="en-US" w:eastAsia="zh-CN" w:bidi="ar"/>
        </w:rPr>
        <w:t>.乙方需保障安全经营，不得使用、存放易燃易爆物品，特殊情况需取得甲方书面同意。不设置宿舍住人，不使用碘钨灯和超过60瓦的白炽灯等高热工具；</w:t>
      </w:r>
    </w:p>
    <w:p w14:paraId="4856AB83">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7</w:t>
      </w:r>
      <w:r>
        <w:rPr>
          <w:rFonts w:hint="eastAsia" w:ascii="仿宋_GB2312" w:hAnsi="Times New Roman" w:eastAsia="仿宋_GB2312" w:cs="仿宋_GB2312"/>
          <w:kern w:val="2"/>
          <w:sz w:val="32"/>
          <w:szCs w:val="32"/>
          <w:lang w:val="en-US" w:eastAsia="zh-CN" w:bidi="ar"/>
        </w:rPr>
        <w:t>.不在仓库和经营场所乱扔烟蒂，不在禁烟区域吸烟；</w:t>
      </w:r>
    </w:p>
    <w:p w14:paraId="7919A978">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8</w:t>
      </w:r>
      <w:r>
        <w:rPr>
          <w:rFonts w:hint="eastAsia" w:ascii="仿宋_GB2312" w:hAnsi="Times New Roman" w:eastAsia="仿宋_GB2312" w:cs="仿宋_GB2312"/>
          <w:kern w:val="2"/>
          <w:sz w:val="32"/>
          <w:szCs w:val="32"/>
          <w:lang w:val="en-US" w:eastAsia="zh-CN" w:bidi="ar"/>
        </w:rPr>
        <w:t>.乙方应保持消防通道畅通，保持应急照明和疏散指示标志完好；</w:t>
      </w:r>
    </w:p>
    <w:p w14:paraId="439F1E08">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9</w:t>
      </w:r>
      <w:r>
        <w:rPr>
          <w:rFonts w:hint="eastAsia" w:ascii="仿宋_GB2312" w:hAnsi="Times New Roman" w:eastAsia="仿宋_GB2312" w:cs="仿宋_GB2312"/>
          <w:kern w:val="2"/>
          <w:sz w:val="32"/>
          <w:szCs w:val="32"/>
          <w:lang w:val="en-US" w:eastAsia="zh-CN" w:bidi="ar"/>
        </w:rPr>
        <w:t>.乙方应按国家财务制度要求，禁止在经营场所存放大量现金、票据及贵重物品。严格遵守取送款制度，并必须配备符合安全防盗要求的保险柜，钥匙应专人保管；</w:t>
      </w:r>
    </w:p>
    <w:p w14:paraId="494D0073">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10</w:t>
      </w:r>
      <w:r>
        <w:rPr>
          <w:rFonts w:hint="eastAsia" w:ascii="仿宋_GB2312" w:hAnsi="Times New Roman" w:eastAsia="仿宋_GB2312" w:cs="仿宋_GB2312"/>
          <w:kern w:val="2"/>
          <w:sz w:val="32"/>
          <w:szCs w:val="32"/>
          <w:lang w:val="en-US" w:eastAsia="zh-CN" w:bidi="ar"/>
        </w:rPr>
        <w:t>.乙方租赁物场地若有改建、扩建、装修等情况应报相关部门审批，竣工后应进行验收，确保乙方场所安全；</w:t>
      </w:r>
    </w:p>
    <w:p w14:paraId="746888BA">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1</w:t>
      </w:r>
      <w:r>
        <w:rPr>
          <w:rFonts w:hint="eastAsia" w:ascii="仿宋_GB2312"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.乙方堆放货物应按安全技术规范执行，不得超高，货架应牢固，荷载应适宜，防止倒塌、坍塌等伤人事故发生；</w:t>
      </w:r>
    </w:p>
    <w:p w14:paraId="3C86698E">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1</w:t>
      </w:r>
      <w:r>
        <w:rPr>
          <w:rFonts w:hint="eastAsia" w:ascii="仿宋_GB2312"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.乙方使用特种设备应持有使用证，作业人员应有上岗证，并按期进行检验合格；</w:t>
      </w:r>
    </w:p>
    <w:p w14:paraId="5580DD5B">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1</w:t>
      </w:r>
      <w:r>
        <w:rPr>
          <w:rFonts w:hint="eastAsia" w:ascii="仿宋_GB2312"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.乙方举行较大赛事活动时，应向甲方报告，便于协助维护现场治安、消防及车辆秩序，防止发生意外。规模达到一定程度应报相关部门批准；</w:t>
      </w:r>
    </w:p>
    <w:p w14:paraId="3645170A">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1</w:t>
      </w:r>
      <w:r>
        <w:rPr>
          <w:rFonts w:hint="eastAsia" w:ascii="仿宋_GB2312" w:hAnsi="Times New Roman" w:eastAsia="仿宋_GB2312" w:cs="Times New Roman"/>
          <w:kern w:val="2"/>
          <w:sz w:val="32"/>
          <w:szCs w:val="32"/>
          <w:lang w:val="en-US" w:eastAsia="zh-CN" w:bidi="ar"/>
        </w:rPr>
        <w:t>4</w:t>
      </w:r>
      <w:r>
        <w:rPr>
          <w:rFonts w:hint="eastAsia" w:ascii="仿宋_GB2312" w:hAnsi="Times New Roman" w:eastAsia="仿宋_GB2312" w:cs="仿宋_GB2312"/>
          <w:kern w:val="2"/>
          <w:sz w:val="32"/>
          <w:szCs w:val="32"/>
          <w:lang w:val="en-US" w:eastAsia="zh-CN" w:bidi="ar"/>
        </w:rPr>
        <w:t>.乙方应积极配合、支持甲方对其使用区域的安全检查。对检查中告知的安全问题，应认真落实整改，否则甲方可以按奥体中心相关规定给予罚款或其他方式处理；</w:t>
      </w:r>
    </w:p>
    <w:p w14:paraId="1861C1FE">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1</w:t>
      </w:r>
      <w:r>
        <w:rPr>
          <w:rFonts w:hint="eastAsia" w:ascii="仿宋_GB2312" w:hAnsi="Times New Roman" w:eastAsia="仿宋_GB2312"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.发生刑事、治安事件，乙方应保护好现场，及时向公安部门报案，甲方将协助公安机关调查。对经营企业未锁门或锁完好无损发生内盗，应由经营企业自身负责；</w:t>
      </w:r>
    </w:p>
    <w:p w14:paraId="2AB0031E">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1</w:t>
      </w:r>
      <w:r>
        <w:rPr>
          <w:rFonts w:hint="eastAsia" w:ascii="仿宋_GB2312" w:hAnsi="Times New Roman" w:eastAsia="仿宋_GB2312" w:cs="Times New Roman"/>
          <w:kern w:val="2"/>
          <w:sz w:val="32"/>
          <w:szCs w:val="32"/>
          <w:lang w:val="en-US" w:eastAsia="zh-CN" w:bidi="ar"/>
        </w:rPr>
        <w:t>6</w:t>
      </w:r>
      <w:r>
        <w:rPr>
          <w:rFonts w:hint="eastAsia" w:ascii="仿宋_GB2312" w:hAnsi="Times New Roman" w:eastAsia="仿宋_GB2312" w:cs="仿宋_GB2312"/>
          <w:kern w:val="2"/>
          <w:sz w:val="32"/>
          <w:szCs w:val="32"/>
          <w:lang w:val="en-US" w:eastAsia="zh-CN" w:bidi="ar"/>
        </w:rPr>
        <w:t>.因乙方违反消防及安全生产管理规定或管理不善引起火灾及安全生产事故，由其承担一切经济责任（包括给甲方和第三方造成的损失）；</w:t>
      </w:r>
    </w:p>
    <w:p w14:paraId="3961F39B">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1</w:t>
      </w:r>
      <w:r>
        <w:rPr>
          <w:rFonts w:hint="eastAsia" w:ascii="仿宋_GB2312" w:hAnsi="Times New Roman" w:eastAsia="仿宋_GB2312" w:cs="Times New Roman"/>
          <w:kern w:val="2"/>
          <w:sz w:val="32"/>
          <w:szCs w:val="32"/>
          <w:lang w:val="en-US" w:eastAsia="zh-CN" w:bidi="ar"/>
        </w:rPr>
        <w:t>7</w:t>
      </w:r>
      <w:r>
        <w:rPr>
          <w:rFonts w:hint="eastAsia" w:ascii="仿宋_GB2312" w:hAnsi="Times New Roman" w:eastAsia="仿宋_GB2312" w:cs="仿宋_GB2312"/>
          <w:kern w:val="2"/>
          <w:sz w:val="32"/>
          <w:szCs w:val="32"/>
          <w:lang w:val="en-US" w:eastAsia="zh-CN" w:bidi="ar"/>
        </w:rPr>
        <w:t>.提高风险意识，做好风险转移，主动参加各类保险；</w:t>
      </w:r>
    </w:p>
    <w:p w14:paraId="658D3897">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1</w:t>
      </w:r>
      <w:r>
        <w:rPr>
          <w:rFonts w:hint="eastAsia" w:ascii="仿宋_GB2312" w:hAnsi="Times New Roman" w:eastAsia="仿宋_GB2312" w:cs="Times New Roman"/>
          <w:kern w:val="2"/>
          <w:sz w:val="32"/>
          <w:szCs w:val="32"/>
          <w:lang w:val="en-US" w:eastAsia="zh-CN" w:bidi="ar"/>
        </w:rPr>
        <w:t>8</w:t>
      </w:r>
      <w:r>
        <w:rPr>
          <w:rFonts w:hint="eastAsia" w:ascii="仿宋_GB2312" w:hAnsi="Times New Roman" w:eastAsia="仿宋_GB2312" w:cs="仿宋_GB2312"/>
          <w:kern w:val="2"/>
          <w:sz w:val="32"/>
          <w:szCs w:val="32"/>
          <w:lang w:val="en-US" w:eastAsia="zh-CN" w:bidi="ar"/>
        </w:rPr>
        <w:t>.未尽事宜以国家法律法规为准，双方合同终止后，责任自行解除。消防、治安、安全生产责任书所列条款，乙方愿意全部接受并承担；</w:t>
      </w:r>
    </w:p>
    <w:p w14:paraId="4366B5DA">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19.发生以下情形的，乙方应当按照以下标准向甲方支付违约金并赔偿甲方或受害方损失，承担相应的行政处罚罚金，同时甲方有权对乙方采取限期闭店整改、单方解除合同等措施：</w:t>
      </w:r>
    </w:p>
    <w:p w14:paraId="724AFF54">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1）造成财产损失5万（不含本数）以下的，支付违约金10万元整；</w:t>
      </w:r>
    </w:p>
    <w:p w14:paraId="0C87672C">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2）造成财产损失5万以上（含本数），不足30万的，支付违约金20万整；</w:t>
      </w:r>
    </w:p>
    <w:p w14:paraId="168E9EC4">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3）造成财产损失30万以上的（含本数），支付违约金30万整；</w:t>
      </w:r>
    </w:p>
    <w:p w14:paraId="5A6DBAD1">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4）造成人身伤害的，支付违约金50万整；</w:t>
      </w:r>
    </w:p>
    <w:p w14:paraId="07D4DBB7">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5）造成人身伤亡的，支付违约金100万整。</w:t>
      </w:r>
    </w:p>
    <w:p w14:paraId="2B8ABE36">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仿宋"/>
          <w:kern w:val="2"/>
          <w:sz w:val="28"/>
          <w:szCs w:val="28"/>
        </w:rPr>
      </w:pPr>
    </w:p>
    <w:p w14:paraId="41B44BA6">
      <w:pPr>
        <w:widowControl/>
        <w:ind w:firstLine="560" w:firstLineChars="200"/>
        <w:rPr>
          <w:rFonts w:ascii="仿宋" w:hAnsi="仿宋" w:eastAsia="仿宋" w:cs="仿宋"/>
          <w:color w:val="auto"/>
          <w:sz w:val="28"/>
          <w:szCs w:val="28"/>
          <w:highlight w:val="none"/>
        </w:rPr>
      </w:pPr>
    </w:p>
    <w:p w14:paraId="340B4076">
      <w:pP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p>
    <w:p w14:paraId="044EEBB2">
      <w:pPr>
        <w:widowControl/>
        <w:jc w:val="left"/>
        <w:outlineLvl w:val="1"/>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附件5：</w:t>
      </w:r>
      <w:r>
        <w:rPr>
          <w:rFonts w:hint="eastAsia" w:ascii="仿宋" w:hAnsi="仿宋" w:eastAsia="仿宋" w:cs="仿宋"/>
          <w:b/>
          <w:color w:val="auto"/>
          <w:sz w:val="28"/>
          <w:szCs w:val="28"/>
          <w:highlight w:val="none"/>
        </w:rPr>
        <w:t>进场交易商品质量安全保障书</w:t>
      </w:r>
    </w:p>
    <w:p w14:paraId="1739273E">
      <w:pPr>
        <w:ind w:left="-197"/>
        <w:jc w:val="center"/>
        <w:rPr>
          <w:rFonts w:ascii="仿宋" w:hAnsi="仿宋" w:eastAsia="仿宋" w:cs="仿宋"/>
          <w:b/>
          <w:color w:val="auto"/>
          <w:sz w:val="32"/>
          <w:szCs w:val="32"/>
          <w:highlight w:val="none"/>
        </w:rPr>
      </w:pPr>
    </w:p>
    <w:p w14:paraId="4B530CC1">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为保证进入滁州奥体中心交易产品质量安全，根据相关法律法规，甲、乙双方经友好协商一致，达成如下协议：</w:t>
      </w:r>
    </w:p>
    <w:p w14:paraId="1A9A8F1C">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第一条：甲方有权利依照国家和地方政府颁布的法律法规和规章制度对乙方的经营活动进行管理类</w:t>
      </w:r>
    </w:p>
    <w:p w14:paraId="5BCED742">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第二条：甲方有权对乙方销售的产品取样检测，乙方应当予以配合，抽检合格方可进入商户交易。</w:t>
      </w:r>
    </w:p>
    <w:p w14:paraId="0501155B">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第三条：乙方有义务对被出不合格商品进行追根溯源，及时与供应商通报检测结果，并立即停止销售。</w:t>
      </w:r>
    </w:p>
    <w:p w14:paraId="1F0E51EB">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第四条：乙方一个月内若连续两次被检查出不合格的商品，甲方有权取消乙方在甲方滁州奥体中心内经营资格，由此给甲、乙双方造成的损失由乙方承担，同时甲方将配合执法部门对乙方依法惩处。</w:t>
      </w:r>
    </w:p>
    <w:p w14:paraId="14EE2806">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第五条：甲方对乙方的罚款从保证金中扣除，不足部分由乙方另行支付。</w:t>
      </w:r>
    </w:p>
    <w:p w14:paraId="4CC79DC0">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第六条：乙方有下列情形之一的，甲方有权取消乙方在滁州奥体中心内的经营资格，并予以退场处理。</w:t>
      </w:r>
    </w:p>
    <w:p w14:paraId="0BDB3762">
      <w:pPr>
        <w:pStyle w:val="8"/>
        <w:numPr>
          <w:ilvl w:val="0"/>
          <w:numId w:val="3"/>
        </w:numPr>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乙方拒绝检测的。</w:t>
      </w:r>
    </w:p>
    <w:p w14:paraId="4E48CA25">
      <w:pPr>
        <w:pStyle w:val="8"/>
        <w:numPr>
          <w:ilvl w:val="0"/>
          <w:numId w:val="3"/>
        </w:numPr>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由于乙方商品不合格被执法部门查处，给甲方造成恶劣影响的。</w:t>
      </w:r>
    </w:p>
    <w:p w14:paraId="5E163925">
      <w:pPr>
        <w:pStyle w:val="8"/>
        <w:numPr>
          <w:ilvl w:val="0"/>
          <w:numId w:val="3"/>
        </w:numPr>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由于乙方商品不合格，导致发生安全事故。</w:t>
      </w:r>
    </w:p>
    <w:p w14:paraId="58F2B1D5">
      <w:pPr>
        <w:pStyle w:val="8"/>
        <w:numPr>
          <w:ilvl w:val="0"/>
          <w:numId w:val="3"/>
        </w:numPr>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不配合甲方对不合格商品处置（如清退、销毁等）。</w:t>
      </w:r>
    </w:p>
    <w:p w14:paraId="1F88D22E">
      <w:pPr>
        <w:pStyle w:val="8"/>
        <w:numPr>
          <w:ilvl w:val="0"/>
          <w:numId w:val="3"/>
        </w:numPr>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因商品质量不合格给甲方带来经济损失的。</w:t>
      </w:r>
    </w:p>
    <w:p w14:paraId="5C0CAE71">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第七条：甲方有权将乙方经营信息记录档案并对外公布，乙方有权向甲方索取被记录的信息。</w:t>
      </w:r>
    </w:p>
    <w:p w14:paraId="1D2BD3CD">
      <w:pPr>
        <w:widowControl/>
        <w:jc w:val="left"/>
        <w:rPr>
          <w:rFonts w:ascii="仿宋" w:hAnsi="仿宋" w:eastAsia="仿宋" w:cs="仿宋"/>
          <w:b/>
          <w:bCs/>
          <w:color w:val="auto"/>
          <w:kern w:val="0"/>
          <w:sz w:val="28"/>
          <w:szCs w:val="28"/>
          <w:highlight w:val="none"/>
        </w:rPr>
      </w:pPr>
      <w:r>
        <w:rPr>
          <w:rFonts w:ascii="仿宋" w:hAnsi="仿宋" w:eastAsia="仿宋" w:cs="仿宋"/>
          <w:b/>
          <w:bCs/>
          <w:color w:val="auto"/>
          <w:kern w:val="0"/>
          <w:sz w:val="28"/>
          <w:szCs w:val="28"/>
          <w:highlight w:val="none"/>
        </w:rPr>
        <w:br w:type="page"/>
      </w:r>
    </w:p>
    <w:p w14:paraId="3466144C">
      <w:pPr>
        <w:widowControl/>
        <w:jc w:val="left"/>
        <w:outlineLvl w:val="1"/>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附件6：</w:t>
      </w:r>
      <w:r>
        <w:rPr>
          <w:rFonts w:hint="eastAsia" w:ascii="仿宋" w:hAnsi="仿宋" w:eastAsia="仿宋" w:cs="仿宋"/>
          <w:b/>
          <w:color w:val="auto"/>
          <w:sz w:val="28"/>
          <w:szCs w:val="28"/>
          <w:highlight w:val="none"/>
        </w:rPr>
        <w:t>安全承诺书</w:t>
      </w:r>
    </w:p>
    <w:p w14:paraId="737F913D">
      <w:pPr>
        <w:ind w:left="-197"/>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w:t>
      </w:r>
      <w:r>
        <w:rPr>
          <w:rFonts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rPr>
        <w:t>）安全承诺书</w:t>
      </w:r>
    </w:p>
    <w:p w14:paraId="0CF574C3">
      <w:pPr>
        <w:pStyle w:val="8"/>
        <w:ind w:firstLine="0" w:firstLineChars="0"/>
        <w:rPr>
          <w:rFonts w:ascii="仿宋" w:hAnsi="仿宋" w:eastAsia="仿宋" w:cs="仿宋"/>
          <w:color w:val="auto"/>
          <w:sz w:val="28"/>
          <w:szCs w:val="28"/>
          <w:highlight w:val="none"/>
        </w:rPr>
      </w:pPr>
    </w:p>
    <w:p w14:paraId="0BFBEDC5">
      <w:pPr>
        <w:widowControl/>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滁州市明湖城市运营管理有限责任公司：</w:t>
      </w:r>
    </w:p>
    <w:p w14:paraId="5BBC0F2B">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严格按照《全民健身条例》等法律法规和上级文件的要求，积极加强员工和客人的安全教育，认真开展日常经营巡查和平安隐患排查，及时发现问题并第一时间整改到位，并严格落实平安和防范客人溺水事故等工作措施，坚决防止重大安全事故发生，全面确保场所安全经营、依法经营、文明经营。</w:t>
      </w:r>
    </w:p>
    <w:p w14:paraId="24258181">
      <w:pPr>
        <w:widowControl/>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如因管理不善导致安全事故发生的，一切后果均由本公司承担。</w:t>
      </w:r>
    </w:p>
    <w:p w14:paraId="3254FE93">
      <w:pPr>
        <w:pStyle w:val="8"/>
        <w:ind w:left="-197" w:firstLine="0" w:firstLineChars="0"/>
        <w:rPr>
          <w:rFonts w:ascii="仿宋" w:hAnsi="仿宋" w:eastAsia="仿宋" w:cs="仿宋"/>
          <w:color w:val="auto"/>
          <w:sz w:val="28"/>
          <w:szCs w:val="28"/>
          <w:highlight w:val="none"/>
        </w:rPr>
      </w:pPr>
    </w:p>
    <w:p w14:paraId="5F74D7AA">
      <w:pPr>
        <w:pStyle w:val="8"/>
        <w:wordWrap w:val="0"/>
        <w:ind w:firstLine="5880" w:firstLineChars="2100"/>
        <w:rPr>
          <w:rFonts w:hint="eastAsia" w:ascii="仿宋" w:hAnsi="仿宋" w:eastAsia="仿宋" w:cs="仿宋"/>
          <w:color w:val="auto"/>
          <w:sz w:val="28"/>
          <w:szCs w:val="28"/>
          <w:highlight w:val="none"/>
        </w:rPr>
      </w:pPr>
    </w:p>
    <w:p w14:paraId="0E6B830E">
      <w:pPr>
        <w:pStyle w:val="8"/>
        <w:wordWrap w:val="0"/>
        <w:ind w:firstLine="5880" w:firstLineChars="2100"/>
        <w:rPr>
          <w:rFonts w:hint="eastAsia" w:ascii="仿宋" w:hAnsi="仿宋" w:eastAsia="仿宋" w:cs="仿宋"/>
          <w:color w:val="auto"/>
          <w:sz w:val="28"/>
          <w:szCs w:val="28"/>
          <w:highlight w:val="none"/>
        </w:rPr>
      </w:pPr>
    </w:p>
    <w:p w14:paraId="3991D09E">
      <w:pPr>
        <w:pStyle w:val="8"/>
        <w:wordWrap w:val="0"/>
        <w:ind w:firstLine="5880" w:firstLineChars="2100"/>
        <w:rPr>
          <w:rFonts w:hint="eastAsia" w:ascii="仿宋" w:hAnsi="仿宋" w:eastAsia="仿宋" w:cs="仿宋"/>
          <w:color w:val="auto"/>
          <w:sz w:val="28"/>
          <w:szCs w:val="28"/>
          <w:highlight w:val="none"/>
        </w:rPr>
      </w:pPr>
    </w:p>
    <w:p w14:paraId="7788091B">
      <w:pPr>
        <w:pStyle w:val="8"/>
        <w:wordWrap w:val="0"/>
        <w:ind w:firstLine="5880" w:firstLineChars="2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签字盖章：</w:t>
      </w:r>
      <w:r>
        <w:rPr>
          <w:rFonts w:ascii="仿宋" w:hAnsi="仿宋" w:eastAsia="仿宋" w:cs="仿宋"/>
          <w:color w:val="auto"/>
          <w:sz w:val="28"/>
          <w:szCs w:val="28"/>
          <w:highlight w:val="none"/>
        </w:rPr>
        <w:t xml:space="preserve">         </w:t>
      </w:r>
    </w:p>
    <w:p w14:paraId="36E9148F">
      <w:pPr>
        <w:pStyle w:val="8"/>
        <w:wordWrap w:val="0"/>
        <w:ind w:firstLine="5880" w:firstLineChars="2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r>
        <w:rPr>
          <w:rFonts w:ascii="仿宋" w:hAnsi="仿宋" w:eastAsia="仿宋" w:cs="仿宋"/>
          <w:color w:val="auto"/>
          <w:sz w:val="28"/>
          <w:szCs w:val="28"/>
          <w:highlight w:val="none"/>
        </w:rPr>
        <w:t xml:space="preserve">      </w:t>
      </w:r>
    </w:p>
    <w:p w14:paraId="3EAF0997">
      <w:pPr>
        <w:pStyle w:val="8"/>
        <w:wordWrap w:val="0"/>
        <w:ind w:left="-197" w:firstLine="0" w:firstLineChars="0"/>
        <w:jc w:val="center"/>
        <w:rPr>
          <w:rFonts w:ascii="仿宋" w:hAnsi="仿宋" w:eastAsia="仿宋" w:cs="仿宋"/>
          <w:color w:val="auto"/>
          <w:sz w:val="28"/>
          <w:szCs w:val="28"/>
          <w:highlight w:val="none"/>
        </w:rPr>
      </w:pPr>
    </w:p>
    <w:p w14:paraId="26442DF0">
      <w:pPr>
        <w:pStyle w:val="8"/>
        <w:wordWrap w:val="0"/>
        <w:ind w:left="-197" w:firstLine="0" w:firstLineChars="0"/>
        <w:jc w:val="center"/>
        <w:rPr>
          <w:rFonts w:ascii="仿宋" w:hAnsi="仿宋" w:eastAsia="仿宋" w:cs="仿宋"/>
          <w:color w:val="auto"/>
          <w:sz w:val="28"/>
          <w:szCs w:val="28"/>
          <w:highlight w:val="none"/>
        </w:rPr>
      </w:pPr>
    </w:p>
    <w:p w14:paraId="2607B49C">
      <w:pPr>
        <w:pStyle w:val="8"/>
        <w:wordWrap w:val="0"/>
        <w:ind w:left="-197" w:firstLine="0" w:firstLineChars="0"/>
        <w:jc w:val="center"/>
        <w:rPr>
          <w:rFonts w:ascii="仿宋" w:hAnsi="仿宋" w:eastAsia="仿宋" w:cs="仿宋"/>
          <w:color w:val="auto"/>
          <w:sz w:val="28"/>
          <w:szCs w:val="28"/>
          <w:highlight w:val="none"/>
        </w:rPr>
      </w:pPr>
    </w:p>
    <w:p w14:paraId="686A4FB7">
      <w:pPr>
        <w:pStyle w:val="8"/>
        <w:wordWrap w:val="0"/>
        <w:ind w:left="-197" w:firstLine="0" w:firstLineChars="0"/>
        <w:jc w:val="center"/>
        <w:rPr>
          <w:rFonts w:ascii="仿宋" w:hAnsi="仿宋" w:eastAsia="仿宋" w:cs="仿宋"/>
          <w:color w:val="auto"/>
          <w:sz w:val="28"/>
          <w:szCs w:val="28"/>
          <w:highlight w:val="none"/>
        </w:rPr>
      </w:pPr>
    </w:p>
    <w:p w14:paraId="2EB98E3F">
      <w:pPr>
        <w:pStyle w:val="8"/>
        <w:wordWrap w:val="0"/>
        <w:ind w:left="-197" w:firstLine="0" w:firstLineChars="0"/>
        <w:jc w:val="center"/>
        <w:rPr>
          <w:rFonts w:ascii="仿宋" w:hAnsi="仿宋" w:eastAsia="仿宋" w:cs="仿宋"/>
          <w:color w:val="auto"/>
          <w:sz w:val="28"/>
          <w:szCs w:val="28"/>
          <w:highlight w:val="none"/>
        </w:rPr>
      </w:pPr>
    </w:p>
    <w:p w14:paraId="06BC4D83">
      <w:pPr>
        <w:pStyle w:val="8"/>
        <w:wordWrap w:val="0"/>
        <w:ind w:left="-197" w:firstLine="0" w:firstLineChars="0"/>
        <w:jc w:val="center"/>
        <w:rPr>
          <w:rFonts w:ascii="仿宋" w:hAnsi="仿宋" w:eastAsia="仿宋" w:cs="仿宋"/>
          <w:color w:val="auto"/>
          <w:sz w:val="28"/>
          <w:szCs w:val="28"/>
          <w:highlight w:val="none"/>
        </w:rPr>
      </w:pPr>
    </w:p>
    <w:p w14:paraId="1282AFEB">
      <w:pPr>
        <w:pStyle w:val="8"/>
        <w:wordWrap w:val="0"/>
        <w:ind w:left="-197" w:firstLine="0" w:firstLineChars="0"/>
        <w:jc w:val="center"/>
        <w:rPr>
          <w:rFonts w:ascii="仿宋" w:hAnsi="仿宋" w:eastAsia="仿宋" w:cs="仿宋"/>
          <w:color w:val="auto"/>
          <w:sz w:val="28"/>
          <w:szCs w:val="28"/>
          <w:highlight w:val="none"/>
        </w:rPr>
      </w:pPr>
    </w:p>
    <w:p w14:paraId="07C212E2">
      <w:pPr>
        <w:pStyle w:val="8"/>
        <w:wordWrap w:val="0"/>
        <w:ind w:left="-197" w:firstLine="0" w:firstLineChars="0"/>
        <w:jc w:val="center"/>
        <w:rPr>
          <w:rFonts w:ascii="仿宋" w:hAnsi="仿宋" w:eastAsia="仿宋" w:cs="仿宋"/>
          <w:color w:val="auto"/>
          <w:sz w:val="28"/>
          <w:szCs w:val="28"/>
          <w:highlight w:val="none"/>
        </w:rPr>
      </w:pPr>
    </w:p>
    <w:p w14:paraId="685D762E">
      <w:pPr>
        <w:pStyle w:val="8"/>
        <w:wordWrap w:val="0"/>
        <w:ind w:left="0" w:leftChars="0" w:firstLine="0" w:firstLineChars="0"/>
        <w:jc w:val="both"/>
        <w:rPr>
          <w:rFonts w:ascii="仿宋" w:hAnsi="仿宋" w:eastAsia="仿宋" w:cs="仿宋"/>
          <w:color w:val="auto"/>
          <w:sz w:val="28"/>
          <w:szCs w:val="28"/>
          <w:highlight w:val="none"/>
        </w:rPr>
      </w:pPr>
    </w:p>
    <w:p w14:paraId="01023C10">
      <w:pPr>
        <w:widowControl/>
        <w:jc w:val="left"/>
        <w:outlineLvl w:val="1"/>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rPr>
        <w:t>附件</w:t>
      </w:r>
      <w:r>
        <w:rPr>
          <w:rFonts w:hint="eastAsia" w:ascii="仿宋" w:hAnsi="仿宋" w:eastAsia="仿宋" w:cs="仿宋"/>
          <w:b/>
          <w:bCs/>
          <w:color w:val="auto"/>
          <w:kern w:val="0"/>
          <w:sz w:val="28"/>
          <w:szCs w:val="28"/>
          <w:highlight w:val="none"/>
          <w:lang w:val="en-US" w:eastAsia="zh-CN"/>
        </w:rPr>
        <w:t>7</w:t>
      </w:r>
      <w:r>
        <w:rPr>
          <w:rFonts w:hint="eastAsia" w:ascii="仿宋" w:hAnsi="仿宋" w:eastAsia="仿宋" w:cs="仿宋"/>
          <w:b/>
          <w:bCs/>
          <w:color w:val="auto"/>
          <w:kern w:val="0"/>
          <w:sz w:val="28"/>
          <w:szCs w:val="28"/>
          <w:highlight w:val="none"/>
        </w:rPr>
        <w:t>：</w:t>
      </w:r>
      <w:r>
        <w:rPr>
          <w:rFonts w:hint="eastAsia" w:ascii="仿宋" w:hAnsi="仿宋" w:eastAsia="仿宋" w:cs="仿宋"/>
          <w:b/>
          <w:bCs/>
          <w:color w:val="auto"/>
          <w:kern w:val="0"/>
          <w:sz w:val="28"/>
          <w:szCs w:val="28"/>
          <w:highlight w:val="none"/>
          <w:lang w:val="en-US" w:eastAsia="zh-CN"/>
        </w:rPr>
        <w:t>甲方签字确认装修审批表</w:t>
      </w:r>
    </w:p>
    <w:p w14:paraId="6C1F3BA5">
      <w:pPr>
        <w:pStyle w:val="8"/>
        <w:wordWrap w:val="0"/>
        <w:ind w:left="-197" w:firstLine="0" w:firstLineChars="0"/>
        <w:jc w:val="center"/>
        <w:rPr>
          <w:rFonts w:ascii="仿宋" w:hAnsi="仿宋" w:eastAsia="仿宋" w:cs="仿宋"/>
          <w:color w:val="auto"/>
          <w:sz w:val="28"/>
          <w:szCs w:val="28"/>
          <w:highlight w:val="none"/>
        </w:rPr>
      </w:pPr>
    </w:p>
    <w:p w14:paraId="10F5F819">
      <w:pPr>
        <w:pStyle w:val="8"/>
        <w:wordWrap w:val="0"/>
        <w:ind w:left="-197" w:firstLine="0" w:firstLineChars="0"/>
        <w:jc w:val="center"/>
        <w:rPr>
          <w:rFonts w:ascii="仿宋" w:hAnsi="仿宋" w:eastAsia="仿宋" w:cs="仿宋"/>
          <w:color w:val="auto"/>
          <w:sz w:val="28"/>
          <w:szCs w:val="28"/>
          <w:highlight w:val="none"/>
        </w:rPr>
      </w:pPr>
    </w:p>
    <w:sectPr>
      <w:footerReference r:id="rId3" w:type="default"/>
      <w:pgSz w:w="11906" w:h="16838"/>
      <w:pgMar w:top="600" w:right="1066" w:bottom="896" w:left="11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1650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44C8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D44C8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2F665"/>
    <w:multiLevelType w:val="singleLevel"/>
    <w:tmpl w:val="8AB2F665"/>
    <w:lvl w:ilvl="0" w:tentative="0">
      <w:start w:val="2"/>
      <w:numFmt w:val="chineseCounting"/>
      <w:suff w:val="space"/>
      <w:lvlText w:val="第%1条"/>
      <w:lvlJc w:val="left"/>
      <w:rPr>
        <w:rFonts w:hint="eastAsia"/>
      </w:rPr>
    </w:lvl>
  </w:abstractNum>
  <w:abstractNum w:abstractNumId="1">
    <w:nsid w:val="BDF17EAA"/>
    <w:multiLevelType w:val="singleLevel"/>
    <w:tmpl w:val="BDF17EAA"/>
    <w:lvl w:ilvl="0" w:tentative="0">
      <w:start w:val="1"/>
      <w:numFmt w:val="chineseCounting"/>
      <w:suff w:val="space"/>
      <w:lvlText w:val="第%1部分"/>
      <w:lvlJc w:val="left"/>
      <w:rPr>
        <w:rFonts w:hint="eastAsia"/>
        <w:b/>
        <w:bCs/>
      </w:rPr>
    </w:lvl>
  </w:abstractNum>
  <w:abstractNum w:abstractNumId="2">
    <w:nsid w:val="33138382"/>
    <w:multiLevelType w:val="singleLevel"/>
    <w:tmpl w:val="33138382"/>
    <w:lvl w:ilvl="0" w:tentative="0">
      <w:start w:val="1"/>
      <w:numFmt w:val="chineseCounting"/>
      <w:lvlText w:val="(%1)"/>
      <w:lvlJc w:val="left"/>
      <w:pPr>
        <w:tabs>
          <w:tab w:val="left" w:pos="312"/>
        </w:tabs>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ZDY5ZDNjMmE2ZDcxYTFkMDY0Zjg5Mjg3YTE0YTgifQ=="/>
  </w:docVars>
  <w:rsids>
    <w:rsidRoot w:val="16AC4E51"/>
    <w:rsid w:val="00030951"/>
    <w:rsid w:val="0008288C"/>
    <w:rsid w:val="0009258C"/>
    <w:rsid w:val="00183307"/>
    <w:rsid w:val="001B343D"/>
    <w:rsid w:val="001E56F8"/>
    <w:rsid w:val="00231541"/>
    <w:rsid w:val="00233A34"/>
    <w:rsid w:val="00247123"/>
    <w:rsid w:val="002829EC"/>
    <w:rsid w:val="002C6356"/>
    <w:rsid w:val="002D5E69"/>
    <w:rsid w:val="002F7048"/>
    <w:rsid w:val="00310B76"/>
    <w:rsid w:val="00362B53"/>
    <w:rsid w:val="00382F01"/>
    <w:rsid w:val="003E42EB"/>
    <w:rsid w:val="003F01AF"/>
    <w:rsid w:val="00456136"/>
    <w:rsid w:val="0046053B"/>
    <w:rsid w:val="004931F8"/>
    <w:rsid w:val="004E2912"/>
    <w:rsid w:val="0051054F"/>
    <w:rsid w:val="00525C33"/>
    <w:rsid w:val="00560D7F"/>
    <w:rsid w:val="005872EC"/>
    <w:rsid w:val="00615302"/>
    <w:rsid w:val="00621792"/>
    <w:rsid w:val="00674853"/>
    <w:rsid w:val="006A7619"/>
    <w:rsid w:val="006F4375"/>
    <w:rsid w:val="007C4531"/>
    <w:rsid w:val="007E19DF"/>
    <w:rsid w:val="007F0A1D"/>
    <w:rsid w:val="0089727B"/>
    <w:rsid w:val="008D0B45"/>
    <w:rsid w:val="008F033B"/>
    <w:rsid w:val="00906E52"/>
    <w:rsid w:val="009670E6"/>
    <w:rsid w:val="00984631"/>
    <w:rsid w:val="009A351D"/>
    <w:rsid w:val="009F17FB"/>
    <w:rsid w:val="00A203EB"/>
    <w:rsid w:val="00A21865"/>
    <w:rsid w:val="00A6271A"/>
    <w:rsid w:val="00AA16A8"/>
    <w:rsid w:val="00AB334F"/>
    <w:rsid w:val="00B21A4A"/>
    <w:rsid w:val="00BA44E5"/>
    <w:rsid w:val="00C16516"/>
    <w:rsid w:val="00C57368"/>
    <w:rsid w:val="00C94D14"/>
    <w:rsid w:val="00D50D25"/>
    <w:rsid w:val="00D7402A"/>
    <w:rsid w:val="00D9571D"/>
    <w:rsid w:val="00E31CA5"/>
    <w:rsid w:val="00E45F37"/>
    <w:rsid w:val="00E47063"/>
    <w:rsid w:val="00E9511D"/>
    <w:rsid w:val="00EC1B63"/>
    <w:rsid w:val="00ED3523"/>
    <w:rsid w:val="01A249C3"/>
    <w:rsid w:val="022B0E5C"/>
    <w:rsid w:val="02373D4A"/>
    <w:rsid w:val="035C2AFC"/>
    <w:rsid w:val="036F01CC"/>
    <w:rsid w:val="04293B45"/>
    <w:rsid w:val="04501B04"/>
    <w:rsid w:val="04980584"/>
    <w:rsid w:val="04BA2F40"/>
    <w:rsid w:val="04E3591F"/>
    <w:rsid w:val="04FE7964"/>
    <w:rsid w:val="05010029"/>
    <w:rsid w:val="052851DF"/>
    <w:rsid w:val="055042DD"/>
    <w:rsid w:val="059E2A9F"/>
    <w:rsid w:val="05C84C14"/>
    <w:rsid w:val="06056376"/>
    <w:rsid w:val="06106133"/>
    <w:rsid w:val="06BB4AAC"/>
    <w:rsid w:val="071D689A"/>
    <w:rsid w:val="075948A2"/>
    <w:rsid w:val="07632240"/>
    <w:rsid w:val="084072AF"/>
    <w:rsid w:val="08A706A3"/>
    <w:rsid w:val="08E92C01"/>
    <w:rsid w:val="090B4360"/>
    <w:rsid w:val="0958092A"/>
    <w:rsid w:val="0A092AFB"/>
    <w:rsid w:val="0A7577FF"/>
    <w:rsid w:val="0AAA090B"/>
    <w:rsid w:val="0AD41D8E"/>
    <w:rsid w:val="0BB438FA"/>
    <w:rsid w:val="0BC443A5"/>
    <w:rsid w:val="0C19691E"/>
    <w:rsid w:val="0C8D76B9"/>
    <w:rsid w:val="0CB97654"/>
    <w:rsid w:val="0D215436"/>
    <w:rsid w:val="0D540710"/>
    <w:rsid w:val="0E644EFA"/>
    <w:rsid w:val="0E9D7743"/>
    <w:rsid w:val="0EA652B1"/>
    <w:rsid w:val="104349EC"/>
    <w:rsid w:val="10CF7DED"/>
    <w:rsid w:val="110E01BF"/>
    <w:rsid w:val="117143B2"/>
    <w:rsid w:val="11C13DE1"/>
    <w:rsid w:val="1203742B"/>
    <w:rsid w:val="12346AF8"/>
    <w:rsid w:val="130764BF"/>
    <w:rsid w:val="136D0956"/>
    <w:rsid w:val="137919D6"/>
    <w:rsid w:val="13F232FE"/>
    <w:rsid w:val="140F1DA9"/>
    <w:rsid w:val="143264D3"/>
    <w:rsid w:val="144638D4"/>
    <w:rsid w:val="14C249C4"/>
    <w:rsid w:val="14E777C6"/>
    <w:rsid w:val="14E83930"/>
    <w:rsid w:val="158317E9"/>
    <w:rsid w:val="15883EDB"/>
    <w:rsid w:val="15B9058F"/>
    <w:rsid w:val="16442920"/>
    <w:rsid w:val="16650B54"/>
    <w:rsid w:val="16AC4E51"/>
    <w:rsid w:val="17104C69"/>
    <w:rsid w:val="188858D1"/>
    <w:rsid w:val="188D40F3"/>
    <w:rsid w:val="18D27A7D"/>
    <w:rsid w:val="192E6587"/>
    <w:rsid w:val="19BB102C"/>
    <w:rsid w:val="1A5025E5"/>
    <w:rsid w:val="1A5A3051"/>
    <w:rsid w:val="1A91340D"/>
    <w:rsid w:val="1A952812"/>
    <w:rsid w:val="1B1939E7"/>
    <w:rsid w:val="1B3C623B"/>
    <w:rsid w:val="1B6B1E72"/>
    <w:rsid w:val="1B6F73C1"/>
    <w:rsid w:val="1BB6326D"/>
    <w:rsid w:val="1BDE0CB3"/>
    <w:rsid w:val="1C496E68"/>
    <w:rsid w:val="1C7F79F3"/>
    <w:rsid w:val="1CB47AC5"/>
    <w:rsid w:val="1CD55B78"/>
    <w:rsid w:val="1CDD1FCF"/>
    <w:rsid w:val="1D826079"/>
    <w:rsid w:val="1D9903D4"/>
    <w:rsid w:val="1E30567D"/>
    <w:rsid w:val="1EAE67D3"/>
    <w:rsid w:val="1ED507A9"/>
    <w:rsid w:val="1EFC34B3"/>
    <w:rsid w:val="1F89321E"/>
    <w:rsid w:val="1FFC71DF"/>
    <w:rsid w:val="201B7F11"/>
    <w:rsid w:val="202F5EED"/>
    <w:rsid w:val="204871E6"/>
    <w:rsid w:val="20630EB2"/>
    <w:rsid w:val="208779B7"/>
    <w:rsid w:val="20E505AC"/>
    <w:rsid w:val="210D29C9"/>
    <w:rsid w:val="21192584"/>
    <w:rsid w:val="229150C6"/>
    <w:rsid w:val="231F2E58"/>
    <w:rsid w:val="23E91A68"/>
    <w:rsid w:val="24376D95"/>
    <w:rsid w:val="245150D0"/>
    <w:rsid w:val="245B5926"/>
    <w:rsid w:val="24620C54"/>
    <w:rsid w:val="246D7BFE"/>
    <w:rsid w:val="2470340C"/>
    <w:rsid w:val="25C25946"/>
    <w:rsid w:val="265530B5"/>
    <w:rsid w:val="272730F1"/>
    <w:rsid w:val="276A3D90"/>
    <w:rsid w:val="28462FAD"/>
    <w:rsid w:val="297011E6"/>
    <w:rsid w:val="29972F2B"/>
    <w:rsid w:val="29B66792"/>
    <w:rsid w:val="2AA36DF6"/>
    <w:rsid w:val="2B446F49"/>
    <w:rsid w:val="2B4E33C9"/>
    <w:rsid w:val="2BEB7A9E"/>
    <w:rsid w:val="2CE1412B"/>
    <w:rsid w:val="2D3C78E9"/>
    <w:rsid w:val="2D966045"/>
    <w:rsid w:val="2E786212"/>
    <w:rsid w:val="2EF75A9F"/>
    <w:rsid w:val="2F1209F5"/>
    <w:rsid w:val="2F9B0A3C"/>
    <w:rsid w:val="30224BD2"/>
    <w:rsid w:val="306B545A"/>
    <w:rsid w:val="30A57975"/>
    <w:rsid w:val="32103F9E"/>
    <w:rsid w:val="32650437"/>
    <w:rsid w:val="32894C60"/>
    <w:rsid w:val="335E6E11"/>
    <w:rsid w:val="33C1421B"/>
    <w:rsid w:val="349057CE"/>
    <w:rsid w:val="358170CD"/>
    <w:rsid w:val="35D35E7E"/>
    <w:rsid w:val="36080591"/>
    <w:rsid w:val="368A7871"/>
    <w:rsid w:val="36906640"/>
    <w:rsid w:val="36AA3ACB"/>
    <w:rsid w:val="36C02875"/>
    <w:rsid w:val="36C50230"/>
    <w:rsid w:val="37BB437D"/>
    <w:rsid w:val="380843BE"/>
    <w:rsid w:val="381147D8"/>
    <w:rsid w:val="3863006A"/>
    <w:rsid w:val="386D2F59"/>
    <w:rsid w:val="3874263B"/>
    <w:rsid w:val="38781F45"/>
    <w:rsid w:val="38871DF3"/>
    <w:rsid w:val="39AB2096"/>
    <w:rsid w:val="39BA6503"/>
    <w:rsid w:val="3A79380C"/>
    <w:rsid w:val="3AAE2A62"/>
    <w:rsid w:val="3AB42662"/>
    <w:rsid w:val="3B042E0C"/>
    <w:rsid w:val="3B5F2EF8"/>
    <w:rsid w:val="3B7A5A8D"/>
    <w:rsid w:val="3B970D54"/>
    <w:rsid w:val="3BE04631"/>
    <w:rsid w:val="3BF10423"/>
    <w:rsid w:val="3C22214F"/>
    <w:rsid w:val="3C771400"/>
    <w:rsid w:val="3C7A0833"/>
    <w:rsid w:val="3CAE2089"/>
    <w:rsid w:val="3CE87D61"/>
    <w:rsid w:val="3D2B3056"/>
    <w:rsid w:val="3EA14189"/>
    <w:rsid w:val="3EA40033"/>
    <w:rsid w:val="3EE63781"/>
    <w:rsid w:val="3F5C54AA"/>
    <w:rsid w:val="3F9B793B"/>
    <w:rsid w:val="3FBF12D2"/>
    <w:rsid w:val="40DD1855"/>
    <w:rsid w:val="414118FB"/>
    <w:rsid w:val="417D1CBE"/>
    <w:rsid w:val="42597389"/>
    <w:rsid w:val="43394480"/>
    <w:rsid w:val="44046A4D"/>
    <w:rsid w:val="44DC14EB"/>
    <w:rsid w:val="44FB1E73"/>
    <w:rsid w:val="45F345ED"/>
    <w:rsid w:val="45F82D6B"/>
    <w:rsid w:val="462C31BA"/>
    <w:rsid w:val="46420BA7"/>
    <w:rsid w:val="464773F9"/>
    <w:rsid w:val="465B470D"/>
    <w:rsid w:val="46F01EED"/>
    <w:rsid w:val="47391088"/>
    <w:rsid w:val="477D325B"/>
    <w:rsid w:val="47836F58"/>
    <w:rsid w:val="48743649"/>
    <w:rsid w:val="48911333"/>
    <w:rsid w:val="48F649DF"/>
    <w:rsid w:val="48FC2D64"/>
    <w:rsid w:val="498D5EBB"/>
    <w:rsid w:val="4A4816AC"/>
    <w:rsid w:val="4A526B7D"/>
    <w:rsid w:val="4ACA16CB"/>
    <w:rsid w:val="4BC33258"/>
    <w:rsid w:val="4BCE14DD"/>
    <w:rsid w:val="4BD55E97"/>
    <w:rsid w:val="4C194965"/>
    <w:rsid w:val="4C8D1C1F"/>
    <w:rsid w:val="4D464A9D"/>
    <w:rsid w:val="4DF31545"/>
    <w:rsid w:val="4ECE44E0"/>
    <w:rsid w:val="4F147B4F"/>
    <w:rsid w:val="4F9F0BEE"/>
    <w:rsid w:val="501D39EB"/>
    <w:rsid w:val="50847BA7"/>
    <w:rsid w:val="50E64171"/>
    <w:rsid w:val="515D2D6F"/>
    <w:rsid w:val="51CF4737"/>
    <w:rsid w:val="520A6FC2"/>
    <w:rsid w:val="53383C2F"/>
    <w:rsid w:val="5432617B"/>
    <w:rsid w:val="551D7C28"/>
    <w:rsid w:val="55461212"/>
    <w:rsid w:val="55DD4341"/>
    <w:rsid w:val="56173416"/>
    <w:rsid w:val="569B36BD"/>
    <w:rsid w:val="56F84137"/>
    <w:rsid w:val="575907F5"/>
    <w:rsid w:val="57BD08C6"/>
    <w:rsid w:val="58410EC3"/>
    <w:rsid w:val="586B6396"/>
    <w:rsid w:val="5A4A41CF"/>
    <w:rsid w:val="5C6C2AA4"/>
    <w:rsid w:val="5C7F491C"/>
    <w:rsid w:val="5CAE4CAF"/>
    <w:rsid w:val="5CCA441C"/>
    <w:rsid w:val="5CDA07E3"/>
    <w:rsid w:val="5D2B3F68"/>
    <w:rsid w:val="5D811AB9"/>
    <w:rsid w:val="5DDF6716"/>
    <w:rsid w:val="5E221106"/>
    <w:rsid w:val="5E5B6280"/>
    <w:rsid w:val="5E663419"/>
    <w:rsid w:val="5EEE57F9"/>
    <w:rsid w:val="5F650D58"/>
    <w:rsid w:val="5F796236"/>
    <w:rsid w:val="5FF24213"/>
    <w:rsid w:val="60194FC5"/>
    <w:rsid w:val="606054E3"/>
    <w:rsid w:val="60AA2C8E"/>
    <w:rsid w:val="61133C99"/>
    <w:rsid w:val="613D3215"/>
    <w:rsid w:val="61D8482D"/>
    <w:rsid w:val="62E278F0"/>
    <w:rsid w:val="633A0784"/>
    <w:rsid w:val="641B3DC1"/>
    <w:rsid w:val="64775F0B"/>
    <w:rsid w:val="64F71571"/>
    <w:rsid w:val="652E6330"/>
    <w:rsid w:val="655651F4"/>
    <w:rsid w:val="65A20816"/>
    <w:rsid w:val="65BF1626"/>
    <w:rsid w:val="65E47942"/>
    <w:rsid w:val="661204ED"/>
    <w:rsid w:val="6663343E"/>
    <w:rsid w:val="669C24AC"/>
    <w:rsid w:val="66CD72EC"/>
    <w:rsid w:val="66FC2372"/>
    <w:rsid w:val="670659E5"/>
    <w:rsid w:val="676A6106"/>
    <w:rsid w:val="67A108E2"/>
    <w:rsid w:val="67A7111B"/>
    <w:rsid w:val="686F2CA6"/>
    <w:rsid w:val="69E03191"/>
    <w:rsid w:val="6A2E47B5"/>
    <w:rsid w:val="6ADD26D2"/>
    <w:rsid w:val="6B063600"/>
    <w:rsid w:val="6B4D4CA9"/>
    <w:rsid w:val="6CA20F15"/>
    <w:rsid w:val="6CE93F71"/>
    <w:rsid w:val="6D397726"/>
    <w:rsid w:val="6D70080C"/>
    <w:rsid w:val="6D9C005F"/>
    <w:rsid w:val="6DC627BC"/>
    <w:rsid w:val="6DF4436A"/>
    <w:rsid w:val="6EAA759E"/>
    <w:rsid w:val="6FC03A61"/>
    <w:rsid w:val="70B8585F"/>
    <w:rsid w:val="7117619F"/>
    <w:rsid w:val="716C3725"/>
    <w:rsid w:val="726248EE"/>
    <w:rsid w:val="72C30F4E"/>
    <w:rsid w:val="735706F2"/>
    <w:rsid w:val="73783F93"/>
    <w:rsid w:val="737F40E6"/>
    <w:rsid w:val="74275AAB"/>
    <w:rsid w:val="74AF7648"/>
    <w:rsid w:val="74C01005"/>
    <w:rsid w:val="754B3FF7"/>
    <w:rsid w:val="75D63E0A"/>
    <w:rsid w:val="760134BF"/>
    <w:rsid w:val="760741CB"/>
    <w:rsid w:val="761E1331"/>
    <w:rsid w:val="763D376B"/>
    <w:rsid w:val="765B3F2D"/>
    <w:rsid w:val="76C058A0"/>
    <w:rsid w:val="76FD1CAC"/>
    <w:rsid w:val="773177DF"/>
    <w:rsid w:val="777864DB"/>
    <w:rsid w:val="77810826"/>
    <w:rsid w:val="77F21957"/>
    <w:rsid w:val="780659D7"/>
    <w:rsid w:val="780C4844"/>
    <w:rsid w:val="78785CD5"/>
    <w:rsid w:val="79BC76DD"/>
    <w:rsid w:val="7A982D59"/>
    <w:rsid w:val="7B265FB3"/>
    <w:rsid w:val="7B9F355C"/>
    <w:rsid w:val="7BCD791C"/>
    <w:rsid w:val="7C8E36D7"/>
    <w:rsid w:val="7CA25993"/>
    <w:rsid w:val="7CA86B30"/>
    <w:rsid w:val="7CBE6DC8"/>
    <w:rsid w:val="7CC61BEC"/>
    <w:rsid w:val="7CD553D3"/>
    <w:rsid w:val="7D83469D"/>
    <w:rsid w:val="7DDC1631"/>
    <w:rsid w:val="7E1C3AA5"/>
    <w:rsid w:val="7F1812E7"/>
    <w:rsid w:val="7F411F25"/>
    <w:rsid w:val="7FD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1"/>
    <w:basedOn w:val="1"/>
    <w:autoRedefine/>
    <w:qFormat/>
    <w:uiPriority w:val="0"/>
    <w:pPr>
      <w:spacing w:after="120" w:line="396" w:lineRule="auto"/>
      <w:ind w:firstLine="360"/>
      <w:jc w:val="left"/>
    </w:pPr>
    <w:rPr>
      <w:rFonts w:ascii="MingLiU" w:hAnsi="MingLiU" w:eastAsia="MingLiU" w:cs="MingLiU"/>
      <w:color w:val="000000"/>
      <w:kern w:val="0"/>
      <w:sz w:val="20"/>
      <w:szCs w:val="20"/>
      <w:lang w:val="zh-TW" w:eastAsia="zh-TW" w:bidi="zh-TW"/>
    </w:rPr>
  </w:style>
  <w:style w:type="paragraph" w:customStyle="1" w:styleId="8">
    <w:name w:val="列表段落1"/>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6657</Words>
  <Characters>6774</Characters>
  <Lines>1</Lines>
  <Paragraphs>1</Paragraphs>
  <TotalTime>1</TotalTime>
  <ScaleCrop>false</ScaleCrop>
  <LinksUpToDate>false</LinksUpToDate>
  <CharactersWithSpaces>6957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2023-06-05T00:50:00Z</dcterms:created>
  <dc:creator>Z'hang</dc:creator>
  <cp:lastModifiedBy>这不科学</cp:lastModifiedBy>
  <cp:lastPrinted>2023-06-16T02:10:00Z</cp:lastPrinted>
  <dcterms:modified xsi:type="dcterms:W3CDTF">2025-07-14T03:26:43Z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8F5260953FE645EFB0176CBB6098E7F5</vt:lpwstr>
  </property>
  <property fmtid="{D5CDD505-2E9C-101B-9397-08002B2CF9AE}" pid="4" name="KSOTemplateDocerSaveRecord">
    <vt:lpwstr>eyJoZGlkIjoiZmI5ZDY5ZDNjMmE2ZDcxYTFkMDY0Zjg5Mjg3YTE0YTgiLCJ1c2VySWQiOiI1MDM3MjkwOTMifQ==</vt:lpwstr>
  </property>
</Properties>
</file>