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567CE">
      <w:pPr>
        <w:rPr>
          <w:color w:val="auto"/>
        </w:rPr>
      </w:pPr>
    </w:p>
    <w:p w14:paraId="5A4E2A9C">
      <w:pPr>
        <w:pStyle w:val="22"/>
        <w:rPr>
          <w:color w:val="auto"/>
        </w:rPr>
      </w:pPr>
    </w:p>
    <w:p w14:paraId="2BF9A3DE">
      <w:pPr>
        <w:pStyle w:val="22"/>
        <w:rPr>
          <w:color w:val="auto"/>
        </w:rPr>
      </w:pPr>
    </w:p>
    <w:p w14:paraId="6438F8EF">
      <w:pPr>
        <w:pStyle w:val="22"/>
        <w:ind w:left="0" w:leftChars="0" w:firstLine="0" w:firstLineChars="0"/>
        <w:rPr>
          <w:color w:val="auto"/>
        </w:rPr>
      </w:pPr>
    </w:p>
    <w:p w14:paraId="2B6A0699">
      <w:pPr>
        <w:rPr>
          <w:color w:val="auto"/>
        </w:rPr>
      </w:pPr>
    </w:p>
    <w:p w14:paraId="2917507F">
      <w:pPr>
        <w:adjustRightInd w:val="0"/>
        <w:snapToGrid w:val="0"/>
        <w:spacing w:line="360" w:lineRule="auto"/>
        <w:jc w:val="center"/>
        <w:rPr>
          <w:rFonts w:ascii="宋体" w:hAnsi="宋体" w:cs="宋体"/>
          <w:b/>
          <w:bCs/>
          <w:color w:val="auto"/>
          <w:sz w:val="36"/>
          <w:szCs w:val="36"/>
        </w:rPr>
      </w:pPr>
      <w:r>
        <w:rPr>
          <w:rFonts w:hint="eastAsia" w:ascii="宋体" w:hAnsi="宋体" w:cs="宋体"/>
          <w:b/>
          <w:bCs/>
          <w:color w:val="auto"/>
          <w:sz w:val="36"/>
          <w:szCs w:val="36"/>
        </w:rPr>
        <w:t>滁州市自来水有限公司水厂水质保障提升改造项目</w:t>
      </w:r>
    </w:p>
    <w:p w14:paraId="735DA0B1">
      <w:pPr>
        <w:adjustRightInd w:val="0"/>
        <w:snapToGrid w:val="0"/>
        <w:spacing w:line="360" w:lineRule="auto"/>
        <w:rPr>
          <w:rFonts w:ascii="宋体" w:hAnsi="宋体" w:cs="宋体"/>
          <w:color w:val="auto"/>
          <w:szCs w:val="21"/>
        </w:rPr>
      </w:pPr>
    </w:p>
    <w:p w14:paraId="4B38ED15">
      <w:pPr>
        <w:pStyle w:val="15"/>
        <w:rPr>
          <w:color w:val="auto"/>
        </w:rPr>
      </w:pPr>
    </w:p>
    <w:p w14:paraId="144A8F2A">
      <w:pPr>
        <w:adjustRightInd w:val="0"/>
        <w:snapToGrid w:val="0"/>
        <w:spacing w:line="360" w:lineRule="auto"/>
        <w:jc w:val="center"/>
        <w:rPr>
          <w:rFonts w:ascii="宋体" w:hAnsi="宋体" w:cs="宋体"/>
          <w:b/>
          <w:bCs/>
          <w:color w:val="auto"/>
          <w:sz w:val="72"/>
          <w:szCs w:val="72"/>
        </w:rPr>
      </w:pPr>
      <w:r>
        <w:rPr>
          <w:rFonts w:hint="eastAsia" w:ascii="宋体" w:hAnsi="宋体" w:cs="宋体"/>
          <w:b/>
          <w:bCs/>
          <w:color w:val="auto"/>
          <w:sz w:val="72"/>
          <w:szCs w:val="72"/>
        </w:rPr>
        <w:t>招 标 文 件</w:t>
      </w:r>
    </w:p>
    <w:p w14:paraId="249F9790">
      <w:pPr>
        <w:jc w:val="center"/>
        <w:rPr>
          <w:rFonts w:hint="default" w:ascii="宋体" w:hAnsi="宋体" w:eastAsia="宋体" w:cs="宋体"/>
          <w:color w:val="auto"/>
          <w:sz w:val="72"/>
          <w:szCs w:val="72"/>
          <w:lang w:val="en-US" w:eastAsia="zh-CN"/>
        </w:rPr>
      </w:pPr>
      <w:r>
        <w:rPr>
          <w:rFonts w:hint="eastAsia"/>
          <w:color w:val="auto"/>
          <w:sz w:val="28"/>
          <w:szCs w:val="28"/>
        </w:rPr>
        <w:t>项目编号：czsjgc202509-</w:t>
      </w:r>
      <w:r>
        <w:rPr>
          <w:rFonts w:hint="eastAsia"/>
          <w:color w:val="auto"/>
          <w:sz w:val="28"/>
          <w:szCs w:val="28"/>
          <w:lang w:val="en-US" w:eastAsia="zh-CN"/>
        </w:rPr>
        <w:t>006</w:t>
      </w:r>
    </w:p>
    <w:p w14:paraId="43C4512B">
      <w:pPr>
        <w:spacing w:line="540" w:lineRule="exact"/>
        <w:rPr>
          <w:rFonts w:ascii="宋体" w:hAnsi="宋体" w:cs="宋体"/>
          <w:color w:val="auto"/>
          <w:szCs w:val="21"/>
        </w:rPr>
      </w:pPr>
    </w:p>
    <w:p w14:paraId="2C53565B">
      <w:pPr>
        <w:spacing w:line="540" w:lineRule="exact"/>
        <w:ind w:firstLine="437"/>
        <w:rPr>
          <w:rFonts w:ascii="宋体" w:hAnsi="宋体" w:cs="宋体"/>
          <w:color w:val="auto"/>
          <w:szCs w:val="21"/>
        </w:rPr>
      </w:pPr>
    </w:p>
    <w:p w14:paraId="4F668843">
      <w:pPr>
        <w:spacing w:line="540" w:lineRule="exact"/>
        <w:rPr>
          <w:rFonts w:ascii="宋体" w:hAnsi="宋体" w:cs="宋体"/>
          <w:color w:val="auto"/>
          <w:szCs w:val="21"/>
        </w:rPr>
      </w:pPr>
    </w:p>
    <w:p w14:paraId="4255C108">
      <w:pPr>
        <w:pStyle w:val="22"/>
        <w:rPr>
          <w:color w:val="auto"/>
        </w:rPr>
      </w:pPr>
    </w:p>
    <w:p w14:paraId="7161187C">
      <w:pPr>
        <w:rPr>
          <w:color w:val="auto"/>
        </w:rPr>
      </w:pPr>
    </w:p>
    <w:p w14:paraId="6248B30C">
      <w:pPr>
        <w:rPr>
          <w:color w:val="auto"/>
        </w:rPr>
      </w:pPr>
    </w:p>
    <w:p w14:paraId="0712B25F">
      <w:pPr>
        <w:spacing w:line="540" w:lineRule="exact"/>
        <w:rPr>
          <w:rFonts w:ascii="宋体" w:hAnsi="宋体" w:cs="宋体"/>
          <w:color w:val="auto"/>
          <w:szCs w:val="21"/>
        </w:rPr>
      </w:pPr>
    </w:p>
    <w:p w14:paraId="0C9F45EF">
      <w:pPr>
        <w:spacing w:line="540" w:lineRule="exact"/>
        <w:rPr>
          <w:rFonts w:ascii="宋体" w:hAnsi="宋体" w:cs="宋体"/>
          <w:color w:val="auto"/>
          <w:szCs w:val="21"/>
        </w:rPr>
      </w:pPr>
    </w:p>
    <w:p w14:paraId="5D2DAF2E">
      <w:pPr>
        <w:spacing w:line="540" w:lineRule="exact"/>
        <w:rPr>
          <w:rFonts w:ascii="宋体" w:hAnsi="宋体" w:cs="宋体"/>
          <w:color w:val="auto"/>
          <w:szCs w:val="21"/>
        </w:rPr>
      </w:pPr>
    </w:p>
    <w:p w14:paraId="641ACD1F">
      <w:pPr>
        <w:pStyle w:val="22"/>
        <w:rPr>
          <w:rFonts w:ascii="宋体" w:hAnsi="宋体" w:cs="宋体"/>
          <w:color w:val="auto"/>
          <w:szCs w:val="21"/>
        </w:rPr>
      </w:pPr>
    </w:p>
    <w:p w14:paraId="0CAC6AF2">
      <w:pPr>
        <w:rPr>
          <w:rFonts w:ascii="宋体" w:hAnsi="宋体" w:cs="宋体"/>
          <w:color w:val="auto"/>
          <w:szCs w:val="21"/>
        </w:rPr>
      </w:pPr>
    </w:p>
    <w:p w14:paraId="53B87FE7">
      <w:pPr>
        <w:pStyle w:val="22"/>
        <w:rPr>
          <w:rFonts w:ascii="宋体" w:hAnsi="宋体" w:cs="宋体"/>
          <w:color w:val="auto"/>
          <w:szCs w:val="21"/>
        </w:rPr>
      </w:pPr>
    </w:p>
    <w:p w14:paraId="2E6B6F55">
      <w:pPr>
        <w:rPr>
          <w:rFonts w:ascii="宋体" w:hAnsi="宋体" w:cs="宋体"/>
          <w:color w:val="auto"/>
          <w:szCs w:val="21"/>
        </w:rPr>
      </w:pPr>
    </w:p>
    <w:p w14:paraId="60B8B6FF">
      <w:pPr>
        <w:pStyle w:val="22"/>
        <w:rPr>
          <w:rFonts w:ascii="宋体" w:hAnsi="宋体" w:cs="宋体"/>
          <w:color w:val="auto"/>
          <w:szCs w:val="21"/>
        </w:rPr>
      </w:pPr>
    </w:p>
    <w:p w14:paraId="2D84DC25">
      <w:pPr>
        <w:rPr>
          <w:color w:val="auto"/>
        </w:rPr>
      </w:pPr>
    </w:p>
    <w:p w14:paraId="74534041">
      <w:pPr>
        <w:adjustRightInd w:val="0"/>
        <w:snapToGrid w:val="0"/>
        <w:spacing w:line="480" w:lineRule="auto"/>
        <w:ind w:firstLine="437"/>
        <w:rPr>
          <w:rFonts w:ascii="宋体" w:hAnsi="宋体" w:cs="宋体"/>
          <w:color w:val="auto"/>
          <w:szCs w:val="21"/>
        </w:rPr>
      </w:pPr>
    </w:p>
    <w:p w14:paraId="20780F3C">
      <w:pPr>
        <w:widowControl/>
        <w:spacing w:before="120" w:beforeLines="50" w:after="120" w:afterLines="50" w:line="640" w:lineRule="exact"/>
        <w:jc w:val="center"/>
        <w:textAlignment w:val="baseline"/>
        <w:rPr>
          <w:rFonts w:ascii="宋体" w:hAnsi="宋体" w:cs="宋体"/>
          <w:b/>
          <w:bCs/>
          <w:color w:val="auto"/>
          <w:sz w:val="28"/>
          <w:szCs w:val="28"/>
        </w:rPr>
      </w:pPr>
      <w:r>
        <w:rPr>
          <w:rFonts w:hint="eastAsia" w:ascii="宋体" w:hAnsi="宋体" w:cs="宋体"/>
          <w:b/>
          <w:bCs/>
          <w:color w:val="auto"/>
          <w:sz w:val="28"/>
          <w:szCs w:val="28"/>
        </w:rPr>
        <w:t xml:space="preserve"> 招标单位：</w:t>
      </w:r>
      <w:r>
        <w:rPr>
          <w:rFonts w:hint="eastAsia" w:ascii="宋体" w:hAnsi="宋体" w:cs="宋体"/>
          <w:b/>
          <w:bCs/>
          <w:color w:val="auto"/>
          <w:sz w:val="28"/>
          <w:szCs w:val="28"/>
          <w:u w:val="single"/>
        </w:rPr>
        <w:t xml:space="preserve"> 滁州市自来水有限公司  </w:t>
      </w:r>
      <w:r>
        <w:rPr>
          <w:rFonts w:hint="eastAsia" w:ascii="宋体" w:hAnsi="宋体" w:cs="宋体"/>
          <w:b/>
          <w:bCs/>
          <w:color w:val="auto"/>
          <w:sz w:val="28"/>
          <w:szCs w:val="28"/>
        </w:rPr>
        <w:t>（盖章）</w:t>
      </w:r>
    </w:p>
    <w:p w14:paraId="2EB34561">
      <w:pPr>
        <w:widowControl/>
        <w:spacing w:before="120" w:beforeLines="50" w:after="120" w:afterLines="50" w:line="640" w:lineRule="exact"/>
        <w:jc w:val="center"/>
        <w:textAlignment w:val="baseline"/>
        <w:rPr>
          <w:rFonts w:ascii="宋体" w:hAnsi="宋体" w:cs="宋体"/>
          <w:b/>
          <w:bCs/>
          <w:color w:val="auto"/>
          <w:sz w:val="28"/>
          <w:szCs w:val="28"/>
        </w:rPr>
      </w:pPr>
      <w:r>
        <w:rPr>
          <w:rFonts w:hint="eastAsia" w:ascii="宋体" w:hAnsi="宋体" w:cs="宋体"/>
          <w:b/>
          <w:bCs/>
          <w:color w:val="auto"/>
          <w:sz w:val="28"/>
          <w:szCs w:val="28"/>
        </w:rPr>
        <w:t xml:space="preserve"> 代理机构：</w:t>
      </w:r>
      <w:r>
        <w:rPr>
          <w:rFonts w:hint="eastAsia" w:ascii="宋体" w:hAnsi="宋体" w:cs="宋体"/>
          <w:b/>
          <w:bCs/>
          <w:color w:val="auto"/>
          <w:sz w:val="28"/>
          <w:szCs w:val="28"/>
          <w:u w:val="single"/>
        </w:rPr>
        <w:t>滁州市城投工程咨询管理有限公司</w:t>
      </w:r>
      <w:r>
        <w:rPr>
          <w:rFonts w:hint="eastAsia" w:ascii="宋体" w:hAnsi="宋体" w:cs="宋体"/>
          <w:b/>
          <w:bCs/>
          <w:color w:val="auto"/>
          <w:sz w:val="28"/>
          <w:szCs w:val="28"/>
        </w:rPr>
        <w:t>（盖章）</w:t>
      </w:r>
    </w:p>
    <w:p w14:paraId="1C1FB437">
      <w:pPr>
        <w:widowControl/>
        <w:spacing w:before="120" w:beforeLines="50" w:after="120" w:afterLines="50" w:line="640" w:lineRule="exact"/>
        <w:jc w:val="center"/>
        <w:textAlignment w:val="baseline"/>
        <w:rPr>
          <w:rFonts w:ascii="宋体" w:hAnsi="宋体" w:cs="宋体"/>
          <w:b/>
          <w:bCs/>
          <w:color w:val="auto"/>
          <w:sz w:val="28"/>
          <w:szCs w:val="28"/>
        </w:rPr>
      </w:pPr>
      <w:r>
        <w:rPr>
          <w:rFonts w:hint="eastAsia" w:ascii="宋体" w:hAnsi="宋体" w:cs="宋体"/>
          <w:b/>
          <w:bCs/>
          <w:color w:val="auto"/>
          <w:sz w:val="28"/>
          <w:szCs w:val="28"/>
          <w:u w:val="single"/>
        </w:rPr>
        <w:t xml:space="preserve">2025 </w:t>
      </w:r>
      <w:r>
        <w:rPr>
          <w:rFonts w:hint="eastAsia" w:ascii="宋体" w:hAnsi="宋体" w:cs="宋体"/>
          <w:b/>
          <w:bCs/>
          <w:color w:val="auto"/>
          <w:sz w:val="28"/>
          <w:szCs w:val="28"/>
        </w:rPr>
        <w:t xml:space="preserve">年 </w:t>
      </w:r>
      <w:r>
        <w:rPr>
          <w:rFonts w:hint="eastAsia" w:ascii="宋体" w:hAnsi="宋体" w:cs="宋体"/>
          <w:b/>
          <w:bCs/>
          <w:color w:val="auto"/>
          <w:sz w:val="28"/>
          <w:szCs w:val="28"/>
          <w:u w:val="single"/>
        </w:rPr>
        <w:t xml:space="preserve"> 9</w:t>
      </w:r>
      <w:r>
        <w:rPr>
          <w:rFonts w:hint="eastAsia" w:ascii="宋体" w:hAnsi="宋体" w:cs="宋体"/>
          <w:b/>
          <w:bCs/>
          <w:color w:val="auto"/>
          <w:sz w:val="28"/>
          <w:szCs w:val="28"/>
        </w:rPr>
        <w:t>月</w:t>
      </w:r>
    </w:p>
    <w:p w14:paraId="6D832F7F">
      <w:pPr>
        <w:pStyle w:val="54"/>
        <w:adjustRightInd w:val="0"/>
        <w:snapToGrid w:val="0"/>
        <w:spacing w:before="120" w:beforeLines="50" w:after="120" w:afterLines="50" w:line="240" w:lineRule="auto"/>
        <w:ind w:right="210" w:rightChars="100"/>
        <w:jc w:val="center"/>
        <w:rPr>
          <w:color w:val="auto"/>
          <w:sz w:val="52"/>
        </w:rPr>
      </w:pPr>
      <w:r>
        <w:rPr>
          <w:color w:val="auto"/>
          <w:sz w:val="52"/>
          <w:lang w:val="zh-CN"/>
        </w:rPr>
        <w:br w:type="page"/>
      </w:r>
      <w:r>
        <w:rPr>
          <w:color w:val="auto"/>
          <w:sz w:val="52"/>
          <w:lang w:val="zh-CN"/>
        </w:rPr>
        <w:t>目</w:t>
      </w:r>
      <w:r>
        <w:rPr>
          <w:rFonts w:hint="eastAsia"/>
          <w:color w:val="auto"/>
          <w:sz w:val="52"/>
          <w:lang w:val="zh-CN"/>
        </w:rPr>
        <w:t xml:space="preserve">  </w:t>
      </w:r>
      <w:r>
        <w:rPr>
          <w:color w:val="auto"/>
          <w:sz w:val="52"/>
          <w:lang w:val="zh-CN"/>
        </w:rPr>
        <w:t>录</w:t>
      </w:r>
    </w:p>
    <w:p w14:paraId="64519893">
      <w:pPr>
        <w:pStyle w:val="19"/>
        <w:tabs>
          <w:tab w:val="right" w:leader="dot" w:pos="9880"/>
        </w:tabs>
        <w:spacing w:line="520" w:lineRule="exact"/>
        <w:ind w:left="218" w:leftChars="104"/>
        <w:rPr>
          <w:rFonts w:ascii="宋体" w:hAnsi="宋体" w:cs="宋体"/>
          <w:b w:val="0"/>
          <w:bCs w:val="0"/>
          <w:caps w:val="0"/>
          <w:color w:val="auto"/>
          <w:sz w:val="24"/>
          <w:szCs w:val="24"/>
        </w:rPr>
      </w:pPr>
      <w:r>
        <w:rPr>
          <w:rFonts w:hint="eastAsia" w:ascii="宋体" w:hAnsi="宋体" w:cs="宋体"/>
          <w:color w:val="auto"/>
        </w:rPr>
        <w:fldChar w:fldCharType="begin"/>
      </w:r>
      <w:r>
        <w:rPr>
          <w:rFonts w:hint="eastAsia" w:ascii="宋体" w:hAnsi="宋体" w:cs="宋体"/>
          <w:color w:val="auto"/>
        </w:rPr>
        <w:instrText xml:space="preserve"> TOC \o "1-3" \h \z \u </w:instrText>
      </w:r>
      <w:r>
        <w:rPr>
          <w:rFonts w:hint="eastAsia" w:ascii="宋体" w:hAnsi="宋体" w:cs="宋体"/>
          <w:color w:val="auto"/>
        </w:rPr>
        <w:fldChar w:fldCharType="separate"/>
      </w:r>
      <w:r>
        <w:rPr>
          <w:color w:val="auto"/>
        </w:rPr>
        <w:fldChar w:fldCharType="begin"/>
      </w:r>
      <w:r>
        <w:rPr>
          <w:color w:val="auto"/>
        </w:rPr>
        <w:instrText xml:space="preserve"> HYPERLINK \l "_Toc95223332" </w:instrText>
      </w:r>
      <w:r>
        <w:rPr>
          <w:color w:val="auto"/>
        </w:rPr>
        <w:fldChar w:fldCharType="separate"/>
      </w:r>
      <w:r>
        <w:rPr>
          <w:rFonts w:hint="eastAsia" w:ascii="宋体" w:hAnsi="宋体" w:cs="宋体"/>
          <w:color w:val="auto"/>
          <w:sz w:val="24"/>
          <w:szCs w:val="24"/>
        </w:rPr>
        <w:t>第一章  招标公告</w:t>
      </w:r>
      <w:r>
        <w:rPr>
          <w:rFonts w:hint="eastAsia" w:ascii="宋体" w:hAnsi="宋体" w:cs="宋体"/>
          <w:color w:val="auto"/>
          <w:sz w:val="24"/>
          <w:szCs w:val="24"/>
        </w:rPr>
        <w:tab/>
      </w:r>
      <w:r>
        <w:rPr>
          <w:rFonts w:hint="eastAsia" w:ascii="宋体" w:hAnsi="宋体" w:cs="宋体"/>
          <w:color w:val="auto"/>
          <w:sz w:val="24"/>
          <w:szCs w:val="24"/>
        </w:rPr>
        <w:t>1</w:t>
      </w:r>
      <w:r>
        <w:rPr>
          <w:rFonts w:hint="eastAsia" w:ascii="宋体" w:hAnsi="宋体" w:cs="宋体"/>
          <w:color w:val="auto"/>
          <w:sz w:val="24"/>
          <w:szCs w:val="24"/>
        </w:rPr>
        <w:fldChar w:fldCharType="end"/>
      </w:r>
    </w:p>
    <w:p w14:paraId="005FBAAC">
      <w:pPr>
        <w:pStyle w:val="19"/>
        <w:tabs>
          <w:tab w:val="right" w:leader="dot" w:pos="9880"/>
        </w:tabs>
        <w:spacing w:line="520" w:lineRule="exact"/>
        <w:ind w:left="218" w:leftChars="104"/>
        <w:rPr>
          <w:rFonts w:hint="eastAsia" w:ascii="宋体" w:hAnsi="宋体" w:eastAsia="宋体" w:cs="宋体"/>
          <w:b w:val="0"/>
          <w:bCs w:val="0"/>
          <w:caps w:val="0"/>
          <w:color w:val="auto"/>
          <w:sz w:val="24"/>
          <w:szCs w:val="24"/>
          <w:lang w:val="en-US" w:eastAsia="zh-CN"/>
        </w:rPr>
      </w:pPr>
      <w:r>
        <w:rPr>
          <w:color w:val="auto"/>
        </w:rPr>
        <w:fldChar w:fldCharType="begin"/>
      </w:r>
      <w:r>
        <w:rPr>
          <w:color w:val="auto"/>
        </w:rPr>
        <w:instrText xml:space="preserve"> HYPERLINK \l "_Toc95223333" </w:instrText>
      </w:r>
      <w:r>
        <w:rPr>
          <w:color w:val="auto"/>
        </w:rPr>
        <w:fldChar w:fldCharType="separate"/>
      </w:r>
      <w:r>
        <w:rPr>
          <w:rFonts w:hint="eastAsia" w:ascii="宋体" w:hAnsi="宋体" w:cs="宋体"/>
          <w:color w:val="auto"/>
          <w:sz w:val="24"/>
          <w:szCs w:val="24"/>
        </w:rPr>
        <w:t>第二章 投标人须知</w:t>
      </w:r>
      <w:r>
        <w:rPr>
          <w:rFonts w:hint="eastAsia" w:ascii="宋体" w:hAnsi="宋体" w:cs="宋体"/>
          <w:color w:val="auto"/>
          <w:sz w:val="24"/>
          <w:szCs w:val="24"/>
        </w:rPr>
        <w:tab/>
      </w:r>
      <w:r>
        <w:rPr>
          <w:rFonts w:hint="eastAsia" w:ascii="宋体" w:hAnsi="宋体" w:cs="宋体"/>
          <w:color w:val="auto"/>
          <w:sz w:val="24"/>
          <w:szCs w:val="24"/>
          <w:lang w:val="en-US" w:eastAsia="zh-CN"/>
        </w:rPr>
        <w:t>1</w:t>
      </w:r>
      <w:r>
        <w:rPr>
          <w:rFonts w:hint="eastAsia" w:ascii="宋体" w:hAnsi="宋体" w:cs="宋体"/>
          <w:color w:val="auto"/>
          <w:sz w:val="24"/>
          <w:szCs w:val="24"/>
        </w:rPr>
        <w:fldChar w:fldCharType="end"/>
      </w:r>
      <w:r>
        <w:rPr>
          <w:rFonts w:hint="eastAsia" w:ascii="宋体" w:hAnsi="宋体" w:cs="宋体"/>
          <w:color w:val="auto"/>
          <w:sz w:val="24"/>
          <w:szCs w:val="24"/>
          <w:lang w:val="en-US" w:eastAsia="zh-CN"/>
        </w:rPr>
        <w:t>2</w:t>
      </w:r>
    </w:p>
    <w:p w14:paraId="745B3FA8">
      <w:pPr>
        <w:pStyle w:val="19"/>
        <w:tabs>
          <w:tab w:val="right" w:leader="dot" w:pos="9880"/>
        </w:tabs>
        <w:spacing w:line="520" w:lineRule="exact"/>
        <w:ind w:left="218" w:leftChars="104"/>
        <w:rPr>
          <w:rFonts w:hint="eastAsia" w:ascii="宋体" w:hAnsi="宋体" w:eastAsia="宋体" w:cs="宋体"/>
          <w:b w:val="0"/>
          <w:bCs w:val="0"/>
          <w:caps w:val="0"/>
          <w:color w:val="auto"/>
          <w:sz w:val="24"/>
          <w:szCs w:val="24"/>
          <w:lang w:eastAsia="zh-CN"/>
        </w:rPr>
      </w:pPr>
      <w:r>
        <w:rPr>
          <w:color w:val="auto"/>
        </w:rPr>
        <w:fldChar w:fldCharType="begin"/>
      </w:r>
      <w:r>
        <w:rPr>
          <w:color w:val="auto"/>
        </w:rPr>
        <w:instrText xml:space="preserve"> HYPERLINK \l "_Toc95223391" </w:instrText>
      </w:r>
      <w:r>
        <w:rPr>
          <w:color w:val="auto"/>
        </w:rPr>
        <w:fldChar w:fldCharType="separate"/>
      </w:r>
      <w:r>
        <w:rPr>
          <w:rFonts w:hint="eastAsia" w:ascii="宋体" w:hAnsi="宋体" w:cs="宋体"/>
          <w:color w:val="auto"/>
          <w:sz w:val="24"/>
          <w:szCs w:val="24"/>
        </w:rPr>
        <w:t>第三章 资格审查办法</w:t>
      </w:r>
      <w:r>
        <w:rPr>
          <w:rFonts w:hint="eastAsia" w:ascii="宋体" w:hAnsi="宋体" w:cs="宋体"/>
          <w:color w:val="auto"/>
          <w:sz w:val="24"/>
          <w:szCs w:val="24"/>
        </w:rPr>
        <w:tab/>
      </w:r>
      <w:r>
        <w:rPr>
          <w:rFonts w:hint="eastAsia" w:ascii="宋体" w:hAnsi="宋体" w:cs="宋体"/>
          <w:color w:val="auto"/>
          <w:sz w:val="24"/>
          <w:szCs w:val="24"/>
        </w:rPr>
        <w:t>3</w:t>
      </w:r>
      <w:r>
        <w:rPr>
          <w:rFonts w:hint="eastAsia" w:ascii="宋体" w:hAnsi="宋体" w:cs="宋体"/>
          <w:color w:val="auto"/>
          <w:sz w:val="24"/>
          <w:szCs w:val="24"/>
        </w:rPr>
        <w:fldChar w:fldCharType="end"/>
      </w:r>
      <w:r>
        <w:rPr>
          <w:rStyle w:val="33"/>
          <w:rFonts w:hint="eastAsia" w:ascii="宋体" w:hAnsi="宋体" w:cs="宋体"/>
          <w:color w:val="auto"/>
          <w:sz w:val="24"/>
          <w:szCs w:val="24"/>
          <w:lang w:val="en-US" w:eastAsia="zh-CN"/>
        </w:rPr>
        <w:t>8</w:t>
      </w:r>
    </w:p>
    <w:p w14:paraId="0FE588EE">
      <w:pPr>
        <w:pStyle w:val="19"/>
        <w:tabs>
          <w:tab w:val="right" w:leader="dot" w:pos="9880"/>
        </w:tabs>
        <w:spacing w:line="520" w:lineRule="exact"/>
        <w:ind w:left="218" w:leftChars="104"/>
        <w:rPr>
          <w:rFonts w:hint="eastAsia" w:ascii="宋体" w:hAnsi="宋体" w:eastAsia="宋体" w:cs="宋体"/>
          <w:b w:val="0"/>
          <w:bCs w:val="0"/>
          <w:caps w:val="0"/>
          <w:color w:val="auto"/>
          <w:sz w:val="24"/>
          <w:szCs w:val="24"/>
          <w:lang w:eastAsia="zh-CN"/>
        </w:rPr>
      </w:pPr>
      <w:r>
        <w:rPr>
          <w:color w:val="auto"/>
        </w:rPr>
        <w:fldChar w:fldCharType="begin"/>
      </w:r>
      <w:r>
        <w:rPr>
          <w:color w:val="auto"/>
        </w:rPr>
        <w:instrText xml:space="preserve"> HYPERLINK \l "_Toc95223428" </w:instrText>
      </w:r>
      <w:r>
        <w:rPr>
          <w:color w:val="auto"/>
        </w:rPr>
        <w:fldChar w:fldCharType="separate"/>
      </w:r>
      <w:r>
        <w:rPr>
          <w:rFonts w:hint="eastAsia" w:ascii="宋体" w:hAnsi="宋体" w:cs="宋体"/>
          <w:color w:val="auto"/>
          <w:sz w:val="24"/>
          <w:szCs w:val="24"/>
        </w:rPr>
        <w:t>第四章 评标办法（综合评估法）</w:t>
      </w:r>
      <w:r>
        <w:rPr>
          <w:rFonts w:hint="eastAsia" w:ascii="宋体" w:hAnsi="宋体" w:cs="宋体"/>
          <w:color w:val="auto"/>
          <w:sz w:val="24"/>
          <w:szCs w:val="24"/>
        </w:rPr>
        <w:tab/>
      </w:r>
      <w:r>
        <w:rPr>
          <w:rFonts w:hint="eastAsia" w:ascii="宋体" w:hAnsi="宋体" w:cs="宋体"/>
          <w:color w:val="auto"/>
          <w:sz w:val="24"/>
          <w:szCs w:val="24"/>
          <w:lang w:val="en-US" w:eastAsia="zh-CN"/>
        </w:rPr>
        <w:t>4</w:t>
      </w:r>
      <w:r>
        <w:rPr>
          <w:rFonts w:hint="eastAsia" w:ascii="宋体" w:hAnsi="宋体" w:cs="宋体"/>
          <w:color w:val="auto"/>
          <w:sz w:val="24"/>
          <w:szCs w:val="24"/>
        </w:rPr>
        <w:fldChar w:fldCharType="end"/>
      </w:r>
      <w:r>
        <w:rPr>
          <w:rStyle w:val="33"/>
          <w:rFonts w:hint="eastAsia" w:ascii="宋体" w:hAnsi="宋体" w:cs="宋体"/>
          <w:color w:val="auto"/>
          <w:sz w:val="24"/>
          <w:szCs w:val="24"/>
          <w:lang w:val="en-US" w:eastAsia="zh-CN"/>
        </w:rPr>
        <w:t>2</w:t>
      </w:r>
    </w:p>
    <w:p w14:paraId="3E1FA042">
      <w:pPr>
        <w:pStyle w:val="19"/>
        <w:tabs>
          <w:tab w:val="right" w:leader="dot" w:pos="9880"/>
        </w:tabs>
        <w:spacing w:line="520" w:lineRule="exact"/>
        <w:ind w:left="218" w:leftChars="104"/>
        <w:rPr>
          <w:rFonts w:hint="eastAsia" w:ascii="宋体" w:hAnsi="宋体" w:eastAsia="宋体" w:cs="宋体"/>
          <w:b w:val="0"/>
          <w:bCs w:val="0"/>
          <w:caps w:val="0"/>
          <w:color w:val="auto"/>
          <w:sz w:val="24"/>
          <w:szCs w:val="24"/>
          <w:lang w:eastAsia="zh-CN"/>
        </w:rPr>
      </w:pPr>
      <w:r>
        <w:rPr>
          <w:color w:val="auto"/>
        </w:rPr>
        <w:fldChar w:fldCharType="begin"/>
      </w:r>
      <w:r>
        <w:rPr>
          <w:color w:val="auto"/>
        </w:rPr>
        <w:instrText xml:space="preserve"> HYPERLINK \l "_Toc95223458" </w:instrText>
      </w:r>
      <w:r>
        <w:rPr>
          <w:color w:val="auto"/>
        </w:rPr>
        <w:fldChar w:fldCharType="separate"/>
      </w:r>
      <w:r>
        <w:rPr>
          <w:rFonts w:hint="eastAsia" w:ascii="宋体" w:hAnsi="宋体" w:cs="宋体"/>
          <w:color w:val="auto"/>
          <w:sz w:val="24"/>
          <w:szCs w:val="24"/>
        </w:rPr>
        <w:t>第五章 合同条款及格式</w:t>
      </w:r>
      <w:r>
        <w:rPr>
          <w:rFonts w:hint="eastAsia" w:ascii="宋体" w:hAnsi="宋体" w:cs="宋体"/>
          <w:color w:val="auto"/>
          <w:sz w:val="24"/>
          <w:szCs w:val="24"/>
        </w:rPr>
        <w:tab/>
      </w:r>
      <w:r>
        <w:rPr>
          <w:rFonts w:hint="eastAsia" w:ascii="宋体" w:hAnsi="宋体" w:cs="宋体"/>
          <w:color w:val="auto"/>
          <w:sz w:val="24"/>
          <w:szCs w:val="24"/>
          <w:lang w:val="en-US" w:eastAsia="zh-CN"/>
        </w:rPr>
        <w:t>5</w:t>
      </w:r>
      <w:r>
        <w:rPr>
          <w:rFonts w:hint="eastAsia" w:ascii="宋体" w:hAnsi="宋体" w:cs="宋体"/>
          <w:color w:val="auto"/>
          <w:sz w:val="24"/>
          <w:szCs w:val="24"/>
        </w:rPr>
        <w:fldChar w:fldCharType="end"/>
      </w:r>
      <w:r>
        <w:rPr>
          <w:rStyle w:val="33"/>
          <w:rFonts w:hint="eastAsia" w:ascii="宋体" w:hAnsi="宋体" w:cs="宋体"/>
          <w:color w:val="auto"/>
          <w:sz w:val="24"/>
          <w:szCs w:val="24"/>
          <w:lang w:val="en-US" w:eastAsia="zh-CN"/>
        </w:rPr>
        <w:t>3</w:t>
      </w:r>
    </w:p>
    <w:p w14:paraId="5A185DBE">
      <w:pPr>
        <w:pStyle w:val="19"/>
        <w:tabs>
          <w:tab w:val="right" w:leader="dot" w:pos="9880"/>
        </w:tabs>
        <w:spacing w:line="520" w:lineRule="exact"/>
        <w:ind w:left="218" w:leftChars="104"/>
        <w:rPr>
          <w:rFonts w:hint="eastAsia" w:ascii="宋体" w:hAnsi="宋体" w:eastAsia="宋体" w:cs="宋体"/>
          <w:b w:val="0"/>
          <w:bCs w:val="0"/>
          <w:caps w:val="0"/>
          <w:color w:val="auto"/>
          <w:sz w:val="24"/>
          <w:szCs w:val="24"/>
          <w:lang w:eastAsia="zh-CN"/>
        </w:rPr>
      </w:pPr>
      <w:r>
        <w:rPr>
          <w:color w:val="auto"/>
        </w:rPr>
        <w:fldChar w:fldCharType="begin"/>
      </w:r>
      <w:r>
        <w:rPr>
          <w:color w:val="auto"/>
        </w:rPr>
        <w:instrText xml:space="preserve"> HYPERLINK \l "_Toc95223515" </w:instrText>
      </w:r>
      <w:r>
        <w:rPr>
          <w:color w:val="auto"/>
        </w:rPr>
        <w:fldChar w:fldCharType="separate"/>
      </w:r>
      <w:r>
        <w:rPr>
          <w:rFonts w:hint="eastAsia" w:ascii="宋体" w:hAnsi="宋体" w:cs="宋体"/>
          <w:color w:val="auto"/>
          <w:kern w:val="44"/>
          <w:sz w:val="24"/>
          <w:szCs w:val="24"/>
        </w:rPr>
        <w:t>第六章 工程量清单</w:t>
      </w:r>
      <w:r>
        <w:rPr>
          <w:rFonts w:hint="eastAsia" w:ascii="宋体" w:hAnsi="宋体" w:cs="宋体"/>
          <w:color w:val="auto"/>
          <w:sz w:val="24"/>
          <w:szCs w:val="24"/>
        </w:rPr>
        <w:tab/>
      </w:r>
      <w:r>
        <w:rPr>
          <w:rFonts w:hint="eastAsia" w:ascii="宋体" w:hAnsi="宋体" w:cs="宋体"/>
          <w:color w:val="auto"/>
          <w:sz w:val="24"/>
          <w:szCs w:val="24"/>
        </w:rPr>
        <w:t>7</w:t>
      </w:r>
      <w:r>
        <w:rPr>
          <w:rFonts w:hint="eastAsia" w:ascii="宋体" w:hAnsi="宋体" w:cs="宋体"/>
          <w:color w:val="auto"/>
          <w:sz w:val="24"/>
          <w:szCs w:val="24"/>
        </w:rPr>
        <w:fldChar w:fldCharType="end"/>
      </w:r>
      <w:r>
        <w:rPr>
          <w:rStyle w:val="33"/>
          <w:rFonts w:hint="eastAsia" w:ascii="宋体" w:hAnsi="宋体" w:cs="宋体"/>
          <w:color w:val="auto"/>
          <w:sz w:val="24"/>
          <w:szCs w:val="24"/>
          <w:lang w:val="en-US" w:eastAsia="zh-CN"/>
        </w:rPr>
        <w:t>8</w:t>
      </w:r>
    </w:p>
    <w:p w14:paraId="69CB1FD9">
      <w:pPr>
        <w:pStyle w:val="19"/>
        <w:tabs>
          <w:tab w:val="right" w:leader="dot" w:pos="9880"/>
        </w:tabs>
        <w:spacing w:line="520" w:lineRule="exact"/>
        <w:ind w:left="218" w:leftChars="104"/>
        <w:rPr>
          <w:rFonts w:hint="eastAsia" w:ascii="宋体" w:hAnsi="宋体" w:eastAsia="宋体" w:cs="宋体"/>
          <w:b w:val="0"/>
          <w:bCs w:val="0"/>
          <w:caps w:val="0"/>
          <w:color w:val="auto"/>
          <w:sz w:val="24"/>
          <w:szCs w:val="24"/>
          <w:lang w:eastAsia="zh-CN"/>
        </w:rPr>
      </w:pPr>
      <w:r>
        <w:rPr>
          <w:color w:val="auto"/>
        </w:rPr>
        <w:fldChar w:fldCharType="begin"/>
      </w:r>
      <w:r>
        <w:rPr>
          <w:color w:val="auto"/>
        </w:rPr>
        <w:instrText xml:space="preserve"> HYPERLINK \l "_Toc95223522" </w:instrText>
      </w:r>
      <w:r>
        <w:rPr>
          <w:color w:val="auto"/>
        </w:rPr>
        <w:fldChar w:fldCharType="separate"/>
      </w:r>
      <w:r>
        <w:rPr>
          <w:rFonts w:hint="eastAsia" w:ascii="宋体" w:hAnsi="宋体" w:cs="宋体"/>
          <w:color w:val="auto"/>
          <w:kern w:val="44"/>
          <w:sz w:val="24"/>
          <w:szCs w:val="24"/>
        </w:rPr>
        <w:t>第七章 图  纸</w:t>
      </w:r>
      <w:r>
        <w:rPr>
          <w:rFonts w:hint="eastAsia" w:ascii="宋体" w:hAnsi="宋体" w:cs="宋体"/>
          <w:color w:val="auto"/>
          <w:sz w:val="24"/>
          <w:szCs w:val="24"/>
        </w:rPr>
        <w:tab/>
      </w:r>
      <w:r>
        <w:rPr>
          <w:rFonts w:hint="eastAsia" w:ascii="宋体" w:hAnsi="宋体" w:cs="宋体"/>
          <w:color w:val="auto"/>
          <w:sz w:val="24"/>
          <w:szCs w:val="24"/>
        </w:rPr>
        <w:t>7</w:t>
      </w:r>
      <w:r>
        <w:rPr>
          <w:rFonts w:hint="eastAsia" w:ascii="宋体" w:hAnsi="宋体" w:cs="宋体"/>
          <w:color w:val="auto"/>
          <w:sz w:val="24"/>
          <w:szCs w:val="24"/>
        </w:rPr>
        <w:fldChar w:fldCharType="end"/>
      </w:r>
      <w:r>
        <w:rPr>
          <w:rFonts w:hint="eastAsia" w:ascii="宋体" w:hAnsi="宋体" w:cs="宋体"/>
          <w:color w:val="auto"/>
          <w:sz w:val="24"/>
          <w:szCs w:val="24"/>
          <w:lang w:val="en-US" w:eastAsia="zh-CN"/>
        </w:rPr>
        <w:t>8</w:t>
      </w:r>
    </w:p>
    <w:p w14:paraId="07A47A93">
      <w:pPr>
        <w:pStyle w:val="19"/>
        <w:tabs>
          <w:tab w:val="right" w:leader="dot" w:pos="9880"/>
        </w:tabs>
        <w:spacing w:line="520" w:lineRule="exact"/>
        <w:ind w:left="218" w:leftChars="104"/>
        <w:rPr>
          <w:rFonts w:hint="eastAsia" w:ascii="宋体" w:hAnsi="宋体" w:eastAsia="宋体" w:cs="宋体"/>
          <w:b w:val="0"/>
          <w:bCs w:val="0"/>
          <w:caps w:val="0"/>
          <w:color w:val="auto"/>
          <w:sz w:val="24"/>
          <w:szCs w:val="24"/>
          <w:lang w:eastAsia="zh-CN"/>
        </w:rPr>
      </w:pPr>
      <w:r>
        <w:rPr>
          <w:color w:val="auto"/>
        </w:rPr>
        <w:fldChar w:fldCharType="begin"/>
      </w:r>
      <w:r>
        <w:rPr>
          <w:color w:val="auto"/>
        </w:rPr>
        <w:instrText xml:space="preserve"> HYPERLINK \l "_Toc95223525" </w:instrText>
      </w:r>
      <w:r>
        <w:rPr>
          <w:color w:val="auto"/>
        </w:rPr>
        <w:fldChar w:fldCharType="separate"/>
      </w:r>
      <w:r>
        <w:rPr>
          <w:rFonts w:hint="eastAsia" w:ascii="宋体" w:hAnsi="宋体" w:cs="宋体"/>
          <w:color w:val="auto"/>
          <w:kern w:val="44"/>
          <w:sz w:val="24"/>
          <w:szCs w:val="24"/>
        </w:rPr>
        <w:t>第八章 技术要求</w:t>
      </w:r>
      <w:r>
        <w:rPr>
          <w:rFonts w:hint="eastAsia" w:ascii="宋体" w:hAnsi="宋体" w:cs="宋体"/>
          <w:color w:val="auto"/>
          <w:sz w:val="24"/>
          <w:szCs w:val="24"/>
        </w:rPr>
        <w:tab/>
      </w:r>
      <w:r>
        <w:rPr>
          <w:rFonts w:hint="eastAsia" w:ascii="宋体" w:hAnsi="宋体" w:cs="宋体"/>
          <w:color w:val="auto"/>
          <w:sz w:val="24"/>
          <w:szCs w:val="24"/>
          <w:lang w:val="en-US" w:eastAsia="zh-CN"/>
        </w:rPr>
        <w:t>7</w:t>
      </w:r>
      <w:r>
        <w:rPr>
          <w:rFonts w:hint="eastAsia" w:ascii="宋体" w:hAnsi="宋体" w:cs="宋体"/>
          <w:color w:val="auto"/>
          <w:sz w:val="24"/>
          <w:szCs w:val="24"/>
        </w:rPr>
        <w:fldChar w:fldCharType="end"/>
      </w:r>
      <w:r>
        <w:rPr>
          <w:rFonts w:hint="eastAsia" w:ascii="宋体" w:hAnsi="宋体" w:cs="宋体"/>
          <w:color w:val="auto"/>
          <w:sz w:val="24"/>
          <w:szCs w:val="24"/>
          <w:lang w:val="en-US" w:eastAsia="zh-CN"/>
        </w:rPr>
        <w:t>9</w:t>
      </w:r>
    </w:p>
    <w:p w14:paraId="4EB95783">
      <w:pPr>
        <w:pStyle w:val="19"/>
        <w:tabs>
          <w:tab w:val="right" w:leader="dot" w:pos="9880"/>
        </w:tabs>
        <w:spacing w:line="520" w:lineRule="exact"/>
        <w:ind w:left="218" w:leftChars="104"/>
        <w:rPr>
          <w:rFonts w:hint="eastAsia" w:ascii="宋体" w:hAnsi="宋体" w:eastAsia="宋体" w:cs="宋体"/>
          <w:b w:val="0"/>
          <w:bCs w:val="0"/>
          <w:caps w:val="0"/>
          <w:color w:val="auto"/>
          <w:sz w:val="24"/>
          <w:szCs w:val="24"/>
          <w:lang w:eastAsia="zh-CN"/>
        </w:rPr>
      </w:pPr>
      <w:r>
        <w:rPr>
          <w:color w:val="auto"/>
        </w:rPr>
        <w:fldChar w:fldCharType="begin"/>
      </w:r>
      <w:r>
        <w:rPr>
          <w:color w:val="auto"/>
        </w:rPr>
        <w:instrText xml:space="preserve"> HYPERLINK \l "_Toc95223531" </w:instrText>
      </w:r>
      <w:r>
        <w:rPr>
          <w:color w:val="auto"/>
        </w:rPr>
        <w:fldChar w:fldCharType="separate"/>
      </w:r>
      <w:r>
        <w:rPr>
          <w:rFonts w:hint="eastAsia" w:ascii="宋体" w:hAnsi="宋体" w:cs="宋体"/>
          <w:color w:val="auto"/>
          <w:sz w:val="24"/>
          <w:szCs w:val="24"/>
        </w:rPr>
        <w:t>第九章 投标文件格式</w:t>
      </w:r>
      <w:r>
        <w:rPr>
          <w:rFonts w:hint="eastAsia" w:ascii="宋体" w:hAnsi="宋体" w:cs="宋体"/>
          <w:color w:val="auto"/>
          <w:sz w:val="24"/>
          <w:szCs w:val="24"/>
        </w:rPr>
        <w:tab/>
      </w:r>
      <w:r>
        <w:rPr>
          <w:rFonts w:hint="eastAsia" w:ascii="宋体" w:hAnsi="宋体" w:cs="宋体"/>
          <w:color w:val="auto"/>
          <w:sz w:val="24"/>
          <w:szCs w:val="24"/>
          <w:lang w:val="en-US" w:eastAsia="zh-CN"/>
        </w:rPr>
        <w:t>1</w:t>
      </w:r>
      <w:r>
        <w:rPr>
          <w:rFonts w:hint="eastAsia" w:ascii="宋体" w:hAnsi="宋体" w:cs="宋体"/>
          <w:color w:val="auto"/>
          <w:sz w:val="24"/>
          <w:szCs w:val="24"/>
        </w:rPr>
        <w:fldChar w:fldCharType="end"/>
      </w:r>
      <w:r>
        <w:rPr>
          <w:rFonts w:hint="eastAsia" w:ascii="宋体" w:hAnsi="宋体" w:cs="宋体"/>
          <w:color w:val="auto"/>
          <w:sz w:val="24"/>
          <w:szCs w:val="24"/>
          <w:lang w:val="en-US" w:eastAsia="zh-CN"/>
        </w:rPr>
        <w:t>4</w:t>
      </w:r>
      <w:r>
        <w:rPr>
          <w:rStyle w:val="33"/>
          <w:rFonts w:hint="eastAsia" w:ascii="宋体" w:hAnsi="宋体" w:cs="宋体"/>
          <w:color w:val="auto"/>
          <w:sz w:val="24"/>
          <w:szCs w:val="24"/>
          <w:lang w:val="en-US" w:eastAsia="zh-CN"/>
        </w:rPr>
        <w:t>2</w:t>
      </w:r>
    </w:p>
    <w:p w14:paraId="5A8CFD27">
      <w:pPr>
        <w:pStyle w:val="19"/>
        <w:tabs>
          <w:tab w:val="right" w:leader="dot" w:pos="9880"/>
        </w:tabs>
        <w:spacing w:line="520" w:lineRule="exact"/>
        <w:ind w:left="218" w:leftChars="104"/>
        <w:rPr>
          <w:rFonts w:hint="default" w:ascii="宋体" w:hAnsi="宋体" w:eastAsia="宋体" w:cs="宋体"/>
          <w:b w:val="0"/>
          <w:bCs w:val="0"/>
          <w:caps w:val="0"/>
          <w:color w:val="auto"/>
          <w:sz w:val="24"/>
          <w:szCs w:val="24"/>
          <w:lang w:val="en-US" w:eastAsia="zh-CN"/>
        </w:rPr>
      </w:pPr>
      <w:r>
        <w:rPr>
          <w:color w:val="auto"/>
        </w:rPr>
        <w:fldChar w:fldCharType="begin"/>
      </w:r>
      <w:r>
        <w:rPr>
          <w:color w:val="auto"/>
        </w:rPr>
        <w:instrText xml:space="preserve"> HYPERLINK \l "_Toc95223547" </w:instrText>
      </w:r>
      <w:r>
        <w:rPr>
          <w:color w:val="auto"/>
        </w:rPr>
        <w:fldChar w:fldCharType="separate"/>
      </w:r>
      <w:r>
        <w:rPr>
          <w:rFonts w:hint="eastAsia" w:ascii="宋体" w:hAnsi="宋体" w:cs="宋体"/>
          <w:color w:val="auto"/>
          <w:sz w:val="24"/>
          <w:szCs w:val="24"/>
        </w:rPr>
        <w:t>第十章 招标人、招标代理机构对本招标文件的确认</w:t>
      </w:r>
      <w:bookmarkStart w:id="0" w:name="_Hlt95223550"/>
      <w:bookmarkStart w:id="1" w:name="_Hlt95223551"/>
      <w:r>
        <w:rPr>
          <w:rFonts w:hint="eastAsia" w:ascii="宋体" w:hAnsi="宋体" w:cs="宋体"/>
          <w:color w:val="auto"/>
          <w:sz w:val="24"/>
          <w:szCs w:val="24"/>
        </w:rPr>
        <w:tab/>
      </w:r>
      <w:bookmarkEnd w:id="0"/>
      <w:bookmarkEnd w:id="1"/>
      <w:r>
        <w:rPr>
          <w:rFonts w:hint="eastAsia" w:ascii="宋体" w:hAnsi="宋体" w:cs="宋体"/>
          <w:color w:val="auto"/>
          <w:sz w:val="24"/>
          <w:szCs w:val="24"/>
        </w:rPr>
        <w:t>1</w:t>
      </w:r>
      <w:r>
        <w:rPr>
          <w:rFonts w:hint="eastAsia" w:ascii="宋体" w:hAnsi="宋体" w:cs="宋体"/>
          <w:color w:val="auto"/>
          <w:sz w:val="24"/>
          <w:szCs w:val="24"/>
        </w:rPr>
        <w:fldChar w:fldCharType="end"/>
      </w:r>
      <w:r>
        <w:rPr>
          <w:rStyle w:val="33"/>
          <w:rFonts w:hint="eastAsia" w:ascii="宋体" w:hAnsi="宋体" w:cs="宋体"/>
          <w:color w:val="auto"/>
          <w:sz w:val="24"/>
          <w:szCs w:val="24"/>
          <w:lang w:val="en-US" w:eastAsia="zh-CN"/>
        </w:rPr>
        <w:t>63</w:t>
      </w:r>
    </w:p>
    <w:p w14:paraId="526E3C57">
      <w:pPr>
        <w:pStyle w:val="2"/>
        <w:spacing w:line="520" w:lineRule="exact"/>
        <w:ind w:left="218" w:leftChars="104"/>
        <w:rPr>
          <w:rFonts w:ascii="宋体" w:hAnsi="宋体" w:cs="宋体"/>
          <w:color w:val="auto"/>
        </w:rPr>
      </w:pPr>
      <w:r>
        <w:rPr>
          <w:rFonts w:hint="eastAsia" w:ascii="宋体" w:hAnsi="宋体" w:cs="宋体"/>
          <w:color w:val="auto"/>
          <w:lang w:val="zh-CN"/>
        </w:rPr>
        <w:fldChar w:fldCharType="end"/>
      </w:r>
      <w:bookmarkStart w:id="2" w:name="_Toc95223332"/>
    </w:p>
    <w:p w14:paraId="2B42598A">
      <w:pPr>
        <w:rPr>
          <w:color w:val="auto"/>
        </w:rPr>
        <w:sectPr>
          <w:footnotePr>
            <w:numFmt w:val="decimalEnclosedCircleChinese"/>
            <w:numRestart w:val="eachPage"/>
          </w:footnotePr>
          <w:pgSz w:w="11910" w:h="16840"/>
          <w:pgMar w:top="1474" w:right="660" w:bottom="1474" w:left="1120" w:header="0" w:footer="833" w:gutter="0"/>
          <w:cols w:space="720" w:num="1"/>
          <w:docGrid w:linePitch="271" w:charSpace="0"/>
        </w:sectPr>
      </w:pPr>
    </w:p>
    <w:p w14:paraId="3D0DF8BC">
      <w:pPr>
        <w:pStyle w:val="2"/>
        <w:spacing w:before="156" w:beforeLines="50" w:after="156" w:afterLines="50" w:line="360" w:lineRule="auto"/>
        <w:jc w:val="center"/>
        <w:rPr>
          <w:rFonts w:ascii="宋体" w:hAnsi="宋体" w:cs="宋体"/>
          <w:color w:val="auto"/>
          <w:sz w:val="36"/>
          <w:szCs w:val="36"/>
          <w:lang w:val="zh-CN"/>
        </w:rPr>
      </w:pPr>
      <w:r>
        <w:rPr>
          <w:rFonts w:hint="eastAsia" w:ascii="宋体" w:hAnsi="宋体" w:cs="宋体"/>
          <w:color w:val="auto"/>
          <w:sz w:val="36"/>
          <w:szCs w:val="36"/>
        </w:rPr>
        <w:t>第一章  招标公告</w:t>
      </w:r>
      <w:bookmarkEnd w:id="2"/>
    </w:p>
    <w:p w14:paraId="3614B7EF">
      <w:pPr>
        <w:pStyle w:val="22"/>
        <w:spacing w:before="93" w:beforeLines="30" w:after="93" w:afterLines="30" w:line="360" w:lineRule="auto"/>
        <w:ind w:left="0" w:leftChars="0" w:firstLine="0" w:firstLineChars="0"/>
        <w:jc w:val="center"/>
        <w:rPr>
          <w:rFonts w:hint="eastAsia"/>
          <w:b/>
          <w:color w:val="auto"/>
          <w:sz w:val="28"/>
          <w:szCs w:val="28"/>
        </w:rPr>
      </w:pPr>
      <w:r>
        <w:rPr>
          <w:rFonts w:hint="eastAsia"/>
          <w:b/>
          <w:color w:val="auto"/>
          <w:sz w:val="28"/>
          <w:szCs w:val="28"/>
        </w:rPr>
        <w:t>滁州市自来水有限公司水厂水质保障提升</w:t>
      </w:r>
      <w:r>
        <w:rPr>
          <w:rFonts w:hint="eastAsia"/>
          <w:b/>
          <w:color w:val="auto"/>
          <w:sz w:val="28"/>
          <w:szCs w:val="28"/>
          <w:lang w:val="en-US" w:eastAsia="zh-CN"/>
        </w:rPr>
        <w:t>改造</w:t>
      </w:r>
      <w:r>
        <w:rPr>
          <w:rFonts w:hint="eastAsia"/>
          <w:b/>
          <w:color w:val="auto"/>
          <w:sz w:val="28"/>
          <w:szCs w:val="28"/>
        </w:rPr>
        <w:t>项目招标公告信息</w:t>
      </w:r>
    </w:p>
    <w:p w14:paraId="4E9769F3">
      <w:pPr>
        <w:pStyle w:val="22"/>
        <w:spacing w:before="93" w:beforeLines="30" w:after="93" w:afterLines="30" w:line="360" w:lineRule="auto"/>
        <w:ind w:left="0" w:leftChars="0" w:firstLine="0" w:firstLineChars="0"/>
        <w:jc w:val="center"/>
        <w:rPr>
          <w:b/>
          <w:color w:val="auto"/>
          <w:sz w:val="28"/>
          <w:szCs w:val="28"/>
        </w:rPr>
      </w:pPr>
      <w:r>
        <w:rPr>
          <w:rFonts w:hint="eastAsia"/>
          <w:b/>
          <w:color w:val="auto"/>
          <w:sz w:val="28"/>
          <w:szCs w:val="28"/>
        </w:rPr>
        <w:t>（电子招标投标）</w:t>
      </w:r>
    </w:p>
    <w:tbl>
      <w:tblPr>
        <w:tblStyle w:val="23"/>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8313"/>
      </w:tblGrid>
      <w:tr w14:paraId="2172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4C976F01">
            <w:pPr>
              <w:spacing w:line="520" w:lineRule="exact"/>
              <w:jc w:val="center"/>
              <w:rPr>
                <w:rFonts w:ascii="宋体" w:hAnsi="宋体" w:cs="宋体"/>
                <w:bCs/>
                <w:color w:val="auto"/>
                <w:kern w:val="1"/>
                <w:szCs w:val="21"/>
                <w:highlight w:val="none"/>
              </w:rPr>
            </w:pPr>
            <w:r>
              <w:rPr>
                <w:rFonts w:hint="eastAsia" w:ascii="宋体" w:hAnsi="宋体" w:cs="宋体"/>
                <w:b/>
                <w:bCs/>
                <w:color w:val="auto"/>
                <w:szCs w:val="21"/>
                <w:highlight w:val="none"/>
              </w:rPr>
              <w:t>招标条件</w:t>
            </w:r>
          </w:p>
        </w:tc>
      </w:tr>
      <w:tr w14:paraId="25BE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D4D44C7">
            <w:pPr>
              <w:spacing w:line="520" w:lineRule="exact"/>
              <w:jc w:val="center"/>
              <w:rPr>
                <w:rFonts w:ascii="宋体" w:hAnsi="宋体" w:cs="宋体"/>
                <w:bCs/>
                <w:color w:val="auto"/>
                <w:kern w:val="1"/>
                <w:szCs w:val="21"/>
                <w:highlight w:val="none"/>
              </w:rPr>
            </w:pPr>
            <w:r>
              <w:rPr>
                <w:rFonts w:hint="eastAsia" w:ascii="宋体" w:hAnsi="宋体" w:cs="宋体"/>
                <w:bCs/>
                <w:color w:val="auto"/>
                <w:kern w:val="1"/>
                <w:szCs w:val="21"/>
                <w:highlight w:val="none"/>
              </w:rPr>
              <w:t>项目</w:t>
            </w:r>
            <w:r>
              <w:rPr>
                <w:rFonts w:hint="eastAsia" w:ascii="宋体" w:hAnsi="宋体" w:cs="宋体"/>
                <w:color w:val="auto"/>
                <w:kern w:val="0"/>
                <w:szCs w:val="21"/>
                <w:highlight w:val="none"/>
              </w:rPr>
              <w:t>名称</w:t>
            </w:r>
          </w:p>
        </w:tc>
        <w:tc>
          <w:tcPr>
            <w:tcW w:w="8313" w:type="dxa"/>
          </w:tcPr>
          <w:p w14:paraId="77D99EE6">
            <w:pPr>
              <w:spacing w:line="520" w:lineRule="exact"/>
              <w:jc w:val="left"/>
              <w:rPr>
                <w:rFonts w:ascii="宋体" w:hAnsi="宋体" w:cs="宋体"/>
                <w:bCs/>
                <w:color w:val="auto"/>
                <w:kern w:val="1"/>
                <w:szCs w:val="21"/>
                <w:highlight w:val="none"/>
              </w:rPr>
            </w:pPr>
            <w:r>
              <w:rPr>
                <w:rFonts w:hint="eastAsia" w:ascii="宋体" w:hAnsi="宋体" w:cs="宋体"/>
                <w:bCs/>
                <w:color w:val="auto"/>
                <w:kern w:val="1"/>
                <w:szCs w:val="21"/>
                <w:highlight w:val="none"/>
              </w:rPr>
              <w:t>滁州市自来水有限公司水厂水质保障提升</w:t>
            </w:r>
            <w:r>
              <w:rPr>
                <w:rFonts w:hint="eastAsia" w:ascii="宋体" w:hAnsi="宋体" w:cs="宋体"/>
                <w:bCs/>
                <w:color w:val="auto"/>
                <w:kern w:val="1"/>
                <w:szCs w:val="21"/>
                <w:highlight w:val="none"/>
                <w:lang w:val="en-US" w:eastAsia="zh-CN"/>
              </w:rPr>
              <w:t>改造</w:t>
            </w:r>
            <w:r>
              <w:rPr>
                <w:rFonts w:hint="eastAsia" w:ascii="宋体" w:hAnsi="宋体" w:cs="宋体"/>
                <w:bCs/>
                <w:color w:val="auto"/>
                <w:kern w:val="1"/>
                <w:szCs w:val="21"/>
                <w:highlight w:val="none"/>
              </w:rPr>
              <w:t>项目</w:t>
            </w:r>
          </w:p>
        </w:tc>
      </w:tr>
      <w:tr w14:paraId="03F1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ACF22EE">
            <w:pPr>
              <w:widowControl/>
              <w:spacing w:line="520" w:lineRule="exact"/>
              <w:jc w:val="center"/>
              <w:rPr>
                <w:rFonts w:ascii="宋体" w:hAnsi="宋体" w:cs="宋体"/>
                <w:color w:val="auto"/>
                <w:kern w:val="0"/>
                <w:szCs w:val="21"/>
                <w:highlight w:val="none"/>
              </w:rPr>
            </w:pPr>
            <w:r>
              <w:rPr>
                <w:rFonts w:hint="eastAsia" w:ascii="宋体" w:hAnsi="宋体" w:cs="宋体"/>
                <w:bCs/>
                <w:snapToGrid w:val="0"/>
                <w:color w:val="auto"/>
                <w:kern w:val="0"/>
                <w:szCs w:val="21"/>
                <w:highlight w:val="none"/>
              </w:rPr>
              <w:t>项目审批、核准或备案机关名称</w:t>
            </w:r>
          </w:p>
        </w:tc>
        <w:tc>
          <w:tcPr>
            <w:tcW w:w="8313" w:type="dxa"/>
            <w:vAlign w:val="center"/>
          </w:tcPr>
          <w:p w14:paraId="4A1D4122">
            <w:pPr>
              <w:widowControl/>
              <w:spacing w:line="52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滁州市琅琊区发展和改革委员会</w:t>
            </w:r>
          </w:p>
        </w:tc>
      </w:tr>
      <w:tr w14:paraId="615B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FB4B12C">
            <w:pPr>
              <w:widowControl/>
              <w:spacing w:line="520" w:lineRule="exact"/>
              <w:jc w:val="center"/>
              <w:rPr>
                <w:rFonts w:ascii="宋体" w:hAnsi="宋体" w:cs="宋体"/>
                <w:color w:val="auto"/>
                <w:kern w:val="0"/>
                <w:szCs w:val="21"/>
                <w:highlight w:val="none"/>
              </w:rPr>
            </w:pPr>
            <w:r>
              <w:rPr>
                <w:rFonts w:hint="eastAsia" w:ascii="宋体" w:hAnsi="宋体" w:cs="宋体"/>
                <w:bCs/>
                <w:snapToGrid w:val="0"/>
                <w:color w:val="auto"/>
                <w:kern w:val="0"/>
                <w:szCs w:val="21"/>
                <w:highlight w:val="none"/>
              </w:rPr>
              <w:t>批文名称及编号</w:t>
            </w:r>
          </w:p>
        </w:tc>
        <w:tc>
          <w:tcPr>
            <w:tcW w:w="8313" w:type="dxa"/>
            <w:vAlign w:val="center"/>
          </w:tcPr>
          <w:p w14:paraId="23CA039C">
            <w:pPr>
              <w:widowControl/>
              <w:spacing w:line="52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琅琊区发展改革委项目备案表</w:t>
            </w:r>
            <w:r>
              <w:rPr>
                <w:rFonts w:hint="eastAsia" w:ascii="宋体" w:hAnsi="宋体" w:cs="宋体"/>
                <w:color w:val="auto"/>
                <w:szCs w:val="21"/>
                <w:highlight w:val="none"/>
                <w:lang w:eastAsia="zh-CN"/>
              </w:rPr>
              <w:t>（2509-341102-04-02-780596）</w:t>
            </w:r>
          </w:p>
        </w:tc>
      </w:tr>
      <w:tr w14:paraId="24A7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75" w:type="dxa"/>
            <w:vAlign w:val="center"/>
          </w:tcPr>
          <w:p w14:paraId="1D72E020">
            <w:pPr>
              <w:widowControl/>
              <w:spacing w:line="520" w:lineRule="exact"/>
              <w:jc w:val="center"/>
              <w:rPr>
                <w:rFonts w:ascii="宋体" w:hAnsi="宋体" w:cs="宋体"/>
                <w:color w:val="auto"/>
                <w:kern w:val="0"/>
                <w:szCs w:val="21"/>
                <w:highlight w:val="none"/>
              </w:rPr>
            </w:pPr>
            <w:r>
              <w:rPr>
                <w:rFonts w:hint="eastAsia" w:ascii="宋体" w:hAnsi="宋体" w:cs="宋体"/>
                <w:bCs/>
                <w:snapToGrid w:val="0"/>
                <w:color w:val="auto"/>
                <w:kern w:val="0"/>
                <w:szCs w:val="21"/>
                <w:highlight w:val="none"/>
              </w:rPr>
              <w:t>招标人</w:t>
            </w:r>
          </w:p>
        </w:tc>
        <w:tc>
          <w:tcPr>
            <w:tcW w:w="8313" w:type="dxa"/>
            <w:vAlign w:val="center"/>
          </w:tcPr>
          <w:p w14:paraId="78E67443">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滁州市自来水有限公司</w:t>
            </w:r>
          </w:p>
        </w:tc>
      </w:tr>
      <w:tr w14:paraId="2EB5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D7063FB">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项目业主</w:t>
            </w:r>
          </w:p>
        </w:tc>
        <w:tc>
          <w:tcPr>
            <w:tcW w:w="8313" w:type="dxa"/>
            <w:vAlign w:val="center"/>
          </w:tcPr>
          <w:p w14:paraId="4D2C4E69">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滁州市自来水有限公司</w:t>
            </w:r>
          </w:p>
        </w:tc>
      </w:tr>
      <w:tr w14:paraId="755F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40B093B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8313" w:type="dxa"/>
            <w:vAlign w:val="center"/>
          </w:tcPr>
          <w:p w14:paraId="4159EFAA">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自筹资金</w:t>
            </w:r>
          </w:p>
        </w:tc>
      </w:tr>
      <w:tr w14:paraId="0D92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A04C30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项目出资比例</w:t>
            </w:r>
          </w:p>
        </w:tc>
        <w:tc>
          <w:tcPr>
            <w:tcW w:w="8313" w:type="dxa"/>
            <w:vAlign w:val="center"/>
          </w:tcPr>
          <w:p w14:paraId="06DCB41F">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100%</w:t>
            </w:r>
          </w:p>
        </w:tc>
      </w:tr>
      <w:tr w14:paraId="0207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71B49ECA">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招标方式</w:t>
            </w:r>
          </w:p>
        </w:tc>
        <w:tc>
          <w:tcPr>
            <w:tcW w:w="8313" w:type="dxa"/>
            <w:vAlign w:val="center"/>
          </w:tcPr>
          <w:p w14:paraId="011BAABD">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公开招标</w:t>
            </w:r>
          </w:p>
        </w:tc>
      </w:tr>
      <w:tr w14:paraId="10AE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2BDE324">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评标办法</w:t>
            </w:r>
          </w:p>
        </w:tc>
        <w:tc>
          <w:tcPr>
            <w:tcW w:w="8313" w:type="dxa"/>
            <w:vAlign w:val="center"/>
          </w:tcPr>
          <w:p w14:paraId="372BC384">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综合评估法</w:t>
            </w:r>
          </w:p>
        </w:tc>
      </w:tr>
      <w:tr w14:paraId="5772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49DC8D85">
            <w:pPr>
              <w:widowControl/>
              <w:spacing w:line="520" w:lineRule="exact"/>
              <w:jc w:val="center"/>
              <w:rPr>
                <w:rFonts w:ascii="宋体" w:hAnsi="宋体" w:cs="宋体"/>
                <w:color w:val="auto"/>
                <w:szCs w:val="21"/>
                <w:highlight w:val="none"/>
              </w:rPr>
            </w:pPr>
            <w:r>
              <w:rPr>
                <w:rFonts w:hint="eastAsia" w:ascii="宋体" w:hAnsi="宋体" w:cs="宋体"/>
                <w:b/>
                <w:bCs/>
                <w:color w:val="auto"/>
                <w:szCs w:val="21"/>
                <w:highlight w:val="none"/>
              </w:rPr>
              <w:t>项目概况与招标范围</w:t>
            </w:r>
          </w:p>
        </w:tc>
      </w:tr>
      <w:tr w14:paraId="15DD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92ADCA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招标项目名称</w:t>
            </w:r>
          </w:p>
        </w:tc>
        <w:tc>
          <w:tcPr>
            <w:tcW w:w="8313" w:type="dxa"/>
            <w:vAlign w:val="center"/>
          </w:tcPr>
          <w:p w14:paraId="19A5237D">
            <w:pPr>
              <w:widowControl/>
              <w:spacing w:line="520" w:lineRule="exact"/>
              <w:jc w:val="left"/>
              <w:rPr>
                <w:rFonts w:ascii="宋体" w:hAnsi="宋体" w:cs="宋体"/>
                <w:color w:val="auto"/>
                <w:szCs w:val="21"/>
                <w:highlight w:val="none"/>
              </w:rPr>
            </w:pPr>
            <w:r>
              <w:rPr>
                <w:rFonts w:hint="eastAsia" w:ascii="宋体" w:hAnsi="宋体" w:cs="宋体"/>
                <w:bCs/>
                <w:color w:val="auto"/>
                <w:kern w:val="1"/>
                <w:szCs w:val="21"/>
                <w:highlight w:val="none"/>
              </w:rPr>
              <w:t>滁州市自来水有限公司水厂水质保障提升</w:t>
            </w:r>
            <w:r>
              <w:rPr>
                <w:rFonts w:hint="eastAsia" w:ascii="宋体" w:hAnsi="宋体" w:cs="宋体"/>
                <w:bCs/>
                <w:color w:val="auto"/>
                <w:kern w:val="1"/>
                <w:szCs w:val="21"/>
                <w:highlight w:val="none"/>
                <w:lang w:val="en-US" w:eastAsia="zh-CN"/>
              </w:rPr>
              <w:t>改造</w:t>
            </w:r>
            <w:r>
              <w:rPr>
                <w:rFonts w:hint="eastAsia" w:ascii="宋体" w:hAnsi="宋体" w:cs="宋体"/>
                <w:bCs/>
                <w:color w:val="auto"/>
                <w:kern w:val="1"/>
                <w:szCs w:val="21"/>
                <w:highlight w:val="none"/>
              </w:rPr>
              <w:t>项目</w:t>
            </w:r>
          </w:p>
        </w:tc>
      </w:tr>
      <w:tr w14:paraId="1A7F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DAA029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招标项目编号</w:t>
            </w:r>
          </w:p>
        </w:tc>
        <w:tc>
          <w:tcPr>
            <w:tcW w:w="8313" w:type="dxa"/>
            <w:vAlign w:val="center"/>
          </w:tcPr>
          <w:p w14:paraId="18FB7750">
            <w:pPr>
              <w:widowControl/>
              <w:spacing w:line="520" w:lineRule="exact"/>
              <w:jc w:val="left"/>
              <w:rPr>
                <w:rFonts w:ascii="宋体" w:hAnsi="宋体" w:cs="宋体"/>
                <w:color w:val="auto"/>
                <w:szCs w:val="21"/>
                <w:highlight w:val="none"/>
              </w:rPr>
            </w:pPr>
            <w:r>
              <w:rPr>
                <w:rFonts w:ascii="宋体" w:hAnsi="宋体" w:cs="宋体"/>
                <w:color w:val="auto"/>
                <w:szCs w:val="21"/>
                <w:highlight w:val="none"/>
              </w:rPr>
              <w:t>czsjgc20250</w:t>
            </w: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006</w:t>
            </w:r>
            <w:r>
              <w:rPr>
                <w:rFonts w:hint="eastAsia" w:ascii="宋体" w:hAnsi="宋体" w:cs="宋体"/>
                <w:color w:val="auto"/>
                <w:szCs w:val="21"/>
                <w:highlight w:val="none"/>
              </w:rPr>
              <w:t xml:space="preserve"> </w:t>
            </w:r>
          </w:p>
        </w:tc>
      </w:tr>
      <w:tr w14:paraId="6769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4ECE4A7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标段划分</w:t>
            </w:r>
          </w:p>
        </w:tc>
        <w:tc>
          <w:tcPr>
            <w:tcW w:w="8313" w:type="dxa"/>
            <w:vAlign w:val="center"/>
          </w:tcPr>
          <w:p w14:paraId="5EDB33D4">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一个标段</w:t>
            </w:r>
          </w:p>
        </w:tc>
      </w:tr>
      <w:tr w14:paraId="2D57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3F99BA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招标项目标段编号</w:t>
            </w:r>
          </w:p>
        </w:tc>
        <w:tc>
          <w:tcPr>
            <w:tcW w:w="8313" w:type="dxa"/>
            <w:vAlign w:val="center"/>
          </w:tcPr>
          <w:p w14:paraId="0113C434">
            <w:pPr>
              <w:widowControl/>
              <w:spacing w:line="520" w:lineRule="exact"/>
              <w:jc w:val="left"/>
              <w:rPr>
                <w:rFonts w:ascii="宋体" w:hAnsi="宋体" w:cs="宋体"/>
                <w:color w:val="auto"/>
                <w:szCs w:val="21"/>
                <w:highlight w:val="none"/>
              </w:rPr>
            </w:pPr>
            <w:r>
              <w:rPr>
                <w:rFonts w:ascii="宋体" w:hAnsi="宋体" w:cs="宋体"/>
                <w:color w:val="auto"/>
                <w:szCs w:val="21"/>
                <w:highlight w:val="none"/>
              </w:rPr>
              <w:t>czsjgc20250</w:t>
            </w: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006</w:t>
            </w:r>
            <w:r>
              <w:rPr>
                <w:rFonts w:hint="eastAsia" w:ascii="宋体" w:hAnsi="宋体" w:cs="宋体"/>
                <w:color w:val="auto"/>
                <w:szCs w:val="21"/>
                <w:highlight w:val="none"/>
              </w:rPr>
              <w:t xml:space="preserve"> </w:t>
            </w:r>
          </w:p>
        </w:tc>
      </w:tr>
      <w:tr w14:paraId="1EC8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A697C74">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8313" w:type="dxa"/>
            <w:vAlign w:val="center"/>
          </w:tcPr>
          <w:p w14:paraId="13EF16AB">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滁州市内</w:t>
            </w:r>
          </w:p>
        </w:tc>
      </w:tr>
      <w:tr w14:paraId="7DED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132E66C1">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建设规模</w:t>
            </w:r>
          </w:p>
        </w:tc>
        <w:tc>
          <w:tcPr>
            <w:tcW w:w="8313" w:type="dxa"/>
            <w:vAlign w:val="center"/>
          </w:tcPr>
          <w:p w14:paraId="3FA179FE">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滁州西涧湖水厂二车间设计规模10万吨/日、三水厂设计规模</w:t>
            </w:r>
            <w:r>
              <w:rPr>
                <w:rFonts w:ascii="宋体" w:hAnsi="宋体" w:cs="宋体"/>
                <w:color w:val="auto"/>
                <w:szCs w:val="21"/>
                <w:highlight w:val="none"/>
              </w:rPr>
              <w:t>15</w:t>
            </w:r>
            <w:r>
              <w:rPr>
                <w:rFonts w:hint="eastAsia" w:ascii="宋体" w:hAnsi="宋体" w:cs="宋体"/>
                <w:color w:val="auto"/>
                <w:szCs w:val="21"/>
                <w:highlight w:val="none"/>
              </w:rPr>
              <w:t>万吨/日、四水厂设计规模20万吨/日，自来水生产均采用混凝-沉淀-过滤-消毒常规工艺。本次建设内容包含但不限于增加二氧化碳投加工艺、精准加药系统改造、原水新增高锰酸钾复合盐及粉炭投加系统、滤池气浮工艺等。</w:t>
            </w:r>
          </w:p>
        </w:tc>
      </w:tr>
      <w:tr w14:paraId="1E9D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EF2E27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合同估算价</w:t>
            </w:r>
          </w:p>
        </w:tc>
        <w:tc>
          <w:tcPr>
            <w:tcW w:w="8313" w:type="dxa"/>
            <w:vAlign w:val="center"/>
          </w:tcPr>
          <w:p w14:paraId="74C798C1">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约</w:t>
            </w:r>
            <w:r>
              <w:rPr>
                <w:rFonts w:ascii="宋体" w:hAnsi="宋体" w:cs="宋体"/>
                <w:color w:val="auto"/>
                <w:szCs w:val="21"/>
                <w:highlight w:val="none"/>
              </w:rPr>
              <w:t>818</w:t>
            </w:r>
            <w:r>
              <w:rPr>
                <w:rFonts w:hint="eastAsia" w:ascii="宋体" w:hAnsi="宋体" w:cs="宋体"/>
                <w:color w:val="auto"/>
                <w:szCs w:val="21"/>
                <w:highlight w:val="none"/>
              </w:rPr>
              <w:t>万元</w:t>
            </w:r>
          </w:p>
        </w:tc>
      </w:tr>
      <w:tr w14:paraId="3A7B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FD1A3F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计划工期</w:t>
            </w:r>
          </w:p>
        </w:tc>
        <w:tc>
          <w:tcPr>
            <w:tcW w:w="8313" w:type="dxa"/>
            <w:vAlign w:val="center"/>
          </w:tcPr>
          <w:p w14:paraId="3ECCE6EB">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详见招标文件</w:t>
            </w:r>
          </w:p>
        </w:tc>
      </w:tr>
      <w:tr w14:paraId="5F8C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6C6E3D0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招标范围</w:t>
            </w:r>
          </w:p>
        </w:tc>
        <w:tc>
          <w:tcPr>
            <w:tcW w:w="8313" w:type="dxa"/>
            <w:vAlign w:val="center"/>
          </w:tcPr>
          <w:p w14:paraId="4E68A467">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本项目为设计采购施工一体化项目，具体内容详见《技术要求》及发布的初步设计文件。</w:t>
            </w:r>
          </w:p>
        </w:tc>
      </w:tr>
      <w:tr w14:paraId="011A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75" w:type="dxa"/>
            <w:vAlign w:val="center"/>
          </w:tcPr>
          <w:p w14:paraId="6785C45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项目类别</w:t>
            </w:r>
          </w:p>
        </w:tc>
        <w:tc>
          <w:tcPr>
            <w:tcW w:w="8313" w:type="dxa"/>
            <w:vAlign w:val="center"/>
          </w:tcPr>
          <w:p w14:paraId="3B813132">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市政公用工程</w:t>
            </w:r>
          </w:p>
        </w:tc>
      </w:tr>
      <w:tr w14:paraId="581D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246410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其他</w:t>
            </w:r>
          </w:p>
        </w:tc>
        <w:tc>
          <w:tcPr>
            <w:tcW w:w="8313" w:type="dxa"/>
            <w:vAlign w:val="center"/>
          </w:tcPr>
          <w:p w14:paraId="52385D88">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w:t>
            </w:r>
          </w:p>
        </w:tc>
      </w:tr>
      <w:tr w14:paraId="3E3C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3CE94F7B">
            <w:pPr>
              <w:widowControl/>
              <w:spacing w:line="520" w:lineRule="exact"/>
              <w:jc w:val="center"/>
              <w:rPr>
                <w:rFonts w:ascii="宋体" w:hAnsi="宋体" w:cs="宋体"/>
                <w:b/>
                <w:color w:val="auto"/>
                <w:szCs w:val="21"/>
                <w:highlight w:val="none"/>
              </w:rPr>
            </w:pPr>
            <w:r>
              <w:rPr>
                <w:rFonts w:hint="eastAsia" w:ascii="宋体" w:hAnsi="宋体" w:cs="宋体"/>
                <w:b/>
                <w:color w:val="auto"/>
                <w:szCs w:val="21"/>
                <w:highlight w:val="none"/>
              </w:rPr>
              <w:t>投标人资格要求</w:t>
            </w:r>
          </w:p>
        </w:tc>
      </w:tr>
      <w:tr w14:paraId="7FE3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E1AEFF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投标人资质条件</w:t>
            </w:r>
          </w:p>
        </w:tc>
        <w:tc>
          <w:tcPr>
            <w:tcW w:w="8313" w:type="dxa"/>
            <w:vAlign w:val="center"/>
          </w:tcPr>
          <w:p w14:paraId="31E149FF">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同时满足下列（1）和（2）：</w:t>
            </w:r>
          </w:p>
          <w:p w14:paraId="71E6D568">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（1）投标人须具备工程设计综合资质或工程设计市政行业甲级资质或工程设计市政行业（给水工程）专业甲级资质；</w:t>
            </w:r>
          </w:p>
          <w:p w14:paraId="4C47C38C">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 xml:space="preserve">（2）投标人须具备机电工程施工总承包三级（或以上）资质； </w:t>
            </w:r>
          </w:p>
        </w:tc>
      </w:tr>
      <w:tr w14:paraId="0084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FFAD0FB">
            <w:pPr>
              <w:widowControl/>
              <w:spacing w:line="520" w:lineRule="exact"/>
              <w:jc w:val="center"/>
              <w:rPr>
                <w:rFonts w:ascii="宋体" w:hAnsi="宋体" w:cs="宋体"/>
                <w:color w:val="auto"/>
                <w:kern w:val="0"/>
                <w:szCs w:val="21"/>
                <w:highlight w:val="none"/>
              </w:rPr>
            </w:pPr>
            <w:r>
              <w:rPr>
                <w:rFonts w:hint="eastAsia" w:ascii="宋体" w:hAnsi="宋体" w:cs="宋体"/>
                <w:bCs/>
                <w:snapToGrid w:val="0"/>
                <w:color w:val="auto"/>
                <w:kern w:val="0"/>
                <w:szCs w:val="21"/>
                <w:highlight w:val="none"/>
              </w:rPr>
              <w:t>项目负责人资格要求</w:t>
            </w:r>
          </w:p>
        </w:tc>
        <w:tc>
          <w:tcPr>
            <w:tcW w:w="8313" w:type="dxa"/>
            <w:vAlign w:val="center"/>
          </w:tcPr>
          <w:p w14:paraId="06B0751D">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（1）设计项目负责人：同时</w:t>
            </w:r>
            <w:r>
              <w:rPr>
                <w:rFonts w:hint="eastAsia" w:cs="宋体"/>
                <w:color w:val="auto"/>
                <w:szCs w:val="21"/>
                <w:highlight w:val="none"/>
              </w:rPr>
              <w:t>具备</w:t>
            </w:r>
            <w:r>
              <w:rPr>
                <w:rFonts w:hint="eastAsia"/>
                <w:color w:val="auto"/>
                <w:szCs w:val="21"/>
                <w:highlight w:val="none"/>
              </w:rPr>
              <w:t>注册公用设备工程师（给排水）证书和给排水专业高级</w:t>
            </w:r>
            <w:r>
              <w:rPr>
                <w:rFonts w:hint="eastAsia" w:ascii="宋体" w:hAnsi="宋体" w:cs="宋体"/>
                <w:color w:val="auto"/>
                <w:szCs w:val="21"/>
                <w:highlight w:val="none"/>
              </w:rPr>
              <w:t>（或以上）职称证书；</w:t>
            </w:r>
          </w:p>
          <w:p w14:paraId="3FDFFFF8">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（2）项目经理：投标人拟委任项目经理须具备机电工程专业二级（或以上）注册建造师资格</w:t>
            </w:r>
            <w:r>
              <w:rPr>
                <w:rFonts w:hint="eastAsia"/>
                <w:color w:val="auto"/>
                <w:szCs w:val="21"/>
                <w:highlight w:val="none"/>
              </w:rPr>
              <w:t>，同时具备有效的安全生产考核合格(B类)证书</w:t>
            </w:r>
            <w:r>
              <w:rPr>
                <w:rFonts w:hint="eastAsia" w:ascii="宋体" w:hAnsi="宋体" w:cs="宋体"/>
                <w:color w:val="auto"/>
                <w:szCs w:val="21"/>
                <w:highlight w:val="none"/>
              </w:rPr>
              <w:t>。本项目不接受投标截止时间前六个月内在滁州市区域内办理过项目经理（建造师）变更备案手续的原项目经理（建造师）作为拟任项目经理（建造师）参加投标。</w:t>
            </w:r>
          </w:p>
        </w:tc>
      </w:tr>
      <w:tr w14:paraId="2395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642966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信誉要求</w:t>
            </w:r>
          </w:p>
        </w:tc>
        <w:tc>
          <w:tcPr>
            <w:tcW w:w="8313" w:type="dxa"/>
            <w:vAlign w:val="center"/>
          </w:tcPr>
          <w:p w14:paraId="71326664">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1.投标人存在以下情形之一的，不得被确定为中标人：</w:t>
            </w:r>
          </w:p>
          <w:p w14:paraId="274A15AF">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①被列入“信用中国”网站“失信被执行人”的;</w:t>
            </w:r>
          </w:p>
          <w:p w14:paraId="6ED547C3">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②被列入“信用中国”网站“重大税收违法失信主体”的；</w:t>
            </w:r>
          </w:p>
          <w:p w14:paraId="15CA9A92">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③被列入“信用中国”网站“拖欠农民工工资失信联合惩戒对象名单”的；</w:t>
            </w:r>
          </w:p>
          <w:p w14:paraId="3E2B1A79">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④被列入“信用中国”网站 “严重失信主体名单”的；</w:t>
            </w:r>
          </w:p>
          <w:p w14:paraId="487D2F06">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⑤在“信用中国”网站上披露的仍在公示期的严重失信行为(具体行为类别及判定依据见附件2)的。</w:t>
            </w:r>
          </w:p>
          <w:p w14:paraId="0D8F6DBF">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⑥被列入国家企业信用信息公示系统网站“经营异常名录”或者“严重违法失信名单”的。</w:t>
            </w:r>
          </w:p>
          <w:p w14:paraId="5C205973">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⑦前三年有行贿犯罪行为的单位和个人；</w:t>
            </w:r>
          </w:p>
          <w:p w14:paraId="16E781AB">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⑧被滁州市县两级公管部门及各行业主管部门取消在一定期限内的投标资格且在取消期限内的；</w:t>
            </w:r>
          </w:p>
          <w:p w14:paraId="2D2DE4AB">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⑨因拖欠农民工工资被县级及以上有关行政主管部门限制投标资格且在限制期限内的；</w:t>
            </w:r>
          </w:p>
          <w:p w14:paraId="7D4BFC1E">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4F46BF37">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2.投标人所属分公司、办事处等分支机构存在第1条信誉要求①-⑩项情形之一的，</w:t>
            </w:r>
            <w:r>
              <w:rPr>
                <w:rFonts w:hint="eastAsia" w:ascii="宋体" w:hAnsi="宋体" w:cs="宋体"/>
                <w:color w:val="auto"/>
                <w:kern w:val="0"/>
                <w:szCs w:val="21"/>
                <w:highlight w:val="none"/>
              </w:rPr>
              <w:t>接受</w:t>
            </w:r>
            <w:r>
              <w:rPr>
                <w:rFonts w:hint="eastAsia" w:ascii="宋体" w:hAnsi="宋体" w:cs="宋体"/>
                <w:color w:val="auto"/>
                <w:szCs w:val="21"/>
                <w:highlight w:val="none"/>
              </w:rPr>
              <w:t>其被确定为中标人。</w:t>
            </w:r>
          </w:p>
          <w:p w14:paraId="12B2E82E">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备注：第1、2条按照附件1“关于联合惩戒失信行为加强信用查询管理的通知”查询或承诺。</w:t>
            </w:r>
          </w:p>
        </w:tc>
      </w:tr>
      <w:tr w14:paraId="5BEC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04B7D88">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联合体投标</w:t>
            </w:r>
          </w:p>
        </w:tc>
        <w:tc>
          <w:tcPr>
            <w:tcW w:w="8313" w:type="dxa"/>
            <w:vAlign w:val="center"/>
          </w:tcPr>
          <w:p w14:paraId="2D85CEA6">
            <w:pPr>
              <w:widowControl/>
              <w:adjustRightInd w:val="0"/>
              <w:snapToGrid w:val="0"/>
              <w:spacing w:line="560" w:lineRule="exact"/>
              <w:jc w:val="left"/>
              <w:rPr>
                <w:rFonts w:ascii="宋体" w:hAnsi="宋体" w:cs="宋体"/>
                <w:color w:val="auto"/>
                <w:kern w:val="0"/>
                <w:highlight w:val="none"/>
              </w:rPr>
            </w:pPr>
            <w:r>
              <w:rPr>
                <w:rFonts w:hint="eastAsia"/>
                <w:color w:val="auto"/>
                <w:highlight w:val="none"/>
              </w:rPr>
              <w:t>本次招标</w:t>
            </w:r>
            <w:r>
              <w:rPr>
                <w:rFonts w:hint="eastAsia" w:ascii="宋体" w:hAnsi="宋体" w:cs="宋体"/>
                <w:color w:val="auto"/>
                <w:kern w:val="0"/>
                <w:highlight w:val="none"/>
              </w:rPr>
              <w:t>接受</w:t>
            </w:r>
            <w:r>
              <w:rPr>
                <w:rFonts w:hint="eastAsia"/>
                <w:color w:val="auto"/>
                <w:highlight w:val="none"/>
              </w:rPr>
              <w:t>联合体投标</w:t>
            </w:r>
            <w:r>
              <w:rPr>
                <w:rFonts w:hint="eastAsia" w:ascii="宋体" w:hAnsi="宋体" w:cs="宋体"/>
                <w:color w:val="auto"/>
                <w:kern w:val="0"/>
                <w:highlight w:val="none"/>
              </w:rPr>
              <w:t>，应满足下列要求：</w:t>
            </w:r>
          </w:p>
          <w:p w14:paraId="42C3025A">
            <w:pPr>
              <w:widowControl/>
              <w:adjustRightInd w:val="0"/>
              <w:snapToGrid w:val="0"/>
              <w:spacing w:line="56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1.本项目设计内容由具备工程设计综合资质或工程设计市政行业甲级资质或工程设计市政行业（给水工程）专业甲级资质的企业担任，该设计单位作为联合体牵头方，并派设计项目负责人；本项目施工内容由具备机电工程施工总承包三级（或以上）资质的企业担任，该施工单位作为联合体成员方，并派项目经理；本项目采购内容由具有独立承担民事责任能力的企业担任，可以由设计单位或施工单位兼任，该采购单位作为联合体成员方，承担本项目的所有设备采购、项目管理、沟通协调等内容。</w:t>
            </w:r>
          </w:p>
          <w:p w14:paraId="1A273668">
            <w:pPr>
              <w:widowControl/>
              <w:adjustRightInd w:val="0"/>
              <w:snapToGrid w:val="0"/>
              <w:spacing w:line="560" w:lineRule="exact"/>
              <w:jc w:val="left"/>
              <w:rPr>
                <w:rFonts w:ascii="宋体" w:hAnsi="宋体" w:cs="宋体"/>
                <w:color w:val="auto"/>
                <w:kern w:val="0"/>
                <w:szCs w:val="21"/>
                <w:highlight w:val="none"/>
              </w:rPr>
            </w:pPr>
            <w:r>
              <w:rPr>
                <w:rFonts w:hint="eastAsia" w:ascii="宋体" w:hAnsi="宋体" w:cs="宋体"/>
                <w:bCs/>
                <w:color w:val="auto"/>
                <w:kern w:val="0"/>
                <w:szCs w:val="21"/>
                <w:highlight w:val="none"/>
              </w:rPr>
              <w:t>2.联合体参加投标的，</w:t>
            </w:r>
            <w:r>
              <w:rPr>
                <w:rFonts w:hint="eastAsia" w:ascii="宋体" w:hAnsi="宋体" w:cs="宋体"/>
                <w:b/>
                <w:color w:val="auto"/>
                <w:kern w:val="0"/>
                <w:szCs w:val="21"/>
                <w:highlight w:val="none"/>
              </w:rPr>
              <w:t xml:space="preserve">联合体（牵头方和成员方）总数不得超过 </w:t>
            </w:r>
            <w:r>
              <w:rPr>
                <w:rFonts w:hint="eastAsia" w:ascii="宋体" w:hAnsi="宋体" w:cs="宋体"/>
                <w:b/>
                <w:color w:val="auto"/>
                <w:kern w:val="0"/>
                <w:szCs w:val="21"/>
                <w:highlight w:val="none"/>
                <w:u w:val="single"/>
              </w:rPr>
              <w:t>3</w:t>
            </w:r>
            <w:r>
              <w:rPr>
                <w:rFonts w:hint="eastAsia" w:ascii="宋体" w:hAnsi="宋体" w:cs="宋体"/>
                <w:b/>
                <w:color w:val="auto"/>
                <w:kern w:val="0"/>
                <w:szCs w:val="21"/>
                <w:highlight w:val="none"/>
              </w:rPr>
              <w:t>家</w:t>
            </w:r>
            <w:r>
              <w:rPr>
                <w:color w:val="auto"/>
                <w:spacing w:val="-2"/>
                <w:szCs w:val="21"/>
                <w:highlight w:val="none"/>
              </w:rPr>
              <w:t>。</w:t>
            </w:r>
            <w:r>
              <w:rPr>
                <w:rFonts w:hint="eastAsia" w:ascii="宋体" w:hAnsi="宋体" w:cs="宋体"/>
                <w:bCs/>
                <w:color w:val="auto"/>
                <w:kern w:val="0"/>
                <w:szCs w:val="21"/>
                <w:highlight w:val="none"/>
              </w:rPr>
              <w:t>同一专业工程由一个单位承担的，按照承担单位资质确定资质等级；同一专业工程由两个单位共同承担的，按照资质等级较低的单位确定资质等级；不同专业工程由不同单位分别承担的，按照各单位的相应资质确定联合体</w:t>
            </w:r>
            <w:r>
              <w:rPr>
                <w:rFonts w:hint="eastAsia" w:ascii="宋体" w:hAnsi="宋体" w:cs="宋体"/>
                <w:color w:val="auto"/>
                <w:kern w:val="0"/>
                <w:szCs w:val="21"/>
                <w:highlight w:val="none"/>
              </w:rPr>
              <w:t>的资质。联合体牵头人和联合体成员按专业分工确定的联合体资质须满足招标文件的要求。</w:t>
            </w:r>
          </w:p>
          <w:p w14:paraId="25B99C68">
            <w:pPr>
              <w:widowControl/>
              <w:adjustRightInd w:val="0"/>
              <w:snapToGrid w:val="0"/>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3.联合体参加投标的，招标文件下载、投标保证金缴纳、投标文件编制、电子签章、网上递交标书、解密等工作均由其牵头人负责办理，其他联合体成员方按招标文件要求提供相关材料即可。</w:t>
            </w:r>
          </w:p>
          <w:p w14:paraId="7DDB7C91">
            <w:pPr>
              <w:adjustRightInd w:val="0"/>
              <w:snapToGrid w:val="0"/>
              <w:spacing w:line="560" w:lineRule="exact"/>
              <w:rPr>
                <w:rFonts w:ascii="宋体" w:hAnsi="宋体" w:cs="宋体"/>
                <w:color w:val="auto"/>
                <w:kern w:val="0"/>
                <w:szCs w:val="21"/>
                <w:highlight w:val="none"/>
              </w:rPr>
            </w:pPr>
            <w:r>
              <w:rPr>
                <w:rFonts w:hint="eastAsia" w:ascii="宋体" w:hAnsi="宋体" w:cs="宋体"/>
                <w:color w:val="auto"/>
                <w:kern w:val="0"/>
                <w:szCs w:val="21"/>
                <w:highlight w:val="none"/>
              </w:rPr>
              <w:t>4.联合体参加投标的，一旦中标，联合体各方将向招标人承担连带责任，各方应服从招标人的管理。</w:t>
            </w:r>
          </w:p>
          <w:p w14:paraId="34FBD03D">
            <w:pPr>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若为联合体投标的，联合体投标牵头方必须在投标文件中填报派驻项目经理（建造师）A岗，联合体成员方可根据项目情况自行选择是否在投标文件中填报派驻项目经理（建造师）B岗，若派驻，AB岗须满足项目经理资格要求。如联合体成员方没有在投标文件中填报派驻项目经理（建造师） B岗的，视为放弃填报派驻项目经理（建造师） B岗的权利，中标后不予填报增派。</w:t>
            </w:r>
          </w:p>
          <w:p w14:paraId="59636002">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6.联合体牵头人及成员单位共同对所提交的投标文件及相关证书材料的真实合规性负责。如联合体任一方出现保证金不予退还的情形，联合体所缴纳的投标保证金均不予退还。</w:t>
            </w:r>
          </w:p>
        </w:tc>
      </w:tr>
      <w:tr w14:paraId="46C4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5A8BB6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多标段投标</w:t>
            </w:r>
          </w:p>
        </w:tc>
        <w:tc>
          <w:tcPr>
            <w:tcW w:w="8313" w:type="dxa"/>
            <w:vAlign w:val="center"/>
          </w:tcPr>
          <w:p w14:paraId="30AA09E0">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w:t>
            </w:r>
          </w:p>
        </w:tc>
      </w:tr>
      <w:tr w14:paraId="6F7D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7B893E5">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其他要求</w:t>
            </w:r>
          </w:p>
        </w:tc>
        <w:tc>
          <w:tcPr>
            <w:tcW w:w="8313" w:type="dxa"/>
            <w:vAlign w:val="center"/>
          </w:tcPr>
          <w:p w14:paraId="4DD80F0F">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p>
        </w:tc>
      </w:tr>
      <w:tr w14:paraId="618D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591C981A">
            <w:pPr>
              <w:widowControl/>
              <w:spacing w:line="520" w:lineRule="exact"/>
              <w:jc w:val="center"/>
              <w:rPr>
                <w:rFonts w:ascii="宋体" w:hAnsi="宋体" w:cs="宋体"/>
                <w:b/>
                <w:color w:val="auto"/>
                <w:szCs w:val="21"/>
                <w:highlight w:val="none"/>
              </w:rPr>
            </w:pPr>
            <w:r>
              <w:rPr>
                <w:rFonts w:hint="eastAsia" w:ascii="宋体" w:hAnsi="宋体" w:cs="宋体"/>
                <w:b/>
                <w:color w:val="auto"/>
                <w:szCs w:val="21"/>
                <w:highlight w:val="none"/>
              </w:rPr>
              <w:t>招标文件的获取</w:t>
            </w:r>
          </w:p>
        </w:tc>
      </w:tr>
      <w:tr w14:paraId="4D0F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71C2F9E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获取时间</w:t>
            </w:r>
          </w:p>
        </w:tc>
        <w:tc>
          <w:tcPr>
            <w:tcW w:w="8313" w:type="dxa"/>
            <w:vAlign w:val="center"/>
          </w:tcPr>
          <w:p w14:paraId="62E62C43">
            <w:pPr>
              <w:widowControl/>
              <w:spacing w:line="520" w:lineRule="exact"/>
              <w:jc w:val="left"/>
              <w:rPr>
                <w:rFonts w:ascii="宋体" w:hAnsi="宋体" w:cs="宋体"/>
                <w:color w:val="auto"/>
                <w:szCs w:val="21"/>
                <w:highlight w:val="none"/>
              </w:rPr>
            </w:pPr>
            <w:r>
              <w:rPr>
                <w:rFonts w:hint="eastAsia" w:ascii="宋体" w:hAnsi="宋体" w:cs="宋体"/>
                <w:bCs/>
                <w:snapToGrid w:val="0"/>
                <w:color w:val="auto"/>
                <w:kern w:val="0"/>
                <w:szCs w:val="21"/>
                <w:highlight w:val="none"/>
              </w:rPr>
              <w:t>2025年</w:t>
            </w:r>
            <w:r>
              <w:rPr>
                <w:rFonts w:hint="eastAsia" w:ascii="宋体" w:hAnsi="宋体" w:cs="宋体"/>
                <w:bCs/>
                <w:snapToGrid w:val="0"/>
                <w:color w:val="auto"/>
                <w:kern w:val="0"/>
                <w:szCs w:val="21"/>
                <w:highlight w:val="none"/>
                <w:lang w:val="en-US" w:eastAsia="zh-CN"/>
              </w:rPr>
              <w:t>9</w:t>
            </w:r>
            <w:r>
              <w:rPr>
                <w:rFonts w:hint="eastAsia" w:ascii="宋体" w:hAnsi="宋体" w:cs="宋体"/>
                <w:bCs/>
                <w:snapToGrid w:val="0"/>
                <w:color w:val="auto"/>
                <w:kern w:val="0"/>
                <w:szCs w:val="21"/>
                <w:highlight w:val="none"/>
              </w:rPr>
              <w:t>月</w:t>
            </w:r>
            <w:r>
              <w:rPr>
                <w:rFonts w:hint="eastAsia" w:ascii="宋体" w:hAnsi="宋体" w:cs="宋体"/>
                <w:bCs/>
                <w:snapToGrid w:val="0"/>
                <w:color w:val="auto"/>
                <w:kern w:val="0"/>
                <w:szCs w:val="21"/>
                <w:highlight w:val="none"/>
                <w:lang w:val="en-US" w:eastAsia="zh-CN"/>
              </w:rPr>
              <w:t>18</w:t>
            </w:r>
            <w:r>
              <w:rPr>
                <w:rFonts w:hint="eastAsia" w:ascii="宋体" w:hAnsi="宋体" w:cs="宋体"/>
                <w:bCs/>
                <w:snapToGrid w:val="0"/>
                <w:color w:val="auto"/>
                <w:kern w:val="0"/>
                <w:szCs w:val="21"/>
                <w:highlight w:val="none"/>
              </w:rPr>
              <w:t>日17时 00分至2025年</w:t>
            </w:r>
            <w:r>
              <w:rPr>
                <w:rFonts w:hint="eastAsia" w:ascii="宋体" w:hAnsi="宋体" w:cs="宋体"/>
                <w:bCs/>
                <w:snapToGrid w:val="0"/>
                <w:color w:val="auto"/>
                <w:kern w:val="0"/>
                <w:szCs w:val="21"/>
                <w:highlight w:val="none"/>
                <w:lang w:val="en-US" w:eastAsia="zh-CN"/>
              </w:rPr>
              <w:t>10</w:t>
            </w:r>
            <w:r>
              <w:rPr>
                <w:rFonts w:hint="eastAsia" w:ascii="宋体" w:hAnsi="宋体" w:cs="宋体"/>
                <w:bCs/>
                <w:snapToGrid w:val="0"/>
                <w:color w:val="auto"/>
                <w:kern w:val="0"/>
                <w:szCs w:val="21"/>
                <w:highlight w:val="none"/>
              </w:rPr>
              <w:t>月</w:t>
            </w:r>
            <w:r>
              <w:rPr>
                <w:rFonts w:hint="eastAsia" w:ascii="宋体" w:hAnsi="宋体" w:cs="宋体"/>
                <w:bCs/>
                <w:snapToGrid w:val="0"/>
                <w:color w:val="auto"/>
                <w:kern w:val="0"/>
                <w:szCs w:val="21"/>
                <w:highlight w:val="none"/>
                <w:lang w:val="en-US" w:eastAsia="zh-CN"/>
              </w:rPr>
              <w:t>11</w:t>
            </w:r>
            <w:r>
              <w:rPr>
                <w:rFonts w:hint="eastAsia" w:ascii="宋体" w:hAnsi="宋体" w:cs="宋体"/>
                <w:bCs/>
                <w:snapToGrid w:val="0"/>
                <w:color w:val="auto"/>
                <w:kern w:val="0"/>
                <w:szCs w:val="21"/>
                <w:highlight w:val="none"/>
              </w:rPr>
              <w:t>日8时00分。</w:t>
            </w:r>
          </w:p>
        </w:tc>
      </w:tr>
      <w:tr w14:paraId="2B0A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4768EDA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获取方式</w:t>
            </w:r>
          </w:p>
        </w:tc>
        <w:tc>
          <w:tcPr>
            <w:tcW w:w="8313" w:type="dxa"/>
            <w:vAlign w:val="center"/>
          </w:tcPr>
          <w:p w14:paraId="6AA2FE77">
            <w:pPr>
              <w:adjustRightInd w:val="0"/>
              <w:snapToGrid w:val="0"/>
              <w:spacing w:line="520" w:lineRule="exac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1.潜在投标人须登录</w:t>
            </w:r>
            <w:r>
              <w:rPr>
                <w:rFonts w:hint="eastAsia" w:ascii="宋体" w:hAnsi="宋体" w:cs="宋体"/>
                <w:bCs/>
                <w:snapToGrid w:val="0"/>
                <w:color w:val="auto"/>
                <w:kern w:val="0"/>
                <w:szCs w:val="21"/>
                <w:highlight w:val="none"/>
                <w:u w:val="single"/>
              </w:rPr>
              <w:t>滁州市公共资源交易中心网站（http://ggzy.chuzhou.gov.cn/）</w:t>
            </w:r>
            <w:r>
              <w:rPr>
                <w:rFonts w:hint="eastAsia" w:ascii="宋体" w:hAnsi="宋体" w:cs="宋体"/>
                <w:bCs/>
                <w:snapToGrid w:val="0"/>
                <w:color w:val="auto"/>
                <w:kern w:val="0"/>
                <w:szCs w:val="21"/>
                <w:highlight w:val="none"/>
              </w:rPr>
              <w:t>查阅并下载电子招标文件。</w:t>
            </w:r>
          </w:p>
          <w:p w14:paraId="0E453498">
            <w:pPr>
              <w:widowControl/>
              <w:wordWrap w:val="0"/>
              <w:spacing w:line="520" w:lineRule="exact"/>
              <w:jc w:val="left"/>
              <w:rPr>
                <w:rFonts w:ascii="宋体" w:hAnsi="宋体" w:cs="宋体"/>
                <w:color w:val="auto"/>
                <w:szCs w:val="21"/>
                <w:highlight w:val="none"/>
              </w:rPr>
            </w:pPr>
            <w:r>
              <w:rPr>
                <w:rFonts w:hint="eastAsia" w:ascii="宋体" w:hAnsi="宋体" w:cs="宋体"/>
                <w:bCs/>
                <w:snapToGrid w:val="0"/>
                <w:color w:val="auto"/>
                <w:kern w:val="0"/>
                <w:szCs w:val="21"/>
                <w:highlight w:val="none"/>
              </w:rPr>
              <w:t>2.招标文件获取过程中有任何疑问，请在工作时间（工作时间：工作日</w:t>
            </w:r>
            <w:r>
              <w:rPr>
                <w:rFonts w:hint="eastAsia" w:ascii="宋体" w:hAnsi="宋体" w:cs="宋体"/>
                <w:bCs/>
                <w:snapToGrid w:val="0"/>
                <w:color w:val="auto"/>
                <w:kern w:val="0"/>
                <w:szCs w:val="21"/>
                <w:highlight w:val="none"/>
                <w:u w:val="single"/>
              </w:rPr>
              <w:t>8:00-12:00,14:30-17:30</w:t>
            </w:r>
            <w:r>
              <w:rPr>
                <w:rFonts w:hint="eastAsia" w:ascii="宋体" w:hAnsi="宋体" w:cs="宋体"/>
                <w:bCs/>
                <w:snapToGrid w:val="0"/>
                <w:color w:val="auto"/>
                <w:kern w:val="0"/>
                <w:szCs w:val="21"/>
                <w:highlight w:val="none"/>
              </w:rPr>
              <w:t>）拨打</w:t>
            </w:r>
            <w:r>
              <w:rPr>
                <w:rFonts w:hint="eastAsia" w:ascii="宋体" w:hAnsi="宋体" w:cs="宋体"/>
                <w:bCs/>
                <w:snapToGrid w:val="0"/>
                <w:color w:val="auto"/>
                <w:kern w:val="0"/>
                <w:szCs w:val="21"/>
                <w:highlight w:val="none"/>
                <w:u w:val="single"/>
              </w:rPr>
              <w:t>0550-3801701</w:t>
            </w:r>
            <w:r>
              <w:rPr>
                <w:rFonts w:hint="eastAsia" w:ascii="宋体" w:hAnsi="宋体" w:cs="宋体"/>
                <w:bCs/>
                <w:snapToGrid w:val="0"/>
                <w:color w:val="auto"/>
                <w:kern w:val="0"/>
                <w:szCs w:val="21"/>
                <w:highlight w:val="none"/>
              </w:rPr>
              <w:t>。</w:t>
            </w:r>
          </w:p>
        </w:tc>
      </w:tr>
      <w:tr w14:paraId="7E78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4600BD3">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招标公告发布时间</w:t>
            </w:r>
          </w:p>
        </w:tc>
        <w:tc>
          <w:tcPr>
            <w:tcW w:w="8313" w:type="dxa"/>
            <w:vAlign w:val="center"/>
          </w:tcPr>
          <w:p w14:paraId="51D9D524">
            <w:pPr>
              <w:widowControl/>
              <w:spacing w:line="520" w:lineRule="exact"/>
              <w:jc w:val="left"/>
              <w:rPr>
                <w:rFonts w:ascii="宋体" w:hAnsi="宋体" w:cs="宋体"/>
                <w:color w:val="auto"/>
                <w:kern w:val="0"/>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p>
        </w:tc>
      </w:tr>
      <w:tr w14:paraId="2BA5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4F80665C">
            <w:pPr>
              <w:widowControl/>
              <w:spacing w:line="520" w:lineRule="exact"/>
              <w:jc w:val="center"/>
              <w:rPr>
                <w:rFonts w:ascii="宋体" w:hAnsi="宋体" w:cs="宋体"/>
                <w:color w:val="auto"/>
                <w:kern w:val="0"/>
                <w:szCs w:val="21"/>
                <w:highlight w:val="none"/>
              </w:rPr>
            </w:pPr>
            <w:r>
              <w:rPr>
                <w:rFonts w:hint="eastAsia" w:ascii="宋体" w:hAnsi="宋体" w:cs="宋体"/>
                <w:color w:val="auto"/>
                <w:szCs w:val="21"/>
                <w:highlight w:val="none"/>
              </w:rPr>
              <w:t>投标文件递交的截止时间</w:t>
            </w:r>
          </w:p>
        </w:tc>
        <w:tc>
          <w:tcPr>
            <w:tcW w:w="8313" w:type="dxa"/>
            <w:vAlign w:val="center"/>
          </w:tcPr>
          <w:p w14:paraId="5E614AD4">
            <w:pPr>
              <w:widowControl/>
              <w:spacing w:line="520" w:lineRule="exact"/>
              <w:jc w:val="left"/>
              <w:rPr>
                <w:rFonts w:ascii="宋体" w:hAnsi="宋体" w:cs="宋体"/>
                <w:color w:val="auto"/>
                <w:kern w:val="0"/>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w:t>
            </w:r>
            <w:bookmarkStart w:id="932" w:name="_GoBack"/>
            <w:bookmarkEnd w:id="932"/>
            <w:r>
              <w:rPr>
                <w:rFonts w:hint="eastAsia" w:ascii="宋体" w:hAnsi="宋体" w:cs="宋体"/>
                <w:color w:val="auto"/>
                <w:szCs w:val="21"/>
                <w:highlight w:val="none"/>
              </w:rPr>
              <w:t>8时00分</w:t>
            </w:r>
          </w:p>
        </w:tc>
      </w:tr>
      <w:tr w14:paraId="1622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62411EE3">
            <w:pPr>
              <w:widowControl/>
              <w:spacing w:line="520" w:lineRule="exact"/>
              <w:jc w:val="center"/>
              <w:rPr>
                <w:rFonts w:ascii="宋体" w:hAnsi="宋体" w:cs="宋体"/>
                <w:color w:val="auto"/>
                <w:szCs w:val="21"/>
                <w:highlight w:val="none"/>
              </w:rPr>
            </w:pPr>
            <w:r>
              <w:rPr>
                <w:rFonts w:hint="eastAsia" w:ascii="宋体" w:hAnsi="宋体" w:cs="宋体"/>
                <w:color w:val="auto"/>
                <w:szCs w:val="21"/>
                <w:highlight w:val="none"/>
              </w:rPr>
              <w:t>投标文件递交的方式</w:t>
            </w:r>
          </w:p>
        </w:tc>
        <w:tc>
          <w:tcPr>
            <w:tcW w:w="8313" w:type="dxa"/>
            <w:vAlign w:val="center"/>
          </w:tcPr>
          <w:p w14:paraId="572D966B">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投标人应在投标截止时间前通过滁州市公共资源交易中心交易系统递交电子投标文件。</w:t>
            </w:r>
          </w:p>
        </w:tc>
      </w:tr>
      <w:tr w14:paraId="1F10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75" w:type="dxa"/>
            <w:vAlign w:val="center"/>
          </w:tcPr>
          <w:p w14:paraId="303D1065">
            <w:pPr>
              <w:widowControl/>
              <w:spacing w:line="520" w:lineRule="exact"/>
              <w:jc w:val="center"/>
              <w:rPr>
                <w:rFonts w:ascii="宋体" w:hAnsi="宋体" w:cs="宋体"/>
                <w:color w:val="auto"/>
                <w:kern w:val="0"/>
                <w:szCs w:val="21"/>
                <w:highlight w:val="none"/>
              </w:rPr>
            </w:pPr>
            <w:r>
              <w:rPr>
                <w:rFonts w:hint="eastAsia" w:ascii="宋体" w:hAnsi="宋体" w:cs="宋体"/>
                <w:color w:val="auto"/>
                <w:szCs w:val="21"/>
                <w:highlight w:val="none"/>
              </w:rPr>
              <w:t>开标时间</w:t>
            </w:r>
          </w:p>
        </w:tc>
        <w:tc>
          <w:tcPr>
            <w:tcW w:w="8313" w:type="dxa"/>
            <w:vAlign w:val="center"/>
          </w:tcPr>
          <w:p w14:paraId="56E9A2EC">
            <w:pPr>
              <w:widowControl/>
              <w:spacing w:line="520" w:lineRule="exact"/>
              <w:jc w:val="left"/>
              <w:rPr>
                <w:rFonts w:ascii="宋体" w:hAnsi="宋体" w:cs="宋体"/>
                <w:color w:val="auto"/>
                <w:kern w:val="0"/>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日8时00分</w:t>
            </w:r>
          </w:p>
        </w:tc>
      </w:tr>
      <w:tr w14:paraId="362B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5" w:type="dxa"/>
            <w:vAlign w:val="center"/>
          </w:tcPr>
          <w:p w14:paraId="66C78376">
            <w:pPr>
              <w:widowControl/>
              <w:spacing w:line="520" w:lineRule="exact"/>
              <w:jc w:val="center"/>
              <w:rPr>
                <w:rFonts w:ascii="宋体" w:hAnsi="宋体" w:cs="宋体"/>
                <w:color w:val="auto"/>
                <w:kern w:val="0"/>
                <w:szCs w:val="21"/>
                <w:highlight w:val="none"/>
              </w:rPr>
            </w:pPr>
            <w:r>
              <w:rPr>
                <w:rFonts w:hint="eastAsia" w:ascii="宋体" w:hAnsi="宋体" w:cs="宋体"/>
                <w:color w:val="auto"/>
                <w:szCs w:val="21"/>
                <w:highlight w:val="none"/>
              </w:rPr>
              <w:t>开标地点</w:t>
            </w:r>
          </w:p>
        </w:tc>
        <w:tc>
          <w:tcPr>
            <w:tcW w:w="8313" w:type="dxa"/>
            <w:vAlign w:val="center"/>
          </w:tcPr>
          <w:p w14:paraId="7D5E7DD4">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网上开标，投标人登录滁州市不见面开标系统参与网上开标（网址：</w:t>
            </w:r>
            <w:r>
              <w:rPr>
                <w:color w:val="auto"/>
                <w:highlight w:val="none"/>
              </w:rPr>
              <w:fldChar w:fldCharType="begin"/>
            </w:r>
            <w:r>
              <w:rPr>
                <w:color w:val="auto"/>
                <w:highlight w:val="none"/>
              </w:rPr>
              <w:instrText xml:space="preserve"> HYPERLINK "https://ggzy.chuzhou.gov.cn/BidOpening/bidopeninghallaction/hall/login）。操作手册见" </w:instrText>
            </w:r>
            <w:r>
              <w:rPr>
                <w:color w:val="auto"/>
                <w:highlight w:val="none"/>
              </w:rPr>
              <w:fldChar w:fldCharType="separate"/>
            </w:r>
            <w:r>
              <w:rPr>
                <w:rStyle w:val="33"/>
                <w:rFonts w:hint="eastAsia" w:ascii="宋体" w:hAnsi="宋体" w:cs="宋体"/>
                <w:color w:val="auto"/>
                <w:kern w:val="0"/>
                <w:szCs w:val="21"/>
                <w:highlight w:val="none"/>
              </w:rPr>
              <w:t>https://ggzy.chuzhou.gov.cn/BidOpening/bidopeninghallaction/hall/login）。操作手册见</w:t>
            </w:r>
            <w:r>
              <w:rPr>
                <w:rStyle w:val="33"/>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https://ggzy.chuzhou.gov.cn/fwzn/011006/20240510/f0637388-583d-4c69-8331-05b6adfcf24d.html。</w:t>
            </w:r>
          </w:p>
        </w:tc>
      </w:tr>
      <w:tr w14:paraId="54C2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65DDD6B">
            <w:pPr>
              <w:widowControl/>
              <w:spacing w:line="520" w:lineRule="exact"/>
              <w:jc w:val="center"/>
              <w:rPr>
                <w:rFonts w:ascii="宋体" w:hAnsi="宋体" w:cs="宋体"/>
                <w:color w:val="auto"/>
                <w:kern w:val="0"/>
                <w:szCs w:val="21"/>
                <w:highlight w:val="none"/>
              </w:rPr>
            </w:pPr>
            <w:r>
              <w:rPr>
                <w:rFonts w:hint="eastAsia" w:ascii="宋体" w:hAnsi="宋体" w:cs="宋体"/>
                <w:color w:val="auto"/>
                <w:szCs w:val="21"/>
                <w:highlight w:val="none"/>
              </w:rPr>
              <w:t>招标文件价格</w:t>
            </w:r>
          </w:p>
        </w:tc>
        <w:tc>
          <w:tcPr>
            <w:tcW w:w="8313" w:type="dxa"/>
            <w:vAlign w:val="center"/>
          </w:tcPr>
          <w:p w14:paraId="10F9F253">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0元</w:t>
            </w:r>
          </w:p>
        </w:tc>
      </w:tr>
      <w:tr w14:paraId="0BB4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63B4C555">
            <w:pPr>
              <w:widowControl/>
              <w:spacing w:line="520" w:lineRule="exact"/>
              <w:jc w:val="center"/>
              <w:rPr>
                <w:rFonts w:ascii="宋体" w:hAnsi="宋体" w:cs="宋体"/>
                <w:color w:val="auto"/>
                <w:szCs w:val="21"/>
                <w:highlight w:val="none"/>
              </w:rPr>
            </w:pPr>
            <w:r>
              <w:rPr>
                <w:rFonts w:hint="eastAsia" w:ascii="宋体" w:hAnsi="宋体" w:cs="宋体"/>
                <w:color w:val="auto"/>
                <w:szCs w:val="21"/>
                <w:highlight w:val="none"/>
              </w:rPr>
              <w:t>发布公告的媒介</w:t>
            </w:r>
          </w:p>
        </w:tc>
        <w:tc>
          <w:tcPr>
            <w:tcW w:w="8313" w:type="dxa"/>
            <w:vAlign w:val="center"/>
          </w:tcPr>
          <w:p w14:paraId="66F5AC36">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本次招标公告同时在滁州市公共资源交易中心、安徽省公共资源交易监管网、安徽省招标投标信息网等网站发布。</w:t>
            </w:r>
          </w:p>
        </w:tc>
      </w:tr>
      <w:tr w14:paraId="2A16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14B0902F">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投标人提出异议的截止时间及方式</w:t>
            </w:r>
          </w:p>
        </w:tc>
        <w:tc>
          <w:tcPr>
            <w:tcW w:w="8313" w:type="dxa"/>
            <w:vAlign w:val="center"/>
          </w:tcPr>
          <w:p w14:paraId="6B0943F3">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如投标人对招标文件有异议，请于2025年</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日8时（投标截止10日）前在滁州市公共资源交易中心网电子交易系统中在线进行异议，具体操作步骤和程序请参见服务指南&gt;交易须知&gt;在线异议、质疑和投诉操作手册。</w:t>
            </w:r>
          </w:p>
        </w:tc>
      </w:tr>
      <w:tr w14:paraId="4173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AF102F2">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受理异议的联系人及联系方式</w:t>
            </w:r>
          </w:p>
        </w:tc>
        <w:tc>
          <w:tcPr>
            <w:tcW w:w="8313" w:type="dxa"/>
            <w:vAlign w:val="center"/>
          </w:tcPr>
          <w:p w14:paraId="43F43C77">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联系人：黄胜前、杨韦     联系方式:0550-3068029、0550-3519590               </w:t>
            </w:r>
          </w:p>
        </w:tc>
      </w:tr>
      <w:tr w14:paraId="1985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29AB6B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投标人提出投诉的方式</w:t>
            </w:r>
          </w:p>
        </w:tc>
        <w:tc>
          <w:tcPr>
            <w:tcW w:w="8313" w:type="dxa"/>
          </w:tcPr>
          <w:p w14:paraId="56A35A9F">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投标人或者其他利害关系人认为招标投标活动违反法律、法规和规章规定的，有权向相关行政监督部门投诉。在线投诉具体步骤和程序请参照服务指南&gt;投诉渠道 </w:t>
            </w:r>
            <w:r>
              <w:rPr>
                <w:color w:val="auto"/>
                <w:highlight w:val="none"/>
              </w:rPr>
              <w:fldChar w:fldCharType="begin"/>
            </w:r>
            <w:r>
              <w:rPr>
                <w:color w:val="auto"/>
                <w:highlight w:val="none"/>
              </w:rPr>
              <w:instrText xml:space="preserve"> HYPERLINK "https://ggzy.chuzhou.gov.cn/fwzn/011001/serviceGuide.html" </w:instrText>
            </w:r>
            <w:r>
              <w:rPr>
                <w:color w:val="auto"/>
                <w:highlight w:val="none"/>
              </w:rPr>
              <w:fldChar w:fldCharType="separate"/>
            </w:r>
            <w:r>
              <w:rPr>
                <w:rFonts w:hint="eastAsia" w:ascii="宋体" w:hAnsi="宋体" w:cs="宋体"/>
                <w:color w:val="auto"/>
                <w:kern w:val="0"/>
                <w:szCs w:val="21"/>
                <w:highlight w:val="none"/>
              </w:rPr>
              <w:t>https://ggzy.chuzhou.gov.cn/fwzn/011001/serviceGuide.html</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；投诉书格式等内容参见服务指南&gt;办事指南&gt;投标人服务&gt;投诉受理一次告知书https://ggzy.chuzhou.gov.cn/fwzn/011001/011001001/011001001003/20211022/4b7d87ec-2c58-49b0-b76c-3a6277377930.html。</w:t>
            </w:r>
          </w:p>
        </w:tc>
      </w:tr>
      <w:tr w14:paraId="0810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7ED5425E">
            <w:pPr>
              <w:widowControl/>
              <w:spacing w:line="520" w:lineRule="exact"/>
              <w:jc w:val="center"/>
              <w:rPr>
                <w:rFonts w:ascii="宋体" w:hAnsi="宋体" w:cs="宋体"/>
                <w:b/>
                <w:color w:val="auto"/>
                <w:kern w:val="0"/>
                <w:szCs w:val="21"/>
                <w:highlight w:val="none"/>
              </w:rPr>
            </w:pPr>
            <w:r>
              <w:rPr>
                <w:rFonts w:hint="eastAsia" w:ascii="宋体" w:hAnsi="宋体" w:cs="宋体"/>
                <w:b/>
                <w:color w:val="auto"/>
                <w:szCs w:val="21"/>
                <w:highlight w:val="none"/>
              </w:rPr>
              <w:t>投标保证金收取</w:t>
            </w:r>
          </w:p>
        </w:tc>
      </w:tr>
      <w:tr w14:paraId="6DD4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7668BEC8">
            <w:pPr>
              <w:widowControl/>
              <w:spacing w:line="520" w:lineRule="exact"/>
              <w:jc w:val="center"/>
              <w:rPr>
                <w:rFonts w:ascii="宋体" w:hAnsi="宋体" w:cs="宋体"/>
                <w:color w:val="auto"/>
                <w:szCs w:val="21"/>
                <w:highlight w:val="none"/>
              </w:rPr>
            </w:pPr>
            <w:r>
              <w:rPr>
                <w:rFonts w:hint="eastAsia" w:ascii="宋体" w:hAnsi="宋体" w:cs="宋体"/>
                <w:color w:val="auto"/>
                <w:szCs w:val="21"/>
                <w:highlight w:val="none"/>
              </w:rPr>
              <w:t>保证金收取</w:t>
            </w:r>
          </w:p>
        </w:tc>
        <w:tc>
          <w:tcPr>
            <w:tcW w:w="8313" w:type="dxa"/>
            <w:vAlign w:val="center"/>
          </w:tcPr>
          <w:p w14:paraId="5EB27C97">
            <w:pPr>
              <w:widowControl/>
              <w:spacing w:line="520" w:lineRule="exact"/>
              <w:jc w:val="left"/>
              <w:rPr>
                <w:rFonts w:ascii="宋体" w:hAnsi="宋体" w:cs="宋体"/>
                <w:color w:val="auto"/>
                <w:szCs w:val="21"/>
                <w:highlight w:val="none"/>
              </w:rPr>
            </w:pPr>
            <w:r>
              <w:rPr>
                <w:rFonts w:hint="eastAsia" w:ascii="宋体" w:hAnsi="宋体" w:cs="宋体"/>
                <w:color w:val="auto"/>
                <w:kern w:val="0"/>
                <w:szCs w:val="21"/>
                <w:highlight w:val="none"/>
              </w:rPr>
              <w:t>投标保证金的金额：</w:t>
            </w:r>
            <w:r>
              <w:rPr>
                <w:rFonts w:ascii="宋体" w:hAnsi="宋体" w:cs="宋体"/>
                <w:color w:val="auto"/>
                <w:kern w:val="0"/>
                <w:szCs w:val="21"/>
                <w:highlight w:val="none"/>
              </w:rPr>
              <w:t>16</w:t>
            </w:r>
            <w:r>
              <w:rPr>
                <w:rFonts w:hint="eastAsia" w:ascii="宋体" w:hAnsi="宋体" w:cs="宋体"/>
                <w:color w:val="auto"/>
                <w:kern w:val="0"/>
                <w:szCs w:val="21"/>
                <w:highlight w:val="none"/>
              </w:rPr>
              <w:t>万元，要求投标人提交投标保证金。</w:t>
            </w:r>
          </w:p>
        </w:tc>
      </w:tr>
      <w:tr w14:paraId="61C8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7EB5E3E">
            <w:pPr>
              <w:widowControl/>
              <w:spacing w:line="520" w:lineRule="exact"/>
              <w:jc w:val="center"/>
              <w:rPr>
                <w:rFonts w:ascii="宋体" w:hAnsi="宋体" w:cs="宋体"/>
                <w:color w:val="auto"/>
                <w:szCs w:val="21"/>
                <w:highlight w:val="none"/>
              </w:rPr>
            </w:pPr>
            <w:r>
              <w:rPr>
                <w:rFonts w:hint="eastAsia" w:ascii="宋体" w:hAnsi="宋体" w:cs="宋体"/>
                <w:color w:val="auto"/>
                <w:szCs w:val="21"/>
                <w:highlight w:val="none"/>
              </w:rPr>
              <w:t>投标保证金形式</w:t>
            </w:r>
          </w:p>
        </w:tc>
        <w:tc>
          <w:tcPr>
            <w:tcW w:w="8313" w:type="dxa"/>
            <w:vAlign w:val="center"/>
          </w:tcPr>
          <w:p w14:paraId="3A96F597">
            <w:pPr>
              <w:widowControl/>
              <w:spacing w:line="520" w:lineRule="exact"/>
              <w:jc w:val="left"/>
              <w:rPr>
                <w:rFonts w:ascii="宋体" w:hAnsi="宋体" w:cs="宋体"/>
                <w:color w:val="auto"/>
                <w:kern w:val="0"/>
                <w:szCs w:val="21"/>
                <w:highlight w:val="none"/>
              </w:rPr>
            </w:pPr>
            <w:bookmarkStart w:id="3" w:name="OLE_LINK61"/>
            <w:bookmarkStart w:id="4" w:name="OLE_LINK62"/>
            <w:bookmarkStart w:id="5" w:name="OLE_LINK71"/>
            <w:bookmarkStart w:id="6" w:name="OLE_LINK69"/>
            <w:bookmarkStart w:id="7" w:name="OLE_LINK66"/>
            <w:r>
              <w:rPr>
                <w:rFonts w:hint="eastAsia" w:ascii="宋体" w:hAnsi="宋体" w:cs="MS Mincho"/>
                <w:color w:val="auto"/>
                <w:kern w:val="0"/>
                <w:szCs w:val="21"/>
                <w:highlight w:val="none"/>
              </w:rPr>
              <w:t>支持现金（银行转账、银行电汇等）、非现金形式（支票、银行汇票、本票等）、电子保函、纸质保函（纸质银行保函、纸质担保机构担保、纸质保证保险等）。</w:t>
            </w:r>
            <w:bookmarkEnd w:id="3"/>
            <w:bookmarkEnd w:id="4"/>
            <w:bookmarkEnd w:id="5"/>
            <w:bookmarkEnd w:id="6"/>
            <w:bookmarkEnd w:id="7"/>
          </w:p>
        </w:tc>
      </w:tr>
      <w:tr w14:paraId="379C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78145A6">
            <w:pPr>
              <w:widowControl/>
              <w:spacing w:line="520" w:lineRule="exact"/>
              <w:jc w:val="center"/>
              <w:rPr>
                <w:rFonts w:ascii="宋体" w:hAnsi="宋体" w:cs="宋体"/>
                <w:color w:val="auto"/>
                <w:szCs w:val="21"/>
                <w:highlight w:val="none"/>
              </w:rPr>
            </w:pPr>
            <w:r>
              <w:rPr>
                <w:rFonts w:hint="eastAsia" w:ascii="宋体" w:hAnsi="宋体" w:cs="宋体"/>
                <w:color w:val="auto"/>
                <w:szCs w:val="21"/>
                <w:highlight w:val="none"/>
              </w:rPr>
              <w:t>接收投标保证金的账户信息</w:t>
            </w:r>
          </w:p>
        </w:tc>
        <w:tc>
          <w:tcPr>
            <w:tcW w:w="8313" w:type="dxa"/>
            <w:vAlign w:val="center"/>
          </w:tcPr>
          <w:p w14:paraId="1A59323E">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如下（选择任何一家银行提交即可）：</w:t>
            </w:r>
          </w:p>
          <w:p w14:paraId="4FB57086">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①户名：滁州市公共资源交易中心</w:t>
            </w:r>
          </w:p>
          <w:p w14:paraId="27E3517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开户行：中国银行滁州分行 </w:t>
            </w:r>
          </w:p>
          <w:p w14:paraId="263368F4">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账  号：</w:t>
            </w:r>
            <w:r>
              <w:rPr>
                <w:rFonts w:hint="eastAsia" w:ascii="宋体" w:hAnsi="宋体" w:cs="宋体"/>
                <w:color w:val="auto"/>
                <w:kern w:val="0"/>
                <w:szCs w:val="21"/>
                <w:highlight w:val="none"/>
                <w:lang w:val="en-US" w:eastAsia="zh-CN"/>
              </w:rPr>
              <w:t>185749194924</w:t>
            </w:r>
            <w:r>
              <w:rPr>
                <w:rFonts w:hint="eastAsia" w:ascii="宋体" w:hAnsi="宋体" w:cs="宋体"/>
                <w:color w:val="auto"/>
                <w:kern w:val="0"/>
                <w:szCs w:val="21"/>
                <w:highlight w:val="none"/>
              </w:rPr>
              <w:t xml:space="preserve">                                </w:t>
            </w:r>
          </w:p>
          <w:p w14:paraId="39F5777C">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②户  名：滁州市公共资源交易中心        </w:t>
            </w:r>
          </w:p>
          <w:p w14:paraId="40ABD60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开户行：中国农业银行滁州中都支行                </w:t>
            </w:r>
          </w:p>
          <w:p w14:paraId="2DD84B7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账  号：123340010400044210000000204                                </w:t>
            </w:r>
          </w:p>
          <w:p w14:paraId="2B6FE15C">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采用现金形式缴纳保证金时须在交易附言中注明：“czsjgc202509-</w:t>
            </w:r>
            <w:r>
              <w:rPr>
                <w:rFonts w:hint="eastAsia" w:ascii="宋体" w:hAnsi="宋体" w:cs="宋体"/>
                <w:color w:val="auto"/>
                <w:kern w:val="0"/>
                <w:szCs w:val="21"/>
                <w:highlight w:val="none"/>
                <w:lang w:val="en-US" w:eastAsia="zh-CN"/>
              </w:rPr>
              <w:t>006</w:t>
            </w:r>
            <w:r>
              <w:rPr>
                <w:rFonts w:hint="eastAsia" w:ascii="宋体" w:hAnsi="宋体" w:cs="宋体"/>
                <w:color w:val="auto"/>
                <w:kern w:val="0"/>
                <w:szCs w:val="21"/>
                <w:highlight w:val="none"/>
              </w:rPr>
              <w:t>项目投标保证金”。</w:t>
            </w:r>
          </w:p>
          <w:p w14:paraId="5CC1078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2）采用支票、银行汇票、本票等非现金形式提交投标保证金时，投标人应在付款人开户行申请书附言处注明“czsjgc202509-</w:t>
            </w:r>
            <w:r>
              <w:rPr>
                <w:rFonts w:hint="eastAsia" w:ascii="宋体" w:hAnsi="宋体" w:cs="宋体"/>
                <w:color w:val="auto"/>
                <w:kern w:val="0"/>
                <w:szCs w:val="21"/>
                <w:highlight w:val="none"/>
                <w:lang w:val="en-US" w:eastAsia="zh-CN"/>
              </w:rPr>
              <w:t>006</w:t>
            </w:r>
            <w:r>
              <w:rPr>
                <w:rFonts w:hint="eastAsia" w:ascii="宋体" w:hAnsi="宋体" w:cs="宋体"/>
                <w:color w:val="auto"/>
                <w:kern w:val="0"/>
                <w:szCs w:val="21"/>
                <w:highlight w:val="none"/>
              </w:rPr>
              <w:t>项目投标保证金”字样，应确保收款人开户行进账单完整反映交易附言内容，由此导致无法识别投标保证金对应的投标项目，其后果由投标人负责。</w:t>
            </w:r>
          </w:p>
          <w:p w14:paraId="4EFFD65D">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3)采用电子保函形式具体要求如下：</w:t>
            </w:r>
          </w:p>
          <w:p w14:paraId="5C39CC73">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①电子保函提交要求：</w:t>
            </w:r>
          </w:p>
          <w:p w14:paraId="08A183B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a.投标人须在投标文件提交截止时间前提供与</w:t>
            </w:r>
            <w:r>
              <w:rPr>
                <w:rFonts w:hint="eastAsia" w:ascii="宋体" w:hAnsi="宋体" w:cs="宋体"/>
                <w:color w:val="auto"/>
                <w:kern w:val="0"/>
                <w:szCs w:val="21"/>
                <w:highlight w:val="none"/>
                <w:u w:val="single"/>
              </w:rPr>
              <w:t>滁州市公共资源交易中心金融服务平台</w:t>
            </w:r>
            <w:r>
              <w:rPr>
                <w:rFonts w:hint="eastAsia" w:ascii="宋体" w:hAnsi="宋体" w:cs="宋体"/>
                <w:color w:val="auto"/>
                <w:kern w:val="0"/>
                <w:szCs w:val="21"/>
                <w:highlight w:val="none"/>
              </w:rPr>
              <w:t>对接的电子保函，否则视为投标保证金未按规定要求缴纳。</w:t>
            </w:r>
          </w:p>
          <w:p w14:paraId="5217918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b.电子保函生效时间须为所投项目规定的保证金到账截止时间之前，电子保函的有效期截止时间不得短于招标文件约定的投标有效期截止时间，否则视为投标保证金未按规定要求缴纳。</w:t>
            </w:r>
          </w:p>
          <w:p w14:paraId="6367E92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c.投标有效期内未能确定中标结果，需要延长投标有效期，投标人同意延长投标有效期的，须相应延长电子保函的有效期。</w:t>
            </w:r>
          </w:p>
          <w:p w14:paraId="2E1170C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d.投标人存在投标保证金不予退还的情形，采用电子保函形式的将予以追缴。</w:t>
            </w:r>
          </w:p>
          <w:p w14:paraId="013BBF77">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4)采用纸质保函形式具体要求如下：</w:t>
            </w:r>
          </w:p>
          <w:p w14:paraId="476CA4E8">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该保函应当是无条件见索即付的银行保函、保证保险、担保机构保函，保函期限必须大于或等于投标有效期，受益人应为招标人。投标人存在投标保证金不予退还的情形，采用纸质保函形式的将由招标人予以追缴；投标人须将采用的纸质保函原件扫描件编入投标文件。</w:t>
            </w:r>
          </w:p>
          <w:p w14:paraId="6F28CC4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②采用纸质保函，其办理所需的费用，应从投标人的银行基本账户汇(支)出，并保证真实有效。投标人须将本单位从基本账户汇出该项费用的原始凭证(属于基本账户银行出具保函的除外)扫描件、基本账户开户许可证(或基本账户开户银行出具的该投标人基本存款账户信息证明材料)的原件扫描件编入投标文件中,由评标委员会在评标时审查认定。</w:t>
            </w:r>
          </w:p>
          <w:p w14:paraId="1B185334">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③投标人提交的纸质保函，必须明确载明有效的查询途径(包括电话、网址链接及查询方式)。</w:t>
            </w:r>
          </w:p>
          <w:p w14:paraId="0D4073E8">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采用纸质保函，未按照上述要求提供材料或提供的材料不符合要求的，其投标无效；存在弄虚作假的，由招标人报招标投标行政监督部门依法处理。</w:t>
            </w:r>
          </w:p>
          <w:p w14:paraId="1D519BD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2.保证金电子保函业务应急处置措施。由于自然灾害、事故灾难、突发公共网络安全事件或者系统原因，以及保证金电子保函系统使用过程中出现的以下情况：</w:t>
            </w:r>
          </w:p>
          <w:p w14:paraId="76B81A4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（1）开标时，系统获取明文保函文件异常，无法正常获取保函文件；</w:t>
            </w:r>
          </w:p>
          <w:p w14:paraId="53898C8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（2）保证金电子保函系统的软件或数据库出现错误，不能进行正常操作；</w:t>
            </w:r>
          </w:p>
          <w:p w14:paraId="15AA21BE">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（3）保证金电子保函系统服务器发生故障等情况，无法访问或无法使用电子保函；</w:t>
            </w:r>
          </w:p>
          <w:p w14:paraId="14120077">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（4）保证金电子保函系统服务器受到病毒或其他外来的攻击；</w:t>
            </w:r>
          </w:p>
          <w:p w14:paraId="0557A67D">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（5）其他影响电子保函出具的异常情形。</w:t>
            </w:r>
          </w:p>
          <w:p w14:paraId="141AA986">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由于上述原因导致投标人无法正常参加开评标的，招标人或招标代理机构应及时报告公共资源交易服务平台核实问题原因。投标人确实已购买电子保函，经监管部门同意后，投标人可以继续参加开评标。</w:t>
            </w:r>
          </w:p>
          <w:p w14:paraId="2C335A9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3.本次招标失败，再次进行招标的，投标人须按照新的账户重新缴纳投标保证金。</w:t>
            </w:r>
          </w:p>
          <w:p w14:paraId="04050D5E">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4.投标人为联合体投标的，由牵头人基本账户转出投标保证金或由牵头人办理保函。</w:t>
            </w:r>
          </w:p>
          <w:p w14:paraId="137205F8">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5.是否适用免缴投标保证金政策</w:t>
            </w:r>
          </w:p>
          <w:p w14:paraId="3E71DEB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不适用</w:t>
            </w:r>
          </w:p>
        </w:tc>
      </w:tr>
      <w:tr w14:paraId="4202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7C4BC57">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备注</w:t>
            </w:r>
          </w:p>
        </w:tc>
        <w:tc>
          <w:tcPr>
            <w:tcW w:w="8313" w:type="dxa"/>
            <w:vAlign w:val="center"/>
          </w:tcPr>
          <w:p w14:paraId="365C3BA3">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.投标人为联合体投标的，保证金由牵头人基本账户转入交易中心账户或由牵头人办理投标担保。</w:t>
            </w:r>
          </w:p>
          <w:p w14:paraId="3B49CF0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本项目不缴纳投标保证金条款仅针对在投标过程中未违反本招标文件第二章“投标人须知”中第3.4.4项约定的投标人。如在投标过程中投标人存在本招标文件第二章“投标人须知”中第3.4.4项约定情形，则无条件按招标人要求的金额、时间、账号缴纳投标保证金。投标人采用银行保函、担保机构担保、保证保险方式提交投标保证金的，如出现本招标文件“投标人须知”第 3.4.4 项所列情形的，提供担保的银行、担保机构及保险机构将无条件向招标人支付保函所列的全部投标保证金金额，该支付行为视同投标保证金不予退还。</w:t>
            </w:r>
          </w:p>
          <w:p w14:paraId="34656036">
            <w:pPr>
              <w:widowControl/>
              <w:spacing w:line="560" w:lineRule="exact"/>
              <w:jc w:val="left"/>
              <w:rPr>
                <w:rFonts w:ascii="宋体" w:hAnsi="宋体" w:cs="宋体"/>
                <w:b/>
                <w:color w:val="auto"/>
                <w:kern w:val="0"/>
                <w:szCs w:val="21"/>
                <w:highlight w:val="none"/>
              </w:rPr>
            </w:pPr>
            <w:r>
              <w:rPr>
                <w:rFonts w:hint="eastAsia" w:ascii="宋体" w:hAnsi="宋体" w:cs="宋体"/>
                <w:color w:val="auto"/>
                <w:kern w:val="0"/>
                <w:szCs w:val="21"/>
                <w:highlight w:val="none"/>
              </w:rPr>
              <w:t>3.投标人采用虚假银行保函、担保机构担保、保证保险方式提交投标保证金的，应依法承担弄虚作假、骗取中标的法律责任。</w:t>
            </w:r>
          </w:p>
        </w:tc>
      </w:tr>
      <w:tr w14:paraId="16F6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149AC6CB">
            <w:pPr>
              <w:widowControl/>
              <w:spacing w:line="5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其他说明</w:t>
            </w:r>
          </w:p>
        </w:tc>
      </w:tr>
      <w:tr w14:paraId="5667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482EA99">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重要说明</w:t>
            </w:r>
          </w:p>
        </w:tc>
        <w:tc>
          <w:tcPr>
            <w:tcW w:w="8313" w:type="dxa"/>
            <w:vAlign w:val="center"/>
          </w:tcPr>
          <w:p w14:paraId="601F6F9D">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574116C6">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2.请投标人登录滁州市公共资源交易中心网站查看参加本项目的程序（具体操作步骤和程序请参见服务指南&gt;交易须知&gt;投标人填写投标信息、下载文件及网上提问操作手册）。</w:t>
            </w:r>
          </w:p>
          <w:p w14:paraId="072F08BC">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4B623CD2">
            <w:pPr>
              <w:widowControl/>
              <w:wordWrap w:val="0"/>
              <w:spacing w:line="520" w:lineRule="exact"/>
              <w:jc w:val="left"/>
              <w:rPr>
                <w:rFonts w:ascii="宋体" w:hAnsi="宋体" w:cs="宋体"/>
                <w:color w:val="auto"/>
                <w:szCs w:val="21"/>
                <w:highlight w:val="none"/>
              </w:rPr>
            </w:pPr>
            <w:r>
              <w:rPr>
                <w:rFonts w:hint="eastAsia" w:ascii="宋体" w:hAnsi="宋体" w:cs="宋体"/>
                <w:color w:val="auto"/>
                <w:kern w:val="0"/>
                <w:szCs w:val="21"/>
                <w:highlight w:val="none"/>
              </w:rPr>
              <w:t>4.投标文件格式、内容和制作要求以招标文件为准，投标文件制作工具中提供的相关格式及内容仅供参考，投标企业可根据招标文件要求自行调整。</w:t>
            </w:r>
          </w:p>
        </w:tc>
      </w:tr>
      <w:tr w14:paraId="7C78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17C7B4C">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特别提示</w:t>
            </w:r>
          </w:p>
          <w:p w14:paraId="512181EA">
            <w:pPr>
              <w:pStyle w:val="22"/>
              <w:spacing w:line="520" w:lineRule="exact"/>
              <w:rPr>
                <w:rFonts w:ascii="宋体" w:hAnsi="宋体" w:cs="宋体"/>
                <w:color w:val="auto"/>
                <w:szCs w:val="21"/>
                <w:highlight w:val="none"/>
              </w:rPr>
            </w:pPr>
          </w:p>
        </w:tc>
        <w:tc>
          <w:tcPr>
            <w:tcW w:w="8313" w:type="dxa"/>
            <w:vAlign w:val="center"/>
          </w:tcPr>
          <w:p w14:paraId="14750504">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本项目投标保证金、履约保证金、工程质量保证金、农民工工资保证金均支持保函使用。以现金形式提交保证金的，应当同时退还保证金本金和银行同期存款利息。</w:t>
            </w:r>
          </w:p>
          <w:p w14:paraId="66622B8E">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2.投标人应填写投标信息并下载招标文件，否则无法上传投标文件。</w:t>
            </w:r>
          </w:p>
          <w:p w14:paraId="2B90009E">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注:投标人如为联合体的,牵头人必须完善投标人信息，并在上传投标文件环节添加联合体投标信息。</w:t>
            </w:r>
          </w:p>
          <w:p w14:paraId="28C450BE">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045ABC76">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4.如果过程中出现招标文件更改，应以最后发布的招标答疑澄清文件中的模板制作本项目最新投标文件。</w:t>
            </w:r>
          </w:p>
          <w:p w14:paraId="09BD6D41">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5.投标人应当用本单位CA数字证书制作投标文件，制作成功后进行投标文件上传。 </w:t>
            </w:r>
          </w:p>
          <w:p w14:paraId="4B23EB25">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77DA39AD">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7.请投标人注意加密投标文件CA数字证书的有效期，不在有效期的CA数字证书无法解密投标文件。</w:t>
            </w:r>
          </w:p>
          <w:p w14:paraId="1DBA2769">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8.投标人投标MAC地址一致或申请开具电子保函MAC地址一致的，由评标委员会否决其投标。</w:t>
            </w:r>
          </w:p>
          <w:p w14:paraId="33EC1DDC">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9.投标人投标文件中单方面出现其他投标人材料的（依法组成联合体投标的除外），由评标委员会否决其投标。</w:t>
            </w:r>
          </w:p>
          <w:p w14:paraId="0C220FA3">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301D62F2">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11.若存在不予退还投标人投标保证金的情形，银行转账的，由市公共资源交易中心代为收缴，递交保函的，由招标人予以追缴。</w:t>
            </w:r>
          </w:p>
          <w:p w14:paraId="7EAB4C1B">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12.投标人以联合体名义投标的，其异议投诉应当由联合体全体成员共同提出。联合体成员单独进行异议投诉的，应当书面征得联合体其他成员同意，联合体成员之间投诉的除外。</w:t>
            </w:r>
          </w:p>
          <w:p w14:paraId="009F5391">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13.投标人联系人或联系电话相同的，由评标委员会否决其投标，并报告监管部门作不良行为处理和进一步调查。</w:t>
            </w:r>
          </w:p>
          <w:p w14:paraId="137C6734">
            <w:pPr>
              <w:widowControl/>
              <w:wordWrap w:val="0"/>
              <w:spacing w:line="520" w:lineRule="exact"/>
              <w:jc w:val="left"/>
              <w:rPr>
                <w:rFonts w:ascii="宋体" w:hAnsi="宋体" w:cs="宋体"/>
                <w:color w:val="auto"/>
                <w:szCs w:val="21"/>
                <w:highlight w:val="none"/>
              </w:rPr>
            </w:pPr>
            <w:r>
              <w:rPr>
                <w:rFonts w:hint="eastAsia" w:ascii="宋体" w:hAnsi="宋体" w:cs="宋体"/>
                <w:color w:val="auto"/>
                <w:kern w:val="0"/>
                <w:szCs w:val="21"/>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r w14:paraId="37EE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6FAA7417">
            <w:pPr>
              <w:widowControl/>
              <w:spacing w:line="5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联系方式</w:t>
            </w:r>
          </w:p>
        </w:tc>
      </w:tr>
      <w:tr w14:paraId="74B7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1AD530D">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招标人名称</w:t>
            </w:r>
          </w:p>
        </w:tc>
        <w:tc>
          <w:tcPr>
            <w:tcW w:w="8313" w:type="dxa"/>
            <w:vAlign w:val="center"/>
          </w:tcPr>
          <w:p w14:paraId="675D1783">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滁州市自来水有限公司</w:t>
            </w:r>
          </w:p>
        </w:tc>
      </w:tr>
      <w:tr w14:paraId="1FD0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65F53D95">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招标人地址</w:t>
            </w:r>
          </w:p>
        </w:tc>
        <w:tc>
          <w:tcPr>
            <w:tcW w:w="8313" w:type="dxa"/>
            <w:vAlign w:val="center"/>
          </w:tcPr>
          <w:p w14:paraId="622A28AE">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滁州市清流路389号</w:t>
            </w:r>
          </w:p>
        </w:tc>
      </w:tr>
      <w:tr w14:paraId="2D07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74318BE">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招标人联系人</w:t>
            </w:r>
          </w:p>
        </w:tc>
        <w:tc>
          <w:tcPr>
            <w:tcW w:w="8313" w:type="dxa"/>
            <w:vAlign w:val="center"/>
          </w:tcPr>
          <w:p w14:paraId="2E923804">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黄胜前</w:t>
            </w:r>
          </w:p>
        </w:tc>
      </w:tr>
      <w:tr w14:paraId="2447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E4012F2">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招标人电话</w:t>
            </w:r>
          </w:p>
        </w:tc>
        <w:tc>
          <w:tcPr>
            <w:tcW w:w="8313" w:type="dxa"/>
            <w:vAlign w:val="center"/>
          </w:tcPr>
          <w:p w14:paraId="634C83F0">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0550-3068029</w:t>
            </w:r>
          </w:p>
        </w:tc>
      </w:tr>
      <w:tr w14:paraId="4249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128ACB77">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招标代理机构名称</w:t>
            </w:r>
          </w:p>
        </w:tc>
        <w:tc>
          <w:tcPr>
            <w:tcW w:w="8313" w:type="dxa"/>
            <w:vAlign w:val="center"/>
          </w:tcPr>
          <w:p w14:paraId="0EE08319">
            <w:pPr>
              <w:widowControl/>
              <w:spacing w:line="520" w:lineRule="exact"/>
              <w:jc w:val="left"/>
              <w:rPr>
                <w:rFonts w:ascii="宋体" w:hAnsi="宋体" w:cs="宋体"/>
                <w:color w:val="auto"/>
                <w:kern w:val="0"/>
                <w:szCs w:val="21"/>
                <w:highlight w:val="none"/>
              </w:rPr>
            </w:pPr>
            <w:r>
              <w:rPr>
                <w:rFonts w:hint="eastAsia" w:ascii="宋体" w:hAnsi="宋体" w:cs="宋体"/>
                <w:color w:val="auto"/>
                <w:szCs w:val="21"/>
                <w:highlight w:val="none"/>
              </w:rPr>
              <w:t>滁州市城投工程咨询管理有限公司</w:t>
            </w:r>
          </w:p>
        </w:tc>
      </w:tr>
      <w:tr w14:paraId="7DE1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1FB7CA0">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招标代理机构地址</w:t>
            </w:r>
          </w:p>
        </w:tc>
        <w:tc>
          <w:tcPr>
            <w:tcW w:w="8313" w:type="dxa"/>
            <w:vAlign w:val="center"/>
          </w:tcPr>
          <w:p w14:paraId="7AB6A385">
            <w:pPr>
              <w:widowControl/>
              <w:spacing w:line="520" w:lineRule="exact"/>
              <w:jc w:val="left"/>
              <w:rPr>
                <w:rFonts w:ascii="宋体" w:hAnsi="宋体" w:cs="宋体"/>
                <w:color w:val="auto"/>
                <w:kern w:val="0"/>
                <w:szCs w:val="21"/>
                <w:highlight w:val="none"/>
              </w:rPr>
            </w:pPr>
            <w:r>
              <w:rPr>
                <w:rFonts w:hint="eastAsia" w:ascii="宋体" w:hAnsi="宋体" w:cs="宋体"/>
                <w:color w:val="auto"/>
                <w:szCs w:val="21"/>
                <w:highlight w:val="none"/>
              </w:rPr>
              <w:t>滁州市龙蟠大道109号房产商务大厦6楼620室</w:t>
            </w:r>
          </w:p>
        </w:tc>
      </w:tr>
      <w:tr w14:paraId="41E2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446499EF">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招标代理机构</w:t>
            </w:r>
          </w:p>
          <w:p w14:paraId="3E163D89">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联系人</w:t>
            </w:r>
          </w:p>
        </w:tc>
        <w:tc>
          <w:tcPr>
            <w:tcW w:w="8313" w:type="dxa"/>
            <w:vAlign w:val="center"/>
          </w:tcPr>
          <w:p w14:paraId="5D4C98B4">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杨韦</w:t>
            </w:r>
          </w:p>
        </w:tc>
      </w:tr>
      <w:tr w14:paraId="1D4F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9C326A0">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代理机构电话</w:t>
            </w:r>
          </w:p>
        </w:tc>
        <w:tc>
          <w:tcPr>
            <w:tcW w:w="8313" w:type="dxa"/>
            <w:vAlign w:val="center"/>
          </w:tcPr>
          <w:p w14:paraId="228FFFD9">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0550-3519590、18005501210</w:t>
            </w:r>
          </w:p>
        </w:tc>
      </w:tr>
      <w:tr w14:paraId="37AC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EE78D6D">
            <w:pPr>
              <w:widowControl/>
              <w:spacing w:line="520" w:lineRule="exact"/>
              <w:jc w:val="center"/>
              <w:rPr>
                <w:rFonts w:ascii="宋体" w:hAnsi="宋体" w:cs="宋体"/>
                <w:bCs/>
                <w:color w:val="auto"/>
                <w:spacing w:val="-6"/>
                <w:szCs w:val="21"/>
                <w:highlight w:val="none"/>
              </w:rPr>
            </w:pPr>
            <w:bookmarkStart w:id="8" w:name="_Toc60061431"/>
            <w:bookmarkStart w:id="9" w:name="_Toc246996916"/>
            <w:bookmarkStart w:id="10" w:name="_Toc506107267"/>
            <w:bookmarkStart w:id="11" w:name="_Toc246996173"/>
            <w:bookmarkStart w:id="12" w:name="_Toc152045527"/>
            <w:bookmarkStart w:id="13" w:name="_Toc15058844"/>
            <w:bookmarkStart w:id="14" w:name="_Toc95223333"/>
            <w:bookmarkStart w:id="15" w:name="_Toc152042303"/>
            <w:bookmarkStart w:id="16" w:name="_Toc179632544"/>
            <w:bookmarkStart w:id="17" w:name="_Toc324404813"/>
            <w:bookmarkStart w:id="18" w:name="_Toc247085687"/>
            <w:bookmarkStart w:id="19" w:name="_Toc144974495"/>
            <w:r>
              <w:rPr>
                <w:rFonts w:hint="eastAsia" w:ascii="宋体" w:hAnsi="宋体" w:cs="宋体"/>
                <w:bCs/>
                <w:color w:val="auto"/>
                <w:spacing w:val="-6"/>
                <w:szCs w:val="21"/>
                <w:highlight w:val="none"/>
              </w:rPr>
              <w:t>招标投标行政监督部门</w:t>
            </w:r>
          </w:p>
        </w:tc>
        <w:tc>
          <w:tcPr>
            <w:tcW w:w="8313" w:type="dxa"/>
            <w:vAlign w:val="center"/>
          </w:tcPr>
          <w:p w14:paraId="770BE22D">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滁州市公共资源交易监督管理局</w:t>
            </w:r>
          </w:p>
        </w:tc>
      </w:tr>
    </w:tbl>
    <w:p w14:paraId="6379B512">
      <w:pPr>
        <w:pStyle w:val="2"/>
        <w:spacing w:before="156" w:beforeLines="50" w:after="156" w:afterLines="50" w:line="360" w:lineRule="auto"/>
        <w:jc w:val="center"/>
        <w:rPr>
          <w:rFonts w:ascii="宋体" w:hAnsi="宋体" w:cs="宋体"/>
          <w:color w:val="auto"/>
          <w:sz w:val="36"/>
          <w:szCs w:val="36"/>
        </w:rPr>
      </w:pPr>
      <w:r>
        <w:rPr>
          <w:rFonts w:hint="eastAsia" w:ascii="宋体" w:hAnsi="宋体" w:cs="宋体"/>
          <w:color w:val="auto"/>
          <w:sz w:val="36"/>
          <w:szCs w:val="36"/>
        </w:rPr>
        <w:br w:type="page"/>
      </w:r>
      <w:r>
        <w:rPr>
          <w:rFonts w:hint="eastAsia" w:ascii="宋体" w:hAnsi="宋体" w:cs="宋体"/>
          <w:color w:val="auto"/>
          <w:sz w:val="36"/>
          <w:szCs w:val="36"/>
        </w:rPr>
        <w:t>第二章 投标人须知</w:t>
      </w:r>
      <w:bookmarkEnd w:id="8"/>
      <w:bookmarkEnd w:id="9"/>
      <w:bookmarkEnd w:id="10"/>
      <w:bookmarkEnd w:id="11"/>
      <w:bookmarkEnd w:id="12"/>
      <w:bookmarkEnd w:id="13"/>
      <w:bookmarkEnd w:id="14"/>
      <w:bookmarkEnd w:id="15"/>
      <w:bookmarkEnd w:id="16"/>
      <w:bookmarkEnd w:id="17"/>
      <w:bookmarkEnd w:id="18"/>
      <w:bookmarkEnd w:id="19"/>
    </w:p>
    <w:p w14:paraId="0E6D96AE">
      <w:pPr>
        <w:pStyle w:val="3"/>
        <w:adjustRightInd w:val="0"/>
        <w:snapToGrid w:val="0"/>
        <w:spacing w:before="93" w:beforeLines="30" w:after="93" w:afterLines="30" w:line="360" w:lineRule="auto"/>
        <w:jc w:val="center"/>
        <w:rPr>
          <w:rFonts w:ascii="宋体" w:hAnsi="宋体" w:eastAsia="宋体" w:cs="宋体"/>
          <w:color w:val="auto"/>
          <w:sz w:val="28"/>
          <w:szCs w:val="28"/>
        </w:rPr>
      </w:pPr>
      <w:bookmarkStart w:id="20" w:name="_Toc152045528"/>
      <w:bookmarkStart w:id="21" w:name="_Toc246996174"/>
      <w:bookmarkStart w:id="22" w:name="_Toc95223334"/>
      <w:bookmarkStart w:id="23" w:name="_Toc179632545"/>
      <w:bookmarkStart w:id="24" w:name="_Toc15058845"/>
      <w:bookmarkStart w:id="25" w:name="_Toc324404814"/>
      <w:bookmarkStart w:id="26" w:name="_Toc83301687"/>
      <w:bookmarkStart w:id="27" w:name="_Toc152042304"/>
      <w:bookmarkStart w:id="28" w:name="_Toc247085688"/>
      <w:bookmarkStart w:id="29" w:name="_Toc246996917"/>
      <w:bookmarkStart w:id="30" w:name="_Toc60061432"/>
      <w:bookmarkStart w:id="31" w:name="_Toc506107268"/>
      <w:bookmarkStart w:id="32" w:name="_Toc144974496"/>
      <w:r>
        <w:rPr>
          <w:rFonts w:hint="eastAsia" w:ascii="宋体" w:hAnsi="宋体" w:eastAsia="宋体" w:cs="宋体"/>
          <w:color w:val="auto"/>
          <w:sz w:val="28"/>
          <w:szCs w:val="28"/>
        </w:rPr>
        <w:t>投标人须知前附表</w:t>
      </w:r>
      <w:bookmarkEnd w:id="20"/>
      <w:bookmarkEnd w:id="21"/>
      <w:bookmarkEnd w:id="22"/>
      <w:bookmarkEnd w:id="23"/>
      <w:bookmarkEnd w:id="24"/>
      <w:bookmarkEnd w:id="25"/>
      <w:bookmarkEnd w:id="26"/>
      <w:bookmarkEnd w:id="27"/>
      <w:bookmarkEnd w:id="28"/>
      <w:bookmarkEnd w:id="29"/>
      <w:bookmarkEnd w:id="30"/>
      <w:bookmarkEnd w:id="31"/>
      <w:bookmarkEnd w:id="32"/>
    </w:p>
    <w:tbl>
      <w:tblPr>
        <w:tblStyle w:val="23"/>
        <w:tblW w:w="0" w:type="auto"/>
        <w:jc w:val="center"/>
        <w:tblLayout w:type="fixed"/>
        <w:tblCellMar>
          <w:top w:w="0" w:type="dxa"/>
          <w:left w:w="108" w:type="dxa"/>
          <w:bottom w:w="0" w:type="dxa"/>
          <w:right w:w="108" w:type="dxa"/>
        </w:tblCellMar>
      </w:tblPr>
      <w:tblGrid>
        <w:gridCol w:w="970"/>
        <w:gridCol w:w="2160"/>
        <w:gridCol w:w="7305"/>
      </w:tblGrid>
      <w:tr w14:paraId="599DBB54">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74936A9A">
            <w:pPr>
              <w:adjustRightInd w:val="0"/>
              <w:snapToGrid w:val="0"/>
              <w:spacing w:line="560" w:lineRule="exact"/>
              <w:jc w:val="center"/>
              <w:rPr>
                <w:rFonts w:ascii="宋体" w:hAnsi="宋体" w:cs="宋体"/>
                <w:b/>
                <w:color w:val="auto"/>
                <w:szCs w:val="21"/>
              </w:rPr>
            </w:pPr>
            <w:r>
              <w:rPr>
                <w:rFonts w:hint="eastAsia" w:ascii="宋体" w:hAnsi="宋体" w:cs="宋体"/>
                <w:b/>
                <w:color w:val="auto"/>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0AED6AD0">
            <w:pPr>
              <w:adjustRightInd w:val="0"/>
              <w:snapToGrid w:val="0"/>
              <w:spacing w:line="560" w:lineRule="exact"/>
              <w:jc w:val="center"/>
              <w:rPr>
                <w:rFonts w:ascii="宋体" w:hAnsi="宋体" w:cs="宋体"/>
                <w:b/>
                <w:color w:val="auto"/>
                <w:szCs w:val="21"/>
              </w:rPr>
            </w:pPr>
            <w:r>
              <w:rPr>
                <w:rFonts w:hint="eastAsia" w:ascii="宋体" w:hAnsi="宋体" w:cs="宋体"/>
                <w:b/>
                <w:color w:val="auto"/>
                <w:szCs w:val="21"/>
              </w:rPr>
              <w:t>条  款  名  称</w:t>
            </w:r>
          </w:p>
        </w:tc>
        <w:tc>
          <w:tcPr>
            <w:tcW w:w="7305" w:type="dxa"/>
            <w:tcBorders>
              <w:top w:val="single" w:color="auto" w:sz="4" w:space="0"/>
              <w:left w:val="single" w:color="auto" w:sz="4" w:space="0"/>
              <w:bottom w:val="single" w:color="auto" w:sz="4" w:space="0"/>
              <w:right w:val="single" w:color="auto" w:sz="4" w:space="0"/>
            </w:tcBorders>
            <w:vAlign w:val="center"/>
          </w:tcPr>
          <w:p w14:paraId="1470AB13">
            <w:pPr>
              <w:adjustRightInd w:val="0"/>
              <w:snapToGrid w:val="0"/>
              <w:spacing w:line="560" w:lineRule="exact"/>
              <w:jc w:val="center"/>
              <w:rPr>
                <w:rFonts w:ascii="宋体" w:hAnsi="宋体" w:cs="宋体"/>
                <w:b/>
                <w:color w:val="auto"/>
                <w:szCs w:val="21"/>
              </w:rPr>
            </w:pPr>
            <w:r>
              <w:rPr>
                <w:rFonts w:hint="eastAsia" w:ascii="宋体" w:hAnsi="宋体" w:cs="宋体"/>
                <w:b/>
                <w:color w:val="auto"/>
                <w:szCs w:val="21"/>
              </w:rPr>
              <w:t>编  列  内  容</w:t>
            </w:r>
          </w:p>
        </w:tc>
      </w:tr>
      <w:tr w14:paraId="0ED62DAE">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0007F873">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1.1.2</w:t>
            </w:r>
          </w:p>
        </w:tc>
        <w:tc>
          <w:tcPr>
            <w:tcW w:w="2160" w:type="dxa"/>
            <w:tcBorders>
              <w:top w:val="single" w:color="auto" w:sz="4" w:space="0"/>
              <w:left w:val="single" w:color="auto" w:sz="4" w:space="0"/>
              <w:bottom w:val="single" w:color="auto" w:sz="4" w:space="0"/>
              <w:right w:val="single" w:color="auto" w:sz="4" w:space="0"/>
            </w:tcBorders>
            <w:vAlign w:val="center"/>
          </w:tcPr>
          <w:p w14:paraId="2CCE900C">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招标人</w:t>
            </w:r>
          </w:p>
        </w:tc>
        <w:tc>
          <w:tcPr>
            <w:tcW w:w="7305" w:type="dxa"/>
            <w:tcBorders>
              <w:top w:val="single" w:color="auto" w:sz="4" w:space="0"/>
              <w:left w:val="single" w:color="auto" w:sz="4" w:space="0"/>
              <w:bottom w:val="single" w:color="auto" w:sz="4" w:space="0"/>
              <w:right w:val="single" w:color="auto" w:sz="4" w:space="0"/>
            </w:tcBorders>
            <w:vAlign w:val="center"/>
          </w:tcPr>
          <w:p w14:paraId="4D0AC526">
            <w:pPr>
              <w:pStyle w:val="50"/>
              <w:adjustRightInd w:val="0"/>
              <w:snapToGrid w:val="0"/>
              <w:spacing w:line="560" w:lineRule="exact"/>
              <w:jc w:val="left"/>
              <w:rPr>
                <w:rFonts w:ascii="宋体" w:hAnsi="宋体" w:cs="宋体"/>
                <w:color w:val="auto"/>
                <w:kern w:val="2"/>
              </w:rPr>
            </w:pPr>
            <w:r>
              <w:rPr>
                <w:rFonts w:hint="eastAsia" w:ascii="宋体" w:hAnsi="宋体" w:cs="宋体"/>
                <w:color w:val="auto"/>
              </w:rPr>
              <w:t>见招标公告</w:t>
            </w:r>
          </w:p>
        </w:tc>
      </w:tr>
      <w:tr w14:paraId="0CF8A530">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46BF2F6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1.1.3</w:t>
            </w:r>
          </w:p>
        </w:tc>
        <w:tc>
          <w:tcPr>
            <w:tcW w:w="2160" w:type="dxa"/>
            <w:tcBorders>
              <w:top w:val="single" w:color="auto" w:sz="4" w:space="0"/>
              <w:left w:val="single" w:color="auto" w:sz="4" w:space="0"/>
              <w:bottom w:val="single" w:color="auto" w:sz="4" w:space="0"/>
              <w:right w:val="single" w:color="auto" w:sz="4" w:space="0"/>
            </w:tcBorders>
            <w:vAlign w:val="center"/>
          </w:tcPr>
          <w:p w14:paraId="5B7ABA19">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招标代理机构</w:t>
            </w:r>
          </w:p>
        </w:tc>
        <w:tc>
          <w:tcPr>
            <w:tcW w:w="7305" w:type="dxa"/>
            <w:tcBorders>
              <w:top w:val="single" w:color="auto" w:sz="4" w:space="0"/>
              <w:left w:val="single" w:color="auto" w:sz="4" w:space="0"/>
              <w:bottom w:val="single" w:color="auto" w:sz="4" w:space="0"/>
              <w:right w:val="single" w:color="auto" w:sz="4" w:space="0"/>
            </w:tcBorders>
            <w:vAlign w:val="center"/>
          </w:tcPr>
          <w:p w14:paraId="5391E227">
            <w:pPr>
              <w:adjustRightInd w:val="0"/>
              <w:snapToGrid w:val="0"/>
              <w:spacing w:line="560" w:lineRule="exact"/>
              <w:rPr>
                <w:rFonts w:ascii="宋体" w:hAnsi="宋体" w:cs="宋体"/>
                <w:color w:val="auto"/>
                <w:szCs w:val="21"/>
              </w:rPr>
            </w:pPr>
            <w:r>
              <w:rPr>
                <w:rFonts w:hint="eastAsia" w:ascii="宋体" w:hAnsi="宋体" w:cs="宋体"/>
                <w:color w:val="auto"/>
                <w:szCs w:val="21"/>
              </w:rPr>
              <w:t>见招标公告</w:t>
            </w:r>
          </w:p>
        </w:tc>
      </w:tr>
      <w:tr w14:paraId="690327F4">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5D49593D">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1.1.4</w:t>
            </w:r>
          </w:p>
        </w:tc>
        <w:tc>
          <w:tcPr>
            <w:tcW w:w="2160" w:type="dxa"/>
            <w:tcBorders>
              <w:top w:val="single" w:color="auto" w:sz="4" w:space="0"/>
              <w:left w:val="single" w:color="auto" w:sz="4" w:space="0"/>
              <w:bottom w:val="single" w:color="auto" w:sz="4" w:space="0"/>
              <w:right w:val="single" w:color="auto" w:sz="4" w:space="0"/>
            </w:tcBorders>
            <w:vAlign w:val="center"/>
          </w:tcPr>
          <w:p w14:paraId="374C47D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招标项目名称</w:t>
            </w:r>
          </w:p>
        </w:tc>
        <w:tc>
          <w:tcPr>
            <w:tcW w:w="7305" w:type="dxa"/>
            <w:tcBorders>
              <w:top w:val="single" w:color="auto" w:sz="4" w:space="0"/>
              <w:left w:val="single" w:color="auto" w:sz="4" w:space="0"/>
              <w:bottom w:val="single" w:color="auto" w:sz="4" w:space="0"/>
              <w:right w:val="single" w:color="auto" w:sz="4" w:space="0"/>
            </w:tcBorders>
            <w:vAlign w:val="center"/>
          </w:tcPr>
          <w:p w14:paraId="4E75B4A0">
            <w:pPr>
              <w:adjustRightInd w:val="0"/>
              <w:snapToGrid w:val="0"/>
              <w:spacing w:line="560" w:lineRule="exact"/>
              <w:rPr>
                <w:rFonts w:ascii="宋体" w:hAnsi="宋体" w:cs="宋体"/>
                <w:color w:val="auto"/>
                <w:szCs w:val="21"/>
              </w:rPr>
            </w:pPr>
            <w:r>
              <w:rPr>
                <w:rFonts w:hint="eastAsia" w:ascii="宋体" w:hAnsi="宋体" w:cs="宋体"/>
                <w:color w:val="auto"/>
                <w:szCs w:val="21"/>
              </w:rPr>
              <w:t>见招标公告</w:t>
            </w:r>
          </w:p>
        </w:tc>
      </w:tr>
      <w:tr w14:paraId="162F1F22">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009CD9D6">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1.1.5</w:t>
            </w:r>
          </w:p>
        </w:tc>
        <w:tc>
          <w:tcPr>
            <w:tcW w:w="2160" w:type="dxa"/>
            <w:tcBorders>
              <w:top w:val="single" w:color="auto" w:sz="4" w:space="0"/>
              <w:left w:val="single" w:color="auto" w:sz="4" w:space="0"/>
              <w:bottom w:val="single" w:color="auto" w:sz="4" w:space="0"/>
              <w:right w:val="single" w:color="auto" w:sz="4" w:space="0"/>
            </w:tcBorders>
            <w:vAlign w:val="center"/>
          </w:tcPr>
          <w:p w14:paraId="77DC1DE4">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建设地点</w:t>
            </w:r>
          </w:p>
        </w:tc>
        <w:tc>
          <w:tcPr>
            <w:tcW w:w="7305" w:type="dxa"/>
            <w:tcBorders>
              <w:top w:val="single" w:color="auto" w:sz="4" w:space="0"/>
              <w:left w:val="single" w:color="auto" w:sz="4" w:space="0"/>
              <w:bottom w:val="single" w:color="auto" w:sz="4" w:space="0"/>
              <w:right w:val="single" w:color="auto" w:sz="4" w:space="0"/>
            </w:tcBorders>
            <w:vAlign w:val="center"/>
          </w:tcPr>
          <w:p w14:paraId="0CD7EB2B">
            <w:pPr>
              <w:adjustRightInd w:val="0"/>
              <w:snapToGrid w:val="0"/>
              <w:spacing w:line="560" w:lineRule="exact"/>
              <w:rPr>
                <w:rFonts w:ascii="宋体" w:hAnsi="宋体" w:cs="宋体"/>
                <w:color w:val="auto"/>
                <w:szCs w:val="21"/>
              </w:rPr>
            </w:pPr>
            <w:r>
              <w:rPr>
                <w:rFonts w:hint="eastAsia" w:ascii="宋体" w:hAnsi="宋体" w:cs="宋体"/>
                <w:color w:val="auto"/>
                <w:szCs w:val="21"/>
              </w:rPr>
              <w:t>见招标公告</w:t>
            </w:r>
          </w:p>
        </w:tc>
      </w:tr>
      <w:tr w14:paraId="790F11CC">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0E4D9AC3">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1.2.1</w:t>
            </w:r>
          </w:p>
        </w:tc>
        <w:tc>
          <w:tcPr>
            <w:tcW w:w="2160" w:type="dxa"/>
            <w:tcBorders>
              <w:top w:val="single" w:color="auto" w:sz="4" w:space="0"/>
              <w:left w:val="single" w:color="auto" w:sz="4" w:space="0"/>
              <w:bottom w:val="single" w:color="auto" w:sz="4" w:space="0"/>
              <w:right w:val="single" w:color="auto" w:sz="4" w:space="0"/>
            </w:tcBorders>
            <w:vAlign w:val="center"/>
          </w:tcPr>
          <w:p w14:paraId="7A924317">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资金来源及出资比例</w:t>
            </w:r>
          </w:p>
        </w:tc>
        <w:tc>
          <w:tcPr>
            <w:tcW w:w="7305" w:type="dxa"/>
            <w:tcBorders>
              <w:top w:val="single" w:color="auto" w:sz="4" w:space="0"/>
              <w:left w:val="single" w:color="auto" w:sz="4" w:space="0"/>
              <w:bottom w:val="single" w:color="auto" w:sz="4" w:space="0"/>
              <w:right w:val="single" w:color="auto" w:sz="4" w:space="0"/>
            </w:tcBorders>
            <w:vAlign w:val="center"/>
          </w:tcPr>
          <w:p w14:paraId="220E3FC4">
            <w:pPr>
              <w:adjustRightInd w:val="0"/>
              <w:snapToGrid w:val="0"/>
              <w:spacing w:line="560" w:lineRule="exact"/>
              <w:rPr>
                <w:rFonts w:ascii="宋体" w:hAnsi="宋体" w:cs="宋体"/>
                <w:color w:val="auto"/>
                <w:szCs w:val="21"/>
              </w:rPr>
            </w:pPr>
            <w:r>
              <w:rPr>
                <w:rFonts w:hint="eastAsia" w:ascii="宋体" w:hAnsi="宋体" w:cs="宋体"/>
                <w:color w:val="auto"/>
                <w:szCs w:val="21"/>
              </w:rPr>
              <w:t>见招标公告</w:t>
            </w:r>
          </w:p>
        </w:tc>
      </w:tr>
      <w:tr w14:paraId="11BA4259">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03E3B849">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1.2.2</w:t>
            </w:r>
          </w:p>
        </w:tc>
        <w:tc>
          <w:tcPr>
            <w:tcW w:w="2160" w:type="dxa"/>
            <w:tcBorders>
              <w:top w:val="single" w:color="auto" w:sz="4" w:space="0"/>
              <w:left w:val="single" w:color="auto" w:sz="4" w:space="0"/>
              <w:bottom w:val="single" w:color="auto" w:sz="4" w:space="0"/>
              <w:right w:val="single" w:color="auto" w:sz="4" w:space="0"/>
            </w:tcBorders>
            <w:vAlign w:val="center"/>
          </w:tcPr>
          <w:p w14:paraId="5D2C66C1">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资金落实情况</w:t>
            </w:r>
          </w:p>
        </w:tc>
        <w:tc>
          <w:tcPr>
            <w:tcW w:w="7305" w:type="dxa"/>
            <w:tcBorders>
              <w:top w:val="single" w:color="auto" w:sz="4" w:space="0"/>
              <w:left w:val="single" w:color="auto" w:sz="4" w:space="0"/>
              <w:bottom w:val="single" w:color="auto" w:sz="4" w:space="0"/>
              <w:right w:val="single" w:color="auto" w:sz="4" w:space="0"/>
            </w:tcBorders>
            <w:vAlign w:val="center"/>
          </w:tcPr>
          <w:p w14:paraId="4B203545">
            <w:pPr>
              <w:adjustRightInd w:val="0"/>
              <w:snapToGrid w:val="0"/>
              <w:spacing w:line="560" w:lineRule="exact"/>
              <w:rPr>
                <w:rFonts w:ascii="宋体" w:hAnsi="宋体" w:cs="宋体"/>
                <w:color w:val="auto"/>
                <w:szCs w:val="21"/>
              </w:rPr>
            </w:pPr>
            <w:r>
              <w:rPr>
                <w:rFonts w:hint="eastAsia" w:ascii="宋体" w:hAnsi="宋体" w:cs="宋体"/>
                <w:color w:val="auto"/>
                <w:szCs w:val="21"/>
              </w:rPr>
              <w:t>已落实</w:t>
            </w:r>
          </w:p>
        </w:tc>
      </w:tr>
      <w:tr w14:paraId="51AC9623">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4240468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1.3.1</w:t>
            </w:r>
          </w:p>
        </w:tc>
        <w:tc>
          <w:tcPr>
            <w:tcW w:w="2160" w:type="dxa"/>
            <w:tcBorders>
              <w:top w:val="single" w:color="auto" w:sz="4" w:space="0"/>
              <w:left w:val="single" w:color="auto" w:sz="4" w:space="0"/>
              <w:bottom w:val="single" w:color="auto" w:sz="4" w:space="0"/>
              <w:right w:val="single" w:color="auto" w:sz="4" w:space="0"/>
            </w:tcBorders>
            <w:vAlign w:val="center"/>
          </w:tcPr>
          <w:p w14:paraId="7457526D">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招标范围</w:t>
            </w:r>
          </w:p>
        </w:tc>
        <w:tc>
          <w:tcPr>
            <w:tcW w:w="7305" w:type="dxa"/>
            <w:tcBorders>
              <w:top w:val="single" w:color="auto" w:sz="4" w:space="0"/>
              <w:left w:val="single" w:color="auto" w:sz="4" w:space="0"/>
              <w:bottom w:val="single" w:color="auto" w:sz="4" w:space="0"/>
              <w:right w:val="single" w:color="auto" w:sz="4" w:space="0"/>
            </w:tcBorders>
            <w:vAlign w:val="center"/>
          </w:tcPr>
          <w:p w14:paraId="1B3D28C6">
            <w:pPr>
              <w:adjustRightInd w:val="0"/>
              <w:snapToGrid w:val="0"/>
              <w:spacing w:line="560" w:lineRule="exact"/>
              <w:rPr>
                <w:rFonts w:ascii="宋体" w:hAnsi="宋体" w:cs="宋体"/>
                <w:color w:val="auto"/>
                <w:szCs w:val="21"/>
                <w:highlight w:val="none"/>
              </w:rPr>
            </w:pPr>
            <w:r>
              <w:rPr>
                <w:rFonts w:hint="eastAsia" w:ascii="宋体" w:hAnsi="宋体" w:cs="宋体"/>
                <w:color w:val="auto"/>
                <w:szCs w:val="21"/>
                <w:highlight w:val="none"/>
              </w:rPr>
              <w:t>本项目为设计采购施工一体化项目，具体内容详见《技术要求》及发布的初步设计文件。</w:t>
            </w:r>
          </w:p>
        </w:tc>
      </w:tr>
      <w:tr w14:paraId="0FE83450">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486FDF6B">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1.3.2</w:t>
            </w:r>
          </w:p>
        </w:tc>
        <w:tc>
          <w:tcPr>
            <w:tcW w:w="2160" w:type="dxa"/>
            <w:tcBorders>
              <w:top w:val="single" w:color="auto" w:sz="4" w:space="0"/>
              <w:left w:val="single" w:color="auto" w:sz="4" w:space="0"/>
              <w:bottom w:val="single" w:color="auto" w:sz="4" w:space="0"/>
              <w:right w:val="single" w:color="auto" w:sz="4" w:space="0"/>
            </w:tcBorders>
            <w:vAlign w:val="center"/>
          </w:tcPr>
          <w:p w14:paraId="344CCDC9">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计划工期</w:t>
            </w:r>
          </w:p>
        </w:tc>
        <w:tc>
          <w:tcPr>
            <w:tcW w:w="7305" w:type="dxa"/>
            <w:tcBorders>
              <w:top w:val="single" w:color="auto" w:sz="4" w:space="0"/>
              <w:left w:val="single" w:color="auto" w:sz="4" w:space="0"/>
              <w:bottom w:val="single" w:color="auto" w:sz="4" w:space="0"/>
              <w:right w:val="single" w:color="auto" w:sz="4" w:space="0"/>
            </w:tcBorders>
            <w:vAlign w:val="center"/>
          </w:tcPr>
          <w:p w14:paraId="766DFF1B">
            <w:pPr>
              <w:adjustRightInd w:val="0"/>
              <w:snapToGrid w:val="0"/>
              <w:spacing w:line="560" w:lineRule="exact"/>
              <w:rPr>
                <w:rFonts w:ascii="宋体" w:hAnsi="宋体" w:cs="宋体"/>
                <w:b/>
                <w:color w:val="auto"/>
                <w:szCs w:val="21"/>
              </w:rPr>
            </w:pPr>
            <w:r>
              <w:rPr>
                <w:rFonts w:hint="eastAsia" w:ascii="宋体" w:hAnsi="宋体" w:cs="宋体"/>
                <w:b/>
                <w:color w:val="auto"/>
                <w:szCs w:val="21"/>
              </w:rPr>
              <w:t>计划工期：自合同签订之日起</w:t>
            </w:r>
            <w:r>
              <w:rPr>
                <w:rFonts w:hint="eastAsia" w:ascii="宋体" w:hAnsi="宋体" w:cs="宋体"/>
                <w:b/>
                <w:color w:val="auto"/>
                <w:szCs w:val="21"/>
                <w:u w:val="none"/>
              </w:rPr>
              <w:t>5个日历天完成初步设计的优化，10个日历天完成施工图设计并通过相关部门的</w:t>
            </w:r>
            <w:r>
              <w:rPr>
                <w:rFonts w:hint="eastAsia" w:ascii="宋体" w:hAnsi="宋体" w:cs="宋体"/>
                <w:b/>
                <w:color w:val="auto"/>
                <w:szCs w:val="21"/>
              </w:rPr>
              <w:t>审核；自开工之日起90日历天完成施工并通过验收。</w:t>
            </w:r>
          </w:p>
          <w:p w14:paraId="312D5EAA">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计划开工日期：双方签订合同时明确（具体开工日期以开工通知为准）                   </w:t>
            </w:r>
          </w:p>
          <w:p w14:paraId="680C2E5D">
            <w:pPr>
              <w:adjustRightInd w:val="0"/>
              <w:snapToGrid w:val="0"/>
              <w:spacing w:line="560" w:lineRule="exact"/>
              <w:rPr>
                <w:rFonts w:ascii="宋体" w:hAnsi="宋体" w:cs="宋体"/>
                <w:color w:val="auto"/>
                <w:szCs w:val="21"/>
              </w:rPr>
            </w:pPr>
            <w:r>
              <w:rPr>
                <w:rFonts w:hint="eastAsia" w:ascii="宋体" w:hAnsi="宋体" w:cs="宋体"/>
                <w:color w:val="auto"/>
                <w:szCs w:val="21"/>
              </w:rPr>
              <w:t>计划竣工日期：双方签订合同时明确</w:t>
            </w:r>
          </w:p>
          <w:p w14:paraId="417A0CA7">
            <w:pPr>
              <w:adjustRightInd w:val="0"/>
              <w:snapToGrid w:val="0"/>
              <w:spacing w:line="560" w:lineRule="exact"/>
              <w:rPr>
                <w:rFonts w:ascii="宋体" w:hAnsi="宋体" w:cs="宋体"/>
                <w:color w:val="auto"/>
                <w:szCs w:val="21"/>
              </w:rPr>
            </w:pPr>
            <w:r>
              <w:rPr>
                <w:rFonts w:hint="eastAsia" w:ascii="宋体" w:hAnsi="宋体" w:cs="宋体"/>
                <w:color w:val="auto"/>
                <w:szCs w:val="21"/>
              </w:rPr>
              <w:t>注：投标人自报的承诺工期为考核标准，因施工单位原因导致的工期延误，按5000元/天处以违约金，工期提前不奖励。</w:t>
            </w:r>
          </w:p>
        </w:tc>
      </w:tr>
      <w:tr w14:paraId="0E18992C">
        <w:tblPrEx>
          <w:tblCellMar>
            <w:top w:w="0" w:type="dxa"/>
            <w:left w:w="108" w:type="dxa"/>
            <w:bottom w:w="0" w:type="dxa"/>
            <w:right w:w="108" w:type="dxa"/>
          </w:tblCellMar>
        </w:tblPrEx>
        <w:trPr>
          <w:trHeight w:val="46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4F1ECFC2">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1.3.3</w:t>
            </w:r>
          </w:p>
        </w:tc>
        <w:tc>
          <w:tcPr>
            <w:tcW w:w="2160" w:type="dxa"/>
            <w:tcBorders>
              <w:top w:val="single" w:color="auto" w:sz="4" w:space="0"/>
              <w:left w:val="single" w:color="auto" w:sz="4" w:space="0"/>
              <w:bottom w:val="single" w:color="auto" w:sz="4" w:space="0"/>
              <w:right w:val="single" w:color="auto" w:sz="4" w:space="0"/>
            </w:tcBorders>
            <w:vAlign w:val="center"/>
          </w:tcPr>
          <w:p w14:paraId="453C294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质量要求</w:t>
            </w:r>
          </w:p>
        </w:tc>
        <w:tc>
          <w:tcPr>
            <w:tcW w:w="7305" w:type="dxa"/>
            <w:tcBorders>
              <w:top w:val="single" w:color="auto" w:sz="4" w:space="0"/>
              <w:left w:val="single" w:color="auto" w:sz="4" w:space="0"/>
              <w:bottom w:val="single" w:color="auto" w:sz="4" w:space="0"/>
              <w:right w:val="single" w:color="auto" w:sz="4" w:space="0"/>
            </w:tcBorders>
            <w:vAlign w:val="center"/>
          </w:tcPr>
          <w:p w14:paraId="0D113BB3">
            <w:pPr>
              <w:adjustRightInd w:val="0"/>
              <w:snapToGrid w:val="0"/>
              <w:spacing w:line="560" w:lineRule="exac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.设计质量要求：符合相关规范、国家政策、法规和本项目设计任务的要求，并通过图审。</w:t>
            </w:r>
          </w:p>
          <w:p w14:paraId="0834E9CE">
            <w:pPr>
              <w:adjustRightInd w:val="0"/>
              <w:snapToGrid w:val="0"/>
              <w:spacing w:line="560" w:lineRule="exact"/>
              <w:rPr>
                <w:rFonts w:ascii="宋体" w:hAnsi="宋体" w:cs="宋体"/>
                <w:color w:val="auto"/>
                <w:szCs w:val="21"/>
              </w:rPr>
            </w:pPr>
            <w:r>
              <w:rPr>
                <w:rFonts w:hint="eastAsia" w:ascii="宋体" w:hAnsi="宋体" w:cs="宋体"/>
                <w:color w:val="auto"/>
                <w:szCs w:val="21"/>
              </w:rPr>
              <w:t>2.施工质量要求：工程质量必须达到国家工程施工质量验收合格标准。</w:t>
            </w:r>
          </w:p>
          <w:p w14:paraId="2387423A">
            <w:pPr>
              <w:adjustRightInd w:val="0"/>
              <w:snapToGrid w:val="0"/>
              <w:spacing w:line="560" w:lineRule="exact"/>
              <w:rPr>
                <w:rFonts w:ascii="宋体" w:hAnsi="宋体" w:cs="宋体"/>
                <w:color w:val="auto"/>
                <w:szCs w:val="21"/>
              </w:rPr>
            </w:pPr>
            <w:r>
              <w:rPr>
                <w:rFonts w:hint="eastAsia" w:ascii="宋体" w:hAnsi="宋体" w:cs="宋体"/>
                <w:color w:val="auto"/>
                <w:szCs w:val="21"/>
              </w:rPr>
              <w:t>3.保修要求：按建设部【2000】80号令保修。</w:t>
            </w:r>
          </w:p>
          <w:p w14:paraId="293F0EFC">
            <w:pPr>
              <w:adjustRightInd w:val="0"/>
              <w:snapToGrid w:val="0"/>
              <w:spacing w:line="560" w:lineRule="exact"/>
              <w:rPr>
                <w:rFonts w:ascii="宋体" w:hAnsi="宋体" w:cs="宋体"/>
                <w:color w:val="auto"/>
                <w:szCs w:val="21"/>
              </w:rPr>
            </w:pPr>
            <w:r>
              <w:rPr>
                <w:rFonts w:hint="eastAsia" w:ascii="宋体" w:hAnsi="宋体" w:cs="宋体"/>
                <w:color w:val="auto"/>
                <w:szCs w:val="21"/>
              </w:rPr>
              <w:t>4.质量保证期及缺陷责任期：严格执行国家、省、市及本项目招标文件相关规定。</w:t>
            </w:r>
          </w:p>
          <w:p w14:paraId="082398C7">
            <w:pPr>
              <w:adjustRightInd w:val="0"/>
              <w:snapToGrid w:val="0"/>
              <w:spacing w:line="560" w:lineRule="exact"/>
              <w:rPr>
                <w:rFonts w:ascii="宋体" w:hAnsi="宋体" w:cs="宋体"/>
                <w:color w:val="auto"/>
                <w:szCs w:val="21"/>
              </w:rPr>
            </w:pPr>
            <w:r>
              <w:rPr>
                <w:rFonts w:hint="eastAsia" w:ascii="宋体" w:hAnsi="宋体" w:cs="宋体"/>
                <w:color w:val="auto"/>
                <w:szCs w:val="21"/>
              </w:rPr>
              <w:t>5.相关规范、标准以及《建设标准强制性条文》要求的相关强制性标准。</w:t>
            </w:r>
          </w:p>
        </w:tc>
      </w:tr>
      <w:tr w14:paraId="7DE7B558">
        <w:tblPrEx>
          <w:tblCellMar>
            <w:top w:w="0" w:type="dxa"/>
            <w:left w:w="108" w:type="dxa"/>
            <w:bottom w:w="0" w:type="dxa"/>
            <w:right w:w="108" w:type="dxa"/>
          </w:tblCellMar>
        </w:tblPrEx>
        <w:trPr>
          <w:trHeight w:val="1232" w:hRule="atLeast"/>
          <w:jc w:val="center"/>
        </w:trPr>
        <w:tc>
          <w:tcPr>
            <w:tcW w:w="970" w:type="dxa"/>
            <w:tcBorders>
              <w:top w:val="single" w:color="auto" w:sz="4" w:space="0"/>
              <w:left w:val="single" w:color="auto" w:sz="4" w:space="0"/>
              <w:right w:val="single" w:color="auto" w:sz="4" w:space="0"/>
            </w:tcBorders>
            <w:vAlign w:val="center"/>
          </w:tcPr>
          <w:p w14:paraId="09C9458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1.4.1</w:t>
            </w:r>
          </w:p>
        </w:tc>
        <w:tc>
          <w:tcPr>
            <w:tcW w:w="2160" w:type="dxa"/>
            <w:tcBorders>
              <w:top w:val="single" w:color="auto" w:sz="4" w:space="0"/>
              <w:left w:val="single" w:color="auto" w:sz="4" w:space="0"/>
              <w:bottom w:val="single" w:color="auto" w:sz="4" w:space="0"/>
              <w:right w:val="single" w:color="auto" w:sz="4" w:space="0"/>
            </w:tcBorders>
            <w:vAlign w:val="center"/>
          </w:tcPr>
          <w:p w14:paraId="06F9AB7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投标人资质条件、能力和信誉</w:t>
            </w:r>
          </w:p>
        </w:tc>
        <w:tc>
          <w:tcPr>
            <w:tcW w:w="7305" w:type="dxa"/>
            <w:tcBorders>
              <w:top w:val="single" w:color="auto" w:sz="4" w:space="0"/>
              <w:left w:val="single" w:color="auto" w:sz="4" w:space="0"/>
              <w:bottom w:val="single" w:color="auto" w:sz="4" w:space="0"/>
              <w:right w:val="single" w:color="auto" w:sz="4" w:space="0"/>
            </w:tcBorders>
            <w:vAlign w:val="center"/>
          </w:tcPr>
          <w:p w14:paraId="564A63B6">
            <w:pPr>
              <w:widowControl/>
              <w:adjustRightInd w:val="0"/>
              <w:snapToGrid w:val="0"/>
              <w:spacing w:line="560" w:lineRule="exact"/>
              <w:jc w:val="left"/>
              <w:rPr>
                <w:rFonts w:ascii="宋体" w:hAnsi="宋体" w:cs="宋体"/>
                <w:color w:val="auto"/>
                <w:szCs w:val="21"/>
              </w:rPr>
            </w:pPr>
            <w:r>
              <w:rPr>
                <w:rFonts w:hint="eastAsia" w:ascii="宋体" w:hAnsi="宋体" w:cs="宋体"/>
                <w:color w:val="auto"/>
                <w:szCs w:val="21"/>
              </w:rPr>
              <w:t>详见招标公告</w:t>
            </w:r>
          </w:p>
        </w:tc>
      </w:tr>
      <w:tr w14:paraId="3F1A2E81">
        <w:tblPrEx>
          <w:tblCellMar>
            <w:top w:w="0" w:type="dxa"/>
            <w:left w:w="108" w:type="dxa"/>
            <w:bottom w:w="0" w:type="dxa"/>
            <w:right w:w="108" w:type="dxa"/>
          </w:tblCellMar>
        </w:tblPrEx>
        <w:trPr>
          <w:trHeight w:val="683"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4D1A2097">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1.4.2</w:t>
            </w:r>
          </w:p>
        </w:tc>
        <w:tc>
          <w:tcPr>
            <w:tcW w:w="2160" w:type="dxa"/>
            <w:tcBorders>
              <w:top w:val="single" w:color="auto" w:sz="4" w:space="0"/>
              <w:left w:val="single" w:color="auto" w:sz="4" w:space="0"/>
              <w:bottom w:val="single" w:color="auto" w:sz="4" w:space="0"/>
              <w:right w:val="single" w:color="auto" w:sz="4" w:space="0"/>
            </w:tcBorders>
            <w:vAlign w:val="center"/>
          </w:tcPr>
          <w:p w14:paraId="547FF324">
            <w:pPr>
              <w:adjustRightInd w:val="0"/>
              <w:snapToGrid w:val="0"/>
              <w:spacing w:line="560" w:lineRule="exact"/>
              <w:jc w:val="center"/>
              <w:rPr>
                <w:rFonts w:ascii="宋体" w:hAnsi="宋体" w:cs="宋体"/>
                <w:color w:val="auto"/>
                <w:spacing w:val="-4"/>
                <w:kern w:val="0"/>
                <w:szCs w:val="21"/>
              </w:rPr>
            </w:pPr>
            <w:r>
              <w:rPr>
                <w:rFonts w:hint="eastAsia" w:ascii="宋体" w:hAnsi="宋体" w:cs="宋体"/>
                <w:color w:val="auto"/>
                <w:spacing w:val="-4"/>
                <w:kern w:val="0"/>
                <w:szCs w:val="21"/>
              </w:rPr>
              <w:t>是否接受联合体投标</w:t>
            </w:r>
          </w:p>
        </w:tc>
        <w:tc>
          <w:tcPr>
            <w:tcW w:w="7305" w:type="dxa"/>
            <w:tcBorders>
              <w:top w:val="single" w:color="auto" w:sz="4" w:space="0"/>
              <w:left w:val="single" w:color="auto" w:sz="4" w:space="0"/>
              <w:bottom w:val="single" w:color="auto" w:sz="4" w:space="0"/>
              <w:right w:val="single" w:color="auto" w:sz="4" w:space="0"/>
            </w:tcBorders>
            <w:vAlign w:val="center"/>
          </w:tcPr>
          <w:p w14:paraId="6324945F">
            <w:pPr>
              <w:pStyle w:val="10"/>
              <w:topLinePunct/>
              <w:adjustRightInd w:val="0"/>
              <w:snapToGrid w:val="0"/>
              <w:spacing w:line="560" w:lineRule="exact"/>
              <w:rPr>
                <w:rFonts w:hAnsi="宋体" w:cs="宋体"/>
                <w:color w:val="auto"/>
                <w:sz w:val="21"/>
                <w:szCs w:val="21"/>
              </w:rPr>
            </w:pPr>
            <w:r>
              <w:rPr>
                <w:rFonts w:hint="eastAsia" w:hAnsi="宋体" w:cs="宋体"/>
                <w:color w:val="auto"/>
                <w:sz w:val="21"/>
                <w:szCs w:val="21"/>
              </w:rPr>
              <w:t>详见招标公告</w:t>
            </w:r>
          </w:p>
        </w:tc>
      </w:tr>
      <w:tr w14:paraId="6177A7F7">
        <w:tblPrEx>
          <w:tblCellMar>
            <w:top w:w="0" w:type="dxa"/>
            <w:left w:w="108" w:type="dxa"/>
            <w:bottom w:w="0" w:type="dxa"/>
            <w:right w:w="108" w:type="dxa"/>
          </w:tblCellMar>
        </w:tblPrEx>
        <w:trPr>
          <w:trHeight w:val="683"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5E90B9D5">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1.4.3</w:t>
            </w:r>
          </w:p>
        </w:tc>
        <w:tc>
          <w:tcPr>
            <w:tcW w:w="2160" w:type="dxa"/>
            <w:tcBorders>
              <w:top w:val="single" w:color="auto" w:sz="4" w:space="0"/>
              <w:left w:val="single" w:color="auto" w:sz="4" w:space="0"/>
              <w:bottom w:val="single" w:color="auto" w:sz="4" w:space="0"/>
              <w:right w:val="single" w:color="auto" w:sz="4" w:space="0"/>
            </w:tcBorders>
            <w:vAlign w:val="center"/>
          </w:tcPr>
          <w:p w14:paraId="797A813A">
            <w:pPr>
              <w:adjustRightInd w:val="0"/>
              <w:snapToGrid w:val="0"/>
              <w:spacing w:line="560" w:lineRule="exact"/>
              <w:jc w:val="center"/>
              <w:rPr>
                <w:rFonts w:ascii="宋体" w:hAnsi="宋体" w:cs="宋体"/>
                <w:color w:val="auto"/>
                <w:spacing w:val="-4"/>
                <w:kern w:val="0"/>
                <w:szCs w:val="21"/>
              </w:rPr>
            </w:pPr>
            <w:r>
              <w:rPr>
                <w:rFonts w:hint="eastAsia" w:ascii="宋体" w:hAnsi="宋体" w:cs="宋体"/>
                <w:color w:val="auto"/>
                <w:spacing w:val="-4"/>
                <w:kern w:val="0"/>
                <w:szCs w:val="21"/>
              </w:rPr>
              <w:t>投标人不得存在的其他关联情形</w:t>
            </w:r>
          </w:p>
        </w:tc>
        <w:tc>
          <w:tcPr>
            <w:tcW w:w="7305" w:type="dxa"/>
            <w:tcBorders>
              <w:top w:val="single" w:color="auto" w:sz="4" w:space="0"/>
              <w:left w:val="single" w:color="auto" w:sz="4" w:space="0"/>
              <w:bottom w:val="single" w:color="auto" w:sz="4" w:space="0"/>
              <w:right w:val="single" w:color="auto" w:sz="4" w:space="0"/>
            </w:tcBorders>
            <w:vAlign w:val="center"/>
          </w:tcPr>
          <w:p w14:paraId="7445DBE1">
            <w:pPr>
              <w:pStyle w:val="10"/>
              <w:topLinePunct/>
              <w:adjustRightInd w:val="0"/>
              <w:snapToGrid w:val="0"/>
              <w:spacing w:line="560" w:lineRule="exact"/>
              <w:rPr>
                <w:rFonts w:hAnsi="宋体" w:cs="宋体"/>
                <w:color w:val="auto"/>
                <w:sz w:val="21"/>
                <w:szCs w:val="21"/>
              </w:rPr>
            </w:pPr>
            <w:r>
              <w:rPr>
                <w:rFonts w:hint="eastAsia" w:hAnsi="宋体" w:cs="宋体"/>
                <w:color w:val="auto"/>
                <w:sz w:val="21"/>
                <w:szCs w:val="21"/>
              </w:rPr>
              <w:t>详见招标公告</w:t>
            </w:r>
          </w:p>
        </w:tc>
      </w:tr>
      <w:tr w14:paraId="7717A820">
        <w:tblPrEx>
          <w:tblCellMar>
            <w:top w:w="0" w:type="dxa"/>
            <w:left w:w="108" w:type="dxa"/>
            <w:bottom w:w="0" w:type="dxa"/>
            <w:right w:w="108" w:type="dxa"/>
          </w:tblCellMar>
        </w:tblPrEx>
        <w:trPr>
          <w:trHeight w:val="683"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7AE9F49D">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1.9</w:t>
            </w:r>
          </w:p>
        </w:tc>
        <w:tc>
          <w:tcPr>
            <w:tcW w:w="2160" w:type="dxa"/>
            <w:tcBorders>
              <w:top w:val="single" w:color="auto" w:sz="4" w:space="0"/>
              <w:left w:val="single" w:color="auto" w:sz="4" w:space="0"/>
              <w:bottom w:val="single" w:color="auto" w:sz="4" w:space="0"/>
              <w:right w:val="single" w:color="auto" w:sz="4" w:space="0"/>
            </w:tcBorders>
            <w:vAlign w:val="center"/>
          </w:tcPr>
          <w:p w14:paraId="53AF0A00">
            <w:pPr>
              <w:adjustRightInd w:val="0"/>
              <w:snapToGrid w:val="0"/>
              <w:spacing w:line="560" w:lineRule="exact"/>
              <w:jc w:val="center"/>
              <w:rPr>
                <w:rFonts w:ascii="宋体" w:hAnsi="宋体" w:cs="宋体"/>
                <w:color w:val="auto"/>
                <w:spacing w:val="-4"/>
                <w:kern w:val="0"/>
                <w:szCs w:val="21"/>
              </w:rPr>
            </w:pPr>
            <w:r>
              <w:rPr>
                <w:rFonts w:hint="eastAsia" w:ascii="宋体" w:hAnsi="宋体" w:cs="宋体"/>
                <w:color w:val="auto"/>
                <w:spacing w:val="-4"/>
                <w:kern w:val="0"/>
                <w:szCs w:val="21"/>
              </w:rPr>
              <w:t>踏勘现场</w:t>
            </w:r>
          </w:p>
        </w:tc>
        <w:tc>
          <w:tcPr>
            <w:tcW w:w="7305" w:type="dxa"/>
            <w:tcBorders>
              <w:top w:val="single" w:color="auto" w:sz="4" w:space="0"/>
              <w:left w:val="single" w:color="auto" w:sz="4" w:space="0"/>
              <w:bottom w:val="single" w:color="auto" w:sz="4" w:space="0"/>
              <w:right w:val="single" w:color="auto" w:sz="4" w:space="0"/>
            </w:tcBorders>
            <w:vAlign w:val="center"/>
          </w:tcPr>
          <w:p w14:paraId="55C925BA">
            <w:pPr>
              <w:pStyle w:val="10"/>
              <w:topLinePunct/>
              <w:adjustRightInd w:val="0"/>
              <w:snapToGrid w:val="0"/>
              <w:spacing w:line="560" w:lineRule="exact"/>
              <w:rPr>
                <w:rFonts w:hAnsi="宋体" w:cs="宋体"/>
                <w:color w:val="auto"/>
                <w:sz w:val="21"/>
                <w:szCs w:val="21"/>
              </w:rPr>
            </w:pPr>
            <w:r>
              <w:rPr>
                <w:rFonts w:hint="eastAsia" w:hAnsi="宋体" w:cs="宋体"/>
                <w:color w:val="auto"/>
                <w:spacing w:val="-4"/>
                <w:kern w:val="0"/>
                <w:sz w:val="21"/>
                <w:szCs w:val="21"/>
              </w:rPr>
              <w:t>不组织，投标人自行组织踏勘</w:t>
            </w:r>
            <w:r>
              <w:rPr>
                <w:rFonts w:hint="eastAsia" w:hAnsi="宋体" w:cs="宋体"/>
                <w:color w:val="auto"/>
                <w:sz w:val="21"/>
                <w:szCs w:val="21"/>
              </w:rPr>
              <w:t>；</w:t>
            </w:r>
          </w:p>
        </w:tc>
      </w:tr>
      <w:tr w14:paraId="0BC16163">
        <w:tblPrEx>
          <w:tblCellMar>
            <w:top w:w="0" w:type="dxa"/>
            <w:left w:w="108" w:type="dxa"/>
            <w:bottom w:w="0" w:type="dxa"/>
            <w:right w:w="108" w:type="dxa"/>
          </w:tblCellMar>
        </w:tblPrEx>
        <w:trPr>
          <w:trHeight w:val="61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372A5E0C">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1.10.1</w:t>
            </w:r>
          </w:p>
        </w:tc>
        <w:tc>
          <w:tcPr>
            <w:tcW w:w="2160" w:type="dxa"/>
            <w:tcBorders>
              <w:top w:val="single" w:color="auto" w:sz="4" w:space="0"/>
              <w:left w:val="single" w:color="auto" w:sz="4" w:space="0"/>
              <w:bottom w:val="single" w:color="auto" w:sz="4" w:space="0"/>
              <w:right w:val="single" w:color="auto" w:sz="4" w:space="0"/>
            </w:tcBorders>
            <w:vAlign w:val="center"/>
          </w:tcPr>
          <w:p w14:paraId="7B7CC603">
            <w:pPr>
              <w:adjustRightInd w:val="0"/>
              <w:snapToGrid w:val="0"/>
              <w:spacing w:line="560" w:lineRule="exact"/>
              <w:jc w:val="center"/>
              <w:rPr>
                <w:rFonts w:ascii="宋体" w:hAnsi="宋体" w:cs="宋体"/>
                <w:color w:val="auto"/>
                <w:spacing w:val="-4"/>
                <w:kern w:val="0"/>
                <w:szCs w:val="21"/>
              </w:rPr>
            </w:pPr>
            <w:r>
              <w:rPr>
                <w:rFonts w:hint="eastAsia" w:ascii="宋体" w:hAnsi="宋体" w:cs="宋体"/>
                <w:color w:val="auto"/>
                <w:spacing w:val="-4"/>
                <w:kern w:val="0"/>
                <w:szCs w:val="21"/>
              </w:rPr>
              <w:t>投标预备会</w:t>
            </w:r>
          </w:p>
        </w:tc>
        <w:tc>
          <w:tcPr>
            <w:tcW w:w="7305" w:type="dxa"/>
            <w:tcBorders>
              <w:top w:val="single" w:color="auto" w:sz="4" w:space="0"/>
              <w:left w:val="single" w:color="auto" w:sz="4" w:space="0"/>
              <w:bottom w:val="single" w:color="auto" w:sz="4" w:space="0"/>
              <w:right w:val="single" w:color="auto" w:sz="4" w:space="0"/>
            </w:tcBorders>
            <w:vAlign w:val="center"/>
          </w:tcPr>
          <w:p w14:paraId="7C134954">
            <w:pPr>
              <w:pStyle w:val="10"/>
              <w:topLinePunct/>
              <w:adjustRightInd w:val="0"/>
              <w:snapToGrid w:val="0"/>
              <w:spacing w:line="560" w:lineRule="exact"/>
              <w:rPr>
                <w:rFonts w:hAnsi="宋体" w:cs="宋体"/>
                <w:color w:val="auto"/>
                <w:sz w:val="21"/>
                <w:szCs w:val="21"/>
              </w:rPr>
            </w:pPr>
            <w:r>
              <w:rPr>
                <w:rFonts w:hint="eastAsia" w:hAnsi="宋体" w:cs="宋体"/>
                <w:color w:val="auto"/>
                <w:spacing w:val="-4"/>
                <w:kern w:val="0"/>
                <w:sz w:val="21"/>
                <w:szCs w:val="21"/>
              </w:rPr>
              <w:t>不召开</w:t>
            </w:r>
            <w:r>
              <w:rPr>
                <w:rFonts w:hint="eastAsia" w:hAnsi="宋体" w:cs="宋体"/>
                <w:color w:val="auto"/>
                <w:sz w:val="21"/>
                <w:szCs w:val="21"/>
              </w:rPr>
              <w:t xml:space="preserve">；  </w:t>
            </w:r>
          </w:p>
        </w:tc>
      </w:tr>
      <w:tr w14:paraId="77BCB7D4">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2492C618">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1.10.2</w:t>
            </w:r>
          </w:p>
        </w:tc>
        <w:tc>
          <w:tcPr>
            <w:tcW w:w="2160" w:type="dxa"/>
            <w:tcBorders>
              <w:top w:val="single" w:color="auto" w:sz="4" w:space="0"/>
              <w:left w:val="single" w:color="auto" w:sz="4" w:space="0"/>
              <w:bottom w:val="single" w:color="auto" w:sz="4" w:space="0"/>
              <w:right w:val="single" w:color="auto" w:sz="4" w:space="0"/>
            </w:tcBorders>
            <w:vAlign w:val="center"/>
          </w:tcPr>
          <w:p w14:paraId="340F8CAB">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投标人在投标预备会前提出问题</w:t>
            </w:r>
          </w:p>
        </w:tc>
        <w:tc>
          <w:tcPr>
            <w:tcW w:w="7305" w:type="dxa"/>
            <w:tcBorders>
              <w:top w:val="single" w:color="auto" w:sz="4" w:space="0"/>
              <w:left w:val="single" w:color="auto" w:sz="4" w:space="0"/>
              <w:bottom w:val="single" w:color="auto" w:sz="4" w:space="0"/>
              <w:right w:val="single" w:color="auto" w:sz="4" w:space="0"/>
            </w:tcBorders>
            <w:vAlign w:val="center"/>
          </w:tcPr>
          <w:p w14:paraId="21385F46">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时间：/   </w:t>
            </w:r>
          </w:p>
          <w:p w14:paraId="04BA3F03">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形式：/     </w:t>
            </w:r>
          </w:p>
        </w:tc>
      </w:tr>
      <w:tr w14:paraId="462E7934">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11777BFB">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1.11</w:t>
            </w:r>
          </w:p>
        </w:tc>
        <w:tc>
          <w:tcPr>
            <w:tcW w:w="2160" w:type="dxa"/>
            <w:tcBorders>
              <w:top w:val="single" w:color="auto" w:sz="4" w:space="0"/>
              <w:left w:val="single" w:color="auto" w:sz="4" w:space="0"/>
              <w:bottom w:val="single" w:color="auto" w:sz="4" w:space="0"/>
              <w:right w:val="single" w:color="auto" w:sz="4" w:space="0"/>
            </w:tcBorders>
            <w:vAlign w:val="center"/>
          </w:tcPr>
          <w:p w14:paraId="7864767B">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分包</w:t>
            </w:r>
          </w:p>
        </w:tc>
        <w:tc>
          <w:tcPr>
            <w:tcW w:w="7305" w:type="dxa"/>
            <w:tcBorders>
              <w:top w:val="single" w:color="auto" w:sz="4" w:space="0"/>
              <w:left w:val="single" w:color="auto" w:sz="4" w:space="0"/>
              <w:bottom w:val="single" w:color="auto" w:sz="4" w:space="0"/>
              <w:right w:val="single" w:color="auto" w:sz="4" w:space="0"/>
            </w:tcBorders>
            <w:vAlign w:val="center"/>
          </w:tcPr>
          <w:p w14:paraId="786C8E83">
            <w:pPr>
              <w:adjustRightInd w:val="0"/>
              <w:snapToGrid w:val="0"/>
              <w:spacing w:line="560" w:lineRule="exact"/>
              <w:jc w:val="left"/>
              <w:rPr>
                <w:rFonts w:ascii="宋体" w:hAnsi="宋体" w:cs="宋体"/>
                <w:color w:val="auto"/>
                <w:kern w:val="0"/>
                <w:szCs w:val="21"/>
              </w:rPr>
            </w:pPr>
            <w:r>
              <w:rPr>
                <w:rFonts w:hint="eastAsia" w:ascii="宋体" w:hAnsi="宋体" w:cs="宋体"/>
                <w:color w:val="auto"/>
                <w:szCs w:val="21"/>
              </w:rPr>
              <w:t>不允许</w:t>
            </w:r>
          </w:p>
        </w:tc>
      </w:tr>
      <w:tr w14:paraId="5D1FBAD0">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797B10F6">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2.1</w:t>
            </w:r>
          </w:p>
        </w:tc>
        <w:tc>
          <w:tcPr>
            <w:tcW w:w="2160" w:type="dxa"/>
            <w:tcBorders>
              <w:top w:val="single" w:color="auto" w:sz="4" w:space="0"/>
              <w:left w:val="single" w:color="auto" w:sz="4" w:space="0"/>
              <w:bottom w:val="single" w:color="auto" w:sz="4" w:space="0"/>
              <w:right w:val="single" w:color="auto" w:sz="4" w:space="0"/>
            </w:tcBorders>
            <w:vAlign w:val="center"/>
          </w:tcPr>
          <w:p w14:paraId="7D9F4262">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构成招标文件的其他资料</w:t>
            </w:r>
          </w:p>
        </w:tc>
        <w:tc>
          <w:tcPr>
            <w:tcW w:w="7305" w:type="dxa"/>
            <w:tcBorders>
              <w:top w:val="single" w:color="auto" w:sz="4" w:space="0"/>
              <w:left w:val="single" w:color="auto" w:sz="4" w:space="0"/>
              <w:bottom w:val="single" w:color="auto" w:sz="4" w:space="0"/>
              <w:right w:val="single" w:color="auto" w:sz="4" w:space="0"/>
            </w:tcBorders>
            <w:vAlign w:val="center"/>
          </w:tcPr>
          <w:p w14:paraId="75C59CA9">
            <w:pPr>
              <w:adjustRightInd w:val="0"/>
              <w:snapToGrid w:val="0"/>
              <w:spacing w:line="560" w:lineRule="exact"/>
              <w:rPr>
                <w:rFonts w:ascii="宋体" w:hAnsi="宋体" w:cs="宋体"/>
                <w:color w:val="auto"/>
                <w:szCs w:val="21"/>
              </w:rPr>
            </w:pPr>
            <w:r>
              <w:rPr>
                <w:rFonts w:hint="eastAsia" w:ascii="宋体" w:hAnsi="宋体" w:cs="宋体"/>
                <w:color w:val="auto"/>
                <w:szCs w:val="21"/>
              </w:rPr>
              <w:t>本工程施工图纸、工程量清单及招标澄清答疑文件。</w:t>
            </w:r>
          </w:p>
        </w:tc>
      </w:tr>
      <w:tr w14:paraId="48812D61">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7CAF3AB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2.2</w:t>
            </w:r>
          </w:p>
        </w:tc>
        <w:tc>
          <w:tcPr>
            <w:tcW w:w="2160" w:type="dxa"/>
            <w:tcBorders>
              <w:top w:val="single" w:color="auto" w:sz="4" w:space="0"/>
              <w:left w:val="single" w:color="auto" w:sz="4" w:space="0"/>
              <w:bottom w:val="single" w:color="auto" w:sz="4" w:space="0"/>
              <w:right w:val="single" w:color="auto" w:sz="4" w:space="0"/>
            </w:tcBorders>
            <w:vAlign w:val="center"/>
          </w:tcPr>
          <w:p w14:paraId="4B60FD5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投标人提出异议的截止时间及方式</w:t>
            </w:r>
          </w:p>
        </w:tc>
        <w:tc>
          <w:tcPr>
            <w:tcW w:w="7305" w:type="dxa"/>
            <w:tcBorders>
              <w:top w:val="single" w:color="auto" w:sz="4" w:space="0"/>
              <w:left w:val="single" w:color="auto" w:sz="4" w:space="0"/>
              <w:bottom w:val="single" w:color="auto" w:sz="4" w:space="0"/>
              <w:right w:val="single" w:color="auto" w:sz="4" w:space="0"/>
            </w:tcBorders>
            <w:vAlign w:val="center"/>
          </w:tcPr>
          <w:p w14:paraId="15CA1E97">
            <w:pPr>
              <w:adjustRightInd w:val="0"/>
              <w:snapToGrid w:val="0"/>
              <w:spacing w:line="560" w:lineRule="exact"/>
              <w:jc w:val="left"/>
              <w:rPr>
                <w:rFonts w:ascii="宋体" w:hAnsi="宋体" w:cs="宋体"/>
                <w:color w:val="auto"/>
                <w:szCs w:val="21"/>
              </w:rPr>
            </w:pPr>
            <w:r>
              <w:rPr>
                <w:rFonts w:hint="eastAsia" w:ascii="宋体" w:hAnsi="宋体" w:cs="宋体"/>
                <w:color w:val="auto"/>
                <w:kern w:val="0"/>
                <w:szCs w:val="21"/>
              </w:rPr>
              <w:t>如投标人对招标文件有异议，请于</w:t>
            </w:r>
            <w:r>
              <w:rPr>
                <w:rFonts w:hint="eastAsia" w:ascii="宋体" w:hAnsi="宋体" w:cs="宋体"/>
                <w:b/>
                <w:bCs/>
                <w:color w:val="auto"/>
                <w:kern w:val="0"/>
                <w:szCs w:val="21"/>
              </w:rPr>
              <w:t>2025年</w:t>
            </w:r>
            <w:r>
              <w:rPr>
                <w:rFonts w:hint="eastAsia" w:ascii="宋体" w:hAnsi="宋体" w:cs="宋体"/>
                <w:b/>
                <w:bCs/>
                <w:color w:val="auto"/>
                <w:kern w:val="0"/>
                <w:szCs w:val="21"/>
                <w:lang w:val="en-US" w:eastAsia="zh-CN"/>
              </w:rPr>
              <w:t>10</w:t>
            </w:r>
            <w:r>
              <w:rPr>
                <w:rFonts w:hint="eastAsia" w:ascii="宋体" w:hAnsi="宋体" w:cs="宋体"/>
                <w:b/>
                <w:bCs/>
                <w:color w:val="auto"/>
                <w:kern w:val="0"/>
                <w:szCs w:val="21"/>
              </w:rPr>
              <w:t>月</w:t>
            </w:r>
            <w:r>
              <w:rPr>
                <w:rFonts w:hint="eastAsia" w:ascii="宋体" w:hAnsi="宋体" w:cs="宋体"/>
                <w:b/>
                <w:bCs/>
                <w:color w:val="auto"/>
                <w:kern w:val="0"/>
                <w:szCs w:val="21"/>
                <w:lang w:val="en-US" w:eastAsia="zh-CN"/>
              </w:rPr>
              <w:t>1</w:t>
            </w:r>
            <w:r>
              <w:rPr>
                <w:rFonts w:hint="eastAsia" w:ascii="宋体" w:hAnsi="宋体" w:cs="宋体"/>
                <w:b/>
                <w:bCs/>
                <w:color w:val="auto"/>
                <w:kern w:val="0"/>
                <w:szCs w:val="21"/>
              </w:rPr>
              <w:t>日8时</w:t>
            </w:r>
            <w:r>
              <w:rPr>
                <w:rFonts w:hint="eastAsia" w:ascii="宋体" w:hAnsi="宋体" w:cs="宋体"/>
                <w:color w:val="auto"/>
                <w:kern w:val="0"/>
                <w:szCs w:val="21"/>
              </w:rPr>
              <w:t>（投标截止10日）前在滁州市公共资源交易中心网电子交易系统中进行异议，具体操作步骤和程序请参见服务指南&gt;交易须知&gt;在线异议、质疑和投诉操作手册。</w:t>
            </w:r>
          </w:p>
        </w:tc>
      </w:tr>
      <w:tr w14:paraId="036C71EB">
        <w:tblPrEx>
          <w:tblCellMar>
            <w:top w:w="0" w:type="dxa"/>
            <w:left w:w="108" w:type="dxa"/>
            <w:bottom w:w="0" w:type="dxa"/>
            <w:right w:w="108" w:type="dxa"/>
          </w:tblCellMar>
        </w:tblPrEx>
        <w:trPr>
          <w:trHeight w:val="1196"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241B911F">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2.3</w:t>
            </w:r>
          </w:p>
        </w:tc>
        <w:tc>
          <w:tcPr>
            <w:tcW w:w="2160" w:type="dxa"/>
            <w:tcBorders>
              <w:top w:val="single" w:color="auto" w:sz="4" w:space="0"/>
              <w:left w:val="single" w:color="auto" w:sz="4" w:space="0"/>
              <w:bottom w:val="single" w:color="auto" w:sz="4" w:space="0"/>
              <w:right w:val="single" w:color="auto" w:sz="4" w:space="0"/>
            </w:tcBorders>
            <w:vAlign w:val="center"/>
          </w:tcPr>
          <w:p w14:paraId="5DB2D017">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招标人澄清的时间及方式</w:t>
            </w:r>
          </w:p>
        </w:tc>
        <w:tc>
          <w:tcPr>
            <w:tcW w:w="7305" w:type="dxa"/>
            <w:tcBorders>
              <w:top w:val="single" w:color="auto" w:sz="4" w:space="0"/>
              <w:left w:val="single" w:color="auto" w:sz="4" w:space="0"/>
              <w:bottom w:val="single" w:color="auto" w:sz="4" w:space="0"/>
              <w:right w:val="single" w:color="auto" w:sz="4" w:space="0"/>
            </w:tcBorders>
            <w:vAlign w:val="center"/>
          </w:tcPr>
          <w:p w14:paraId="6F00C9C2">
            <w:pPr>
              <w:adjustRightInd w:val="0"/>
              <w:snapToGrid w:val="0"/>
              <w:spacing w:line="560" w:lineRule="exact"/>
              <w:rPr>
                <w:rFonts w:ascii="宋体" w:hAnsi="宋体" w:cs="宋体"/>
                <w:color w:val="auto"/>
                <w:szCs w:val="21"/>
              </w:rPr>
            </w:pPr>
            <w:r>
              <w:rPr>
                <w:rFonts w:hint="eastAsia" w:ascii="宋体" w:hAnsi="宋体" w:cs="宋体"/>
                <w:b/>
                <w:bCs/>
                <w:color w:val="auto"/>
                <w:szCs w:val="21"/>
              </w:rPr>
              <w:t>2025年</w:t>
            </w:r>
            <w:r>
              <w:rPr>
                <w:rFonts w:hint="eastAsia" w:ascii="宋体" w:hAnsi="宋体" w:cs="宋体"/>
                <w:b/>
                <w:bCs/>
                <w:color w:val="auto"/>
                <w:szCs w:val="21"/>
                <w:lang w:val="en-US" w:eastAsia="zh-CN"/>
              </w:rPr>
              <w:t>10</w:t>
            </w:r>
            <w:r>
              <w:rPr>
                <w:rFonts w:hint="eastAsia" w:ascii="宋体" w:hAnsi="宋体" w:cs="宋体"/>
                <w:b/>
                <w:bCs/>
                <w:color w:val="auto"/>
                <w:szCs w:val="21"/>
              </w:rPr>
              <w:t>月</w:t>
            </w:r>
            <w:r>
              <w:rPr>
                <w:rFonts w:hint="eastAsia" w:ascii="宋体" w:hAnsi="宋体" w:cs="宋体"/>
                <w:b/>
                <w:bCs/>
                <w:color w:val="auto"/>
                <w:szCs w:val="21"/>
                <w:lang w:val="en-US" w:eastAsia="zh-CN"/>
              </w:rPr>
              <w:t>9</w:t>
            </w:r>
            <w:r>
              <w:rPr>
                <w:rFonts w:hint="eastAsia" w:ascii="宋体" w:hAnsi="宋体" w:cs="宋体"/>
                <w:b/>
                <w:bCs/>
                <w:color w:val="auto"/>
                <w:szCs w:val="21"/>
              </w:rPr>
              <w:t>日17时前</w:t>
            </w:r>
            <w:r>
              <w:rPr>
                <w:rFonts w:hint="eastAsia" w:ascii="宋体" w:hAnsi="宋体" w:cs="宋体"/>
                <w:color w:val="auto"/>
                <w:kern w:val="0"/>
                <w:szCs w:val="21"/>
              </w:rPr>
              <w:t>在滁州市公共资源交易中心网站</w:t>
            </w:r>
            <w:r>
              <w:rPr>
                <w:rFonts w:hint="eastAsia" w:ascii="宋体" w:hAnsi="宋体" w:cs="宋体"/>
                <w:color w:val="auto"/>
                <w:szCs w:val="21"/>
              </w:rPr>
              <w:t xml:space="preserve"> “答疑澄清文件”栏目予以公告</w:t>
            </w:r>
            <w:r>
              <w:rPr>
                <w:rFonts w:hint="eastAsia" w:ascii="宋体" w:hAnsi="宋体" w:cs="宋体"/>
                <w:color w:val="auto"/>
                <w:kern w:val="0"/>
                <w:szCs w:val="21"/>
              </w:rPr>
              <w:t>。</w:t>
            </w:r>
          </w:p>
        </w:tc>
      </w:tr>
      <w:tr w14:paraId="44C5560C">
        <w:tblPrEx>
          <w:tblCellMar>
            <w:top w:w="0" w:type="dxa"/>
            <w:left w:w="108" w:type="dxa"/>
            <w:bottom w:w="0" w:type="dxa"/>
            <w:right w:w="108" w:type="dxa"/>
          </w:tblCellMar>
        </w:tblPrEx>
        <w:trPr>
          <w:trHeight w:val="681"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14D10CE9">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3.2.1</w:t>
            </w:r>
          </w:p>
        </w:tc>
        <w:tc>
          <w:tcPr>
            <w:tcW w:w="2160" w:type="dxa"/>
            <w:tcBorders>
              <w:top w:val="single" w:color="auto" w:sz="4" w:space="0"/>
              <w:left w:val="single" w:color="auto" w:sz="4" w:space="0"/>
              <w:bottom w:val="single" w:color="auto" w:sz="4" w:space="0"/>
              <w:right w:val="single" w:color="auto" w:sz="4" w:space="0"/>
            </w:tcBorders>
            <w:vAlign w:val="center"/>
          </w:tcPr>
          <w:p w14:paraId="54AB18B8">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增值税税金</w:t>
            </w:r>
          </w:p>
        </w:tc>
        <w:tc>
          <w:tcPr>
            <w:tcW w:w="7305" w:type="dxa"/>
            <w:tcBorders>
              <w:top w:val="single" w:color="auto" w:sz="4" w:space="0"/>
              <w:left w:val="single" w:color="auto" w:sz="4" w:space="0"/>
              <w:bottom w:val="single" w:color="auto" w:sz="4" w:space="0"/>
              <w:right w:val="single" w:color="auto" w:sz="4" w:space="0"/>
            </w:tcBorders>
          </w:tcPr>
          <w:p w14:paraId="5179A402">
            <w:pPr>
              <w:numPr>
                <w:ilvl w:val="0"/>
                <w:numId w:val="1"/>
              </w:numPr>
              <w:adjustRightInd w:val="0"/>
              <w:snapToGrid w:val="0"/>
              <w:spacing w:line="560" w:lineRule="exact"/>
              <w:rPr>
                <w:rFonts w:ascii="宋体" w:hAnsi="宋体" w:cs="宋体"/>
                <w:bCs/>
                <w:snapToGrid w:val="0"/>
                <w:color w:val="auto"/>
                <w:kern w:val="0"/>
                <w:szCs w:val="21"/>
              </w:rPr>
            </w:pPr>
            <w:r>
              <w:rPr>
                <w:rFonts w:hint="eastAsia" w:ascii="宋体" w:hAnsi="宋体" w:cs="宋体"/>
                <w:bCs/>
                <w:snapToGrid w:val="0"/>
                <w:color w:val="auto"/>
                <w:kern w:val="0"/>
                <w:szCs w:val="21"/>
              </w:rPr>
              <w:t>计税方法：一般计税方法</w:t>
            </w:r>
          </w:p>
          <w:p w14:paraId="0B33A627">
            <w:pPr>
              <w:adjustRightInd w:val="0"/>
              <w:snapToGrid w:val="0"/>
              <w:spacing w:line="560" w:lineRule="exact"/>
              <w:rPr>
                <w:rFonts w:ascii="宋体" w:hAnsi="宋体" w:cs="宋体"/>
                <w:bCs/>
                <w:snapToGrid w:val="0"/>
                <w:color w:val="auto"/>
                <w:kern w:val="0"/>
                <w:szCs w:val="21"/>
              </w:rPr>
            </w:pPr>
            <w:r>
              <w:rPr>
                <w:rFonts w:hint="eastAsia" w:ascii="宋体" w:hAnsi="宋体" w:cs="宋体"/>
                <w:bCs/>
                <w:snapToGrid w:val="0"/>
                <w:color w:val="auto"/>
                <w:kern w:val="0"/>
                <w:szCs w:val="21"/>
              </w:rPr>
              <w:t>（2）发票类型：增值税专用发票</w:t>
            </w:r>
          </w:p>
          <w:p w14:paraId="4A86FA94">
            <w:pPr>
              <w:numPr>
                <w:ilvl w:val="0"/>
                <w:numId w:val="2"/>
              </w:numPr>
              <w:adjustRightInd w:val="0"/>
              <w:snapToGrid w:val="0"/>
              <w:spacing w:line="560" w:lineRule="exact"/>
              <w:rPr>
                <w:rFonts w:ascii="宋体" w:hAnsi="宋体" w:cs="宋体"/>
                <w:bCs/>
                <w:snapToGrid w:val="0"/>
                <w:color w:val="auto"/>
                <w:kern w:val="0"/>
                <w:szCs w:val="21"/>
              </w:rPr>
            </w:pPr>
            <w:r>
              <w:rPr>
                <w:rFonts w:hint="eastAsia" w:ascii="宋体" w:hAnsi="宋体" w:cs="宋体"/>
                <w:bCs/>
                <w:snapToGrid w:val="0"/>
                <w:color w:val="auto"/>
                <w:kern w:val="0"/>
                <w:szCs w:val="21"/>
              </w:rPr>
              <w:t>增值税税率按照国家有关规定执行。</w:t>
            </w:r>
          </w:p>
          <w:p w14:paraId="2AF3BC65">
            <w:pPr>
              <w:pStyle w:val="10"/>
              <w:topLinePunct/>
              <w:adjustRightInd w:val="0"/>
              <w:snapToGrid w:val="0"/>
              <w:spacing w:line="560" w:lineRule="exact"/>
              <w:ind w:firstLine="525" w:firstLineChars="250"/>
              <w:rPr>
                <w:rFonts w:hAnsi="宋体" w:cs="宋体"/>
                <w:color w:val="auto"/>
                <w:kern w:val="0"/>
                <w:sz w:val="21"/>
                <w:szCs w:val="21"/>
              </w:rPr>
            </w:pPr>
            <w:r>
              <w:rPr>
                <w:rFonts w:hint="eastAsia" w:hAnsi="宋体" w:cs="宋体"/>
                <w:bCs/>
                <w:snapToGrid w:val="0"/>
                <w:color w:val="auto"/>
                <w:kern w:val="0"/>
                <w:sz w:val="21"/>
                <w:szCs w:val="21"/>
              </w:rPr>
              <w:t>其它：</w:t>
            </w:r>
            <w:r>
              <w:rPr>
                <w:rFonts w:hint="eastAsia" w:hAnsi="宋体" w:cs="宋体"/>
                <w:bCs/>
                <w:snapToGrid w:val="0"/>
                <w:color w:val="auto"/>
                <w:kern w:val="0"/>
                <w:sz w:val="21"/>
                <w:szCs w:val="21"/>
                <w:u w:val="single"/>
              </w:rPr>
              <w:t xml:space="preserve">    /     </w:t>
            </w:r>
            <w:r>
              <w:rPr>
                <w:rFonts w:hint="eastAsia" w:hAnsi="宋体" w:cs="宋体"/>
                <w:bCs/>
                <w:snapToGrid w:val="0"/>
                <w:color w:val="auto"/>
                <w:kern w:val="0"/>
                <w:sz w:val="21"/>
                <w:szCs w:val="21"/>
              </w:rPr>
              <w:t xml:space="preserve"> 。</w:t>
            </w:r>
          </w:p>
        </w:tc>
      </w:tr>
      <w:tr w14:paraId="1F4011A9">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6FAD9B29">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3.2.4</w:t>
            </w:r>
          </w:p>
        </w:tc>
        <w:tc>
          <w:tcPr>
            <w:tcW w:w="2160" w:type="dxa"/>
            <w:tcBorders>
              <w:top w:val="single" w:color="auto" w:sz="4" w:space="0"/>
              <w:left w:val="single" w:color="auto" w:sz="4" w:space="0"/>
              <w:bottom w:val="single" w:color="auto" w:sz="4" w:space="0"/>
              <w:right w:val="single" w:color="auto" w:sz="4" w:space="0"/>
            </w:tcBorders>
            <w:vAlign w:val="center"/>
          </w:tcPr>
          <w:p w14:paraId="37D8A5CC">
            <w:pPr>
              <w:adjustRightInd w:val="0"/>
              <w:snapToGrid w:val="0"/>
              <w:spacing w:line="560" w:lineRule="exact"/>
              <w:jc w:val="center"/>
              <w:rPr>
                <w:rFonts w:ascii="宋体" w:hAnsi="宋体" w:cs="宋体"/>
                <w:color w:val="auto"/>
                <w:szCs w:val="21"/>
              </w:rPr>
            </w:pPr>
            <w:r>
              <w:rPr>
                <w:rFonts w:hint="eastAsia" w:ascii="宋体" w:hAnsi="宋体" w:cs="宋体"/>
                <w:b/>
                <w:bCs/>
                <w:color w:val="auto"/>
                <w:szCs w:val="21"/>
              </w:rPr>
              <w:t>最高投标限价</w:t>
            </w:r>
          </w:p>
        </w:tc>
        <w:tc>
          <w:tcPr>
            <w:tcW w:w="7305" w:type="dxa"/>
            <w:tcBorders>
              <w:top w:val="single" w:color="auto" w:sz="4" w:space="0"/>
              <w:left w:val="single" w:color="auto" w:sz="4" w:space="0"/>
              <w:bottom w:val="single" w:color="auto" w:sz="4" w:space="0"/>
              <w:right w:val="single" w:color="auto" w:sz="4" w:space="0"/>
            </w:tcBorders>
            <w:vAlign w:val="center"/>
          </w:tcPr>
          <w:p w14:paraId="09F43B9A">
            <w:pPr>
              <w:adjustRightInd w:val="0"/>
              <w:snapToGrid w:val="0"/>
              <w:spacing w:line="560" w:lineRule="exact"/>
              <w:rPr>
                <w:rFonts w:ascii="宋体" w:hAnsi="宋体" w:cs="宋体"/>
                <w:bCs/>
                <w:color w:val="auto"/>
                <w:szCs w:val="21"/>
              </w:rPr>
            </w:pPr>
            <w:r>
              <w:rPr>
                <w:rFonts w:hint="eastAsia" w:ascii="宋体" w:hAnsi="宋体" w:cs="宋体"/>
                <w:bCs/>
                <w:color w:val="auto"/>
                <w:szCs w:val="21"/>
              </w:rPr>
              <w:t>有。</w:t>
            </w:r>
          </w:p>
          <w:p w14:paraId="220CEF6E">
            <w:pPr>
              <w:adjustRightInd w:val="0"/>
              <w:snapToGrid w:val="0"/>
              <w:spacing w:line="560" w:lineRule="exact"/>
              <w:rPr>
                <w:rFonts w:ascii="宋体" w:hAnsi="宋体" w:cs="宋体"/>
                <w:bCs/>
                <w:color w:val="auto"/>
                <w:szCs w:val="21"/>
              </w:rPr>
            </w:pPr>
            <w:r>
              <w:rPr>
                <w:rFonts w:ascii="宋体" w:hAnsi="宋体" w:cs="宋体"/>
                <w:bCs/>
                <w:color w:val="auto"/>
                <w:szCs w:val="21"/>
              </w:rPr>
              <w:t>1.本项目以下浮率的方式进行报价（下浮率由投标人自报，保留两位有效数字，如下浮率为**.**%）。</w:t>
            </w:r>
          </w:p>
          <w:p w14:paraId="4DF66C59">
            <w:pPr>
              <w:adjustRightInd w:val="0"/>
              <w:snapToGrid w:val="0"/>
              <w:spacing w:line="560" w:lineRule="exact"/>
              <w:rPr>
                <w:rFonts w:ascii="宋体" w:hAnsi="宋体" w:cs="宋体"/>
                <w:bCs/>
                <w:color w:val="auto"/>
                <w:szCs w:val="21"/>
              </w:rPr>
            </w:pPr>
            <w:r>
              <w:rPr>
                <w:rFonts w:ascii="宋体" w:hAnsi="宋体" w:cs="宋体"/>
                <w:bCs/>
                <w:color w:val="auto"/>
                <w:szCs w:val="21"/>
              </w:rPr>
              <w:t>2.投标人填报的下浮率≥1</w:t>
            </w:r>
            <w:r>
              <w:rPr>
                <w:rFonts w:hint="eastAsia" w:ascii="宋体" w:hAnsi="宋体" w:cs="宋体"/>
                <w:bCs/>
                <w:color w:val="auto"/>
                <w:szCs w:val="21"/>
              </w:rPr>
              <w:t>3</w:t>
            </w:r>
            <w:r>
              <w:rPr>
                <w:rFonts w:ascii="宋体" w:hAnsi="宋体" w:cs="宋体"/>
                <w:bCs/>
                <w:color w:val="auto"/>
                <w:szCs w:val="21"/>
              </w:rPr>
              <w:t>.00%，否则投标将被否决。（报价下浮率最多保留到百分号前小数点后第二位，第三位将按四舍五入进行调整，调整后作为评审和中标</w:t>
            </w:r>
            <w:r>
              <w:rPr>
                <w:rFonts w:hint="eastAsia" w:ascii="宋体" w:hAnsi="宋体" w:cs="宋体"/>
                <w:bCs/>
                <w:color w:val="auto"/>
                <w:szCs w:val="21"/>
              </w:rPr>
              <w:t>下浮率）。</w:t>
            </w:r>
            <w:r>
              <w:rPr>
                <w:rFonts w:ascii="宋体" w:hAnsi="宋体" w:cs="宋体"/>
                <w:bCs/>
                <w:color w:val="auto"/>
                <w:szCs w:val="21"/>
              </w:rPr>
              <w:t xml:space="preserve"> </w:t>
            </w:r>
          </w:p>
          <w:p w14:paraId="57B4F13E">
            <w:pPr>
              <w:adjustRightInd w:val="0"/>
              <w:snapToGrid w:val="0"/>
              <w:spacing w:line="560" w:lineRule="exact"/>
              <w:rPr>
                <w:rFonts w:ascii="宋体" w:hAnsi="宋体" w:cs="宋体"/>
                <w:bCs/>
                <w:color w:val="auto"/>
                <w:szCs w:val="21"/>
              </w:rPr>
            </w:pPr>
            <w:r>
              <w:rPr>
                <w:rFonts w:ascii="宋体" w:hAnsi="宋体" w:cs="宋体"/>
                <w:bCs/>
                <w:color w:val="auto"/>
                <w:szCs w:val="21"/>
              </w:rPr>
              <w:t>3.投标人填报的报价包含完成本项目所有内容的全部费用</w:t>
            </w:r>
            <w:r>
              <w:rPr>
                <w:rFonts w:hint="eastAsia" w:ascii="宋体" w:hAnsi="宋体" w:cs="宋体"/>
                <w:bCs/>
                <w:color w:val="auto"/>
                <w:szCs w:val="21"/>
              </w:rPr>
              <w:t>，本项目内容中的设计费用不单独计算，含在投标总价中。</w:t>
            </w:r>
            <w:r>
              <w:rPr>
                <w:rFonts w:ascii="宋体" w:hAnsi="宋体" w:cs="宋体"/>
                <w:bCs/>
                <w:color w:val="auto"/>
                <w:szCs w:val="21"/>
              </w:rPr>
              <w:t xml:space="preserve"> </w:t>
            </w:r>
          </w:p>
          <w:p w14:paraId="027E021A">
            <w:pPr>
              <w:adjustRightInd w:val="0"/>
              <w:snapToGrid w:val="0"/>
              <w:spacing w:line="560" w:lineRule="exact"/>
              <w:rPr>
                <w:rFonts w:ascii="宋体" w:hAnsi="宋体" w:cs="宋体"/>
                <w:bCs/>
                <w:color w:val="auto"/>
                <w:szCs w:val="21"/>
              </w:rPr>
            </w:pPr>
            <w:r>
              <w:rPr>
                <w:rFonts w:ascii="宋体" w:hAnsi="宋体" w:cs="宋体"/>
                <w:bCs/>
                <w:color w:val="auto"/>
                <w:szCs w:val="21"/>
              </w:rPr>
              <w:t>4.投标下浮率在工程预、结算中不再调整。</w:t>
            </w:r>
          </w:p>
          <w:p w14:paraId="764919FA">
            <w:pPr>
              <w:adjustRightInd w:val="0"/>
              <w:snapToGrid w:val="0"/>
              <w:spacing w:line="560" w:lineRule="exact"/>
              <w:rPr>
                <w:rFonts w:ascii="宋体" w:hAnsi="宋体" w:cs="宋体"/>
                <w:color w:val="auto"/>
                <w:szCs w:val="21"/>
              </w:rPr>
            </w:pPr>
            <w:r>
              <w:rPr>
                <w:rFonts w:hint="eastAsia" w:ascii="宋体" w:hAnsi="宋体" w:cs="宋体"/>
                <w:color w:val="auto"/>
                <w:szCs w:val="21"/>
              </w:rPr>
              <w:t>发布时间：</w:t>
            </w:r>
            <w:r>
              <w:rPr>
                <w:rFonts w:hint="eastAsia" w:ascii="宋体" w:hAnsi="宋体" w:cs="宋体"/>
                <w:color w:val="auto"/>
                <w:szCs w:val="21"/>
                <w:u w:val="single"/>
              </w:rPr>
              <w:t xml:space="preserve"> 2025</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9</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18</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rPr>
              <w:t xml:space="preserve"> 17 </w:t>
            </w:r>
            <w:r>
              <w:rPr>
                <w:rFonts w:hint="eastAsia" w:ascii="宋体" w:hAnsi="宋体" w:cs="宋体"/>
                <w:color w:val="auto"/>
                <w:szCs w:val="21"/>
              </w:rPr>
              <w:t>时前。</w:t>
            </w:r>
          </w:p>
          <w:p w14:paraId="12C7A149">
            <w:pPr>
              <w:adjustRightInd w:val="0"/>
              <w:snapToGrid w:val="0"/>
              <w:spacing w:line="560" w:lineRule="exact"/>
              <w:rPr>
                <w:rFonts w:ascii="宋体" w:hAnsi="宋体" w:cs="宋体"/>
                <w:b/>
                <w:color w:val="auto"/>
                <w:szCs w:val="21"/>
              </w:rPr>
            </w:pPr>
            <w:r>
              <w:rPr>
                <w:rFonts w:hint="eastAsia" w:ascii="宋体" w:hAnsi="宋体" w:cs="宋体"/>
                <w:b/>
                <w:bCs/>
                <w:color w:val="auto"/>
                <w:szCs w:val="21"/>
              </w:rPr>
              <w:t>发布媒介：</w:t>
            </w:r>
            <w:r>
              <w:rPr>
                <w:rFonts w:hint="eastAsia" w:ascii="宋体" w:hAnsi="宋体" w:cs="宋体"/>
                <w:b/>
                <w:bCs/>
                <w:color w:val="auto"/>
                <w:kern w:val="0"/>
                <w:szCs w:val="21"/>
              </w:rPr>
              <w:t>滁州市公共资源交易中心网站</w:t>
            </w:r>
          </w:p>
        </w:tc>
      </w:tr>
      <w:tr w14:paraId="5AEED6BF">
        <w:tblPrEx>
          <w:tblCellMar>
            <w:top w:w="0" w:type="dxa"/>
            <w:left w:w="108" w:type="dxa"/>
            <w:bottom w:w="0" w:type="dxa"/>
            <w:right w:w="108" w:type="dxa"/>
          </w:tblCellMar>
        </w:tblPrEx>
        <w:trPr>
          <w:trHeight w:val="681"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1ADC0C2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3.2.5</w:t>
            </w:r>
          </w:p>
        </w:tc>
        <w:tc>
          <w:tcPr>
            <w:tcW w:w="2160" w:type="dxa"/>
            <w:tcBorders>
              <w:top w:val="single" w:color="auto" w:sz="4" w:space="0"/>
              <w:left w:val="single" w:color="auto" w:sz="4" w:space="0"/>
              <w:bottom w:val="single" w:color="auto" w:sz="4" w:space="0"/>
              <w:right w:val="single" w:color="auto" w:sz="4" w:space="0"/>
            </w:tcBorders>
            <w:vAlign w:val="center"/>
          </w:tcPr>
          <w:p w14:paraId="629BE033">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投标报价的</w:t>
            </w:r>
          </w:p>
          <w:p w14:paraId="27A79D53">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其他要求</w:t>
            </w:r>
          </w:p>
        </w:tc>
        <w:tc>
          <w:tcPr>
            <w:tcW w:w="7305" w:type="dxa"/>
            <w:tcBorders>
              <w:top w:val="single" w:color="auto" w:sz="4" w:space="0"/>
              <w:left w:val="single" w:color="auto" w:sz="4" w:space="0"/>
              <w:bottom w:val="single" w:color="auto" w:sz="4" w:space="0"/>
              <w:right w:val="single" w:color="auto" w:sz="4" w:space="0"/>
            </w:tcBorders>
            <w:vAlign w:val="center"/>
          </w:tcPr>
          <w:p w14:paraId="1405CA7A">
            <w:pPr>
              <w:pStyle w:val="10"/>
              <w:topLinePunct/>
              <w:adjustRightInd w:val="0"/>
              <w:snapToGrid w:val="0"/>
              <w:spacing w:line="560" w:lineRule="exact"/>
              <w:rPr>
                <w:rFonts w:hAnsi="宋体" w:cs="宋体"/>
                <w:color w:val="auto"/>
                <w:kern w:val="0"/>
                <w:szCs w:val="24"/>
              </w:rPr>
            </w:pPr>
            <w:r>
              <w:rPr>
                <w:rFonts w:hint="eastAsia" w:hAnsi="宋体" w:cs="宋体"/>
                <w:color w:val="auto"/>
                <w:sz w:val="21"/>
                <w:szCs w:val="21"/>
              </w:rPr>
              <w:t>1</w:t>
            </w:r>
            <w:r>
              <w:rPr>
                <w:rFonts w:hAnsi="宋体" w:cs="宋体"/>
                <w:color w:val="auto"/>
                <w:sz w:val="21"/>
                <w:szCs w:val="21"/>
              </w:rPr>
              <w:t>.</w:t>
            </w:r>
            <w:r>
              <w:rPr>
                <w:rFonts w:hint="eastAsia" w:hAnsi="宋体" w:cs="宋体"/>
                <w:color w:val="auto"/>
                <w:sz w:val="21"/>
                <w:szCs w:val="21"/>
              </w:rPr>
              <w:t>投标人需按照招标文件、初步设计文件等相关资料对项目进行投标报价，投标人投标时仅需报投标下浮率，无需对工程量清单进行分项报价，中标人需按照上述等相关文件及发包人要求进行施工图设计并组织采购及施工。</w:t>
            </w:r>
            <w:r>
              <w:rPr>
                <w:rFonts w:hAnsi="宋体" w:cs="宋体"/>
                <w:color w:val="auto"/>
                <w:sz w:val="21"/>
                <w:szCs w:val="21"/>
              </w:rPr>
              <w:t xml:space="preserve"> </w:t>
            </w:r>
          </w:p>
          <w:p w14:paraId="6BCBA805">
            <w:pPr>
              <w:pStyle w:val="10"/>
              <w:topLinePunct/>
              <w:adjustRightInd w:val="0"/>
              <w:snapToGrid w:val="0"/>
              <w:spacing w:line="560" w:lineRule="exact"/>
              <w:rPr>
                <w:rFonts w:hAnsi="宋体" w:cs="宋体"/>
                <w:color w:val="auto"/>
                <w:sz w:val="21"/>
                <w:szCs w:val="21"/>
              </w:rPr>
            </w:pPr>
            <w:r>
              <w:rPr>
                <w:rFonts w:hint="eastAsia" w:hAnsi="宋体" w:cs="宋体"/>
                <w:color w:val="auto"/>
                <w:sz w:val="21"/>
                <w:szCs w:val="21"/>
              </w:rPr>
              <w:t>2.中标后由招标人或者招标人委托的造价咨询机构编制详细的清单控制价，清单控制价依据国家及安徽省造价主管部门发布的相关规范和办法实施编制。清单控制价编制完成后须经招标人审核确认，并作为结算依据材料。</w:t>
            </w:r>
          </w:p>
          <w:p w14:paraId="23CC7ECE">
            <w:pPr>
              <w:pStyle w:val="10"/>
              <w:topLinePunct/>
              <w:adjustRightInd w:val="0"/>
              <w:snapToGrid w:val="0"/>
              <w:spacing w:line="560" w:lineRule="exact"/>
              <w:rPr>
                <w:rFonts w:hAnsi="宋体" w:cs="宋体"/>
                <w:color w:val="auto"/>
                <w:sz w:val="21"/>
                <w:szCs w:val="21"/>
              </w:rPr>
            </w:pPr>
            <w:r>
              <w:rPr>
                <w:rFonts w:hint="eastAsia" w:hAnsi="宋体" w:cs="宋体"/>
                <w:color w:val="auto"/>
                <w:sz w:val="21"/>
                <w:szCs w:val="21"/>
              </w:rPr>
              <w:t>3.中标后清单控制价的编制依据2018版计价依据：《安徽省建设工程工程量清单计价办法》、《安徽省建设工程费用定额》、《安徽省建设工程计价定额（共用册）》、《安徽省安装工程计价定额》、《安徽省公用定额》、《2018 版安徽省建设工程计价依据动态定额内容》等和相关工程的国家计量规范；国家或省级、行业建设主管部门颁发的计价定额和办法；建设工程设计文件及相关资料；与建设工程有关的标准、规范、技术资料；招标文件及其补充通知答疑纪要；经审查后的施工图设计文件和相关技术资料；省市主管部门发布的信息价；施工现场实际情况、地勘水文资料、工程特点及施工方案；其他相关资料。</w:t>
            </w:r>
          </w:p>
          <w:p w14:paraId="0FA4E387">
            <w:pPr>
              <w:pStyle w:val="10"/>
              <w:topLinePunct/>
              <w:adjustRightInd w:val="0"/>
              <w:snapToGrid w:val="0"/>
              <w:spacing w:line="560" w:lineRule="exact"/>
              <w:rPr>
                <w:rFonts w:hAnsi="宋体" w:cs="宋体"/>
                <w:color w:val="auto"/>
                <w:sz w:val="21"/>
                <w:szCs w:val="21"/>
              </w:rPr>
            </w:pPr>
            <w:r>
              <w:rPr>
                <w:rFonts w:hint="eastAsia" w:hAnsi="宋体" w:cs="宋体"/>
                <w:color w:val="auto"/>
                <w:sz w:val="21"/>
                <w:szCs w:val="21"/>
              </w:rPr>
              <w:t>4.本工程采用单价合同，固定单价为（1-中标下浮率）×清单控制价的单价。结算综合单价除法律、法规等政策性变化引起的调整外，综合单价一律不予调整。</w:t>
            </w:r>
          </w:p>
          <w:p w14:paraId="73FA71F4">
            <w:pPr>
              <w:pStyle w:val="10"/>
              <w:topLinePunct/>
              <w:adjustRightInd w:val="0"/>
              <w:snapToGrid w:val="0"/>
              <w:spacing w:line="560" w:lineRule="exact"/>
              <w:rPr>
                <w:rFonts w:hAnsi="宋体" w:cs="宋体"/>
                <w:color w:val="auto"/>
                <w:sz w:val="21"/>
                <w:szCs w:val="21"/>
              </w:rPr>
            </w:pPr>
            <w:r>
              <w:rPr>
                <w:rFonts w:hint="eastAsia" w:hAnsi="宋体" w:cs="宋体"/>
                <w:color w:val="auto"/>
                <w:sz w:val="21"/>
                <w:szCs w:val="21"/>
              </w:rPr>
              <w:t>5.本项目实行限额设计，中标人需按照招标人发布的初步设计文件进行优化并完成施工图设计同时并通过相关部门审核。本项目结算价不得超过818万元*（1-中标下浮率），超出部分由中标人无条件配合优化，优化方案须经招标人同意后方可实施。中标人在中标后应合理优化初步设计文件并控制造价，且中标人不得通过减少发包人要求的工程任务和降低发包人要求的工程质量降低造价。</w:t>
            </w:r>
          </w:p>
          <w:p w14:paraId="2C837EB4">
            <w:pPr>
              <w:pStyle w:val="10"/>
              <w:topLinePunct/>
              <w:adjustRightInd w:val="0"/>
              <w:snapToGrid w:val="0"/>
              <w:spacing w:line="560" w:lineRule="exact"/>
              <w:rPr>
                <w:rFonts w:hAnsi="宋体" w:cs="宋体"/>
                <w:color w:val="auto"/>
                <w:sz w:val="21"/>
                <w:szCs w:val="21"/>
              </w:rPr>
            </w:pPr>
            <w:r>
              <w:rPr>
                <w:rFonts w:hint="eastAsia" w:hAnsi="宋体" w:cs="宋体"/>
                <w:color w:val="auto"/>
                <w:sz w:val="21"/>
                <w:szCs w:val="21"/>
              </w:rPr>
              <w:t>6.编制清单控制价时，材料价格采用滁州市建设工程造价管理部门中标当月发布的《滁州市工程造价信息》相对应的不含税价格进行录入；滁州信息价没有的，依次按以下方式定价：参考合肥、南京、马鞍山、蚌埠、芜湖等周边城市信息价，并取其中最低价进行编制；参考近期招标同类项目的中标单价；滁州及周边城市信息价没有的，参考广材网、慧讯网、易择网，根据所采购品牌选取不少于3家供应商报价取最低价；广材网、慧讯网、易择网也没有价格的，上述价格也没有的，由发包人组织共同询价或依法组织招标。市场询价或招标方式定价的及参考近期同类项目中标单价的材料价格结算时下浮。</w:t>
            </w:r>
          </w:p>
          <w:p w14:paraId="74300556">
            <w:pPr>
              <w:pStyle w:val="10"/>
              <w:topLinePunct/>
              <w:adjustRightInd w:val="0"/>
              <w:snapToGrid w:val="0"/>
              <w:spacing w:line="560" w:lineRule="exact"/>
              <w:rPr>
                <w:rFonts w:hAnsi="宋体" w:cs="宋体"/>
                <w:color w:val="auto"/>
                <w:sz w:val="21"/>
                <w:szCs w:val="21"/>
              </w:rPr>
            </w:pPr>
            <w:r>
              <w:rPr>
                <w:rFonts w:hint="eastAsia" w:hAnsi="宋体" w:cs="宋体"/>
                <w:color w:val="auto"/>
                <w:sz w:val="21"/>
                <w:szCs w:val="21"/>
              </w:rPr>
              <w:t>7.项目所需材料、设备（含安装费）实行优质优价，招标人推荐3个及以上品牌，明确技术参数，中标人需按照招标人推荐品牌及技术要求进行深化设计和采购。中标人采购前制定采购方案，按照经批准的采购方案，发包人、监理、跟审等共同考察，确定材料及设备品牌、选型及档次。招标人有权在编制清单控制价和审计时对中标人提供的材料和设备价格予以复核，对价格和质量严重偏离的有权不予以认可，同时要求中标人提供采购合同、销售发票和付款转账记录，实际采购价不低于考核价的80%。否则，招标人有权重新询价并将询价结果纳入结算（考核价即结算价）。</w:t>
            </w:r>
          </w:p>
          <w:p w14:paraId="542C235F">
            <w:pPr>
              <w:pStyle w:val="10"/>
              <w:topLinePunct/>
              <w:adjustRightInd w:val="0"/>
              <w:snapToGrid w:val="0"/>
              <w:spacing w:line="560" w:lineRule="exact"/>
              <w:rPr>
                <w:rFonts w:hint="eastAsia" w:hAnsi="宋体" w:cs="宋体"/>
                <w:color w:val="auto"/>
                <w:sz w:val="21"/>
                <w:szCs w:val="21"/>
              </w:rPr>
            </w:pPr>
            <w:r>
              <w:rPr>
                <w:rFonts w:hint="eastAsia" w:hAnsi="宋体" w:cs="宋体"/>
                <w:color w:val="auto"/>
                <w:sz w:val="21"/>
                <w:szCs w:val="21"/>
              </w:rPr>
              <w:t>8.因中标人施工图设计缺陷或不能满足发包人要求或未达到相关规范文件指标的或中标人施工组织不当导致的漏项、施工工艺变更、整改返工以及未通过相关验收等一系列由中标人自身原因造成的工程造价增加，由中标人自行承担，其产生的相关费用发包人不予承担。</w:t>
            </w:r>
          </w:p>
          <w:p w14:paraId="6A7A6A46">
            <w:pPr>
              <w:pStyle w:val="10"/>
              <w:topLinePunct/>
              <w:adjustRightInd w:val="0"/>
              <w:snapToGrid w:val="0"/>
              <w:spacing w:line="560" w:lineRule="exact"/>
              <w:rPr>
                <w:rFonts w:hint="eastAsia" w:hAnsi="宋体" w:cs="宋体"/>
                <w:color w:val="auto"/>
                <w:sz w:val="21"/>
                <w:szCs w:val="21"/>
              </w:rPr>
            </w:pPr>
            <w:r>
              <w:rPr>
                <w:rFonts w:hint="eastAsia" w:hAnsi="宋体" w:cs="宋体"/>
                <w:color w:val="auto"/>
                <w:sz w:val="21"/>
                <w:szCs w:val="21"/>
              </w:rPr>
              <w:t>9.投标人需根据工程所在的地域和环境对文明施工措施充分考虑并做相应的报价，此项费用取费应按照“安徽省住房和城乡建设厅颁布的建标【2021】42号通知”文件“执行，专款专用，不可挪用、挤占，确保工地达标。</w:t>
            </w:r>
          </w:p>
          <w:p w14:paraId="7A6E8BB9">
            <w:pPr>
              <w:pStyle w:val="10"/>
              <w:topLinePunct/>
              <w:adjustRightInd w:val="0"/>
              <w:snapToGrid w:val="0"/>
              <w:spacing w:line="560" w:lineRule="exact"/>
              <w:rPr>
                <w:rFonts w:hAnsi="宋体" w:cs="宋体"/>
                <w:color w:val="auto"/>
                <w:szCs w:val="21"/>
              </w:rPr>
            </w:pPr>
            <w:r>
              <w:rPr>
                <w:rFonts w:hint="eastAsia" w:hAnsi="宋体" w:cs="宋体"/>
                <w:color w:val="auto"/>
                <w:sz w:val="21"/>
                <w:szCs w:val="21"/>
              </w:rPr>
              <w:t>10.招标人有权对设计图纸进行变更、对工程量进行调增、调减，中标人应及时、完整地执行，不得以任何理由拒绝，并保证工程的质量和进度要求。</w:t>
            </w:r>
          </w:p>
        </w:tc>
      </w:tr>
      <w:tr w14:paraId="3E39C374">
        <w:tblPrEx>
          <w:tblCellMar>
            <w:top w:w="0" w:type="dxa"/>
            <w:left w:w="108" w:type="dxa"/>
            <w:bottom w:w="0" w:type="dxa"/>
            <w:right w:w="108" w:type="dxa"/>
          </w:tblCellMar>
        </w:tblPrEx>
        <w:trPr>
          <w:trHeight w:val="681"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38B239FB">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3.3.1</w:t>
            </w:r>
          </w:p>
        </w:tc>
        <w:tc>
          <w:tcPr>
            <w:tcW w:w="2160" w:type="dxa"/>
            <w:tcBorders>
              <w:top w:val="single" w:color="auto" w:sz="4" w:space="0"/>
              <w:left w:val="single" w:color="auto" w:sz="4" w:space="0"/>
              <w:bottom w:val="single" w:color="auto" w:sz="4" w:space="0"/>
              <w:right w:val="single" w:color="auto" w:sz="4" w:space="0"/>
            </w:tcBorders>
            <w:vAlign w:val="center"/>
          </w:tcPr>
          <w:p w14:paraId="6D2A9A76">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投标有效期</w:t>
            </w:r>
          </w:p>
        </w:tc>
        <w:tc>
          <w:tcPr>
            <w:tcW w:w="7305" w:type="dxa"/>
            <w:tcBorders>
              <w:top w:val="single" w:color="auto" w:sz="4" w:space="0"/>
              <w:left w:val="single" w:color="auto" w:sz="4" w:space="0"/>
              <w:bottom w:val="single" w:color="auto" w:sz="4" w:space="0"/>
              <w:right w:val="single" w:color="auto" w:sz="4" w:space="0"/>
            </w:tcBorders>
            <w:vAlign w:val="center"/>
          </w:tcPr>
          <w:p w14:paraId="2249A1BD">
            <w:pPr>
              <w:pStyle w:val="10"/>
              <w:topLinePunct/>
              <w:adjustRightInd w:val="0"/>
              <w:snapToGrid w:val="0"/>
              <w:spacing w:line="560" w:lineRule="exact"/>
              <w:rPr>
                <w:rFonts w:hAnsi="宋体" w:cs="宋体"/>
                <w:color w:val="auto"/>
                <w:kern w:val="0"/>
                <w:sz w:val="21"/>
                <w:szCs w:val="21"/>
              </w:rPr>
            </w:pPr>
            <w:r>
              <w:rPr>
                <w:rFonts w:hint="eastAsia" w:hAnsi="宋体" w:cs="宋体"/>
                <w:color w:val="auto"/>
                <w:kern w:val="0"/>
                <w:sz w:val="21"/>
                <w:szCs w:val="21"/>
              </w:rPr>
              <w:t>自投标人递交投标文件截止之日起计算90日历天。在此期限内，凡符合本招标文件要求的投标文件均保持有效。</w:t>
            </w:r>
          </w:p>
        </w:tc>
      </w:tr>
      <w:tr w14:paraId="28F7BE2A">
        <w:tblPrEx>
          <w:tblCellMar>
            <w:top w:w="0" w:type="dxa"/>
            <w:left w:w="108" w:type="dxa"/>
            <w:bottom w:w="0" w:type="dxa"/>
            <w:right w:w="108" w:type="dxa"/>
          </w:tblCellMar>
        </w:tblPrEx>
        <w:trPr>
          <w:trHeight w:val="647"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56F2224E">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3.4.1</w:t>
            </w:r>
          </w:p>
        </w:tc>
        <w:tc>
          <w:tcPr>
            <w:tcW w:w="2160" w:type="dxa"/>
            <w:tcBorders>
              <w:top w:val="single" w:color="auto" w:sz="4" w:space="0"/>
              <w:left w:val="single" w:color="auto" w:sz="4" w:space="0"/>
              <w:bottom w:val="single" w:color="auto" w:sz="4" w:space="0"/>
              <w:right w:val="single" w:color="auto" w:sz="4" w:space="0"/>
            </w:tcBorders>
            <w:vAlign w:val="center"/>
          </w:tcPr>
          <w:p w14:paraId="0B516417">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投标保证金</w:t>
            </w:r>
          </w:p>
        </w:tc>
        <w:tc>
          <w:tcPr>
            <w:tcW w:w="7305" w:type="dxa"/>
            <w:tcBorders>
              <w:top w:val="single" w:color="auto" w:sz="4" w:space="0"/>
              <w:left w:val="single" w:color="auto" w:sz="4" w:space="0"/>
              <w:bottom w:val="single" w:color="auto" w:sz="4" w:space="0"/>
              <w:right w:val="single" w:color="auto" w:sz="4" w:space="0"/>
            </w:tcBorders>
            <w:vAlign w:val="center"/>
          </w:tcPr>
          <w:p w14:paraId="211D0D75">
            <w:pPr>
              <w:adjustRightInd w:val="0"/>
              <w:snapToGrid w:val="0"/>
              <w:spacing w:line="560" w:lineRule="exact"/>
              <w:jc w:val="left"/>
              <w:rPr>
                <w:rFonts w:ascii="宋体" w:hAnsi="宋体" w:cs="宋体"/>
                <w:color w:val="auto"/>
                <w:szCs w:val="21"/>
              </w:rPr>
            </w:pPr>
            <w:r>
              <w:rPr>
                <w:rFonts w:hint="eastAsia" w:ascii="宋体" w:hAnsi="宋体" w:cs="宋体"/>
                <w:color w:val="auto"/>
                <w:szCs w:val="21"/>
              </w:rPr>
              <w:t>详见招标公告</w:t>
            </w:r>
          </w:p>
        </w:tc>
      </w:tr>
      <w:tr w14:paraId="58041201">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55A814A2">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3.5.1</w:t>
            </w:r>
          </w:p>
        </w:tc>
        <w:tc>
          <w:tcPr>
            <w:tcW w:w="2160" w:type="dxa"/>
            <w:tcBorders>
              <w:top w:val="single" w:color="auto" w:sz="4" w:space="0"/>
              <w:left w:val="single" w:color="auto" w:sz="4" w:space="0"/>
              <w:bottom w:val="single" w:color="auto" w:sz="4" w:space="0"/>
              <w:right w:val="single" w:color="auto" w:sz="4" w:space="0"/>
            </w:tcBorders>
            <w:vAlign w:val="center"/>
          </w:tcPr>
          <w:p w14:paraId="1A929BED">
            <w:pPr>
              <w:adjustRightInd w:val="0"/>
              <w:snapToGrid w:val="0"/>
              <w:spacing w:line="560" w:lineRule="exact"/>
              <w:jc w:val="center"/>
              <w:rPr>
                <w:rFonts w:ascii="宋体" w:hAnsi="宋体" w:cs="宋体"/>
                <w:color w:val="auto"/>
                <w:szCs w:val="21"/>
              </w:rPr>
            </w:pPr>
            <w:r>
              <w:rPr>
                <w:rFonts w:hint="eastAsia" w:ascii="宋体" w:hAnsi="宋体" w:cs="宋体"/>
                <w:snapToGrid w:val="0"/>
                <w:color w:val="auto"/>
                <w:kern w:val="0"/>
                <w:szCs w:val="21"/>
                <w:shd w:val="clear" w:color="auto" w:fill="FFFFFF"/>
              </w:rPr>
              <w:t>施工组织设计编制的特殊要求</w:t>
            </w:r>
          </w:p>
        </w:tc>
        <w:tc>
          <w:tcPr>
            <w:tcW w:w="7305" w:type="dxa"/>
            <w:tcBorders>
              <w:top w:val="single" w:color="auto" w:sz="4" w:space="0"/>
              <w:left w:val="single" w:color="auto" w:sz="4" w:space="0"/>
              <w:bottom w:val="single" w:color="auto" w:sz="4" w:space="0"/>
              <w:right w:val="single" w:color="auto" w:sz="4" w:space="0"/>
            </w:tcBorders>
            <w:vAlign w:val="center"/>
          </w:tcPr>
          <w:p w14:paraId="655E610F">
            <w:pPr>
              <w:adjustRightInd w:val="0"/>
              <w:snapToGrid w:val="0"/>
              <w:spacing w:line="560" w:lineRule="exact"/>
              <w:rPr>
                <w:rFonts w:ascii="宋体" w:hAnsi="宋体" w:cs="宋体"/>
                <w:b/>
                <w:snapToGrid w:val="0"/>
                <w:color w:val="auto"/>
                <w:kern w:val="0"/>
                <w:szCs w:val="21"/>
                <w:highlight w:val="none"/>
                <w:u w:val="single"/>
                <w:shd w:val="clear" w:color="auto" w:fill="FFFFFF"/>
              </w:rPr>
            </w:pPr>
            <w:r>
              <w:rPr>
                <w:rFonts w:hint="eastAsia" w:ascii="宋体" w:hAnsi="宋体" w:cs="宋体"/>
                <w:b/>
                <w:snapToGrid w:val="0"/>
                <w:color w:val="auto"/>
                <w:kern w:val="0"/>
                <w:szCs w:val="21"/>
                <w:highlight w:val="none"/>
                <w:shd w:val="clear" w:color="auto" w:fill="FFFFFF"/>
              </w:rPr>
              <w:t>（1）本招标项目重点难点：</w:t>
            </w:r>
            <w:r>
              <w:rPr>
                <w:rFonts w:hint="eastAsia" w:ascii="宋体" w:hAnsi="宋体" w:cs="宋体"/>
                <w:b/>
                <w:snapToGrid w:val="0"/>
                <w:color w:val="auto"/>
                <w:kern w:val="0"/>
                <w:szCs w:val="21"/>
                <w:highlight w:val="none"/>
                <w:u w:val="single"/>
                <w:shd w:val="clear" w:color="auto" w:fill="FFFFFF"/>
                <w:lang w:val="en-US" w:eastAsia="zh-CN"/>
              </w:rPr>
              <w:t>1.</w:t>
            </w:r>
            <w:r>
              <w:rPr>
                <w:rFonts w:hint="eastAsia" w:ascii="宋体" w:hAnsi="宋体" w:cs="宋体"/>
                <w:b/>
                <w:snapToGrid w:val="0"/>
                <w:color w:val="auto"/>
                <w:kern w:val="0"/>
                <w:szCs w:val="21"/>
                <w:highlight w:val="none"/>
                <w:u w:val="single"/>
                <w:shd w:val="clear" w:color="auto" w:fill="FFFFFF"/>
              </w:rPr>
              <w:t>本项目为水厂技术改造项目，不得影响水厂的正常供水的前提下进行施工作业，后续施工单位需提供详细的施工方案及应急处理方案。</w:t>
            </w:r>
            <w:r>
              <w:rPr>
                <w:rFonts w:hint="eastAsia" w:ascii="宋体" w:hAnsi="宋体" w:cs="宋体"/>
                <w:b/>
                <w:snapToGrid w:val="0"/>
                <w:color w:val="auto"/>
                <w:kern w:val="0"/>
                <w:szCs w:val="21"/>
                <w:highlight w:val="none"/>
                <w:u w:val="single"/>
                <w:shd w:val="clear" w:color="auto" w:fill="FFFFFF"/>
                <w:lang w:val="en-US" w:eastAsia="zh-CN"/>
              </w:rPr>
              <w:t>2.</w:t>
            </w:r>
            <w:r>
              <w:rPr>
                <w:rFonts w:hint="eastAsia" w:ascii="宋体" w:hAnsi="宋体" w:cs="宋体"/>
                <w:b/>
                <w:snapToGrid w:val="0"/>
                <w:color w:val="auto"/>
                <w:kern w:val="0"/>
                <w:szCs w:val="21"/>
                <w:highlight w:val="none"/>
                <w:u w:val="single"/>
                <w:shd w:val="clear" w:color="auto" w:fill="FFFFFF"/>
              </w:rPr>
              <w:t>与现状管碰口，需采用不停水开口作业方式，施工时间选择夜间流量低的时候进行碰口作业。</w:t>
            </w:r>
            <w:r>
              <w:rPr>
                <w:rFonts w:hint="eastAsia" w:ascii="宋体" w:hAnsi="宋体" w:cs="宋体"/>
                <w:b/>
                <w:snapToGrid w:val="0"/>
                <w:color w:val="auto"/>
                <w:kern w:val="0"/>
                <w:szCs w:val="21"/>
                <w:highlight w:val="none"/>
                <w:u w:val="single"/>
                <w:shd w:val="clear" w:color="auto" w:fill="FFFFFF"/>
                <w:lang w:val="en-US" w:eastAsia="zh-CN"/>
              </w:rPr>
              <w:t>3.</w:t>
            </w:r>
            <w:r>
              <w:rPr>
                <w:rFonts w:hint="eastAsia" w:ascii="宋体" w:hAnsi="宋体" w:cs="宋体"/>
                <w:b/>
                <w:snapToGrid w:val="0"/>
                <w:color w:val="auto"/>
                <w:kern w:val="0"/>
                <w:szCs w:val="21"/>
                <w:highlight w:val="none"/>
                <w:u w:val="single"/>
                <w:shd w:val="clear" w:color="auto" w:fill="FFFFFF"/>
              </w:rPr>
              <w:t>路面开挖作业需注意对现状管线保护，施工期间不得损坏现状管线。</w:t>
            </w:r>
          </w:p>
          <w:p w14:paraId="78A31E53">
            <w:pPr>
              <w:pStyle w:val="48"/>
              <w:spacing w:line="560" w:lineRule="exact"/>
              <w:ind w:left="0"/>
              <w:rPr>
                <w:rFonts w:hint="eastAsia" w:ascii="宋体" w:hAnsi="宋体" w:eastAsia="宋体" w:cs="宋体"/>
                <w:snapToGrid w:val="0"/>
                <w:color w:val="auto"/>
                <w:kern w:val="0"/>
                <w:szCs w:val="21"/>
                <w:shd w:val="clear" w:color="auto" w:fill="FFFFFF"/>
                <w:lang w:eastAsia="zh-CN"/>
              </w:rPr>
            </w:pPr>
            <w:r>
              <w:rPr>
                <w:rFonts w:hint="eastAsia" w:ascii="宋体" w:hAnsi="宋体" w:cs="宋体"/>
                <w:b/>
                <w:snapToGrid w:val="0"/>
                <w:color w:val="auto"/>
                <w:kern w:val="0"/>
                <w:szCs w:val="21"/>
                <w:highlight w:val="none"/>
                <w:shd w:val="clear" w:color="auto" w:fill="FFFFFF"/>
              </w:rPr>
              <w:t>（2）本招标项目危险性较大的分部分项工程清单：</w:t>
            </w:r>
            <w:r>
              <w:rPr>
                <w:rFonts w:hint="eastAsia" w:ascii="宋体" w:hAnsi="宋体" w:cs="宋体"/>
                <w:b/>
                <w:snapToGrid w:val="0"/>
                <w:color w:val="auto"/>
                <w:kern w:val="0"/>
                <w:szCs w:val="21"/>
                <w:highlight w:val="none"/>
                <w:u w:val="single"/>
                <w:shd w:val="clear" w:color="auto" w:fill="FFFFFF"/>
                <w:lang w:val="en-US" w:eastAsia="zh-CN"/>
              </w:rPr>
              <w:t>带压开孔作业、吊装作业、动火、临时用 电、登高作业等</w:t>
            </w:r>
            <w:r>
              <w:rPr>
                <w:rFonts w:hint="eastAsia" w:ascii="宋体" w:hAnsi="宋体" w:cs="宋体"/>
                <w:b/>
                <w:snapToGrid w:val="0"/>
                <w:color w:val="auto"/>
                <w:kern w:val="0"/>
                <w:szCs w:val="21"/>
                <w:highlight w:val="none"/>
                <w:u w:val="single"/>
                <w:shd w:val="clear" w:color="auto" w:fill="FFFFFF"/>
              </w:rPr>
              <w:t>(施工单位在投标时补充完善危大工程清单并明确相应的安全管理措施）</w:t>
            </w:r>
            <w:r>
              <w:rPr>
                <w:rFonts w:hint="eastAsia" w:ascii="宋体" w:hAnsi="宋体" w:cs="宋体"/>
                <w:b/>
                <w:snapToGrid w:val="0"/>
                <w:color w:val="auto"/>
                <w:kern w:val="0"/>
                <w:szCs w:val="21"/>
                <w:highlight w:val="none"/>
                <w:u w:val="single"/>
                <w:shd w:val="clear" w:color="auto" w:fill="FFFFFF"/>
                <w:lang w:eastAsia="zh-CN"/>
              </w:rPr>
              <w:t>。</w:t>
            </w:r>
          </w:p>
        </w:tc>
      </w:tr>
      <w:tr w14:paraId="0C982B97">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65D93DC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3.5.8</w:t>
            </w:r>
          </w:p>
        </w:tc>
        <w:tc>
          <w:tcPr>
            <w:tcW w:w="2160" w:type="dxa"/>
            <w:tcBorders>
              <w:top w:val="single" w:color="auto" w:sz="4" w:space="0"/>
              <w:left w:val="single" w:color="auto" w:sz="4" w:space="0"/>
              <w:bottom w:val="single" w:color="auto" w:sz="4" w:space="0"/>
              <w:right w:val="single" w:color="auto" w:sz="4" w:space="0"/>
            </w:tcBorders>
            <w:vAlign w:val="center"/>
          </w:tcPr>
          <w:p w14:paraId="4DB39CCF">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投标文件份数</w:t>
            </w:r>
          </w:p>
        </w:tc>
        <w:tc>
          <w:tcPr>
            <w:tcW w:w="7305" w:type="dxa"/>
            <w:tcBorders>
              <w:top w:val="single" w:color="auto" w:sz="4" w:space="0"/>
              <w:left w:val="single" w:color="auto" w:sz="4" w:space="0"/>
              <w:bottom w:val="single" w:color="auto" w:sz="4" w:space="0"/>
              <w:right w:val="single" w:color="auto" w:sz="4" w:space="0"/>
            </w:tcBorders>
            <w:vAlign w:val="center"/>
          </w:tcPr>
          <w:p w14:paraId="2D6D5D8A">
            <w:pPr>
              <w:adjustRightInd w:val="0"/>
              <w:snapToGrid w:val="0"/>
              <w:spacing w:line="560" w:lineRule="exact"/>
              <w:rPr>
                <w:rFonts w:ascii="宋体" w:hAnsi="宋体" w:cs="宋体"/>
                <w:color w:val="auto"/>
                <w:szCs w:val="21"/>
              </w:rPr>
            </w:pPr>
            <w:r>
              <w:rPr>
                <w:rFonts w:hint="eastAsia" w:ascii="宋体" w:hAnsi="宋体" w:cs="宋体"/>
                <w:color w:val="auto"/>
                <w:szCs w:val="21"/>
              </w:rPr>
              <w:t>加密电子投标文件应在投标截止时间前通过交易中心电子交易系统上传。</w:t>
            </w:r>
          </w:p>
          <w:p w14:paraId="535CCC9E">
            <w:pPr>
              <w:adjustRightInd w:val="0"/>
              <w:snapToGrid w:val="0"/>
              <w:spacing w:line="560" w:lineRule="exact"/>
              <w:rPr>
                <w:rFonts w:ascii="宋体" w:hAnsi="宋体" w:cs="宋体"/>
                <w:color w:val="auto"/>
                <w:szCs w:val="21"/>
              </w:rPr>
            </w:pPr>
            <w:r>
              <w:rPr>
                <w:rFonts w:hint="eastAsia" w:ascii="宋体" w:hAnsi="宋体" w:cs="宋体"/>
                <w:b/>
                <w:color w:val="auto"/>
                <w:kern w:val="0"/>
                <w:szCs w:val="21"/>
              </w:rPr>
              <w:t>（投标人中标后须递交与网上电子投标文件完全一致的纸质版投标文件，并按要求加盖单位章；份数：正本</w:t>
            </w:r>
            <w:r>
              <w:rPr>
                <w:rFonts w:hint="eastAsia" w:ascii="宋体" w:hAnsi="宋体" w:cs="宋体"/>
                <w:b/>
                <w:color w:val="auto"/>
                <w:kern w:val="0"/>
                <w:szCs w:val="21"/>
                <w:u w:val="single"/>
              </w:rPr>
              <w:t xml:space="preserve"> 1 </w:t>
            </w:r>
            <w:r>
              <w:rPr>
                <w:rFonts w:hint="eastAsia" w:ascii="宋体" w:hAnsi="宋体" w:cs="宋体"/>
                <w:b/>
                <w:color w:val="auto"/>
                <w:kern w:val="0"/>
                <w:szCs w:val="21"/>
              </w:rPr>
              <w:t>份，副本</w:t>
            </w:r>
            <w:r>
              <w:rPr>
                <w:rFonts w:hint="eastAsia" w:ascii="宋体" w:hAnsi="宋体" w:cs="宋体"/>
                <w:b/>
                <w:color w:val="auto"/>
                <w:kern w:val="0"/>
                <w:szCs w:val="21"/>
                <w:u w:val="single"/>
                <w:lang w:val="en-US" w:eastAsia="zh-CN"/>
              </w:rPr>
              <w:t>1</w:t>
            </w:r>
            <w:r>
              <w:rPr>
                <w:rFonts w:hint="eastAsia" w:ascii="宋体" w:hAnsi="宋体" w:cs="宋体"/>
                <w:b/>
                <w:color w:val="auto"/>
                <w:kern w:val="0"/>
                <w:szCs w:val="21"/>
                <w:u w:val="single"/>
              </w:rPr>
              <w:t xml:space="preserve"> </w:t>
            </w:r>
            <w:r>
              <w:rPr>
                <w:rFonts w:hint="eastAsia" w:ascii="宋体" w:hAnsi="宋体" w:cs="宋体"/>
                <w:b/>
                <w:color w:val="auto"/>
                <w:kern w:val="0"/>
                <w:szCs w:val="21"/>
              </w:rPr>
              <w:t>份；中标人领取中标通知书时，一并递交给招标代理机构）。</w:t>
            </w:r>
          </w:p>
        </w:tc>
      </w:tr>
      <w:tr w14:paraId="4BF366F5">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32EF643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3.6.1</w:t>
            </w:r>
          </w:p>
        </w:tc>
        <w:tc>
          <w:tcPr>
            <w:tcW w:w="2160" w:type="dxa"/>
            <w:tcBorders>
              <w:top w:val="single" w:color="auto" w:sz="4" w:space="0"/>
              <w:left w:val="single" w:color="auto" w:sz="4" w:space="0"/>
              <w:bottom w:val="single" w:color="auto" w:sz="4" w:space="0"/>
              <w:right w:val="single" w:color="auto" w:sz="4" w:space="0"/>
            </w:tcBorders>
            <w:vAlign w:val="center"/>
          </w:tcPr>
          <w:p w14:paraId="53A51844">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是否允许递交备选投标方案</w:t>
            </w:r>
          </w:p>
        </w:tc>
        <w:tc>
          <w:tcPr>
            <w:tcW w:w="7305" w:type="dxa"/>
            <w:tcBorders>
              <w:top w:val="single" w:color="auto" w:sz="4" w:space="0"/>
              <w:left w:val="single" w:color="auto" w:sz="4" w:space="0"/>
              <w:bottom w:val="single" w:color="auto" w:sz="4" w:space="0"/>
              <w:right w:val="single" w:color="auto" w:sz="4" w:space="0"/>
            </w:tcBorders>
            <w:vAlign w:val="center"/>
          </w:tcPr>
          <w:p w14:paraId="59CEF90E">
            <w:pPr>
              <w:adjustRightInd w:val="0"/>
              <w:snapToGrid w:val="0"/>
              <w:spacing w:line="560" w:lineRule="exact"/>
              <w:rPr>
                <w:rFonts w:ascii="宋体" w:hAnsi="宋体" w:cs="宋体"/>
                <w:color w:val="auto"/>
                <w:szCs w:val="21"/>
              </w:rPr>
            </w:pPr>
            <w:r>
              <w:rPr>
                <w:rFonts w:hint="eastAsia" w:ascii="宋体" w:hAnsi="宋体" w:cs="宋体"/>
                <w:color w:val="auto"/>
                <w:szCs w:val="21"/>
              </w:rPr>
              <w:t>不允许；</w:t>
            </w:r>
          </w:p>
        </w:tc>
      </w:tr>
      <w:tr w14:paraId="02413CA9">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638B261E">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4.3.2</w:t>
            </w:r>
          </w:p>
        </w:tc>
        <w:tc>
          <w:tcPr>
            <w:tcW w:w="2160" w:type="dxa"/>
            <w:tcBorders>
              <w:top w:val="single" w:color="auto" w:sz="4" w:space="0"/>
              <w:left w:val="single" w:color="auto" w:sz="4" w:space="0"/>
              <w:bottom w:val="single" w:color="auto" w:sz="4" w:space="0"/>
              <w:right w:val="single" w:color="auto" w:sz="4" w:space="0"/>
            </w:tcBorders>
            <w:vAlign w:val="center"/>
          </w:tcPr>
          <w:p w14:paraId="1E87F8A6">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是否退还投标文件</w:t>
            </w:r>
          </w:p>
        </w:tc>
        <w:tc>
          <w:tcPr>
            <w:tcW w:w="7305" w:type="dxa"/>
            <w:tcBorders>
              <w:top w:val="single" w:color="auto" w:sz="4" w:space="0"/>
              <w:left w:val="single" w:color="auto" w:sz="4" w:space="0"/>
              <w:bottom w:val="single" w:color="auto" w:sz="4" w:space="0"/>
              <w:right w:val="single" w:color="auto" w:sz="4" w:space="0"/>
            </w:tcBorders>
            <w:vAlign w:val="center"/>
          </w:tcPr>
          <w:p w14:paraId="7AE0C0CF">
            <w:pPr>
              <w:adjustRightInd w:val="0"/>
              <w:snapToGrid w:val="0"/>
              <w:spacing w:line="560" w:lineRule="exact"/>
              <w:rPr>
                <w:rFonts w:ascii="宋体" w:hAnsi="宋体" w:cs="宋体"/>
                <w:color w:val="auto"/>
                <w:szCs w:val="21"/>
              </w:rPr>
            </w:pPr>
            <w:r>
              <w:rPr>
                <w:rFonts w:hint="eastAsia" w:ascii="宋体" w:hAnsi="宋体" w:cs="宋体"/>
                <w:color w:val="auto"/>
                <w:szCs w:val="21"/>
              </w:rPr>
              <w:t>否</w:t>
            </w:r>
          </w:p>
        </w:tc>
      </w:tr>
      <w:tr w14:paraId="1D908E2B">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776F848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5.1</w:t>
            </w:r>
          </w:p>
        </w:tc>
        <w:tc>
          <w:tcPr>
            <w:tcW w:w="2160" w:type="dxa"/>
            <w:tcBorders>
              <w:top w:val="single" w:color="auto" w:sz="4" w:space="0"/>
              <w:left w:val="single" w:color="auto" w:sz="4" w:space="0"/>
              <w:bottom w:val="single" w:color="auto" w:sz="4" w:space="0"/>
              <w:right w:val="single" w:color="auto" w:sz="4" w:space="0"/>
            </w:tcBorders>
            <w:vAlign w:val="center"/>
          </w:tcPr>
          <w:p w14:paraId="17E74D6D">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开标时间和地点</w:t>
            </w:r>
          </w:p>
        </w:tc>
        <w:tc>
          <w:tcPr>
            <w:tcW w:w="7305" w:type="dxa"/>
            <w:tcBorders>
              <w:top w:val="single" w:color="auto" w:sz="4" w:space="0"/>
              <w:left w:val="single" w:color="auto" w:sz="4" w:space="0"/>
              <w:bottom w:val="single" w:color="auto" w:sz="4" w:space="0"/>
              <w:right w:val="single" w:color="auto" w:sz="4" w:space="0"/>
            </w:tcBorders>
            <w:vAlign w:val="center"/>
          </w:tcPr>
          <w:p w14:paraId="1B518F6E">
            <w:pPr>
              <w:adjustRightInd w:val="0"/>
              <w:snapToGrid w:val="0"/>
              <w:spacing w:line="560" w:lineRule="exact"/>
              <w:rPr>
                <w:rFonts w:ascii="宋体" w:hAnsi="宋体" w:cs="宋体"/>
                <w:color w:val="auto"/>
                <w:szCs w:val="21"/>
              </w:rPr>
            </w:pPr>
            <w:r>
              <w:rPr>
                <w:rFonts w:hint="eastAsia" w:ascii="宋体" w:hAnsi="宋体" w:cs="宋体"/>
                <w:color w:val="auto"/>
                <w:szCs w:val="21"/>
              </w:rPr>
              <w:t>开标时间：同投标截止时间</w:t>
            </w:r>
          </w:p>
          <w:p w14:paraId="40AC127C">
            <w:pPr>
              <w:adjustRightInd w:val="0"/>
              <w:snapToGrid w:val="0"/>
              <w:spacing w:line="560" w:lineRule="exact"/>
              <w:rPr>
                <w:rFonts w:ascii="宋体" w:hAnsi="宋体" w:cs="宋体"/>
                <w:color w:val="auto"/>
                <w:szCs w:val="21"/>
              </w:rPr>
            </w:pPr>
            <w:r>
              <w:rPr>
                <w:rFonts w:hint="eastAsia" w:ascii="宋体" w:hAnsi="宋体" w:cs="宋体"/>
                <w:color w:val="auto"/>
                <w:szCs w:val="21"/>
              </w:rPr>
              <w:t>开标地点：见招标公告</w:t>
            </w:r>
          </w:p>
        </w:tc>
      </w:tr>
      <w:tr w14:paraId="4A126EEC">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017A8855">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5.2</w:t>
            </w:r>
          </w:p>
        </w:tc>
        <w:tc>
          <w:tcPr>
            <w:tcW w:w="2160" w:type="dxa"/>
            <w:tcBorders>
              <w:top w:val="single" w:color="auto" w:sz="4" w:space="0"/>
              <w:left w:val="single" w:color="auto" w:sz="4" w:space="0"/>
              <w:bottom w:val="single" w:color="auto" w:sz="4" w:space="0"/>
              <w:right w:val="single" w:color="auto" w:sz="4" w:space="0"/>
            </w:tcBorders>
            <w:vAlign w:val="center"/>
          </w:tcPr>
          <w:p w14:paraId="019BCD0E">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开标程序</w:t>
            </w:r>
          </w:p>
        </w:tc>
        <w:tc>
          <w:tcPr>
            <w:tcW w:w="7305" w:type="dxa"/>
            <w:tcBorders>
              <w:top w:val="single" w:color="auto" w:sz="4" w:space="0"/>
              <w:left w:val="single" w:color="auto" w:sz="4" w:space="0"/>
              <w:bottom w:val="single" w:color="auto" w:sz="4" w:space="0"/>
              <w:right w:val="single" w:color="auto" w:sz="4" w:space="0"/>
            </w:tcBorders>
            <w:vAlign w:val="center"/>
          </w:tcPr>
          <w:p w14:paraId="33475FFB">
            <w:pPr>
              <w:adjustRightInd w:val="0"/>
              <w:snapToGrid w:val="0"/>
              <w:spacing w:line="560" w:lineRule="exact"/>
              <w:rPr>
                <w:rFonts w:ascii="宋体" w:hAnsi="宋体" w:cs="宋体"/>
                <w:bCs/>
                <w:snapToGrid w:val="0"/>
                <w:color w:val="auto"/>
                <w:kern w:val="0"/>
                <w:szCs w:val="21"/>
              </w:rPr>
            </w:pPr>
            <w:r>
              <w:rPr>
                <w:rFonts w:hint="eastAsia" w:ascii="宋体" w:hAnsi="宋体" w:cs="宋体"/>
                <w:color w:val="auto"/>
                <w:szCs w:val="21"/>
              </w:rPr>
              <w:t>1.解密时间：解密程序开始后</w:t>
            </w:r>
            <w:r>
              <w:rPr>
                <w:rFonts w:hint="eastAsia" w:ascii="宋体" w:hAnsi="宋体" w:cs="宋体"/>
                <w:color w:val="auto"/>
                <w:szCs w:val="21"/>
                <w:u w:val="single"/>
              </w:rPr>
              <w:t>60</w:t>
            </w:r>
            <w:r>
              <w:rPr>
                <w:rFonts w:hint="eastAsia" w:ascii="宋体" w:hAnsi="宋体" w:cs="宋体"/>
                <w:color w:val="auto"/>
                <w:szCs w:val="21"/>
              </w:rPr>
              <w:t>分钟内</w:t>
            </w:r>
            <w:r>
              <w:rPr>
                <w:rFonts w:hint="eastAsia" w:ascii="宋体" w:hAnsi="宋体" w:cs="宋体"/>
                <w:bCs/>
                <w:snapToGrid w:val="0"/>
                <w:color w:val="auto"/>
                <w:kern w:val="0"/>
                <w:szCs w:val="21"/>
              </w:rPr>
              <w:t>（以电子交易系统解密倒计时为准），</w:t>
            </w:r>
            <w:r>
              <w:rPr>
                <w:rFonts w:hint="eastAsia" w:ascii="宋体" w:hAnsi="宋体" w:cs="宋体"/>
                <w:color w:val="auto"/>
                <w:szCs w:val="21"/>
              </w:rPr>
              <w:t>解密时间为</w:t>
            </w:r>
            <w:r>
              <w:rPr>
                <w:rFonts w:hint="eastAsia" w:ascii="宋体" w:hAnsi="宋体" w:cs="宋体"/>
                <w:color w:val="auto"/>
                <w:szCs w:val="21"/>
                <w:u w:val="single"/>
              </w:rPr>
              <w:t xml:space="preserve"> 2025</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10</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11</w:t>
            </w:r>
            <w:r>
              <w:rPr>
                <w:rFonts w:hint="eastAsia" w:ascii="宋体" w:hAnsi="宋体" w:cs="宋体"/>
                <w:color w:val="auto"/>
                <w:szCs w:val="21"/>
              </w:rPr>
              <w:t>日</w:t>
            </w:r>
            <w:r>
              <w:rPr>
                <w:rFonts w:hint="eastAsia" w:ascii="宋体" w:hAnsi="宋体" w:cs="宋体"/>
                <w:color w:val="auto"/>
                <w:szCs w:val="21"/>
                <w:u w:val="single"/>
              </w:rPr>
              <w:t xml:space="preserve"> 8 </w:t>
            </w:r>
            <w:r>
              <w:rPr>
                <w:rFonts w:hint="eastAsia" w:ascii="宋体" w:hAnsi="宋体" w:cs="宋体"/>
                <w:color w:val="auto"/>
                <w:szCs w:val="21"/>
              </w:rPr>
              <w:t>时</w:t>
            </w:r>
            <w:r>
              <w:rPr>
                <w:rFonts w:hint="eastAsia" w:ascii="宋体" w:hAnsi="宋体" w:cs="宋体"/>
                <w:color w:val="auto"/>
                <w:szCs w:val="21"/>
                <w:u w:val="single"/>
              </w:rPr>
              <w:t xml:space="preserve"> 00 </w:t>
            </w:r>
            <w:r>
              <w:rPr>
                <w:rFonts w:hint="eastAsia" w:ascii="宋体" w:hAnsi="宋体" w:cs="宋体"/>
                <w:color w:val="auto"/>
                <w:szCs w:val="21"/>
              </w:rPr>
              <w:t>分至</w:t>
            </w:r>
            <w:r>
              <w:rPr>
                <w:rFonts w:hint="eastAsia" w:ascii="宋体" w:hAnsi="宋体" w:cs="宋体"/>
                <w:color w:val="auto"/>
                <w:szCs w:val="21"/>
                <w:u w:val="single"/>
              </w:rPr>
              <w:t>2025</w:t>
            </w:r>
            <w:r>
              <w:rPr>
                <w:rFonts w:hint="eastAsia" w:ascii="宋体" w:hAnsi="宋体" w:cs="宋体"/>
                <w:color w:val="auto"/>
                <w:szCs w:val="21"/>
              </w:rPr>
              <w:t>年</w:t>
            </w:r>
            <w:r>
              <w:rPr>
                <w:rFonts w:hint="eastAsia" w:ascii="宋体" w:hAnsi="宋体" w:cs="宋体"/>
                <w:color w:val="auto"/>
                <w:szCs w:val="21"/>
                <w:u w:val="single"/>
                <w:lang w:val="en-US" w:eastAsia="zh-CN"/>
              </w:rPr>
              <w:t>10</w:t>
            </w:r>
            <w:r>
              <w:rPr>
                <w:rFonts w:hint="eastAsia" w:ascii="宋体" w:hAnsi="宋体" w:cs="宋体"/>
                <w:color w:val="auto"/>
                <w:szCs w:val="21"/>
              </w:rPr>
              <w:t>月</w:t>
            </w:r>
            <w:r>
              <w:rPr>
                <w:rFonts w:hint="eastAsia" w:ascii="宋体" w:hAnsi="宋体" w:cs="宋体"/>
                <w:color w:val="auto"/>
                <w:szCs w:val="21"/>
                <w:u w:val="single"/>
                <w:lang w:val="en-US" w:eastAsia="zh-CN"/>
              </w:rPr>
              <w:t>11</w:t>
            </w:r>
            <w:r>
              <w:rPr>
                <w:rFonts w:hint="eastAsia" w:ascii="宋体" w:hAnsi="宋体" w:cs="宋体"/>
                <w:color w:val="auto"/>
                <w:szCs w:val="21"/>
              </w:rPr>
              <w:t>日</w:t>
            </w:r>
            <w:r>
              <w:rPr>
                <w:rFonts w:hint="eastAsia" w:ascii="宋体" w:hAnsi="宋体" w:cs="宋体"/>
                <w:color w:val="auto"/>
                <w:szCs w:val="21"/>
                <w:u w:val="single"/>
              </w:rPr>
              <w:t>9</w:t>
            </w:r>
            <w:r>
              <w:rPr>
                <w:rFonts w:hint="eastAsia" w:ascii="宋体" w:hAnsi="宋体" w:cs="宋体"/>
                <w:color w:val="auto"/>
                <w:szCs w:val="21"/>
              </w:rPr>
              <w:t>时</w:t>
            </w:r>
            <w:r>
              <w:rPr>
                <w:rFonts w:hint="eastAsia" w:ascii="宋体" w:hAnsi="宋体" w:cs="宋体"/>
                <w:color w:val="auto"/>
                <w:szCs w:val="21"/>
                <w:u w:val="single"/>
              </w:rPr>
              <w:t xml:space="preserve"> 00 </w:t>
            </w:r>
            <w:r>
              <w:rPr>
                <w:rFonts w:hint="eastAsia" w:ascii="宋体" w:hAnsi="宋体" w:cs="宋体"/>
                <w:color w:val="auto"/>
                <w:szCs w:val="21"/>
              </w:rPr>
              <w:t>分。</w:t>
            </w:r>
          </w:p>
          <w:p w14:paraId="1250CC89">
            <w:pPr>
              <w:adjustRightInd w:val="0"/>
              <w:snapToGrid w:val="0"/>
              <w:spacing w:line="560" w:lineRule="exact"/>
              <w:rPr>
                <w:rFonts w:ascii="宋体" w:hAnsi="宋体" w:cs="宋体"/>
                <w:color w:val="auto"/>
                <w:szCs w:val="21"/>
              </w:rPr>
            </w:pPr>
            <w:r>
              <w:rPr>
                <w:rFonts w:hint="eastAsia" w:ascii="宋体" w:hAnsi="宋体" w:cs="宋体"/>
                <w:color w:val="auto"/>
                <w:szCs w:val="21"/>
              </w:rPr>
              <w:t>2.公布在投标截止时间前通过电子交易系统完成投标文件递交的投标人名称；</w:t>
            </w:r>
          </w:p>
          <w:p w14:paraId="737F7C6E">
            <w:pPr>
              <w:adjustRightInd w:val="0"/>
              <w:snapToGrid w:val="0"/>
              <w:spacing w:line="560" w:lineRule="exact"/>
              <w:rPr>
                <w:rFonts w:ascii="宋体" w:hAnsi="宋体" w:cs="宋体"/>
                <w:color w:val="auto"/>
                <w:szCs w:val="21"/>
              </w:rPr>
            </w:pPr>
            <w:r>
              <w:rPr>
                <w:rFonts w:hint="eastAsia" w:ascii="宋体" w:hAnsi="宋体" w:cs="宋体"/>
                <w:color w:val="auto"/>
                <w:szCs w:val="21"/>
              </w:rPr>
              <w:t>3.投标人在投标截止时间后，在规定的解密时间内完成投标文件的解密工作；</w:t>
            </w:r>
          </w:p>
          <w:p w14:paraId="33127908">
            <w:pPr>
              <w:adjustRightInd w:val="0"/>
              <w:snapToGrid w:val="0"/>
              <w:spacing w:line="560" w:lineRule="exact"/>
              <w:rPr>
                <w:rFonts w:ascii="宋体" w:hAnsi="宋体" w:cs="宋体"/>
                <w:color w:val="auto"/>
                <w:szCs w:val="21"/>
              </w:rPr>
            </w:pPr>
            <w:r>
              <w:rPr>
                <w:rFonts w:hint="eastAsia" w:ascii="宋体" w:hAnsi="宋体" w:cs="宋体"/>
                <w:color w:val="auto"/>
                <w:szCs w:val="21"/>
              </w:rPr>
              <w:t>4.招标人或招标代理机构完成解密工作，导入并读取所有成功解密的投标文件；</w:t>
            </w:r>
          </w:p>
          <w:p w14:paraId="27BF53BD">
            <w:pPr>
              <w:adjustRightInd w:val="0"/>
              <w:snapToGrid w:val="0"/>
              <w:spacing w:line="560" w:lineRule="exact"/>
              <w:rPr>
                <w:rFonts w:ascii="宋体" w:hAnsi="宋体" w:cs="宋体"/>
                <w:color w:val="auto"/>
                <w:szCs w:val="21"/>
              </w:rPr>
            </w:pPr>
            <w:r>
              <w:rPr>
                <w:rFonts w:hint="eastAsia" w:ascii="宋体" w:hAnsi="宋体" w:cs="宋体"/>
                <w:color w:val="auto"/>
                <w:szCs w:val="21"/>
              </w:rPr>
              <w:t>5.公布投标人名称、标段名称、投标报价、质量目标、工期及其他内容；</w:t>
            </w:r>
          </w:p>
          <w:p w14:paraId="61C730FF">
            <w:pPr>
              <w:adjustRightInd w:val="0"/>
              <w:snapToGrid w:val="0"/>
              <w:spacing w:line="560" w:lineRule="exact"/>
              <w:rPr>
                <w:rFonts w:ascii="宋体" w:hAnsi="宋体" w:cs="宋体"/>
                <w:color w:val="auto"/>
                <w:szCs w:val="21"/>
              </w:rPr>
            </w:pPr>
            <w:r>
              <w:rPr>
                <w:rFonts w:hint="eastAsia" w:ascii="宋体" w:hAnsi="宋体" w:cs="宋体"/>
                <w:color w:val="auto"/>
                <w:szCs w:val="21"/>
              </w:rPr>
              <w:t>6.开标结束。</w:t>
            </w:r>
          </w:p>
        </w:tc>
      </w:tr>
      <w:tr w14:paraId="3171F959">
        <w:tblPrEx>
          <w:tblCellMar>
            <w:top w:w="0" w:type="dxa"/>
            <w:left w:w="108" w:type="dxa"/>
            <w:bottom w:w="0" w:type="dxa"/>
            <w:right w:w="108" w:type="dxa"/>
          </w:tblCellMar>
        </w:tblPrEx>
        <w:trPr>
          <w:trHeight w:val="488"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7C3E4096">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6.1.1</w:t>
            </w:r>
          </w:p>
        </w:tc>
        <w:tc>
          <w:tcPr>
            <w:tcW w:w="2160" w:type="dxa"/>
            <w:tcBorders>
              <w:top w:val="single" w:color="auto" w:sz="4" w:space="0"/>
              <w:left w:val="single" w:color="auto" w:sz="4" w:space="0"/>
              <w:bottom w:val="single" w:color="auto" w:sz="4" w:space="0"/>
              <w:right w:val="single" w:color="auto" w:sz="4" w:space="0"/>
            </w:tcBorders>
            <w:vAlign w:val="center"/>
          </w:tcPr>
          <w:p w14:paraId="5BC432DF">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评标委员会的组建</w:t>
            </w:r>
          </w:p>
        </w:tc>
        <w:tc>
          <w:tcPr>
            <w:tcW w:w="7305" w:type="dxa"/>
            <w:tcBorders>
              <w:top w:val="single" w:color="auto" w:sz="4" w:space="0"/>
              <w:left w:val="single" w:color="auto" w:sz="4" w:space="0"/>
              <w:bottom w:val="single" w:color="auto" w:sz="4" w:space="0"/>
              <w:right w:val="single" w:color="auto" w:sz="4" w:space="0"/>
            </w:tcBorders>
            <w:vAlign w:val="center"/>
          </w:tcPr>
          <w:p w14:paraId="055430E7">
            <w:pPr>
              <w:adjustRightInd w:val="0"/>
              <w:snapToGrid w:val="0"/>
              <w:spacing w:line="560" w:lineRule="exact"/>
              <w:rPr>
                <w:rFonts w:ascii="宋体" w:hAnsi="宋体" w:cs="宋体"/>
                <w:color w:val="auto"/>
                <w:szCs w:val="21"/>
              </w:rPr>
            </w:pPr>
            <w:r>
              <w:rPr>
                <w:rFonts w:hint="eastAsia" w:ascii="宋体" w:hAnsi="宋体" w:cs="宋体"/>
                <w:color w:val="auto"/>
                <w:szCs w:val="21"/>
              </w:rPr>
              <w:t>评标委员会构成：9人，其中招标人代表3人，评标专家 6人。</w:t>
            </w:r>
          </w:p>
          <w:p w14:paraId="159BC91C">
            <w:pPr>
              <w:adjustRightInd w:val="0"/>
              <w:snapToGrid w:val="0"/>
              <w:spacing w:line="560" w:lineRule="exact"/>
              <w:rPr>
                <w:rFonts w:ascii="宋体" w:hAnsi="宋体" w:cs="宋体"/>
                <w:color w:val="auto"/>
                <w:szCs w:val="21"/>
              </w:rPr>
            </w:pPr>
            <w:r>
              <w:rPr>
                <w:rFonts w:hint="eastAsia" w:ascii="宋体" w:hAnsi="宋体" w:cs="宋体"/>
                <w:color w:val="auto"/>
                <w:szCs w:val="21"/>
              </w:rPr>
              <w:t>评标专家确定方式：评标专家由招标人在开标前从专家库中随机抽取。</w:t>
            </w:r>
          </w:p>
        </w:tc>
      </w:tr>
      <w:tr w14:paraId="01212B67">
        <w:tblPrEx>
          <w:tblCellMar>
            <w:top w:w="0" w:type="dxa"/>
            <w:left w:w="108" w:type="dxa"/>
            <w:bottom w:w="0" w:type="dxa"/>
            <w:right w:w="108" w:type="dxa"/>
          </w:tblCellMar>
        </w:tblPrEx>
        <w:trPr>
          <w:trHeight w:val="88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120B1C1E">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6.3.2</w:t>
            </w:r>
          </w:p>
        </w:tc>
        <w:tc>
          <w:tcPr>
            <w:tcW w:w="2160" w:type="dxa"/>
            <w:tcBorders>
              <w:top w:val="single" w:color="auto" w:sz="4" w:space="0"/>
              <w:left w:val="single" w:color="auto" w:sz="4" w:space="0"/>
              <w:bottom w:val="single" w:color="auto" w:sz="4" w:space="0"/>
              <w:right w:val="single" w:color="auto" w:sz="4" w:space="0"/>
            </w:tcBorders>
            <w:vAlign w:val="center"/>
          </w:tcPr>
          <w:p w14:paraId="04F5328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评标委员会确定中标候选人的人数</w:t>
            </w:r>
          </w:p>
        </w:tc>
        <w:tc>
          <w:tcPr>
            <w:tcW w:w="7305" w:type="dxa"/>
            <w:tcBorders>
              <w:top w:val="single" w:color="auto" w:sz="4" w:space="0"/>
              <w:left w:val="single" w:color="auto" w:sz="4" w:space="0"/>
              <w:bottom w:val="single" w:color="auto" w:sz="4" w:space="0"/>
              <w:right w:val="single" w:color="auto" w:sz="4" w:space="0"/>
            </w:tcBorders>
            <w:vAlign w:val="center"/>
          </w:tcPr>
          <w:p w14:paraId="1C914CFB">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3</w:t>
            </w:r>
            <w:r>
              <w:rPr>
                <w:rFonts w:hint="eastAsia" w:ascii="宋体" w:hAnsi="宋体" w:cs="宋体"/>
                <w:color w:val="auto"/>
                <w:szCs w:val="21"/>
              </w:rPr>
              <w:t>名，并标明排序。</w:t>
            </w:r>
          </w:p>
        </w:tc>
      </w:tr>
      <w:tr w14:paraId="1806DE73">
        <w:tblPrEx>
          <w:tblCellMar>
            <w:top w:w="0" w:type="dxa"/>
            <w:left w:w="108" w:type="dxa"/>
            <w:bottom w:w="0" w:type="dxa"/>
            <w:right w:w="108" w:type="dxa"/>
          </w:tblCellMar>
        </w:tblPrEx>
        <w:trPr>
          <w:trHeight w:val="653"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502ACF12">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7.1</w:t>
            </w:r>
          </w:p>
        </w:tc>
        <w:tc>
          <w:tcPr>
            <w:tcW w:w="2160" w:type="dxa"/>
            <w:tcBorders>
              <w:top w:val="single" w:color="auto" w:sz="4" w:space="0"/>
              <w:left w:val="single" w:color="auto" w:sz="4" w:space="0"/>
              <w:bottom w:val="single" w:color="auto" w:sz="4" w:space="0"/>
              <w:right w:val="single" w:color="auto" w:sz="4" w:space="0"/>
            </w:tcBorders>
            <w:vAlign w:val="center"/>
          </w:tcPr>
          <w:p w14:paraId="7B64251B">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中标候选人公示媒介及期限</w:t>
            </w:r>
          </w:p>
        </w:tc>
        <w:tc>
          <w:tcPr>
            <w:tcW w:w="7305" w:type="dxa"/>
            <w:tcBorders>
              <w:top w:val="single" w:color="auto" w:sz="4" w:space="0"/>
              <w:left w:val="single" w:color="auto" w:sz="4" w:space="0"/>
              <w:bottom w:val="single" w:color="auto" w:sz="4" w:space="0"/>
              <w:right w:val="single" w:color="auto" w:sz="4" w:space="0"/>
            </w:tcBorders>
            <w:vAlign w:val="center"/>
          </w:tcPr>
          <w:p w14:paraId="61B6A69C">
            <w:pPr>
              <w:widowControl/>
              <w:adjustRightInd w:val="0"/>
              <w:snapToGrid w:val="0"/>
              <w:spacing w:line="560" w:lineRule="exact"/>
              <w:jc w:val="left"/>
              <w:rPr>
                <w:rFonts w:ascii="宋体" w:hAnsi="宋体" w:cs="宋体"/>
                <w:color w:val="auto"/>
                <w:szCs w:val="21"/>
              </w:rPr>
            </w:pPr>
            <w:r>
              <w:rPr>
                <w:rFonts w:hint="eastAsia" w:ascii="宋体" w:hAnsi="宋体" w:cs="宋体"/>
                <w:color w:val="auto"/>
                <w:szCs w:val="21"/>
              </w:rPr>
              <w:t>公示媒介：同招标公告发布媒介</w:t>
            </w:r>
          </w:p>
          <w:p w14:paraId="20074E2B">
            <w:pPr>
              <w:widowControl/>
              <w:adjustRightInd w:val="0"/>
              <w:snapToGrid w:val="0"/>
              <w:spacing w:line="560" w:lineRule="exact"/>
              <w:jc w:val="left"/>
              <w:rPr>
                <w:rFonts w:ascii="宋体" w:hAnsi="宋体" w:cs="宋体"/>
                <w:color w:val="auto"/>
                <w:szCs w:val="21"/>
              </w:rPr>
            </w:pPr>
            <w:r>
              <w:rPr>
                <w:rFonts w:hint="eastAsia" w:ascii="宋体" w:hAnsi="宋体" w:cs="宋体"/>
                <w:color w:val="auto"/>
                <w:szCs w:val="21"/>
              </w:rPr>
              <w:t>公示期限：公示发布次日起3日（如公示第三日为休息日或节假日，则顺延至休息日或节假日后第一个工作日）</w:t>
            </w:r>
          </w:p>
        </w:tc>
      </w:tr>
      <w:tr w14:paraId="5E0F2709">
        <w:tblPrEx>
          <w:tblCellMar>
            <w:top w:w="0" w:type="dxa"/>
            <w:left w:w="108" w:type="dxa"/>
            <w:bottom w:w="0" w:type="dxa"/>
            <w:right w:w="108" w:type="dxa"/>
          </w:tblCellMar>
        </w:tblPrEx>
        <w:trPr>
          <w:trHeight w:val="653"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34C23EEC">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7.5</w:t>
            </w:r>
          </w:p>
        </w:tc>
        <w:tc>
          <w:tcPr>
            <w:tcW w:w="2160" w:type="dxa"/>
            <w:tcBorders>
              <w:top w:val="single" w:color="auto" w:sz="4" w:space="0"/>
              <w:left w:val="single" w:color="auto" w:sz="4" w:space="0"/>
              <w:bottom w:val="single" w:color="auto" w:sz="4" w:space="0"/>
              <w:right w:val="single" w:color="auto" w:sz="4" w:space="0"/>
            </w:tcBorders>
            <w:vAlign w:val="center"/>
          </w:tcPr>
          <w:p w14:paraId="3FA84B8E">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是否授权评标委员会确定中标人</w:t>
            </w:r>
          </w:p>
        </w:tc>
        <w:tc>
          <w:tcPr>
            <w:tcW w:w="7305" w:type="dxa"/>
            <w:tcBorders>
              <w:top w:val="single" w:color="auto" w:sz="4" w:space="0"/>
              <w:left w:val="single" w:color="auto" w:sz="4" w:space="0"/>
              <w:bottom w:val="single" w:color="auto" w:sz="4" w:space="0"/>
              <w:right w:val="single" w:color="auto" w:sz="4" w:space="0"/>
            </w:tcBorders>
            <w:vAlign w:val="center"/>
          </w:tcPr>
          <w:p w14:paraId="6B6983EF">
            <w:pPr>
              <w:widowControl/>
              <w:adjustRightInd w:val="0"/>
              <w:snapToGrid w:val="0"/>
              <w:spacing w:line="560" w:lineRule="exact"/>
              <w:jc w:val="left"/>
              <w:rPr>
                <w:rFonts w:ascii="宋体" w:hAnsi="宋体" w:cs="宋体"/>
                <w:color w:val="auto"/>
                <w:szCs w:val="21"/>
              </w:rPr>
            </w:pPr>
            <w:r>
              <w:rPr>
                <w:rFonts w:hint="eastAsia" w:ascii="宋体" w:hAnsi="宋体" w:cs="宋体"/>
                <w:color w:val="auto"/>
                <w:szCs w:val="21"/>
              </w:rPr>
              <w:t>是</w:t>
            </w:r>
          </w:p>
        </w:tc>
      </w:tr>
      <w:tr w14:paraId="4871876C">
        <w:tblPrEx>
          <w:tblCellMar>
            <w:top w:w="0" w:type="dxa"/>
            <w:left w:w="108" w:type="dxa"/>
            <w:bottom w:w="0" w:type="dxa"/>
            <w:right w:w="108" w:type="dxa"/>
          </w:tblCellMar>
        </w:tblPrEx>
        <w:trPr>
          <w:trHeight w:val="653" w:hRule="atLeast"/>
          <w:jc w:val="center"/>
        </w:trPr>
        <w:tc>
          <w:tcPr>
            <w:tcW w:w="970" w:type="dxa"/>
            <w:tcBorders>
              <w:top w:val="single" w:color="auto" w:sz="4" w:space="0"/>
              <w:left w:val="single" w:color="auto" w:sz="4" w:space="0"/>
              <w:right w:val="single" w:color="auto" w:sz="4" w:space="0"/>
            </w:tcBorders>
            <w:vAlign w:val="center"/>
          </w:tcPr>
          <w:p w14:paraId="754CBE5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7.6</w:t>
            </w:r>
          </w:p>
        </w:tc>
        <w:tc>
          <w:tcPr>
            <w:tcW w:w="2160" w:type="dxa"/>
            <w:tcBorders>
              <w:top w:val="single" w:color="auto" w:sz="4" w:space="0"/>
              <w:left w:val="single" w:color="auto" w:sz="4" w:space="0"/>
              <w:right w:val="single" w:color="auto" w:sz="4" w:space="0"/>
            </w:tcBorders>
            <w:vAlign w:val="center"/>
          </w:tcPr>
          <w:p w14:paraId="232155E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中标通知书发出形式</w:t>
            </w:r>
          </w:p>
        </w:tc>
        <w:tc>
          <w:tcPr>
            <w:tcW w:w="7305" w:type="dxa"/>
            <w:tcBorders>
              <w:top w:val="single" w:color="auto" w:sz="4" w:space="0"/>
              <w:left w:val="single" w:color="auto" w:sz="4" w:space="0"/>
              <w:right w:val="single" w:color="auto" w:sz="4" w:space="0"/>
            </w:tcBorders>
            <w:vAlign w:val="center"/>
          </w:tcPr>
          <w:p w14:paraId="42AB97CA">
            <w:pPr>
              <w:widowControl/>
              <w:adjustRightInd w:val="0"/>
              <w:snapToGrid w:val="0"/>
              <w:spacing w:line="560" w:lineRule="exact"/>
              <w:rPr>
                <w:rFonts w:ascii="宋体" w:hAnsi="宋体" w:cs="宋体"/>
                <w:color w:val="auto"/>
                <w:szCs w:val="21"/>
              </w:rPr>
            </w:pPr>
            <w:r>
              <w:rPr>
                <w:rFonts w:hint="eastAsia" w:ascii="宋体" w:hAnsi="宋体" w:cs="宋体"/>
                <w:color w:val="auto"/>
                <w:szCs w:val="21"/>
              </w:rPr>
              <w:t>数据电文</w:t>
            </w:r>
          </w:p>
        </w:tc>
      </w:tr>
      <w:tr w14:paraId="72866CEF">
        <w:tblPrEx>
          <w:tblCellMar>
            <w:top w:w="0" w:type="dxa"/>
            <w:left w:w="108" w:type="dxa"/>
            <w:bottom w:w="0" w:type="dxa"/>
            <w:right w:w="108" w:type="dxa"/>
          </w:tblCellMar>
        </w:tblPrEx>
        <w:trPr>
          <w:trHeight w:val="653" w:hRule="atLeast"/>
          <w:jc w:val="center"/>
        </w:trPr>
        <w:tc>
          <w:tcPr>
            <w:tcW w:w="970" w:type="dxa"/>
            <w:tcBorders>
              <w:top w:val="single" w:color="auto" w:sz="4" w:space="0"/>
              <w:left w:val="single" w:color="auto" w:sz="4" w:space="0"/>
              <w:right w:val="single" w:color="auto" w:sz="4" w:space="0"/>
            </w:tcBorders>
            <w:vAlign w:val="center"/>
          </w:tcPr>
          <w:p w14:paraId="41F36765">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7.7</w:t>
            </w:r>
          </w:p>
        </w:tc>
        <w:tc>
          <w:tcPr>
            <w:tcW w:w="2160" w:type="dxa"/>
            <w:tcBorders>
              <w:top w:val="single" w:color="auto" w:sz="4" w:space="0"/>
              <w:left w:val="single" w:color="auto" w:sz="4" w:space="0"/>
              <w:right w:val="single" w:color="auto" w:sz="4" w:space="0"/>
            </w:tcBorders>
            <w:vAlign w:val="center"/>
          </w:tcPr>
          <w:p w14:paraId="0175AD0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中标结果公示媒介</w:t>
            </w:r>
          </w:p>
        </w:tc>
        <w:tc>
          <w:tcPr>
            <w:tcW w:w="7305" w:type="dxa"/>
            <w:tcBorders>
              <w:top w:val="single" w:color="auto" w:sz="4" w:space="0"/>
              <w:left w:val="single" w:color="auto" w:sz="4" w:space="0"/>
              <w:right w:val="single" w:color="auto" w:sz="4" w:space="0"/>
            </w:tcBorders>
            <w:vAlign w:val="center"/>
          </w:tcPr>
          <w:p w14:paraId="2F21425F">
            <w:pPr>
              <w:widowControl/>
              <w:adjustRightInd w:val="0"/>
              <w:snapToGrid w:val="0"/>
              <w:spacing w:line="560" w:lineRule="exact"/>
              <w:jc w:val="left"/>
              <w:rPr>
                <w:rFonts w:ascii="宋体" w:hAnsi="宋体" w:cs="宋体"/>
                <w:color w:val="auto"/>
                <w:szCs w:val="21"/>
              </w:rPr>
            </w:pPr>
            <w:r>
              <w:rPr>
                <w:rFonts w:hint="eastAsia" w:ascii="宋体" w:hAnsi="宋体" w:cs="宋体"/>
                <w:color w:val="auto"/>
                <w:szCs w:val="21"/>
              </w:rPr>
              <w:t>公示媒介：同招标公告发布媒介</w:t>
            </w:r>
          </w:p>
          <w:p w14:paraId="638510C1">
            <w:pPr>
              <w:widowControl/>
              <w:adjustRightInd w:val="0"/>
              <w:snapToGrid w:val="0"/>
              <w:spacing w:line="560" w:lineRule="exact"/>
              <w:jc w:val="left"/>
              <w:rPr>
                <w:rFonts w:ascii="宋体" w:hAnsi="宋体" w:cs="宋体"/>
                <w:color w:val="auto"/>
                <w:szCs w:val="21"/>
              </w:rPr>
            </w:pPr>
            <w:r>
              <w:rPr>
                <w:rFonts w:hint="eastAsia" w:ascii="宋体" w:hAnsi="宋体" w:cs="宋体"/>
                <w:color w:val="auto"/>
                <w:szCs w:val="21"/>
              </w:rPr>
              <w:t>公示期限：1日</w:t>
            </w:r>
          </w:p>
        </w:tc>
      </w:tr>
      <w:tr w14:paraId="544EC775">
        <w:tblPrEx>
          <w:tblCellMar>
            <w:top w:w="0" w:type="dxa"/>
            <w:left w:w="108" w:type="dxa"/>
            <w:bottom w:w="0" w:type="dxa"/>
            <w:right w:w="108" w:type="dxa"/>
          </w:tblCellMar>
        </w:tblPrEx>
        <w:trPr>
          <w:trHeight w:val="97"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09CD7007">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7.8</w:t>
            </w:r>
          </w:p>
        </w:tc>
        <w:tc>
          <w:tcPr>
            <w:tcW w:w="2160" w:type="dxa"/>
            <w:tcBorders>
              <w:top w:val="single" w:color="auto" w:sz="4" w:space="0"/>
              <w:left w:val="single" w:color="auto" w:sz="4" w:space="0"/>
              <w:bottom w:val="single" w:color="auto" w:sz="4" w:space="0"/>
              <w:right w:val="single" w:color="auto" w:sz="4" w:space="0"/>
            </w:tcBorders>
            <w:vAlign w:val="center"/>
          </w:tcPr>
          <w:p w14:paraId="476CD5BF">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履约担保</w:t>
            </w:r>
          </w:p>
        </w:tc>
        <w:tc>
          <w:tcPr>
            <w:tcW w:w="7305" w:type="dxa"/>
            <w:tcBorders>
              <w:top w:val="single" w:color="auto" w:sz="4" w:space="0"/>
              <w:left w:val="single" w:color="auto" w:sz="4" w:space="0"/>
              <w:bottom w:val="single" w:color="auto" w:sz="4" w:space="0"/>
              <w:right w:val="single" w:color="auto" w:sz="4" w:space="0"/>
            </w:tcBorders>
            <w:vAlign w:val="center"/>
          </w:tcPr>
          <w:p w14:paraId="2A2008A0">
            <w:pPr>
              <w:widowControl/>
              <w:spacing w:line="560" w:lineRule="exact"/>
              <w:jc w:val="left"/>
              <w:rPr>
                <w:rFonts w:ascii="宋体" w:hAnsi="宋体" w:cs="宋体"/>
                <w:color w:val="auto"/>
                <w:kern w:val="0"/>
                <w:szCs w:val="21"/>
              </w:rPr>
            </w:pPr>
            <w:r>
              <w:rPr>
                <w:rFonts w:hint="eastAsia" w:ascii="宋体" w:hAnsi="宋体" w:cs="宋体"/>
                <w:color w:val="auto"/>
                <w:szCs w:val="21"/>
              </w:rPr>
              <w:t>要求中标人提交履约保证金。</w:t>
            </w:r>
          </w:p>
          <w:p w14:paraId="5C9D2268">
            <w:pPr>
              <w:adjustRightInd w:val="0"/>
              <w:snapToGrid w:val="0"/>
              <w:spacing w:line="560" w:lineRule="exact"/>
              <w:rPr>
                <w:rFonts w:ascii="宋体" w:hAnsi="宋体" w:cs="宋体"/>
                <w:color w:val="auto"/>
                <w:szCs w:val="21"/>
              </w:rPr>
            </w:pPr>
            <w:r>
              <w:rPr>
                <w:rFonts w:hint="eastAsia" w:ascii="宋体" w:hAnsi="宋体" w:cs="宋体"/>
                <w:color w:val="auto"/>
                <w:szCs w:val="21"/>
              </w:rPr>
              <w:t>形式：支持银行转账、银行电汇、银行保函、担保机构担保、保证保险使用。</w:t>
            </w:r>
          </w:p>
          <w:p w14:paraId="2283B74A">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金   额：中标合同金额（即818万元*（1-中标下浮率））×2% </w:t>
            </w:r>
          </w:p>
          <w:p w14:paraId="3C29D192">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收款单位：另行通知                   </w:t>
            </w:r>
          </w:p>
          <w:p w14:paraId="425408B7">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开户银行：另行通知                  </w:t>
            </w:r>
          </w:p>
          <w:p w14:paraId="756D7BDA">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银行账号：另行通知                  </w:t>
            </w:r>
          </w:p>
          <w:p w14:paraId="1BE00214">
            <w:pPr>
              <w:adjustRightInd w:val="0"/>
              <w:snapToGrid w:val="0"/>
              <w:spacing w:line="560" w:lineRule="exact"/>
              <w:rPr>
                <w:rFonts w:ascii="宋体" w:hAnsi="宋体" w:cs="宋体"/>
                <w:color w:val="auto"/>
                <w:szCs w:val="21"/>
              </w:rPr>
            </w:pPr>
            <w:r>
              <w:rPr>
                <w:rFonts w:hint="eastAsia" w:ascii="宋体" w:hAnsi="宋体" w:cs="宋体"/>
                <w:color w:val="auto"/>
                <w:szCs w:val="21"/>
              </w:rPr>
              <w:t>缴纳时限：签订合同前。</w:t>
            </w:r>
          </w:p>
          <w:p w14:paraId="1ABFA9DF">
            <w:pPr>
              <w:adjustRightInd w:val="0"/>
              <w:snapToGrid w:val="0"/>
              <w:spacing w:line="560" w:lineRule="exact"/>
              <w:rPr>
                <w:rFonts w:ascii="宋体" w:hAnsi="宋体" w:cs="宋体"/>
                <w:color w:val="auto"/>
                <w:szCs w:val="21"/>
              </w:rPr>
            </w:pPr>
            <w:r>
              <w:rPr>
                <w:rFonts w:hint="eastAsia" w:ascii="宋体" w:hAnsi="宋体" w:cs="宋体"/>
                <w:color w:val="auto"/>
                <w:szCs w:val="21"/>
              </w:rPr>
              <w:t>履约保证金退还时限：履约保证金有效期满7日内。</w:t>
            </w:r>
          </w:p>
          <w:p w14:paraId="31314704">
            <w:pPr>
              <w:pStyle w:val="22"/>
              <w:adjustRightInd w:val="0"/>
              <w:snapToGrid w:val="0"/>
              <w:spacing w:line="560" w:lineRule="exact"/>
              <w:ind w:left="0" w:leftChars="0" w:firstLine="0" w:firstLineChars="0"/>
              <w:rPr>
                <w:rFonts w:ascii="宋体" w:hAnsi="宋体" w:cs="宋体"/>
                <w:color w:val="auto"/>
                <w:position w:val="6"/>
                <w:szCs w:val="21"/>
              </w:rPr>
            </w:pPr>
            <w:r>
              <w:rPr>
                <w:rFonts w:hint="eastAsia" w:ascii="宋体" w:hAnsi="宋体" w:cs="宋体"/>
                <w:color w:val="auto"/>
                <w:position w:val="6"/>
                <w:szCs w:val="21"/>
              </w:rPr>
              <w:t>其他相关要求：</w:t>
            </w:r>
          </w:p>
          <w:p w14:paraId="1CC4A8F5">
            <w:pPr>
              <w:pStyle w:val="22"/>
              <w:adjustRightInd w:val="0"/>
              <w:snapToGrid w:val="0"/>
              <w:spacing w:line="560" w:lineRule="exact"/>
              <w:ind w:left="0" w:leftChars="0" w:firstLine="0" w:firstLineChars="0"/>
              <w:rPr>
                <w:rFonts w:ascii="宋体" w:hAnsi="宋体" w:cs="宋体"/>
                <w:color w:val="auto"/>
                <w:position w:val="6"/>
                <w:szCs w:val="21"/>
              </w:rPr>
            </w:pPr>
            <w:r>
              <w:rPr>
                <w:rFonts w:hint="eastAsia" w:ascii="宋体" w:hAnsi="宋体" w:cs="宋体"/>
                <w:color w:val="auto"/>
                <w:position w:val="6"/>
                <w:szCs w:val="21"/>
              </w:rPr>
              <w:t>1.具体要求：满足招标人要求；</w:t>
            </w:r>
          </w:p>
          <w:p w14:paraId="5FEAAF1F">
            <w:pPr>
              <w:pStyle w:val="22"/>
              <w:adjustRightInd w:val="0"/>
              <w:snapToGrid w:val="0"/>
              <w:spacing w:line="560" w:lineRule="exact"/>
              <w:ind w:left="0" w:leftChars="0" w:firstLine="0" w:firstLineChars="0"/>
              <w:rPr>
                <w:rFonts w:ascii="宋体" w:hAnsi="宋体" w:cs="宋体"/>
                <w:color w:val="auto"/>
                <w:szCs w:val="21"/>
              </w:rPr>
            </w:pPr>
            <w:r>
              <w:rPr>
                <w:rFonts w:hint="eastAsia" w:ascii="宋体" w:hAnsi="宋体" w:cs="宋体"/>
                <w:color w:val="auto"/>
                <w:position w:val="6"/>
                <w:szCs w:val="21"/>
              </w:rPr>
              <w:t>2.联合体参加投标且中标的，以联合体牵头人的名义按上述要求缴纳履约担保。</w:t>
            </w:r>
          </w:p>
        </w:tc>
      </w:tr>
      <w:tr w14:paraId="7D0DAC78">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519B300C">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7.9</w:t>
            </w:r>
          </w:p>
        </w:tc>
        <w:tc>
          <w:tcPr>
            <w:tcW w:w="2160" w:type="dxa"/>
            <w:tcBorders>
              <w:top w:val="single" w:color="auto" w:sz="4" w:space="0"/>
              <w:left w:val="single" w:color="auto" w:sz="4" w:space="0"/>
              <w:bottom w:val="single" w:color="auto" w:sz="4" w:space="0"/>
              <w:right w:val="single" w:color="auto" w:sz="4" w:space="0"/>
            </w:tcBorders>
            <w:vAlign w:val="center"/>
          </w:tcPr>
          <w:p w14:paraId="364CDA3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签订合同</w:t>
            </w:r>
          </w:p>
        </w:tc>
        <w:tc>
          <w:tcPr>
            <w:tcW w:w="7305" w:type="dxa"/>
            <w:tcBorders>
              <w:top w:val="single" w:color="auto" w:sz="4" w:space="0"/>
              <w:left w:val="single" w:color="auto" w:sz="4" w:space="0"/>
              <w:bottom w:val="single" w:color="auto" w:sz="4" w:space="0"/>
              <w:right w:val="single" w:color="auto" w:sz="4" w:space="0"/>
            </w:tcBorders>
          </w:tcPr>
          <w:p w14:paraId="7BAC513A">
            <w:pPr>
              <w:adjustRightInd w:val="0"/>
              <w:snapToGrid w:val="0"/>
              <w:spacing w:line="560" w:lineRule="exact"/>
              <w:rPr>
                <w:rFonts w:ascii="宋体" w:hAnsi="宋体" w:cs="宋体"/>
                <w:color w:val="auto"/>
                <w:szCs w:val="21"/>
              </w:rPr>
            </w:pPr>
            <w:r>
              <w:rPr>
                <w:rFonts w:hint="eastAsia" w:ascii="宋体" w:hAnsi="宋体" w:cs="宋体"/>
                <w:color w:val="auto"/>
                <w:szCs w:val="21"/>
              </w:rPr>
              <w:t>中标通知书发出之日起</w:t>
            </w:r>
            <w:r>
              <w:rPr>
                <w:rFonts w:hint="eastAsia" w:ascii="宋体" w:hAnsi="宋体" w:cs="宋体"/>
                <w:color w:val="auto"/>
                <w:szCs w:val="21"/>
                <w:u w:val="single"/>
              </w:rPr>
              <w:t xml:space="preserve">3 </w:t>
            </w:r>
            <w:r>
              <w:rPr>
                <w:rFonts w:hint="eastAsia" w:ascii="宋体" w:hAnsi="宋体" w:cs="宋体"/>
                <w:color w:val="auto"/>
                <w:szCs w:val="21"/>
              </w:rPr>
              <w:t>日内，应委派代表与招标人联系并商讨书面合同签订事宜。中标人和招标人应在投标有效期内以及中标通知书发出之日起30日内，根据招标文件和中标人的投标文件订立书面合同。</w:t>
            </w:r>
          </w:p>
        </w:tc>
      </w:tr>
      <w:tr w14:paraId="1D244ACC">
        <w:tblPrEx>
          <w:tblCellMar>
            <w:top w:w="0" w:type="dxa"/>
            <w:left w:w="108" w:type="dxa"/>
            <w:bottom w:w="0" w:type="dxa"/>
            <w:right w:w="108" w:type="dxa"/>
          </w:tblCellMar>
        </w:tblPrEx>
        <w:trPr>
          <w:trHeight w:val="90" w:hRule="atLeast"/>
          <w:jc w:val="center"/>
        </w:trPr>
        <w:tc>
          <w:tcPr>
            <w:tcW w:w="10435" w:type="dxa"/>
            <w:gridSpan w:val="3"/>
            <w:tcBorders>
              <w:top w:val="single" w:color="auto" w:sz="4" w:space="0"/>
              <w:left w:val="single" w:color="auto" w:sz="4" w:space="0"/>
              <w:bottom w:val="single" w:color="auto" w:sz="4" w:space="0"/>
              <w:right w:val="single" w:color="auto" w:sz="4" w:space="0"/>
            </w:tcBorders>
            <w:vAlign w:val="center"/>
          </w:tcPr>
          <w:p w14:paraId="7BD8EF1A">
            <w:pPr>
              <w:adjustRightInd w:val="0"/>
              <w:snapToGrid w:val="0"/>
              <w:spacing w:line="560" w:lineRule="exact"/>
              <w:jc w:val="left"/>
              <w:rPr>
                <w:rFonts w:ascii="宋体" w:hAnsi="宋体" w:cs="宋体"/>
                <w:color w:val="auto"/>
                <w:szCs w:val="21"/>
              </w:rPr>
            </w:pPr>
            <w:r>
              <w:rPr>
                <w:rFonts w:hint="eastAsia" w:ascii="宋体" w:hAnsi="宋体" w:cs="宋体"/>
                <w:color w:val="auto"/>
                <w:szCs w:val="21"/>
              </w:rPr>
              <w:t>10.需要补充的其他内容</w:t>
            </w:r>
          </w:p>
        </w:tc>
      </w:tr>
      <w:tr w14:paraId="0DCFABC5">
        <w:tblPrEx>
          <w:tblCellMar>
            <w:top w:w="0" w:type="dxa"/>
            <w:left w:w="108" w:type="dxa"/>
            <w:bottom w:w="0" w:type="dxa"/>
            <w:right w:w="108" w:type="dxa"/>
          </w:tblCellMar>
        </w:tblPrEx>
        <w:trPr>
          <w:trHeight w:val="90" w:hRule="atLeast"/>
          <w:jc w:val="center"/>
        </w:trPr>
        <w:tc>
          <w:tcPr>
            <w:tcW w:w="10435" w:type="dxa"/>
            <w:gridSpan w:val="3"/>
            <w:tcBorders>
              <w:top w:val="single" w:color="auto" w:sz="4" w:space="0"/>
              <w:left w:val="single" w:color="auto" w:sz="4" w:space="0"/>
              <w:bottom w:val="single" w:color="auto" w:sz="4" w:space="0"/>
              <w:right w:val="single" w:color="auto" w:sz="4" w:space="0"/>
            </w:tcBorders>
            <w:vAlign w:val="center"/>
          </w:tcPr>
          <w:p w14:paraId="60514587">
            <w:pPr>
              <w:adjustRightInd w:val="0"/>
              <w:snapToGrid w:val="0"/>
              <w:spacing w:line="560" w:lineRule="exact"/>
              <w:jc w:val="left"/>
              <w:rPr>
                <w:rFonts w:ascii="宋体" w:hAnsi="宋体" w:cs="宋体"/>
                <w:color w:val="auto"/>
                <w:szCs w:val="21"/>
              </w:rPr>
            </w:pPr>
            <w:r>
              <w:rPr>
                <w:rFonts w:hint="eastAsia" w:ascii="宋体" w:hAnsi="宋体" w:cs="宋体"/>
                <w:color w:val="auto"/>
                <w:szCs w:val="21"/>
              </w:rPr>
              <w:t>10.1招标代理服务费和专家评审劳务费</w:t>
            </w:r>
          </w:p>
        </w:tc>
      </w:tr>
      <w:tr w14:paraId="6FA64CAE">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4E98F2F9">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10.1.1</w:t>
            </w:r>
          </w:p>
        </w:tc>
        <w:tc>
          <w:tcPr>
            <w:tcW w:w="2160" w:type="dxa"/>
            <w:tcBorders>
              <w:top w:val="single" w:color="auto" w:sz="4" w:space="0"/>
              <w:left w:val="single" w:color="auto" w:sz="4" w:space="0"/>
              <w:bottom w:val="single" w:color="auto" w:sz="4" w:space="0"/>
              <w:right w:val="single" w:color="auto" w:sz="4" w:space="0"/>
            </w:tcBorders>
            <w:vAlign w:val="center"/>
          </w:tcPr>
          <w:p w14:paraId="0489A795">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招标代理服务费</w:t>
            </w:r>
          </w:p>
        </w:tc>
        <w:tc>
          <w:tcPr>
            <w:tcW w:w="7305" w:type="dxa"/>
            <w:tcBorders>
              <w:top w:val="single" w:color="auto" w:sz="4" w:space="0"/>
              <w:left w:val="single" w:color="auto" w:sz="4" w:space="0"/>
              <w:bottom w:val="single" w:color="auto" w:sz="4" w:space="0"/>
              <w:right w:val="single" w:color="auto" w:sz="4" w:space="0"/>
            </w:tcBorders>
            <w:vAlign w:val="center"/>
          </w:tcPr>
          <w:p w14:paraId="55E8B74F">
            <w:pPr>
              <w:adjustRightInd w:val="0"/>
              <w:snapToGrid w:val="0"/>
              <w:spacing w:line="560" w:lineRule="exact"/>
              <w:rPr>
                <w:rFonts w:ascii="宋体" w:hAnsi="宋体" w:cs="宋体"/>
                <w:color w:val="auto"/>
                <w:kern w:val="0"/>
                <w:szCs w:val="21"/>
              </w:rPr>
            </w:pPr>
            <w:r>
              <w:rPr>
                <w:rFonts w:hint="eastAsia" w:ascii="宋体" w:hAnsi="宋体" w:cs="宋体"/>
                <w:color w:val="auto"/>
                <w:szCs w:val="21"/>
              </w:rPr>
              <w:t>代理服务费具体金额：</w:t>
            </w:r>
            <w:r>
              <w:rPr>
                <w:rFonts w:hint="eastAsia" w:ascii="宋体" w:hAnsi="宋体" w:cs="宋体"/>
                <w:color w:val="auto"/>
                <w:kern w:val="0"/>
                <w:szCs w:val="21"/>
                <w:u w:val="single"/>
                <w:lang w:val="en-US" w:eastAsia="zh-CN"/>
              </w:rPr>
              <w:t>42700</w:t>
            </w:r>
            <w:r>
              <w:rPr>
                <w:rFonts w:hint="eastAsia" w:ascii="宋体" w:hAnsi="宋体" w:cs="宋体"/>
                <w:color w:val="auto"/>
                <w:kern w:val="0"/>
                <w:szCs w:val="21"/>
                <w:u w:val="single"/>
              </w:rPr>
              <w:t>元</w:t>
            </w:r>
            <w:r>
              <w:rPr>
                <w:rFonts w:hint="eastAsia" w:ascii="宋体" w:hAnsi="宋体" w:cs="宋体"/>
                <w:color w:val="auto"/>
                <w:kern w:val="0"/>
                <w:szCs w:val="21"/>
                <w:u w:val="single"/>
                <w:lang w:eastAsia="zh-CN"/>
              </w:rPr>
              <w:t>（参考计价格[2002]1980号文件77%）</w:t>
            </w:r>
            <w:r>
              <w:rPr>
                <w:rFonts w:hint="eastAsia" w:ascii="宋体" w:hAnsi="宋体" w:cs="宋体"/>
                <w:color w:val="auto"/>
                <w:kern w:val="0"/>
                <w:szCs w:val="21"/>
                <w:u w:val="single"/>
              </w:rPr>
              <w:t>。本项目因故未将此费用列入最高投标限价中，此项费用由中标人支付，投标人投标报价时充分考虑并谨慎报价</w:t>
            </w:r>
            <w:r>
              <w:rPr>
                <w:rFonts w:hint="eastAsia" w:ascii="宋体" w:hAnsi="宋体" w:cs="宋体"/>
                <w:color w:val="auto"/>
                <w:kern w:val="0"/>
                <w:szCs w:val="21"/>
              </w:rPr>
              <w:t>。</w:t>
            </w:r>
          </w:p>
          <w:p w14:paraId="34148950">
            <w:pPr>
              <w:adjustRightInd w:val="0"/>
              <w:snapToGrid w:val="0"/>
              <w:spacing w:line="560" w:lineRule="exact"/>
              <w:rPr>
                <w:rFonts w:hint="eastAsia" w:ascii="宋体" w:hAnsi="宋体" w:eastAsia="宋体" w:cs="宋体"/>
                <w:color w:val="auto"/>
                <w:kern w:val="0"/>
                <w:szCs w:val="21"/>
                <w:u w:val="single"/>
                <w:lang w:eastAsia="zh-CN"/>
              </w:rPr>
            </w:pPr>
            <w:r>
              <w:rPr>
                <w:rFonts w:hint="eastAsia" w:ascii="宋体" w:hAnsi="宋体" w:cs="宋体"/>
                <w:color w:val="auto"/>
                <w:kern w:val="0"/>
                <w:szCs w:val="21"/>
              </w:rPr>
              <w:t>代理服务费支付主体</w:t>
            </w:r>
            <w:r>
              <w:rPr>
                <w:rFonts w:hint="eastAsia" w:ascii="宋体" w:hAnsi="宋体" w:cs="宋体"/>
                <w:color w:val="auto"/>
                <w:szCs w:val="21"/>
              </w:rPr>
              <w:t>：</w:t>
            </w:r>
            <w:r>
              <w:rPr>
                <w:rFonts w:hint="eastAsia" w:ascii="宋体" w:hAnsi="宋体" w:cs="宋体"/>
                <w:color w:val="auto"/>
                <w:szCs w:val="21"/>
                <w:u w:val="single"/>
                <w:lang w:val="en-US" w:eastAsia="zh-CN"/>
              </w:rPr>
              <w:t>该项目费用由中标人在领取中标通知书前一次性缴纳至代理机构。</w:t>
            </w:r>
          </w:p>
        </w:tc>
      </w:tr>
      <w:tr w14:paraId="691FAE50">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6C9251AC">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10.1.2</w:t>
            </w:r>
          </w:p>
        </w:tc>
        <w:tc>
          <w:tcPr>
            <w:tcW w:w="2160" w:type="dxa"/>
            <w:tcBorders>
              <w:top w:val="single" w:color="auto" w:sz="4" w:space="0"/>
              <w:left w:val="single" w:color="auto" w:sz="4" w:space="0"/>
              <w:bottom w:val="single" w:color="auto" w:sz="4" w:space="0"/>
              <w:right w:val="single" w:color="auto" w:sz="4" w:space="0"/>
            </w:tcBorders>
            <w:vAlign w:val="center"/>
          </w:tcPr>
          <w:p w14:paraId="36BC423E">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专家评审劳务费</w:t>
            </w:r>
          </w:p>
        </w:tc>
        <w:tc>
          <w:tcPr>
            <w:tcW w:w="7305" w:type="dxa"/>
            <w:tcBorders>
              <w:top w:val="single" w:color="auto" w:sz="4" w:space="0"/>
              <w:left w:val="single" w:color="auto" w:sz="4" w:space="0"/>
              <w:bottom w:val="single" w:color="auto" w:sz="4" w:space="0"/>
              <w:right w:val="single" w:color="auto" w:sz="4" w:space="0"/>
            </w:tcBorders>
            <w:vAlign w:val="center"/>
          </w:tcPr>
          <w:p w14:paraId="6341C7EA">
            <w:pPr>
              <w:adjustRightInd w:val="0"/>
              <w:snapToGrid w:val="0"/>
              <w:spacing w:line="560" w:lineRule="exact"/>
              <w:rPr>
                <w:rFonts w:ascii="宋体" w:hAnsi="宋体" w:cs="宋体"/>
                <w:color w:val="auto"/>
                <w:kern w:val="0"/>
                <w:szCs w:val="21"/>
                <w:u w:val="single"/>
              </w:rPr>
            </w:pPr>
            <w:r>
              <w:rPr>
                <w:rFonts w:hint="eastAsia" w:ascii="宋体" w:hAnsi="宋体" w:cs="宋体"/>
                <w:color w:val="auto"/>
                <w:szCs w:val="21"/>
              </w:rPr>
              <w:t>费用或支付标准：</w:t>
            </w:r>
            <w:r>
              <w:rPr>
                <w:rFonts w:hint="eastAsia" w:ascii="宋体" w:hAnsi="宋体" w:cs="宋体"/>
                <w:color w:val="auto"/>
                <w:kern w:val="0"/>
                <w:szCs w:val="21"/>
                <w:u w:val="single"/>
              </w:rPr>
              <w:t>按照《滁州市评标专家评标评审劳务费标准》（滁公管【2017】34号）计算，具体以实际发生费用为准</w:t>
            </w:r>
          </w:p>
          <w:p w14:paraId="6FAA4626">
            <w:pPr>
              <w:pStyle w:val="22"/>
              <w:spacing w:line="560" w:lineRule="exact"/>
              <w:ind w:left="0" w:leftChars="0" w:firstLine="0" w:firstLineChars="0"/>
              <w:rPr>
                <w:rFonts w:ascii="宋体" w:hAnsi="宋体" w:cs="宋体"/>
                <w:color w:val="auto"/>
                <w:szCs w:val="21"/>
              </w:rPr>
            </w:pPr>
            <w:r>
              <w:rPr>
                <w:rFonts w:hint="eastAsia" w:ascii="宋体" w:hAnsi="宋体" w:cs="宋体"/>
                <w:color w:val="auto"/>
                <w:szCs w:val="21"/>
              </w:rPr>
              <w:t>支付主体：代理机构</w:t>
            </w:r>
          </w:p>
        </w:tc>
      </w:tr>
      <w:tr w14:paraId="144BC47B">
        <w:tblPrEx>
          <w:tblCellMar>
            <w:top w:w="0" w:type="dxa"/>
            <w:left w:w="108" w:type="dxa"/>
            <w:bottom w:w="0" w:type="dxa"/>
            <w:right w:w="108" w:type="dxa"/>
          </w:tblCellMar>
        </w:tblPrEx>
        <w:trPr>
          <w:trHeight w:val="90" w:hRule="atLeast"/>
          <w:jc w:val="center"/>
        </w:trPr>
        <w:tc>
          <w:tcPr>
            <w:tcW w:w="10435" w:type="dxa"/>
            <w:gridSpan w:val="3"/>
            <w:tcBorders>
              <w:top w:val="single" w:color="auto" w:sz="4" w:space="0"/>
              <w:left w:val="single" w:color="auto" w:sz="4" w:space="0"/>
              <w:bottom w:val="single" w:color="auto" w:sz="4" w:space="0"/>
              <w:right w:val="single" w:color="auto" w:sz="4" w:space="0"/>
            </w:tcBorders>
            <w:vAlign w:val="center"/>
          </w:tcPr>
          <w:p w14:paraId="7729B4EB">
            <w:pPr>
              <w:adjustRightInd w:val="0"/>
              <w:snapToGrid w:val="0"/>
              <w:spacing w:line="560" w:lineRule="exact"/>
              <w:rPr>
                <w:rFonts w:ascii="宋体" w:hAnsi="宋体" w:cs="宋体"/>
                <w:bCs/>
                <w:snapToGrid w:val="0"/>
                <w:color w:val="auto"/>
                <w:kern w:val="0"/>
                <w:szCs w:val="21"/>
              </w:rPr>
            </w:pPr>
            <w:r>
              <w:rPr>
                <w:rFonts w:hint="eastAsia" w:ascii="宋体" w:hAnsi="宋体" w:cs="宋体"/>
                <w:color w:val="auto"/>
                <w:szCs w:val="21"/>
              </w:rPr>
              <w:t>10.2 招标文件获取与通知</w:t>
            </w:r>
          </w:p>
        </w:tc>
      </w:tr>
      <w:tr w14:paraId="27ECAB6A">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58865ECD">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10.2.1</w:t>
            </w:r>
          </w:p>
        </w:tc>
        <w:tc>
          <w:tcPr>
            <w:tcW w:w="2160" w:type="dxa"/>
            <w:tcBorders>
              <w:top w:val="single" w:color="auto" w:sz="4" w:space="0"/>
              <w:left w:val="single" w:color="auto" w:sz="4" w:space="0"/>
              <w:bottom w:val="single" w:color="auto" w:sz="4" w:space="0"/>
              <w:right w:val="single" w:color="auto" w:sz="4" w:space="0"/>
            </w:tcBorders>
            <w:vAlign w:val="center"/>
          </w:tcPr>
          <w:p w14:paraId="6674062F">
            <w:pPr>
              <w:adjustRightInd w:val="0"/>
              <w:snapToGrid w:val="0"/>
              <w:spacing w:line="560" w:lineRule="exact"/>
              <w:jc w:val="center"/>
              <w:rPr>
                <w:rFonts w:ascii="宋体" w:hAnsi="宋体" w:cs="宋体"/>
                <w:bCs/>
                <w:snapToGrid w:val="0"/>
                <w:color w:val="auto"/>
                <w:kern w:val="0"/>
                <w:szCs w:val="21"/>
              </w:rPr>
            </w:pPr>
            <w:r>
              <w:rPr>
                <w:rFonts w:hint="eastAsia" w:ascii="宋体" w:hAnsi="宋体" w:cs="宋体"/>
                <w:bCs/>
                <w:snapToGrid w:val="0"/>
                <w:color w:val="auto"/>
                <w:kern w:val="0"/>
                <w:szCs w:val="21"/>
              </w:rPr>
              <w:t>电子招投标</w:t>
            </w:r>
          </w:p>
        </w:tc>
        <w:tc>
          <w:tcPr>
            <w:tcW w:w="7305" w:type="dxa"/>
            <w:tcBorders>
              <w:top w:val="single" w:color="auto" w:sz="4" w:space="0"/>
              <w:left w:val="single" w:color="auto" w:sz="4" w:space="0"/>
              <w:bottom w:val="single" w:color="auto" w:sz="4" w:space="0"/>
              <w:right w:val="single" w:color="auto" w:sz="4" w:space="0"/>
            </w:tcBorders>
            <w:vAlign w:val="center"/>
          </w:tcPr>
          <w:p w14:paraId="4207AE9F">
            <w:pPr>
              <w:adjustRightInd w:val="0"/>
              <w:snapToGrid w:val="0"/>
              <w:spacing w:line="560" w:lineRule="exact"/>
              <w:rPr>
                <w:rFonts w:ascii="宋体" w:hAnsi="宋体" w:cs="宋体"/>
                <w:color w:val="auto"/>
                <w:szCs w:val="21"/>
              </w:rPr>
            </w:pPr>
            <w:r>
              <w:rPr>
                <w:rFonts w:hint="eastAsia" w:ascii="宋体" w:hAnsi="宋体" w:cs="宋体"/>
                <w:bCs/>
                <w:snapToGrid w:val="0"/>
                <w:color w:val="auto"/>
                <w:kern w:val="0"/>
                <w:szCs w:val="21"/>
              </w:rPr>
              <w:t>本项目采用电子招标投标方式。</w:t>
            </w:r>
          </w:p>
        </w:tc>
      </w:tr>
      <w:tr w14:paraId="42B55E68">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7FD9B577">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10.2.2</w:t>
            </w:r>
          </w:p>
        </w:tc>
        <w:tc>
          <w:tcPr>
            <w:tcW w:w="2160" w:type="dxa"/>
            <w:tcBorders>
              <w:top w:val="single" w:color="auto" w:sz="4" w:space="0"/>
              <w:left w:val="single" w:color="auto" w:sz="4" w:space="0"/>
              <w:bottom w:val="single" w:color="auto" w:sz="4" w:space="0"/>
              <w:right w:val="single" w:color="auto" w:sz="4" w:space="0"/>
            </w:tcBorders>
            <w:vAlign w:val="center"/>
          </w:tcPr>
          <w:p w14:paraId="423C74E1">
            <w:pPr>
              <w:adjustRightInd w:val="0"/>
              <w:snapToGrid w:val="0"/>
              <w:spacing w:line="560" w:lineRule="exact"/>
              <w:jc w:val="center"/>
              <w:rPr>
                <w:rFonts w:ascii="宋体" w:hAnsi="宋体" w:cs="宋体"/>
                <w:color w:val="auto"/>
                <w:szCs w:val="21"/>
              </w:rPr>
            </w:pPr>
            <w:r>
              <w:rPr>
                <w:rFonts w:hint="eastAsia" w:ascii="宋体" w:hAnsi="宋体" w:cs="宋体"/>
                <w:bCs/>
                <w:snapToGrid w:val="0"/>
                <w:color w:val="auto"/>
                <w:kern w:val="0"/>
                <w:szCs w:val="21"/>
              </w:rPr>
              <w:t>图纸获取说明</w:t>
            </w:r>
          </w:p>
        </w:tc>
        <w:tc>
          <w:tcPr>
            <w:tcW w:w="7305" w:type="dxa"/>
            <w:tcBorders>
              <w:top w:val="single" w:color="auto" w:sz="4" w:space="0"/>
              <w:left w:val="single" w:color="auto" w:sz="4" w:space="0"/>
              <w:bottom w:val="single" w:color="auto" w:sz="4" w:space="0"/>
              <w:right w:val="single" w:color="auto" w:sz="4" w:space="0"/>
            </w:tcBorders>
            <w:vAlign w:val="center"/>
          </w:tcPr>
          <w:p w14:paraId="4854EAE3">
            <w:pPr>
              <w:adjustRightInd w:val="0"/>
              <w:snapToGrid w:val="0"/>
              <w:spacing w:line="560" w:lineRule="exact"/>
              <w:rPr>
                <w:rFonts w:ascii="宋体" w:hAnsi="宋体" w:cs="宋体"/>
                <w:color w:val="auto"/>
                <w:szCs w:val="21"/>
              </w:rPr>
            </w:pPr>
            <w:r>
              <w:rPr>
                <w:rFonts w:hint="eastAsia" w:ascii="宋体" w:hAnsi="宋体" w:cs="宋体"/>
                <w:bCs/>
                <w:snapToGrid w:val="0"/>
                <w:color w:val="auto"/>
                <w:kern w:val="0"/>
                <w:szCs w:val="21"/>
              </w:rPr>
              <w:t>通过</w:t>
            </w:r>
            <w:r>
              <w:rPr>
                <w:rFonts w:hint="eastAsia" w:ascii="宋体" w:hAnsi="宋体" w:cs="宋体"/>
                <w:bCs/>
                <w:snapToGrid w:val="0"/>
                <w:color w:val="auto"/>
                <w:kern w:val="0"/>
                <w:szCs w:val="21"/>
                <w:u w:val="single"/>
              </w:rPr>
              <w:t>滁州市公共资源交易中心网站</w:t>
            </w:r>
            <w:r>
              <w:rPr>
                <w:rFonts w:hint="eastAsia" w:ascii="宋体" w:hAnsi="宋体" w:cs="宋体"/>
                <w:bCs/>
                <w:snapToGrid w:val="0"/>
                <w:color w:val="auto"/>
                <w:kern w:val="0"/>
                <w:szCs w:val="21"/>
              </w:rPr>
              <w:t>发布，投标人应自行下载。投标人应当及时登录</w:t>
            </w:r>
            <w:r>
              <w:rPr>
                <w:rFonts w:hint="eastAsia" w:ascii="宋体" w:hAnsi="宋体" w:cs="宋体"/>
                <w:bCs/>
                <w:snapToGrid w:val="0"/>
                <w:color w:val="auto"/>
                <w:kern w:val="0"/>
                <w:szCs w:val="21"/>
                <w:u w:val="single"/>
              </w:rPr>
              <w:t>滁州市公共资源交易中心交易</w:t>
            </w:r>
            <w:r>
              <w:rPr>
                <w:rFonts w:hint="eastAsia" w:ascii="宋体" w:hAnsi="宋体" w:cs="宋体"/>
                <w:bCs/>
                <w:snapToGrid w:val="0"/>
                <w:color w:val="auto"/>
                <w:kern w:val="0"/>
                <w:szCs w:val="21"/>
              </w:rPr>
              <w:t>系统查看。</w:t>
            </w:r>
          </w:p>
        </w:tc>
      </w:tr>
      <w:tr w14:paraId="7791107D">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1484C609">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10.2.3</w:t>
            </w:r>
          </w:p>
        </w:tc>
        <w:tc>
          <w:tcPr>
            <w:tcW w:w="2160" w:type="dxa"/>
            <w:tcBorders>
              <w:top w:val="single" w:color="auto" w:sz="4" w:space="0"/>
              <w:left w:val="single" w:color="auto" w:sz="4" w:space="0"/>
              <w:bottom w:val="single" w:color="auto" w:sz="4" w:space="0"/>
              <w:right w:val="single" w:color="auto" w:sz="4" w:space="0"/>
            </w:tcBorders>
            <w:vAlign w:val="center"/>
          </w:tcPr>
          <w:p w14:paraId="4D30F21C">
            <w:pPr>
              <w:adjustRightInd w:val="0"/>
              <w:snapToGrid w:val="0"/>
              <w:spacing w:line="560" w:lineRule="exact"/>
              <w:jc w:val="center"/>
              <w:rPr>
                <w:rFonts w:ascii="宋体" w:hAnsi="宋体" w:cs="宋体"/>
                <w:color w:val="auto"/>
                <w:szCs w:val="21"/>
              </w:rPr>
            </w:pPr>
            <w:r>
              <w:rPr>
                <w:rFonts w:hint="eastAsia" w:ascii="宋体" w:hAnsi="宋体" w:cs="宋体"/>
                <w:bCs/>
                <w:snapToGrid w:val="0"/>
                <w:color w:val="auto"/>
                <w:kern w:val="0"/>
                <w:szCs w:val="21"/>
              </w:rPr>
              <w:t>获取与查看通知</w:t>
            </w:r>
          </w:p>
        </w:tc>
        <w:tc>
          <w:tcPr>
            <w:tcW w:w="7305" w:type="dxa"/>
            <w:tcBorders>
              <w:top w:val="single" w:color="auto" w:sz="4" w:space="0"/>
              <w:left w:val="single" w:color="auto" w:sz="4" w:space="0"/>
              <w:bottom w:val="single" w:color="auto" w:sz="4" w:space="0"/>
              <w:right w:val="single" w:color="auto" w:sz="4" w:space="0"/>
            </w:tcBorders>
            <w:vAlign w:val="center"/>
          </w:tcPr>
          <w:p w14:paraId="45519D37">
            <w:pPr>
              <w:adjustRightInd w:val="0"/>
              <w:snapToGrid w:val="0"/>
              <w:spacing w:line="560" w:lineRule="exact"/>
              <w:rPr>
                <w:rFonts w:ascii="宋体" w:hAnsi="宋体" w:cs="宋体"/>
                <w:color w:val="auto"/>
                <w:szCs w:val="21"/>
              </w:rPr>
            </w:pPr>
            <w:r>
              <w:rPr>
                <w:rFonts w:hint="eastAsia" w:ascii="宋体" w:hAnsi="宋体" w:cs="宋体"/>
                <w:bCs/>
                <w:snapToGrid w:val="0"/>
                <w:color w:val="auto"/>
                <w:kern w:val="0"/>
                <w:szCs w:val="21"/>
              </w:rPr>
              <w:t>本项目的招标文件、工程量清单、最高投标限价、澄清及修改等相关资料均通过</w:t>
            </w:r>
            <w:r>
              <w:rPr>
                <w:rFonts w:hint="eastAsia" w:ascii="宋体" w:hAnsi="宋体" w:cs="宋体"/>
                <w:bCs/>
                <w:snapToGrid w:val="0"/>
                <w:color w:val="auto"/>
                <w:kern w:val="0"/>
                <w:szCs w:val="21"/>
                <w:u w:val="single"/>
              </w:rPr>
              <w:t>滁州市公共资源交易中心网站</w:t>
            </w:r>
            <w:r>
              <w:rPr>
                <w:rFonts w:hint="eastAsia" w:ascii="宋体" w:hAnsi="宋体" w:cs="宋体"/>
                <w:bCs/>
                <w:snapToGrid w:val="0"/>
                <w:color w:val="auto"/>
                <w:kern w:val="0"/>
                <w:szCs w:val="21"/>
              </w:rPr>
              <w:t>发布，投标人应自行下载。投标人应当及时登录</w:t>
            </w:r>
            <w:r>
              <w:rPr>
                <w:rFonts w:hint="eastAsia" w:ascii="宋体" w:hAnsi="宋体" w:cs="宋体"/>
                <w:bCs/>
                <w:snapToGrid w:val="0"/>
                <w:color w:val="auto"/>
                <w:kern w:val="0"/>
                <w:szCs w:val="21"/>
                <w:u w:val="single"/>
              </w:rPr>
              <w:t>滁州市公共资源交易中心交易</w:t>
            </w:r>
            <w:r>
              <w:rPr>
                <w:rFonts w:hint="eastAsia" w:ascii="宋体" w:hAnsi="宋体" w:cs="宋体"/>
                <w:bCs/>
                <w:snapToGrid w:val="0"/>
                <w:color w:val="auto"/>
                <w:kern w:val="0"/>
                <w:szCs w:val="21"/>
              </w:rPr>
              <w:t>系统查看。</w:t>
            </w:r>
          </w:p>
        </w:tc>
      </w:tr>
      <w:tr w14:paraId="70A5A3E2">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7862ACB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10.3</w:t>
            </w:r>
          </w:p>
        </w:tc>
        <w:tc>
          <w:tcPr>
            <w:tcW w:w="2160" w:type="dxa"/>
            <w:tcBorders>
              <w:top w:val="single" w:color="auto" w:sz="4" w:space="0"/>
              <w:left w:val="single" w:color="auto" w:sz="4" w:space="0"/>
              <w:bottom w:val="single" w:color="auto" w:sz="4" w:space="0"/>
              <w:right w:val="single" w:color="auto" w:sz="4" w:space="0"/>
            </w:tcBorders>
            <w:vAlign w:val="center"/>
          </w:tcPr>
          <w:p w14:paraId="13096174">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主要材料要求</w:t>
            </w:r>
          </w:p>
        </w:tc>
        <w:tc>
          <w:tcPr>
            <w:tcW w:w="7305" w:type="dxa"/>
            <w:tcBorders>
              <w:top w:val="single" w:color="auto" w:sz="4" w:space="0"/>
              <w:left w:val="single" w:color="auto" w:sz="4" w:space="0"/>
              <w:bottom w:val="single" w:color="auto" w:sz="4" w:space="0"/>
              <w:right w:val="single" w:color="auto" w:sz="4" w:space="0"/>
            </w:tcBorders>
            <w:vAlign w:val="center"/>
          </w:tcPr>
          <w:p w14:paraId="2AE372E7">
            <w:pPr>
              <w:pStyle w:val="55"/>
              <w:spacing w:line="560" w:lineRule="exact"/>
              <w:jc w:val="left"/>
              <w:rPr>
                <w:bCs/>
                <w:color w:val="auto"/>
                <w:szCs w:val="21"/>
                <w:lang w:val="en-US"/>
              </w:rPr>
            </w:pPr>
            <w:r>
              <w:rPr>
                <w:rFonts w:hint="eastAsia"/>
                <w:bCs/>
                <w:color w:val="auto"/>
                <w:szCs w:val="21"/>
                <w:lang w:val="en-US"/>
              </w:rPr>
              <w:t>主要材料由中标人自行采购</w:t>
            </w:r>
          </w:p>
          <w:p w14:paraId="628312D9">
            <w:pPr>
              <w:pStyle w:val="55"/>
              <w:spacing w:line="560" w:lineRule="exact"/>
              <w:jc w:val="left"/>
              <w:rPr>
                <w:color w:val="auto"/>
                <w:szCs w:val="21"/>
                <w:lang w:val="en-US"/>
              </w:rPr>
            </w:pPr>
            <w:r>
              <w:rPr>
                <w:rFonts w:hint="eastAsia"/>
                <w:color w:val="auto"/>
                <w:szCs w:val="21"/>
                <w:lang w:val="en-US"/>
              </w:rPr>
              <w:t>如招标人对主要材料、设备的技术性能指标有特殊要求，应在招标文件第八章“技术要求”品牌参考表中推荐不少于三个品牌。对于招标人参考品牌的材料、设备，投标人选用</w:t>
            </w:r>
            <w:r>
              <w:rPr>
                <w:rFonts w:hint="eastAsia"/>
                <w:color w:val="auto"/>
                <w:szCs w:val="21"/>
                <w:lang w:val="en-US" w:eastAsia="zh-CN"/>
              </w:rPr>
              <w:t>的产品技术性能指标应当优于或相当于</w:t>
            </w:r>
            <w:r>
              <w:rPr>
                <w:rFonts w:hint="eastAsia"/>
                <w:color w:val="auto"/>
                <w:szCs w:val="21"/>
                <w:lang w:val="en-US"/>
              </w:rPr>
              <w:t>参考品牌</w:t>
            </w:r>
            <w:r>
              <w:rPr>
                <w:rFonts w:hint="eastAsia"/>
                <w:color w:val="auto"/>
                <w:szCs w:val="21"/>
                <w:lang w:val="en-US" w:eastAsia="zh-CN"/>
              </w:rPr>
              <w:t>的</w:t>
            </w:r>
            <w:r>
              <w:rPr>
                <w:rFonts w:hint="eastAsia"/>
                <w:color w:val="auto"/>
                <w:szCs w:val="21"/>
                <w:lang w:val="en-US"/>
              </w:rPr>
              <w:t>技术性能指标；</w:t>
            </w:r>
            <w:r>
              <w:rPr>
                <w:rFonts w:hint="eastAsia"/>
                <w:b/>
                <w:bCs/>
                <w:color w:val="auto"/>
                <w:szCs w:val="21"/>
                <w:highlight w:val="none"/>
                <w:lang w:val="en-US"/>
              </w:rPr>
              <w:t>投标人必须在报价文件《招标人参考的材料品牌响应表》中明确其品牌，</w:t>
            </w:r>
            <w:r>
              <w:rPr>
                <w:rFonts w:hint="eastAsia"/>
                <w:color w:val="auto"/>
                <w:szCs w:val="21"/>
                <w:lang w:val="en-US"/>
              </w:rPr>
              <w:t>采用其他品牌的应在报价文件《招标人参考的材料品牌响应表》中注明并提供相关技术性能指标</w:t>
            </w:r>
            <w:r>
              <w:rPr>
                <w:rFonts w:hint="eastAsia"/>
                <w:b/>
                <w:bCs/>
                <w:color w:val="auto"/>
                <w:szCs w:val="21"/>
                <w:lang w:val="en-US" w:eastAsia="zh-CN"/>
              </w:rPr>
              <w:t>（通过下列证明材料体现，如检测报告、技术说明、用户证明等)</w:t>
            </w:r>
            <w:r>
              <w:rPr>
                <w:rFonts w:hint="eastAsia"/>
                <w:color w:val="auto"/>
                <w:szCs w:val="21"/>
                <w:lang w:val="en-US"/>
              </w:rPr>
              <w:t>等供评标委员会评审，经评标委员会评审未通过的，中标后只能从招标人提供参考品牌中进行选择，合同价格不予调整。</w:t>
            </w:r>
          </w:p>
          <w:p w14:paraId="499457D8">
            <w:pPr>
              <w:pStyle w:val="55"/>
              <w:spacing w:line="560" w:lineRule="exact"/>
              <w:jc w:val="left"/>
              <w:rPr>
                <w:b/>
                <w:bCs/>
                <w:color w:val="auto"/>
                <w:szCs w:val="21"/>
                <w:lang w:val="en-US"/>
              </w:rPr>
            </w:pPr>
            <w:r>
              <w:rPr>
                <w:rFonts w:hint="eastAsia"/>
                <w:b/>
                <w:bCs/>
                <w:color w:val="auto"/>
                <w:szCs w:val="21"/>
                <w:lang w:val="en-US"/>
              </w:rPr>
              <w:t>☑本工程采用商品砼。</w:t>
            </w:r>
          </w:p>
          <w:p w14:paraId="1D5E5D29">
            <w:pPr>
              <w:pStyle w:val="55"/>
              <w:spacing w:line="560" w:lineRule="exact"/>
              <w:jc w:val="left"/>
              <w:rPr>
                <w:b/>
                <w:bCs/>
                <w:color w:val="auto"/>
                <w:szCs w:val="21"/>
                <w:lang w:val="en-US"/>
              </w:rPr>
            </w:pPr>
            <w:r>
              <w:rPr>
                <w:rFonts w:hint="eastAsia"/>
                <w:b/>
                <w:bCs/>
                <w:color w:val="auto"/>
                <w:szCs w:val="21"/>
                <w:lang w:val="en-US"/>
              </w:rPr>
              <w:t>☑本项目采用预拌砂浆。</w:t>
            </w:r>
          </w:p>
          <w:p w14:paraId="383A5038">
            <w:pPr>
              <w:pStyle w:val="55"/>
              <w:adjustRightInd w:val="0"/>
              <w:snapToGrid w:val="0"/>
              <w:spacing w:line="560" w:lineRule="exact"/>
              <w:jc w:val="left"/>
              <w:rPr>
                <w:color w:val="auto"/>
                <w:szCs w:val="21"/>
                <w:lang w:val="en-US"/>
              </w:rPr>
            </w:pPr>
            <w:r>
              <w:rPr>
                <w:rFonts w:hint="eastAsia"/>
                <w:b/>
                <w:bCs/>
                <w:color w:val="auto"/>
                <w:szCs w:val="21"/>
              </w:rPr>
              <w:t>其他相关要求：</w:t>
            </w:r>
            <w:r>
              <w:rPr>
                <w:rFonts w:hint="eastAsia"/>
                <w:color w:val="auto"/>
                <w:szCs w:val="21"/>
              </w:rPr>
              <w:t>对于招标人未在招标文件中</w:t>
            </w:r>
            <w:r>
              <w:rPr>
                <w:rFonts w:hint="eastAsia"/>
                <w:color w:val="auto"/>
                <w:szCs w:val="21"/>
                <w:lang w:val="en-US"/>
              </w:rPr>
              <w:t>提供参考</w:t>
            </w:r>
            <w:r>
              <w:rPr>
                <w:rFonts w:hint="eastAsia"/>
                <w:color w:val="auto"/>
                <w:szCs w:val="21"/>
              </w:rPr>
              <w:t>品牌的材料</w:t>
            </w:r>
            <w:r>
              <w:rPr>
                <w:rFonts w:hint="eastAsia"/>
                <w:color w:val="auto"/>
                <w:szCs w:val="21"/>
                <w:lang w:val="en-US"/>
              </w:rPr>
              <w:t>设备</w:t>
            </w:r>
            <w:r>
              <w:rPr>
                <w:rFonts w:hint="eastAsia"/>
                <w:color w:val="auto"/>
                <w:szCs w:val="21"/>
              </w:rPr>
              <w:t>，中标人须在采购材料前，提供不少于三个满足国家规范、图纸及招标文件要求的材料</w:t>
            </w:r>
            <w:r>
              <w:rPr>
                <w:rFonts w:hint="eastAsia"/>
                <w:color w:val="auto"/>
                <w:szCs w:val="21"/>
                <w:lang w:val="en-US"/>
              </w:rPr>
              <w:t>设备</w:t>
            </w:r>
            <w:r>
              <w:rPr>
                <w:rFonts w:hint="eastAsia"/>
                <w:color w:val="auto"/>
                <w:szCs w:val="21"/>
              </w:rPr>
              <w:t>品牌，供招标人选择确定。若中标人提供给招标人选择的材料</w:t>
            </w:r>
            <w:r>
              <w:rPr>
                <w:rFonts w:hint="eastAsia"/>
                <w:color w:val="auto"/>
                <w:szCs w:val="21"/>
                <w:lang w:val="en-US"/>
              </w:rPr>
              <w:t>设备</w:t>
            </w:r>
            <w:r>
              <w:rPr>
                <w:rFonts w:hint="eastAsia"/>
                <w:color w:val="auto"/>
                <w:szCs w:val="21"/>
              </w:rPr>
              <w:t>不满足国家规范、图纸及招标文件要求的，招标人不予认可，招标人有权直接推荐所用材料</w:t>
            </w:r>
            <w:r>
              <w:rPr>
                <w:rFonts w:hint="eastAsia"/>
                <w:color w:val="auto"/>
                <w:szCs w:val="21"/>
                <w:lang w:val="en-US"/>
              </w:rPr>
              <w:t>设备</w:t>
            </w:r>
            <w:r>
              <w:rPr>
                <w:rFonts w:hint="eastAsia"/>
                <w:color w:val="auto"/>
                <w:szCs w:val="21"/>
              </w:rPr>
              <w:t>品牌，中标人须无条件接受并及时供货，费用不作任何调整。</w:t>
            </w:r>
          </w:p>
        </w:tc>
      </w:tr>
      <w:tr w14:paraId="0E5E7BA4">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725880CD">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10.4</w:t>
            </w:r>
          </w:p>
        </w:tc>
        <w:tc>
          <w:tcPr>
            <w:tcW w:w="2160" w:type="dxa"/>
            <w:tcBorders>
              <w:top w:val="single" w:color="auto" w:sz="4" w:space="0"/>
              <w:left w:val="single" w:color="auto" w:sz="4" w:space="0"/>
              <w:bottom w:val="single" w:color="auto" w:sz="4" w:space="0"/>
              <w:right w:val="single" w:color="auto" w:sz="4" w:space="0"/>
            </w:tcBorders>
            <w:vAlign w:val="center"/>
          </w:tcPr>
          <w:p w14:paraId="09345903">
            <w:pPr>
              <w:adjustRightInd w:val="0"/>
              <w:snapToGrid w:val="0"/>
              <w:spacing w:line="560" w:lineRule="exact"/>
              <w:jc w:val="center"/>
              <w:rPr>
                <w:rFonts w:ascii="宋体" w:hAnsi="宋体" w:cs="宋体"/>
                <w:color w:val="auto"/>
                <w:szCs w:val="21"/>
              </w:rPr>
            </w:pPr>
            <w:r>
              <w:rPr>
                <w:rFonts w:hint="eastAsia" w:ascii="宋体" w:hAnsi="宋体" w:cs="宋体"/>
                <w:bCs/>
                <w:snapToGrid w:val="0"/>
                <w:color w:val="auto"/>
                <w:kern w:val="0"/>
                <w:szCs w:val="21"/>
              </w:rPr>
              <w:t>相关要求</w:t>
            </w:r>
          </w:p>
        </w:tc>
        <w:tc>
          <w:tcPr>
            <w:tcW w:w="7305" w:type="dxa"/>
            <w:tcBorders>
              <w:top w:val="single" w:color="auto" w:sz="4" w:space="0"/>
              <w:left w:val="single" w:color="auto" w:sz="4" w:space="0"/>
              <w:bottom w:val="single" w:color="auto" w:sz="4" w:space="0"/>
              <w:right w:val="single" w:color="auto" w:sz="4" w:space="0"/>
            </w:tcBorders>
            <w:vAlign w:val="center"/>
          </w:tcPr>
          <w:p w14:paraId="72D76807">
            <w:pPr>
              <w:adjustRightInd w:val="0"/>
              <w:snapToGrid w:val="0"/>
              <w:spacing w:line="560" w:lineRule="exact"/>
              <w:rPr>
                <w:rFonts w:ascii="宋体" w:hAnsi="宋体" w:cs="宋体"/>
                <w:color w:val="auto"/>
                <w:szCs w:val="21"/>
              </w:rPr>
            </w:pPr>
            <w:r>
              <w:rPr>
                <w:rFonts w:hint="eastAsia" w:ascii="宋体" w:hAnsi="宋体" w:cs="宋体"/>
                <w:color w:val="auto"/>
                <w:szCs w:val="21"/>
              </w:rPr>
              <w:t>1.本项目投标保证金、履约保证金、工程质量保证金、农民工工资保证金均支持保函使用。以现金形式提交保证金的，应当同时退还保证金本金和银行同期存款利息。</w:t>
            </w:r>
          </w:p>
          <w:p w14:paraId="6A2313DE">
            <w:pPr>
              <w:adjustRightInd w:val="0"/>
              <w:snapToGrid w:val="0"/>
              <w:spacing w:line="560" w:lineRule="exact"/>
              <w:rPr>
                <w:rFonts w:ascii="宋体" w:hAnsi="宋体" w:cs="宋体"/>
                <w:color w:val="auto"/>
                <w:szCs w:val="21"/>
              </w:rPr>
            </w:pPr>
            <w:r>
              <w:rPr>
                <w:rFonts w:hint="eastAsia" w:ascii="宋体" w:hAnsi="宋体" w:cs="宋体"/>
                <w:color w:val="auto"/>
                <w:szCs w:val="21"/>
              </w:rPr>
              <w:t>2.承包人在工程实施过程中的用工行为，必须严格按照《保障农民工工资支付条例》（国务院令 第724号）、《安徽省人民政府办公厅关于全面治理拖欠农民工工资问题的实施意见》（皖政办〔2016〕22号）以及《贯彻落实&lt;工程建设领域农民工工资专用账户管理暂行办法&gt;的通知》（皖人社发〔2022〕5号）、《安徽省工程建设领域农民工工资保证金实施办法》（皖人社发〔2022〕8号）等文件精神的有关规定，依法与招用的农民工签订劳动合同，并按规定及时足额支付工资。</w:t>
            </w:r>
          </w:p>
          <w:p w14:paraId="0F93532F">
            <w:pPr>
              <w:adjustRightInd w:val="0"/>
              <w:snapToGrid w:val="0"/>
              <w:spacing w:line="560" w:lineRule="exact"/>
              <w:rPr>
                <w:rFonts w:ascii="宋体" w:hAnsi="宋体" w:cs="宋体"/>
                <w:color w:val="auto"/>
                <w:szCs w:val="21"/>
              </w:rPr>
            </w:pPr>
            <w:r>
              <w:rPr>
                <w:rFonts w:hint="eastAsia" w:ascii="宋体" w:hAnsi="宋体" w:cs="宋体"/>
                <w:color w:val="auto"/>
                <w:szCs w:val="21"/>
              </w:rPr>
              <w:t>为切实保障建筑行业农民工工资支付、加快培育新时代建筑产业工人队伍、有效破解拖欠工程款问题，承包人应严格落实安徽省住建厅《关于建立长效机制切实保障建筑行业农民工工资支付工作的通知》（建市函〔2022〕490号），《关于加快培育和壮大我省建筑产业工人队伍的意见》（建市规〔2023〕1号）以及《关于印发〈安徽省房屋建筑和市政基础设施工程施工过程结算管理办法〉 的通知》（建市规〔2023〕2号）等文件要求。</w:t>
            </w:r>
          </w:p>
          <w:p w14:paraId="4BA5F877">
            <w:pPr>
              <w:adjustRightInd w:val="0"/>
              <w:snapToGrid w:val="0"/>
              <w:spacing w:line="560" w:lineRule="exact"/>
              <w:rPr>
                <w:rFonts w:ascii="宋体" w:hAnsi="宋体" w:cs="宋体"/>
                <w:color w:val="auto"/>
                <w:szCs w:val="21"/>
              </w:rPr>
            </w:pPr>
            <w:r>
              <w:rPr>
                <w:rFonts w:hint="eastAsia" w:ascii="宋体" w:hAnsi="宋体" w:cs="宋体"/>
                <w:color w:val="auto"/>
                <w:szCs w:val="21"/>
              </w:rPr>
              <w:t>《贯彻落实&lt;工程建设领域农民工工资专用账户管理暂行办法&gt;的通知》（皖人社发【2022】5号），其中工资保证金和工资专户由工程建设项目的施工总承包企业（包括直接承包建设单位发包工程的专业承包企业）缴存和开设。若为联合体中标，由联合体中牵头人缴存和开设专户。</w:t>
            </w:r>
          </w:p>
          <w:p w14:paraId="7FD21520">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3.省外建设工程企业按照《关于优化进皖建设工程企业信息登记服务和管理有关工作的通知》（建市函〔2022〕580号）进行相关信息登记。 </w:t>
            </w:r>
          </w:p>
          <w:p w14:paraId="1CA36D67">
            <w:pPr>
              <w:adjustRightInd w:val="0"/>
              <w:snapToGrid w:val="0"/>
              <w:spacing w:line="560" w:lineRule="exact"/>
              <w:rPr>
                <w:rFonts w:ascii="宋体" w:hAnsi="宋体" w:cs="宋体"/>
                <w:color w:val="auto"/>
                <w:szCs w:val="21"/>
              </w:rPr>
            </w:pPr>
            <w:r>
              <w:rPr>
                <w:rFonts w:hint="eastAsia" w:ascii="宋体" w:hAnsi="宋体" w:cs="宋体"/>
                <w:color w:val="auto"/>
                <w:szCs w:val="21"/>
              </w:rPr>
              <w:t>4.保证保险产品应按《中国银保监会办公厅关于进一步加强和改进财产保险公司产品监管有关问题的通知》执行。</w:t>
            </w:r>
          </w:p>
          <w:p w14:paraId="494C3EED">
            <w:pPr>
              <w:adjustRightInd w:val="0"/>
              <w:snapToGrid w:val="0"/>
              <w:spacing w:line="560" w:lineRule="exact"/>
              <w:rPr>
                <w:rFonts w:ascii="宋体" w:hAnsi="宋体" w:cs="宋体"/>
                <w:color w:val="auto"/>
                <w:szCs w:val="21"/>
              </w:rPr>
            </w:pPr>
            <w:r>
              <w:rPr>
                <w:rFonts w:hint="eastAsia" w:ascii="宋体" w:hAnsi="宋体" w:cs="宋体"/>
                <w:color w:val="auto"/>
                <w:szCs w:val="21"/>
              </w:rPr>
              <w:t>5.我省行政区域内按照规定应办理建筑工程施工许可证的房屋建筑和市政工程建设项目，均应办理工程款支付担保。具体金额、担保方式等按《安徽省住房和城乡建设厅关于加强房屋建筑和市政基础设施工程建设领域工程款支付担保管理工作的通知》（建市〔2022〕54号）执行。</w:t>
            </w:r>
          </w:p>
        </w:tc>
      </w:tr>
      <w:tr w14:paraId="0591894B">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6154E415">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10.5</w:t>
            </w:r>
          </w:p>
        </w:tc>
        <w:tc>
          <w:tcPr>
            <w:tcW w:w="2160" w:type="dxa"/>
            <w:tcBorders>
              <w:top w:val="single" w:color="auto" w:sz="4" w:space="0"/>
              <w:left w:val="single" w:color="auto" w:sz="4" w:space="0"/>
              <w:bottom w:val="single" w:color="auto" w:sz="4" w:space="0"/>
              <w:right w:val="single" w:color="auto" w:sz="4" w:space="0"/>
            </w:tcBorders>
            <w:vAlign w:val="center"/>
          </w:tcPr>
          <w:p w14:paraId="0B6024D1">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评标过程中的澄清、说明或补正</w:t>
            </w:r>
          </w:p>
        </w:tc>
        <w:tc>
          <w:tcPr>
            <w:tcW w:w="7305" w:type="dxa"/>
            <w:tcBorders>
              <w:top w:val="single" w:color="auto" w:sz="4" w:space="0"/>
              <w:left w:val="single" w:color="auto" w:sz="4" w:space="0"/>
              <w:bottom w:val="single" w:color="auto" w:sz="4" w:space="0"/>
              <w:right w:val="single" w:color="auto" w:sz="4" w:space="0"/>
            </w:tcBorders>
            <w:vAlign w:val="center"/>
          </w:tcPr>
          <w:p w14:paraId="32112F26">
            <w:pPr>
              <w:pStyle w:val="55"/>
              <w:tabs>
                <w:tab w:val="left" w:pos="636"/>
              </w:tabs>
              <w:adjustRightInd w:val="0"/>
              <w:snapToGrid w:val="0"/>
              <w:spacing w:line="560" w:lineRule="exact"/>
              <w:jc w:val="left"/>
              <w:rPr>
                <w:bCs/>
                <w:color w:val="auto"/>
                <w:szCs w:val="21"/>
                <w:lang w:val="en-US" w:bidi="ar-SA"/>
              </w:rPr>
            </w:pPr>
            <w:r>
              <w:rPr>
                <w:rFonts w:hint="eastAsia"/>
                <w:bCs/>
                <w:color w:val="auto"/>
                <w:szCs w:val="21"/>
                <w:lang w:val="en-US" w:bidi="ar-SA"/>
              </w:rPr>
              <w:t>1.评标委员会通过网上招投标系统将需要澄清、说明或补正的内容以询标函的形式发送给投标人，投标人应安排专人登录网上招投标系统并保持在线状态，并确保联系方式有效，以便及时接收评标委员会可能发出的询标函。</w:t>
            </w:r>
          </w:p>
          <w:p w14:paraId="33EE6CA5">
            <w:pPr>
              <w:pStyle w:val="55"/>
              <w:tabs>
                <w:tab w:val="left" w:pos="636"/>
              </w:tabs>
              <w:adjustRightInd w:val="0"/>
              <w:snapToGrid w:val="0"/>
              <w:spacing w:line="560" w:lineRule="exact"/>
              <w:jc w:val="left"/>
              <w:rPr>
                <w:bCs/>
                <w:color w:val="auto"/>
                <w:szCs w:val="21"/>
                <w:lang w:val="en-US" w:bidi="ar-SA"/>
              </w:rPr>
            </w:pPr>
            <w:r>
              <w:rPr>
                <w:rFonts w:hint="eastAsia"/>
                <w:bCs/>
                <w:color w:val="auto"/>
                <w:szCs w:val="21"/>
                <w:lang w:val="en-US" w:bidi="ar-SA"/>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458CE2CF">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73B96BA2">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10.6</w:t>
            </w:r>
          </w:p>
        </w:tc>
        <w:tc>
          <w:tcPr>
            <w:tcW w:w="2160" w:type="dxa"/>
            <w:tcBorders>
              <w:top w:val="single" w:color="auto" w:sz="4" w:space="0"/>
              <w:left w:val="single" w:color="auto" w:sz="4" w:space="0"/>
              <w:bottom w:val="single" w:color="auto" w:sz="4" w:space="0"/>
              <w:right w:val="single" w:color="auto" w:sz="4" w:space="0"/>
            </w:tcBorders>
            <w:vAlign w:val="center"/>
          </w:tcPr>
          <w:p w14:paraId="29848D4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解释权</w:t>
            </w:r>
          </w:p>
        </w:tc>
        <w:tc>
          <w:tcPr>
            <w:tcW w:w="7305" w:type="dxa"/>
            <w:tcBorders>
              <w:top w:val="single" w:color="auto" w:sz="4" w:space="0"/>
              <w:left w:val="single" w:color="auto" w:sz="4" w:space="0"/>
              <w:bottom w:val="single" w:color="auto" w:sz="4" w:space="0"/>
              <w:right w:val="single" w:color="auto" w:sz="4" w:space="0"/>
            </w:tcBorders>
            <w:vAlign w:val="center"/>
          </w:tcPr>
          <w:p w14:paraId="6263E792">
            <w:pPr>
              <w:pStyle w:val="55"/>
              <w:adjustRightInd w:val="0"/>
              <w:snapToGrid w:val="0"/>
              <w:spacing w:line="560" w:lineRule="exact"/>
              <w:rPr>
                <w:bCs/>
                <w:color w:val="auto"/>
                <w:szCs w:val="21"/>
                <w:lang w:val="en-US" w:bidi="ar-SA"/>
              </w:rPr>
            </w:pPr>
            <w:r>
              <w:rPr>
                <w:rFonts w:hint="eastAsia"/>
                <w:bCs/>
                <w:color w:val="auto"/>
                <w:szCs w:val="21"/>
                <w:lang w:val="en-US" w:bidi="ar-SA"/>
              </w:rPr>
              <w:t>1.构成本招标文件的各个组成文件应互为解释，互为说明；</w:t>
            </w:r>
          </w:p>
          <w:p w14:paraId="051B6B2B">
            <w:pPr>
              <w:pStyle w:val="55"/>
              <w:adjustRightInd w:val="0"/>
              <w:snapToGrid w:val="0"/>
              <w:spacing w:line="560" w:lineRule="exact"/>
              <w:rPr>
                <w:bCs/>
                <w:color w:val="auto"/>
                <w:szCs w:val="21"/>
                <w:lang w:val="en-US" w:bidi="ar-SA"/>
              </w:rPr>
            </w:pPr>
            <w:r>
              <w:rPr>
                <w:rFonts w:hint="eastAsia"/>
                <w:bCs/>
                <w:color w:val="auto"/>
                <w:szCs w:val="21"/>
                <w:lang w:val="en-US" w:bidi="ar-SA"/>
              </w:rPr>
              <w:t>2.同一组成文件中就同一事项的规定或约定不一致的，以编排顺序在后者为准；</w:t>
            </w:r>
          </w:p>
          <w:p w14:paraId="607012E4">
            <w:pPr>
              <w:pStyle w:val="55"/>
              <w:tabs>
                <w:tab w:val="left" w:pos="351"/>
              </w:tabs>
              <w:adjustRightInd w:val="0"/>
              <w:snapToGrid w:val="0"/>
              <w:spacing w:line="560" w:lineRule="exact"/>
              <w:rPr>
                <w:bCs/>
                <w:color w:val="auto"/>
                <w:szCs w:val="21"/>
                <w:lang w:val="en-US" w:bidi="ar-SA"/>
              </w:rPr>
            </w:pPr>
            <w:r>
              <w:rPr>
                <w:rFonts w:hint="eastAsia"/>
                <w:bCs/>
                <w:color w:val="auto"/>
                <w:szCs w:val="21"/>
                <w:lang w:val="en-US" w:bidi="ar-SA"/>
              </w:rPr>
              <w:t>3.如有不明确或不一致，构成合同文件组成内容的，以合同文件约定内容为准，且以专用合同条款约定的合同文件优先顺序解释；</w:t>
            </w:r>
          </w:p>
          <w:p w14:paraId="40AA8B46">
            <w:pPr>
              <w:pStyle w:val="55"/>
              <w:tabs>
                <w:tab w:val="left" w:pos="354"/>
              </w:tabs>
              <w:adjustRightInd w:val="0"/>
              <w:snapToGrid w:val="0"/>
              <w:spacing w:line="560" w:lineRule="exact"/>
              <w:rPr>
                <w:bCs/>
                <w:color w:val="auto"/>
                <w:szCs w:val="21"/>
                <w:lang w:val="en-US" w:bidi="ar-SA"/>
              </w:rPr>
            </w:pPr>
            <w:r>
              <w:rPr>
                <w:rFonts w:hint="eastAsia"/>
                <w:bCs/>
                <w:color w:val="auto"/>
                <w:szCs w:val="21"/>
                <w:lang w:val="en-US" w:bidi="ar-SA"/>
              </w:rPr>
              <w:t>4.系统中提供的表格（或格式文件）与招标文件中不一致时，以招标文件中提供的为准；</w:t>
            </w:r>
          </w:p>
          <w:p w14:paraId="7413FBBE">
            <w:pPr>
              <w:pStyle w:val="55"/>
              <w:tabs>
                <w:tab w:val="left" w:pos="636"/>
              </w:tabs>
              <w:adjustRightInd w:val="0"/>
              <w:snapToGrid w:val="0"/>
              <w:spacing w:line="560" w:lineRule="exact"/>
              <w:jc w:val="left"/>
              <w:rPr>
                <w:bCs/>
                <w:color w:val="auto"/>
                <w:szCs w:val="21"/>
                <w:lang w:val="en-US" w:bidi="ar-SA"/>
              </w:rPr>
            </w:pPr>
            <w:r>
              <w:rPr>
                <w:rFonts w:hint="eastAsia"/>
                <w:bCs/>
                <w:color w:val="auto"/>
                <w:szCs w:val="21"/>
                <w:lang w:val="en-US" w:bidi="ar-SA"/>
              </w:rPr>
              <w:t>5.按本款前述规定仍不能形成结论的，由招标人负责解释。</w:t>
            </w:r>
          </w:p>
        </w:tc>
      </w:tr>
      <w:tr w14:paraId="1730817F">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316FD736">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10.7</w:t>
            </w:r>
          </w:p>
        </w:tc>
        <w:tc>
          <w:tcPr>
            <w:tcW w:w="2160" w:type="dxa"/>
            <w:tcBorders>
              <w:top w:val="single" w:color="auto" w:sz="4" w:space="0"/>
              <w:left w:val="single" w:color="auto" w:sz="4" w:space="0"/>
              <w:bottom w:val="single" w:color="auto" w:sz="4" w:space="0"/>
              <w:right w:val="single" w:color="auto" w:sz="4" w:space="0"/>
            </w:tcBorders>
            <w:vAlign w:val="center"/>
          </w:tcPr>
          <w:p w14:paraId="07EE34E1">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同义词语</w:t>
            </w:r>
          </w:p>
        </w:tc>
        <w:tc>
          <w:tcPr>
            <w:tcW w:w="7305" w:type="dxa"/>
            <w:tcBorders>
              <w:top w:val="single" w:color="auto" w:sz="4" w:space="0"/>
              <w:left w:val="single" w:color="auto" w:sz="4" w:space="0"/>
              <w:bottom w:val="single" w:color="auto" w:sz="4" w:space="0"/>
              <w:right w:val="single" w:color="auto" w:sz="4" w:space="0"/>
            </w:tcBorders>
            <w:vAlign w:val="center"/>
          </w:tcPr>
          <w:p w14:paraId="3759F05E">
            <w:pPr>
              <w:pStyle w:val="55"/>
              <w:adjustRightInd w:val="0"/>
              <w:snapToGrid w:val="0"/>
              <w:spacing w:line="560" w:lineRule="exact"/>
              <w:rPr>
                <w:bCs/>
                <w:color w:val="auto"/>
                <w:szCs w:val="21"/>
                <w:lang w:val="en-US" w:bidi="ar-SA"/>
              </w:rPr>
            </w:pPr>
            <w:r>
              <w:rPr>
                <w:rFonts w:hint="eastAsia"/>
                <w:bCs/>
                <w:color w:val="auto"/>
                <w:szCs w:val="21"/>
                <w:lang w:val="en-US" w:bidi="ar-SA"/>
              </w:rPr>
              <w:t>构成招标文件组成部分的“通用合同条款”、“专用合同条款”、“技术要求”和“工程量清单”等章节中“发包人”和“承包人”，等同于招标投标阶段的“招标人”和“投标人/中标人”。</w:t>
            </w:r>
          </w:p>
        </w:tc>
      </w:tr>
      <w:tr w14:paraId="29DB7817">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7D76675F">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10.8</w:t>
            </w:r>
          </w:p>
        </w:tc>
        <w:tc>
          <w:tcPr>
            <w:tcW w:w="2160" w:type="dxa"/>
            <w:tcBorders>
              <w:top w:val="single" w:color="auto" w:sz="4" w:space="0"/>
              <w:left w:val="single" w:color="auto" w:sz="4" w:space="0"/>
              <w:bottom w:val="single" w:color="auto" w:sz="4" w:space="0"/>
              <w:right w:val="single" w:color="auto" w:sz="4" w:space="0"/>
            </w:tcBorders>
            <w:vAlign w:val="center"/>
          </w:tcPr>
          <w:p w14:paraId="6C3AA306">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关于招标工程量清单、最高投标限价及投标报价编制特别说明</w:t>
            </w:r>
          </w:p>
        </w:tc>
        <w:tc>
          <w:tcPr>
            <w:tcW w:w="7305" w:type="dxa"/>
            <w:tcBorders>
              <w:top w:val="single" w:color="auto" w:sz="4" w:space="0"/>
              <w:left w:val="single" w:color="auto" w:sz="4" w:space="0"/>
              <w:bottom w:val="single" w:color="auto" w:sz="4" w:space="0"/>
              <w:right w:val="single" w:color="auto" w:sz="4" w:space="0"/>
            </w:tcBorders>
            <w:vAlign w:val="center"/>
          </w:tcPr>
          <w:p w14:paraId="4E50B568">
            <w:pPr>
              <w:pStyle w:val="55"/>
              <w:adjustRightInd w:val="0"/>
              <w:snapToGrid w:val="0"/>
              <w:spacing w:line="560" w:lineRule="exact"/>
              <w:rPr>
                <w:color w:val="auto"/>
                <w:szCs w:val="21"/>
              </w:rPr>
            </w:pPr>
            <w:r>
              <w:rPr>
                <w:rFonts w:hint="eastAsia"/>
                <w:color w:val="auto"/>
                <w:szCs w:val="21"/>
              </w:rPr>
              <w:t>本项目最高投标限价材料、设备价格依据造价管理部门发布的市场价格信息并结合市场实际价格综合考虑编制，投标人应根据</w:t>
            </w:r>
            <w:r>
              <w:rPr>
                <w:rFonts w:hint="eastAsia"/>
                <w:color w:val="auto"/>
                <w:szCs w:val="21"/>
                <w:lang w:val="en-US"/>
              </w:rPr>
              <w:t>施工</w:t>
            </w:r>
            <w:r>
              <w:rPr>
                <w:rFonts w:hint="eastAsia"/>
                <w:color w:val="auto"/>
                <w:szCs w:val="21"/>
              </w:rPr>
              <w:t>图纸、招标工程量清单、补遗，并结合企业自身实力理性报价。</w:t>
            </w:r>
          </w:p>
        </w:tc>
      </w:tr>
      <w:tr w14:paraId="59149C54">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67EC7B38">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10.9</w:t>
            </w:r>
          </w:p>
        </w:tc>
        <w:tc>
          <w:tcPr>
            <w:tcW w:w="2160" w:type="dxa"/>
            <w:tcBorders>
              <w:top w:val="single" w:color="auto" w:sz="4" w:space="0"/>
              <w:left w:val="single" w:color="auto" w:sz="4" w:space="0"/>
              <w:bottom w:val="single" w:color="auto" w:sz="4" w:space="0"/>
              <w:right w:val="single" w:color="auto" w:sz="4" w:space="0"/>
            </w:tcBorders>
            <w:vAlign w:val="center"/>
          </w:tcPr>
          <w:p w14:paraId="54572CD2">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其他</w:t>
            </w:r>
          </w:p>
        </w:tc>
        <w:tc>
          <w:tcPr>
            <w:tcW w:w="7305" w:type="dxa"/>
            <w:tcBorders>
              <w:top w:val="single" w:color="auto" w:sz="4" w:space="0"/>
              <w:left w:val="single" w:color="auto" w:sz="4" w:space="0"/>
              <w:bottom w:val="single" w:color="auto" w:sz="4" w:space="0"/>
              <w:right w:val="single" w:color="auto" w:sz="4" w:space="0"/>
            </w:tcBorders>
            <w:vAlign w:val="center"/>
          </w:tcPr>
          <w:p w14:paraId="658E480D">
            <w:pPr>
              <w:pStyle w:val="55"/>
              <w:adjustRightInd w:val="0"/>
              <w:snapToGrid w:val="0"/>
              <w:spacing w:line="560" w:lineRule="exact"/>
              <w:jc w:val="left"/>
              <w:rPr>
                <w:color w:val="auto"/>
                <w:szCs w:val="21"/>
                <w:lang w:val="en-US"/>
              </w:rPr>
            </w:pPr>
            <w:r>
              <w:rPr>
                <w:rFonts w:hint="eastAsia"/>
                <w:color w:val="auto"/>
                <w:szCs w:val="21"/>
                <w:lang w:val="en-US"/>
              </w:rPr>
              <w:t>1.如本项目招标文件中出现特定性、唯一性品牌的表述，该品牌仅作为参考，施工过程中不具有限定性。</w:t>
            </w:r>
          </w:p>
          <w:p w14:paraId="0938A0BE">
            <w:pPr>
              <w:pStyle w:val="55"/>
              <w:adjustRightInd w:val="0"/>
              <w:snapToGrid w:val="0"/>
              <w:spacing w:line="560" w:lineRule="exact"/>
              <w:jc w:val="left"/>
              <w:rPr>
                <w:color w:val="auto"/>
                <w:szCs w:val="21"/>
                <w:lang w:val="en-US"/>
              </w:rPr>
            </w:pPr>
            <w:r>
              <w:rPr>
                <w:rFonts w:hint="eastAsia"/>
                <w:color w:val="auto"/>
                <w:szCs w:val="21"/>
                <w:lang w:val="en-US"/>
              </w:rPr>
              <w:t>2.项目经理必须是投标人本单位工作人员，提供虚假资料谋取中标将被依法处罚。投标人对所提交的投标人或拟派项目经理业绩、投标人资质等证明资料承担缔约过失责任和法律责任。若投诉人或举报人对前述资料或证明资料存在争议，进行有效投诉或举报， 被投诉人、被举报人应当主动配合执法机关调查，并在规定的期限内举证，提供有关证明资料的原件；拒不配合执法机构调查，且未在规定期限内举证、提供证明资料原件的，执法机构滁州市公共资源交易监督管理局依法处理。</w:t>
            </w:r>
          </w:p>
          <w:p w14:paraId="6B0465A2">
            <w:pPr>
              <w:pStyle w:val="55"/>
              <w:adjustRightInd w:val="0"/>
              <w:snapToGrid w:val="0"/>
              <w:spacing w:line="560" w:lineRule="exact"/>
              <w:jc w:val="left"/>
              <w:rPr>
                <w:color w:val="auto"/>
                <w:szCs w:val="21"/>
                <w:lang w:val="en-US"/>
              </w:rPr>
            </w:pPr>
            <w:r>
              <w:rPr>
                <w:rFonts w:hint="eastAsia"/>
                <w:color w:val="auto"/>
                <w:szCs w:val="21"/>
                <w:lang w:val="en-US"/>
              </w:rPr>
              <w:t>3.中标人未履行下述义务的，滁州市公共资源交易监督管理局将依法对中标人进行处理，追究相关责任：</w:t>
            </w:r>
          </w:p>
          <w:p w14:paraId="6A8C4034">
            <w:pPr>
              <w:pStyle w:val="55"/>
              <w:adjustRightInd w:val="0"/>
              <w:snapToGrid w:val="0"/>
              <w:spacing w:line="560" w:lineRule="exact"/>
              <w:jc w:val="left"/>
              <w:rPr>
                <w:color w:val="auto"/>
                <w:szCs w:val="21"/>
                <w:lang w:val="en-US"/>
              </w:rPr>
            </w:pPr>
            <w:r>
              <w:rPr>
                <w:rFonts w:hint="eastAsia"/>
                <w:color w:val="auto"/>
                <w:szCs w:val="21"/>
                <w:lang w:val="en-US"/>
              </w:rPr>
              <w:t>①中标人无正当理由不与招标人订立合同，在签订合同时向招标人提出附加条件，或者不按照招标文件要求提交履约保证金的，招标人有权取消中标人中标资格，并将相关违约行为报送监管部门处理；</w:t>
            </w:r>
          </w:p>
          <w:p w14:paraId="3C839808">
            <w:pPr>
              <w:pStyle w:val="55"/>
              <w:adjustRightInd w:val="0"/>
              <w:snapToGrid w:val="0"/>
              <w:spacing w:line="560" w:lineRule="exact"/>
              <w:jc w:val="left"/>
              <w:rPr>
                <w:color w:val="auto"/>
                <w:szCs w:val="21"/>
                <w:lang w:val="en-US"/>
              </w:rPr>
            </w:pPr>
            <w:r>
              <w:rPr>
                <w:rFonts w:hint="eastAsia"/>
                <w:color w:val="auto"/>
                <w:szCs w:val="21"/>
                <w:lang w:val="en-US"/>
              </w:rPr>
              <w:t>②合同签订后，中标人存在规定时间内不组织人员进场开工、不履行供货安装义务等情况，招标人有权解除合同，并追究违约责任，同时将相关违约行为报送监管部门处理。</w:t>
            </w:r>
          </w:p>
          <w:p w14:paraId="471CE3FF">
            <w:pPr>
              <w:pStyle w:val="55"/>
              <w:adjustRightInd w:val="0"/>
              <w:snapToGrid w:val="0"/>
              <w:spacing w:line="560" w:lineRule="exact"/>
              <w:jc w:val="left"/>
              <w:rPr>
                <w:color w:val="auto"/>
                <w:szCs w:val="21"/>
                <w:lang w:val="en-US"/>
              </w:rPr>
            </w:pPr>
            <w:r>
              <w:rPr>
                <w:rFonts w:hint="eastAsia"/>
                <w:color w:val="auto"/>
                <w:szCs w:val="21"/>
                <w:lang w:val="en-US"/>
              </w:rPr>
              <w:t>4.项目经理（建造师）变更按照《关于进一步加强建筑施工现场项目经理（建造师）变更行为管理的通知》（滁公管〔2020〕1号）规定，需经发包人以及公管、住建部门同意。技术负责人变更需经发包人同意。</w:t>
            </w:r>
          </w:p>
          <w:p w14:paraId="72293CBA">
            <w:pPr>
              <w:pStyle w:val="55"/>
              <w:adjustRightInd w:val="0"/>
              <w:snapToGrid w:val="0"/>
              <w:spacing w:line="560" w:lineRule="exact"/>
              <w:jc w:val="left"/>
              <w:rPr>
                <w:color w:val="auto"/>
                <w:szCs w:val="21"/>
                <w:lang w:val="en-US"/>
              </w:rPr>
            </w:pPr>
            <w:r>
              <w:rPr>
                <w:rFonts w:hint="eastAsia"/>
                <w:color w:val="auto"/>
                <w:szCs w:val="21"/>
                <w:lang w:val="en-US"/>
              </w:rPr>
              <w:t>中标人因下列原因变更项目经理（建造师），须缴纳违约金10万元: ①患重病、发生意外等身体原因不能在施工现场进行管理的；②离职的；③违法违规行为不能继续从事施工现场管理工作的；④无能力履行合同责任义务被建设行政主管部门或建设单位责令更换的。</w:t>
            </w:r>
          </w:p>
          <w:p w14:paraId="6B3DA03E">
            <w:pPr>
              <w:pStyle w:val="55"/>
              <w:adjustRightInd w:val="0"/>
              <w:snapToGrid w:val="0"/>
              <w:spacing w:line="560" w:lineRule="exact"/>
              <w:jc w:val="left"/>
              <w:rPr>
                <w:color w:val="auto"/>
                <w:szCs w:val="21"/>
                <w:lang w:val="en-US"/>
              </w:rPr>
            </w:pPr>
            <w:r>
              <w:rPr>
                <w:rFonts w:hint="eastAsia"/>
                <w:color w:val="auto"/>
                <w:szCs w:val="21"/>
                <w:lang w:val="en-US"/>
              </w:rPr>
              <w:t>中标人因下列原因变更技术负责人，须缴纳违约金10万元: ①患重病、发生意外等身体原因不能在施工现场进行管理的；②离职的；③违法违规行为不能继续从事施工现场管理工作的；④无能力履行合同责任义务被建设行政主管部门或建设单位责令更换的。</w:t>
            </w:r>
          </w:p>
        </w:tc>
      </w:tr>
      <w:tr w14:paraId="3B1EB1DF">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67C88E2B">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10.10</w:t>
            </w:r>
          </w:p>
        </w:tc>
        <w:tc>
          <w:tcPr>
            <w:tcW w:w="2160" w:type="dxa"/>
            <w:tcBorders>
              <w:top w:val="single" w:color="auto" w:sz="4" w:space="0"/>
              <w:left w:val="single" w:color="auto" w:sz="4" w:space="0"/>
              <w:bottom w:val="single" w:color="auto" w:sz="4" w:space="0"/>
              <w:right w:val="single" w:color="auto" w:sz="4" w:space="0"/>
            </w:tcBorders>
            <w:vAlign w:val="center"/>
          </w:tcPr>
          <w:p w14:paraId="265246CC">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重点项目约谈</w:t>
            </w:r>
          </w:p>
        </w:tc>
        <w:tc>
          <w:tcPr>
            <w:tcW w:w="7305" w:type="dxa"/>
            <w:tcBorders>
              <w:top w:val="single" w:color="auto" w:sz="4" w:space="0"/>
              <w:left w:val="single" w:color="auto" w:sz="4" w:space="0"/>
              <w:bottom w:val="single" w:color="auto" w:sz="4" w:space="0"/>
              <w:right w:val="single" w:color="auto" w:sz="4" w:space="0"/>
            </w:tcBorders>
            <w:vAlign w:val="center"/>
          </w:tcPr>
          <w:p w14:paraId="3BC1F260">
            <w:pPr>
              <w:adjustRightInd w:val="0"/>
              <w:snapToGrid w:val="0"/>
              <w:spacing w:line="560" w:lineRule="exact"/>
              <w:rPr>
                <w:rFonts w:ascii="宋体" w:hAnsi="宋体" w:cs="宋体"/>
                <w:b/>
                <w:bCs/>
                <w:color w:val="auto"/>
                <w:szCs w:val="21"/>
              </w:rPr>
            </w:pPr>
            <w:r>
              <w:rPr>
                <w:rFonts w:hint="eastAsia" w:ascii="宋体" w:hAnsi="宋体" w:cs="宋体"/>
                <w:color w:val="auto"/>
                <w:szCs w:val="21"/>
                <w:lang w:bidi="zh-CN"/>
              </w:rPr>
              <w:t>实行重点工程项目考察约谈机制。项目单位牵头负责，公管等部门参与对预中标单位进行考察约谈、警醒提示，防止非法转包、违法分包、挂靠及出借资质的情况发生。</w:t>
            </w:r>
          </w:p>
        </w:tc>
      </w:tr>
      <w:tr w14:paraId="013F6384">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7F0FADAE">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10.11</w:t>
            </w:r>
          </w:p>
        </w:tc>
        <w:tc>
          <w:tcPr>
            <w:tcW w:w="2160" w:type="dxa"/>
            <w:tcBorders>
              <w:top w:val="single" w:color="auto" w:sz="4" w:space="0"/>
              <w:left w:val="single" w:color="auto" w:sz="4" w:space="0"/>
              <w:bottom w:val="single" w:color="auto" w:sz="4" w:space="0"/>
              <w:right w:val="single" w:color="auto" w:sz="4" w:space="0"/>
            </w:tcBorders>
            <w:vAlign w:val="center"/>
          </w:tcPr>
          <w:p w14:paraId="752DD344">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变更招标方式</w:t>
            </w:r>
          </w:p>
        </w:tc>
        <w:tc>
          <w:tcPr>
            <w:tcW w:w="7305" w:type="dxa"/>
            <w:tcBorders>
              <w:top w:val="single" w:color="auto" w:sz="4" w:space="0"/>
              <w:left w:val="single" w:color="auto" w:sz="4" w:space="0"/>
              <w:bottom w:val="single" w:color="auto" w:sz="4" w:space="0"/>
              <w:right w:val="single" w:color="auto" w:sz="4" w:space="0"/>
            </w:tcBorders>
            <w:vAlign w:val="center"/>
          </w:tcPr>
          <w:p w14:paraId="3B2C032C">
            <w:pPr>
              <w:pStyle w:val="11"/>
              <w:adjustRightInd w:val="0"/>
              <w:snapToGrid w:val="0"/>
              <w:spacing w:line="560" w:lineRule="exact"/>
              <w:rPr>
                <w:rFonts w:ascii="宋体" w:hAnsi="宋体" w:cs="宋体"/>
                <w:color w:val="auto"/>
                <w:szCs w:val="21"/>
              </w:rPr>
            </w:pPr>
            <w:r>
              <w:rPr>
                <w:rFonts w:hint="eastAsia" w:ascii="宋体" w:hAnsi="宋体" w:cs="宋体"/>
                <w:color w:val="auto"/>
                <w:szCs w:val="21"/>
                <w:lang w:bidi="zh-CN"/>
              </w:rPr>
              <w:t>按照滁州市公共资源交易监督管理局现行规定执行。</w:t>
            </w:r>
          </w:p>
        </w:tc>
      </w:tr>
      <w:tr w14:paraId="79768F9B">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0B77BDC8">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10.12</w:t>
            </w:r>
          </w:p>
        </w:tc>
        <w:tc>
          <w:tcPr>
            <w:tcW w:w="2160" w:type="dxa"/>
            <w:tcBorders>
              <w:top w:val="single" w:color="auto" w:sz="4" w:space="0"/>
              <w:left w:val="single" w:color="auto" w:sz="4" w:space="0"/>
              <w:bottom w:val="single" w:color="auto" w:sz="4" w:space="0"/>
              <w:right w:val="single" w:color="auto" w:sz="4" w:space="0"/>
            </w:tcBorders>
            <w:vAlign w:val="center"/>
          </w:tcPr>
          <w:p w14:paraId="3C179BA6">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招标人补充的</w:t>
            </w:r>
          </w:p>
          <w:p w14:paraId="11518ACC">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其他内容</w:t>
            </w:r>
          </w:p>
        </w:tc>
        <w:tc>
          <w:tcPr>
            <w:tcW w:w="7305" w:type="dxa"/>
            <w:tcBorders>
              <w:top w:val="single" w:color="auto" w:sz="4" w:space="0"/>
              <w:left w:val="single" w:color="auto" w:sz="4" w:space="0"/>
              <w:bottom w:val="single" w:color="auto" w:sz="4" w:space="0"/>
              <w:right w:val="single" w:color="auto" w:sz="4" w:space="0"/>
            </w:tcBorders>
            <w:vAlign w:val="center"/>
          </w:tcPr>
          <w:p w14:paraId="42AC50A4">
            <w:pPr>
              <w:adjustRightInd w:val="0"/>
              <w:snapToGrid w:val="0"/>
              <w:spacing w:line="560" w:lineRule="exact"/>
              <w:rPr>
                <w:rFonts w:ascii="宋体" w:hAnsi="宋体" w:cs="宋体"/>
                <w:b/>
                <w:bCs/>
                <w:color w:val="auto"/>
                <w:szCs w:val="21"/>
              </w:rPr>
            </w:pPr>
            <w:r>
              <w:rPr>
                <w:rFonts w:hint="eastAsia" w:ascii="宋体" w:hAnsi="宋体" w:cs="宋体"/>
                <w:b/>
                <w:bCs/>
                <w:color w:val="auto"/>
                <w:szCs w:val="21"/>
              </w:rPr>
              <w:t>（1）创建优质工程</w:t>
            </w:r>
          </w:p>
          <w:p w14:paraId="3A04359F">
            <w:pPr>
              <w:adjustRightInd w:val="0"/>
              <w:snapToGrid w:val="0"/>
              <w:spacing w:line="560" w:lineRule="exact"/>
              <w:ind w:firstLine="420" w:firstLineChars="200"/>
              <w:rPr>
                <w:rFonts w:ascii="宋体" w:hAnsi="宋体" w:cs="宋体"/>
                <w:color w:val="auto"/>
                <w:szCs w:val="21"/>
              </w:rPr>
            </w:pPr>
            <w:r>
              <w:rPr>
                <w:rFonts w:hint="eastAsia" w:ascii="宋体" w:hAnsi="宋体" w:cs="宋体"/>
                <w:color w:val="auto"/>
                <w:szCs w:val="21"/>
              </w:rPr>
              <w:t>不要求。</w:t>
            </w:r>
          </w:p>
          <w:p w14:paraId="44A0B6F0">
            <w:pPr>
              <w:keepNext/>
              <w:keepLines/>
              <w:adjustRightInd w:val="0"/>
              <w:snapToGrid w:val="0"/>
              <w:spacing w:line="560" w:lineRule="exact"/>
              <w:outlineLvl w:val="3"/>
              <w:rPr>
                <w:rFonts w:ascii="宋体" w:hAnsi="宋体" w:cs="宋体"/>
                <w:b/>
                <w:color w:val="auto"/>
                <w:szCs w:val="21"/>
              </w:rPr>
            </w:pPr>
            <w:r>
              <w:rPr>
                <w:rFonts w:hint="eastAsia" w:ascii="宋体" w:hAnsi="宋体" w:cs="宋体"/>
                <w:b/>
                <w:color w:val="auto"/>
                <w:szCs w:val="21"/>
              </w:rPr>
              <w:t>（2）暂估价</w:t>
            </w:r>
          </w:p>
          <w:p w14:paraId="09C97F50">
            <w:pPr>
              <w:adjustRightInd w:val="0"/>
              <w:snapToGrid w:val="0"/>
              <w:spacing w:line="560" w:lineRule="exact"/>
              <w:ind w:firstLine="210" w:firstLineChars="100"/>
              <w:rPr>
                <w:rFonts w:ascii="宋体" w:hAnsi="宋体" w:cs="宋体"/>
                <w:color w:val="auto"/>
                <w:szCs w:val="21"/>
                <w:u w:val="single"/>
              </w:rPr>
            </w:pPr>
            <w:r>
              <w:rPr>
                <w:rFonts w:hint="eastAsia" w:ascii="宋体" w:hAnsi="宋体" w:cs="宋体"/>
                <w:color w:val="auto"/>
                <w:kern w:val="0"/>
                <w:szCs w:val="21"/>
              </w:rPr>
              <w:t>暂估价材料、工程设备及专业工程约定：详见工程量清单；</w:t>
            </w:r>
          </w:p>
          <w:p w14:paraId="5092FC58">
            <w:pPr>
              <w:spacing w:line="560" w:lineRule="exact"/>
              <w:rPr>
                <w:rFonts w:ascii="宋体" w:hAnsi="宋体" w:cs="宋体"/>
                <w:b/>
                <w:bCs/>
                <w:color w:val="auto"/>
                <w:szCs w:val="21"/>
              </w:rPr>
            </w:pPr>
            <w:r>
              <w:rPr>
                <w:rFonts w:hint="eastAsia" w:ascii="宋体" w:hAnsi="宋体" w:cs="宋体"/>
                <w:b/>
                <w:bCs/>
                <w:color w:val="auto"/>
                <w:szCs w:val="21"/>
              </w:rPr>
              <w:t>（3）安全生产</w:t>
            </w:r>
          </w:p>
          <w:p w14:paraId="6C82561C">
            <w:pPr>
              <w:spacing w:line="560" w:lineRule="exact"/>
              <w:ind w:firstLine="420" w:firstLineChars="200"/>
              <w:rPr>
                <w:rFonts w:ascii="宋体" w:hAnsi="宋体" w:cs="宋体"/>
                <w:color w:val="auto"/>
                <w:szCs w:val="21"/>
              </w:rPr>
            </w:pPr>
            <w:r>
              <w:rPr>
                <w:rFonts w:hint="eastAsia" w:ascii="宋体" w:hAnsi="宋体" w:cs="宋体"/>
                <w:color w:val="auto"/>
                <w:szCs w:val="21"/>
              </w:rPr>
              <w:t>①须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705165A6">
            <w:pPr>
              <w:spacing w:line="560" w:lineRule="exact"/>
              <w:ind w:firstLine="420" w:firstLineChars="200"/>
              <w:rPr>
                <w:rFonts w:ascii="宋体" w:hAnsi="宋体" w:cs="宋体"/>
                <w:color w:val="auto"/>
                <w:szCs w:val="21"/>
              </w:rPr>
            </w:pPr>
            <w:r>
              <w:rPr>
                <w:rFonts w:hint="eastAsia" w:ascii="宋体" w:hAnsi="宋体" w:cs="宋体"/>
                <w:color w:val="auto"/>
                <w:szCs w:val="21"/>
              </w:rPr>
              <w:t>②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合同的各项规定，做到生产与安全工作同时计划、布置、检查、总结和评比。</w:t>
            </w:r>
          </w:p>
        </w:tc>
      </w:tr>
      <w:tr w14:paraId="22F84B60">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0C152D74">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10.13</w:t>
            </w:r>
          </w:p>
        </w:tc>
        <w:tc>
          <w:tcPr>
            <w:tcW w:w="2160" w:type="dxa"/>
            <w:tcBorders>
              <w:top w:val="single" w:color="auto" w:sz="4" w:space="0"/>
              <w:left w:val="single" w:color="auto" w:sz="4" w:space="0"/>
              <w:bottom w:val="single" w:color="auto" w:sz="4" w:space="0"/>
              <w:right w:val="single" w:color="auto" w:sz="4" w:space="0"/>
            </w:tcBorders>
            <w:vAlign w:val="center"/>
          </w:tcPr>
          <w:p w14:paraId="34110DC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农民工工资管理</w:t>
            </w:r>
          </w:p>
        </w:tc>
        <w:tc>
          <w:tcPr>
            <w:tcW w:w="7305" w:type="dxa"/>
            <w:tcBorders>
              <w:top w:val="single" w:color="auto" w:sz="4" w:space="0"/>
              <w:left w:val="single" w:color="auto" w:sz="4" w:space="0"/>
              <w:bottom w:val="single" w:color="auto" w:sz="4" w:space="0"/>
              <w:right w:val="single" w:color="auto" w:sz="4" w:space="0"/>
            </w:tcBorders>
            <w:vAlign w:val="center"/>
          </w:tcPr>
          <w:p w14:paraId="1A1DA382">
            <w:pPr>
              <w:spacing w:line="560" w:lineRule="exact"/>
              <w:rPr>
                <w:rFonts w:ascii="宋体" w:hAnsi="宋体" w:cs="宋体"/>
                <w:color w:val="auto"/>
                <w:szCs w:val="21"/>
              </w:rPr>
            </w:pPr>
            <w:r>
              <w:rPr>
                <w:rFonts w:hint="eastAsia" w:ascii="宋体" w:hAnsi="宋体" w:cs="宋体"/>
                <w:color w:val="auto"/>
                <w:szCs w:val="21"/>
              </w:rPr>
              <w:t>根据安徽省住房和城乡建设厅建市函[2022]490号关于建立长效机制切实保障建筑行业农民工工资支付工作的通知，严格落实人工费用与其他工程款分账管理的要求，按照合同约定和实际施工进度，按月将人工费用足额拨付至本项目开设的农民工工资专用账户。</w:t>
            </w:r>
            <w:r>
              <w:rPr>
                <w:rFonts w:hint="eastAsia" w:ascii="宋体" w:hAnsi="宋体" w:cs="宋体"/>
                <w:color w:val="auto"/>
                <w:szCs w:val="21"/>
                <w:highlight w:val="none"/>
              </w:rPr>
              <w:t>按照施工过程结算的相关规定，建设单位每月拨付人工费原则上不低于当月工程结算款的30%。</w:t>
            </w:r>
          </w:p>
        </w:tc>
      </w:tr>
    </w:tbl>
    <w:p w14:paraId="50B7A0D8">
      <w:pPr>
        <w:rPr>
          <w:rFonts w:ascii="宋体" w:hAnsi="宋体" w:cs="宋体"/>
          <w:color w:val="auto"/>
          <w:szCs w:val="21"/>
        </w:rPr>
      </w:pPr>
    </w:p>
    <w:p w14:paraId="643FDAD5">
      <w:pPr>
        <w:rPr>
          <w:rFonts w:hint="eastAsia" w:ascii="宋体" w:hAnsi="宋体" w:cs="宋体"/>
          <w:color w:val="auto"/>
          <w:sz w:val="21"/>
          <w:szCs w:val="21"/>
        </w:rPr>
      </w:pPr>
      <w:r>
        <w:rPr>
          <w:rFonts w:hint="eastAsia" w:ascii="宋体" w:hAnsi="宋体" w:cs="宋体"/>
          <w:color w:val="auto"/>
          <w:sz w:val="21"/>
          <w:szCs w:val="21"/>
        </w:rPr>
        <w:br w:type="page"/>
      </w:r>
    </w:p>
    <w:p w14:paraId="1871A2C5">
      <w:pPr>
        <w:pStyle w:val="4"/>
        <w:adjustRightInd w:val="0"/>
        <w:snapToGrid w:val="0"/>
        <w:spacing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1.1 项目概况</w:t>
      </w:r>
    </w:p>
    <w:p w14:paraId="2485C85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1.1.1根据《中华人民共和国招标投标法》《中华人民共和国招标投标法实施条例》等有关法律、法规和规章的规定，本招标项目已具备招标条件，现对本项目进行招标。</w:t>
      </w:r>
    </w:p>
    <w:p w14:paraId="457CDD6A">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1.1.2 本招标项目招标人：见投标人须知前附表。</w:t>
      </w:r>
    </w:p>
    <w:p w14:paraId="6427EB6A">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1.1.3 本招标项目招标代理机构：见投标人须知前附表。</w:t>
      </w:r>
    </w:p>
    <w:p w14:paraId="2CD0368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1.1.4 本招标项目名称：见投标人须知前附表。</w:t>
      </w:r>
    </w:p>
    <w:p w14:paraId="634E570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1.1.5 本招标项目建设地点：见投标人须知前附表。</w:t>
      </w:r>
    </w:p>
    <w:p w14:paraId="4AFF600B">
      <w:pPr>
        <w:pStyle w:val="4"/>
        <w:adjustRightInd w:val="0"/>
        <w:snapToGrid w:val="0"/>
        <w:spacing w:line="500" w:lineRule="exact"/>
        <w:ind w:firstLine="422" w:firstLineChars="200"/>
        <w:jc w:val="left"/>
        <w:rPr>
          <w:rFonts w:ascii="宋体" w:hAnsi="宋体" w:cs="宋体"/>
          <w:color w:val="auto"/>
          <w:sz w:val="21"/>
          <w:szCs w:val="21"/>
        </w:rPr>
      </w:pPr>
      <w:bookmarkStart w:id="33" w:name="_Toc179632548"/>
      <w:bookmarkStart w:id="34" w:name="_Toc246996177"/>
      <w:bookmarkStart w:id="35" w:name="_Toc246996920"/>
      <w:bookmarkStart w:id="36" w:name="_Toc15058848"/>
      <w:bookmarkStart w:id="37" w:name="_Toc152045531"/>
      <w:bookmarkStart w:id="38" w:name="_Toc152042307"/>
      <w:bookmarkStart w:id="39" w:name="_Toc95223338"/>
      <w:bookmarkStart w:id="40" w:name="_Toc296602422"/>
      <w:bookmarkStart w:id="41" w:name="_Toc144974499"/>
      <w:bookmarkStart w:id="42" w:name="_Toc506107271"/>
      <w:bookmarkStart w:id="43" w:name="_Toc324404817"/>
      <w:bookmarkStart w:id="44" w:name="_Toc247085691"/>
      <w:bookmarkStart w:id="45" w:name="_Toc83301690"/>
      <w:bookmarkStart w:id="46" w:name="_Toc60061435"/>
      <w:r>
        <w:rPr>
          <w:rFonts w:hint="eastAsia" w:ascii="宋体" w:hAnsi="宋体" w:cs="宋体"/>
          <w:color w:val="auto"/>
          <w:sz w:val="21"/>
          <w:szCs w:val="21"/>
        </w:rPr>
        <w:t>1.2 资金来源和落实情况</w:t>
      </w:r>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10A41FA">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1.2.1 本招标项目的资金来源及出资比例：见投标人须知前附表。</w:t>
      </w:r>
    </w:p>
    <w:p w14:paraId="44653FA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1.2.2 本招标项目的资金落实情况：见投标人须知前附表。</w:t>
      </w:r>
    </w:p>
    <w:p w14:paraId="23C07142">
      <w:pPr>
        <w:pStyle w:val="4"/>
        <w:adjustRightInd w:val="0"/>
        <w:snapToGrid w:val="0"/>
        <w:spacing w:line="500" w:lineRule="exact"/>
        <w:ind w:firstLine="422" w:firstLineChars="200"/>
        <w:jc w:val="left"/>
        <w:rPr>
          <w:rFonts w:ascii="宋体" w:hAnsi="宋体" w:cs="宋体"/>
          <w:color w:val="auto"/>
          <w:sz w:val="21"/>
          <w:szCs w:val="21"/>
        </w:rPr>
      </w:pPr>
      <w:bookmarkStart w:id="47" w:name="_Toc324404818"/>
      <w:bookmarkStart w:id="48" w:name="_Toc247085692"/>
      <w:bookmarkStart w:id="49" w:name="_Toc296602423"/>
      <w:bookmarkStart w:id="50" w:name="_Toc246996921"/>
      <w:bookmarkStart w:id="51" w:name="_Toc83301691"/>
      <w:bookmarkStart w:id="52" w:name="_Toc144974500"/>
      <w:bookmarkStart w:id="53" w:name="_Toc152045532"/>
      <w:bookmarkStart w:id="54" w:name="_Toc246996178"/>
      <w:bookmarkStart w:id="55" w:name="_Toc95223339"/>
      <w:bookmarkStart w:id="56" w:name="_Toc152042308"/>
      <w:bookmarkStart w:id="57" w:name="_Toc506107272"/>
      <w:bookmarkStart w:id="58" w:name="_Toc15058849"/>
      <w:bookmarkStart w:id="59" w:name="_Toc60061436"/>
      <w:bookmarkStart w:id="60" w:name="_Toc179632549"/>
      <w:r>
        <w:rPr>
          <w:rFonts w:hint="eastAsia" w:ascii="宋体" w:hAnsi="宋体" w:cs="宋体"/>
          <w:color w:val="auto"/>
          <w:sz w:val="21"/>
          <w:szCs w:val="21"/>
        </w:rPr>
        <w:t>1.3 招标范围、计划工期、质量要求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B0058E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1.3.1 本次招标范围：见投标人须知前附表。</w:t>
      </w:r>
    </w:p>
    <w:p w14:paraId="480B8B3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1.3.2 本招标项目的计划工期：见投标人须知前附表。</w:t>
      </w:r>
    </w:p>
    <w:p w14:paraId="4EFA5E8D">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1.3.3 本招标项目的质量要求：见投标人须知前附表。</w:t>
      </w:r>
    </w:p>
    <w:p w14:paraId="292DD058">
      <w:pPr>
        <w:pStyle w:val="4"/>
        <w:adjustRightInd w:val="0"/>
        <w:snapToGrid w:val="0"/>
        <w:spacing w:line="500" w:lineRule="exact"/>
        <w:ind w:firstLine="422" w:firstLineChars="200"/>
        <w:jc w:val="left"/>
        <w:rPr>
          <w:rFonts w:ascii="宋体" w:hAnsi="宋体" w:cs="宋体"/>
          <w:color w:val="auto"/>
          <w:sz w:val="21"/>
          <w:szCs w:val="21"/>
        </w:rPr>
      </w:pPr>
      <w:bookmarkStart w:id="61" w:name="_Toc179632551"/>
      <w:bookmarkStart w:id="62" w:name="_Toc83301692"/>
      <w:bookmarkStart w:id="63" w:name="_Toc15058850"/>
      <w:bookmarkStart w:id="64" w:name="_Toc95223340"/>
      <w:bookmarkStart w:id="65" w:name="_Toc296602424"/>
      <w:bookmarkStart w:id="66" w:name="_Toc506107273"/>
      <w:bookmarkStart w:id="67" w:name="_Toc60061437"/>
      <w:bookmarkStart w:id="68" w:name="_Toc246996179"/>
      <w:bookmarkStart w:id="69" w:name="_Toc152042310"/>
      <w:bookmarkStart w:id="70" w:name="_Toc246996922"/>
      <w:bookmarkStart w:id="71" w:name="_Toc144974502"/>
      <w:bookmarkStart w:id="72" w:name="_Toc324404819"/>
      <w:bookmarkStart w:id="73" w:name="_Toc247085693"/>
      <w:bookmarkStart w:id="74" w:name="_Toc152045534"/>
      <w:r>
        <w:rPr>
          <w:rFonts w:hint="eastAsia" w:ascii="宋体" w:hAnsi="宋体" w:cs="宋体"/>
          <w:color w:val="auto"/>
          <w:sz w:val="21"/>
          <w:szCs w:val="21"/>
        </w:rPr>
        <w:t>1.4 投标人资格要求</w:t>
      </w:r>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6E83A357">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1.4.1 投标人应具备承担本项目施工的资质条件、能力和信誉。</w:t>
      </w:r>
    </w:p>
    <w:p w14:paraId="56E34F84">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（1）资质条件：见投标人须知前附表；</w:t>
      </w:r>
    </w:p>
    <w:p w14:paraId="42B6286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（2）信誉要求：见投标人须知前附表；</w:t>
      </w:r>
    </w:p>
    <w:p w14:paraId="0D73D26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（3）项目负责人资格：见投标人须知前附表；</w:t>
      </w:r>
    </w:p>
    <w:p w14:paraId="5BE5264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（4）其他要求：见投标人须知前附表。</w:t>
      </w:r>
    </w:p>
    <w:p w14:paraId="56291F3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1.4.2 投标人须知前附表规定接受联合体投标的，除应符合本章第1.4.1项和投标人须知前附表的要求外，还应遵守以下规定： </w:t>
      </w:r>
    </w:p>
    <w:p w14:paraId="397CBB4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（1）联合体各方应按招标文件提供的格式签订联合体协议书，明确联合体各方权利义务</w:t>
      </w:r>
      <w:r>
        <w:rPr>
          <w:rFonts w:hint="eastAsia" w:ascii="宋体" w:hAnsi="宋体" w:cs="宋体"/>
          <w:color w:val="auto"/>
          <w:spacing w:val="-3"/>
          <w:szCs w:val="21"/>
        </w:rPr>
        <w:t>，并承诺就中标项目向招标人承担连带责任</w:t>
      </w:r>
      <w:r>
        <w:rPr>
          <w:rFonts w:hint="eastAsia" w:ascii="宋体" w:hAnsi="宋体" w:cs="宋体"/>
          <w:color w:val="auto"/>
          <w:szCs w:val="21"/>
        </w:rPr>
        <w:t>；</w:t>
      </w:r>
    </w:p>
    <w:p w14:paraId="18893C5D">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（2）联合体各方不得再以自己名义单独或参加其他联合体在同一标段中投标。</w:t>
      </w:r>
    </w:p>
    <w:p w14:paraId="4E01A05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1.4.3</w:t>
      </w:r>
      <w:bookmarkStart w:id="75" w:name="_Toc95223341"/>
      <w:bookmarkStart w:id="76" w:name="_Toc144974503"/>
      <w:bookmarkStart w:id="77" w:name="_Toc152042311"/>
      <w:bookmarkStart w:id="78" w:name="_Toc15058851"/>
      <w:bookmarkStart w:id="79" w:name="_Toc152045535"/>
      <w:bookmarkStart w:id="80" w:name="_Toc296602425"/>
      <w:bookmarkStart w:id="81" w:name="_Toc246996180"/>
      <w:bookmarkStart w:id="82" w:name="_Toc60061438"/>
      <w:bookmarkStart w:id="83" w:name="_Toc179632552"/>
      <w:bookmarkStart w:id="84" w:name="_Toc83301693"/>
      <w:bookmarkStart w:id="85" w:name="_Toc324404820"/>
      <w:bookmarkStart w:id="86" w:name="_Toc506107274"/>
      <w:bookmarkStart w:id="87" w:name="_Toc246996923"/>
      <w:bookmarkStart w:id="88" w:name="_Toc247085694"/>
      <w:r>
        <w:rPr>
          <w:rFonts w:hint="eastAsia" w:ascii="宋体" w:hAnsi="宋体" w:cs="宋体"/>
          <w:color w:val="auto"/>
          <w:szCs w:val="21"/>
        </w:rPr>
        <w:t>投标人（包括联合体各成员）不得与本标段相关单位存在下列关联关系：</w:t>
      </w:r>
    </w:p>
    <w:p w14:paraId="3D129AD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（1）为招标人不具有独立法人资格的附属机构（单位）；</w:t>
      </w:r>
    </w:p>
    <w:p w14:paraId="1692DBE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（2）与招标人存在利害关系且可能影响招标公正性；</w:t>
      </w:r>
    </w:p>
    <w:p w14:paraId="1783C10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（3）与本标段的其他投标人同为一个单位负责人；</w:t>
      </w:r>
    </w:p>
    <w:p w14:paraId="53EDEC9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（4）与本标段的其他投标人存在控股、管理关系；</w:t>
      </w:r>
    </w:p>
    <w:p w14:paraId="0128BE05">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（5）为本标段前期准备提供设计或咨询服务的法人或其任何附属机构（单位）；</w:t>
      </w:r>
    </w:p>
    <w:p w14:paraId="2AC949B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（6）为本标段的监理人；</w:t>
      </w:r>
    </w:p>
    <w:p w14:paraId="314EC81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（7）为本标段的代建人；</w:t>
      </w:r>
    </w:p>
    <w:p w14:paraId="101C12A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（8）为本标段的招标代理机构；</w:t>
      </w:r>
    </w:p>
    <w:p w14:paraId="5D1D9D3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（9）与本标段的监理人或代建人或招标代理机构同为一个法定代表人；</w:t>
      </w:r>
    </w:p>
    <w:p w14:paraId="11AA646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（10）与本标段的监理人或代建人或招标代理机构存在控股或参股关系；</w:t>
      </w:r>
    </w:p>
    <w:p w14:paraId="1C06411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（11）法律法规或投标人须知前附表规定的其他情形。</w:t>
      </w:r>
    </w:p>
    <w:p w14:paraId="3DA4376D">
      <w:pPr>
        <w:pStyle w:val="4"/>
        <w:adjustRightInd w:val="0"/>
        <w:snapToGrid w:val="0"/>
        <w:spacing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1.5 费用承担</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28CCE9D">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投标人准备和参加投标活动发生的费用自理。</w:t>
      </w:r>
    </w:p>
    <w:p w14:paraId="26D2BB10">
      <w:pPr>
        <w:pStyle w:val="4"/>
        <w:adjustRightInd w:val="0"/>
        <w:snapToGrid w:val="0"/>
        <w:spacing w:line="500" w:lineRule="exact"/>
        <w:ind w:firstLine="422" w:firstLineChars="200"/>
        <w:jc w:val="left"/>
        <w:rPr>
          <w:rFonts w:ascii="宋体" w:hAnsi="宋体" w:cs="宋体"/>
          <w:color w:val="auto"/>
          <w:sz w:val="21"/>
          <w:szCs w:val="21"/>
        </w:rPr>
      </w:pPr>
      <w:bookmarkStart w:id="89" w:name="_Toc246996924"/>
      <w:bookmarkStart w:id="90" w:name="_Toc247085695"/>
      <w:bookmarkStart w:id="91" w:name="_Toc179632553"/>
      <w:bookmarkStart w:id="92" w:name="_Toc152045536"/>
      <w:bookmarkStart w:id="93" w:name="_Toc506107275"/>
      <w:bookmarkStart w:id="94" w:name="_Toc324404821"/>
      <w:bookmarkStart w:id="95" w:name="_Toc15058852"/>
      <w:bookmarkStart w:id="96" w:name="_Toc95223342"/>
      <w:bookmarkStart w:id="97" w:name="_Toc60061439"/>
      <w:bookmarkStart w:id="98" w:name="_Toc144974504"/>
      <w:bookmarkStart w:id="99" w:name="_Toc83301694"/>
      <w:bookmarkStart w:id="100" w:name="_Toc152042312"/>
      <w:bookmarkStart w:id="101" w:name="_Toc296602426"/>
      <w:bookmarkStart w:id="102" w:name="_Toc246996181"/>
      <w:r>
        <w:rPr>
          <w:rFonts w:hint="eastAsia" w:ascii="宋体" w:hAnsi="宋体" w:cs="宋体"/>
          <w:color w:val="auto"/>
          <w:sz w:val="21"/>
          <w:szCs w:val="21"/>
        </w:rPr>
        <w:t>1.6 保密</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1D61945F">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参与招标投标活动的各方应对招标文件和投标文件中的商业和技术等秘密保密，违者应对由此造成的后果承担法律责任。 </w:t>
      </w:r>
    </w:p>
    <w:p w14:paraId="2F1E4AC9">
      <w:pPr>
        <w:pStyle w:val="4"/>
        <w:adjustRightInd w:val="0"/>
        <w:snapToGrid w:val="0"/>
        <w:spacing w:line="500" w:lineRule="exact"/>
        <w:ind w:firstLine="422" w:firstLineChars="200"/>
        <w:jc w:val="left"/>
        <w:rPr>
          <w:rFonts w:ascii="宋体" w:hAnsi="宋体" w:cs="宋体"/>
          <w:color w:val="auto"/>
          <w:sz w:val="21"/>
          <w:szCs w:val="21"/>
        </w:rPr>
      </w:pPr>
      <w:bookmarkStart w:id="103" w:name="_Toc144974505"/>
      <w:bookmarkStart w:id="104" w:name="_Toc246996925"/>
      <w:bookmarkStart w:id="105" w:name="_Toc324404822"/>
      <w:bookmarkStart w:id="106" w:name="_Toc60061440"/>
      <w:bookmarkStart w:id="107" w:name="_Toc83301695"/>
      <w:bookmarkStart w:id="108" w:name="_Toc152045537"/>
      <w:bookmarkStart w:id="109" w:name="_Toc95223343"/>
      <w:bookmarkStart w:id="110" w:name="_Toc15058853"/>
      <w:bookmarkStart w:id="111" w:name="_Toc296602427"/>
      <w:bookmarkStart w:id="112" w:name="_Toc246996182"/>
      <w:bookmarkStart w:id="113" w:name="_Toc247085696"/>
      <w:bookmarkStart w:id="114" w:name="_Toc152042313"/>
      <w:bookmarkStart w:id="115" w:name="_Toc179632554"/>
      <w:bookmarkStart w:id="116" w:name="_Toc506107276"/>
      <w:r>
        <w:rPr>
          <w:rFonts w:hint="eastAsia" w:ascii="宋体" w:hAnsi="宋体" w:cs="宋体"/>
          <w:color w:val="auto"/>
          <w:sz w:val="21"/>
          <w:szCs w:val="21"/>
        </w:rPr>
        <w:t>1.7 语言</w:t>
      </w:r>
      <w:bookmarkEnd w:id="103"/>
      <w:r>
        <w:rPr>
          <w:rFonts w:hint="eastAsia" w:ascii="宋体" w:hAnsi="宋体" w:cs="宋体"/>
          <w:color w:val="auto"/>
          <w:sz w:val="21"/>
          <w:szCs w:val="21"/>
        </w:rPr>
        <w:t>文字</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65FEC339">
      <w:pPr>
        <w:adjustRightInd w:val="0"/>
        <w:snapToGrid w:val="0"/>
        <w:spacing w:line="500" w:lineRule="exact"/>
        <w:ind w:firstLine="420" w:firstLineChars="200"/>
        <w:jc w:val="left"/>
        <w:rPr>
          <w:rFonts w:ascii="宋体" w:hAnsi="宋体" w:cs="宋体"/>
          <w:color w:val="auto"/>
          <w:szCs w:val="21"/>
        </w:rPr>
      </w:pPr>
      <w:bookmarkStart w:id="117" w:name="_Toc246996183"/>
      <w:bookmarkStart w:id="118" w:name="_Toc247085697"/>
      <w:bookmarkStart w:id="119" w:name="_Toc152045538"/>
      <w:bookmarkStart w:id="120" w:name="_Toc152042314"/>
      <w:bookmarkStart w:id="121" w:name="_Toc179632555"/>
      <w:bookmarkStart w:id="122" w:name="_Toc144974506"/>
      <w:bookmarkStart w:id="123" w:name="_Toc246996926"/>
      <w:r>
        <w:rPr>
          <w:rFonts w:hint="eastAsia" w:ascii="宋体" w:hAnsi="宋体" w:cs="宋体"/>
          <w:color w:val="auto"/>
          <w:szCs w:val="21"/>
        </w:rPr>
        <w:t>招标投标文件使用的语言文字为中文。专用术语使用外文的，应附有中文注释。</w:t>
      </w:r>
    </w:p>
    <w:p w14:paraId="6EBEF9E7">
      <w:pPr>
        <w:pStyle w:val="4"/>
        <w:adjustRightInd w:val="0"/>
        <w:snapToGrid w:val="0"/>
        <w:spacing w:line="500" w:lineRule="exact"/>
        <w:ind w:firstLine="422" w:firstLineChars="200"/>
        <w:jc w:val="left"/>
        <w:rPr>
          <w:rFonts w:ascii="宋体" w:hAnsi="宋体" w:cs="宋体"/>
          <w:color w:val="auto"/>
          <w:sz w:val="21"/>
          <w:szCs w:val="21"/>
        </w:rPr>
      </w:pPr>
      <w:bookmarkStart w:id="124" w:name="_Toc15058854"/>
      <w:bookmarkStart w:id="125" w:name="_Toc296602428"/>
      <w:bookmarkStart w:id="126" w:name="_Toc506107277"/>
      <w:bookmarkStart w:id="127" w:name="_Toc60061441"/>
      <w:bookmarkStart w:id="128" w:name="_Toc83301696"/>
      <w:bookmarkStart w:id="129" w:name="_Toc324404823"/>
      <w:bookmarkStart w:id="130" w:name="_Toc95223344"/>
      <w:r>
        <w:rPr>
          <w:rFonts w:hint="eastAsia" w:ascii="宋体" w:hAnsi="宋体" w:cs="宋体"/>
          <w:color w:val="auto"/>
          <w:sz w:val="21"/>
          <w:szCs w:val="21"/>
        </w:rPr>
        <w:t>1.8 计量单位</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78379C2B">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所有计量均采用中华人民共和国法定计量单位。</w:t>
      </w:r>
    </w:p>
    <w:p w14:paraId="36664216">
      <w:pPr>
        <w:pStyle w:val="4"/>
        <w:adjustRightInd w:val="0"/>
        <w:snapToGrid w:val="0"/>
        <w:spacing w:line="500" w:lineRule="exact"/>
        <w:ind w:firstLine="422" w:firstLineChars="200"/>
        <w:jc w:val="left"/>
        <w:rPr>
          <w:rFonts w:ascii="宋体" w:hAnsi="宋体" w:cs="宋体"/>
          <w:color w:val="auto"/>
          <w:sz w:val="21"/>
          <w:szCs w:val="21"/>
        </w:rPr>
      </w:pPr>
      <w:bookmarkStart w:id="131" w:name="_Toc152042315"/>
      <w:bookmarkStart w:id="132" w:name="_Toc95223345"/>
      <w:bookmarkStart w:id="133" w:name="_Toc144974507"/>
      <w:bookmarkStart w:id="134" w:name="_Toc15058855"/>
      <w:bookmarkStart w:id="135" w:name="_Toc296602429"/>
      <w:bookmarkStart w:id="136" w:name="_Toc506107278"/>
      <w:bookmarkStart w:id="137" w:name="_Toc83301697"/>
      <w:bookmarkStart w:id="138" w:name="_Toc247527563"/>
      <w:bookmarkStart w:id="139" w:name="_Toc247513962"/>
      <w:bookmarkStart w:id="140" w:name="_Toc247592876"/>
      <w:bookmarkStart w:id="141" w:name="_Toc152045539"/>
      <w:bookmarkStart w:id="142" w:name="_Toc60061442"/>
      <w:bookmarkStart w:id="143" w:name="_Toc324404824"/>
      <w:r>
        <w:rPr>
          <w:rFonts w:hint="eastAsia" w:ascii="宋体" w:hAnsi="宋体" w:cs="宋体"/>
          <w:color w:val="auto"/>
          <w:sz w:val="21"/>
          <w:szCs w:val="21"/>
        </w:rPr>
        <w:t>1.9 踏勘现场</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38B2AA9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1.9.1前附表规定组织踏勘现场的，招标人按投标人须知前附表规定的时间、地点组织投标人踏勘项目现场。部分投标人未按时参加踏勘现场的，不影响踏勘现场的正常进行。招标人不得组织单个或部分投标人踏勘项目现场。 </w:t>
      </w:r>
    </w:p>
    <w:p w14:paraId="19F0E83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1.9.2 投标人踏勘现场发生的费用自理。</w:t>
      </w:r>
    </w:p>
    <w:p w14:paraId="0073BDA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1.9.3 除招标人的原因外，投标人自行负责在踏勘现场中所发生的人员伤亡和财产损失。</w:t>
      </w:r>
    </w:p>
    <w:p w14:paraId="5334C947">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1.9.4 招标人在踏勘现场中介绍的工程场地和相关的周边环境情况，供投标人在编制投标文件时参考，招标人不对投标人据此作出的判断和决策负责。</w:t>
      </w:r>
      <w:bookmarkStart w:id="144" w:name="_Toc60061443"/>
      <w:bookmarkStart w:id="145" w:name="_Toc247527564"/>
      <w:bookmarkStart w:id="146" w:name="_Toc152042316"/>
      <w:bookmarkStart w:id="147" w:name="_Toc506107279"/>
      <w:bookmarkStart w:id="148" w:name="_Toc296602430"/>
      <w:bookmarkStart w:id="149" w:name="_Toc247592877"/>
      <w:bookmarkStart w:id="150" w:name="_Toc152045540"/>
      <w:bookmarkStart w:id="151" w:name="_Toc144974508"/>
      <w:bookmarkStart w:id="152" w:name="_Toc324404825"/>
      <w:bookmarkStart w:id="153" w:name="_Toc15058856"/>
      <w:bookmarkStart w:id="154" w:name="_Toc247513963"/>
    </w:p>
    <w:p w14:paraId="799086D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1.9.5无论投标人是否到施工现场实地踏勘，中标后签订合同时和履约过程中，投标人不得以不完全了解现场情况或现场情况与招标文件描述不一致等为由，提出任何形式的增加工程造价或索赔的要求。</w:t>
      </w:r>
    </w:p>
    <w:p w14:paraId="4743383A">
      <w:pPr>
        <w:pStyle w:val="4"/>
        <w:adjustRightInd w:val="0"/>
        <w:snapToGrid w:val="0"/>
        <w:spacing w:line="500" w:lineRule="exact"/>
        <w:ind w:firstLine="422" w:firstLineChars="200"/>
        <w:jc w:val="left"/>
        <w:rPr>
          <w:rFonts w:ascii="宋体" w:hAnsi="宋体" w:cs="宋体"/>
          <w:color w:val="auto"/>
          <w:sz w:val="21"/>
          <w:szCs w:val="21"/>
        </w:rPr>
      </w:pPr>
      <w:bookmarkStart w:id="155" w:name="_Toc83301698"/>
      <w:bookmarkStart w:id="156" w:name="_Toc95223346"/>
      <w:r>
        <w:rPr>
          <w:rFonts w:hint="eastAsia" w:ascii="宋体" w:hAnsi="宋体" w:cs="宋体"/>
          <w:color w:val="auto"/>
          <w:sz w:val="21"/>
          <w:szCs w:val="21"/>
        </w:rPr>
        <w:t>1.10 投标预备会</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5CC35594">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1.10.1投标人须知前附表规定召开投标预备会的，招标人按投标人须知前附表规定的时间和地点召开投标预备会，澄清投标人提出的问题。</w:t>
      </w:r>
    </w:p>
    <w:p w14:paraId="140651F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1.10.2投标人应在投标人须知前附表规定的时间前，将提出的问题送达招标人，以便招标人澄清。</w:t>
      </w:r>
    </w:p>
    <w:p w14:paraId="003D95FF">
      <w:pPr>
        <w:pStyle w:val="4"/>
        <w:adjustRightInd w:val="0"/>
        <w:snapToGrid w:val="0"/>
        <w:spacing w:line="500" w:lineRule="exact"/>
        <w:ind w:firstLine="422" w:firstLineChars="200"/>
        <w:jc w:val="left"/>
        <w:rPr>
          <w:rFonts w:ascii="宋体" w:hAnsi="宋体" w:cs="宋体"/>
          <w:color w:val="auto"/>
          <w:sz w:val="21"/>
          <w:szCs w:val="21"/>
        </w:rPr>
      </w:pPr>
      <w:bookmarkStart w:id="157" w:name="_Toc506107280"/>
      <w:bookmarkStart w:id="158" w:name="_Toc15058857"/>
      <w:bookmarkStart w:id="159" w:name="_Toc324404826"/>
      <w:bookmarkStart w:id="160" w:name="_Toc296602431"/>
      <w:bookmarkStart w:id="161" w:name="_Toc83301699"/>
      <w:bookmarkStart w:id="162" w:name="_Toc95223347"/>
      <w:bookmarkStart w:id="163" w:name="_Toc60061444"/>
      <w:r>
        <w:rPr>
          <w:rFonts w:hint="eastAsia" w:ascii="宋体" w:hAnsi="宋体" w:cs="宋体"/>
          <w:color w:val="auto"/>
          <w:sz w:val="21"/>
          <w:szCs w:val="21"/>
        </w:rPr>
        <w:t xml:space="preserve">1.11 </w:t>
      </w:r>
      <w:bookmarkEnd w:id="157"/>
      <w:bookmarkEnd w:id="158"/>
      <w:bookmarkEnd w:id="159"/>
      <w:bookmarkEnd w:id="160"/>
      <w:r>
        <w:rPr>
          <w:rFonts w:hint="eastAsia" w:ascii="宋体" w:hAnsi="宋体" w:cs="宋体"/>
          <w:color w:val="auto"/>
          <w:sz w:val="21"/>
          <w:szCs w:val="21"/>
        </w:rPr>
        <w:t>分包</w:t>
      </w:r>
      <w:bookmarkEnd w:id="161"/>
      <w:bookmarkEnd w:id="162"/>
      <w:bookmarkEnd w:id="163"/>
    </w:p>
    <w:p w14:paraId="6CAD72CB">
      <w:pPr>
        <w:adjustRightInd w:val="0"/>
        <w:snapToGrid w:val="0"/>
        <w:spacing w:line="500" w:lineRule="exact"/>
        <w:ind w:firstLine="540"/>
        <w:jc w:val="left"/>
        <w:rPr>
          <w:rFonts w:ascii="宋体" w:hAnsi="宋体" w:cs="宋体"/>
          <w:bCs/>
          <w:snapToGrid w:val="0"/>
          <w:color w:val="auto"/>
          <w:kern w:val="0"/>
          <w:szCs w:val="21"/>
        </w:rPr>
      </w:pPr>
      <w:r>
        <w:rPr>
          <w:rFonts w:hint="eastAsia" w:ascii="宋体" w:hAnsi="宋体" w:cs="宋体"/>
          <w:bCs/>
          <w:snapToGrid w:val="0"/>
          <w:color w:val="auto"/>
          <w:kern w:val="0"/>
          <w:szCs w:val="21"/>
        </w:rPr>
        <w:t>1.11.1 投标人拟在中标后将中标项目的部分非主体、非关键性工作进行分包的，应符合以下规定：</w:t>
      </w:r>
    </w:p>
    <w:p w14:paraId="39DC7B88">
      <w:pPr>
        <w:tabs>
          <w:tab w:val="left" w:pos="1014"/>
        </w:tabs>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bCs/>
          <w:snapToGrid w:val="0"/>
          <w:color w:val="auto"/>
          <w:kern w:val="0"/>
          <w:szCs w:val="21"/>
        </w:rPr>
        <w:t>（1）分包内容要求：招标人允许分包或不允许分包的专业工程（如有）应在投标人须知前附表中载明；</w:t>
      </w:r>
    </w:p>
    <w:p w14:paraId="1093FFF6">
      <w:pPr>
        <w:tabs>
          <w:tab w:val="left" w:pos="1014"/>
        </w:tabs>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bCs/>
          <w:snapToGrid w:val="0"/>
          <w:color w:val="auto"/>
          <w:kern w:val="0"/>
          <w:szCs w:val="21"/>
        </w:rPr>
        <w:t>（2）接受分包的第三人资格要求：分包人的资格能力应与其分包工程的标准和规模相适应，且具备投标人须知前附表中规定的资格条件；</w:t>
      </w:r>
    </w:p>
    <w:p w14:paraId="7C324782">
      <w:pPr>
        <w:tabs>
          <w:tab w:val="left" w:pos="1030"/>
        </w:tabs>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bCs/>
          <w:snapToGrid w:val="0"/>
          <w:color w:val="auto"/>
          <w:kern w:val="0"/>
          <w:szCs w:val="21"/>
        </w:rPr>
        <w:t>（3）其他要求：投标人如有分包计划，应按第九章“投标文件格式”的要求填写“拟分包项目情况表”，明确拟分包的工程及规模，且投标人中标后的分包应满足合同条款的相关要求。</w:t>
      </w:r>
    </w:p>
    <w:p w14:paraId="51B0FFFC">
      <w:pPr>
        <w:pStyle w:val="22"/>
        <w:adjustRightInd w:val="0"/>
        <w:snapToGrid w:val="0"/>
        <w:spacing w:line="500" w:lineRule="exact"/>
        <w:ind w:left="0" w:leftChars="0" w:firstLine="0" w:firstLineChars="0"/>
        <w:jc w:val="left"/>
        <w:rPr>
          <w:rFonts w:ascii="宋体" w:hAnsi="宋体" w:cs="宋体"/>
          <w:color w:val="auto"/>
          <w:szCs w:val="21"/>
        </w:rPr>
      </w:pPr>
      <w:r>
        <w:rPr>
          <w:rFonts w:hint="eastAsia" w:ascii="宋体" w:hAnsi="宋体" w:cs="宋体"/>
          <w:color w:val="auto"/>
          <w:szCs w:val="21"/>
        </w:rPr>
        <w:t xml:space="preserve">   1.11.2中标人不得向他人转让中标项目，接受分包的人不得再次分包。中标人应就分包项目</w:t>
      </w:r>
    </w:p>
    <w:p w14:paraId="6148B42F">
      <w:pPr>
        <w:pStyle w:val="22"/>
        <w:adjustRightInd w:val="0"/>
        <w:snapToGrid w:val="0"/>
        <w:spacing w:line="500" w:lineRule="exact"/>
        <w:ind w:left="0" w:leftChars="0" w:firstLine="0" w:firstLineChars="0"/>
        <w:jc w:val="left"/>
        <w:rPr>
          <w:rFonts w:ascii="宋体" w:hAnsi="宋体" w:cs="宋体"/>
          <w:color w:val="auto"/>
          <w:szCs w:val="21"/>
        </w:rPr>
      </w:pPr>
      <w:r>
        <w:rPr>
          <w:rFonts w:hint="eastAsia" w:ascii="宋体" w:hAnsi="宋体" w:cs="宋体"/>
          <w:color w:val="auto"/>
          <w:szCs w:val="21"/>
        </w:rPr>
        <w:t>向招标人负责，接受分包的人就分包项目承担连带责任。</w:t>
      </w:r>
    </w:p>
    <w:p w14:paraId="4E051DBB">
      <w:pPr>
        <w:pStyle w:val="4"/>
        <w:adjustRightInd w:val="0"/>
        <w:snapToGrid w:val="0"/>
        <w:spacing w:line="500" w:lineRule="exact"/>
        <w:ind w:firstLine="422" w:firstLineChars="200"/>
        <w:jc w:val="left"/>
        <w:rPr>
          <w:rFonts w:ascii="宋体" w:hAnsi="宋体" w:cs="宋体"/>
          <w:color w:val="auto"/>
          <w:sz w:val="21"/>
          <w:szCs w:val="21"/>
        </w:rPr>
      </w:pPr>
      <w:bookmarkStart w:id="164" w:name="_Toc60061445"/>
      <w:bookmarkStart w:id="165" w:name="_Toc95223348"/>
      <w:bookmarkStart w:id="166" w:name="_Toc83301700"/>
      <w:r>
        <w:rPr>
          <w:rFonts w:hint="eastAsia" w:ascii="宋体" w:hAnsi="宋体" w:cs="宋体"/>
          <w:color w:val="auto"/>
          <w:sz w:val="21"/>
          <w:szCs w:val="21"/>
        </w:rPr>
        <w:t>1.12 偏离</w:t>
      </w:r>
      <w:bookmarkEnd w:id="164"/>
      <w:bookmarkEnd w:id="165"/>
      <w:bookmarkEnd w:id="166"/>
    </w:p>
    <w:p w14:paraId="6677400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1.12.1投标文件偏离招标文件某些要求，视为投标文件存在偏差。偏差包括重大偏差和细微偏差。</w:t>
      </w:r>
    </w:p>
    <w:p w14:paraId="40AEBB3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1.12.2投标文件应对招标文件的实质性要求和条件作出满足性或更有利于招标人的响应，否则，视为投标文件存在重大偏差，投标人的投标将被否决。</w:t>
      </w:r>
    </w:p>
    <w:p w14:paraId="3C4121DF">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投标文件存在第四章“评标办法”中所列任一无效投标情形的，均属于存在重大偏差。</w:t>
      </w:r>
    </w:p>
    <w:p w14:paraId="1B6C804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1.12.3投标文件中的下列偏差为细微偏差：</w:t>
      </w:r>
    </w:p>
    <w:p w14:paraId="75CCB280">
      <w:pPr>
        <w:tabs>
          <w:tab w:val="left" w:pos="1014"/>
        </w:tabs>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bCs/>
          <w:snapToGrid w:val="0"/>
          <w:color w:val="auto"/>
          <w:kern w:val="0"/>
          <w:szCs w:val="21"/>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0879C44E">
      <w:pPr>
        <w:tabs>
          <w:tab w:val="left" w:pos="1014"/>
        </w:tabs>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bCs/>
          <w:snapToGrid w:val="0"/>
          <w:color w:val="auto"/>
          <w:kern w:val="0"/>
          <w:szCs w:val="21"/>
        </w:rPr>
        <w:t>（2）投标文件个别文字有遗漏错误等不影响投标文件实质性内容的偏差。</w:t>
      </w:r>
    </w:p>
    <w:p w14:paraId="4CC79A67">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1.12.4评标委员会对投标文件中的细微偏差按如下规定处理：</w:t>
      </w:r>
    </w:p>
    <w:p w14:paraId="5117EE5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对于本章第 1.12.3 项（1）目所述的细微偏差，按照第四章“评标办法”的规定予以修正并要求投标人进行澄清；</w:t>
      </w:r>
    </w:p>
    <w:p w14:paraId="0038A75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对于本章第 1.12.3 项（2）目所述的细微偏差，可要求投标人对细微偏差进行澄清。</w:t>
      </w:r>
      <w:bookmarkStart w:id="167" w:name="_Toc179632560"/>
      <w:bookmarkStart w:id="168" w:name="_Toc247085701"/>
      <w:bookmarkStart w:id="169" w:name="_Toc144974510"/>
      <w:bookmarkStart w:id="170" w:name="_Toc152042318"/>
      <w:bookmarkStart w:id="171" w:name="_Toc83301701"/>
      <w:bookmarkStart w:id="172" w:name="_Toc246996930"/>
      <w:bookmarkStart w:id="173" w:name="_Toc15058858"/>
      <w:bookmarkStart w:id="174" w:name="_Toc506107281"/>
      <w:bookmarkStart w:id="175" w:name="_Toc95223349"/>
      <w:bookmarkStart w:id="176" w:name="_Toc246996187"/>
      <w:bookmarkStart w:id="177" w:name="_Toc152045542"/>
      <w:bookmarkStart w:id="178" w:name="_Toc324404827"/>
      <w:bookmarkStart w:id="179" w:name="_Toc60061446"/>
    </w:p>
    <w:p w14:paraId="651CEF12">
      <w:pPr>
        <w:pStyle w:val="3"/>
        <w:adjustRightInd w:val="0"/>
        <w:snapToGrid w:val="0"/>
        <w:spacing w:line="500" w:lineRule="exact"/>
        <w:ind w:firstLine="422" w:firstLineChars="200"/>
        <w:jc w:val="left"/>
        <w:rPr>
          <w:rFonts w:ascii="宋体" w:hAnsi="宋体" w:eastAsia="宋体" w:cs="宋体"/>
          <w:color w:val="auto"/>
          <w:sz w:val="21"/>
          <w:szCs w:val="21"/>
        </w:rPr>
      </w:pPr>
      <w:r>
        <w:rPr>
          <w:rFonts w:hint="eastAsia" w:ascii="宋体" w:hAnsi="宋体" w:eastAsia="宋体" w:cs="宋体"/>
          <w:color w:val="auto"/>
          <w:sz w:val="21"/>
          <w:szCs w:val="21"/>
        </w:rPr>
        <w:t>2. 招标文件</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770595E9">
      <w:pPr>
        <w:pStyle w:val="4"/>
        <w:adjustRightInd w:val="0"/>
        <w:snapToGrid w:val="0"/>
        <w:spacing w:line="500" w:lineRule="exact"/>
        <w:ind w:firstLine="422" w:firstLineChars="200"/>
        <w:jc w:val="left"/>
        <w:rPr>
          <w:rFonts w:ascii="宋体" w:hAnsi="宋体" w:cs="宋体"/>
          <w:color w:val="auto"/>
          <w:sz w:val="21"/>
          <w:szCs w:val="21"/>
        </w:rPr>
      </w:pPr>
      <w:bookmarkStart w:id="180" w:name="_Toc15058859"/>
      <w:bookmarkStart w:id="181" w:name="_Toc152045543"/>
      <w:bookmarkStart w:id="182" w:name="_Toc246996188"/>
      <w:bookmarkStart w:id="183" w:name="_Toc95223350"/>
      <w:bookmarkStart w:id="184" w:name="_Toc179632561"/>
      <w:bookmarkStart w:id="185" w:name="_Toc60061447"/>
      <w:bookmarkStart w:id="186" w:name="_Toc144974511"/>
      <w:bookmarkStart w:id="187" w:name="_Toc247085702"/>
      <w:bookmarkStart w:id="188" w:name="_Toc246996931"/>
      <w:bookmarkStart w:id="189" w:name="_Toc83301702"/>
      <w:bookmarkStart w:id="190" w:name="_Toc152042319"/>
      <w:bookmarkStart w:id="191" w:name="_Toc506107282"/>
      <w:bookmarkStart w:id="192" w:name="_Toc296602433"/>
      <w:bookmarkStart w:id="193" w:name="_Toc324404828"/>
      <w:r>
        <w:rPr>
          <w:rFonts w:hint="eastAsia" w:ascii="宋体" w:hAnsi="宋体" w:cs="宋体"/>
          <w:color w:val="auto"/>
          <w:sz w:val="21"/>
          <w:szCs w:val="21"/>
        </w:rPr>
        <w:t>2.1 招标文件的组成</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4029FAA">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2.1.1 本招标文件包括：</w:t>
      </w:r>
    </w:p>
    <w:p w14:paraId="55123732">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（1）招标公告；</w:t>
      </w:r>
    </w:p>
    <w:p w14:paraId="176BAED2">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（2）投标人须知；</w:t>
      </w:r>
    </w:p>
    <w:p w14:paraId="3958FC06">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（3）资格审查办法</w:t>
      </w:r>
    </w:p>
    <w:p w14:paraId="3FE5A39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（4）评标办法；</w:t>
      </w:r>
    </w:p>
    <w:p w14:paraId="41689BEF">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（5）合同条款及格式；</w:t>
      </w:r>
    </w:p>
    <w:p w14:paraId="45A88651">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（6）图纸；</w:t>
      </w:r>
    </w:p>
    <w:p w14:paraId="09123835">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（7）技术要求； </w:t>
      </w:r>
    </w:p>
    <w:p w14:paraId="1984997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（8）投标文件格式；</w:t>
      </w:r>
    </w:p>
    <w:p w14:paraId="2DEE202F">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（9）投标人须知前附表规定的其他材料。</w:t>
      </w:r>
    </w:p>
    <w:p w14:paraId="7B6CC11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2.1.2 根据本章第1.10款、第2.2款和第2.3款对招标文件所作的澄清、修改，构成招标文件的组成部分。</w:t>
      </w:r>
    </w:p>
    <w:p w14:paraId="3EA9185F">
      <w:pPr>
        <w:pStyle w:val="11"/>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2.1.3当招标文件、招标文件的澄清或修改等在同一内容的表述上不一致时，以最后发出的文件为准。</w:t>
      </w:r>
    </w:p>
    <w:p w14:paraId="2B056143">
      <w:pPr>
        <w:pStyle w:val="4"/>
        <w:adjustRightInd w:val="0"/>
        <w:snapToGrid w:val="0"/>
        <w:spacing w:line="500" w:lineRule="exact"/>
        <w:ind w:firstLine="422" w:firstLineChars="200"/>
        <w:jc w:val="left"/>
        <w:rPr>
          <w:rFonts w:ascii="宋体" w:hAnsi="宋体" w:cs="宋体"/>
          <w:color w:val="auto"/>
          <w:sz w:val="21"/>
          <w:szCs w:val="21"/>
        </w:rPr>
      </w:pPr>
      <w:bookmarkStart w:id="194" w:name="_Toc179632562"/>
      <w:bookmarkStart w:id="195" w:name="_Toc152042320"/>
      <w:bookmarkStart w:id="196" w:name="_Toc83301703"/>
      <w:bookmarkStart w:id="197" w:name="_Toc15058860"/>
      <w:bookmarkStart w:id="198" w:name="_Toc324404829"/>
      <w:bookmarkStart w:id="199" w:name="_Toc95223351"/>
      <w:bookmarkStart w:id="200" w:name="_Toc247085703"/>
      <w:bookmarkStart w:id="201" w:name="_Toc60061448"/>
      <w:bookmarkStart w:id="202" w:name="_Toc296602434"/>
      <w:bookmarkStart w:id="203" w:name="_Toc144974512"/>
      <w:bookmarkStart w:id="204" w:name="_Toc152045544"/>
      <w:bookmarkStart w:id="205" w:name="_Toc246996932"/>
      <w:bookmarkStart w:id="206" w:name="_Toc506107283"/>
      <w:bookmarkStart w:id="207" w:name="_Toc246996189"/>
      <w:bookmarkStart w:id="208" w:name="_Toc179632564"/>
      <w:bookmarkStart w:id="209" w:name="_Toc152045546"/>
      <w:bookmarkStart w:id="210" w:name="_Toc247085705"/>
      <w:bookmarkStart w:id="211" w:name="_Toc83301706"/>
      <w:bookmarkStart w:id="212" w:name="_Toc246996934"/>
      <w:bookmarkStart w:id="213" w:name="_Toc324404832"/>
      <w:bookmarkStart w:id="214" w:name="_Toc60061451"/>
      <w:bookmarkStart w:id="215" w:name="_Toc246996191"/>
      <w:bookmarkStart w:id="216" w:name="_Toc95223354"/>
      <w:bookmarkStart w:id="217" w:name="_Toc15058863"/>
      <w:bookmarkStart w:id="218" w:name="_Toc144974514"/>
      <w:bookmarkStart w:id="219" w:name="_Toc152042322"/>
      <w:bookmarkStart w:id="220" w:name="_Toc506107285"/>
      <w:r>
        <w:rPr>
          <w:rFonts w:hint="eastAsia" w:ascii="宋体" w:hAnsi="宋体" w:cs="宋体"/>
          <w:color w:val="auto"/>
          <w:sz w:val="21"/>
          <w:szCs w:val="21"/>
        </w:rPr>
        <w:t>2.2招标文件的异议</w:t>
      </w:r>
    </w:p>
    <w:p w14:paraId="444E1ADA">
      <w:pPr>
        <w:pStyle w:val="22"/>
        <w:adjustRightInd w:val="0"/>
        <w:snapToGrid w:val="0"/>
        <w:spacing w:line="500" w:lineRule="exact"/>
        <w:ind w:left="0" w:leftChars="0" w:firstLine="0" w:firstLineChars="0"/>
        <w:jc w:val="left"/>
        <w:rPr>
          <w:rFonts w:ascii="宋体" w:hAnsi="宋体" w:cs="宋体"/>
          <w:color w:val="auto"/>
          <w:szCs w:val="21"/>
        </w:rPr>
      </w:pPr>
      <w:r>
        <w:rPr>
          <w:rFonts w:hint="eastAsia" w:ascii="宋体" w:hAnsi="宋体" w:cs="宋体"/>
          <w:color w:val="auto"/>
          <w:szCs w:val="21"/>
        </w:rPr>
        <w:t xml:space="preserve">   投标人或其他利害关系人投标人应仔细阅读和检查招标文件的全部内容，对招标文件有异议的，应在投标截止时间10日前以投标人须知前附表规定的网上留言或书面形式提出。招标人将在收到异议之日起3日内作出答复；作出答复前，将暂停招标投标活动。</w:t>
      </w:r>
    </w:p>
    <w:p w14:paraId="06839966">
      <w:pPr>
        <w:pStyle w:val="4"/>
        <w:adjustRightInd w:val="0"/>
        <w:snapToGrid w:val="0"/>
        <w:spacing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2.3招标文件的澄清</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cs="宋体"/>
          <w:color w:val="auto"/>
          <w:sz w:val="21"/>
          <w:szCs w:val="21"/>
        </w:rPr>
        <w:t xml:space="preserve"> </w:t>
      </w:r>
    </w:p>
    <w:p w14:paraId="290C46B7">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招标人可以澄清招标文件，并以投标人须知前附表规定澄清的方式在滁州市公共资源交易中心网站发布。但如果修改招标文件的时间距投标截止时间不足15天，并且修改内容影响投标文件编制的，将相应延长投标截止时间。</w:t>
      </w:r>
    </w:p>
    <w:p w14:paraId="3B836703">
      <w:pPr>
        <w:pStyle w:val="3"/>
        <w:adjustRightInd w:val="0"/>
        <w:snapToGrid w:val="0"/>
        <w:spacing w:line="500" w:lineRule="exact"/>
        <w:ind w:firstLine="422" w:firstLineChars="200"/>
        <w:jc w:val="left"/>
        <w:rPr>
          <w:rFonts w:ascii="宋体" w:hAnsi="宋体" w:eastAsia="宋体" w:cs="宋体"/>
          <w:color w:val="auto"/>
          <w:sz w:val="21"/>
          <w:szCs w:val="21"/>
        </w:rPr>
      </w:pPr>
      <w:r>
        <w:rPr>
          <w:rFonts w:hint="eastAsia" w:ascii="宋体" w:hAnsi="宋体" w:eastAsia="宋体" w:cs="宋体"/>
          <w:color w:val="auto"/>
          <w:sz w:val="21"/>
          <w:szCs w:val="21"/>
        </w:rPr>
        <w:t>3. 投标文件</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18BF5869">
      <w:pPr>
        <w:pStyle w:val="4"/>
        <w:adjustRightInd w:val="0"/>
        <w:snapToGrid w:val="0"/>
        <w:spacing w:line="500" w:lineRule="exact"/>
        <w:ind w:firstLine="422" w:firstLineChars="200"/>
        <w:jc w:val="left"/>
        <w:rPr>
          <w:rFonts w:ascii="宋体" w:hAnsi="宋体" w:cs="宋体"/>
          <w:color w:val="auto"/>
          <w:sz w:val="21"/>
          <w:szCs w:val="21"/>
        </w:rPr>
      </w:pPr>
      <w:bookmarkStart w:id="221" w:name="_Toc246996192"/>
      <w:bookmarkStart w:id="222" w:name="_Toc324404833"/>
      <w:bookmarkStart w:id="223" w:name="_Toc296602437"/>
      <w:bookmarkStart w:id="224" w:name="_Toc15058864"/>
      <w:bookmarkStart w:id="225" w:name="_Toc247085706"/>
      <w:bookmarkStart w:id="226" w:name="_Toc83301707"/>
      <w:bookmarkStart w:id="227" w:name="_Toc506107286"/>
      <w:bookmarkStart w:id="228" w:name="_Toc60061452"/>
      <w:bookmarkStart w:id="229" w:name="_Toc152042323"/>
      <w:bookmarkStart w:id="230" w:name="_Toc152045547"/>
      <w:bookmarkStart w:id="231" w:name="_Toc179632565"/>
      <w:bookmarkStart w:id="232" w:name="_Toc95223355"/>
      <w:bookmarkStart w:id="233" w:name="_Toc144974515"/>
      <w:bookmarkStart w:id="234" w:name="_Toc246996935"/>
      <w:r>
        <w:rPr>
          <w:rFonts w:hint="eastAsia" w:ascii="宋体" w:hAnsi="宋体" w:cs="宋体"/>
          <w:color w:val="auto"/>
          <w:sz w:val="21"/>
          <w:szCs w:val="21"/>
        </w:rPr>
        <w:t>3.1 投标文件的组成</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5A0FF69">
      <w:pPr>
        <w:adjustRightInd w:val="0"/>
        <w:snapToGrid w:val="0"/>
        <w:spacing w:line="500" w:lineRule="exact"/>
        <w:ind w:firstLine="420" w:firstLineChars="200"/>
        <w:jc w:val="left"/>
        <w:rPr>
          <w:rFonts w:ascii="宋体" w:hAnsi="宋体" w:cs="宋体"/>
          <w:color w:val="auto"/>
          <w:szCs w:val="21"/>
        </w:rPr>
      </w:pPr>
      <w:bookmarkStart w:id="235" w:name="_Toc83301708"/>
      <w:bookmarkStart w:id="236" w:name="_Toc95223356"/>
      <w:bookmarkStart w:id="237" w:name="_Toc60061453"/>
      <w:bookmarkStart w:id="238" w:name="_Toc296602438"/>
      <w:bookmarkStart w:id="239" w:name="_Toc152045548"/>
      <w:bookmarkStart w:id="240" w:name="_Toc324404834"/>
      <w:bookmarkStart w:id="241" w:name="_Toc506107287"/>
      <w:bookmarkStart w:id="242" w:name="_Toc246996936"/>
      <w:bookmarkStart w:id="243" w:name="_Toc246996193"/>
      <w:bookmarkStart w:id="244" w:name="_Toc247085707"/>
      <w:bookmarkStart w:id="245" w:name="_Toc144974516"/>
      <w:bookmarkStart w:id="246" w:name="_Toc15058865"/>
      <w:bookmarkStart w:id="247" w:name="_Toc179632566"/>
      <w:bookmarkStart w:id="248" w:name="_Toc152042324"/>
      <w:r>
        <w:rPr>
          <w:rFonts w:hint="eastAsia" w:ascii="宋体" w:hAnsi="宋体" w:cs="宋体"/>
          <w:color w:val="auto"/>
          <w:szCs w:val="21"/>
        </w:rPr>
        <w:t>3.1.1 投标文件应包括下列内容：</w:t>
      </w:r>
    </w:p>
    <w:p w14:paraId="3D630AA4">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资信证明文件：</w:t>
      </w:r>
    </w:p>
    <w:p w14:paraId="27D507A2">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（1）投标人基本情况表</w:t>
      </w:r>
      <w:r>
        <w:rPr>
          <w:rFonts w:hint="eastAsia" w:ascii="宋体" w:hAnsi="宋体" w:cs="宋体"/>
          <w:color w:val="auto"/>
          <w:szCs w:val="21"/>
          <w:lang w:eastAsia="zh-CN"/>
        </w:rPr>
        <w:t>（</w:t>
      </w:r>
      <w:r>
        <w:rPr>
          <w:rFonts w:hint="eastAsia" w:ascii="宋体" w:hAnsi="宋体" w:cs="宋体"/>
          <w:color w:val="auto"/>
          <w:szCs w:val="21"/>
          <w:lang w:val="en-US" w:eastAsia="zh-CN"/>
        </w:rPr>
        <w:t>若为联合体投标，均须提供）</w:t>
      </w:r>
      <w:r>
        <w:rPr>
          <w:rFonts w:hint="eastAsia" w:ascii="宋体" w:hAnsi="宋体" w:cs="宋体"/>
          <w:color w:val="auto"/>
          <w:szCs w:val="21"/>
        </w:rPr>
        <w:t>；</w:t>
      </w:r>
    </w:p>
    <w:p w14:paraId="6F69657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（2）近年财务状况表（本项目不采用）；</w:t>
      </w:r>
    </w:p>
    <w:p w14:paraId="491A1CA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（3）近年完成的类似项目情况表（本项目不采用）；</w:t>
      </w:r>
    </w:p>
    <w:p w14:paraId="742D196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（4）正在实施的和新承接的项目情况表（本项目不采用）；</w:t>
      </w:r>
    </w:p>
    <w:p w14:paraId="097FEFE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（5）联合体协议书；</w:t>
      </w:r>
    </w:p>
    <w:p w14:paraId="211262F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（6）项目管理机构；</w:t>
      </w:r>
    </w:p>
    <w:p w14:paraId="7E4A8BD5">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（7）其他资格审查资料。</w:t>
      </w:r>
    </w:p>
    <w:p w14:paraId="5AAE795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技术标文件：</w:t>
      </w:r>
    </w:p>
    <w:p w14:paraId="4B4C9F67">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项目方案</w:t>
      </w:r>
      <w:r>
        <w:rPr>
          <w:rFonts w:hint="eastAsia" w:ascii="宋体" w:hAnsi="宋体" w:cs="宋体"/>
          <w:color w:val="auto"/>
          <w:szCs w:val="21"/>
        </w:rPr>
        <w:t>；</w:t>
      </w:r>
    </w:p>
    <w:p w14:paraId="443B8BA0">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（2）整体供货方案；</w:t>
      </w:r>
    </w:p>
    <w:p w14:paraId="6F5C2586">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（3）产品质量保证措施；</w:t>
      </w:r>
    </w:p>
    <w:p w14:paraId="32954079">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（4）设备系统整合方案；</w:t>
      </w:r>
    </w:p>
    <w:p w14:paraId="39443E52">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（5）技术服务能力评价；</w:t>
      </w:r>
    </w:p>
    <w:p w14:paraId="376DD2E6">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（6施工组织设计及调试验收方案；</w:t>
      </w:r>
    </w:p>
    <w:p w14:paraId="72A37C05">
      <w:pPr>
        <w:adjustRightInd w:val="0"/>
        <w:snapToGrid w:val="0"/>
        <w:spacing w:line="500" w:lineRule="exact"/>
        <w:ind w:firstLine="420" w:firstLineChars="200"/>
        <w:jc w:val="left"/>
        <w:rPr>
          <w:rFonts w:hint="default"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7）质保服务能力评价。</w:t>
      </w:r>
    </w:p>
    <w:p w14:paraId="4B43C9EA">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商务标文件：</w:t>
      </w:r>
    </w:p>
    <w:p w14:paraId="1E5107B3">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（1）投标函；</w:t>
      </w:r>
    </w:p>
    <w:p w14:paraId="1B8DC485">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（2）招标人参考的材料品牌响应表；</w:t>
      </w:r>
    </w:p>
    <w:p w14:paraId="02E59EAE">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）技术参数响应承诺书；</w:t>
      </w:r>
    </w:p>
    <w:p w14:paraId="7890D14F">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）全国建筑市场监管公共服务平台(四库一平台)企业注册人员网页截图；</w:t>
      </w:r>
    </w:p>
    <w:p w14:paraId="7E376254">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）商务标评审所需其他材料。</w:t>
      </w:r>
    </w:p>
    <w:p w14:paraId="1E6FF87C">
      <w:pPr>
        <w:adjustRightInd w:val="0"/>
        <w:snapToGrid w:val="0"/>
        <w:spacing w:line="500" w:lineRule="exact"/>
        <w:ind w:firstLine="359" w:firstLineChars="171"/>
        <w:jc w:val="left"/>
        <w:rPr>
          <w:rFonts w:ascii="宋体" w:hAnsi="宋体" w:cs="宋体"/>
          <w:color w:val="auto"/>
          <w:szCs w:val="21"/>
        </w:rPr>
      </w:pPr>
      <w:r>
        <w:rPr>
          <w:rFonts w:hint="eastAsia" w:ascii="宋体" w:hAnsi="宋体" w:cs="宋体"/>
          <w:color w:val="auto"/>
          <w:szCs w:val="21"/>
        </w:rPr>
        <w:t>3.1.2 投标人须知前附表规定不接受联合体投标的，或投标人没有组成联合体的，投标文件不包括本章第3.1.1（5）目所指的联合体协议书。</w:t>
      </w:r>
    </w:p>
    <w:p w14:paraId="18835508">
      <w:pPr>
        <w:pStyle w:val="4"/>
        <w:adjustRightInd w:val="0"/>
        <w:snapToGrid w:val="0"/>
        <w:spacing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3.2 投标报价</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36EE05DF">
      <w:pPr>
        <w:adjustRightInd w:val="0"/>
        <w:snapToGrid w:val="0"/>
        <w:spacing w:line="500" w:lineRule="exact"/>
        <w:ind w:firstLine="420" w:firstLineChars="200"/>
        <w:jc w:val="left"/>
        <w:rPr>
          <w:rFonts w:ascii="宋体" w:hAnsi="宋体" w:cs="宋体"/>
          <w:color w:val="auto"/>
          <w:szCs w:val="21"/>
        </w:rPr>
      </w:pPr>
      <w:bookmarkStart w:id="249" w:name="_Toc179632567"/>
      <w:bookmarkStart w:id="250" w:name="_Toc246996937"/>
      <w:bookmarkStart w:id="251" w:name="_Toc144974517"/>
      <w:bookmarkStart w:id="252" w:name="_Toc152045549"/>
      <w:bookmarkStart w:id="253" w:name="_Toc324404835"/>
      <w:bookmarkStart w:id="254" w:name="_Toc152042325"/>
      <w:bookmarkStart w:id="255" w:name="_Toc296602439"/>
      <w:bookmarkStart w:id="256" w:name="_Toc246996194"/>
      <w:bookmarkStart w:id="257" w:name="_Toc247085708"/>
      <w:r>
        <w:rPr>
          <w:rFonts w:hint="eastAsia" w:ascii="宋体" w:hAnsi="宋体" w:cs="宋体"/>
          <w:color w:val="auto"/>
          <w:szCs w:val="21"/>
        </w:rPr>
        <w:t>3.2.1投标报价应包括国家规定的增值税税金，除投标人须知前附表另有规定外，增值税税金按一般计税方法计算。投标人应按第九章“投标文件格式”的要求在投标函中进行报价并填写工程量清单相应表格。</w:t>
      </w:r>
    </w:p>
    <w:p w14:paraId="6C0887F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3.2.2投标人应充分了解本项目的总体情况以及影响投标报价的其他要素。</w:t>
      </w:r>
    </w:p>
    <w:p w14:paraId="4219F72C">
      <w:pPr>
        <w:pStyle w:val="22"/>
        <w:adjustRightInd w:val="0"/>
        <w:snapToGrid w:val="0"/>
        <w:spacing w:line="500" w:lineRule="exact"/>
        <w:ind w:left="0" w:leftChars="0" w:firstLineChars="0"/>
        <w:jc w:val="left"/>
        <w:rPr>
          <w:rFonts w:ascii="宋体" w:hAnsi="宋体" w:cs="宋体"/>
          <w:color w:val="auto"/>
          <w:szCs w:val="21"/>
        </w:rPr>
      </w:pPr>
      <w:r>
        <w:rPr>
          <w:rFonts w:hint="eastAsia" w:ascii="宋体" w:hAnsi="宋体" w:cs="宋体"/>
          <w:color w:val="auto"/>
          <w:szCs w:val="21"/>
        </w:rPr>
        <w:t>3.2.3投标人在投标截止时间前修改投标函中的投标报价总额，应同时修改“已标价工程量清单”中的相应报价，投标报价总额为各分项金额之和。此修改须符合本章第4.4款的有关要求。</w:t>
      </w:r>
    </w:p>
    <w:p w14:paraId="7D424474">
      <w:pPr>
        <w:adjustRightInd w:val="0"/>
        <w:snapToGrid w:val="0"/>
        <w:spacing w:line="500" w:lineRule="exact"/>
        <w:ind w:firstLine="420"/>
        <w:jc w:val="left"/>
        <w:rPr>
          <w:rFonts w:ascii="宋体" w:hAnsi="宋体" w:cs="宋体"/>
          <w:color w:val="auto"/>
          <w:szCs w:val="21"/>
        </w:rPr>
      </w:pPr>
      <w:r>
        <w:rPr>
          <w:rFonts w:hint="eastAsia" w:ascii="宋体" w:hAnsi="宋体" w:cs="宋体"/>
          <w:color w:val="auto"/>
          <w:szCs w:val="21"/>
        </w:rPr>
        <w:t>3.2.4招标人设有最高投标限价的，投标人的投标报价不得超过最高投标限价，最高投标限价在投标人须知前附表中载明。</w:t>
      </w:r>
    </w:p>
    <w:p w14:paraId="652DD2C0">
      <w:pPr>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color w:val="auto"/>
          <w:szCs w:val="21"/>
        </w:rPr>
        <w:t xml:space="preserve">3.2.5 </w:t>
      </w:r>
      <w:r>
        <w:rPr>
          <w:rFonts w:hint="eastAsia" w:ascii="宋体" w:hAnsi="宋体" w:cs="宋体"/>
          <w:bCs/>
          <w:snapToGrid w:val="0"/>
          <w:color w:val="auto"/>
          <w:kern w:val="0"/>
          <w:szCs w:val="21"/>
        </w:rPr>
        <w:t>投标报价的其他要求见投标人须知前附表。</w:t>
      </w:r>
    </w:p>
    <w:p w14:paraId="6984EADC">
      <w:pPr>
        <w:pStyle w:val="4"/>
        <w:adjustRightInd w:val="0"/>
        <w:snapToGrid w:val="0"/>
        <w:spacing w:line="500" w:lineRule="exact"/>
        <w:ind w:firstLine="422" w:firstLineChars="200"/>
        <w:jc w:val="left"/>
        <w:rPr>
          <w:rFonts w:ascii="宋体" w:hAnsi="宋体" w:cs="宋体"/>
          <w:color w:val="auto"/>
          <w:sz w:val="21"/>
          <w:szCs w:val="21"/>
        </w:rPr>
      </w:pPr>
      <w:bookmarkStart w:id="258" w:name="_Toc60061454"/>
      <w:bookmarkStart w:id="259" w:name="_Toc95223357"/>
      <w:bookmarkStart w:id="260" w:name="_Toc83301709"/>
      <w:bookmarkStart w:id="261" w:name="_Toc506107288"/>
      <w:bookmarkStart w:id="262" w:name="_Toc15058866"/>
      <w:r>
        <w:rPr>
          <w:rFonts w:hint="eastAsia" w:ascii="宋体" w:hAnsi="宋体" w:cs="宋体"/>
          <w:color w:val="auto"/>
          <w:sz w:val="21"/>
          <w:szCs w:val="21"/>
        </w:rPr>
        <w:t>3.3 投标有效期</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501C53F">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3.3.1 除投标人须知前附表另有规定外，投标有效期为90天。</w:t>
      </w:r>
    </w:p>
    <w:p w14:paraId="790824AB">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3.3.2在投标有效期内，投标人撤销或修改其投标文件的，应承担招标文件和法律规定的责任。</w:t>
      </w:r>
    </w:p>
    <w:p w14:paraId="02E490A2">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F780867">
      <w:pPr>
        <w:pStyle w:val="4"/>
        <w:adjustRightInd w:val="0"/>
        <w:snapToGrid w:val="0"/>
        <w:spacing w:line="500" w:lineRule="exact"/>
        <w:ind w:firstLine="422" w:firstLineChars="200"/>
        <w:jc w:val="left"/>
        <w:rPr>
          <w:rFonts w:ascii="宋体" w:hAnsi="宋体" w:cs="宋体"/>
          <w:color w:val="auto"/>
          <w:sz w:val="21"/>
          <w:szCs w:val="21"/>
        </w:rPr>
      </w:pPr>
      <w:bookmarkStart w:id="263" w:name="_Toc60061455"/>
      <w:bookmarkStart w:id="264" w:name="_Toc152045550"/>
      <w:bookmarkStart w:id="265" w:name="_Toc506107289"/>
      <w:bookmarkStart w:id="266" w:name="_Toc144974518"/>
      <w:bookmarkStart w:id="267" w:name="_Toc246996195"/>
      <w:bookmarkStart w:id="268" w:name="_Toc95223358"/>
      <w:bookmarkStart w:id="269" w:name="_Toc179632568"/>
      <w:bookmarkStart w:id="270" w:name="_Toc15058867"/>
      <w:bookmarkStart w:id="271" w:name="_Toc296602440"/>
      <w:bookmarkStart w:id="272" w:name="_Toc83301710"/>
      <w:bookmarkStart w:id="273" w:name="_Toc324404836"/>
      <w:bookmarkStart w:id="274" w:name="_Toc246996938"/>
      <w:bookmarkStart w:id="275" w:name="_Toc247085709"/>
      <w:bookmarkStart w:id="276" w:name="_Toc152042326"/>
      <w:r>
        <w:rPr>
          <w:rFonts w:hint="eastAsia" w:ascii="宋体" w:hAnsi="宋体" w:cs="宋体"/>
          <w:color w:val="auto"/>
          <w:sz w:val="21"/>
          <w:szCs w:val="21"/>
        </w:rPr>
        <w:t>3.4 投标保证金</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070281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3.4.1 投标人须知前附表规定递交投标保证金的，投标人在递交投标文件的同时，应按投标人须知前附表规定的金额、担保形式和第九章“投标文件格式”规定的或者事先经过招标人认可的保证金格式递交保证金，并作为其投标文件的组成部分。联合体投标的，其投标保证金由牵头人递交，并应符合投标人须知前附表的规定。</w:t>
      </w:r>
    </w:p>
    <w:p w14:paraId="373B876D">
      <w:pPr>
        <w:adjustRightInd w:val="0"/>
        <w:snapToGrid w:val="0"/>
        <w:spacing w:line="500" w:lineRule="exact"/>
        <w:jc w:val="left"/>
        <w:rPr>
          <w:rFonts w:ascii="宋体" w:hAnsi="宋体" w:cs="宋体"/>
          <w:color w:val="auto"/>
          <w:szCs w:val="21"/>
        </w:rPr>
      </w:pPr>
      <w:r>
        <w:rPr>
          <w:rFonts w:hint="eastAsia" w:ascii="宋体" w:hAnsi="宋体" w:cs="宋体"/>
          <w:color w:val="auto"/>
          <w:szCs w:val="21"/>
        </w:rPr>
        <w:t xml:space="preserve">    无论采取何种形式的投标保证金，投标保证金有效期均应与投标有效期一致（采用投标电子保函的保证期截止时间不得早于该项目投标有效期的截止时间）。招标人如果按本章第 3.3.3 项的规定延长了投标有效期，则投标保证金的有效期也相应延长。</w:t>
      </w:r>
    </w:p>
    <w:p w14:paraId="67AA0F85">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3.4.2 投标人不按本章第3.4.1项要求提交投标保证金的，评标委员会将否决其投标。</w:t>
      </w:r>
    </w:p>
    <w:p w14:paraId="4999299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3.4.3未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6F93E5E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3.4.4 有下列情形之一的，投标保证金将不予退还： </w:t>
      </w:r>
    </w:p>
    <w:p w14:paraId="005A01E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（1）投标截止后投标人撤销投标文件的；</w:t>
      </w:r>
    </w:p>
    <w:p w14:paraId="19AFE09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（2）中标人无正当理由不与招标人订立合同，在签订合同时向招标人提出附加条件，或者不按照招标文件要求提交履约保证金的。</w:t>
      </w:r>
    </w:p>
    <w:p w14:paraId="0B84B1C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3.4.5 投标保证金按《</w:t>
      </w:r>
      <w:r>
        <w:rPr>
          <w:color w:val="auto"/>
        </w:rPr>
        <w:fldChar w:fldCharType="begin"/>
      </w:r>
      <w:r>
        <w:rPr>
          <w:color w:val="auto"/>
        </w:rPr>
        <w:instrText xml:space="preserve"> HYPERLINK "https://www.chuzhou.gov.cn/group1/M00/12/83/CpYI8mGDiKqAD_IkAAEIAMLVghw186.doc" \t "_blank" </w:instrText>
      </w:r>
      <w:r>
        <w:rPr>
          <w:color w:val="auto"/>
        </w:rPr>
        <w:fldChar w:fldCharType="separate"/>
      </w:r>
      <w:r>
        <w:rPr>
          <w:rFonts w:hint="eastAsia" w:ascii="宋体" w:hAnsi="宋体" w:cs="宋体"/>
          <w:color w:val="auto"/>
          <w:szCs w:val="21"/>
        </w:rPr>
        <w:t>滁州市公共资源交易投标保证金管理规定</w:t>
      </w:r>
      <w:r>
        <w:rPr>
          <w:rFonts w:hint="eastAsia" w:ascii="宋体" w:hAnsi="宋体" w:cs="宋体"/>
          <w:color w:val="auto"/>
          <w:szCs w:val="21"/>
        </w:rPr>
        <w:fldChar w:fldCharType="end"/>
      </w:r>
      <w:r>
        <w:rPr>
          <w:rFonts w:hint="eastAsia" w:ascii="宋体" w:hAnsi="宋体" w:cs="宋体"/>
          <w:color w:val="auto"/>
          <w:szCs w:val="21"/>
        </w:rPr>
        <w:t>》（滁公管〔2021〕7号）规定执行。</w:t>
      </w:r>
    </w:p>
    <w:p w14:paraId="67FF4759">
      <w:pPr>
        <w:pStyle w:val="4"/>
        <w:adjustRightInd w:val="0"/>
        <w:snapToGrid w:val="0"/>
        <w:spacing w:line="500" w:lineRule="exact"/>
        <w:ind w:firstLine="422" w:firstLineChars="200"/>
        <w:jc w:val="left"/>
        <w:rPr>
          <w:rFonts w:ascii="宋体" w:hAnsi="宋体" w:cs="宋体"/>
          <w:color w:val="auto"/>
          <w:sz w:val="21"/>
          <w:szCs w:val="21"/>
        </w:rPr>
      </w:pPr>
      <w:bookmarkStart w:id="277" w:name="_Toc324404837"/>
      <w:bookmarkStart w:id="278" w:name="_Toc95223359"/>
      <w:bookmarkStart w:id="279" w:name="_Toc60061456"/>
      <w:bookmarkStart w:id="280" w:name="_Toc506107290"/>
      <w:bookmarkStart w:id="281" w:name="_Toc83301711"/>
      <w:bookmarkStart w:id="282" w:name="_Toc296602442"/>
      <w:bookmarkStart w:id="283" w:name="_Toc15058868"/>
      <w:bookmarkStart w:id="284" w:name="_Toc152042329"/>
      <w:bookmarkStart w:id="285" w:name="_Toc246996940"/>
      <w:bookmarkStart w:id="286" w:name="_Toc179632571"/>
      <w:bookmarkStart w:id="287" w:name="_Toc152045553"/>
      <w:bookmarkStart w:id="288" w:name="_Toc247085711"/>
      <w:bookmarkStart w:id="289" w:name="_Toc144974521"/>
      <w:bookmarkStart w:id="290" w:name="_Toc246996197"/>
      <w:r>
        <w:rPr>
          <w:rFonts w:hint="eastAsia" w:ascii="宋体" w:hAnsi="宋体" w:cs="宋体"/>
          <w:color w:val="auto"/>
          <w:sz w:val="21"/>
          <w:szCs w:val="21"/>
        </w:rPr>
        <w:t>3.5投标文件的编制</w:t>
      </w:r>
      <w:bookmarkEnd w:id="277"/>
      <w:bookmarkEnd w:id="278"/>
      <w:bookmarkEnd w:id="279"/>
      <w:bookmarkEnd w:id="280"/>
      <w:bookmarkEnd w:id="281"/>
      <w:bookmarkEnd w:id="282"/>
      <w:bookmarkEnd w:id="283"/>
    </w:p>
    <w:p w14:paraId="068F384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3.5.1投标文件应按第九章“投标文件格式”进行编写，如有必要，可以增加附页，作为投标文件的组成部分。其中，投标函在满足招标文件实质性要求的基础上，可以提出比招标文件要求更有利于招标人的承诺。施工组织设计编制的特殊要求见投标人须知前附表。</w:t>
      </w:r>
    </w:p>
    <w:p w14:paraId="65260FB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3.5.2本次投标不需要提供纸质投标文件，投标人应按照电子招标投标的要求，在投标人的电子系统中制作、签章、上传加密的电子投标文件。</w:t>
      </w:r>
    </w:p>
    <w:p w14:paraId="26E3CB2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3.5.3 投标文件应当对招标文件有关工期、投标有效期、质量要求、技术要求、招标范围等实质性内容作出响应。</w:t>
      </w:r>
    </w:p>
    <w:bookmarkEnd w:id="284"/>
    <w:bookmarkEnd w:id="285"/>
    <w:bookmarkEnd w:id="286"/>
    <w:bookmarkEnd w:id="287"/>
    <w:bookmarkEnd w:id="288"/>
    <w:bookmarkEnd w:id="289"/>
    <w:bookmarkEnd w:id="290"/>
    <w:p w14:paraId="440584D2">
      <w:pPr>
        <w:adjustRightInd w:val="0"/>
        <w:snapToGrid w:val="0"/>
        <w:spacing w:line="500" w:lineRule="exact"/>
        <w:ind w:firstLine="420" w:firstLineChars="200"/>
        <w:jc w:val="left"/>
        <w:rPr>
          <w:rFonts w:ascii="宋体" w:hAnsi="宋体" w:cs="宋体"/>
          <w:bCs/>
          <w:snapToGrid w:val="0"/>
          <w:color w:val="auto"/>
          <w:kern w:val="0"/>
          <w:szCs w:val="21"/>
        </w:rPr>
      </w:pPr>
      <w:bookmarkStart w:id="291" w:name="_Toc144974523"/>
      <w:bookmarkStart w:id="292" w:name="_Toc246996942"/>
      <w:bookmarkStart w:id="293" w:name="_Toc152042331"/>
      <w:bookmarkStart w:id="294" w:name="_Toc152045555"/>
      <w:bookmarkStart w:id="295" w:name="_Toc247085713"/>
      <w:bookmarkStart w:id="296" w:name="_Toc324404838"/>
      <w:bookmarkStart w:id="297" w:name="_Toc179632573"/>
      <w:bookmarkStart w:id="298" w:name="_Toc246996199"/>
      <w:r>
        <w:rPr>
          <w:rFonts w:hint="eastAsia" w:ascii="宋体" w:hAnsi="宋体" w:cs="宋体"/>
          <w:bCs/>
          <w:snapToGrid w:val="0"/>
          <w:color w:val="auto"/>
          <w:kern w:val="0"/>
          <w:szCs w:val="21"/>
        </w:rPr>
        <w:t>3.5.4 投标人须知前附表规定接受联合体投标的，资格审查资料应包括联合体各方相关情况 。</w:t>
      </w:r>
    </w:p>
    <w:p w14:paraId="07FF4DF5">
      <w:pPr>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bCs/>
          <w:snapToGrid w:val="0"/>
          <w:color w:val="auto"/>
          <w:kern w:val="0"/>
          <w:szCs w:val="21"/>
        </w:rPr>
        <w:t>3.5.5招标人有权核查投标人在投标文件中提供的资料，若在评标期间发现投标人提供了虚假资料，其投标将被否决；若在签订合同前发现作为中标候选人的投标人提供了虚假资料，招标人有权取消其中标资格；</w:t>
      </w:r>
      <w:r>
        <w:rPr>
          <w:rFonts w:hint="eastAsia" w:ascii="宋体" w:hAnsi="宋体" w:cs="宋体"/>
          <w:b/>
          <w:snapToGrid w:val="0"/>
          <w:color w:val="auto"/>
          <w:kern w:val="0"/>
          <w:szCs w:val="21"/>
        </w:rPr>
        <w:t>如果签订合同后发现中标人提供了虚假材料，招标人有权解除合同</w:t>
      </w:r>
      <w:r>
        <w:rPr>
          <w:rFonts w:hint="eastAsia" w:ascii="宋体" w:hAnsi="宋体" w:cs="宋体"/>
          <w:bCs/>
          <w:snapToGrid w:val="0"/>
          <w:color w:val="auto"/>
          <w:kern w:val="0"/>
          <w:szCs w:val="21"/>
        </w:rPr>
        <w:t>。同时招标人将投标人上述弄虚作假行为上报公共资源交易监督管理部门处理。</w:t>
      </w:r>
    </w:p>
    <w:p w14:paraId="6A24B7CB">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3.5.6投标文件的制作应满足以下规定：</w:t>
      </w:r>
    </w:p>
    <w:p w14:paraId="6369930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（1）投标文件由投标人使用电子交易系统提供的“投标文件制作工具”制作生成。“投标文件制作工具”可以通过电子交易系统下载。</w:t>
      </w:r>
    </w:p>
    <w:p w14:paraId="79844F65">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b/>
          <w:bCs/>
          <w:color w:val="auto"/>
          <w:szCs w:val="21"/>
        </w:rPr>
        <w:t>招标文件中“签章”是指签字或盖章</w:t>
      </w:r>
      <w:r>
        <w:rPr>
          <w:rFonts w:hint="eastAsia" w:ascii="宋体" w:hAnsi="宋体" w:cs="宋体"/>
          <w:color w:val="auto"/>
          <w:szCs w:val="21"/>
        </w:rPr>
        <w:t>。在第九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24DE0CE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77DEF5DD">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（4）投标文件制作的具体方法详见“投标文件制作工具”中的帮助文档。</w:t>
      </w:r>
    </w:p>
    <w:p w14:paraId="7B270A8A">
      <w:pPr>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3.5.7 因投标人自身原因而导致投标文件无法导入电子交易系统电子开标、评标系统，该投标视为无效投标，投标人自行承担由此导致的全部责任。</w:t>
      </w:r>
    </w:p>
    <w:p w14:paraId="57F3AC47">
      <w:pPr>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3.5.8 投标人中标后须递交与网上电子投标文件完全一致的纸质版投标文件，在领取中标通知书时，一并递交给招标代理机构。</w:t>
      </w:r>
    </w:p>
    <w:p w14:paraId="3E1E7440">
      <w:pPr>
        <w:pStyle w:val="4"/>
        <w:adjustRightInd w:val="0"/>
        <w:snapToGrid w:val="0"/>
        <w:spacing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3.6 备选投标方案</w:t>
      </w:r>
    </w:p>
    <w:p w14:paraId="68ABEF1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3.6.1 </w:t>
      </w:r>
      <w:r>
        <w:rPr>
          <w:rFonts w:hint="eastAsia" w:ascii="宋体" w:hAnsi="宋体" w:cs="宋体"/>
          <w:bCs/>
          <w:snapToGrid w:val="0"/>
          <w:color w:val="auto"/>
          <w:kern w:val="0"/>
          <w:szCs w:val="21"/>
        </w:rPr>
        <w:t>除投标人须知前附表规定允许外，投标人不得递交备选投标方案，否则其投标将被否决。</w:t>
      </w:r>
    </w:p>
    <w:p w14:paraId="350A3577">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3.6.2 </w:t>
      </w:r>
      <w:r>
        <w:rPr>
          <w:rFonts w:hint="eastAsia" w:ascii="宋体" w:hAnsi="宋体" w:cs="宋体"/>
          <w:bCs/>
          <w:snapToGrid w:val="0"/>
          <w:color w:val="auto"/>
          <w:kern w:val="0"/>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4631B7D3">
      <w:pPr>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color w:val="auto"/>
          <w:szCs w:val="21"/>
        </w:rPr>
        <w:t xml:space="preserve">3.6.3 </w:t>
      </w:r>
      <w:r>
        <w:rPr>
          <w:rFonts w:hint="eastAsia" w:ascii="宋体" w:hAnsi="宋体" w:cs="宋体"/>
          <w:bCs/>
          <w:snapToGrid w:val="0"/>
          <w:color w:val="auto"/>
          <w:kern w:val="0"/>
          <w:szCs w:val="21"/>
        </w:rPr>
        <w:t>投标人提供两个或两个以上投标报价，或在投标文件中提供一个报价，但同时提供两个或两个以上施工组织设计的，视为提供备选方案。</w:t>
      </w:r>
    </w:p>
    <w:p w14:paraId="32591304">
      <w:pPr>
        <w:pStyle w:val="3"/>
        <w:adjustRightInd w:val="0"/>
        <w:snapToGrid w:val="0"/>
        <w:spacing w:line="500" w:lineRule="exact"/>
        <w:ind w:firstLine="422" w:firstLineChars="200"/>
        <w:jc w:val="left"/>
        <w:rPr>
          <w:rFonts w:ascii="宋体" w:hAnsi="宋体" w:eastAsia="宋体" w:cs="宋体"/>
          <w:color w:val="auto"/>
          <w:sz w:val="21"/>
          <w:szCs w:val="21"/>
        </w:rPr>
      </w:pPr>
      <w:bookmarkStart w:id="299" w:name="_Toc15058869"/>
      <w:bookmarkStart w:id="300" w:name="_Toc506107291"/>
      <w:bookmarkStart w:id="301" w:name="_Toc95223360"/>
      <w:bookmarkStart w:id="302" w:name="_Toc83301712"/>
      <w:bookmarkStart w:id="303" w:name="_Toc60061457"/>
      <w:r>
        <w:rPr>
          <w:rFonts w:hint="eastAsia" w:ascii="宋体" w:hAnsi="宋体" w:eastAsia="宋体" w:cs="宋体"/>
          <w:color w:val="auto"/>
          <w:sz w:val="21"/>
          <w:szCs w:val="21"/>
        </w:rPr>
        <w:t>4.投标</w:t>
      </w:r>
      <w:bookmarkEnd w:id="299"/>
      <w:bookmarkEnd w:id="300"/>
      <w:bookmarkEnd w:id="301"/>
      <w:bookmarkEnd w:id="302"/>
      <w:bookmarkEnd w:id="303"/>
    </w:p>
    <w:p w14:paraId="792C8A7D">
      <w:pPr>
        <w:pStyle w:val="4"/>
        <w:adjustRightInd w:val="0"/>
        <w:snapToGrid w:val="0"/>
        <w:spacing w:line="500" w:lineRule="exact"/>
        <w:ind w:firstLine="422" w:firstLineChars="200"/>
        <w:jc w:val="left"/>
        <w:rPr>
          <w:rFonts w:ascii="宋体" w:hAnsi="宋体" w:cs="宋体"/>
          <w:color w:val="auto"/>
          <w:sz w:val="21"/>
          <w:szCs w:val="21"/>
        </w:rPr>
      </w:pPr>
      <w:bookmarkStart w:id="304" w:name="_Toc60061458"/>
      <w:bookmarkStart w:id="305" w:name="_Toc83301713"/>
      <w:bookmarkStart w:id="306" w:name="_Toc95223361"/>
      <w:bookmarkStart w:id="307" w:name="_Toc15058870"/>
      <w:r>
        <w:rPr>
          <w:rFonts w:hint="eastAsia" w:ascii="宋体" w:hAnsi="宋体" w:cs="宋体"/>
          <w:color w:val="auto"/>
          <w:sz w:val="21"/>
          <w:szCs w:val="21"/>
        </w:rPr>
        <w:t>4.1投标文件上传</w:t>
      </w:r>
      <w:bookmarkEnd w:id="304"/>
      <w:bookmarkEnd w:id="305"/>
      <w:bookmarkEnd w:id="306"/>
      <w:bookmarkEnd w:id="307"/>
    </w:p>
    <w:p w14:paraId="1102930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4.1.1请投标人通过系统下载投标工具制作投标文件，并利用CA数字证书进行上传投标文件，上传已加密的投标文件，务必通过此方式上传投标文件。</w:t>
      </w:r>
    </w:p>
    <w:p w14:paraId="2DDE1745">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4.1.2投标人在投标文件编制、签章、上传过程中如有任何操作的疑问请及时联系技术支持，电话：0550-3801701。</w:t>
      </w:r>
    </w:p>
    <w:p w14:paraId="29BE8E32">
      <w:pPr>
        <w:pStyle w:val="4"/>
        <w:adjustRightInd w:val="0"/>
        <w:snapToGrid w:val="0"/>
        <w:spacing w:line="500" w:lineRule="exact"/>
        <w:ind w:firstLine="422" w:firstLineChars="200"/>
        <w:jc w:val="left"/>
        <w:rPr>
          <w:rFonts w:ascii="宋体" w:hAnsi="宋体" w:cs="宋体"/>
          <w:color w:val="auto"/>
          <w:sz w:val="21"/>
          <w:szCs w:val="21"/>
        </w:rPr>
      </w:pPr>
      <w:bookmarkStart w:id="308" w:name="_Toc83301714"/>
      <w:bookmarkStart w:id="309" w:name="_Toc506107292"/>
      <w:bookmarkStart w:id="310" w:name="_Toc152045556"/>
      <w:bookmarkStart w:id="311" w:name="_Toc246996943"/>
      <w:bookmarkStart w:id="312" w:name="_Toc324404839"/>
      <w:bookmarkStart w:id="313" w:name="_Toc246996200"/>
      <w:bookmarkStart w:id="314" w:name="_Toc144974524"/>
      <w:bookmarkStart w:id="315" w:name="_Toc296602444"/>
      <w:bookmarkStart w:id="316" w:name="_Toc179632574"/>
      <w:bookmarkStart w:id="317" w:name="_Toc95223362"/>
      <w:bookmarkStart w:id="318" w:name="_Toc152042332"/>
      <w:bookmarkStart w:id="319" w:name="_Toc60061459"/>
      <w:bookmarkStart w:id="320" w:name="_Toc247085714"/>
      <w:bookmarkStart w:id="321" w:name="_Toc15058871"/>
      <w:r>
        <w:rPr>
          <w:rFonts w:hint="eastAsia" w:ascii="宋体" w:hAnsi="宋体" w:cs="宋体"/>
          <w:color w:val="auto"/>
          <w:sz w:val="21"/>
          <w:szCs w:val="21"/>
        </w:rPr>
        <w:t>4.2投标文件的密封和标记</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2E692FC9">
      <w:pPr>
        <w:adjustRightInd w:val="0"/>
        <w:snapToGrid w:val="0"/>
        <w:spacing w:line="500" w:lineRule="exact"/>
        <w:ind w:firstLine="420" w:firstLineChars="200"/>
        <w:jc w:val="left"/>
        <w:rPr>
          <w:rFonts w:ascii="宋体" w:hAnsi="宋体" w:cs="宋体"/>
          <w:color w:val="auto"/>
          <w:szCs w:val="21"/>
        </w:rPr>
      </w:pPr>
      <w:bookmarkStart w:id="322" w:name="_Toc296602445"/>
      <w:bookmarkStart w:id="323" w:name="_Toc144974525"/>
      <w:bookmarkStart w:id="324" w:name="_Toc152042333"/>
      <w:bookmarkStart w:id="325" w:name="_Toc246996201"/>
      <w:bookmarkStart w:id="326" w:name="_Toc324404840"/>
      <w:bookmarkStart w:id="327" w:name="_Toc179632575"/>
      <w:bookmarkStart w:id="328" w:name="_Toc152045557"/>
      <w:bookmarkStart w:id="329" w:name="_Toc247085715"/>
      <w:bookmarkStart w:id="330" w:name="_Toc246996944"/>
      <w:r>
        <w:rPr>
          <w:rFonts w:hint="eastAsia" w:ascii="宋体" w:hAnsi="宋体" w:cs="宋体"/>
          <w:color w:val="auto"/>
          <w:szCs w:val="21"/>
        </w:rPr>
        <w:t>4.2.1投标文件应按照本章第3.5.6项要求制作并加密，未按要求加密的投标文件将被拒绝接收。以投标人在投标截止时间前网上递交的电子投标文件为准。</w:t>
      </w:r>
    </w:p>
    <w:p w14:paraId="5A2431A5">
      <w:pPr>
        <w:pStyle w:val="4"/>
        <w:adjustRightInd w:val="0"/>
        <w:snapToGrid w:val="0"/>
        <w:spacing w:line="500" w:lineRule="exact"/>
        <w:ind w:firstLine="422" w:firstLineChars="200"/>
        <w:jc w:val="left"/>
        <w:rPr>
          <w:rFonts w:ascii="宋体" w:hAnsi="宋体" w:cs="宋体"/>
          <w:color w:val="auto"/>
          <w:sz w:val="21"/>
          <w:szCs w:val="21"/>
        </w:rPr>
      </w:pPr>
      <w:bookmarkStart w:id="331" w:name="_Toc15058872"/>
      <w:bookmarkStart w:id="332" w:name="_Toc60061460"/>
      <w:bookmarkStart w:id="333" w:name="_Toc506107293"/>
      <w:bookmarkStart w:id="334" w:name="_Toc95223363"/>
      <w:bookmarkStart w:id="335" w:name="_Toc83301715"/>
      <w:r>
        <w:rPr>
          <w:rFonts w:hint="eastAsia" w:ascii="宋体" w:hAnsi="宋体" w:cs="宋体"/>
          <w:color w:val="auto"/>
          <w:sz w:val="21"/>
          <w:szCs w:val="21"/>
        </w:rPr>
        <w:t>4.3 投标文件的递交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05DC7EF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4.3.1 投标人应当在第一章“招标公告”规定的投标截止时间前，将加密投标文件上传至电子交易系统。</w:t>
      </w:r>
    </w:p>
    <w:p w14:paraId="39378BB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4.3.2 除投标人须知前附表另有规定外，投标人所递交的投标文件不予退还。</w:t>
      </w:r>
    </w:p>
    <w:p w14:paraId="01BE070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4.3.3 投标人应当在投标截止时间前完成投标文件的网上递交， 并可以补充、修改或者撤回投标文件。投标截止时间前未完成投标文件网上递交的，视为撤回投标文件。未按规定加密或投标截止时间后通过网上招标投标系统递交电子投标文件的，电子交易系统应当拒收，投标无效。</w:t>
      </w:r>
    </w:p>
    <w:p w14:paraId="7A77197B">
      <w:pPr>
        <w:pStyle w:val="4"/>
        <w:adjustRightInd w:val="0"/>
        <w:snapToGrid w:val="0"/>
        <w:spacing w:line="500" w:lineRule="exact"/>
        <w:ind w:firstLine="422" w:firstLineChars="200"/>
        <w:jc w:val="left"/>
        <w:rPr>
          <w:rFonts w:ascii="宋体" w:hAnsi="宋体" w:cs="宋体"/>
          <w:color w:val="auto"/>
          <w:sz w:val="21"/>
          <w:szCs w:val="21"/>
        </w:rPr>
      </w:pPr>
      <w:bookmarkStart w:id="336" w:name="_Toc144974526"/>
      <w:bookmarkStart w:id="337" w:name="_Toc152042334"/>
      <w:bookmarkStart w:id="338" w:name="_Toc506107294"/>
      <w:bookmarkStart w:id="339" w:name="_Toc83301716"/>
      <w:bookmarkStart w:id="340" w:name="_Toc246996202"/>
      <w:bookmarkStart w:id="341" w:name="_Toc246996945"/>
      <w:bookmarkStart w:id="342" w:name="_Toc247085716"/>
      <w:bookmarkStart w:id="343" w:name="_Toc296602446"/>
      <w:bookmarkStart w:id="344" w:name="_Toc152045558"/>
      <w:bookmarkStart w:id="345" w:name="_Toc179632576"/>
      <w:bookmarkStart w:id="346" w:name="_Toc95223364"/>
      <w:bookmarkStart w:id="347" w:name="_Toc60061461"/>
      <w:bookmarkStart w:id="348" w:name="_Toc15058873"/>
      <w:bookmarkStart w:id="349" w:name="_Toc324404841"/>
      <w:r>
        <w:rPr>
          <w:rFonts w:hint="eastAsia" w:ascii="宋体" w:hAnsi="宋体" w:cs="宋体"/>
          <w:color w:val="auto"/>
          <w:sz w:val="21"/>
          <w:szCs w:val="21"/>
        </w:rPr>
        <w:t>4.4 投标文件的修改与撤回</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555B33B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4.4.1在第一章“招标公告”规定的投标截止时间前，投标人可以自行从网上招投标系统撤回已递交的投标文件，并可修改后重新加密上传，开标时以投标截止时间前投标人最终上传的投标文件为准。</w:t>
      </w:r>
    </w:p>
    <w:p w14:paraId="21273A1A">
      <w:pPr>
        <w:pStyle w:val="3"/>
        <w:adjustRightInd w:val="0"/>
        <w:snapToGrid w:val="0"/>
        <w:spacing w:line="500" w:lineRule="exact"/>
        <w:ind w:firstLine="422" w:firstLineChars="200"/>
        <w:jc w:val="left"/>
        <w:rPr>
          <w:rFonts w:ascii="宋体" w:hAnsi="宋体" w:eastAsia="宋体" w:cs="宋体"/>
          <w:color w:val="auto"/>
          <w:sz w:val="21"/>
          <w:szCs w:val="21"/>
        </w:rPr>
      </w:pPr>
      <w:bookmarkStart w:id="350" w:name="_Toc246996946"/>
      <w:bookmarkStart w:id="351" w:name="_Toc152045559"/>
      <w:bookmarkStart w:id="352" w:name="_Toc179632577"/>
      <w:bookmarkStart w:id="353" w:name="_Toc95223365"/>
      <w:bookmarkStart w:id="354" w:name="_Toc60061462"/>
      <w:bookmarkStart w:id="355" w:name="_Toc247085717"/>
      <w:bookmarkStart w:id="356" w:name="_Toc144974527"/>
      <w:bookmarkStart w:id="357" w:name="_Toc324404842"/>
      <w:bookmarkStart w:id="358" w:name="_Toc15058874"/>
      <w:bookmarkStart w:id="359" w:name="_Toc506107295"/>
      <w:bookmarkStart w:id="360" w:name="_Toc246996203"/>
      <w:bookmarkStart w:id="361" w:name="_Toc152042335"/>
      <w:bookmarkStart w:id="362" w:name="_Toc83301717"/>
      <w:r>
        <w:rPr>
          <w:rFonts w:hint="eastAsia" w:ascii="宋体" w:hAnsi="宋体" w:eastAsia="宋体" w:cs="宋体"/>
          <w:color w:val="auto"/>
          <w:sz w:val="21"/>
          <w:szCs w:val="21"/>
        </w:rPr>
        <w:t>5. 开标</w:t>
      </w:r>
      <w:bookmarkEnd w:id="350"/>
      <w:bookmarkEnd w:id="351"/>
      <w:bookmarkEnd w:id="352"/>
      <w:bookmarkEnd w:id="353"/>
      <w:bookmarkEnd w:id="354"/>
      <w:bookmarkEnd w:id="355"/>
      <w:bookmarkEnd w:id="356"/>
      <w:bookmarkEnd w:id="357"/>
      <w:bookmarkEnd w:id="358"/>
      <w:bookmarkEnd w:id="359"/>
      <w:bookmarkEnd w:id="360"/>
      <w:bookmarkEnd w:id="361"/>
      <w:bookmarkEnd w:id="362"/>
    </w:p>
    <w:p w14:paraId="20C78FD9">
      <w:pPr>
        <w:pStyle w:val="4"/>
        <w:adjustRightInd w:val="0"/>
        <w:snapToGrid w:val="0"/>
        <w:spacing w:line="500" w:lineRule="exact"/>
        <w:ind w:firstLine="422" w:firstLineChars="200"/>
        <w:jc w:val="left"/>
        <w:rPr>
          <w:rFonts w:ascii="宋体" w:hAnsi="宋体" w:cs="宋体"/>
          <w:color w:val="auto"/>
          <w:sz w:val="21"/>
          <w:szCs w:val="21"/>
        </w:rPr>
      </w:pPr>
      <w:bookmarkStart w:id="363" w:name="_Toc324404843"/>
      <w:bookmarkStart w:id="364" w:name="_Toc83301718"/>
      <w:bookmarkStart w:id="365" w:name="_Toc296602448"/>
      <w:bookmarkStart w:id="366" w:name="_Toc179632578"/>
      <w:bookmarkStart w:id="367" w:name="_Toc15058875"/>
      <w:bookmarkStart w:id="368" w:name="_Toc60061463"/>
      <w:bookmarkStart w:id="369" w:name="_Toc95223366"/>
      <w:bookmarkStart w:id="370" w:name="_Toc144974528"/>
      <w:bookmarkStart w:id="371" w:name="_Toc246996204"/>
      <w:bookmarkStart w:id="372" w:name="_Toc506107296"/>
      <w:bookmarkStart w:id="373" w:name="_Toc152042336"/>
      <w:bookmarkStart w:id="374" w:name="_Toc152045560"/>
      <w:bookmarkStart w:id="375" w:name="_Toc247085718"/>
      <w:bookmarkStart w:id="376" w:name="_Toc246996947"/>
      <w:r>
        <w:rPr>
          <w:rFonts w:hint="eastAsia" w:ascii="宋体" w:hAnsi="宋体" w:cs="宋体"/>
          <w:color w:val="auto"/>
          <w:sz w:val="21"/>
          <w:szCs w:val="21"/>
        </w:rPr>
        <w:t>5.1 开标时间和地点</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639F6B9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招标人在第一章“招标公告”规定的投标截止时间前（开标时间）和地点通过电子交易系统公开开标。</w:t>
      </w:r>
    </w:p>
    <w:p w14:paraId="2DE4E0D3">
      <w:pPr>
        <w:pStyle w:val="4"/>
        <w:adjustRightInd w:val="0"/>
        <w:snapToGrid w:val="0"/>
        <w:spacing w:line="500" w:lineRule="exact"/>
        <w:ind w:firstLine="422" w:firstLineChars="200"/>
        <w:jc w:val="left"/>
        <w:rPr>
          <w:rFonts w:ascii="宋体" w:hAnsi="宋体" w:cs="宋体"/>
          <w:color w:val="auto"/>
          <w:sz w:val="21"/>
          <w:szCs w:val="21"/>
        </w:rPr>
      </w:pPr>
      <w:bookmarkStart w:id="377" w:name="_Toc144974529"/>
      <w:bookmarkStart w:id="378" w:name="_Toc152045561"/>
      <w:bookmarkStart w:id="379" w:name="_Toc15058876"/>
      <w:bookmarkStart w:id="380" w:name="_Toc506107297"/>
      <w:bookmarkStart w:id="381" w:name="_Toc296602449"/>
      <w:bookmarkStart w:id="382" w:name="_Toc95223367"/>
      <w:bookmarkStart w:id="383" w:name="_Toc152042337"/>
      <w:bookmarkStart w:id="384" w:name="_Toc246996205"/>
      <w:bookmarkStart w:id="385" w:name="_Toc246996948"/>
      <w:bookmarkStart w:id="386" w:name="_Toc324404844"/>
      <w:bookmarkStart w:id="387" w:name="_Toc247085719"/>
      <w:bookmarkStart w:id="388" w:name="_Toc179632579"/>
      <w:bookmarkStart w:id="389" w:name="_Toc60061464"/>
      <w:bookmarkStart w:id="390" w:name="_Toc83301719"/>
      <w:r>
        <w:rPr>
          <w:rFonts w:hint="eastAsia" w:ascii="宋体" w:hAnsi="宋体" w:cs="宋体"/>
          <w:color w:val="auto"/>
          <w:sz w:val="21"/>
          <w:szCs w:val="21"/>
        </w:rPr>
        <w:t>5.2 开标程序</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0D2FF8B4">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主持人按下列程序进行开标：</w:t>
      </w:r>
    </w:p>
    <w:p w14:paraId="64A59278">
      <w:pPr>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bCs/>
          <w:snapToGrid w:val="0"/>
          <w:color w:val="auto"/>
          <w:kern w:val="0"/>
          <w:szCs w:val="21"/>
        </w:rPr>
        <w:t>（1）公布在投标截止时间前通过电子交易系统完成投标文件递交的投标人名称；</w:t>
      </w:r>
    </w:p>
    <w:p w14:paraId="67DD33C4">
      <w:pPr>
        <w:adjustRightInd w:val="0"/>
        <w:snapToGrid w:val="0"/>
        <w:spacing w:line="500" w:lineRule="exact"/>
        <w:jc w:val="left"/>
        <w:rPr>
          <w:rFonts w:ascii="宋体" w:hAnsi="宋体" w:cs="宋体"/>
          <w:color w:val="auto"/>
          <w:szCs w:val="21"/>
        </w:rPr>
      </w:pPr>
      <w:r>
        <w:rPr>
          <w:rFonts w:hint="eastAsia" w:ascii="宋体" w:hAnsi="宋体" w:cs="宋体"/>
          <w:color w:val="auto"/>
          <w:szCs w:val="21"/>
        </w:rPr>
        <w:t xml:space="preserve">    （2）投标人在投标截止时间后在投标人须知前附表规定的解密时间内完成投标文件的解密工作；</w:t>
      </w:r>
    </w:p>
    <w:p w14:paraId="12F10279">
      <w:pPr>
        <w:adjustRightInd w:val="0"/>
        <w:snapToGrid w:val="0"/>
        <w:spacing w:line="500" w:lineRule="exact"/>
        <w:jc w:val="left"/>
        <w:rPr>
          <w:rFonts w:ascii="宋体" w:hAnsi="宋体" w:cs="宋体"/>
          <w:color w:val="auto"/>
          <w:szCs w:val="21"/>
        </w:rPr>
      </w:pPr>
      <w:r>
        <w:rPr>
          <w:rFonts w:hint="eastAsia" w:ascii="宋体" w:hAnsi="宋体" w:cs="宋体"/>
          <w:color w:val="auto"/>
          <w:szCs w:val="21"/>
        </w:rPr>
        <w:t xml:space="preserve">    （3）</w:t>
      </w:r>
      <w:r>
        <w:rPr>
          <w:rFonts w:hint="eastAsia" w:ascii="宋体" w:hAnsi="宋体" w:cs="宋体"/>
          <w:bCs/>
          <w:snapToGrid w:val="0"/>
          <w:color w:val="auto"/>
          <w:kern w:val="0"/>
          <w:szCs w:val="21"/>
        </w:rPr>
        <w:t>招标人或招标代理机构完成解密工作，导入并读取所有成功解密的投标文件；</w:t>
      </w:r>
    </w:p>
    <w:p w14:paraId="3ADB2C4E">
      <w:pPr>
        <w:adjustRightInd w:val="0"/>
        <w:snapToGrid w:val="0"/>
        <w:spacing w:line="500" w:lineRule="exact"/>
        <w:jc w:val="left"/>
        <w:rPr>
          <w:rFonts w:ascii="宋体" w:hAnsi="宋体" w:cs="宋体"/>
          <w:color w:val="auto"/>
          <w:szCs w:val="21"/>
        </w:rPr>
      </w:pPr>
      <w:r>
        <w:rPr>
          <w:rFonts w:hint="eastAsia" w:ascii="宋体" w:hAnsi="宋体" w:cs="宋体"/>
          <w:color w:val="auto"/>
          <w:szCs w:val="21"/>
        </w:rPr>
        <w:t xml:space="preserve">    （4）按投标人须知前附表规定公布投标人名称、标段名称、投标报价、质量目标、工期及其他内容；</w:t>
      </w:r>
    </w:p>
    <w:p w14:paraId="0FFEA097">
      <w:pPr>
        <w:adjustRightInd w:val="0"/>
        <w:snapToGrid w:val="0"/>
        <w:spacing w:line="500" w:lineRule="exact"/>
        <w:jc w:val="left"/>
        <w:rPr>
          <w:rFonts w:ascii="宋体" w:hAnsi="宋体" w:cs="宋体"/>
          <w:color w:val="auto"/>
          <w:szCs w:val="21"/>
        </w:rPr>
      </w:pPr>
      <w:r>
        <w:rPr>
          <w:rFonts w:hint="eastAsia" w:ascii="宋体" w:hAnsi="宋体" w:cs="宋体"/>
          <w:color w:val="auto"/>
          <w:szCs w:val="21"/>
        </w:rPr>
        <w:t xml:space="preserve">    （5）开标结束。</w:t>
      </w:r>
    </w:p>
    <w:bookmarkEnd w:id="291"/>
    <w:bookmarkEnd w:id="292"/>
    <w:bookmarkEnd w:id="293"/>
    <w:bookmarkEnd w:id="294"/>
    <w:bookmarkEnd w:id="295"/>
    <w:bookmarkEnd w:id="296"/>
    <w:bookmarkEnd w:id="297"/>
    <w:bookmarkEnd w:id="298"/>
    <w:p w14:paraId="52BA898A">
      <w:pPr>
        <w:pStyle w:val="4"/>
        <w:adjustRightInd w:val="0"/>
        <w:snapToGrid w:val="0"/>
        <w:spacing w:line="500" w:lineRule="exact"/>
        <w:ind w:firstLine="422" w:firstLineChars="200"/>
        <w:jc w:val="left"/>
        <w:rPr>
          <w:rFonts w:ascii="宋体" w:hAnsi="宋体" w:cs="宋体"/>
          <w:color w:val="auto"/>
          <w:sz w:val="21"/>
          <w:szCs w:val="21"/>
        </w:rPr>
      </w:pPr>
      <w:bookmarkStart w:id="391" w:name="_Toc296602450"/>
      <w:bookmarkStart w:id="392" w:name="_Toc60061465"/>
      <w:bookmarkStart w:id="393" w:name="_Toc83301720"/>
      <w:bookmarkStart w:id="394" w:name="_Toc95223368"/>
      <w:bookmarkStart w:id="395" w:name="_Toc506107298"/>
      <w:bookmarkStart w:id="396" w:name="_Toc15058883"/>
      <w:bookmarkStart w:id="397" w:name="_Toc324404845"/>
      <w:r>
        <w:rPr>
          <w:rFonts w:hint="eastAsia" w:ascii="宋体" w:hAnsi="宋体" w:cs="宋体"/>
          <w:color w:val="auto"/>
          <w:sz w:val="21"/>
          <w:szCs w:val="21"/>
        </w:rPr>
        <w:t>5.3 开标异议</w:t>
      </w:r>
      <w:bookmarkEnd w:id="391"/>
      <w:bookmarkEnd w:id="392"/>
      <w:bookmarkEnd w:id="393"/>
      <w:bookmarkEnd w:id="394"/>
      <w:bookmarkEnd w:id="395"/>
      <w:bookmarkEnd w:id="396"/>
      <w:bookmarkEnd w:id="397"/>
    </w:p>
    <w:p w14:paraId="0028A6F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投标人对开标有异议的，应当在开标过程中提出，招标人在开标过程中作出答复，并制作记录。</w:t>
      </w:r>
      <w:r>
        <w:rPr>
          <w:rFonts w:hint="eastAsia" w:ascii="宋体" w:hAnsi="宋体" w:cs="宋体"/>
          <w:color w:val="auto"/>
          <w:spacing w:val="-5"/>
          <w:szCs w:val="21"/>
        </w:rPr>
        <w:t>异议与答复应通过电子交易系统进行。</w:t>
      </w:r>
    </w:p>
    <w:p w14:paraId="2CD50164">
      <w:pPr>
        <w:pStyle w:val="3"/>
        <w:adjustRightInd w:val="0"/>
        <w:snapToGrid w:val="0"/>
        <w:spacing w:line="500" w:lineRule="exact"/>
        <w:ind w:firstLine="422" w:firstLineChars="200"/>
        <w:jc w:val="left"/>
        <w:rPr>
          <w:rFonts w:ascii="宋体" w:hAnsi="宋体" w:eastAsia="宋体" w:cs="宋体"/>
          <w:color w:val="auto"/>
          <w:sz w:val="21"/>
          <w:szCs w:val="21"/>
        </w:rPr>
      </w:pPr>
      <w:bookmarkStart w:id="398" w:name="_Toc144974530"/>
      <w:bookmarkStart w:id="399" w:name="_Toc83301721"/>
      <w:bookmarkStart w:id="400" w:name="_Toc179632580"/>
      <w:bookmarkStart w:id="401" w:name="_Toc15058884"/>
      <w:bookmarkStart w:id="402" w:name="_Toc246996949"/>
      <w:bookmarkStart w:id="403" w:name="_Toc95223369"/>
      <w:bookmarkStart w:id="404" w:name="_Toc324404846"/>
      <w:bookmarkStart w:id="405" w:name="_Toc60061466"/>
      <w:bookmarkStart w:id="406" w:name="_Toc506107299"/>
      <w:bookmarkStart w:id="407" w:name="_Toc246996206"/>
      <w:bookmarkStart w:id="408" w:name="_Toc247085720"/>
      <w:bookmarkStart w:id="409" w:name="_Toc152042338"/>
      <w:bookmarkStart w:id="410" w:name="_Toc152045562"/>
      <w:r>
        <w:rPr>
          <w:rFonts w:hint="eastAsia" w:ascii="宋体" w:hAnsi="宋体" w:eastAsia="宋体" w:cs="宋体"/>
          <w:color w:val="auto"/>
          <w:sz w:val="21"/>
          <w:szCs w:val="21"/>
        </w:rPr>
        <w:t>6. 评标</w:t>
      </w:r>
      <w:bookmarkEnd w:id="398"/>
      <w:bookmarkEnd w:id="399"/>
      <w:bookmarkEnd w:id="400"/>
      <w:bookmarkEnd w:id="401"/>
      <w:bookmarkEnd w:id="402"/>
      <w:bookmarkEnd w:id="403"/>
      <w:bookmarkEnd w:id="404"/>
      <w:bookmarkEnd w:id="405"/>
      <w:bookmarkEnd w:id="406"/>
      <w:bookmarkEnd w:id="407"/>
      <w:bookmarkEnd w:id="408"/>
      <w:bookmarkEnd w:id="409"/>
      <w:bookmarkEnd w:id="410"/>
    </w:p>
    <w:p w14:paraId="43B86AC1">
      <w:pPr>
        <w:pStyle w:val="4"/>
        <w:adjustRightInd w:val="0"/>
        <w:snapToGrid w:val="0"/>
        <w:spacing w:line="500" w:lineRule="exact"/>
        <w:ind w:firstLine="422" w:firstLineChars="200"/>
        <w:jc w:val="left"/>
        <w:rPr>
          <w:rFonts w:ascii="宋体" w:hAnsi="宋体" w:cs="宋体"/>
          <w:color w:val="auto"/>
          <w:sz w:val="21"/>
          <w:szCs w:val="21"/>
        </w:rPr>
      </w:pPr>
      <w:bookmarkStart w:id="411" w:name="_Toc324404847"/>
      <w:bookmarkStart w:id="412" w:name="_Toc296602452"/>
      <w:bookmarkStart w:id="413" w:name="_Toc15058885"/>
      <w:bookmarkStart w:id="414" w:name="_Toc152042339"/>
      <w:bookmarkStart w:id="415" w:name="_Toc60061467"/>
      <w:bookmarkStart w:id="416" w:name="_Toc95223370"/>
      <w:bookmarkStart w:id="417" w:name="_Toc179632581"/>
      <w:bookmarkStart w:id="418" w:name="_Toc247085721"/>
      <w:bookmarkStart w:id="419" w:name="_Toc506107300"/>
      <w:bookmarkStart w:id="420" w:name="_Toc152045563"/>
      <w:bookmarkStart w:id="421" w:name="_Toc144974531"/>
      <w:bookmarkStart w:id="422" w:name="_Toc246996950"/>
      <w:bookmarkStart w:id="423" w:name="_Toc246996207"/>
      <w:bookmarkStart w:id="424" w:name="_Toc83301722"/>
      <w:r>
        <w:rPr>
          <w:rFonts w:hint="eastAsia" w:ascii="宋体" w:hAnsi="宋体" w:cs="宋体"/>
          <w:color w:val="auto"/>
          <w:sz w:val="21"/>
          <w:szCs w:val="21"/>
        </w:rPr>
        <w:t>6.1 评标委员会</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46240F4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1DE42D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6.1.2 评标委员会成员有下列情形之一的，应当回避：</w:t>
      </w:r>
    </w:p>
    <w:p w14:paraId="1F17848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（1）投标人或投标人主要负责人的近亲属；</w:t>
      </w:r>
    </w:p>
    <w:p w14:paraId="42BF7D67">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（2）项目主管部门或者行政监督部门的人员；</w:t>
      </w:r>
    </w:p>
    <w:p w14:paraId="2732277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（3）与投标人有经济利益关系；</w:t>
      </w:r>
    </w:p>
    <w:p w14:paraId="401FDB8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（4）曾因在招标、评标以及其他与招标投标有关活动中从事违法行为而受过行政处罚或刑事处罚的；</w:t>
      </w:r>
    </w:p>
    <w:p w14:paraId="1352D57B">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（5）与投标人有其他利害关系。</w:t>
      </w:r>
    </w:p>
    <w:p w14:paraId="169F78C4">
      <w:pPr>
        <w:pStyle w:val="22"/>
        <w:adjustRightInd w:val="0"/>
        <w:snapToGrid w:val="0"/>
        <w:spacing w:line="500" w:lineRule="exact"/>
        <w:ind w:left="0" w:leftChars="0"/>
        <w:jc w:val="left"/>
        <w:rPr>
          <w:rFonts w:ascii="宋体" w:hAnsi="宋体" w:cs="宋体"/>
          <w:color w:val="auto"/>
          <w:szCs w:val="21"/>
        </w:rPr>
      </w:pPr>
      <w:r>
        <w:rPr>
          <w:rFonts w:hint="eastAsia" w:ascii="宋体" w:hAnsi="宋体" w:cs="宋体"/>
          <w:color w:val="auto"/>
          <w:szCs w:val="21"/>
        </w:rPr>
        <w:t xml:space="preserve">项目实施主体及其子公司、下属单位、上级主管部门或者控股公司的工作人员或者退休人员不得以专家身份参与本单位或者代理项目的评标评审。 </w:t>
      </w:r>
    </w:p>
    <w:p w14:paraId="747FDC08">
      <w:pPr>
        <w:pStyle w:val="22"/>
        <w:adjustRightInd w:val="0"/>
        <w:snapToGrid w:val="0"/>
        <w:spacing w:line="500" w:lineRule="exact"/>
        <w:ind w:left="0" w:leftChars="0"/>
        <w:jc w:val="left"/>
        <w:rPr>
          <w:rFonts w:ascii="宋体" w:hAnsi="宋体" w:cs="宋体"/>
          <w:color w:val="auto"/>
          <w:szCs w:val="21"/>
        </w:rPr>
      </w:pPr>
      <w:r>
        <w:rPr>
          <w:rFonts w:hint="eastAsia" w:ascii="宋体" w:hAnsi="宋体" w:cs="宋体"/>
          <w:color w:val="auto"/>
          <w:szCs w:val="21"/>
        </w:rPr>
        <w:t>评标委员会或评审机构成员有前两款规定情形的，应当主动提出回避；已经进入的应当更换，被更换的成员评标评审意见无效。</w:t>
      </w:r>
    </w:p>
    <w:p w14:paraId="10EA2BE9">
      <w:pPr>
        <w:pStyle w:val="22"/>
        <w:adjustRightInd w:val="0"/>
        <w:snapToGrid w:val="0"/>
        <w:spacing w:line="500" w:lineRule="exact"/>
        <w:ind w:left="0" w:leftChars="0"/>
        <w:jc w:val="left"/>
        <w:rPr>
          <w:rFonts w:ascii="宋体" w:hAnsi="宋体" w:cs="宋体"/>
          <w:color w:val="auto"/>
          <w:szCs w:val="21"/>
        </w:rPr>
      </w:pPr>
      <w:r>
        <w:rPr>
          <w:rFonts w:hint="eastAsia" w:ascii="宋体" w:hAnsi="宋体" w:cs="宋体"/>
          <w:color w:val="auto"/>
          <w:szCs w:val="21"/>
        </w:rPr>
        <w:t>6.1.3评标过程中，评标委员会成员有回避事由、擅离职守或因健康等原因不能继续评标的， 招标人有权更换。被更换的评标委员会成员作出的评审结论无效，由更换后的评标委员会成员重新进行评审。</w:t>
      </w:r>
    </w:p>
    <w:p w14:paraId="10C4636B">
      <w:pPr>
        <w:pStyle w:val="4"/>
        <w:adjustRightInd w:val="0"/>
        <w:snapToGrid w:val="0"/>
        <w:spacing w:line="500" w:lineRule="exact"/>
        <w:ind w:firstLine="422" w:firstLineChars="200"/>
        <w:jc w:val="left"/>
        <w:rPr>
          <w:rFonts w:ascii="宋体" w:hAnsi="宋体" w:cs="宋体"/>
          <w:color w:val="auto"/>
          <w:sz w:val="21"/>
          <w:szCs w:val="21"/>
        </w:rPr>
      </w:pPr>
      <w:bookmarkStart w:id="425" w:name="_Toc15058886"/>
      <w:bookmarkStart w:id="426" w:name="_Toc60061468"/>
      <w:bookmarkStart w:id="427" w:name="_Toc179632582"/>
      <w:bookmarkStart w:id="428" w:name="_Toc506107301"/>
      <w:bookmarkStart w:id="429" w:name="_Toc144974532"/>
      <w:bookmarkStart w:id="430" w:name="_Toc247085722"/>
      <w:bookmarkStart w:id="431" w:name="_Toc152042340"/>
      <w:bookmarkStart w:id="432" w:name="_Toc296602453"/>
      <w:bookmarkStart w:id="433" w:name="_Toc324404848"/>
      <w:bookmarkStart w:id="434" w:name="_Toc95223371"/>
      <w:bookmarkStart w:id="435" w:name="_Toc246996951"/>
      <w:bookmarkStart w:id="436" w:name="_Toc83301723"/>
      <w:bookmarkStart w:id="437" w:name="_Toc246996208"/>
      <w:bookmarkStart w:id="438" w:name="_Toc152045564"/>
      <w:r>
        <w:rPr>
          <w:rFonts w:hint="eastAsia" w:ascii="宋体" w:hAnsi="宋体" w:cs="宋体"/>
          <w:color w:val="auto"/>
          <w:sz w:val="21"/>
          <w:szCs w:val="21"/>
        </w:rPr>
        <w:t>6.2 评标原则</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170811CB">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评标活动遵循公平、公正、科学和择优的原则。</w:t>
      </w:r>
    </w:p>
    <w:p w14:paraId="372FE652">
      <w:pPr>
        <w:pStyle w:val="4"/>
        <w:adjustRightInd w:val="0"/>
        <w:snapToGrid w:val="0"/>
        <w:spacing w:line="500" w:lineRule="exact"/>
        <w:ind w:firstLine="422" w:firstLineChars="200"/>
        <w:jc w:val="left"/>
        <w:rPr>
          <w:rFonts w:ascii="宋体" w:hAnsi="宋体" w:cs="宋体"/>
          <w:color w:val="auto"/>
          <w:sz w:val="21"/>
          <w:szCs w:val="21"/>
        </w:rPr>
      </w:pPr>
      <w:bookmarkStart w:id="439" w:name="_Toc324404849"/>
      <w:bookmarkStart w:id="440" w:name="_Toc152045565"/>
      <w:bookmarkStart w:id="441" w:name="_Toc247085723"/>
      <w:bookmarkStart w:id="442" w:name="_Toc15058887"/>
      <w:bookmarkStart w:id="443" w:name="_Toc144974533"/>
      <w:bookmarkStart w:id="444" w:name="_Toc60061469"/>
      <w:bookmarkStart w:id="445" w:name="_Toc296602454"/>
      <w:bookmarkStart w:id="446" w:name="_Toc506107302"/>
      <w:bookmarkStart w:id="447" w:name="_Toc95223372"/>
      <w:bookmarkStart w:id="448" w:name="_Toc246996209"/>
      <w:bookmarkStart w:id="449" w:name="_Toc179632583"/>
      <w:bookmarkStart w:id="450" w:name="_Toc152042341"/>
      <w:bookmarkStart w:id="451" w:name="_Toc246996952"/>
      <w:bookmarkStart w:id="452" w:name="_Toc83301724"/>
      <w:r>
        <w:rPr>
          <w:rFonts w:hint="eastAsia" w:ascii="宋体" w:hAnsi="宋体" w:cs="宋体"/>
          <w:color w:val="auto"/>
          <w:sz w:val="21"/>
          <w:szCs w:val="21"/>
        </w:rPr>
        <w:t>6.3 评标</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Start w:id="453" w:name="_Toc60061470"/>
      <w:bookmarkStart w:id="454" w:name="_Toc144974534"/>
      <w:bookmarkStart w:id="455" w:name="_Toc15058888"/>
      <w:bookmarkStart w:id="456" w:name="_Toc152045566"/>
      <w:bookmarkStart w:id="457" w:name="_Toc324404850"/>
      <w:bookmarkStart w:id="458" w:name="_Toc152042342"/>
      <w:bookmarkStart w:id="459" w:name="_Toc247085724"/>
      <w:bookmarkStart w:id="460" w:name="_Toc246996953"/>
      <w:bookmarkStart w:id="461" w:name="_Toc246996210"/>
      <w:bookmarkStart w:id="462" w:name="_Toc506107303"/>
      <w:bookmarkStart w:id="463" w:name="_Toc179632584"/>
      <w:r>
        <w:rPr>
          <w:rFonts w:hint="eastAsia" w:ascii="宋体" w:hAnsi="宋体" w:cs="宋体"/>
          <w:color w:val="auto"/>
          <w:sz w:val="21"/>
          <w:szCs w:val="21"/>
        </w:rPr>
        <w:t xml:space="preserve">    </w:t>
      </w:r>
    </w:p>
    <w:p w14:paraId="6797AECA">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6.3.1评标委员会按照第四章“评标办法”规定的方法、评审因素、标准和程序对投标文件进行评审。第四章“评标办法”没有规定的方法、评审因素和标准，不作为评标依据。</w:t>
      </w:r>
    </w:p>
    <w:p w14:paraId="1D19F94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6.3.2评标完成后，评标委员会应向招标人提交书面评标报告和中标候选人名单。评标委员会推荐中标候选人的人数见投标人须知前附表。</w:t>
      </w:r>
    </w:p>
    <w:p w14:paraId="4B8F8A97">
      <w:pPr>
        <w:pStyle w:val="3"/>
        <w:adjustRightInd w:val="0"/>
        <w:snapToGrid w:val="0"/>
        <w:spacing w:line="500" w:lineRule="exact"/>
        <w:ind w:firstLine="422" w:firstLineChars="200"/>
        <w:jc w:val="left"/>
        <w:rPr>
          <w:rFonts w:ascii="宋体" w:hAnsi="宋体" w:eastAsia="宋体" w:cs="宋体"/>
          <w:color w:val="auto"/>
          <w:sz w:val="21"/>
          <w:szCs w:val="21"/>
        </w:rPr>
      </w:pPr>
      <w:bookmarkStart w:id="464" w:name="_Toc95223373"/>
      <w:bookmarkStart w:id="465" w:name="_Toc83301725"/>
      <w:r>
        <w:rPr>
          <w:rFonts w:hint="eastAsia" w:ascii="宋体" w:hAnsi="宋体" w:eastAsia="宋体" w:cs="宋体"/>
          <w:color w:val="auto"/>
          <w:sz w:val="21"/>
          <w:szCs w:val="21"/>
        </w:rPr>
        <w:t>7. 合同授予</w:t>
      </w:r>
      <w:bookmarkEnd w:id="453"/>
      <w:bookmarkEnd w:id="454"/>
      <w:bookmarkEnd w:id="455"/>
      <w:bookmarkEnd w:id="456"/>
      <w:bookmarkEnd w:id="457"/>
      <w:bookmarkEnd w:id="458"/>
      <w:bookmarkEnd w:id="459"/>
      <w:bookmarkEnd w:id="460"/>
      <w:bookmarkEnd w:id="461"/>
      <w:bookmarkEnd w:id="462"/>
      <w:bookmarkEnd w:id="463"/>
      <w:bookmarkEnd w:id="464"/>
      <w:bookmarkEnd w:id="465"/>
    </w:p>
    <w:p w14:paraId="7C2BED14">
      <w:pPr>
        <w:pStyle w:val="4"/>
        <w:adjustRightInd w:val="0"/>
        <w:snapToGrid w:val="0"/>
        <w:spacing w:line="500" w:lineRule="exact"/>
        <w:ind w:firstLine="422" w:firstLineChars="200"/>
        <w:jc w:val="left"/>
        <w:rPr>
          <w:rFonts w:ascii="宋体" w:hAnsi="宋体" w:cs="宋体"/>
          <w:color w:val="auto"/>
          <w:sz w:val="21"/>
          <w:szCs w:val="21"/>
        </w:rPr>
      </w:pPr>
      <w:bookmarkStart w:id="466" w:name="_Toc60061472"/>
      <w:bookmarkStart w:id="467" w:name="_Toc95223374"/>
      <w:bookmarkStart w:id="468" w:name="_Toc83301726"/>
      <w:bookmarkStart w:id="469" w:name="_Toc324404852"/>
      <w:bookmarkStart w:id="470" w:name="_Toc15058890"/>
      <w:bookmarkStart w:id="471" w:name="_Toc296602457"/>
      <w:bookmarkStart w:id="472" w:name="_Toc506107305"/>
      <w:r>
        <w:rPr>
          <w:rFonts w:hint="eastAsia" w:ascii="宋体" w:hAnsi="宋体" w:cs="宋体"/>
          <w:color w:val="auto"/>
          <w:sz w:val="21"/>
          <w:szCs w:val="21"/>
        </w:rPr>
        <w:t>7.1 中标候选人公示</w:t>
      </w:r>
      <w:bookmarkEnd w:id="466"/>
      <w:bookmarkEnd w:id="467"/>
      <w:bookmarkEnd w:id="468"/>
      <w:bookmarkEnd w:id="469"/>
      <w:bookmarkEnd w:id="470"/>
      <w:bookmarkEnd w:id="471"/>
      <w:bookmarkEnd w:id="472"/>
    </w:p>
    <w:p w14:paraId="6041E850">
      <w:pPr>
        <w:adjustRightInd w:val="0"/>
        <w:snapToGrid w:val="0"/>
        <w:spacing w:line="500" w:lineRule="exact"/>
        <w:ind w:firstLine="420" w:firstLineChars="200"/>
        <w:jc w:val="left"/>
        <w:rPr>
          <w:rFonts w:ascii="宋体" w:hAnsi="宋体" w:cs="宋体"/>
          <w:color w:val="auto"/>
          <w:szCs w:val="21"/>
        </w:rPr>
      </w:pPr>
      <w:bookmarkStart w:id="473" w:name="_Toc60061473"/>
      <w:bookmarkStart w:id="474" w:name="_Toc179632586"/>
      <w:bookmarkStart w:id="475" w:name="_Toc246996955"/>
      <w:bookmarkStart w:id="476" w:name="_Toc152045568"/>
      <w:bookmarkStart w:id="477" w:name="_Toc144974536"/>
      <w:bookmarkStart w:id="478" w:name="_Toc247085726"/>
      <w:bookmarkStart w:id="479" w:name="_Toc324404853"/>
      <w:bookmarkStart w:id="480" w:name="_Toc152042344"/>
      <w:bookmarkStart w:id="481" w:name="_Toc296602458"/>
      <w:bookmarkStart w:id="482" w:name="_Toc246996212"/>
      <w:r>
        <w:rPr>
          <w:rFonts w:hint="eastAsia" w:ascii="宋体" w:hAnsi="宋体" w:cs="宋体"/>
          <w:color w:val="auto"/>
          <w:szCs w:val="21"/>
        </w:rPr>
        <w:t>招标人在收到评标报告之日起3日内，按照投标人须知前附表规定的公示媒介和期限依法公示。中标候选人公示期不得少于3日。</w:t>
      </w:r>
    </w:p>
    <w:p w14:paraId="0D7583BB">
      <w:pPr>
        <w:adjustRightInd w:val="0"/>
        <w:snapToGrid w:val="0"/>
        <w:spacing w:line="500" w:lineRule="exact"/>
        <w:ind w:firstLine="422" w:firstLineChars="200"/>
        <w:jc w:val="left"/>
        <w:rPr>
          <w:rFonts w:ascii="宋体" w:hAnsi="宋体" w:cs="宋体"/>
          <w:bCs/>
          <w:color w:val="auto"/>
          <w:kern w:val="0"/>
          <w:szCs w:val="21"/>
        </w:rPr>
      </w:pPr>
      <w:r>
        <w:rPr>
          <w:rFonts w:hint="eastAsia" w:ascii="宋体" w:hAnsi="宋体" w:cs="宋体"/>
          <w:b/>
          <w:bCs/>
          <w:color w:val="auto"/>
          <w:kern w:val="0"/>
          <w:szCs w:val="21"/>
        </w:rPr>
        <w:t>7.2 评标结果异议</w:t>
      </w:r>
    </w:p>
    <w:p w14:paraId="461725B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投标人或其他利害关系人对评标结果有异议的，应在中标候选人公示期内提出。招标人将在收到异议之日起3日内作出答复；作出答复前，将暂停招标投标活动。</w:t>
      </w:r>
    </w:p>
    <w:p w14:paraId="531B3A60">
      <w:pPr>
        <w:adjustRightInd w:val="0"/>
        <w:snapToGrid w:val="0"/>
        <w:spacing w:line="500" w:lineRule="exact"/>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7.3 中标候选人履约能力审查</w:t>
      </w:r>
    </w:p>
    <w:p w14:paraId="7FB36AD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中标候选人的经营、财务状况发生较大变化或者存在违法行为，招标人认为可能影响其履约能力的，应当在发出中标通知书前由原评标委员会按照招标文件规定的标准和方法审查确认。</w:t>
      </w:r>
    </w:p>
    <w:p w14:paraId="2E7AE805">
      <w:pPr>
        <w:adjustRightInd w:val="0"/>
        <w:snapToGrid w:val="0"/>
        <w:spacing w:line="500" w:lineRule="exact"/>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7.4 业绩奖项公示</w:t>
      </w:r>
      <w:bookmarkEnd w:id="473"/>
    </w:p>
    <w:p w14:paraId="32CC61F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招标人对中标候选人的得分业绩和奖项进行公示。</w:t>
      </w:r>
    </w:p>
    <w:p w14:paraId="733E4D78">
      <w:pPr>
        <w:pStyle w:val="4"/>
        <w:adjustRightInd w:val="0"/>
        <w:snapToGrid w:val="0"/>
        <w:spacing w:line="500" w:lineRule="exact"/>
        <w:ind w:firstLine="422" w:firstLineChars="200"/>
        <w:jc w:val="left"/>
        <w:rPr>
          <w:rFonts w:ascii="宋体" w:hAnsi="宋体" w:cs="宋体"/>
          <w:color w:val="auto"/>
          <w:sz w:val="21"/>
          <w:szCs w:val="21"/>
        </w:rPr>
      </w:pPr>
      <w:bookmarkStart w:id="483" w:name="_Toc83301727"/>
      <w:bookmarkStart w:id="484" w:name="_Toc95223375"/>
      <w:bookmarkStart w:id="485" w:name="_Toc60061474"/>
      <w:bookmarkStart w:id="486" w:name="_Toc506107306"/>
      <w:bookmarkStart w:id="487" w:name="_Toc15058891"/>
      <w:r>
        <w:rPr>
          <w:rFonts w:hint="eastAsia" w:ascii="宋体" w:hAnsi="宋体" w:cs="宋体"/>
          <w:color w:val="auto"/>
          <w:sz w:val="21"/>
          <w:szCs w:val="21"/>
        </w:rPr>
        <w:t>7.5 定标</w:t>
      </w:r>
      <w:bookmarkEnd w:id="483"/>
      <w:bookmarkEnd w:id="484"/>
    </w:p>
    <w:p w14:paraId="5E4BBB9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14B80F4">
      <w:pPr>
        <w:pStyle w:val="4"/>
        <w:adjustRightInd w:val="0"/>
        <w:snapToGrid w:val="0"/>
        <w:spacing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 xml:space="preserve"> </w:t>
      </w:r>
      <w:bookmarkStart w:id="488" w:name="_Toc83301728"/>
      <w:bookmarkStart w:id="489" w:name="_Toc95223376"/>
      <w:r>
        <w:rPr>
          <w:rFonts w:hint="eastAsia" w:ascii="宋体" w:hAnsi="宋体" w:cs="宋体"/>
          <w:color w:val="auto"/>
          <w:sz w:val="21"/>
          <w:szCs w:val="21"/>
        </w:rPr>
        <w:t>7.6 中标通知</w:t>
      </w:r>
      <w:bookmarkEnd w:id="474"/>
      <w:bookmarkEnd w:id="475"/>
      <w:bookmarkEnd w:id="476"/>
      <w:bookmarkEnd w:id="477"/>
      <w:bookmarkEnd w:id="478"/>
      <w:bookmarkEnd w:id="479"/>
      <w:bookmarkEnd w:id="480"/>
      <w:bookmarkEnd w:id="481"/>
      <w:bookmarkEnd w:id="482"/>
      <w:bookmarkEnd w:id="485"/>
      <w:bookmarkEnd w:id="486"/>
      <w:bookmarkEnd w:id="487"/>
      <w:bookmarkEnd w:id="488"/>
      <w:bookmarkEnd w:id="489"/>
    </w:p>
    <w:p w14:paraId="6DC8D37D">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在本招标文件规定的投标有效期内，招标人以数据电文向中标人发出中标通知书，同时将中标结果通知未中标的投标人。</w:t>
      </w:r>
    </w:p>
    <w:p w14:paraId="152C754B">
      <w:pPr>
        <w:pStyle w:val="4"/>
        <w:adjustRightInd w:val="0"/>
        <w:snapToGrid w:val="0"/>
        <w:spacing w:line="500" w:lineRule="exact"/>
        <w:ind w:firstLine="422" w:firstLineChars="200"/>
        <w:jc w:val="left"/>
        <w:rPr>
          <w:rFonts w:ascii="宋体" w:hAnsi="宋体" w:cs="宋体"/>
          <w:color w:val="auto"/>
          <w:sz w:val="21"/>
          <w:szCs w:val="21"/>
        </w:rPr>
      </w:pPr>
      <w:bookmarkStart w:id="490" w:name="_Toc95223377"/>
      <w:r>
        <w:rPr>
          <w:rFonts w:hint="eastAsia" w:ascii="宋体" w:hAnsi="宋体" w:cs="宋体"/>
          <w:color w:val="auto"/>
          <w:sz w:val="21"/>
          <w:szCs w:val="21"/>
        </w:rPr>
        <w:t>7.7 中标结果公示</w:t>
      </w:r>
      <w:bookmarkEnd w:id="490"/>
    </w:p>
    <w:p w14:paraId="24737A5B">
      <w:pPr>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bCs/>
          <w:snapToGrid w:val="0"/>
          <w:color w:val="auto"/>
          <w:kern w:val="0"/>
          <w:szCs w:val="21"/>
        </w:rPr>
        <w:t>招标人在确定中标人之日起3日内，按照投标人须知前附表规定的公示媒介和期限依法公示中标结果。</w:t>
      </w:r>
    </w:p>
    <w:p w14:paraId="492F6B71">
      <w:pPr>
        <w:pStyle w:val="4"/>
        <w:adjustRightInd w:val="0"/>
        <w:snapToGrid w:val="0"/>
        <w:spacing w:line="500" w:lineRule="exact"/>
        <w:ind w:firstLine="422" w:firstLineChars="200"/>
        <w:jc w:val="left"/>
        <w:rPr>
          <w:rFonts w:ascii="宋体" w:hAnsi="宋体" w:cs="宋体"/>
          <w:color w:val="auto"/>
          <w:sz w:val="21"/>
          <w:szCs w:val="21"/>
        </w:rPr>
      </w:pPr>
      <w:bookmarkStart w:id="491" w:name="_Toc60061476"/>
      <w:bookmarkStart w:id="492" w:name="_Toc152045569"/>
      <w:bookmarkStart w:id="493" w:name="_Toc296602459"/>
      <w:bookmarkStart w:id="494" w:name="_Toc246996956"/>
      <w:bookmarkStart w:id="495" w:name="_Toc152042345"/>
      <w:bookmarkStart w:id="496" w:name="_Toc179632587"/>
      <w:bookmarkStart w:id="497" w:name="_Toc246996213"/>
      <w:bookmarkStart w:id="498" w:name="_Toc83301730"/>
      <w:bookmarkStart w:id="499" w:name="_Toc144974537"/>
      <w:bookmarkStart w:id="500" w:name="_Toc506107307"/>
      <w:bookmarkStart w:id="501" w:name="_Toc324404854"/>
      <w:bookmarkStart w:id="502" w:name="_Toc95223378"/>
      <w:bookmarkStart w:id="503" w:name="_Toc247085727"/>
      <w:bookmarkStart w:id="504" w:name="_Toc15058892"/>
      <w:r>
        <w:rPr>
          <w:rFonts w:hint="eastAsia" w:ascii="宋体" w:hAnsi="宋体" w:cs="宋体"/>
          <w:color w:val="auto"/>
          <w:sz w:val="21"/>
          <w:szCs w:val="21"/>
        </w:rPr>
        <w:t>7.8 履约担保</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6E4D3C6F">
      <w:pPr>
        <w:adjustRightInd w:val="0"/>
        <w:snapToGrid w:val="0"/>
        <w:spacing w:line="500" w:lineRule="exact"/>
        <w:ind w:firstLine="420" w:firstLineChars="200"/>
        <w:jc w:val="left"/>
        <w:rPr>
          <w:rFonts w:ascii="宋体" w:hAnsi="宋体" w:cs="宋体"/>
          <w:b/>
          <w:color w:val="auto"/>
          <w:szCs w:val="21"/>
        </w:rPr>
      </w:pPr>
      <w:r>
        <w:rPr>
          <w:rFonts w:hint="eastAsia" w:ascii="宋体" w:hAnsi="宋体" w:cs="宋体"/>
          <w:color w:val="auto"/>
          <w:szCs w:val="21"/>
        </w:rPr>
        <w:t>7.8.1在签订合同前，中标人应按投标人须知前附表规定的担保形式和招标文件第五章“合同条款及格式”规定的或者事先经过招标人书面认可的履约担保格式向招标人提交履约担保。联合体中标的，其履约担保应符合投标人须知前附表规定的金额、担保形式和招标文件第五章“合同条款及格式”规定的履约担保格式要求。</w:t>
      </w:r>
    </w:p>
    <w:p w14:paraId="340C147A">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7.8.2 中标人不能按本章第7.8.1项要求提交履约担保的，视为放弃中标，其投标保证金不予退还，给招标人造成的损失超过投标保证金数额的，中标人还应当对超过部分予以赔偿。</w:t>
      </w:r>
    </w:p>
    <w:p w14:paraId="424357D5">
      <w:pPr>
        <w:pStyle w:val="4"/>
        <w:adjustRightInd w:val="0"/>
        <w:snapToGrid w:val="0"/>
        <w:spacing w:line="500" w:lineRule="exact"/>
        <w:ind w:firstLine="422" w:firstLineChars="200"/>
        <w:jc w:val="left"/>
        <w:rPr>
          <w:rFonts w:ascii="宋体" w:hAnsi="宋体" w:cs="宋体"/>
          <w:color w:val="auto"/>
          <w:sz w:val="21"/>
          <w:szCs w:val="21"/>
        </w:rPr>
      </w:pPr>
      <w:bookmarkStart w:id="505" w:name="_Toc296602460"/>
      <w:bookmarkStart w:id="506" w:name="_Toc60061477"/>
      <w:bookmarkStart w:id="507" w:name="_Toc144974538"/>
      <w:bookmarkStart w:id="508" w:name="_Toc15058893"/>
      <w:bookmarkStart w:id="509" w:name="_Toc179632588"/>
      <w:bookmarkStart w:id="510" w:name="_Toc506107308"/>
      <w:bookmarkStart w:id="511" w:name="_Toc246996957"/>
      <w:bookmarkStart w:id="512" w:name="_Toc152042346"/>
      <w:bookmarkStart w:id="513" w:name="_Toc324404855"/>
      <w:bookmarkStart w:id="514" w:name="_Toc246996214"/>
      <w:bookmarkStart w:id="515" w:name="_Toc83301731"/>
      <w:bookmarkStart w:id="516" w:name="_Toc95223379"/>
      <w:bookmarkStart w:id="517" w:name="_Toc247085728"/>
      <w:bookmarkStart w:id="518" w:name="_Toc152045570"/>
      <w:r>
        <w:rPr>
          <w:rFonts w:hint="eastAsia" w:ascii="宋体" w:hAnsi="宋体" w:cs="宋体"/>
          <w:color w:val="auto"/>
          <w:sz w:val="21"/>
          <w:szCs w:val="21"/>
        </w:rPr>
        <w:t>7.9 签订合同</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433ADE0F">
      <w:pPr>
        <w:adjustRightInd w:val="0"/>
        <w:snapToGrid w:val="0"/>
        <w:spacing w:line="500" w:lineRule="exact"/>
        <w:ind w:firstLine="420" w:firstLineChars="200"/>
        <w:jc w:val="left"/>
        <w:rPr>
          <w:rFonts w:ascii="宋体" w:hAnsi="宋体" w:cs="宋体"/>
          <w:bCs/>
          <w:color w:val="auto"/>
          <w:szCs w:val="21"/>
        </w:rPr>
      </w:pPr>
      <w:r>
        <w:rPr>
          <w:rFonts w:hint="eastAsia" w:ascii="宋体" w:hAnsi="宋体" w:cs="宋体"/>
          <w:bCs/>
          <w:color w:val="auto"/>
          <w:szCs w:val="21"/>
        </w:rPr>
        <w:t>7.9.1本招标工程的施工合同将授予按本须知第7.6款规定所确定的中标人。</w:t>
      </w:r>
    </w:p>
    <w:p w14:paraId="78F3C314">
      <w:pPr>
        <w:adjustRightInd w:val="0"/>
        <w:snapToGrid w:val="0"/>
        <w:spacing w:line="500" w:lineRule="exact"/>
        <w:ind w:firstLine="420" w:firstLineChars="200"/>
        <w:jc w:val="left"/>
        <w:rPr>
          <w:rFonts w:ascii="宋体" w:hAnsi="宋体" w:cs="宋体"/>
          <w:bCs/>
          <w:color w:val="auto"/>
          <w:szCs w:val="21"/>
        </w:rPr>
      </w:pPr>
      <w:bookmarkStart w:id="519" w:name="_Toc324404856"/>
      <w:r>
        <w:rPr>
          <w:rFonts w:hint="eastAsia" w:ascii="宋体" w:hAnsi="宋体" w:cs="宋体"/>
          <w:bCs/>
          <w:color w:val="auto"/>
          <w:szCs w:val="21"/>
        </w:rPr>
        <w:t>投标人所派出项目经理（建造师）须不得有在其他尚未完工（以竣工、交工、完工验收报告等手续为准）项目或已中标项目（以发放中标通知书为准）中担任项目经理（建造师）情形。如有，项目在滁州市区域内的，中标无效，记入不良行为记录；项目在滁州市区域外的，须在中标候选人公示期第一日起开始计算7日内，提供经行政主管部门备案的变更证明材料，否则视为弄虚作假材料骗取中标，中标无效，按有关规定进行处理。</w:t>
      </w:r>
    </w:p>
    <w:p w14:paraId="6B3CE07B">
      <w:pPr>
        <w:adjustRightInd w:val="0"/>
        <w:snapToGrid w:val="0"/>
        <w:spacing w:line="500" w:lineRule="exact"/>
        <w:ind w:firstLine="420" w:firstLineChars="200"/>
        <w:jc w:val="left"/>
        <w:rPr>
          <w:rFonts w:ascii="宋体" w:hAnsi="宋体" w:cs="宋体"/>
          <w:bCs/>
          <w:color w:val="auto"/>
          <w:szCs w:val="21"/>
        </w:rPr>
      </w:pPr>
      <w:r>
        <w:rPr>
          <w:rFonts w:hint="eastAsia" w:ascii="宋体" w:hAnsi="宋体" w:cs="宋体"/>
          <w:bCs/>
          <w:color w:val="auto"/>
          <w:szCs w:val="21"/>
        </w:rPr>
        <w:t>7.9.2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459DDC42">
      <w:pPr>
        <w:adjustRightInd w:val="0"/>
        <w:snapToGrid w:val="0"/>
        <w:spacing w:line="500" w:lineRule="exact"/>
        <w:ind w:firstLine="420" w:firstLineChars="200"/>
        <w:jc w:val="left"/>
        <w:rPr>
          <w:rFonts w:ascii="宋体" w:hAnsi="宋体" w:cs="宋体"/>
          <w:bCs/>
          <w:color w:val="auto"/>
          <w:szCs w:val="21"/>
        </w:rPr>
      </w:pPr>
      <w:r>
        <w:rPr>
          <w:rFonts w:hint="eastAsia" w:ascii="宋体" w:hAnsi="宋体" w:cs="宋体"/>
          <w:bCs/>
          <w:color w:val="auto"/>
          <w:szCs w:val="21"/>
        </w:rPr>
        <w:t>7.9.3发出中标通知书后，招标人无正当理由拒签合同的，招标人向中标人退还投标保证金；给中标人造成损失的，还应当赔偿损失。</w:t>
      </w:r>
    </w:p>
    <w:p w14:paraId="0F019E5D">
      <w:pPr>
        <w:adjustRightInd w:val="0"/>
        <w:snapToGrid w:val="0"/>
        <w:spacing w:line="500" w:lineRule="exact"/>
        <w:ind w:firstLine="420" w:firstLineChars="200"/>
        <w:jc w:val="left"/>
        <w:rPr>
          <w:rFonts w:ascii="宋体" w:hAnsi="宋体" w:cs="宋体"/>
          <w:bCs/>
          <w:color w:val="auto"/>
          <w:szCs w:val="21"/>
        </w:rPr>
      </w:pPr>
      <w:r>
        <w:rPr>
          <w:rFonts w:hint="eastAsia" w:ascii="宋体" w:hAnsi="宋体" w:cs="宋体"/>
          <w:bCs/>
          <w:color w:val="auto"/>
          <w:szCs w:val="21"/>
        </w:rPr>
        <w:t>7.9.4除法定情形外，建设工程合同履行期间项目经理（建造师）不得更换。项目经理（建造师）确需变更的，应根据招标文件要求，变更后的项目经理（建造师）不低于投标文件中拟派项目经理（建造师）的资格条件。</w:t>
      </w:r>
    </w:p>
    <w:p w14:paraId="27C6A9EC">
      <w:pPr>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color w:val="auto"/>
          <w:szCs w:val="21"/>
        </w:rPr>
        <w:t>7.9.5</w:t>
      </w:r>
      <w:r>
        <w:rPr>
          <w:rFonts w:hint="eastAsia" w:ascii="宋体" w:hAnsi="宋体" w:cs="宋体"/>
          <w:bCs/>
          <w:snapToGrid w:val="0"/>
          <w:color w:val="auto"/>
          <w:kern w:val="0"/>
          <w:szCs w:val="21"/>
        </w:rPr>
        <w:t>联合体中标的，联合体各方应当共同与招标人签订合同，就中标项目向招标人承担连带责任。</w:t>
      </w:r>
    </w:p>
    <w:p w14:paraId="7D49A57D">
      <w:pPr>
        <w:pStyle w:val="3"/>
        <w:adjustRightInd w:val="0"/>
        <w:snapToGrid w:val="0"/>
        <w:spacing w:line="500" w:lineRule="exact"/>
        <w:ind w:firstLine="422" w:firstLineChars="200"/>
        <w:jc w:val="left"/>
        <w:rPr>
          <w:rFonts w:ascii="宋体" w:hAnsi="宋体" w:eastAsia="宋体" w:cs="宋体"/>
          <w:color w:val="auto"/>
          <w:sz w:val="21"/>
          <w:szCs w:val="21"/>
        </w:rPr>
      </w:pPr>
      <w:bookmarkStart w:id="520" w:name="_Toc179632589"/>
      <w:bookmarkStart w:id="521" w:name="_Toc83301732"/>
      <w:bookmarkStart w:id="522" w:name="_Toc152042347"/>
      <w:bookmarkStart w:id="523" w:name="_Toc95223381"/>
      <w:bookmarkStart w:id="524" w:name="_Toc152045571"/>
      <w:bookmarkStart w:id="525" w:name="_Toc144974539"/>
      <w:bookmarkStart w:id="526" w:name="_Toc60061478"/>
      <w:r>
        <w:rPr>
          <w:rFonts w:hint="eastAsia" w:ascii="宋体" w:hAnsi="宋体" w:eastAsia="宋体" w:cs="宋体"/>
          <w:color w:val="auto"/>
          <w:sz w:val="21"/>
          <w:szCs w:val="21"/>
        </w:rPr>
        <w:t>8. 重新招标和不再招标</w:t>
      </w:r>
      <w:bookmarkEnd w:id="520"/>
      <w:bookmarkEnd w:id="521"/>
      <w:bookmarkEnd w:id="522"/>
      <w:bookmarkEnd w:id="523"/>
      <w:bookmarkEnd w:id="524"/>
      <w:bookmarkEnd w:id="525"/>
      <w:bookmarkEnd w:id="526"/>
    </w:p>
    <w:p w14:paraId="473A92D3">
      <w:pPr>
        <w:pStyle w:val="4"/>
        <w:adjustRightInd w:val="0"/>
        <w:snapToGrid w:val="0"/>
        <w:spacing w:line="500" w:lineRule="exact"/>
        <w:ind w:firstLine="422" w:firstLineChars="200"/>
        <w:jc w:val="left"/>
        <w:rPr>
          <w:rFonts w:ascii="宋体" w:hAnsi="宋体" w:cs="宋体"/>
          <w:color w:val="auto"/>
          <w:sz w:val="21"/>
          <w:szCs w:val="21"/>
        </w:rPr>
      </w:pPr>
      <w:bookmarkStart w:id="527" w:name="_Toc95223382"/>
      <w:bookmarkStart w:id="528" w:name="_Toc60061479"/>
      <w:bookmarkStart w:id="529" w:name="_Toc152042348"/>
      <w:bookmarkStart w:id="530" w:name="_Toc83301733"/>
      <w:bookmarkStart w:id="531" w:name="_Toc144974540"/>
      <w:bookmarkStart w:id="532" w:name="_Toc179632590"/>
      <w:bookmarkStart w:id="533" w:name="_Toc152045572"/>
      <w:r>
        <w:rPr>
          <w:rFonts w:hint="eastAsia" w:ascii="宋体" w:hAnsi="宋体" w:cs="宋体"/>
          <w:color w:val="auto"/>
          <w:sz w:val="21"/>
          <w:szCs w:val="21"/>
        </w:rPr>
        <w:t>8.1 重新招标</w:t>
      </w:r>
      <w:bookmarkEnd w:id="527"/>
      <w:bookmarkEnd w:id="528"/>
      <w:bookmarkEnd w:id="529"/>
      <w:bookmarkEnd w:id="530"/>
      <w:bookmarkEnd w:id="531"/>
      <w:bookmarkEnd w:id="532"/>
      <w:bookmarkEnd w:id="533"/>
    </w:p>
    <w:p w14:paraId="4F4F6DA3">
      <w:pPr>
        <w:adjustRightInd w:val="0"/>
        <w:snapToGrid w:val="0"/>
        <w:spacing w:line="500" w:lineRule="exact"/>
        <w:ind w:firstLine="359" w:firstLineChars="171"/>
        <w:jc w:val="left"/>
        <w:rPr>
          <w:rFonts w:ascii="宋体" w:hAnsi="宋体" w:cs="宋体"/>
          <w:color w:val="auto"/>
          <w:szCs w:val="21"/>
        </w:rPr>
      </w:pPr>
      <w:r>
        <w:rPr>
          <w:rFonts w:hint="eastAsia" w:ascii="宋体" w:hAnsi="宋体" w:cs="宋体"/>
          <w:color w:val="auto"/>
          <w:szCs w:val="21"/>
        </w:rPr>
        <w:t>依法必须招标的项目有下列情形之一的，招标人将重新招标：</w:t>
      </w:r>
    </w:p>
    <w:p w14:paraId="0756FE28">
      <w:pPr>
        <w:adjustRightInd w:val="0"/>
        <w:snapToGrid w:val="0"/>
        <w:spacing w:line="500" w:lineRule="exact"/>
        <w:ind w:firstLine="359" w:firstLineChars="171"/>
        <w:jc w:val="left"/>
        <w:rPr>
          <w:rFonts w:ascii="宋体" w:hAnsi="宋体" w:cs="宋体"/>
          <w:color w:val="auto"/>
          <w:szCs w:val="21"/>
        </w:rPr>
      </w:pPr>
      <w:r>
        <w:rPr>
          <w:rFonts w:hint="eastAsia" w:ascii="宋体" w:hAnsi="宋体" w:cs="宋体"/>
          <w:color w:val="auto"/>
          <w:szCs w:val="21"/>
        </w:rPr>
        <w:t>（1）投标截止时间止，投标人少于3个的；</w:t>
      </w:r>
    </w:p>
    <w:p w14:paraId="7217B6C3">
      <w:pPr>
        <w:adjustRightInd w:val="0"/>
        <w:snapToGrid w:val="0"/>
        <w:spacing w:line="500" w:lineRule="exact"/>
        <w:ind w:firstLine="359" w:firstLineChars="171"/>
        <w:jc w:val="left"/>
        <w:rPr>
          <w:rFonts w:ascii="宋体" w:hAnsi="宋体" w:cs="宋体"/>
          <w:color w:val="auto"/>
          <w:szCs w:val="21"/>
        </w:rPr>
      </w:pPr>
      <w:r>
        <w:rPr>
          <w:rFonts w:hint="eastAsia" w:ascii="宋体" w:hAnsi="宋体" w:cs="宋体"/>
          <w:color w:val="auto"/>
          <w:szCs w:val="21"/>
        </w:rPr>
        <w:t>（2）经评标委员会评审后否决所有投标的；</w:t>
      </w:r>
    </w:p>
    <w:p w14:paraId="6354C587">
      <w:pPr>
        <w:adjustRightInd w:val="0"/>
        <w:snapToGrid w:val="0"/>
        <w:spacing w:line="500" w:lineRule="exact"/>
        <w:ind w:firstLine="359" w:firstLineChars="171"/>
        <w:jc w:val="left"/>
        <w:rPr>
          <w:rFonts w:ascii="宋体" w:hAnsi="宋体" w:cs="宋体"/>
          <w:bCs/>
          <w:snapToGrid w:val="0"/>
          <w:color w:val="auto"/>
          <w:kern w:val="0"/>
          <w:szCs w:val="21"/>
        </w:rPr>
      </w:pPr>
      <w:r>
        <w:rPr>
          <w:rFonts w:hint="eastAsia" w:ascii="宋体" w:hAnsi="宋体" w:cs="宋体"/>
          <w:bCs/>
          <w:snapToGrid w:val="0"/>
          <w:color w:val="auto"/>
          <w:kern w:val="0"/>
          <w:szCs w:val="21"/>
        </w:rPr>
        <w:t>（3）中标候选人均未与招标人签订合同的；</w:t>
      </w:r>
    </w:p>
    <w:p w14:paraId="131EAC48">
      <w:pPr>
        <w:adjustRightInd w:val="0"/>
        <w:snapToGrid w:val="0"/>
        <w:spacing w:line="500" w:lineRule="exact"/>
        <w:ind w:firstLine="359" w:firstLineChars="171"/>
        <w:jc w:val="left"/>
        <w:rPr>
          <w:rFonts w:ascii="宋体" w:hAnsi="宋体" w:cs="宋体"/>
          <w:bCs/>
          <w:snapToGrid w:val="0"/>
          <w:color w:val="auto"/>
          <w:kern w:val="0"/>
          <w:szCs w:val="21"/>
        </w:rPr>
      </w:pPr>
      <w:r>
        <w:rPr>
          <w:rFonts w:hint="eastAsia" w:ascii="宋体" w:hAnsi="宋体" w:cs="宋体"/>
          <w:bCs/>
          <w:snapToGrid w:val="0"/>
          <w:color w:val="auto"/>
          <w:kern w:val="0"/>
          <w:szCs w:val="21"/>
        </w:rPr>
        <w:t>（4）法律、法规规定的其他情形。</w:t>
      </w:r>
    </w:p>
    <w:p w14:paraId="01C9CA74">
      <w:pPr>
        <w:pStyle w:val="4"/>
        <w:adjustRightInd w:val="0"/>
        <w:snapToGrid w:val="0"/>
        <w:spacing w:line="500" w:lineRule="exact"/>
        <w:ind w:firstLine="422" w:firstLineChars="200"/>
        <w:jc w:val="left"/>
        <w:rPr>
          <w:rFonts w:ascii="宋体" w:hAnsi="宋体" w:cs="宋体"/>
          <w:color w:val="auto"/>
          <w:sz w:val="21"/>
          <w:szCs w:val="21"/>
        </w:rPr>
      </w:pPr>
      <w:bookmarkStart w:id="534" w:name="_Toc95223383"/>
      <w:bookmarkStart w:id="535" w:name="_Toc83301734"/>
      <w:bookmarkStart w:id="536" w:name="_Toc60061480"/>
      <w:bookmarkStart w:id="537" w:name="_Toc179632591"/>
      <w:bookmarkStart w:id="538" w:name="_Toc144974541"/>
      <w:bookmarkStart w:id="539" w:name="_Toc152042349"/>
      <w:bookmarkStart w:id="540" w:name="_Toc152045573"/>
      <w:r>
        <w:rPr>
          <w:rFonts w:hint="eastAsia" w:ascii="宋体" w:hAnsi="宋体" w:cs="宋体"/>
          <w:color w:val="auto"/>
          <w:sz w:val="21"/>
          <w:szCs w:val="21"/>
        </w:rPr>
        <w:t>8.2 不再招标</w:t>
      </w:r>
      <w:bookmarkEnd w:id="534"/>
      <w:bookmarkEnd w:id="535"/>
      <w:bookmarkEnd w:id="536"/>
      <w:bookmarkEnd w:id="537"/>
      <w:bookmarkEnd w:id="538"/>
      <w:bookmarkEnd w:id="539"/>
      <w:bookmarkEnd w:id="540"/>
    </w:p>
    <w:p w14:paraId="60946C96">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重新招标后投标人仍少于3个或者所有投标被否决的，属于必须审批或核准的工程建设项目，经原审批或核准部门批准后不再进行招标。</w:t>
      </w:r>
    </w:p>
    <w:p w14:paraId="7DFEBEE8">
      <w:pPr>
        <w:pStyle w:val="3"/>
        <w:adjustRightInd w:val="0"/>
        <w:snapToGrid w:val="0"/>
        <w:spacing w:line="500" w:lineRule="exact"/>
        <w:ind w:firstLine="422" w:firstLineChars="200"/>
        <w:jc w:val="left"/>
        <w:rPr>
          <w:rFonts w:ascii="宋体" w:hAnsi="宋体" w:eastAsia="宋体" w:cs="宋体"/>
          <w:color w:val="auto"/>
          <w:sz w:val="21"/>
          <w:szCs w:val="21"/>
        </w:rPr>
      </w:pPr>
      <w:bookmarkStart w:id="541" w:name="_Toc60061481"/>
      <w:bookmarkStart w:id="542" w:name="_Toc83301735"/>
      <w:bookmarkStart w:id="543" w:name="_Toc15058894"/>
      <w:bookmarkStart w:id="544" w:name="_Toc506107309"/>
      <w:bookmarkStart w:id="545" w:name="_Toc95223384"/>
      <w:r>
        <w:rPr>
          <w:rFonts w:hint="eastAsia" w:ascii="宋体" w:hAnsi="宋体" w:eastAsia="宋体" w:cs="宋体"/>
          <w:color w:val="auto"/>
          <w:sz w:val="21"/>
          <w:szCs w:val="21"/>
        </w:rPr>
        <w:t>9. 纪律和监督</w:t>
      </w:r>
      <w:bookmarkEnd w:id="519"/>
      <w:bookmarkEnd w:id="541"/>
      <w:bookmarkEnd w:id="542"/>
      <w:bookmarkEnd w:id="543"/>
      <w:bookmarkEnd w:id="544"/>
      <w:bookmarkEnd w:id="545"/>
    </w:p>
    <w:p w14:paraId="3C4C044D">
      <w:pPr>
        <w:pStyle w:val="4"/>
        <w:adjustRightInd w:val="0"/>
        <w:snapToGrid w:val="0"/>
        <w:spacing w:line="500" w:lineRule="exact"/>
        <w:ind w:firstLine="422" w:firstLineChars="200"/>
        <w:jc w:val="left"/>
        <w:rPr>
          <w:rFonts w:ascii="宋体" w:hAnsi="宋体" w:cs="宋体"/>
          <w:color w:val="auto"/>
          <w:sz w:val="21"/>
          <w:szCs w:val="21"/>
        </w:rPr>
      </w:pPr>
      <w:bookmarkStart w:id="546" w:name="_Toc506107310"/>
      <w:bookmarkStart w:id="547" w:name="_Toc60061482"/>
      <w:bookmarkStart w:id="548" w:name="_Toc152045575"/>
      <w:bookmarkStart w:id="549" w:name="_Toc246996962"/>
      <w:bookmarkStart w:id="550" w:name="_Toc179632593"/>
      <w:bookmarkStart w:id="551" w:name="_Toc296590983"/>
      <w:bookmarkStart w:id="552" w:name="_Toc152042351"/>
      <w:bookmarkStart w:id="553" w:name="_Toc15058895"/>
      <w:bookmarkStart w:id="554" w:name="_Toc296602462"/>
      <w:bookmarkStart w:id="555" w:name="_Toc144974543"/>
      <w:bookmarkStart w:id="556" w:name="_Toc95223385"/>
      <w:bookmarkStart w:id="557" w:name="_Toc246996219"/>
      <w:bookmarkStart w:id="558" w:name="_Toc324404857"/>
      <w:bookmarkStart w:id="559" w:name="_Toc247085733"/>
      <w:bookmarkStart w:id="560" w:name="_Toc83301736"/>
      <w:r>
        <w:rPr>
          <w:rFonts w:hint="eastAsia" w:ascii="宋体" w:hAnsi="宋体" w:cs="宋体"/>
          <w:color w:val="auto"/>
          <w:sz w:val="21"/>
          <w:szCs w:val="21"/>
        </w:rPr>
        <w:t>9.1 对招标人的纪律要求</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67B1C0F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招标人不得泄漏招标投标活动中应当保密的情况和资料，不得与投标人串通损害国家利益、社会公共利益或者他人合法权益。</w:t>
      </w:r>
    </w:p>
    <w:p w14:paraId="10DA837B">
      <w:pPr>
        <w:pStyle w:val="4"/>
        <w:adjustRightInd w:val="0"/>
        <w:snapToGrid w:val="0"/>
        <w:spacing w:line="500" w:lineRule="exact"/>
        <w:ind w:firstLine="422" w:firstLineChars="200"/>
        <w:jc w:val="left"/>
        <w:rPr>
          <w:rFonts w:ascii="宋体" w:hAnsi="宋体" w:cs="宋体"/>
          <w:color w:val="auto"/>
          <w:sz w:val="21"/>
          <w:szCs w:val="21"/>
        </w:rPr>
      </w:pPr>
      <w:bookmarkStart w:id="561" w:name="_Toc296602463"/>
      <w:bookmarkStart w:id="562" w:name="_Toc60061483"/>
      <w:bookmarkStart w:id="563" w:name="_Toc247085734"/>
      <w:bookmarkStart w:id="564" w:name="_Toc15058896"/>
      <w:bookmarkStart w:id="565" w:name="_Toc144974544"/>
      <w:bookmarkStart w:id="566" w:name="_Toc324404858"/>
      <w:bookmarkStart w:id="567" w:name="_Toc152045576"/>
      <w:bookmarkStart w:id="568" w:name="_Toc95223386"/>
      <w:bookmarkStart w:id="569" w:name="_Toc179632594"/>
      <w:bookmarkStart w:id="570" w:name="_Toc152042352"/>
      <w:bookmarkStart w:id="571" w:name="_Toc83301737"/>
      <w:bookmarkStart w:id="572" w:name="_Toc506107311"/>
      <w:bookmarkStart w:id="573" w:name="_Toc246996220"/>
      <w:bookmarkStart w:id="574" w:name="_Toc246996963"/>
      <w:r>
        <w:rPr>
          <w:rFonts w:hint="eastAsia" w:ascii="宋体" w:hAnsi="宋体" w:cs="宋体"/>
          <w:color w:val="auto"/>
          <w:sz w:val="21"/>
          <w:szCs w:val="21"/>
        </w:rPr>
        <w:t>9.2 对投标人的纪律要求</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4D4F201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85FADAA">
      <w:pPr>
        <w:pStyle w:val="4"/>
        <w:adjustRightInd w:val="0"/>
        <w:snapToGrid w:val="0"/>
        <w:spacing w:line="500" w:lineRule="exact"/>
        <w:ind w:firstLine="422" w:firstLineChars="200"/>
        <w:jc w:val="left"/>
        <w:rPr>
          <w:rFonts w:ascii="宋体" w:hAnsi="宋体" w:cs="宋体"/>
          <w:color w:val="auto"/>
          <w:sz w:val="21"/>
          <w:szCs w:val="21"/>
        </w:rPr>
      </w:pPr>
      <w:bookmarkStart w:id="575" w:name="_Toc296602464"/>
      <w:bookmarkStart w:id="576" w:name="_Toc15058897"/>
      <w:bookmarkStart w:id="577" w:name="_Toc179632595"/>
      <w:bookmarkStart w:id="578" w:name="_Toc152042353"/>
      <w:bookmarkStart w:id="579" w:name="_Toc324404859"/>
      <w:bookmarkStart w:id="580" w:name="_Toc506107312"/>
      <w:bookmarkStart w:id="581" w:name="_Toc246996964"/>
      <w:bookmarkStart w:id="582" w:name="_Toc83301738"/>
      <w:bookmarkStart w:id="583" w:name="_Toc152045577"/>
      <w:bookmarkStart w:id="584" w:name="_Toc246996221"/>
      <w:bookmarkStart w:id="585" w:name="_Toc95223387"/>
      <w:bookmarkStart w:id="586" w:name="_Toc144974545"/>
      <w:bookmarkStart w:id="587" w:name="_Toc60061484"/>
      <w:bookmarkStart w:id="588" w:name="_Toc247085735"/>
      <w:r>
        <w:rPr>
          <w:rFonts w:hint="eastAsia" w:ascii="宋体" w:hAnsi="宋体" w:cs="宋体"/>
          <w:color w:val="auto"/>
          <w:sz w:val="21"/>
          <w:szCs w:val="21"/>
        </w:rPr>
        <w:t>9.3 对评标委员会成员的纪律要求</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44B75C5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四章“评标办法”没有规定的评审因素和标准进行评标。</w:t>
      </w:r>
    </w:p>
    <w:p w14:paraId="780F307E">
      <w:pPr>
        <w:pStyle w:val="4"/>
        <w:adjustRightInd w:val="0"/>
        <w:snapToGrid w:val="0"/>
        <w:spacing w:line="500" w:lineRule="exact"/>
        <w:ind w:firstLine="422" w:firstLineChars="200"/>
        <w:jc w:val="left"/>
        <w:rPr>
          <w:rFonts w:ascii="宋体" w:hAnsi="宋体" w:cs="宋体"/>
          <w:color w:val="auto"/>
          <w:sz w:val="21"/>
          <w:szCs w:val="21"/>
        </w:rPr>
      </w:pPr>
      <w:bookmarkStart w:id="589" w:name="_Toc152045578"/>
      <w:bookmarkStart w:id="590" w:name="_Toc179632596"/>
      <w:bookmarkStart w:id="591" w:name="_Toc296602465"/>
      <w:bookmarkStart w:id="592" w:name="_Toc246996965"/>
      <w:bookmarkStart w:id="593" w:name="_Toc83301739"/>
      <w:bookmarkStart w:id="594" w:name="_Toc95223388"/>
      <w:bookmarkStart w:id="595" w:name="_Toc15058898"/>
      <w:bookmarkStart w:id="596" w:name="_Toc247085736"/>
      <w:bookmarkStart w:id="597" w:name="_Toc60061485"/>
      <w:bookmarkStart w:id="598" w:name="_Toc152042354"/>
      <w:bookmarkStart w:id="599" w:name="_Toc246996222"/>
      <w:bookmarkStart w:id="600" w:name="_Toc324404860"/>
      <w:bookmarkStart w:id="601" w:name="_Toc506107313"/>
      <w:bookmarkStart w:id="602" w:name="_Toc144974546"/>
      <w:r>
        <w:rPr>
          <w:rFonts w:hint="eastAsia" w:ascii="宋体" w:hAnsi="宋体" w:cs="宋体"/>
          <w:color w:val="auto"/>
          <w:sz w:val="21"/>
          <w:szCs w:val="21"/>
        </w:rPr>
        <w:t>9.4 对与评标活动有关的工作人员的纪律要求</w:t>
      </w:r>
      <w:bookmarkEnd w:id="589"/>
      <w:bookmarkEnd w:id="590"/>
      <w:bookmarkEnd w:id="591"/>
      <w:bookmarkEnd w:id="592"/>
      <w:bookmarkEnd w:id="593"/>
      <w:bookmarkEnd w:id="594"/>
      <w:bookmarkEnd w:id="595"/>
      <w:bookmarkEnd w:id="596"/>
      <w:bookmarkEnd w:id="597"/>
      <w:bookmarkEnd w:id="598"/>
      <w:bookmarkEnd w:id="599"/>
      <w:bookmarkEnd w:id="600"/>
      <w:bookmarkEnd w:id="601"/>
    </w:p>
    <w:p w14:paraId="144E3B5B">
      <w:pPr>
        <w:adjustRightInd w:val="0"/>
        <w:snapToGrid w:val="0"/>
        <w:spacing w:line="500" w:lineRule="exact"/>
        <w:ind w:firstLine="420" w:firstLineChars="200"/>
        <w:jc w:val="left"/>
        <w:rPr>
          <w:rFonts w:ascii="宋体" w:hAnsi="宋体" w:cs="宋体"/>
          <w:color w:val="auto"/>
          <w:szCs w:val="21"/>
        </w:rPr>
      </w:pPr>
      <w:bookmarkStart w:id="603" w:name="_Toc152042355"/>
      <w:r>
        <w:rPr>
          <w:rFonts w:hint="eastAsia" w:ascii="宋体" w:hAnsi="宋体" w:cs="宋体"/>
          <w:color w:val="auto"/>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03"/>
    </w:p>
    <w:p w14:paraId="1ABA5401">
      <w:pPr>
        <w:pStyle w:val="4"/>
        <w:adjustRightInd w:val="0"/>
        <w:snapToGrid w:val="0"/>
        <w:spacing w:line="500" w:lineRule="exact"/>
        <w:ind w:firstLine="422" w:firstLineChars="200"/>
        <w:jc w:val="left"/>
        <w:rPr>
          <w:rFonts w:ascii="宋体" w:hAnsi="宋体" w:cs="宋体"/>
          <w:color w:val="auto"/>
          <w:sz w:val="21"/>
          <w:szCs w:val="21"/>
        </w:rPr>
      </w:pPr>
      <w:bookmarkStart w:id="604" w:name="_Toc324404861"/>
      <w:bookmarkStart w:id="605" w:name="_Toc247085737"/>
      <w:bookmarkStart w:id="606" w:name="_Toc296602466"/>
      <w:bookmarkStart w:id="607" w:name="_Toc152042356"/>
      <w:bookmarkStart w:id="608" w:name="_Toc246996223"/>
      <w:bookmarkStart w:id="609" w:name="_Toc15058899"/>
      <w:bookmarkStart w:id="610" w:name="_Toc152045579"/>
      <w:bookmarkStart w:id="611" w:name="_Toc506107314"/>
      <w:bookmarkStart w:id="612" w:name="_Toc246996966"/>
      <w:bookmarkStart w:id="613" w:name="_Toc179632597"/>
      <w:bookmarkStart w:id="614" w:name="_Toc83301740"/>
      <w:bookmarkStart w:id="615" w:name="_Toc95223389"/>
      <w:bookmarkStart w:id="616" w:name="_Toc60061486"/>
      <w:r>
        <w:rPr>
          <w:rFonts w:hint="eastAsia" w:ascii="宋体" w:hAnsi="宋体" w:cs="宋体"/>
          <w:color w:val="auto"/>
          <w:sz w:val="21"/>
          <w:szCs w:val="21"/>
        </w:rPr>
        <w:t>9.5 投诉</w:t>
      </w:r>
      <w:bookmarkEnd w:id="602"/>
      <w:bookmarkEnd w:id="604"/>
      <w:bookmarkEnd w:id="605"/>
      <w:bookmarkEnd w:id="606"/>
      <w:bookmarkEnd w:id="607"/>
      <w:bookmarkEnd w:id="608"/>
      <w:bookmarkEnd w:id="609"/>
      <w:bookmarkEnd w:id="610"/>
      <w:bookmarkEnd w:id="611"/>
      <w:bookmarkEnd w:id="612"/>
      <w:bookmarkEnd w:id="613"/>
      <w:bookmarkEnd w:id="614"/>
      <w:bookmarkEnd w:id="615"/>
      <w:bookmarkEnd w:id="616"/>
    </w:p>
    <w:p w14:paraId="2BC0363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9.5.1投标人或者其他利害关系人认为招标投标活动违反法律、法规和规章规定的，有权向相关行政监督部门投诉。投诉应当有明确的请求和必要的证明材料。</w:t>
      </w:r>
    </w:p>
    <w:p w14:paraId="13A0CB2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9.5.2投标人和其他利害关系人对招标文件、开标和评标结果事项投诉的，应当按照投标人须知的规定先向招标人提出异议。异议答复期间不计算在第9.5.1项规定的期限内。</w:t>
      </w:r>
    </w:p>
    <w:p w14:paraId="04CC4A21">
      <w:pPr>
        <w:pStyle w:val="3"/>
        <w:adjustRightInd w:val="0"/>
        <w:snapToGrid w:val="0"/>
        <w:spacing w:line="500" w:lineRule="exact"/>
        <w:ind w:firstLine="422" w:firstLineChars="200"/>
        <w:jc w:val="left"/>
        <w:rPr>
          <w:rFonts w:ascii="宋体" w:hAnsi="宋体" w:eastAsia="宋体" w:cs="宋体"/>
          <w:color w:val="auto"/>
          <w:sz w:val="21"/>
          <w:szCs w:val="21"/>
        </w:rPr>
      </w:pPr>
      <w:bookmarkStart w:id="617" w:name="_Toc324404862"/>
      <w:bookmarkStart w:id="618" w:name="_Toc506107315"/>
      <w:bookmarkStart w:id="619" w:name="_Toc144974547"/>
      <w:bookmarkStart w:id="620" w:name="_Toc95223390"/>
      <w:bookmarkStart w:id="621" w:name="_Toc152045580"/>
      <w:bookmarkStart w:id="622" w:name="_Toc15058900"/>
      <w:bookmarkStart w:id="623" w:name="_Toc246996224"/>
      <w:bookmarkStart w:id="624" w:name="_Toc179632598"/>
      <w:bookmarkStart w:id="625" w:name="_Toc60061487"/>
      <w:bookmarkStart w:id="626" w:name="_Toc247085738"/>
      <w:bookmarkStart w:id="627" w:name="_Toc246996967"/>
      <w:bookmarkStart w:id="628" w:name="_Toc152042357"/>
      <w:bookmarkStart w:id="629" w:name="_Toc83301741"/>
      <w:r>
        <w:rPr>
          <w:rFonts w:hint="eastAsia" w:ascii="宋体" w:hAnsi="宋体" w:eastAsia="宋体" w:cs="宋体"/>
          <w:color w:val="auto"/>
          <w:sz w:val="21"/>
          <w:szCs w:val="21"/>
        </w:rPr>
        <w:t>10.需要补充的其他内容</w:t>
      </w:r>
      <w:bookmarkEnd w:id="617"/>
      <w:bookmarkEnd w:id="618"/>
      <w:bookmarkEnd w:id="619"/>
      <w:bookmarkEnd w:id="620"/>
      <w:bookmarkEnd w:id="621"/>
      <w:bookmarkEnd w:id="622"/>
      <w:bookmarkEnd w:id="623"/>
      <w:bookmarkEnd w:id="624"/>
      <w:bookmarkEnd w:id="625"/>
      <w:bookmarkEnd w:id="626"/>
      <w:bookmarkEnd w:id="627"/>
      <w:bookmarkEnd w:id="628"/>
      <w:bookmarkEnd w:id="629"/>
      <w:bookmarkStart w:id="630" w:name="_Toc15058901"/>
      <w:bookmarkStart w:id="631" w:name="_Toc60061488"/>
    </w:p>
    <w:p w14:paraId="1E734BE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需要补充的其他内容：见投标人须知前附表。</w:t>
      </w:r>
      <w:bookmarkEnd w:id="630"/>
      <w:bookmarkEnd w:id="631"/>
    </w:p>
    <w:p w14:paraId="4163B9FD">
      <w:pPr>
        <w:pStyle w:val="2"/>
        <w:spacing w:before="156" w:beforeLines="50" w:after="156" w:afterLines="50" w:line="360" w:lineRule="auto"/>
        <w:jc w:val="center"/>
        <w:rPr>
          <w:rFonts w:ascii="宋体" w:hAnsi="宋体" w:cs="宋体"/>
          <w:color w:val="auto"/>
          <w:sz w:val="36"/>
          <w:szCs w:val="36"/>
        </w:rPr>
      </w:pPr>
      <w:bookmarkStart w:id="632" w:name="_Toc324404864"/>
      <w:bookmarkStart w:id="633" w:name="_Toc60061489"/>
      <w:bookmarkStart w:id="634" w:name="_Toc15058902"/>
      <w:bookmarkStart w:id="635" w:name="_Toc95223391"/>
      <w:bookmarkStart w:id="636" w:name="_Toc506107317"/>
      <w:bookmarkStart w:id="637" w:name="_Toc296602475"/>
      <w:r>
        <w:rPr>
          <w:rFonts w:hint="eastAsia" w:ascii="宋体" w:hAnsi="宋体" w:cs="宋体"/>
          <w:color w:val="auto"/>
          <w:sz w:val="36"/>
          <w:szCs w:val="36"/>
        </w:rPr>
        <w:br w:type="page"/>
      </w:r>
      <w:r>
        <w:rPr>
          <w:rFonts w:hint="eastAsia" w:ascii="宋体" w:hAnsi="宋体" w:cs="宋体"/>
          <w:color w:val="auto"/>
          <w:sz w:val="36"/>
          <w:szCs w:val="36"/>
        </w:rPr>
        <w:t>第三章 资格审查</w:t>
      </w:r>
      <w:bookmarkEnd w:id="632"/>
      <w:r>
        <w:rPr>
          <w:rFonts w:hint="eastAsia" w:ascii="宋体" w:hAnsi="宋体" w:cs="宋体"/>
          <w:color w:val="auto"/>
          <w:sz w:val="36"/>
          <w:szCs w:val="36"/>
        </w:rPr>
        <w:t>办法</w:t>
      </w:r>
      <w:bookmarkEnd w:id="633"/>
      <w:bookmarkEnd w:id="634"/>
      <w:bookmarkEnd w:id="635"/>
      <w:bookmarkEnd w:id="636"/>
    </w:p>
    <w:bookmarkEnd w:id="637"/>
    <w:p w14:paraId="2D48A4E1">
      <w:pPr>
        <w:pStyle w:val="3"/>
        <w:tabs>
          <w:tab w:val="left" w:pos="2796"/>
          <w:tab w:val="center" w:pos="4479"/>
        </w:tabs>
        <w:adjustRightInd w:val="0"/>
        <w:snapToGrid w:val="0"/>
        <w:spacing w:line="520" w:lineRule="exact"/>
        <w:jc w:val="center"/>
        <w:rPr>
          <w:color w:val="auto"/>
          <w:sz w:val="28"/>
          <w:szCs w:val="28"/>
        </w:rPr>
      </w:pPr>
      <w:bookmarkStart w:id="638" w:name="_Toc95223428"/>
      <w:r>
        <w:rPr>
          <w:rFonts w:hint="eastAsia"/>
          <w:color w:val="auto"/>
          <w:sz w:val="28"/>
          <w:szCs w:val="28"/>
        </w:rPr>
        <w:t>资格审查办法前附表</w:t>
      </w:r>
    </w:p>
    <w:tbl>
      <w:tblPr>
        <w:tblStyle w:val="23"/>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6044"/>
        <w:gridCol w:w="1999"/>
      </w:tblGrid>
      <w:tr w14:paraId="13A1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023" w:type="dxa"/>
            <w:vAlign w:val="center"/>
          </w:tcPr>
          <w:p w14:paraId="37F26C29">
            <w:pPr>
              <w:adjustRightInd w:val="0"/>
              <w:snapToGrid w:val="0"/>
              <w:spacing w:line="520" w:lineRule="exact"/>
              <w:jc w:val="center"/>
              <w:rPr>
                <w:rFonts w:ascii="黑体" w:hAnsi="黑体" w:eastAsia="黑体" w:cs="宋体"/>
                <w:b/>
                <w:bCs/>
                <w:color w:val="auto"/>
                <w:szCs w:val="21"/>
              </w:rPr>
            </w:pPr>
            <w:r>
              <w:rPr>
                <w:rFonts w:hint="eastAsia" w:ascii="黑体" w:hAnsi="黑体" w:eastAsia="黑体" w:cs="宋体"/>
                <w:b/>
                <w:bCs/>
                <w:color w:val="auto"/>
                <w:szCs w:val="21"/>
              </w:rPr>
              <w:t>条款号</w:t>
            </w:r>
          </w:p>
        </w:tc>
        <w:tc>
          <w:tcPr>
            <w:tcW w:w="6044" w:type="dxa"/>
            <w:vAlign w:val="center"/>
          </w:tcPr>
          <w:p w14:paraId="238B7BFF">
            <w:pPr>
              <w:adjustRightInd w:val="0"/>
              <w:snapToGrid w:val="0"/>
              <w:spacing w:line="520" w:lineRule="exact"/>
              <w:jc w:val="center"/>
              <w:rPr>
                <w:rFonts w:ascii="黑体" w:hAnsi="黑体" w:eastAsia="黑体" w:cs="宋体"/>
                <w:b/>
                <w:bCs/>
                <w:color w:val="auto"/>
                <w:szCs w:val="21"/>
              </w:rPr>
            </w:pPr>
            <w:r>
              <w:rPr>
                <w:rFonts w:hint="eastAsia" w:ascii="黑体" w:hAnsi="黑体" w:eastAsia="黑体" w:cs="宋体"/>
                <w:b/>
                <w:bCs/>
                <w:color w:val="auto"/>
                <w:szCs w:val="21"/>
              </w:rPr>
              <w:t>审查内容</w:t>
            </w:r>
          </w:p>
        </w:tc>
        <w:tc>
          <w:tcPr>
            <w:tcW w:w="1999" w:type="dxa"/>
            <w:vAlign w:val="center"/>
          </w:tcPr>
          <w:p w14:paraId="6D0BAFF2">
            <w:pPr>
              <w:adjustRightInd w:val="0"/>
              <w:snapToGrid w:val="0"/>
              <w:spacing w:line="520" w:lineRule="exact"/>
              <w:jc w:val="center"/>
              <w:rPr>
                <w:rFonts w:ascii="黑体" w:hAnsi="黑体" w:eastAsia="黑体" w:cs="宋体"/>
                <w:b/>
                <w:bCs/>
                <w:color w:val="auto"/>
                <w:szCs w:val="21"/>
              </w:rPr>
            </w:pPr>
            <w:r>
              <w:rPr>
                <w:rFonts w:hint="eastAsia" w:ascii="黑体" w:hAnsi="黑体" w:eastAsia="黑体" w:cs="宋体"/>
                <w:b/>
                <w:bCs/>
                <w:color w:val="auto"/>
                <w:szCs w:val="21"/>
              </w:rPr>
              <w:t>评审标准</w:t>
            </w:r>
          </w:p>
        </w:tc>
      </w:tr>
      <w:tr w14:paraId="792A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23" w:type="dxa"/>
            <w:vMerge w:val="restart"/>
            <w:vAlign w:val="center"/>
          </w:tcPr>
          <w:p w14:paraId="0F85169E">
            <w:pPr>
              <w:adjustRightInd w:val="0"/>
              <w:snapToGrid w:val="0"/>
              <w:spacing w:line="520" w:lineRule="exact"/>
              <w:jc w:val="center"/>
              <w:rPr>
                <w:rFonts w:ascii="宋体" w:hAnsi="宋体" w:cs="宋体"/>
                <w:b/>
                <w:bCs/>
                <w:color w:val="auto"/>
                <w:szCs w:val="21"/>
              </w:rPr>
            </w:pPr>
            <w:r>
              <w:rPr>
                <w:rFonts w:hint="eastAsia" w:ascii="宋体" w:hAnsi="宋体" w:cs="宋体"/>
                <w:b/>
                <w:bCs/>
                <w:color w:val="auto"/>
                <w:szCs w:val="21"/>
              </w:rPr>
              <w:t>审查资料</w:t>
            </w:r>
          </w:p>
        </w:tc>
        <w:tc>
          <w:tcPr>
            <w:tcW w:w="6044" w:type="dxa"/>
          </w:tcPr>
          <w:p w14:paraId="24725F23">
            <w:pPr>
              <w:adjustRightInd w:val="0"/>
              <w:snapToGrid w:val="0"/>
              <w:spacing w:line="520" w:lineRule="exact"/>
              <w:rPr>
                <w:rFonts w:ascii="宋体" w:hAnsi="宋体" w:cs="宋体"/>
                <w:color w:val="auto"/>
                <w:szCs w:val="21"/>
              </w:rPr>
            </w:pPr>
            <w:r>
              <w:rPr>
                <w:rFonts w:hint="eastAsia" w:ascii="宋体" w:hAnsi="宋体" w:cs="宋体"/>
                <w:color w:val="auto"/>
                <w:szCs w:val="21"/>
              </w:rPr>
              <w:t>法定代表人身份证明和本人有效身份证(或法定代表人授权委托书和委托代理人有效身份证)</w:t>
            </w:r>
          </w:p>
        </w:tc>
        <w:tc>
          <w:tcPr>
            <w:tcW w:w="1999" w:type="dxa"/>
            <w:vMerge w:val="restart"/>
            <w:vAlign w:val="center"/>
          </w:tcPr>
          <w:p w14:paraId="669D32CA">
            <w:pPr>
              <w:adjustRightInd w:val="0"/>
              <w:snapToGrid w:val="0"/>
              <w:spacing w:line="520" w:lineRule="exact"/>
              <w:jc w:val="center"/>
              <w:rPr>
                <w:rFonts w:ascii="宋体" w:hAnsi="宋体" w:cs="宋体"/>
                <w:b/>
                <w:color w:val="auto"/>
                <w:szCs w:val="21"/>
              </w:rPr>
            </w:pPr>
            <w:r>
              <w:rPr>
                <w:rFonts w:hint="eastAsia" w:ascii="宋体" w:hAnsi="宋体" w:cs="宋体"/>
                <w:b/>
                <w:color w:val="auto"/>
                <w:szCs w:val="21"/>
              </w:rPr>
              <w:t>检验电子标书</w:t>
            </w:r>
          </w:p>
        </w:tc>
      </w:tr>
      <w:tr w14:paraId="15C3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23" w:type="dxa"/>
            <w:vMerge w:val="continue"/>
            <w:vAlign w:val="center"/>
          </w:tcPr>
          <w:p w14:paraId="77A48ADD">
            <w:pPr>
              <w:adjustRightInd w:val="0"/>
              <w:snapToGrid w:val="0"/>
              <w:spacing w:line="520" w:lineRule="exact"/>
              <w:jc w:val="center"/>
              <w:rPr>
                <w:rFonts w:ascii="宋体" w:hAnsi="宋体" w:cs="宋体"/>
                <w:b/>
                <w:bCs/>
                <w:color w:val="auto"/>
                <w:szCs w:val="21"/>
              </w:rPr>
            </w:pPr>
          </w:p>
        </w:tc>
        <w:tc>
          <w:tcPr>
            <w:tcW w:w="6044" w:type="dxa"/>
          </w:tcPr>
          <w:p w14:paraId="3B9E6446">
            <w:pPr>
              <w:adjustRightInd w:val="0"/>
              <w:snapToGrid w:val="0"/>
              <w:spacing w:line="520" w:lineRule="exact"/>
              <w:rPr>
                <w:rFonts w:hint="default" w:ascii="宋体" w:hAnsi="宋体" w:eastAsia="宋体" w:cs="宋体"/>
                <w:color w:val="auto"/>
                <w:szCs w:val="21"/>
                <w:lang w:val="en-US" w:eastAsia="zh-CN"/>
              </w:rPr>
            </w:pPr>
            <w:r>
              <w:rPr>
                <w:rFonts w:hint="eastAsia" w:ascii="宋体" w:hAnsi="宋体" w:cs="宋体"/>
                <w:color w:val="auto"/>
                <w:szCs w:val="21"/>
              </w:rPr>
              <w:t>诚信投标承诺书（或《</w:t>
            </w:r>
            <w:r>
              <w:rPr>
                <w:rFonts w:hint="eastAsia" w:ascii="宋体" w:hAnsi="宋体" w:cs="宋体"/>
                <w:color w:val="auto"/>
                <w:kern w:val="0"/>
                <w:szCs w:val="21"/>
              </w:rPr>
              <w:t>公共信用信息报告（无违法违规证明版或核查版）</w:t>
            </w:r>
            <w:r>
              <w:rPr>
                <w:rFonts w:hint="eastAsia" w:ascii="宋体" w:hAnsi="宋体" w:cs="宋体"/>
                <w:color w:val="auto"/>
                <w:szCs w:val="21"/>
              </w:rPr>
              <w:t>》）</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若为联合体投标，均须提供）</w:t>
            </w:r>
          </w:p>
        </w:tc>
        <w:tc>
          <w:tcPr>
            <w:tcW w:w="1999" w:type="dxa"/>
            <w:vMerge w:val="continue"/>
            <w:vAlign w:val="center"/>
          </w:tcPr>
          <w:p w14:paraId="31D8E98D">
            <w:pPr>
              <w:adjustRightInd w:val="0"/>
              <w:snapToGrid w:val="0"/>
              <w:spacing w:line="520" w:lineRule="exact"/>
              <w:jc w:val="center"/>
              <w:rPr>
                <w:rFonts w:ascii="宋体" w:hAnsi="宋体" w:cs="宋体"/>
                <w:b/>
                <w:color w:val="auto"/>
                <w:szCs w:val="21"/>
              </w:rPr>
            </w:pPr>
          </w:p>
        </w:tc>
      </w:tr>
      <w:tr w14:paraId="2A86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23" w:type="dxa"/>
            <w:vMerge w:val="continue"/>
            <w:vAlign w:val="center"/>
          </w:tcPr>
          <w:p w14:paraId="671081E4">
            <w:pPr>
              <w:adjustRightInd w:val="0"/>
              <w:snapToGrid w:val="0"/>
              <w:spacing w:line="520" w:lineRule="exact"/>
              <w:jc w:val="center"/>
              <w:rPr>
                <w:rFonts w:ascii="宋体" w:hAnsi="宋体" w:cs="宋体"/>
                <w:b/>
                <w:bCs/>
                <w:color w:val="auto"/>
                <w:szCs w:val="21"/>
              </w:rPr>
            </w:pPr>
          </w:p>
        </w:tc>
        <w:tc>
          <w:tcPr>
            <w:tcW w:w="6044" w:type="dxa"/>
          </w:tcPr>
          <w:p w14:paraId="36D3A4A1">
            <w:pPr>
              <w:adjustRightInd w:val="0"/>
              <w:snapToGrid w:val="0"/>
              <w:spacing w:line="520" w:lineRule="exact"/>
              <w:rPr>
                <w:rFonts w:ascii="宋体" w:hAnsi="宋体" w:cs="宋体"/>
                <w:color w:val="auto"/>
                <w:szCs w:val="21"/>
              </w:rPr>
            </w:pPr>
            <w:r>
              <w:rPr>
                <w:rFonts w:hint="eastAsia" w:ascii="宋体" w:hAnsi="宋体" w:cs="宋体"/>
                <w:color w:val="auto"/>
                <w:szCs w:val="21"/>
              </w:rPr>
              <w:t>企业法人营业执照</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若为联合体投标，均须提供）</w:t>
            </w:r>
          </w:p>
        </w:tc>
        <w:tc>
          <w:tcPr>
            <w:tcW w:w="1999" w:type="dxa"/>
            <w:vMerge w:val="continue"/>
            <w:vAlign w:val="center"/>
          </w:tcPr>
          <w:p w14:paraId="3318A4DA">
            <w:pPr>
              <w:adjustRightInd w:val="0"/>
              <w:snapToGrid w:val="0"/>
              <w:spacing w:line="520" w:lineRule="exact"/>
              <w:jc w:val="center"/>
              <w:rPr>
                <w:rFonts w:ascii="宋体" w:hAnsi="宋体" w:cs="宋体"/>
                <w:b/>
                <w:color w:val="auto"/>
                <w:szCs w:val="21"/>
              </w:rPr>
            </w:pPr>
          </w:p>
        </w:tc>
      </w:tr>
      <w:tr w14:paraId="2ABA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23" w:type="dxa"/>
            <w:vMerge w:val="continue"/>
            <w:vAlign w:val="center"/>
          </w:tcPr>
          <w:p w14:paraId="55388D6B">
            <w:pPr>
              <w:adjustRightInd w:val="0"/>
              <w:snapToGrid w:val="0"/>
              <w:spacing w:line="520" w:lineRule="exact"/>
              <w:jc w:val="center"/>
              <w:rPr>
                <w:rFonts w:ascii="宋体" w:hAnsi="宋体" w:cs="宋体"/>
                <w:b/>
                <w:bCs/>
                <w:color w:val="auto"/>
                <w:szCs w:val="21"/>
              </w:rPr>
            </w:pPr>
          </w:p>
        </w:tc>
        <w:tc>
          <w:tcPr>
            <w:tcW w:w="6044" w:type="dxa"/>
          </w:tcPr>
          <w:p w14:paraId="057564A0">
            <w:pPr>
              <w:adjustRightInd w:val="0"/>
              <w:snapToGrid w:val="0"/>
              <w:spacing w:line="520" w:lineRule="exact"/>
              <w:rPr>
                <w:rFonts w:ascii="宋体" w:hAnsi="宋体" w:cs="宋体"/>
                <w:color w:val="auto"/>
                <w:szCs w:val="21"/>
              </w:rPr>
            </w:pPr>
            <w:r>
              <w:rPr>
                <w:rFonts w:hint="eastAsia" w:ascii="宋体" w:hAnsi="宋体" w:cs="宋体"/>
                <w:color w:val="auto"/>
                <w:szCs w:val="21"/>
              </w:rPr>
              <w:t>企业资质证书</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若为联合体投标，设计方及施工方均须提供）</w:t>
            </w:r>
          </w:p>
        </w:tc>
        <w:tc>
          <w:tcPr>
            <w:tcW w:w="1999" w:type="dxa"/>
            <w:vMerge w:val="continue"/>
            <w:vAlign w:val="center"/>
          </w:tcPr>
          <w:p w14:paraId="6250B648">
            <w:pPr>
              <w:adjustRightInd w:val="0"/>
              <w:snapToGrid w:val="0"/>
              <w:spacing w:line="520" w:lineRule="exact"/>
              <w:jc w:val="center"/>
              <w:rPr>
                <w:rFonts w:ascii="宋体" w:hAnsi="宋体" w:cs="宋体"/>
                <w:b/>
                <w:color w:val="auto"/>
                <w:szCs w:val="21"/>
              </w:rPr>
            </w:pPr>
          </w:p>
        </w:tc>
      </w:tr>
      <w:tr w14:paraId="24B9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23" w:type="dxa"/>
            <w:vMerge w:val="continue"/>
            <w:vAlign w:val="center"/>
          </w:tcPr>
          <w:p w14:paraId="255C09B1">
            <w:pPr>
              <w:adjustRightInd w:val="0"/>
              <w:snapToGrid w:val="0"/>
              <w:spacing w:line="520" w:lineRule="exact"/>
              <w:jc w:val="center"/>
              <w:rPr>
                <w:rFonts w:ascii="宋体" w:hAnsi="宋体" w:cs="宋体"/>
                <w:b/>
                <w:bCs/>
                <w:color w:val="auto"/>
                <w:szCs w:val="21"/>
              </w:rPr>
            </w:pPr>
          </w:p>
        </w:tc>
        <w:tc>
          <w:tcPr>
            <w:tcW w:w="6044" w:type="dxa"/>
          </w:tcPr>
          <w:p w14:paraId="1130EA91">
            <w:pPr>
              <w:adjustRightInd w:val="0"/>
              <w:snapToGrid w:val="0"/>
              <w:spacing w:line="520" w:lineRule="exact"/>
              <w:rPr>
                <w:rFonts w:ascii="宋体" w:hAnsi="宋体" w:cs="宋体"/>
                <w:color w:val="auto"/>
                <w:szCs w:val="21"/>
              </w:rPr>
            </w:pPr>
            <w:r>
              <w:rPr>
                <w:rFonts w:hint="eastAsia" w:ascii="宋体" w:hAnsi="宋体" w:cs="宋体"/>
                <w:color w:val="auto"/>
                <w:szCs w:val="21"/>
              </w:rPr>
              <w:t>企业安全生产许可证</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若为联合体投标，施工方须提供）</w:t>
            </w:r>
          </w:p>
        </w:tc>
        <w:tc>
          <w:tcPr>
            <w:tcW w:w="1999" w:type="dxa"/>
            <w:vMerge w:val="continue"/>
            <w:vAlign w:val="center"/>
          </w:tcPr>
          <w:p w14:paraId="25BC35E9">
            <w:pPr>
              <w:adjustRightInd w:val="0"/>
              <w:snapToGrid w:val="0"/>
              <w:spacing w:line="520" w:lineRule="exact"/>
              <w:jc w:val="center"/>
              <w:rPr>
                <w:rFonts w:ascii="宋体" w:hAnsi="宋体" w:cs="宋体"/>
                <w:b/>
                <w:color w:val="auto"/>
                <w:szCs w:val="21"/>
              </w:rPr>
            </w:pPr>
          </w:p>
        </w:tc>
      </w:tr>
      <w:tr w14:paraId="6438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23" w:type="dxa"/>
            <w:vMerge w:val="continue"/>
            <w:vAlign w:val="center"/>
          </w:tcPr>
          <w:p w14:paraId="3A85B426">
            <w:pPr>
              <w:adjustRightInd w:val="0"/>
              <w:snapToGrid w:val="0"/>
              <w:spacing w:line="520" w:lineRule="exact"/>
              <w:jc w:val="center"/>
              <w:rPr>
                <w:rFonts w:ascii="宋体" w:hAnsi="宋体" w:cs="宋体"/>
                <w:b/>
                <w:bCs/>
                <w:color w:val="auto"/>
                <w:szCs w:val="21"/>
              </w:rPr>
            </w:pPr>
          </w:p>
        </w:tc>
        <w:tc>
          <w:tcPr>
            <w:tcW w:w="6044" w:type="dxa"/>
          </w:tcPr>
          <w:p w14:paraId="5810D31F">
            <w:pPr>
              <w:adjustRightInd w:val="0"/>
              <w:snapToGrid w:val="0"/>
              <w:spacing w:line="520" w:lineRule="exact"/>
              <w:rPr>
                <w:rFonts w:ascii="宋体" w:hAnsi="宋体" w:cs="宋体"/>
                <w:color w:val="auto"/>
                <w:szCs w:val="21"/>
              </w:rPr>
            </w:pPr>
            <w:r>
              <w:rPr>
                <w:rFonts w:hint="eastAsia" w:ascii="宋体" w:hAnsi="宋体" w:cs="宋体"/>
                <w:color w:val="auto"/>
                <w:szCs w:val="21"/>
              </w:rPr>
              <w:t xml:space="preserve">项目经理（建造师）有效身份证、注册证书以及安全生产考核合格证书（B证） </w:t>
            </w:r>
          </w:p>
        </w:tc>
        <w:tc>
          <w:tcPr>
            <w:tcW w:w="1999" w:type="dxa"/>
            <w:vMerge w:val="continue"/>
            <w:vAlign w:val="center"/>
          </w:tcPr>
          <w:p w14:paraId="388308E5">
            <w:pPr>
              <w:adjustRightInd w:val="0"/>
              <w:snapToGrid w:val="0"/>
              <w:spacing w:line="520" w:lineRule="exact"/>
              <w:jc w:val="center"/>
              <w:rPr>
                <w:rFonts w:ascii="宋体" w:hAnsi="宋体" w:cs="宋体"/>
                <w:color w:val="auto"/>
                <w:szCs w:val="21"/>
              </w:rPr>
            </w:pPr>
          </w:p>
        </w:tc>
      </w:tr>
      <w:tr w14:paraId="7B31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23" w:type="dxa"/>
            <w:vMerge w:val="continue"/>
            <w:vAlign w:val="center"/>
          </w:tcPr>
          <w:p w14:paraId="0135F948">
            <w:pPr>
              <w:adjustRightInd w:val="0"/>
              <w:snapToGrid w:val="0"/>
              <w:spacing w:line="520" w:lineRule="exact"/>
              <w:jc w:val="center"/>
              <w:rPr>
                <w:rFonts w:ascii="宋体" w:hAnsi="宋体" w:cs="宋体"/>
                <w:b/>
                <w:bCs/>
                <w:color w:val="auto"/>
                <w:szCs w:val="21"/>
              </w:rPr>
            </w:pPr>
          </w:p>
        </w:tc>
        <w:tc>
          <w:tcPr>
            <w:tcW w:w="6044" w:type="dxa"/>
          </w:tcPr>
          <w:p w14:paraId="6160B78D">
            <w:pPr>
              <w:adjustRightInd w:val="0"/>
              <w:snapToGrid w:val="0"/>
              <w:spacing w:line="520" w:lineRule="exact"/>
              <w:rPr>
                <w:rFonts w:ascii="宋体" w:hAnsi="宋体" w:cs="宋体"/>
                <w:color w:val="auto"/>
                <w:szCs w:val="21"/>
              </w:rPr>
            </w:pPr>
            <w:r>
              <w:rPr>
                <w:rFonts w:hint="eastAsia" w:ascii="宋体" w:hAnsi="宋体" w:cs="宋体"/>
                <w:color w:val="auto"/>
                <w:szCs w:val="21"/>
              </w:rPr>
              <w:t>设计负责人有效身份证、注册证书及职称证书</w:t>
            </w:r>
          </w:p>
        </w:tc>
        <w:tc>
          <w:tcPr>
            <w:tcW w:w="1999" w:type="dxa"/>
            <w:vMerge w:val="continue"/>
            <w:vAlign w:val="center"/>
          </w:tcPr>
          <w:p w14:paraId="08C27C92">
            <w:pPr>
              <w:adjustRightInd w:val="0"/>
              <w:snapToGrid w:val="0"/>
              <w:spacing w:line="520" w:lineRule="exact"/>
              <w:jc w:val="center"/>
              <w:rPr>
                <w:rFonts w:ascii="宋体" w:hAnsi="宋体" w:cs="宋体"/>
                <w:color w:val="auto"/>
                <w:szCs w:val="21"/>
              </w:rPr>
            </w:pPr>
          </w:p>
        </w:tc>
      </w:tr>
      <w:tr w14:paraId="785B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23" w:type="dxa"/>
            <w:vMerge w:val="continue"/>
            <w:vAlign w:val="center"/>
          </w:tcPr>
          <w:p w14:paraId="68A0828B">
            <w:pPr>
              <w:adjustRightInd w:val="0"/>
              <w:snapToGrid w:val="0"/>
              <w:spacing w:line="520" w:lineRule="exact"/>
              <w:jc w:val="center"/>
              <w:rPr>
                <w:rFonts w:ascii="宋体" w:hAnsi="宋体" w:cs="宋体"/>
                <w:b/>
                <w:bCs/>
                <w:color w:val="auto"/>
                <w:szCs w:val="21"/>
              </w:rPr>
            </w:pPr>
          </w:p>
        </w:tc>
        <w:tc>
          <w:tcPr>
            <w:tcW w:w="6044" w:type="dxa"/>
          </w:tcPr>
          <w:p w14:paraId="35362FD1">
            <w:pPr>
              <w:adjustRightInd w:val="0"/>
              <w:snapToGrid w:val="0"/>
              <w:spacing w:line="520" w:lineRule="exact"/>
              <w:rPr>
                <w:rFonts w:ascii="宋体" w:hAnsi="宋体" w:cs="宋体"/>
                <w:color w:val="auto"/>
                <w:szCs w:val="21"/>
              </w:rPr>
            </w:pPr>
            <w:r>
              <w:rPr>
                <w:rFonts w:hint="eastAsia" w:ascii="宋体" w:hAnsi="宋体" w:cs="宋体"/>
                <w:color w:val="auto"/>
                <w:szCs w:val="21"/>
              </w:rPr>
              <w:t>投标人的法定代表人(或委托代理人)、拟任项目经理（建造师）及设计负责人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999" w:type="dxa"/>
            <w:vMerge w:val="continue"/>
            <w:vAlign w:val="center"/>
          </w:tcPr>
          <w:p w14:paraId="427846CD">
            <w:pPr>
              <w:adjustRightInd w:val="0"/>
              <w:snapToGrid w:val="0"/>
              <w:spacing w:line="520" w:lineRule="exact"/>
              <w:jc w:val="center"/>
              <w:rPr>
                <w:rFonts w:ascii="宋体" w:hAnsi="宋体" w:cs="宋体"/>
                <w:color w:val="auto"/>
                <w:szCs w:val="21"/>
              </w:rPr>
            </w:pPr>
          </w:p>
        </w:tc>
      </w:tr>
      <w:tr w14:paraId="1156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3" w:type="dxa"/>
            <w:vMerge w:val="continue"/>
            <w:vAlign w:val="center"/>
          </w:tcPr>
          <w:p w14:paraId="16091F40">
            <w:pPr>
              <w:adjustRightInd w:val="0"/>
              <w:snapToGrid w:val="0"/>
              <w:spacing w:line="520" w:lineRule="exact"/>
              <w:jc w:val="center"/>
              <w:rPr>
                <w:rFonts w:ascii="宋体" w:hAnsi="宋体" w:cs="宋体"/>
                <w:b/>
                <w:bCs/>
                <w:color w:val="auto"/>
                <w:szCs w:val="21"/>
              </w:rPr>
            </w:pPr>
          </w:p>
        </w:tc>
        <w:tc>
          <w:tcPr>
            <w:tcW w:w="6044" w:type="dxa"/>
          </w:tcPr>
          <w:p w14:paraId="20FD3265">
            <w:pPr>
              <w:adjustRightInd w:val="0"/>
              <w:snapToGrid w:val="0"/>
              <w:spacing w:line="520" w:lineRule="exact"/>
              <w:rPr>
                <w:rFonts w:ascii="宋体" w:hAnsi="宋体" w:cs="宋体"/>
                <w:color w:val="auto"/>
                <w:szCs w:val="21"/>
              </w:rPr>
            </w:pPr>
            <w:r>
              <w:rPr>
                <w:rFonts w:hint="eastAsia" w:ascii="宋体" w:hAnsi="宋体" w:cs="宋体"/>
                <w:color w:val="auto"/>
                <w:szCs w:val="21"/>
              </w:rPr>
              <w:t>项目管理机构。查看项目管理机构主要人员组成表</w:t>
            </w:r>
          </w:p>
        </w:tc>
        <w:tc>
          <w:tcPr>
            <w:tcW w:w="1999" w:type="dxa"/>
            <w:vMerge w:val="continue"/>
            <w:vAlign w:val="center"/>
          </w:tcPr>
          <w:p w14:paraId="300C4D84">
            <w:pPr>
              <w:adjustRightInd w:val="0"/>
              <w:snapToGrid w:val="0"/>
              <w:spacing w:line="520" w:lineRule="exact"/>
              <w:jc w:val="center"/>
              <w:rPr>
                <w:rFonts w:ascii="宋体" w:hAnsi="宋体" w:cs="宋体"/>
                <w:b/>
                <w:color w:val="auto"/>
                <w:szCs w:val="21"/>
              </w:rPr>
            </w:pPr>
          </w:p>
        </w:tc>
      </w:tr>
      <w:tr w14:paraId="1697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3" w:type="dxa"/>
            <w:vMerge w:val="continue"/>
            <w:vAlign w:val="center"/>
          </w:tcPr>
          <w:p w14:paraId="160B612A">
            <w:pPr>
              <w:adjustRightInd w:val="0"/>
              <w:snapToGrid w:val="0"/>
              <w:spacing w:line="520" w:lineRule="exact"/>
              <w:jc w:val="center"/>
              <w:rPr>
                <w:rFonts w:ascii="宋体" w:hAnsi="宋体" w:cs="宋体"/>
                <w:b/>
                <w:bCs/>
                <w:color w:val="auto"/>
                <w:szCs w:val="21"/>
              </w:rPr>
            </w:pPr>
          </w:p>
        </w:tc>
        <w:tc>
          <w:tcPr>
            <w:tcW w:w="6044" w:type="dxa"/>
          </w:tcPr>
          <w:p w14:paraId="1E52841E">
            <w:pPr>
              <w:adjustRightInd w:val="0"/>
              <w:snapToGrid w:val="0"/>
              <w:spacing w:line="520" w:lineRule="exact"/>
              <w:rPr>
                <w:rFonts w:ascii="宋体" w:hAnsi="宋体" w:cs="宋体"/>
                <w:color w:val="auto"/>
                <w:szCs w:val="21"/>
              </w:rPr>
            </w:pPr>
            <w:r>
              <w:rPr>
                <w:rFonts w:hint="eastAsia" w:ascii="宋体" w:hAnsi="宋体" w:cs="宋体"/>
                <w:color w:val="auto"/>
                <w:szCs w:val="21"/>
              </w:rPr>
              <w:t>联合体协议书（如有）</w:t>
            </w:r>
          </w:p>
        </w:tc>
        <w:tc>
          <w:tcPr>
            <w:tcW w:w="1999" w:type="dxa"/>
            <w:vAlign w:val="center"/>
          </w:tcPr>
          <w:p w14:paraId="7CAD6542">
            <w:pPr>
              <w:adjustRightInd w:val="0"/>
              <w:snapToGrid w:val="0"/>
              <w:spacing w:line="520" w:lineRule="exact"/>
              <w:jc w:val="center"/>
              <w:rPr>
                <w:rFonts w:ascii="宋体" w:hAnsi="宋体" w:cs="宋体"/>
                <w:b/>
                <w:color w:val="auto"/>
                <w:szCs w:val="21"/>
              </w:rPr>
            </w:pPr>
          </w:p>
        </w:tc>
      </w:tr>
    </w:tbl>
    <w:p w14:paraId="3C35E577">
      <w:pPr>
        <w:adjustRightInd w:val="0"/>
        <w:snapToGrid w:val="0"/>
        <w:spacing w:line="520" w:lineRule="exact"/>
        <w:ind w:firstLine="422" w:firstLineChars="200"/>
        <w:jc w:val="left"/>
        <w:rPr>
          <w:rFonts w:ascii="黑体" w:hAnsi="黑体" w:eastAsia="黑体" w:cs="黑体"/>
          <w:b/>
          <w:bCs/>
          <w:color w:val="auto"/>
          <w:szCs w:val="21"/>
        </w:rPr>
      </w:pPr>
      <w:r>
        <w:rPr>
          <w:rFonts w:hint="eastAsia" w:ascii="黑体" w:hAnsi="黑体" w:eastAsia="黑体" w:cs="黑体"/>
          <w:b/>
          <w:bCs/>
          <w:color w:val="auto"/>
          <w:szCs w:val="21"/>
        </w:rPr>
        <w:t>重要提示：</w:t>
      </w:r>
    </w:p>
    <w:p w14:paraId="5C8230E8">
      <w:pPr>
        <w:adjustRightInd w:val="0"/>
        <w:snapToGrid w:val="0"/>
        <w:spacing w:line="520" w:lineRule="exact"/>
        <w:ind w:firstLine="422" w:firstLineChars="200"/>
        <w:jc w:val="left"/>
        <w:rPr>
          <w:rFonts w:ascii="黑体" w:hAnsi="黑体" w:eastAsia="黑体" w:cs="黑体"/>
          <w:b/>
          <w:bCs/>
          <w:color w:val="auto"/>
          <w:szCs w:val="21"/>
        </w:rPr>
      </w:pPr>
      <w:r>
        <w:rPr>
          <w:rFonts w:hint="eastAsia" w:ascii="黑体" w:hAnsi="黑体" w:eastAsia="黑体" w:cs="黑体"/>
          <w:b/>
          <w:bCs/>
          <w:color w:val="auto"/>
          <w:szCs w:val="21"/>
        </w:rPr>
        <w:t>（1）资格审查材料可以选择①上传到安徽省公共资源交易市场主体库中，制作投标文件时插上CA数字证书，从安徽省公共资源交易市场主体库中挑选相关材料，或按招标文件要求上传至指定位置；若所需材料无对应栏目，则将该材料上传至“其他所需材料”里，做电子投标文件时从“其他所需材料”里获取。请各投标人自行完善安徽省公共资源交易市场主体库中的单位信息，保证信息最新且有效。②或使用国家企业信用信息公示系统和全国建筑市场监管公共服务平台接口获取营业执照、建设工程相关证书等政务数据，投标人自行核验政务数据的准确性，对引用的政务数据承担责任。</w:t>
      </w:r>
    </w:p>
    <w:p w14:paraId="058DB36E">
      <w:pPr>
        <w:adjustRightInd w:val="0"/>
        <w:snapToGrid w:val="0"/>
        <w:spacing w:line="520" w:lineRule="exact"/>
        <w:ind w:firstLine="422" w:firstLineChars="200"/>
        <w:jc w:val="left"/>
        <w:rPr>
          <w:rFonts w:ascii="黑体" w:hAnsi="黑体" w:eastAsia="黑体" w:cs="黑体"/>
          <w:b/>
          <w:bCs/>
          <w:color w:val="auto"/>
          <w:szCs w:val="21"/>
        </w:rPr>
      </w:pPr>
      <w:r>
        <w:rPr>
          <w:rFonts w:hint="eastAsia" w:ascii="黑体" w:hAnsi="黑体" w:eastAsia="黑体" w:cs="黑体"/>
          <w:b/>
          <w:bCs/>
          <w:color w:val="auto"/>
          <w:szCs w:val="21"/>
        </w:rPr>
        <w:t>（2）评标专家在检验电子投标文件过程中，如果由于投标人自身原因导致评标专家无法查看并检验电子投标文件中相关资料的，视为无效标处理。即使投标人将原件携带至现场的，同样按无效标处理。</w:t>
      </w:r>
    </w:p>
    <w:p w14:paraId="0889B3FC">
      <w:pPr>
        <w:spacing w:line="520" w:lineRule="exact"/>
        <w:ind w:firstLine="422" w:firstLineChars="200"/>
        <w:rPr>
          <w:rFonts w:ascii="黑体" w:hAnsi="黑体" w:eastAsia="黑体" w:cs="黑体"/>
          <w:b/>
          <w:bCs/>
          <w:color w:val="auto"/>
          <w:szCs w:val="21"/>
        </w:rPr>
      </w:pPr>
      <w:r>
        <w:rPr>
          <w:rFonts w:hint="eastAsia" w:ascii="黑体" w:hAnsi="黑体" w:eastAsia="黑体" w:cs="黑体"/>
          <w:b/>
          <w:bCs/>
          <w:color w:val="auto"/>
          <w:szCs w:val="21"/>
        </w:rPr>
        <w:t>（3）投标人拟委任项目经理为注册建造师（含一级、二级）的，须提供在电子证书使用有效期内的的纸质版电子证书。</w:t>
      </w:r>
      <w:r>
        <w:rPr>
          <w:rFonts w:ascii="黑体" w:hAnsi="黑体" w:eastAsia="黑体" w:cs="黑体"/>
          <w:b/>
          <w:bCs/>
          <w:color w:val="auto"/>
          <w:szCs w:val="21"/>
        </w:rPr>
        <w:t>一级建造师打印电子证书后，应在个人签名处手写本人签</w:t>
      </w:r>
      <w:r>
        <w:rPr>
          <w:rFonts w:hint="eastAsia" w:ascii="黑体" w:hAnsi="黑体" w:eastAsia="黑体" w:cs="黑体"/>
          <w:b/>
          <w:bCs/>
          <w:color w:val="auto"/>
          <w:szCs w:val="21"/>
        </w:rPr>
        <w:t>名，未手写签名或与签名图像笔迹不一致的，该电子证书无效。</w:t>
      </w:r>
    </w:p>
    <w:p w14:paraId="3C3DC038">
      <w:pPr>
        <w:spacing w:line="520" w:lineRule="exact"/>
        <w:ind w:firstLine="422" w:firstLineChars="200"/>
        <w:rPr>
          <w:rFonts w:ascii="黑体" w:hAnsi="黑体" w:eastAsia="黑体" w:cs="黑体"/>
          <w:b/>
          <w:bCs/>
          <w:color w:val="auto"/>
          <w:szCs w:val="21"/>
        </w:rPr>
      </w:pPr>
      <w:r>
        <w:rPr>
          <w:rFonts w:hint="eastAsia" w:ascii="黑体" w:hAnsi="黑体" w:eastAsia="黑体" w:cs="黑体"/>
          <w:b/>
          <w:bCs/>
          <w:color w:val="auto"/>
          <w:szCs w:val="21"/>
        </w:rPr>
        <w:t>投标人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p>
    <w:p w14:paraId="357D9B97">
      <w:pPr>
        <w:spacing w:line="520" w:lineRule="exact"/>
        <w:ind w:firstLine="420" w:firstLineChars="200"/>
        <w:rPr>
          <w:rFonts w:ascii="黑体" w:hAnsi="黑体" w:cs="黑体"/>
          <w:color w:val="auto"/>
          <w:szCs w:val="21"/>
        </w:rPr>
      </w:pPr>
      <w:r>
        <w:rPr>
          <w:rFonts w:hint="eastAsia" w:ascii="黑体" w:hAnsi="黑体" w:cs="黑体"/>
          <w:color w:val="auto"/>
          <w:szCs w:val="21"/>
        </w:rPr>
        <w:t>1.审查资料</w:t>
      </w:r>
    </w:p>
    <w:p w14:paraId="3407E2DC">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（1）法定代表人身份证明和本人有效身份证(或法定代表人授权委托书和委托代理人有效身份证)；</w:t>
      </w:r>
    </w:p>
    <w:p w14:paraId="4660F433">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（2）诚信投标承诺书（或《公共信用信息报告（无违法违规证明版或核查版）》）</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若为联合体投标，均须提供）</w:t>
      </w:r>
      <w:r>
        <w:rPr>
          <w:rFonts w:hint="eastAsia" w:ascii="宋体" w:hAnsi="宋体" w:cs="宋体"/>
          <w:color w:val="auto"/>
          <w:szCs w:val="21"/>
        </w:rPr>
        <w:t>；</w:t>
      </w:r>
    </w:p>
    <w:p w14:paraId="230140AC">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（3）企业法人营业执照</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若为联合体投标，均须提供）</w:t>
      </w:r>
      <w:r>
        <w:rPr>
          <w:rFonts w:hint="eastAsia" w:ascii="宋体" w:hAnsi="宋体" w:cs="宋体"/>
          <w:color w:val="auto"/>
          <w:szCs w:val="21"/>
        </w:rPr>
        <w:t>；</w:t>
      </w:r>
    </w:p>
    <w:p w14:paraId="6895B4C8">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（4）企业资质证书</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若为联合体投标，设计方及施工方均须提供）</w:t>
      </w:r>
      <w:r>
        <w:rPr>
          <w:rFonts w:hint="eastAsia" w:ascii="宋体" w:hAnsi="宋体" w:cs="宋体"/>
          <w:color w:val="auto"/>
          <w:szCs w:val="21"/>
        </w:rPr>
        <w:t>；</w:t>
      </w:r>
    </w:p>
    <w:p w14:paraId="4A5BD071">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（5）企业安全生产许可证</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若为联合体投标，施工方须提供）</w:t>
      </w:r>
      <w:r>
        <w:rPr>
          <w:rFonts w:hint="eastAsia" w:ascii="宋体" w:hAnsi="宋体" w:cs="宋体"/>
          <w:color w:val="auto"/>
          <w:szCs w:val="21"/>
        </w:rPr>
        <w:t>；</w:t>
      </w:r>
    </w:p>
    <w:p w14:paraId="40929025">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（6）项目经理（建造师）有效身份证、注册证书以及安全生产考核合格证书（B证）；</w:t>
      </w:r>
    </w:p>
    <w:p w14:paraId="2609A8C4">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（7）设计负责人有效身份证、注册证书及职称证书；</w:t>
      </w:r>
    </w:p>
    <w:p w14:paraId="286B76BE">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8）投标人的法定代表人(或委托代理人)、拟任项目经理（建造师）及设计负责人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14:paraId="1E720C1E">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（9）项目管理机构。查看项目管理机构主要人员组成表；</w:t>
      </w:r>
    </w:p>
    <w:p w14:paraId="55456786">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（10）联合体协议书（如有）。</w:t>
      </w:r>
    </w:p>
    <w:p w14:paraId="38D5C7E2">
      <w:pPr>
        <w:adjustRightInd w:val="0"/>
        <w:snapToGrid w:val="0"/>
        <w:spacing w:line="520" w:lineRule="exact"/>
        <w:ind w:firstLine="422" w:firstLineChars="200"/>
        <w:jc w:val="left"/>
        <w:rPr>
          <w:rFonts w:ascii="黑体" w:hAnsi="黑体" w:eastAsia="黑体" w:cs="黑体"/>
          <w:b/>
          <w:color w:val="auto"/>
          <w:szCs w:val="21"/>
        </w:rPr>
      </w:pPr>
      <w:r>
        <w:rPr>
          <w:rFonts w:hint="eastAsia" w:ascii="黑体" w:hAnsi="黑体" w:eastAsia="黑体" w:cs="黑体"/>
          <w:b/>
          <w:color w:val="auto"/>
          <w:szCs w:val="21"/>
        </w:rPr>
        <w:t>温馨提示：</w:t>
      </w:r>
    </w:p>
    <w:p w14:paraId="4319E695">
      <w:pPr>
        <w:adjustRightInd w:val="0"/>
        <w:snapToGrid w:val="0"/>
        <w:spacing w:line="520" w:lineRule="exact"/>
        <w:ind w:firstLine="422" w:firstLineChars="200"/>
        <w:jc w:val="left"/>
        <w:rPr>
          <w:rFonts w:ascii="黑体" w:hAnsi="黑体" w:eastAsia="黑体" w:cs="黑体"/>
          <w:b/>
          <w:color w:val="auto"/>
          <w:szCs w:val="21"/>
        </w:rPr>
      </w:pPr>
      <w:r>
        <w:rPr>
          <w:rFonts w:hint="eastAsia" w:ascii="黑体" w:hAnsi="黑体" w:eastAsia="黑体" w:cs="黑体"/>
          <w:b/>
          <w:color w:val="auto"/>
          <w:szCs w:val="21"/>
        </w:rPr>
        <w:t>（1）请各投标人自行完善安徽省公共资源交易市场主体库中的单位基本信息，保证信息最新且有效。</w:t>
      </w:r>
    </w:p>
    <w:p w14:paraId="40DD4065">
      <w:pPr>
        <w:adjustRightInd w:val="0"/>
        <w:snapToGrid w:val="0"/>
        <w:spacing w:line="520" w:lineRule="exact"/>
        <w:ind w:firstLine="422" w:firstLineChars="200"/>
        <w:jc w:val="left"/>
        <w:rPr>
          <w:rFonts w:ascii="黑体" w:hAnsi="黑体" w:eastAsia="黑体" w:cs="黑体"/>
          <w:b/>
          <w:color w:val="auto"/>
          <w:szCs w:val="21"/>
        </w:rPr>
      </w:pPr>
      <w:r>
        <w:rPr>
          <w:rFonts w:hint="eastAsia" w:ascii="黑体" w:hAnsi="黑体" w:eastAsia="黑体" w:cs="黑体"/>
          <w:b/>
          <w:color w:val="auto"/>
          <w:szCs w:val="21"/>
        </w:rPr>
        <w:t>（2）请投标人认真准备投标文件资格审查资料,如评标专家在检验电子标书过程中，如果由于投标人自身原因导致评标专家无法查看并检验电子标书中相关资料的，视为无效标处理。即使投标人将原件携带至现场的，同样按无效标处理。</w:t>
      </w:r>
    </w:p>
    <w:p w14:paraId="088EB264">
      <w:pPr>
        <w:pStyle w:val="3"/>
        <w:adjustRightInd w:val="0"/>
        <w:snapToGrid w:val="0"/>
        <w:spacing w:line="520" w:lineRule="exact"/>
        <w:ind w:firstLine="422" w:firstLineChars="200"/>
        <w:rPr>
          <w:rFonts w:ascii="黑体" w:hAnsi="黑体" w:cs="黑体"/>
          <w:color w:val="auto"/>
          <w:sz w:val="21"/>
          <w:szCs w:val="21"/>
        </w:rPr>
      </w:pPr>
      <w:r>
        <w:rPr>
          <w:rFonts w:hint="eastAsia" w:ascii="黑体" w:hAnsi="黑体" w:cs="黑体"/>
          <w:color w:val="auto"/>
          <w:sz w:val="21"/>
          <w:szCs w:val="21"/>
        </w:rPr>
        <w:t>2.审查办法</w:t>
      </w:r>
    </w:p>
    <w:p w14:paraId="3C65AF31">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由资格审查委员会（评标委员会）按资格审查办法前附表中资格审查必要合格条件评审表要求对投标人审查资料进行核验。</w:t>
      </w:r>
    </w:p>
    <w:p w14:paraId="77D0C8FB">
      <w:pPr>
        <w:pStyle w:val="3"/>
        <w:adjustRightInd w:val="0"/>
        <w:snapToGrid w:val="0"/>
        <w:spacing w:line="520" w:lineRule="exact"/>
        <w:ind w:firstLine="422" w:firstLineChars="200"/>
        <w:rPr>
          <w:rFonts w:ascii="黑体" w:hAnsi="黑体" w:cs="黑体"/>
          <w:color w:val="auto"/>
          <w:sz w:val="21"/>
          <w:szCs w:val="21"/>
        </w:rPr>
      </w:pPr>
      <w:r>
        <w:rPr>
          <w:rFonts w:hint="eastAsia" w:ascii="黑体" w:hAnsi="黑体" w:cs="黑体"/>
          <w:color w:val="auto"/>
          <w:sz w:val="21"/>
          <w:szCs w:val="21"/>
        </w:rPr>
        <w:t>3.资格审查委员会和审查标准</w:t>
      </w:r>
    </w:p>
    <w:p w14:paraId="121B2865">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3.1资格审查由招标人依法组建的资格审查委员会（或评标委员会）负责。审查标准见资格审查办法前附表。</w:t>
      </w:r>
    </w:p>
    <w:p w14:paraId="0A5527A1">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 xml:space="preserve">3.2由资格审查委员会（评标委员会）按资格审查办法前附表要求对投标人的审查资料进行核验。投标申请人有下列情形之一的，其资格审查为不合格： </w:t>
      </w:r>
    </w:p>
    <w:p w14:paraId="34218E45">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（1）未上传电子标书或电子标书经审查不合格；</w:t>
      </w:r>
    </w:p>
    <w:p w14:paraId="30499ECA">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（2）联合体投标人没有提交联合体协议书；</w:t>
      </w:r>
    </w:p>
    <w:p w14:paraId="0E91AC61">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 xml:space="preserve">（3）保证金不按第二章“投标人须知”及其前附表要求提交投标保证金的； </w:t>
      </w:r>
    </w:p>
    <w:p w14:paraId="62426C3C">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（4）投标人未办理省主体库登记入库手续的；</w:t>
      </w:r>
    </w:p>
    <w:p w14:paraId="25BCA42E">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（5）投标人投标 MAC 地址一致的；</w:t>
      </w:r>
    </w:p>
    <w:p w14:paraId="12D3382A">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（6）投标人申请开具电子保函 MAC 地址一致的；</w:t>
      </w:r>
    </w:p>
    <w:p w14:paraId="3F28BEB4">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（7）投标人投标文件制作机器码、文件创建标识码及造价软件加密锁号信息雷同的；</w:t>
      </w:r>
    </w:p>
    <w:p w14:paraId="4117C97D">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（8）法律、法规规定的其他情形。</w:t>
      </w:r>
    </w:p>
    <w:p w14:paraId="0668683D">
      <w:pPr>
        <w:pStyle w:val="3"/>
        <w:adjustRightInd w:val="0"/>
        <w:snapToGrid w:val="0"/>
        <w:spacing w:line="520" w:lineRule="exact"/>
        <w:ind w:firstLine="422" w:firstLineChars="200"/>
        <w:rPr>
          <w:rFonts w:ascii="黑体" w:hAnsi="黑体" w:cs="黑体"/>
          <w:color w:val="auto"/>
          <w:sz w:val="21"/>
          <w:szCs w:val="21"/>
        </w:rPr>
      </w:pPr>
      <w:r>
        <w:rPr>
          <w:rFonts w:hint="eastAsia" w:ascii="黑体" w:hAnsi="黑体" w:cs="黑体"/>
          <w:color w:val="auto"/>
          <w:sz w:val="21"/>
          <w:szCs w:val="21"/>
        </w:rPr>
        <w:t>4.审查结果</w:t>
      </w:r>
    </w:p>
    <w:p w14:paraId="73CC3789">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只有通过资格审查的投标人才能进入下一步的评标程序。</w:t>
      </w:r>
    </w:p>
    <w:p w14:paraId="5EAFBDF2">
      <w:pPr>
        <w:rPr>
          <w:rFonts w:ascii="宋体" w:hAnsi="宋体" w:cs="宋体"/>
          <w:color w:val="auto"/>
          <w:sz w:val="36"/>
          <w:szCs w:val="36"/>
        </w:rPr>
      </w:pPr>
    </w:p>
    <w:p w14:paraId="469E71FA">
      <w:pPr>
        <w:rPr>
          <w:rFonts w:ascii="宋体" w:hAnsi="宋体" w:cs="宋体"/>
          <w:color w:val="auto"/>
          <w:sz w:val="36"/>
          <w:szCs w:val="36"/>
        </w:rPr>
      </w:pPr>
      <w:r>
        <w:rPr>
          <w:rFonts w:hint="eastAsia" w:ascii="宋体" w:hAnsi="宋体" w:cs="宋体"/>
          <w:color w:val="auto"/>
          <w:sz w:val="36"/>
          <w:szCs w:val="36"/>
        </w:rPr>
        <w:br w:type="page"/>
      </w:r>
    </w:p>
    <w:p w14:paraId="60F392F4">
      <w:pPr>
        <w:pStyle w:val="2"/>
        <w:spacing w:before="156" w:beforeLines="50" w:after="156" w:afterLines="50" w:line="360" w:lineRule="auto"/>
        <w:jc w:val="center"/>
        <w:rPr>
          <w:color w:val="auto"/>
        </w:rPr>
      </w:pPr>
      <w:r>
        <w:rPr>
          <w:rFonts w:hint="eastAsia" w:ascii="宋体" w:hAnsi="宋体" w:cs="宋体"/>
          <w:color w:val="auto"/>
          <w:sz w:val="36"/>
          <w:szCs w:val="36"/>
        </w:rPr>
        <w:t>第四章 评标办法（综合评估法）</w:t>
      </w:r>
      <w:bookmarkEnd w:id="638"/>
      <w:bookmarkStart w:id="639" w:name="_Toc95223443"/>
    </w:p>
    <w:p w14:paraId="072AE35B">
      <w:pPr>
        <w:spacing w:before="93" w:beforeLines="30" w:after="93" w:afterLines="30" w:line="500" w:lineRule="exact"/>
        <w:ind w:left="-901"/>
        <w:jc w:val="center"/>
        <w:rPr>
          <w:b/>
          <w:color w:val="auto"/>
          <w:sz w:val="28"/>
          <w:szCs w:val="21"/>
        </w:rPr>
      </w:pPr>
      <w:r>
        <w:rPr>
          <w:rFonts w:hint="eastAsia"/>
          <w:b/>
          <w:bCs/>
          <w:color w:val="auto"/>
          <w:sz w:val="28"/>
          <w:szCs w:val="28"/>
        </w:rPr>
        <w:t>（二）</w:t>
      </w:r>
      <w:r>
        <w:rPr>
          <w:rFonts w:hint="eastAsia"/>
          <w:b/>
          <w:color w:val="auto"/>
          <w:sz w:val="28"/>
          <w:szCs w:val="21"/>
        </w:rPr>
        <w:t>资信标评审（</w:t>
      </w:r>
      <w:r>
        <w:rPr>
          <w:b/>
          <w:color w:val="auto"/>
          <w:sz w:val="28"/>
          <w:szCs w:val="21"/>
        </w:rPr>
        <w:t>10</w:t>
      </w:r>
      <w:r>
        <w:rPr>
          <w:rFonts w:hint="eastAsia"/>
          <w:b/>
          <w:color w:val="auto"/>
          <w:sz w:val="28"/>
          <w:szCs w:val="21"/>
        </w:rPr>
        <w:t>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743"/>
        <w:gridCol w:w="743"/>
        <w:gridCol w:w="7581"/>
      </w:tblGrid>
      <w:tr w14:paraId="5F57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22" w:type="dxa"/>
          </w:tcPr>
          <w:p w14:paraId="56D5C3D7">
            <w:pPr>
              <w:adjustRightInd w:val="0"/>
              <w:snapToGrid w:val="0"/>
              <w:spacing w:line="500" w:lineRule="exact"/>
              <w:jc w:val="center"/>
              <w:rPr>
                <w:rFonts w:ascii="宋体" w:hAnsi="宋体" w:cs="宋体"/>
                <w:color w:val="auto"/>
                <w:szCs w:val="21"/>
              </w:rPr>
            </w:pPr>
            <w:r>
              <w:rPr>
                <w:rFonts w:hint="eastAsia" w:ascii="宋体" w:hAnsi="宋体" w:cs="宋体"/>
                <w:color w:val="auto"/>
                <w:szCs w:val="21"/>
              </w:rPr>
              <w:t>序号</w:t>
            </w:r>
          </w:p>
        </w:tc>
        <w:tc>
          <w:tcPr>
            <w:tcW w:w="765" w:type="dxa"/>
          </w:tcPr>
          <w:p w14:paraId="64737BE3">
            <w:pPr>
              <w:adjustRightInd w:val="0"/>
              <w:snapToGrid w:val="0"/>
              <w:spacing w:line="500" w:lineRule="exact"/>
              <w:jc w:val="center"/>
              <w:rPr>
                <w:rFonts w:ascii="宋体" w:hAnsi="宋体" w:cs="宋体"/>
                <w:color w:val="auto"/>
                <w:szCs w:val="21"/>
              </w:rPr>
            </w:pPr>
            <w:r>
              <w:rPr>
                <w:rFonts w:hint="eastAsia" w:ascii="宋体" w:hAnsi="宋体" w:cs="宋体"/>
                <w:color w:val="auto"/>
                <w:szCs w:val="21"/>
              </w:rPr>
              <w:t>评审因素</w:t>
            </w:r>
          </w:p>
        </w:tc>
        <w:tc>
          <w:tcPr>
            <w:tcW w:w="765" w:type="dxa"/>
          </w:tcPr>
          <w:p w14:paraId="3712FF3F">
            <w:pPr>
              <w:adjustRightInd w:val="0"/>
              <w:snapToGrid w:val="0"/>
              <w:spacing w:line="500" w:lineRule="exact"/>
              <w:jc w:val="center"/>
              <w:rPr>
                <w:rFonts w:ascii="宋体" w:hAnsi="宋体" w:cs="宋体"/>
                <w:color w:val="auto"/>
                <w:szCs w:val="21"/>
              </w:rPr>
            </w:pPr>
            <w:r>
              <w:rPr>
                <w:rFonts w:hint="eastAsia" w:ascii="宋体" w:hAnsi="宋体" w:cs="宋体"/>
                <w:color w:val="auto"/>
                <w:szCs w:val="21"/>
              </w:rPr>
              <w:t>分值设置</w:t>
            </w:r>
          </w:p>
        </w:tc>
        <w:tc>
          <w:tcPr>
            <w:tcW w:w="8047" w:type="dxa"/>
          </w:tcPr>
          <w:p w14:paraId="16F2D41D">
            <w:pPr>
              <w:adjustRightInd w:val="0"/>
              <w:snapToGrid w:val="0"/>
              <w:spacing w:line="500" w:lineRule="exact"/>
              <w:jc w:val="center"/>
              <w:rPr>
                <w:rFonts w:ascii="宋体" w:hAnsi="宋体" w:cs="宋体"/>
                <w:color w:val="auto"/>
                <w:szCs w:val="21"/>
              </w:rPr>
            </w:pPr>
            <w:r>
              <w:rPr>
                <w:rFonts w:hint="eastAsia" w:ascii="宋体" w:hAnsi="宋体" w:cs="宋体"/>
                <w:color w:val="auto"/>
                <w:szCs w:val="21"/>
              </w:rPr>
              <w:t>评审标准</w:t>
            </w:r>
          </w:p>
        </w:tc>
      </w:tr>
      <w:tr w14:paraId="22AE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2" w:type="dxa"/>
            <w:vAlign w:val="center"/>
          </w:tcPr>
          <w:p w14:paraId="040ED3FC">
            <w:pPr>
              <w:adjustRightInd w:val="0"/>
              <w:snapToGrid w:val="0"/>
              <w:spacing w:line="500" w:lineRule="exact"/>
              <w:jc w:val="center"/>
              <w:rPr>
                <w:rFonts w:ascii="宋体" w:hAnsi="宋体" w:cs="宋体"/>
                <w:color w:val="auto"/>
                <w:szCs w:val="21"/>
              </w:rPr>
            </w:pPr>
            <w:r>
              <w:rPr>
                <w:rFonts w:hint="eastAsia" w:ascii="宋体" w:hAnsi="宋体" w:cs="宋体"/>
                <w:color w:val="auto"/>
                <w:szCs w:val="21"/>
              </w:rPr>
              <w:t>1</w:t>
            </w:r>
          </w:p>
        </w:tc>
        <w:tc>
          <w:tcPr>
            <w:tcW w:w="765" w:type="dxa"/>
            <w:vAlign w:val="center"/>
          </w:tcPr>
          <w:p w14:paraId="59BD68F5">
            <w:pPr>
              <w:adjustRightInd w:val="0"/>
              <w:snapToGrid w:val="0"/>
              <w:spacing w:line="500" w:lineRule="exact"/>
              <w:jc w:val="center"/>
              <w:rPr>
                <w:rFonts w:ascii="宋体" w:hAnsi="宋体" w:cs="宋体"/>
                <w:color w:val="auto"/>
                <w:szCs w:val="21"/>
              </w:rPr>
            </w:pPr>
            <w:r>
              <w:rPr>
                <w:rFonts w:hint="eastAsia" w:ascii="宋体" w:hAnsi="宋体" w:cs="宋体"/>
                <w:color w:val="auto"/>
                <w:szCs w:val="21"/>
              </w:rPr>
              <w:t>项目组人员配备</w:t>
            </w:r>
          </w:p>
        </w:tc>
        <w:tc>
          <w:tcPr>
            <w:tcW w:w="765" w:type="dxa"/>
            <w:vAlign w:val="center"/>
          </w:tcPr>
          <w:p w14:paraId="6D9DE161">
            <w:pPr>
              <w:adjustRightInd w:val="0"/>
              <w:snapToGrid w:val="0"/>
              <w:spacing w:line="500" w:lineRule="exact"/>
              <w:jc w:val="center"/>
              <w:rPr>
                <w:rFonts w:ascii="宋体" w:hAnsi="宋体" w:cs="宋体"/>
                <w:color w:val="auto"/>
                <w:szCs w:val="21"/>
              </w:rPr>
            </w:pPr>
            <w:r>
              <w:rPr>
                <w:rFonts w:hint="eastAsia" w:ascii="宋体" w:hAnsi="宋体" w:cs="宋体"/>
                <w:color w:val="auto"/>
                <w:szCs w:val="21"/>
              </w:rPr>
              <w:t>10分</w:t>
            </w:r>
          </w:p>
        </w:tc>
        <w:tc>
          <w:tcPr>
            <w:tcW w:w="8047" w:type="dxa"/>
          </w:tcPr>
          <w:p w14:paraId="3FB56A88">
            <w:pPr>
              <w:spacing w:line="500" w:lineRule="exact"/>
              <w:jc w:val="left"/>
              <w:rPr>
                <w:rFonts w:ascii="宋体" w:hAnsi="宋体" w:cs="宋体"/>
                <w:color w:val="auto"/>
                <w:szCs w:val="21"/>
              </w:rPr>
            </w:pPr>
            <w:r>
              <w:rPr>
                <w:rFonts w:hint="eastAsia" w:ascii="宋体" w:hAnsi="宋体" w:cs="宋体"/>
                <w:color w:val="auto"/>
                <w:szCs w:val="21"/>
              </w:rPr>
              <w:t>除项目经理（建造师）和设计负责人外，配备人员满足下列要求得对应分值，本项满分10分。</w:t>
            </w:r>
          </w:p>
          <w:p w14:paraId="1E69DBED">
            <w:pPr>
              <w:spacing w:line="500" w:lineRule="exact"/>
              <w:jc w:val="left"/>
              <w:rPr>
                <w:rFonts w:ascii="宋体" w:hAnsi="宋体" w:cs="宋体"/>
                <w:color w:val="auto"/>
                <w:szCs w:val="21"/>
              </w:rPr>
            </w:pPr>
            <w:r>
              <w:rPr>
                <w:rFonts w:hint="eastAsia" w:ascii="宋体" w:hAnsi="宋体" w:cs="宋体"/>
                <w:color w:val="auto"/>
                <w:szCs w:val="21"/>
              </w:rPr>
              <w:t>1.给排水专业负责人：注册公用设备工程师(给水排水)及给排水专业高级工程师或以上职称，得2分。</w:t>
            </w:r>
          </w:p>
          <w:p w14:paraId="31337BBA">
            <w:pPr>
              <w:spacing w:line="500" w:lineRule="exact"/>
              <w:jc w:val="left"/>
              <w:rPr>
                <w:rFonts w:ascii="宋体" w:hAnsi="宋体" w:cs="宋体"/>
                <w:color w:val="auto"/>
                <w:szCs w:val="21"/>
              </w:rPr>
            </w:pPr>
            <w:r>
              <w:rPr>
                <w:rFonts w:hint="eastAsia" w:ascii="宋体" w:hAnsi="宋体" w:cs="宋体"/>
                <w:color w:val="auto"/>
                <w:szCs w:val="21"/>
              </w:rPr>
              <w:t>2.给排水设计人员：注册公用设备工程师(给水排水)及给排水专业工程师或以上职称，得1分。</w:t>
            </w:r>
          </w:p>
          <w:p w14:paraId="0DA18EF7">
            <w:pPr>
              <w:spacing w:line="500" w:lineRule="exact"/>
              <w:jc w:val="left"/>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.建筑专业设计负责人：一级注册建筑师及建筑专</w:t>
            </w:r>
            <w:r>
              <w:rPr>
                <w:rFonts w:hint="eastAsia" w:ascii="宋体" w:hAnsi="宋体" w:cs="宋体"/>
                <w:color w:val="auto"/>
                <w:szCs w:val="21"/>
              </w:rPr>
              <w:t>业工程师或以上职称，得</w:t>
            </w:r>
            <w:r>
              <w:rPr>
                <w:rFonts w:ascii="宋体" w:hAnsi="宋体" w:cs="宋体"/>
                <w:color w:val="auto"/>
                <w:szCs w:val="21"/>
              </w:rPr>
              <w:t>1分。</w:t>
            </w:r>
          </w:p>
          <w:p w14:paraId="0D26237F">
            <w:pPr>
              <w:spacing w:line="500" w:lineRule="exact"/>
              <w:jc w:val="left"/>
              <w:rPr>
                <w:rFonts w:ascii="宋体" w:hAnsi="宋体" w:cs="宋体"/>
                <w:color w:val="auto"/>
                <w:szCs w:val="21"/>
              </w:rPr>
            </w:pPr>
            <w:r>
              <w:rPr>
                <w:rFonts w:hint="eastAsia" w:ascii="宋体" w:hAnsi="宋体" w:cs="宋体"/>
                <w:color w:val="auto"/>
                <w:szCs w:val="21"/>
              </w:rPr>
              <w:t>4.电气专业设计负责人：注册电气工程师（供配电）及电气专业高级工程师或以上职称，得2分。</w:t>
            </w:r>
          </w:p>
          <w:p w14:paraId="51542784">
            <w:pPr>
              <w:spacing w:line="500" w:lineRule="exact"/>
              <w:jc w:val="left"/>
              <w:rPr>
                <w:rFonts w:ascii="宋体" w:hAnsi="宋体" w:cs="宋体"/>
                <w:color w:val="auto"/>
                <w:szCs w:val="21"/>
              </w:rPr>
            </w:pPr>
            <w:r>
              <w:rPr>
                <w:rFonts w:hint="eastAsia" w:ascii="宋体" w:hAnsi="宋体" w:cs="宋体"/>
                <w:color w:val="auto"/>
                <w:szCs w:val="21"/>
              </w:rPr>
              <w:t>5.造价专业负责人：一级注册造价工程师及造价专业高级工程师或以上职称，得1分。</w:t>
            </w:r>
          </w:p>
          <w:p w14:paraId="5F100463">
            <w:pPr>
              <w:spacing w:line="500" w:lineRule="exact"/>
              <w:jc w:val="left"/>
              <w:rPr>
                <w:rFonts w:ascii="宋体" w:hAnsi="宋体" w:cs="宋体"/>
                <w:color w:val="auto"/>
                <w:szCs w:val="21"/>
              </w:rPr>
            </w:pPr>
            <w:r>
              <w:rPr>
                <w:rFonts w:hint="eastAsia" w:ascii="宋体" w:hAnsi="宋体" w:cs="宋体"/>
                <w:color w:val="auto"/>
                <w:szCs w:val="21"/>
              </w:rPr>
              <w:t>6.项目技术负责人：一级注册建造师（机电专业），得2分。</w:t>
            </w:r>
          </w:p>
          <w:p w14:paraId="3F90E5F9">
            <w:pPr>
              <w:spacing w:line="500" w:lineRule="exact"/>
              <w:jc w:val="left"/>
              <w:rPr>
                <w:rFonts w:ascii="宋体" w:hAnsi="宋体" w:cs="宋体"/>
                <w:color w:val="auto"/>
                <w:szCs w:val="21"/>
              </w:rPr>
            </w:pPr>
            <w:r>
              <w:rPr>
                <w:rFonts w:hint="eastAsia" w:ascii="宋体" w:hAnsi="宋体" w:cs="宋体"/>
                <w:color w:val="auto"/>
                <w:szCs w:val="21"/>
              </w:rPr>
              <w:t>7.项目安全主任：中级注册安全工程师，得1分。</w:t>
            </w:r>
          </w:p>
          <w:p w14:paraId="5A4DF774">
            <w:pPr>
              <w:spacing w:line="500" w:lineRule="exact"/>
              <w:jc w:val="left"/>
              <w:rPr>
                <w:rFonts w:ascii="宋体" w:hAnsi="宋体" w:cs="宋体"/>
                <w:color w:val="auto"/>
                <w:szCs w:val="21"/>
              </w:rPr>
            </w:pPr>
            <w:r>
              <w:rPr>
                <w:rFonts w:hint="eastAsia" w:ascii="宋体" w:hAnsi="宋体" w:cs="宋体"/>
                <w:b/>
                <w:bCs/>
                <w:color w:val="auto"/>
                <w:szCs w:val="21"/>
              </w:rPr>
              <w:t>【须同时提供下列材料扫描件：①对应证书；②投标截止时间前连续3个月的社保证明（证明文件两个月内有效），投标人是事业单位或事业单位附属单位的，须由其主管部门出具证明。】</w:t>
            </w:r>
          </w:p>
          <w:p w14:paraId="70D203D4">
            <w:pPr>
              <w:spacing w:line="500" w:lineRule="exact"/>
              <w:jc w:val="left"/>
              <w:rPr>
                <w:color w:val="auto"/>
              </w:rPr>
            </w:pPr>
            <w:r>
              <w:rPr>
                <w:rFonts w:hint="eastAsia" w:ascii="宋体" w:hAnsi="宋体" w:cs="宋体"/>
                <w:b/>
                <w:bCs/>
                <w:color w:val="auto"/>
                <w:szCs w:val="21"/>
              </w:rPr>
              <w:t>注：上述人员不得兼任。</w:t>
            </w:r>
          </w:p>
        </w:tc>
      </w:tr>
    </w:tbl>
    <w:p w14:paraId="58BA74A8">
      <w:pPr>
        <w:spacing w:line="520" w:lineRule="exact"/>
        <w:jc w:val="center"/>
        <w:rPr>
          <w:b/>
          <w:bCs/>
          <w:color w:val="auto"/>
          <w:sz w:val="28"/>
          <w:szCs w:val="28"/>
        </w:rPr>
      </w:pPr>
      <w:r>
        <w:rPr>
          <w:rFonts w:hint="eastAsia"/>
          <w:b/>
          <w:bCs/>
          <w:color w:val="auto"/>
          <w:sz w:val="28"/>
          <w:szCs w:val="28"/>
        </w:rPr>
        <w:t>（三）技术标评审</w:t>
      </w:r>
    </w:p>
    <w:tbl>
      <w:tblPr>
        <w:tblStyle w:val="23"/>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695"/>
        <w:gridCol w:w="3069"/>
        <w:gridCol w:w="4452"/>
      </w:tblGrid>
      <w:tr w14:paraId="24E4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470" w:type="dxa"/>
            <w:gridSpan w:val="2"/>
            <w:vAlign w:val="center"/>
          </w:tcPr>
          <w:p w14:paraId="12C22BEE">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条款号</w:t>
            </w:r>
          </w:p>
        </w:tc>
        <w:tc>
          <w:tcPr>
            <w:tcW w:w="3069" w:type="dxa"/>
            <w:vAlign w:val="center"/>
          </w:tcPr>
          <w:p w14:paraId="632F6CD3">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评</w:t>
            </w:r>
            <w:bookmarkStart w:id="640" w:name="_Toc246996252"/>
            <w:bookmarkStart w:id="641" w:name="_Toc144974577"/>
            <w:bookmarkStart w:id="642" w:name="_Toc152042387"/>
            <w:bookmarkStart w:id="643" w:name="_Toc324404881"/>
            <w:bookmarkStart w:id="644" w:name="_Toc417623601"/>
            <w:bookmarkStart w:id="645" w:name="_Toc247085767"/>
            <w:bookmarkStart w:id="646" w:name="_Toc246996995"/>
            <w:bookmarkStart w:id="647" w:name="_Toc179632627"/>
            <w:bookmarkStart w:id="648" w:name="_Toc152045609"/>
            <w:r>
              <w:rPr>
                <w:rFonts w:hint="eastAsia" w:ascii="宋体" w:hAnsi="宋体" w:cs="宋体"/>
                <w:color w:val="auto"/>
                <w:szCs w:val="21"/>
              </w:rPr>
              <w:t>审因</w:t>
            </w:r>
            <w:bookmarkEnd w:id="640"/>
            <w:bookmarkEnd w:id="641"/>
            <w:bookmarkEnd w:id="642"/>
            <w:bookmarkEnd w:id="643"/>
            <w:bookmarkEnd w:id="644"/>
            <w:bookmarkEnd w:id="645"/>
            <w:bookmarkEnd w:id="646"/>
            <w:bookmarkEnd w:id="647"/>
            <w:bookmarkEnd w:id="648"/>
            <w:bookmarkStart w:id="649" w:name="_Toc60061510"/>
            <w:r>
              <w:rPr>
                <w:rFonts w:hint="eastAsia" w:ascii="宋体" w:hAnsi="宋体" w:cs="宋体"/>
                <w:color w:val="auto"/>
                <w:szCs w:val="21"/>
              </w:rPr>
              <w:t>素</w:t>
            </w:r>
          </w:p>
        </w:tc>
        <w:tc>
          <w:tcPr>
            <w:tcW w:w="4452" w:type="dxa"/>
            <w:vAlign w:val="center"/>
          </w:tcPr>
          <w:p w14:paraId="5474D4DB">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评审标准</w:t>
            </w:r>
          </w:p>
        </w:tc>
      </w:tr>
      <w:bookmarkEnd w:id="649"/>
      <w:tr w14:paraId="63D4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Align w:val="center"/>
          </w:tcPr>
          <w:p w14:paraId="77CD114A">
            <w:pPr>
              <w:adjustRightInd w:val="0"/>
              <w:snapToGrid w:val="0"/>
              <w:spacing w:line="520" w:lineRule="exact"/>
              <w:rPr>
                <w:rFonts w:ascii="宋体" w:hAnsi="宋体" w:cs="宋体"/>
                <w:color w:val="auto"/>
                <w:szCs w:val="21"/>
              </w:rPr>
            </w:pPr>
            <w:r>
              <w:rPr>
                <w:rFonts w:hint="eastAsia" w:ascii="宋体" w:hAnsi="宋体" w:cs="宋体"/>
                <w:color w:val="auto"/>
                <w:szCs w:val="21"/>
              </w:rPr>
              <w:t>4.1.1</w:t>
            </w:r>
          </w:p>
        </w:tc>
        <w:tc>
          <w:tcPr>
            <w:tcW w:w="1695" w:type="dxa"/>
            <w:vAlign w:val="center"/>
          </w:tcPr>
          <w:p w14:paraId="05DFF47B">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形式评审</w:t>
            </w:r>
          </w:p>
          <w:p w14:paraId="3030E4F6">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标准</w:t>
            </w:r>
          </w:p>
        </w:tc>
        <w:tc>
          <w:tcPr>
            <w:tcW w:w="3069" w:type="dxa"/>
            <w:shd w:val="clear" w:color="auto" w:fill="auto"/>
            <w:vAlign w:val="center"/>
          </w:tcPr>
          <w:p w14:paraId="2B0AA9FE">
            <w:pPr>
              <w:spacing w:line="520" w:lineRule="exact"/>
              <w:jc w:val="center"/>
              <w:rPr>
                <w:color w:val="auto"/>
              </w:rPr>
            </w:pPr>
            <w:r>
              <w:rPr>
                <w:rFonts w:hint="eastAsia"/>
                <w:color w:val="auto"/>
              </w:rPr>
              <w:t>投标文件格式</w:t>
            </w:r>
          </w:p>
        </w:tc>
        <w:tc>
          <w:tcPr>
            <w:tcW w:w="4452" w:type="dxa"/>
            <w:shd w:val="clear" w:color="auto" w:fill="auto"/>
            <w:vAlign w:val="center"/>
          </w:tcPr>
          <w:p w14:paraId="34580492">
            <w:pPr>
              <w:spacing w:line="520" w:lineRule="exact"/>
              <w:rPr>
                <w:color w:val="auto"/>
              </w:rPr>
            </w:pPr>
            <w:r>
              <w:rPr>
                <w:rFonts w:hint="eastAsia"/>
                <w:color w:val="auto"/>
              </w:rPr>
              <w:t>符合第九章“投标文件格式”的要求，否则经评委会一致认定后,按照无效投标处理。</w:t>
            </w:r>
          </w:p>
        </w:tc>
      </w:tr>
      <w:tr w14:paraId="22B2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Merge w:val="restart"/>
            <w:vAlign w:val="center"/>
          </w:tcPr>
          <w:p w14:paraId="2A7B76A6">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4.1.2</w:t>
            </w:r>
          </w:p>
        </w:tc>
        <w:tc>
          <w:tcPr>
            <w:tcW w:w="1695" w:type="dxa"/>
            <w:vMerge w:val="restart"/>
            <w:vAlign w:val="center"/>
          </w:tcPr>
          <w:p w14:paraId="12F70600">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响应性评审标准（初步评审）</w:t>
            </w:r>
          </w:p>
        </w:tc>
        <w:tc>
          <w:tcPr>
            <w:tcW w:w="3069" w:type="dxa"/>
            <w:vAlign w:val="center"/>
          </w:tcPr>
          <w:p w14:paraId="00E4C4C4">
            <w:pPr>
              <w:adjustRightInd w:val="0"/>
              <w:snapToGrid w:val="0"/>
              <w:spacing w:line="520" w:lineRule="exact"/>
              <w:jc w:val="center"/>
              <w:textAlignment w:val="baseline"/>
              <w:rPr>
                <w:color w:val="auto"/>
                <w:szCs w:val="21"/>
              </w:rPr>
            </w:pPr>
            <w:r>
              <w:rPr>
                <w:color w:val="auto"/>
                <w:szCs w:val="21"/>
              </w:rPr>
              <w:t>投标内容</w:t>
            </w:r>
          </w:p>
        </w:tc>
        <w:tc>
          <w:tcPr>
            <w:tcW w:w="4452" w:type="dxa"/>
            <w:vAlign w:val="center"/>
          </w:tcPr>
          <w:p w14:paraId="19ED4510">
            <w:pPr>
              <w:adjustRightInd w:val="0"/>
              <w:snapToGrid w:val="0"/>
              <w:spacing w:line="520" w:lineRule="exact"/>
              <w:rPr>
                <w:rFonts w:ascii="宋体" w:hAnsi="宋体" w:cs="宋体"/>
                <w:color w:val="auto"/>
                <w:szCs w:val="21"/>
              </w:rPr>
            </w:pPr>
            <w:r>
              <w:rPr>
                <w:rFonts w:hint="eastAsia" w:ascii="宋体" w:hAnsi="宋体" w:cs="宋体"/>
                <w:color w:val="auto"/>
                <w:szCs w:val="21"/>
              </w:rPr>
              <w:t>符合第二章“投标人须知”规定。</w:t>
            </w:r>
          </w:p>
        </w:tc>
      </w:tr>
      <w:tr w14:paraId="0808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Merge w:val="continue"/>
          </w:tcPr>
          <w:p w14:paraId="5C623C0A">
            <w:pPr>
              <w:adjustRightInd w:val="0"/>
              <w:snapToGrid w:val="0"/>
              <w:spacing w:line="520" w:lineRule="exact"/>
              <w:jc w:val="center"/>
              <w:rPr>
                <w:rFonts w:ascii="宋体" w:hAnsi="宋体" w:cs="宋体"/>
                <w:color w:val="auto"/>
                <w:szCs w:val="21"/>
              </w:rPr>
            </w:pPr>
          </w:p>
        </w:tc>
        <w:tc>
          <w:tcPr>
            <w:tcW w:w="1695" w:type="dxa"/>
            <w:vMerge w:val="continue"/>
            <w:vAlign w:val="center"/>
          </w:tcPr>
          <w:p w14:paraId="22607623">
            <w:pPr>
              <w:adjustRightInd w:val="0"/>
              <w:snapToGrid w:val="0"/>
              <w:spacing w:line="520" w:lineRule="exact"/>
              <w:jc w:val="center"/>
              <w:rPr>
                <w:rFonts w:ascii="宋体" w:hAnsi="宋体" w:cs="宋体"/>
                <w:color w:val="auto"/>
                <w:szCs w:val="21"/>
              </w:rPr>
            </w:pPr>
          </w:p>
        </w:tc>
        <w:tc>
          <w:tcPr>
            <w:tcW w:w="3069" w:type="dxa"/>
            <w:vAlign w:val="center"/>
          </w:tcPr>
          <w:p w14:paraId="39D64D38">
            <w:pPr>
              <w:adjustRightInd w:val="0"/>
              <w:snapToGrid w:val="0"/>
              <w:spacing w:line="520" w:lineRule="exact"/>
              <w:jc w:val="center"/>
              <w:textAlignment w:val="baseline"/>
              <w:rPr>
                <w:color w:val="auto"/>
                <w:szCs w:val="21"/>
              </w:rPr>
            </w:pPr>
            <w:r>
              <w:rPr>
                <w:color w:val="auto"/>
                <w:szCs w:val="21"/>
              </w:rPr>
              <w:t>权利义务</w:t>
            </w:r>
          </w:p>
        </w:tc>
        <w:tc>
          <w:tcPr>
            <w:tcW w:w="4452" w:type="dxa"/>
            <w:vAlign w:val="center"/>
          </w:tcPr>
          <w:p w14:paraId="29F74793">
            <w:pPr>
              <w:adjustRightInd w:val="0"/>
              <w:snapToGrid w:val="0"/>
              <w:spacing w:line="520" w:lineRule="exact"/>
              <w:rPr>
                <w:rFonts w:ascii="宋体" w:hAnsi="宋体" w:cs="宋体"/>
                <w:color w:val="auto"/>
                <w:szCs w:val="21"/>
              </w:rPr>
            </w:pPr>
            <w:r>
              <w:rPr>
                <w:rFonts w:hint="eastAsia" w:ascii="宋体" w:hAnsi="宋体" w:cs="宋体"/>
                <w:color w:val="auto"/>
                <w:szCs w:val="21"/>
              </w:rPr>
              <w:t>符合第五章“合同条款及格式”规定。</w:t>
            </w:r>
          </w:p>
        </w:tc>
      </w:tr>
      <w:tr w14:paraId="4652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5" w:type="dxa"/>
            <w:vMerge w:val="continue"/>
          </w:tcPr>
          <w:p w14:paraId="2CF629D6">
            <w:pPr>
              <w:adjustRightInd w:val="0"/>
              <w:snapToGrid w:val="0"/>
              <w:spacing w:line="520" w:lineRule="exact"/>
              <w:jc w:val="center"/>
              <w:rPr>
                <w:rFonts w:ascii="宋体" w:hAnsi="宋体" w:cs="宋体"/>
                <w:color w:val="auto"/>
                <w:szCs w:val="21"/>
              </w:rPr>
            </w:pPr>
          </w:p>
        </w:tc>
        <w:tc>
          <w:tcPr>
            <w:tcW w:w="1695" w:type="dxa"/>
            <w:vMerge w:val="continue"/>
            <w:vAlign w:val="center"/>
          </w:tcPr>
          <w:p w14:paraId="7F0C2D6B">
            <w:pPr>
              <w:adjustRightInd w:val="0"/>
              <w:snapToGrid w:val="0"/>
              <w:spacing w:line="520" w:lineRule="exact"/>
              <w:jc w:val="center"/>
              <w:rPr>
                <w:rFonts w:ascii="宋体" w:hAnsi="宋体" w:cs="宋体"/>
                <w:color w:val="auto"/>
                <w:szCs w:val="21"/>
              </w:rPr>
            </w:pPr>
          </w:p>
        </w:tc>
        <w:tc>
          <w:tcPr>
            <w:tcW w:w="3069" w:type="dxa"/>
            <w:vAlign w:val="center"/>
          </w:tcPr>
          <w:p w14:paraId="1B1FE9F4">
            <w:pPr>
              <w:adjustRightInd w:val="0"/>
              <w:snapToGrid w:val="0"/>
              <w:spacing w:line="520" w:lineRule="exact"/>
              <w:jc w:val="center"/>
              <w:textAlignment w:val="baseline"/>
              <w:rPr>
                <w:color w:val="auto"/>
                <w:szCs w:val="21"/>
              </w:rPr>
            </w:pPr>
            <w:r>
              <w:rPr>
                <w:rFonts w:hint="eastAsia"/>
                <w:color w:val="auto"/>
                <w:szCs w:val="21"/>
              </w:rPr>
              <w:t>技术要求</w:t>
            </w:r>
          </w:p>
        </w:tc>
        <w:tc>
          <w:tcPr>
            <w:tcW w:w="4452" w:type="dxa"/>
            <w:vAlign w:val="center"/>
          </w:tcPr>
          <w:p w14:paraId="201440D6">
            <w:pPr>
              <w:adjustRightInd w:val="0"/>
              <w:snapToGrid w:val="0"/>
              <w:spacing w:line="520" w:lineRule="exact"/>
              <w:rPr>
                <w:rFonts w:ascii="宋体" w:hAnsi="宋体" w:cs="宋体"/>
                <w:color w:val="auto"/>
                <w:szCs w:val="21"/>
              </w:rPr>
            </w:pPr>
            <w:r>
              <w:rPr>
                <w:rFonts w:hint="eastAsia" w:ascii="宋体" w:hAnsi="宋体" w:cs="宋体"/>
                <w:color w:val="auto"/>
                <w:szCs w:val="21"/>
              </w:rPr>
              <w:t>符合第八章“技术要求”规定。</w:t>
            </w:r>
          </w:p>
        </w:tc>
      </w:tr>
      <w:tr w14:paraId="213C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91" w:type="dxa"/>
            <w:gridSpan w:val="4"/>
          </w:tcPr>
          <w:p w14:paraId="315C9280">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技术标详细评审（55分）</w:t>
            </w:r>
          </w:p>
        </w:tc>
      </w:tr>
      <w:tr w14:paraId="0303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5" w:type="dxa"/>
          </w:tcPr>
          <w:p w14:paraId="710723FF">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序号</w:t>
            </w:r>
          </w:p>
        </w:tc>
        <w:tc>
          <w:tcPr>
            <w:tcW w:w="1695" w:type="dxa"/>
            <w:vAlign w:val="center"/>
          </w:tcPr>
          <w:p w14:paraId="01CD0938">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评审因素</w:t>
            </w:r>
          </w:p>
        </w:tc>
        <w:tc>
          <w:tcPr>
            <w:tcW w:w="7521" w:type="dxa"/>
            <w:gridSpan w:val="2"/>
            <w:vAlign w:val="center"/>
          </w:tcPr>
          <w:p w14:paraId="30B006DA">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评审标准</w:t>
            </w:r>
          </w:p>
        </w:tc>
      </w:tr>
      <w:tr w14:paraId="2C82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5" w:type="dxa"/>
            <w:vAlign w:val="center"/>
          </w:tcPr>
          <w:p w14:paraId="64F8A203">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1</w:t>
            </w:r>
          </w:p>
        </w:tc>
        <w:tc>
          <w:tcPr>
            <w:tcW w:w="1695" w:type="dxa"/>
            <w:vAlign w:val="center"/>
          </w:tcPr>
          <w:p w14:paraId="25B30059">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项目方案</w:t>
            </w:r>
          </w:p>
          <w:p w14:paraId="7058BCE5">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20</w:t>
            </w:r>
            <w:r>
              <w:rPr>
                <w:rFonts w:hint="eastAsia" w:ascii="宋体" w:hAnsi="宋体" w:cs="宋体"/>
                <w:color w:val="auto"/>
                <w:szCs w:val="21"/>
              </w:rPr>
              <w:t>分）</w:t>
            </w:r>
          </w:p>
        </w:tc>
        <w:tc>
          <w:tcPr>
            <w:tcW w:w="7521" w:type="dxa"/>
            <w:gridSpan w:val="2"/>
            <w:vAlign w:val="center"/>
          </w:tcPr>
          <w:p w14:paraId="6B546D5F">
            <w:pPr>
              <w:adjustRightInd w:val="0"/>
              <w:snapToGrid w:val="0"/>
              <w:spacing w:line="520" w:lineRule="exact"/>
              <w:jc w:val="left"/>
              <w:rPr>
                <w:rFonts w:ascii="宋体" w:hAnsi="宋体" w:cs="宋体"/>
                <w:color w:val="auto"/>
                <w:szCs w:val="21"/>
              </w:rPr>
            </w:pPr>
            <w:r>
              <w:rPr>
                <w:rFonts w:hint="eastAsia" w:ascii="宋体" w:hAnsi="宋体" w:cs="宋体"/>
                <w:color w:val="auto"/>
                <w:szCs w:val="21"/>
              </w:rPr>
              <w:t>投标人须根据招标人提供的技术要求，结合各水厂的现状，自行编制设计方案，评审将综合考量方案是否合理、满足招标需求、经济可行、具备针对性及操作性。方案内容要求主要包括1.现状问题与重难点分析：基于调研分析，全面、准确的阐述本项目现状存在的问题，以及施工过程中的重点和难点。2.解决方案与措施：依据相关技术规范，针对上述问题几重难点，提出切实可行的解决措施和方案。3.方案分项描述：对方案中设计的关键系统和设备（包括但不限于水泵、阀门、配电系统、自控系统</w:t>
            </w:r>
            <w:r>
              <w:rPr>
                <w:rFonts w:hint="eastAsia" w:ascii="宋体" w:hAnsi="宋体" w:cs="宋体"/>
                <w:color w:val="auto"/>
                <w:szCs w:val="21"/>
                <w:lang w:eastAsia="zh-CN"/>
              </w:rPr>
              <w:t>、</w:t>
            </w:r>
            <w:r>
              <w:rPr>
                <w:rFonts w:hint="eastAsia" w:ascii="宋体" w:hAnsi="宋体" w:cs="宋体"/>
                <w:b/>
                <w:color w:val="auto"/>
                <w:szCs w:val="21"/>
                <w:u w:val="wave"/>
              </w:rPr>
              <w:t>计量泵加药系统</w:t>
            </w:r>
            <w:r>
              <w:rPr>
                <w:rFonts w:hint="eastAsia" w:ascii="宋体" w:hAnsi="宋体" w:cs="宋体"/>
                <w:color w:val="auto"/>
                <w:szCs w:val="21"/>
              </w:rPr>
              <w:t>及工艺管道等）进行详细描述。4.支撑材料：提供与方案相关的图纸、图片及技术资料，要求内容切合主题、资料完整、描述表达准确。</w:t>
            </w:r>
          </w:p>
          <w:p w14:paraId="3D74FFE8">
            <w:pPr>
              <w:adjustRightInd w:val="0"/>
              <w:snapToGrid w:val="0"/>
              <w:spacing w:line="520" w:lineRule="exact"/>
              <w:jc w:val="left"/>
              <w:rPr>
                <w:rFonts w:ascii="宋体" w:hAnsi="宋体" w:cs="宋体"/>
                <w:color w:val="auto"/>
                <w:szCs w:val="21"/>
              </w:rPr>
            </w:pPr>
            <w:r>
              <w:rPr>
                <w:rFonts w:hint="eastAsia" w:ascii="宋体" w:hAnsi="宋体" w:cs="宋体"/>
                <w:color w:val="auto"/>
                <w:szCs w:val="21"/>
              </w:rPr>
              <w:t>优秀的得</w:t>
            </w:r>
            <w:r>
              <w:rPr>
                <w:rFonts w:hint="eastAsia" w:ascii="宋体" w:hAnsi="宋体" w:cs="宋体"/>
                <w:color w:val="auto"/>
                <w:szCs w:val="21"/>
                <w:lang w:val="en-US" w:eastAsia="zh-CN"/>
              </w:rPr>
              <w:t>20</w:t>
            </w:r>
            <w:r>
              <w:rPr>
                <w:rFonts w:hint="eastAsia" w:ascii="宋体" w:hAnsi="宋体" w:cs="宋体"/>
                <w:color w:val="auto"/>
                <w:szCs w:val="21"/>
              </w:rPr>
              <w:t>分，良好的得</w:t>
            </w:r>
            <w:r>
              <w:rPr>
                <w:rFonts w:hint="eastAsia" w:ascii="宋体" w:hAnsi="宋体" w:cs="宋体"/>
                <w:color w:val="auto"/>
                <w:szCs w:val="21"/>
                <w:lang w:val="en-US" w:eastAsia="zh-CN"/>
              </w:rPr>
              <w:t>18</w:t>
            </w:r>
            <w:r>
              <w:rPr>
                <w:rFonts w:hint="eastAsia" w:ascii="宋体" w:hAnsi="宋体" w:cs="宋体"/>
                <w:color w:val="auto"/>
                <w:szCs w:val="21"/>
              </w:rPr>
              <w:t>分，一般的得</w:t>
            </w:r>
            <w:r>
              <w:rPr>
                <w:rFonts w:hint="eastAsia" w:ascii="宋体" w:hAnsi="宋体" w:cs="宋体"/>
                <w:color w:val="auto"/>
                <w:szCs w:val="21"/>
                <w:lang w:val="en-US" w:eastAsia="zh-CN"/>
              </w:rPr>
              <w:t>16</w:t>
            </w:r>
            <w:r>
              <w:rPr>
                <w:rFonts w:hint="eastAsia" w:ascii="宋体" w:hAnsi="宋体" w:cs="宋体"/>
                <w:color w:val="auto"/>
                <w:szCs w:val="21"/>
              </w:rPr>
              <w:t>分，合格的得</w:t>
            </w:r>
            <w:r>
              <w:rPr>
                <w:rFonts w:hint="eastAsia" w:ascii="宋体" w:hAnsi="宋体" w:cs="宋体"/>
                <w:color w:val="auto"/>
                <w:szCs w:val="21"/>
                <w:lang w:val="en-US" w:eastAsia="zh-CN"/>
              </w:rPr>
              <w:t>14</w:t>
            </w:r>
            <w:r>
              <w:rPr>
                <w:rFonts w:hint="eastAsia" w:ascii="宋体" w:hAnsi="宋体" w:cs="宋体"/>
                <w:color w:val="auto"/>
                <w:szCs w:val="21"/>
              </w:rPr>
              <w:t>分，不合格的或未提供的得0分。</w:t>
            </w:r>
          </w:p>
        </w:tc>
      </w:tr>
      <w:tr w14:paraId="7E96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5" w:type="dxa"/>
            <w:vAlign w:val="center"/>
          </w:tcPr>
          <w:p w14:paraId="13BC674F">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2</w:t>
            </w:r>
          </w:p>
        </w:tc>
        <w:tc>
          <w:tcPr>
            <w:tcW w:w="1695" w:type="dxa"/>
            <w:vAlign w:val="center"/>
          </w:tcPr>
          <w:p w14:paraId="690BF39D">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整体供货方案</w:t>
            </w:r>
          </w:p>
          <w:p w14:paraId="4982C3AA">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分）</w:t>
            </w:r>
          </w:p>
        </w:tc>
        <w:tc>
          <w:tcPr>
            <w:tcW w:w="7521" w:type="dxa"/>
            <w:gridSpan w:val="2"/>
            <w:vAlign w:val="center"/>
          </w:tcPr>
          <w:p w14:paraId="5857C3D1">
            <w:pPr>
              <w:adjustRightInd w:val="0"/>
              <w:snapToGrid w:val="0"/>
              <w:spacing w:line="520" w:lineRule="exact"/>
              <w:rPr>
                <w:rFonts w:ascii="宋体" w:hAnsi="宋体" w:cs="宋体"/>
                <w:color w:val="auto"/>
                <w:szCs w:val="21"/>
              </w:rPr>
            </w:pPr>
            <w:r>
              <w:rPr>
                <w:rFonts w:hint="eastAsia" w:ascii="宋体" w:hAnsi="宋体" w:cs="宋体"/>
                <w:color w:val="auto"/>
                <w:szCs w:val="21"/>
              </w:rPr>
              <w:t>根据投标人提供的供货、安装及售后服务方案等，综合比较各方案是否合理，是否有针对性和操作性，是否切实结合并考虑了本项目的实际，工期、人员、质量、进度保证措施是否切实可行。优秀的得</w:t>
            </w:r>
            <w:r>
              <w:rPr>
                <w:rFonts w:hint="eastAsia" w:ascii="宋体" w:hAnsi="宋体" w:cs="宋体"/>
                <w:color w:val="auto"/>
                <w:szCs w:val="21"/>
                <w:lang w:val="en-US" w:eastAsia="zh-CN"/>
              </w:rPr>
              <w:t>5</w:t>
            </w:r>
            <w:r>
              <w:rPr>
                <w:rFonts w:hint="eastAsia" w:ascii="宋体" w:hAnsi="宋体" w:cs="宋体"/>
                <w:color w:val="auto"/>
                <w:szCs w:val="21"/>
              </w:rPr>
              <w:t>分，良好的得</w:t>
            </w:r>
            <w:r>
              <w:rPr>
                <w:rFonts w:hint="eastAsia" w:ascii="宋体" w:hAnsi="宋体" w:cs="宋体"/>
                <w:color w:val="auto"/>
                <w:szCs w:val="21"/>
                <w:lang w:val="en-US" w:eastAsia="zh-CN"/>
              </w:rPr>
              <w:t>4.5</w:t>
            </w:r>
            <w:r>
              <w:rPr>
                <w:rFonts w:hint="eastAsia" w:ascii="宋体" w:hAnsi="宋体" w:cs="宋体"/>
                <w:color w:val="auto"/>
                <w:szCs w:val="21"/>
              </w:rPr>
              <w:t>分，一般的得</w:t>
            </w:r>
            <w:r>
              <w:rPr>
                <w:rFonts w:hint="eastAsia" w:ascii="宋体" w:hAnsi="宋体" w:cs="宋体"/>
                <w:color w:val="auto"/>
                <w:szCs w:val="21"/>
                <w:lang w:val="en-US" w:eastAsia="zh-CN"/>
              </w:rPr>
              <w:t>4</w:t>
            </w:r>
            <w:r>
              <w:rPr>
                <w:rFonts w:hint="eastAsia" w:ascii="宋体" w:hAnsi="宋体" w:cs="宋体"/>
                <w:color w:val="auto"/>
                <w:szCs w:val="21"/>
              </w:rPr>
              <w:t>分，合格的得</w:t>
            </w:r>
            <w:r>
              <w:rPr>
                <w:rFonts w:hint="eastAsia" w:ascii="宋体" w:hAnsi="宋体" w:cs="宋体"/>
                <w:color w:val="auto"/>
                <w:szCs w:val="21"/>
                <w:lang w:val="en-US" w:eastAsia="zh-CN"/>
              </w:rPr>
              <w:t>3.5</w:t>
            </w:r>
            <w:r>
              <w:rPr>
                <w:rFonts w:hint="eastAsia" w:ascii="宋体" w:hAnsi="宋体" w:cs="宋体"/>
                <w:color w:val="auto"/>
                <w:szCs w:val="21"/>
              </w:rPr>
              <w:t>分，不合格的或未提供的得0分。</w:t>
            </w:r>
          </w:p>
        </w:tc>
      </w:tr>
      <w:tr w14:paraId="183D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5" w:type="dxa"/>
            <w:vAlign w:val="center"/>
          </w:tcPr>
          <w:p w14:paraId="47C8C0AA">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3</w:t>
            </w:r>
          </w:p>
        </w:tc>
        <w:tc>
          <w:tcPr>
            <w:tcW w:w="1695" w:type="dxa"/>
            <w:vAlign w:val="center"/>
          </w:tcPr>
          <w:p w14:paraId="5525D0E9">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产品质量保证措施（10分）</w:t>
            </w:r>
          </w:p>
        </w:tc>
        <w:tc>
          <w:tcPr>
            <w:tcW w:w="7521" w:type="dxa"/>
            <w:gridSpan w:val="2"/>
            <w:vAlign w:val="center"/>
          </w:tcPr>
          <w:p w14:paraId="51B3A568">
            <w:pPr>
              <w:adjustRightInd w:val="0"/>
              <w:snapToGrid w:val="0"/>
              <w:spacing w:line="520" w:lineRule="exact"/>
              <w:rPr>
                <w:rFonts w:ascii="宋体" w:hAnsi="宋体" w:cs="宋体"/>
                <w:color w:val="auto"/>
                <w:szCs w:val="21"/>
              </w:rPr>
            </w:pPr>
            <w:r>
              <w:rPr>
                <w:rFonts w:hint="eastAsia" w:ascii="宋体" w:hAnsi="宋体" w:cs="宋体"/>
                <w:color w:val="auto"/>
                <w:szCs w:val="21"/>
              </w:rPr>
              <w:t>针对投标人所投设备的质量性能、技术先进性、便于维护等质量保证措施进行综合评价。优秀的得10分，良好的得9分，一般的得8分，合格的得7分，不合格的或未提供的得0分。</w:t>
            </w:r>
          </w:p>
        </w:tc>
      </w:tr>
      <w:tr w14:paraId="4D7F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5" w:type="dxa"/>
            <w:vAlign w:val="center"/>
          </w:tcPr>
          <w:p w14:paraId="417B4629">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4</w:t>
            </w:r>
          </w:p>
        </w:tc>
        <w:tc>
          <w:tcPr>
            <w:tcW w:w="1695" w:type="dxa"/>
            <w:vAlign w:val="center"/>
          </w:tcPr>
          <w:p w14:paraId="64D1C88B">
            <w:pPr>
              <w:adjustRightInd w:val="0"/>
              <w:snapToGrid w:val="0"/>
              <w:spacing w:line="520" w:lineRule="exact"/>
              <w:jc w:val="center"/>
              <w:rPr>
                <w:rFonts w:ascii="宋体" w:hAnsi="宋体" w:cs="宋体"/>
                <w:color w:val="auto"/>
                <w:szCs w:val="21"/>
                <w:highlight w:val="none"/>
              </w:rPr>
            </w:pPr>
            <w:r>
              <w:rPr>
                <w:rFonts w:hint="eastAsia" w:ascii="宋体" w:hAnsi="宋体" w:cs="宋体"/>
                <w:color w:val="auto"/>
                <w:szCs w:val="21"/>
                <w:highlight w:val="none"/>
              </w:rPr>
              <w:t>设备系统整合方案（</w:t>
            </w:r>
            <w:r>
              <w:rPr>
                <w:rFonts w:ascii="宋体" w:hAnsi="宋体" w:cs="宋体"/>
                <w:color w:val="auto"/>
                <w:szCs w:val="21"/>
                <w:highlight w:val="none"/>
              </w:rPr>
              <w:t>5</w:t>
            </w:r>
            <w:r>
              <w:rPr>
                <w:rFonts w:hint="eastAsia" w:ascii="宋体" w:hAnsi="宋体" w:cs="宋体"/>
                <w:color w:val="auto"/>
                <w:szCs w:val="21"/>
                <w:highlight w:val="none"/>
              </w:rPr>
              <w:t>分）</w:t>
            </w:r>
          </w:p>
        </w:tc>
        <w:tc>
          <w:tcPr>
            <w:tcW w:w="7521" w:type="dxa"/>
            <w:gridSpan w:val="2"/>
            <w:vAlign w:val="center"/>
          </w:tcPr>
          <w:p w14:paraId="6859D29A">
            <w:pPr>
              <w:adjustRightInd w:val="0"/>
              <w:snapToGrid w:val="0"/>
              <w:spacing w:line="520" w:lineRule="exact"/>
              <w:rPr>
                <w:rFonts w:ascii="宋体" w:hAnsi="宋体" w:cs="宋体"/>
                <w:color w:val="auto"/>
                <w:szCs w:val="21"/>
                <w:highlight w:val="none"/>
              </w:rPr>
            </w:pPr>
            <w:r>
              <w:rPr>
                <w:rFonts w:hint="eastAsia" w:ascii="宋体" w:hAnsi="宋体" w:cs="宋体"/>
                <w:color w:val="auto"/>
                <w:szCs w:val="21"/>
                <w:highlight w:val="none"/>
              </w:rPr>
              <w:t>提出合理、可操作的设备衔接及整合方案，特别是对本项目的工程建设</w:t>
            </w:r>
            <w:r>
              <w:rPr>
                <w:rFonts w:hint="eastAsia" w:ascii="宋体" w:hAnsi="宋体"/>
                <w:color w:val="auto"/>
                <w:szCs w:val="21"/>
                <w:highlight w:val="none"/>
              </w:rPr>
              <w:t>和（或）</w:t>
            </w:r>
            <w:r>
              <w:rPr>
                <w:rFonts w:hint="eastAsia" w:ascii="宋体" w:hAnsi="宋体" w:cs="宋体"/>
                <w:color w:val="auto"/>
                <w:szCs w:val="21"/>
                <w:highlight w:val="none"/>
              </w:rPr>
              <w:t>现有系统以及其它各相关系统之间的衔接，以及投标设备与招标人原有设备的有机结合、无缝连接和互联互通等方面是否有安全、稳定、成熟可行的方案。优秀的得</w:t>
            </w:r>
            <w:r>
              <w:rPr>
                <w:rFonts w:ascii="宋体" w:hAnsi="宋体" w:cs="宋体"/>
                <w:color w:val="auto"/>
                <w:szCs w:val="21"/>
                <w:highlight w:val="none"/>
              </w:rPr>
              <w:t>5</w:t>
            </w:r>
            <w:r>
              <w:rPr>
                <w:rFonts w:hint="eastAsia" w:ascii="宋体" w:hAnsi="宋体" w:cs="宋体"/>
                <w:color w:val="auto"/>
                <w:szCs w:val="21"/>
                <w:highlight w:val="none"/>
              </w:rPr>
              <w:t>分，良好的得</w:t>
            </w:r>
            <w:r>
              <w:rPr>
                <w:rFonts w:ascii="宋体" w:hAnsi="宋体" w:cs="宋体"/>
                <w:color w:val="auto"/>
                <w:szCs w:val="21"/>
                <w:highlight w:val="none"/>
              </w:rPr>
              <w:t>4.5</w:t>
            </w:r>
            <w:r>
              <w:rPr>
                <w:rFonts w:hint="eastAsia" w:ascii="宋体" w:hAnsi="宋体" w:cs="宋体"/>
                <w:color w:val="auto"/>
                <w:szCs w:val="21"/>
                <w:highlight w:val="none"/>
              </w:rPr>
              <w:t>分，一般的得</w:t>
            </w:r>
            <w:r>
              <w:rPr>
                <w:rFonts w:ascii="宋体" w:hAnsi="宋体" w:cs="宋体"/>
                <w:color w:val="auto"/>
                <w:szCs w:val="21"/>
                <w:highlight w:val="none"/>
              </w:rPr>
              <w:t>4</w:t>
            </w:r>
            <w:r>
              <w:rPr>
                <w:rFonts w:hint="eastAsia" w:ascii="宋体" w:hAnsi="宋体" w:cs="宋体"/>
                <w:color w:val="auto"/>
                <w:szCs w:val="21"/>
                <w:highlight w:val="none"/>
              </w:rPr>
              <w:t>分，合格的得</w:t>
            </w:r>
            <w:r>
              <w:rPr>
                <w:rFonts w:ascii="宋体" w:hAnsi="宋体" w:cs="宋体"/>
                <w:color w:val="auto"/>
                <w:szCs w:val="21"/>
                <w:highlight w:val="none"/>
              </w:rPr>
              <w:t>3.5</w:t>
            </w:r>
            <w:r>
              <w:rPr>
                <w:rFonts w:hint="eastAsia" w:ascii="宋体" w:hAnsi="宋体" w:cs="宋体"/>
                <w:color w:val="auto"/>
                <w:szCs w:val="21"/>
                <w:highlight w:val="none"/>
              </w:rPr>
              <w:t>分，不合格的或未提供的得0分。</w:t>
            </w:r>
          </w:p>
        </w:tc>
      </w:tr>
      <w:tr w14:paraId="0E06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75" w:type="dxa"/>
            <w:vAlign w:val="center"/>
          </w:tcPr>
          <w:p w14:paraId="57AD3F85">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5</w:t>
            </w:r>
          </w:p>
        </w:tc>
        <w:tc>
          <w:tcPr>
            <w:tcW w:w="1695" w:type="dxa"/>
            <w:vAlign w:val="center"/>
          </w:tcPr>
          <w:p w14:paraId="13313206">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技术服务能力评价（5分）</w:t>
            </w:r>
          </w:p>
        </w:tc>
        <w:tc>
          <w:tcPr>
            <w:tcW w:w="7521" w:type="dxa"/>
            <w:gridSpan w:val="2"/>
            <w:vAlign w:val="center"/>
          </w:tcPr>
          <w:p w14:paraId="5A475D2C">
            <w:pPr>
              <w:adjustRightInd w:val="0"/>
              <w:snapToGrid w:val="0"/>
              <w:spacing w:line="520" w:lineRule="exact"/>
              <w:rPr>
                <w:rFonts w:ascii="宋体" w:hAnsi="宋体" w:cs="宋体"/>
                <w:color w:val="auto"/>
                <w:szCs w:val="21"/>
              </w:rPr>
            </w:pPr>
            <w:r>
              <w:rPr>
                <w:rFonts w:hint="eastAsia" w:ascii="宋体" w:hAnsi="宋体" w:cs="宋体"/>
                <w:color w:val="auto"/>
                <w:szCs w:val="21"/>
              </w:rPr>
              <w:t>包括但不限于：①技术培训计划的时间、内容符合本招标工程实际；②安装调试及试运行措施、运行的技术指导安排合理；③技术图纸提供计划（包括图纸种类和供图时间）满足本招标工程建设和运行管理需要。优秀的得5分，良好的得4.5分，一般的得4分，合格的得3.5分，不合格的或未提供的得0分。</w:t>
            </w:r>
          </w:p>
        </w:tc>
      </w:tr>
      <w:tr w14:paraId="32F2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75" w:type="dxa"/>
            <w:vAlign w:val="center"/>
          </w:tcPr>
          <w:p w14:paraId="1EDD6659">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6</w:t>
            </w:r>
          </w:p>
        </w:tc>
        <w:tc>
          <w:tcPr>
            <w:tcW w:w="1695" w:type="dxa"/>
            <w:vAlign w:val="center"/>
          </w:tcPr>
          <w:p w14:paraId="2F9E4B6D">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施工组织设计及调试验收方</w:t>
            </w:r>
          </w:p>
          <w:p w14:paraId="76C94AF6">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案（5分）</w:t>
            </w:r>
          </w:p>
        </w:tc>
        <w:tc>
          <w:tcPr>
            <w:tcW w:w="7521" w:type="dxa"/>
            <w:gridSpan w:val="2"/>
            <w:vAlign w:val="center"/>
          </w:tcPr>
          <w:p w14:paraId="0D4DC55B">
            <w:pPr>
              <w:adjustRightInd w:val="0"/>
              <w:snapToGrid w:val="0"/>
              <w:spacing w:line="520" w:lineRule="exact"/>
              <w:rPr>
                <w:rFonts w:ascii="宋体" w:hAnsi="宋体" w:cs="宋体"/>
                <w:color w:val="auto"/>
                <w:szCs w:val="21"/>
              </w:rPr>
            </w:pPr>
            <w:r>
              <w:rPr>
                <w:rFonts w:hint="eastAsia" w:ascii="宋体" w:hAnsi="宋体" w:cs="宋体"/>
                <w:color w:val="auto"/>
                <w:szCs w:val="21"/>
              </w:rPr>
              <w:t>根据投标人提供的施工组织设计、调试验收方案，评标委员会综合比较各方案是否合理，是否有针对性和操作性，是否切实结合并考虑了本项目的实际，工期、人员、质量、进度保证措施是否切实可行。优秀的得5分，良好的得4.5分，一般的得4分，合格的得3.5分，不合格的或未提供的得0分。</w:t>
            </w:r>
          </w:p>
        </w:tc>
      </w:tr>
      <w:tr w14:paraId="644E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5" w:type="dxa"/>
            <w:vAlign w:val="center"/>
          </w:tcPr>
          <w:p w14:paraId="6E83A8E7">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7</w:t>
            </w:r>
          </w:p>
        </w:tc>
        <w:tc>
          <w:tcPr>
            <w:tcW w:w="1695" w:type="dxa"/>
            <w:vAlign w:val="center"/>
          </w:tcPr>
          <w:p w14:paraId="4EF24054">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质保服务能力评价（5分）</w:t>
            </w:r>
          </w:p>
        </w:tc>
        <w:tc>
          <w:tcPr>
            <w:tcW w:w="7521" w:type="dxa"/>
            <w:gridSpan w:val="2"/>
            <w:vAlign w:val="center"/>
          </w:tcPr>
          <w:p w14:paraId="2C86B159">
            <w:pPr>
              <w:adjustRightInd w:val="0"/>
              <w:snapToGrid w:val="0"/>
              <w:spacing w:line="520" w:lineRule="exact"/>
              <w:rPr>
                <w:rFonts w:ascii="宋体" w:hAnsi="宋体" w:cs="宋体"/>
                <w:color w:val="auto"/>
                <w:szCs w:val="21"/>
              </w:rPr>
            </w:pPr>
            <w:r>
              <w:rPr>
                <w:rFonts w:hint="eastAsia" w:ascii="宋体" w:hAnsi="宋体" w:cs="宋体"/>
                <w:color w:val="auto"/>
                <w:szCs w:val="21"/>
              </w:rPr>
              <w:t>投标人提供完善的售后服务措施，并有切实可行的售后服务计划以及服务承诺能够保证履约便利化服务，有切实的现场履约便利化服务措施，提供现场履约技术支持，实现招标人要求的现场响应服务等。优秀的得5分，良好的得4.5分，一般的得4分，合格的得3.5分，不合格的或未提供的得0分。</w:t>
            </w:r>
          </w:p>
        </w:tc>
      </w:tr>
      <w:tr w14:paraId="7236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91" w:type="dxa"/>
            <w:gridSpan w:val="4"/>
            <w:vAlign w:val="center"/>
          </w:tcPr>
          <w:p w14:paraId="1991B65C">
            <w:pPr>
              <w:pStyle w:val="22"/>
              <w:spacing w:line="520" w:lineRule="exact"/>
              <w:ind w:left="0" w:leftChars="0" w:firstLine="422"/>
              <w:jc w:val="left"/>
              <w:rPr>
                <w:rFonts w:ascii="宋体" w:hAnsi="宋体" w:cs="宋体"/>
                <w:b/>
                <w:bCs/>
                <w:color w:val="auto"/>
              </w:rPr>
            </w:pPr>
            <w:r>
              <w:rPr>
                <w:rFonts w:hint="eastAsia" w:ascii="宋体" w:hAnsi="宋体" w:cs="宋体"/>
                <w:b/>
                <w:bCs/>
                <w:color w:val="auto"/>
              </w:rPr>
              <w:t>注：1.该项由专家评委评审打分，取所有评委评分中分别去掉一个最高和最低评分后的平均值为最终得分，保留两位小数点，第三位四舍五入。</w:t>
            </w:r>
          </w:p>
          <w:p w14:paraId="07FB47CC">
            <w:pPr>
              <w:pStyle w:val="22"/>
              <w:spacing w:line="520" w:lineRule="exact"/>
              <w:ind w:left="0" w:leftChars="0" w:firstLine="422"/>
              <w:jc w:val="left"/>
              <w:rPr>
                <w:rFonts w:ascii="宋体" w:hAnsi="宋体" w:cs="宋体"/>
                <w:b/>
                <w:bCs/>
                <w:color w:val="auto"/>
                <w:highlight w:val="none"/>
              </w:rPr>
            </w:pPr>
            <w:r>
              <w:rPr>
                <w:rFonts w:hint="eastAsia" w:ascii="宋体" w:hAnsi="宋体" w:cs="宋体"/>
                <w:b/>
                <w:bCs/>
                <w:color w:val="auto"/>
              </w:rPr>
              <w:t>2.该项目技术标为</w:t>
            </w:r>
            <w:r>
              <w:rPr>
                <w:rFonts w:hint="eastAsia" w:ascii="宋体" w:hAnsi="宋体" w:cs="宋体"/>
                <w:b/>
                <w:bCs/>
                <w:color w:val="auto"/>
                <w:highlight w:val="none"/>
              </w:rPr>
              <w:t>暗标横向评审，暗标横向评审技术标不设目录，评审前系统自动对所有投标人的技术标及各评分点分别进行编号；投标企业制作的技术标部分不得出现可能泄露投标人单位及个人信息的文字、图片、图表（技术标部分不得签章）等有关表述，否则该评分点作零分处理。</w:t>
            </w:r>
          </w:p>
          <w:p w14:paraId="09402D00">
            <w:pPr>
              <w:pStyle w:val="22"/>
              <w:spacing w:line="520" w:lineRule="exact"/>
              <w:ind w:left="0" w:leftChars="0" w:firstLine="413" w:firstLineChars="196"/>
              <w:jc w:val="left"/>
              <w:rPr>
                <w:rFonts w:ascii="宋体" w:hAnsi="宋体" w:cs="宋体"/>
                <w:b/>
                <w:bCs/>
                <w:color w:val="auto"/>
                <w:highlight w:val="none"/>
              </w:rPr>
            </w:pPr>
            <w:r>
              <w:rPr>
                <w:rFonts w:hint="eastAsia" w:ascii="宋体" w:hAnsi="宋体" w:cs="宋体"/>
                <w:b/>
                <w:bCs/>
                <w:color w:val="auto"/>
                <w:highlight w:val="none"/>
              </w:rPr>
              <w:t>2.1 技术标暗标不设空白页。技术标投标文件封面不出现投标人、法定代表人签章内容，格式以系统设置为准。正文必须按招标文件要求的顺序进行排版；</w:t>
            </w:r>
          </w:p>
          <w:p w14:paraId="4A2C9DDB">
            <w:pPr>
              <w:pStyle w:val="22"/>
              <w:spacing w:line="520" w:lineRule="exact"/>
              <w:ind w:left="0" w:leftChars="0" w:firstLine="422"/>
              <w:jc w:val="left"/>
              <w:rPr>
                <w:rFonts w:ascii="宋体" w:hAnsi="宋体" w:cs="宋体"/>
                <w:b/>
                <w:bCs/>
                <w:color w:val="auto"/>
                <w:highlight w:val="none"/>
              </w:rPr>
            </w:pPr>
            <w:r>
              <w:rPr>
                <w:rFonts w:hint="eastAsia" w:ascii="宋体" w:hAnsi="宋体" w:cs="宋体"/>
                <w:b/>
                <w:bCs/>
                <w:color w:val="auto"/>
                <w:highlight w:val="none"/>
              </w:rPr>
              <w:t>2.2技术标暗标正文文字排版统一使用中文宋体字体，文字为白底黑色，图表采用黑白灰色（不得采用彩色）；文字部分不得插入任何图表（可以用“见附图x”或“见附表x”说明）。所有附图、附表必须依次附在各章对应评分点内容的文末，计算在页数要求内；</w:t>
            </w:r>
          </w:p>
          <w:p w14:paraId="0F496D7C">
            <w:pPr>
              <w:pStyle w:val="22"/>
              <w:spacing w:line="520" w:lineRule="exact"/>
              <w:ind w:left="0" w:leftChars="0" w:firstLine="422"/>
              <w:jc w:val="left"/>
              <w:rPr>
                <w:rFonts w:ascii="宋体" w:hAnsi="宋体" w:cs="宋体"/>
                <w:b/>
                <w:bCs/>
                <w:color w:val="auto"/>
                <w:highlight w:val="none"/>
              </w:rPr>
            </w:pPr>
            <w:r>
              <w:rPr>
                <w:rFonts w:hint="eastAsia" w:ascii="宋体" w:hAnsi="宋体" w:cs="宋体"/>
                <w:b/>
                <w:bCs/>
                <w:color w:val="auto"/>
                <w:highlight w:val="none"/>
              </w:rPr>
              <w:t>2.3 正文采用宋体四号常规字，字符间距设为标准值，行距为单倍行距，不勾选“如果定义了文档网格，则对齐到网格”；正文统一设为左对齐，章、节标题、及段落首行缩进2个汉字，段落前后不设空行；正文版面不加页眉、页脚、边框、下划线等标志，正文页码用小五号阿拉伯数字，居中。单位符号中有上下角标要求的，必须在相应位置做角标；</w:t>
            </w:r>
          </w:p>
          <w:p w14:paraId="45145401">
            <w:pPr>
              <w:spacing w:line="520" w:lineRule="exact"/>
              <w:ind w:firstLine="413" w:firstLineChars="196"/>
              <w:jc w:val="left"/>
              <w:rPr>
                <w:rFonts w:ascii="宋体" w:hAnsi="宋体" w:cs="宋体"/>
                <w:b/>
                <w:bCs/>
                <w:color w:val="auto"/>
                <w:highlight w:val="none"/>
              </w:rPr>
            </w:pPr>
            <w:r>
              <w:rPr>
                <w:rFonts w:hint="eastAsia" w:ascii="宋体" w:hAnsi="宋体" w:cs="宋体"/>
                <w:b/>
                <w:bCs/>
                <w:color w:val="auto"/>
                <w:highlight w:val="none"/>
              </w:rPr>
              <w:t>3.技术标暗标文件的格式、制作不符合上述要求的，每一分项扣0.2分。技术标实行暗标的，对技术标（暗标）部分不予澄清、说明或者补正。</w:t>
            </w:r>
          </w:p>
          <w:p w14:paraId="2B143737">
            <w:pPr>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highlight w:val="none"/>
              </w:rPr>
              <w:t>4.招标人应根据招标项目实际，在招标文件中明确招标中施</w:t>
            </w:r>
            <w:r>
              <w:rPr>
                <w:rFonts w:hint="eastAsia" w:ascii="宋体" w:hAnsi="宋体" w:cs="宋体"/>
                <w:color w:val="auto"/>
                <w:szCs w:val="21"/>
              </w:rPr>
              <w:t>工组织设计的评审要点。其中施工组织设计评审要点主要包括：</w:t>
            </w:r>
          </w:p>
          <w:p w14:paraId="098932F4">
            <w:pPr>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①项目方案（页数不得多于20页）</w:t>
            </w:r>
          </w:p>
          <w:p w14:paraId="685F3C44">
            <w:pPr>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②整体供货方案（页数不多于5页）；</w:t>
            </w:r>
          </w:p>
          <w:p w14:paraId="2B3586A2">
            <w:pPr>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③产品质量保证措施（页数不多于5页）；</w:t>
            </w:r>
          </w:p>
          <w:p w14:paraId="2630821A">
            <w:pPr>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④设备系统整合方案（页数不多于8页）；</w:t>
            </w:r>
          </w:p>
          <w:p w14:paraId="2B63FE3F">
            <w:pPr>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⑤技术服务能力评价（页数不多于5页）；</w:t>
            </w:r>
          </w:p>
          <w:p w14:paraId="6CC59315">
            <w:pPr>
              <w:adjustRightInd w:val="0"/>
              <w:snapToGrid w:val="0"/>
              <w:spacing w:line="520" w:lineRule="exact"/>
              <w:ind w:firstLine="420" w:firstLineChars="200"/>
              <w:rPr>
                <w:color w:val="auto"/>
              </w:rPr>
            </w:pPr>
            <w:r>
              <w:rPr>
                <w:rFonts w:hint="eastAsia" w:ascii="微软雅黑" w:hAnsi="微软雅黑" w:eastAsia="微软雅黑" w:cs="微软雅黑"/>
                <w:color w:val="auto"/>
                <w:szCs w:val="21"/>
              </w:rPr>
              <w:t>⑥</w:t>
            </w:r>
            <w:r>
              <w:rPr>
                <w:rFonts w:hint="eastAsia" w:ascii="宋体" w:hAnsi="宋体" w:cs="宋体"/>
                <w:color w:val="auto"/>
                <w:szCs w:val="21"/>
              </w:rPr>
              <w:t>施工组织设计及调试验收方案（页数不多于5页）；</w:t>
            </w:r>
          </w:p>
          <w:p w14:paraId="65BB7C34">
            <w:pPr>
              <w:adjustRightInd w:val="0"/>
              <w:snapToGrid w:val="0"/>
              <w:spacing w:line="520" w:lineRule="exact"/>
              <w:ind w:firstLine="420" w:firstLineChars="200"/>
              <w:jc w:val="left"/>
              <w:rPr>
                <w:rFonts w:ascii="宋体" w:hAnsi="宋体" w:cs="宋体"/>
                <w:color w:val="auto"/>
                <w:szCs w:val="21"/>
                <w:highlight w:val="none"/>
              </w:rPr>
            </w:pPr>
            <w:r>
              <w:rPr>
                <w:rFonts w:hint="eastAsia" w:ascii="微软雅黑" w:hAnsi="微软雅黑" w:eastAsia="微软雅黑" w:cs="微软雅黑"/>
                <w:color w:val="auto"/>
                <w:szCs w:val="21"/>
              </w:rPr>
              <w:t>⑦</w:t>
            </w:r>
            <w:r>
              <w:rPr>
                <w:rFonts w:hint="eastAsia" w:ascii="宋体" w:hAnsi="宋体" w:cs="宋体"/>
                <w:color w:val="auto"/>
                <w:szCs w:val="21"/>
              </w:rPr>
              <w:t>质</w:t>
            </w:r>
            <w:r>
              <w:rPr>
                <w:rFonts w:hint="eastAsia" w:ascii="宋体" w:hAnsi="宋体" w:cs="宋体"/>
                <w:color w:val="auto"/>
                <w:szCs w:val="21"/>
                <w:highlight w:val="none"/>
              </w:rPr>
              <w:t>保服务能力评价（页数不多于5页）。</w:t>
            </w:r>
          </w:p>
          <w:p w14:paraId="5E3A185B">
            <w:pPr>
              <w:adjustRightInd w:val="0"/>
              <w:snapToGrid w:val="0"/>
              <w:spacing w:line="5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具体篇幅(字数)要求及扣分标准（建议扣分值为0.2分）。未做要求的，投标人可根据实际需要进行编制投标文件，但不得出现泄漏投标人信息的任何表述。偏离规定标准的，评标委员会应酌情扣分。</w:t>
            </w:r>
          </w:p>
          <w:p w14:paraId="33D2C15E">
            <w:pPr>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highlight w:val="none"/>
              </w:rPr>
              <w:t>5.暗标评审仅限评标环节。评标结束后，如出现质疑、投诉、举报等，经认定评标错误的，由评标委员会纠正错误或重新评分，此时不再受暗标评审约束，但在纠正错误或重新评分中发现投标企业技术标出现可能泄露投标人单位及个人信息的文</w:t>
            </w:r>
            <w:r>
              <w:rPr>
                <w:rFonts w:hint="eastAsia" w:ascii="宋体" w:hAnsi="宋体" w:cs="宋体"/>
                <w:color w:val="auto"/>
                <w:szCs w:val="21"/>
              </w:rPr>
              <w:t>字、图片、图表（技术标不得签章）等有关表述的，对应技术标评分点仍按零分处理。</w:t>
            </w:r>
          </w:p>
          <w:p w14:paraId="1E7B6ADA">
            <w:pPr>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6.如所有投标企业技术标都出现能反映企业信息等相关内容的，该项目流标。</w:t>
            </w:r>
          </w:p>
        </w:tc>
      </w:tr>
    </w:tbl>
    <w:p w14:paraId="605713DB">
      <w:pPr>
        <w:pStyle w:val="22"/>
        <w:adjustRightInd w:val="0"/>
        <w:snapToGrid w:val="0"/>
        <w:spacing w:line="520" w:lineRule="exact"/>
        <w:ind w:left="0" w:leftChars="0" w:firstLine="0" w:firstLineChars="0"/>
        <w:jc w:val="center"/>
        <w:rPr>
          <w:b/>
          <w:bCs/>
          <w:color w:val="auto"/>
          <w:sz w:val="28"/>
          <w:szCs w:val="28"/>
        </w:rPr>
      </w:pPr>
      <w:r>
        <w:rPr>
          <w:rFonts w:hint="eastAsia"/>
          <w:b/>
          <w:bCs/>
          <w:color w:val="auto"/>
          <w:sz w:val="28"/>
          <w:szCs w:val="28"/>
        </w:rPr>
        <w:t>（四）商务标评审</w:t>
      </w:r>
    </w:p>
    <w:tbl>
      <w:tblPr>
        <w:tblStyle w:val="23"/>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76"/>
        <w:gridCol w:w="545"/>
        <w:gridCol w:w="2290"/>
        <w:gridCol w:w="5794"/>
      </w:tblGrid>
      <w:tr w14:paraId="1685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60" w:type="dxa"/>
            <w:gridSpan w:val="2"/>
            <w:vAlign w:val="center"/>
          </w:tcPr>
          <w:p w14:paraId="497785A1">
            <w:pPr>
              <w:adjustRightInd w:val="0"/>
              <w:snapToGrid w:val="0"/>
              <w:spacing w:line="520" w:lineRule="exact"/>
              <w:jc w:val="center"/>
              <w:rPr>
                <w:rFonts w:ascii="宋体" w:hAnsi="宋体"/>
                <w:color w:val="auto"/>
                <w:szCs w:val="21"/>
              </w:rPr>
            </w:pPr>
            <w:r>
              <w:rPr>
                <w:rFonts w:hint="eastAsia" w:ascii="宋体" w:hAnsi="宋体"/>
                <w:color w:val="auto"/>
                <w:szCs w:val="21"/>
              </w:rPr>
              <w:t>条款号</w:t>
            </w:r>
          </w:p>
        </w:tc>
        <w:tc>
          <w:tcPr>
            <w:tcW w:w="2835" w:type="dxa"/>
            <w:gridSpan w:val="2"/>
            <w:vAlign w:val="center"/>
          </w:tcPr>
          <w:p w14:paraId="2441A846">
            <w:pPr>
              <w:adjustRightInd w:val="0"/>
              <w:snapToGrid w:val="0"/>
              <w:spacing w:line="520" w:lineRule="exact"/>
              <w:jc w:val="center"/>
              <w:rPr>
                <w:rFonts w:ascii="宋体" w:hAnsi="宋体"/>
                <w:color w:val="auto"/>
                <w:szCs w:val="21"/>
              </w:rPr>
            </w:pPr>
            <w:r>
              <w:rPr>
                <w:rFonts w:hint="eastAsia" w:ascii="宋体" w:hAnsi="宋体"/>
                <w:color w:val="auto"/>
                <w:szCs w:val="21"/>
              </w:rPr>
              <w:t>评审因素</w:t>
            </w:r>
          </w:p>
        </w:tc>
        <w:tc>
          <w:tcPr>
            <w:tcW w:w="5794" w:type="dxa"/>
            <w:vAlign w:val="center"/>
          </w:tcPr>
          <w:p w14:paraId="04F67DD8">
            <w:pPr>
              <w:adjustRightInd w:val="0"/>
              <w:snapToGrid w:val="0"/>
              <w:spacing w:line="520" w:lineRule="exact"/>
              <w:jc w:val="center"/>
              <w:rPr>
                <w:rFonts w:ascii="宋体" w:hAnsi="宋体"/>
                <w:color w:val="auto"/>
                <w:szCs w:val="21"/>
              </w:rPr>
            </w:pPr>
            <w:r>
              <w:rPr>
                <w:rFonts w:hint="eastAsia" w:ascii="宋体" w:hAnsi="宋体"/>
                <w:color w:val="auto"/>
                <w:szCs w:val="21"/>
              </w:rPr>
              <w:t>评审标准</w:t>
            </w:r>
          </w:p>
        </w:tc>
      </w:tr>
      <w:tr w14:paraId="736B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4" w:type="dxa"/>
            <w:vMerge w:val="restart"/>
            <w:vAlign w:val="center"/>
          </w:tcPr>
          <w:p w14:paraId="4404B51A">
            <w:pPr>
              <w:adjustRightInd w:val="0"/>
              <w:snapToGrid w:val="0"/>
              <w:spacing w:line="520" w:lineRule="exact"/>
              <w:jc w:val="center"/>
              <w:rPr>
                <w:rFonts w:ascii="宋体" w:hAnsi="宋体"/>
                <w:color w:val="auto"/>
                <w:szCs w:val="21"/>
              </w:rPr>
            </w:pPr>
            <w:r>
              <w:rPr>
                <w:rFonts w:ascii="宋体" w:hAnsi="宋体"/>
                <w:color w:val="auto"/>
                <w:szCs w:val="21"/>
              </w:rPr>
              <w:t>4.2.1</w:t>
            </w:r>
          </w:p>
        </w:tc>
        <w:tc>
          <w:tcPr>
            <w:tcW w:w="776" w:type="dxa"/>
            <w:vMerge w:val="restart"/>
            <w:vAlign w:val="center"/>
          </w:tcPr>
          <w:p w14:paraId="2E6EDCBA">
            <w:pPr>
              <w:adjustRightInd w:val="0"/>
              <w:snapToGrid w:val="0"/>
              <w:spacing w:line="520" w:lineRule="exact"/>
              <w:jc w:val="center"/>
              <w:rPr>
                <w:rFonts w:ascii="宋体" w:hAnsi="宋体"/>
                <w:color w:val="auto"/>
                <w:szCs w:val="21"/>
              </w:rPr>
            </w:pPr>
            <w:r>
              <w:rPr>
                <w:rFonts w:hint="eastAsia" w:ascii="宋体" w:hAnsi="宋体"/>
                <w:color w:val="auto"/>
                <w:szCs w:val="21"/>
              </w:rPr>
              <w:t>形式评审标准</w:t>
            </w:r>
          </w:p>
        </w:tc>
        <w:tc>
          <w:tcPr>
            <w:tcW w:w="2835" w:type="dxa"/>
            <w:gridSpan w:val="2"/>
            <w:vAlign w:val="center"/>
          </w:tcPr>
          <w:p w14:paraId="121C3E75">
            <w:pPr>
              <w:adjustRightInd w:val="0"/>
              <w:snapToGrid w:val="0"/>
              <w:spacing w:line="520" w:lineRule="exact"/>
              <w:rPr>
                <w:rFonts w:ascii="宋体" w:hAnsi="宋体"/>
                <w:color w:val="auto"/>
                <w:szCs w:val="21"/>
              </w:rPr>
            </w:pPr>
            <w:r>
              <w:rPr>
                <w:rFonts w:hint="eastAsia" w:ascii="宋体" w:hAnsi="宋体"/>
                <w:color w:val="auto"/>
                <w:szCs w:val="21"/>
              </w:rPr>
              <w:t>投标函签字盖章</w:t>
            </w:r>
          </w:p>
        </w:tc>
        <w:tc>
          <w:tcPr>
            <w:tcW w:w="5794" w:type="dxa"/>
            <w:vAlign w:val="center"/>
          </w:tcPr>
          <w:p w14:paraId="23FD88F5">
            <w:pPr>
              <w:adjustRightInd w:val="0"/>
              <w:snapToGrid w:val="0"/>
              <w:spacing w:line="520" w:lineRule="exact"/>
              <w:jc w:val="left"/>
              <w:rPr>
                <w:rFonts w:ascii="宋体" w:hAnsi="宋体"/>
                <w:color w:val="auto"/>
                <w:szCs w:val="21"/>
              </w:rPr>
            </w:pPr>
            <w:r>
              <w:rPr>
                <w:rFonts w:hint="eastAsia" w:ascii="宋体" w:hAnsi="宋体"/>
                <w:color w:val="auto"/>
                <w:szCs w:val="21"/>
              </w:rPr>
              <w:t>有投标人及其法定代表人签章。</w:t>
            </w:r>
          </w:p>
        </w:tc>
      </w:tr>
      <w:tr w14:paraId="261D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84" w:type="dxa"/>
            <w:vMerge w:val="continue"/>
            <w:vAlign w:val="center"/>
          </w:tcPr>
          <w:p w14:paraId="6DD7A1A4">
            <w:pPr>
              <w:widowControl/>
              <w:adjustRightInd w:val="0"/>
              <w:snapToGrid w:val="0"/>
              <w:spacing w:line="520" w:lineRule="exact"/>
              <w:jc w:val="left"/>
              <w:rPr>
                <w:rFonts w:ascii="宋体" w:hAnsi="宋体"/>
                <w:color w:val="auto"/>
                <w:szCs w:val="21"/>
              </w:rPr>
            </w:pPr>
          </w:p>
        </w:tc>
        <w:tc>
          <w:tcPr>
            <w:tcW w:w="776" w:type="dxa"/>
            <w:vMerge w:val="continue"/>
            <w:vAlign w:val="center"/>
          </w:tcPr>
          <w:p w14:paraId="1285DE83">
            <w:pPr>
              <w:widowControl/>
              <w:adjustRightInd w:val="0"/>
              <w:snapToGrid w:val="0"/>
              <w:spacing w:line="520" w:lineRule="exact"/>
              <w:jc w:val="left"/>
              <w:rPr>
                <w:rFonts w:ascii="宋体" w:hAnsi="宋体"/>
                <w:color w:val="auto"/>
                <w:szCs w:val="21"/>
              </w:rPr>
            </w:pPr>
          </w:p>
        </w:tc>
        <w:tc>
          <w:tcPr>
            <w:tcW w:w="2835" w:type="dxa"/>
            <w:gridSpan w:val="2"/>
            <w:vAlign w:val="center"/>
          </w:tcPr>
          <w:p w14:paraId="0E63CDD1">
            <w:pPr>
              <w:adjustRightInd w:val="0"/>
              <w:snapToGrid w:val="0"/>
              <w:spacing w:line="520" w:lineRule="exact"/>
              <w:rPr>
                <w:rFonts w:ascii="宋体" w:hAnsi="宋体"/>
                <w:color w:val="auto"/>
                <w:szCs w:val="21"/>
              </w:rPr>
            </w:pPr>
            <w:r>
              <w:rPr>
                <w:rFonts w:hint="eastAsia" w:ascii="宋体" w:hAnsi="宋体"/>
                <w:color w:val="auto"/>
                <w:szCs w:val="21"/>
              </w:rPr>
              <w:t>投标文件格式</w:t>
            </w:r>
          </w:p>
        </w:tc>
        <w:tc>
          <w:tcPr>
            <w:tcW w:w="5794" w:type="dxa"/>
            <w:vAlign w:val="center"/>
          </w:tcPr>
          <w:p w14:paraId="3159CC8B">
            <w:pPr>
              <w:adjustRightInd w:val="0"/>
              <w:snapToGrid w:val="0"/>
              <w:spacing w:line="520" w:lineRule="exact"/>
              <w:jc w:val="left"/>
              <w:rPr>
                <w:rFonts w:ascii="宋体" w:hAnsi="宋体"/>
                <w:color w:val="auto"/>
                <w:szCs w:val="21"/>
              </w:rPr>
            </w:pPr>
            <w:r>
              <w:rPr>
                <w:rFonts w:hint="eastAsia" w:ascii="宋体" w:hAnsi="宋体"/>
                <w:color w:val="auto"/>
                <w:szCs w:val="21"/>
              </w:rPr>
              <w:t>符合第九章“投标文件格式”的要求。</w:t>
            </w:r>
          </w:p>
        </w:tc>
      </w:tr>
      <w:tr w14:paraId="48E8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84" w:type="dxa"/>
            <w:vMerge w:val="continue"/>
            <w:vAlign w:val="center"/>
          </w:tcPr>
          <w:p w14:paraId="33795D86">
            <w:pPr>
              <w:widowControl/>
              <w:adjustRightInd w:val="0"/>
              <w:snapToGrid w:val="0"/>
              <w:spacing w:line="520" w:lineRule="exact"/>
              <w:jc w:val="left"/>
              <w:rPr>
                <w:rFonts w:ascii="宋体" w:hAnsi="宋体"/>
                <w:color w:val="auto"/>
                <w:szCs w:val="21"/>
              </w:rPr>
            </w:pPr>
          </w:p>
        </w:tc>
        <w:tc>
          <w:tcPr>
            <w:tcW w:w="776" w:type="dxa"/>
            <w:vMerge w:val="continue"/>
            <w:vAlign w:val="center"/>
          </w:tcPr>
          <w:p w14:paraId="53076BD8">
            <w:pPr>
              <w:widowControl/>
              <w:adjustRightInd w:val="0"/>
              <w:snapToGrid w:val="0"/>
              <w:spacing w:line="520" w:lineRule="exact"/>
              <w:jc w:val="left"/>
              <w:rPr>
                <w:rFonts w:ascii="宋体" w:hAnsi="宋体"/>
                <w:color w:val="auto"/>
                <w:szCs w:val="21"/>
              </w:rPr>
            </w:pPr>
          </w:p>
        </w:tc>
        <w:tc>
          <w:tcPr>
            <w:tcW w:w="2835" w:type="dxa"/>
            <w:gridSpan w:val="2"/>
            <w:vAlign w:val="center"/>
          </w:tcPr>
          <w:p w14:paraId="71940577">
            <w:pPr>
              <w:adjustRightInd w:val="0"/>
              <w:snapToGrid w:val="0"/>
              <w:spacing w:line="520" w:lineRule="exact"/>
              <w:rPr>
                <w:rFonts w:ascii="宋体" w:hAnsi="宋体"/>
                <w:color w:val="auto"/>
                <w:szCs w:val="21"/>
              </w:rPr>
            </w:pPr>
            <w:r>
              <w:rPr>
                <w:rFonts w:hint="eastAsia" w:ascii="宋体" w:hAnsi="宋体"/>
                <w:color w:val="auto"/>
                <w:szCs w:val="21"/>
              </w:rPr>
              <w:t>商务标签字盖章</w:t>
            </w:r>
          </w:p>
        </w:tc>
        <w:tc>
          <w:tcPr>
            <w:tcW w:w="5794" w:type="dxa"/>
            <w:vAlign w:val="center"/>
          </w:tcPr>
          <w:p w14:paraId="353C51C6">
            <w:pPr>
              <w:adjustRightInd w:val="0"/>
              <w:snapToGrid w:val="0"/>
              <w:spacing w:line="520" w:lineRule="exact"/>
              <w:jc w:val="left"/>
              <w:rPr>
                <w:rFonts w:ascii="宋体" w:hAnsi="宋体"/>
                <w:color w:val="auto"/>
                <w:szCs w:val="21"/>
              </w:rPr>
            </w:pPr>
            <w:r>
              <w:rPr>
                <w:rFonts w:hint="eastAsia" w:ascii="宋体" w:hAnsi="宋体"/>
                <w:color w:val="auto"/>
                <w:szCs w:val="21"/>
              </w:rPr>
              <w:t>按投标文件格式要求签章。</w:t>
            </w:r>
          </w:p>
        </w:tc>
      </w:tr>
      <w:tr w14:paraId="1A0E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4" w:type="dxa"/>
            <w:vMerge w:val="continue"/>
            <w:vAlign w:val="center"/>
          </w:tcPr>
          <w:p w14:paraId="2356858B">
            <w:pPr>
              <w:widowControl/>
              <w:adjustRightInd w:val="0"/>
              <w:snapToGrid w:val="0"/>
              <w:spacing w:line="520" w:lineRule="exact"/>
              <w:jc w:val="left"/>
              <w:rPr>
                <w:rFonts w:ascii="宋体" w:hAnsi="宋体"/>
                <w:color w:val="auto"/>
                <w:szCs w:val="21"/>
              </w:rPr>
            </w:pPr>
          </w:p>
        </w:tc>
        <w:tc>
          <w:tcPr>
            <w:tcW w:w="776" w:type="dxa"/>
            <w:vMerge w:val="continue"/>
            <w:vAlign w:val="center"/>
          </w:tcPr>
          <w:p w14:paraId="7369E120">
            <w:pPr>
              <w:widowControl/>
              <w:adjustRightInd w:val="0"/>
              <w:snapToGrid w:val="0"/>
              <w:spacing w:line="520" w:lineRule="exact"/>
              <w:jc w:val="left"/>
              <w:rPr>
                <w:rFonts w:ascii="宋体" w:hAnsi="宋体"/>
                <w:color w:val="auto"/>
                <w:szCs w:val="21"/>
              </w:rPr>
            </w:pPr>
          </w:p>
        </w:tc>
        <w:tc>
          <w:tcPr>
            <w:tcW w:w="2835" w:type="dxa"/>
            <w:gridSpan w:val="2"/>
            <w:vAlign w:val="center"/>
          </w:tcPr>
          <w:p w14:paraId="498B0550">
            <w:pPr>
              <w:adjustRightInd w:val="0"/>
              <w:snapToGrid w:val="0"/>
              <w:spacing w:line="520" w:lineRule="exact"/>
              <w:rPr>
                <w:rFonts w:ascii="宋体" w:hAnsi="宋体"/>
                <w:color w:val="auto"/>
                <w:szCs w:val="21"/>
              </w:rPr>
            </w:pPr>
            <w:r>
              <w:rPr>
                <w:rFonts w:hint="eastAsia" w:ascii="宋体" w:hAnsi="宋体"/>
                <w:color w:val="auto"/>
                <w:szCs w:val="21"/>
              </w:rPr>
              <w:t>报价唯一</w:t>
            </w:r>
          </w:p>
        </w:tc>
        <w:tc>
          <w:tcPr>
            <w:tcW w:w="5794" w:type="dxa"/>
            <w:vAlign w:val="center"/>
          </w:tcPr>
          <w:p w14:paraId="42558E4F">
            <w:pPr>
              <w:adjustRightInd w:val="0"/>
              <w:snapToGrid w:val="0"/>
              <w:spacing w:line="520" w:lineRule="exact"/>
              <w:jc w:val="left"/>
              <w:rPr>
                <w:rFonts w:ascii="宋体" w:hAnsi="宋体"/>
                <w:color w:val="auto"/>
                <w:szCs w:val="21"/>
              </w:rPr>
            </w:pPr>
            <w:r>
              <w:rPr>
                <w:rFonts w:hint="eastAsia" w:ascii="宋体" w:hAnsi="宋体"/>
                <w:color w:val="auto"/>
                <w:szCs w:val="21"/>
              </w:rPr>
              <w:t>只能有一个报价。</w:t>
            </w:r>
          </w:p>
        </w:tc>
      </w:tr>
      <w:tr w14:paraId="519F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Merge w:val="restart"/>
            <w:vAlign w:val="center"/>
          </w:tcPr>
          <w:p w14:paraId="6C241E5C">
            <w:pPr>
              <w:adjustRightInd w:val="0"/>
              <w:snapToGrid w:val="0"/>
              <w:spacing w:line="520" w:lineRule="exact"/>
              <w:jc w:val="center"/>
              <w:rPr>
                <w:rFonts w:ascii="宋体" w:hAnsi="宋体"/>
                <w:color w:val="auto"/>
                <w:szCs w:val="21"/>
              </w:rPr>
            </w:pPr>
            <w:r>
              <w:rPr>
                <w:rFonts w:ascii="宋体" w:hAnsi="宋体"/>
                <w:color w:val="auto"/>
                <w:szCs w:val="21"/>
              </w:rPr>
              <w:t>4.2.2</w:t>
            </w:r>
          </w:p>
        </w:tc>
        <w:tc>
          <w:tcPr>
            <w:tcW w:w="776" w:type="dxa"/>
            <w:vMerge w:val="restart"/>
            <w:vAlign w:val="center"/>
          </w:tcPr>
          <w:p w14:paraId="5689BF4F">
            <w:pPr>
              <w:adjustRightInd w:val="0"/>
              <w:snapToGrid w:val="0"/>
              <w:spacing w:line="520" w:lineRule="exact"/>
              <w:jc w:val="center"/>
              <w:rPr>
                <w:rFonts w:ascii="宋体" w:hAnsi="宋体"/>
                <w:color w:val="auto"/>
                <w:szCs w:val="21"/>
              </w:rPr>
            </w:pPr>
            <w:r>
              <w:rPr>
                <w:rFonts w:hint="eastAsia" w:ascii="宋体" w:hAnsi="宋体"/>
                <w:color w:val="auto"/>
                <w:szCs w:val="21"/>
              </w:rPr>
              <w:t>响应性评审标准</w:t>
            </w:r>
          </w:p>
        </w:tc>
        <w:tc>
          <w:tcPr>
            <w:tcW w:w="2835" w:type="dxa"/>
            <w:gridSpan w:val="2"/>
            <w:shd w:val="clear" w:color="auto" w:fill="auto"/>
            <w:vAlign w:val="center"/>
          </w:tcPr>
          <w:p w14:paraId="60CC4F5C">
            <w:pPr>
              <w:adjustRightInd w:val="0"/>
              <w:snapToGrid w:val="0"/>
              <w:spacing w:line="520" w:lineRule="exact"/>
              <w:rPr>
                <w:rFonts w:ascii="宋体" w:hAnsi="宋体"/>
                <w:color w:val="auto"/>
                <w:szCs w:val="21"/>
              </w:rPr>
            </w:pPr>
            <w:r>
              <w:rPr>
                <w:rFonts w:hint="eastAsia" w:ascii="宋体" w:hAnsi="宋体"/>
                <w:color w:val="auto"/>
                <w:szCs w:val="21"/>
              </w:rPr>
              <w:t>工期</w:t>
            </w:r>
          </w:p>
        </w:tc>
        <w:tc>
          <w:tcPr>
            <w:tcW w:w="5794" w:type="dxa"/>
            <w:shd w:val="clear" w:color="auto" w:fill="auto"/>
            <w:vAlign w:val="center"/>
          </w:tcPr>
          <w:p w14:paraId="6C7FE746">
            <w:pPr>
              <w:adjustRightInd w:val="0"/>
              <w:snapToGrid w:val="0"/>
              <w:spacing w:line="520" w:lineRule="exact"/>
              <w:rPr>
                <w:rFonts w:ascii="宋体" w:hAnsi="宋体"/>
                <w:color w:val="auto"/>
                <w:szCs w:val="21"/>
              </w:rPr>
            </w:pPr>
            <w:r>
              <w:rPr>
                <w:rFonts w:hint="eastAsia" w:ascii="宋体" w:hAnsi="宋体"/>
                <w:color w:val="auto"/>
                <w:szCs w:val="21"/>
              </w:rPr>
              <w:t>符合投标须知前附表规定。</w:t>
            </w:r>
          </w:p>
        </w:tc>
      </w:tr>
      <w:tr w14:paraId="5C54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84" w:type="dxa"/>
            <w:vMerge w:val="continue"/>
            <w:vAlign w:val="center"/>
          </w:tcPr>
          <w:p w14:paraId="7BA84D92">
            <w:pPr>
              <w:widowControl/>
              <w:adjustRightInd w:val="0"/>
              <w:snapToGrid w:val="0"/>
              <w:spacing w:line="520" w:lineRule="exact"/>
              <w:jc w:val="left"/>
              <w:rPr>
                <w:rFonts w:ascii="宋体" w:hAnsi="宋体"/>
                <w:color w:val="auto"/>
                <w:szCs w:val="21"/>
              </w:rPr>
            </w:pPr>
          </w:p>
        </w:tc>
        <w:tc>
          <w:tcPr>
            <w:tcW w:w="776" w:type="dxa"/>
            <w:vMerge w:val="continue"/>
            <w:vAlign w:val="center"/>
          </w:tcPr>
          <w:p w14:paraId="0C1D1EBD">
            <w:pPr>
              <w:widowControl/>
              <w:adjustRightInd w:val="0"/>
              <w:snapToGrid w:val="0"/>
              <w:spacing w:line="520" w:lineRule="exact"/>
              <w:jc w:val="left"/>
              <w:rPr>
                <w:rFonts w:ascii="宋体" w:hAnsi="宋体"/>
                <w:color w:val="auto"/>
                <w:szCs w:val="21"/>
              </w:rPr>
            </w:pPr>
          </w:p>
        </w:tc>
        <w:tc>
          <w:tcPr>
            <w:tcW w:w="2835" w:type="dxa"/>
            <w:gridSpan w:val="2"/>
            <w:vAlign w:val="center"/>
          </w:tcPr>
          <w:p w14:paraId="3B3E7C2A">
            <w:pPr>
              <w:adjustRightInd w:val="0"/>
              <w:snapToGrid w:val="0"/>
              <w:spacing w:line="520" w:lineRule="exact"/>
              <w:rPr>
                <w:rFonts w:ascii="宋体" w:hAnsi="宋体"/>
                <w:color w:val="auto"/>
                <w:szCs w:val="21"/>
              </w:rPr>
            </w:pPr>
            <w:r>
              <w:rPr>
                <w:rFonts w:hint="eastAsia" w:ascii="宋体" w:hAnsi="宋体"/>
                <w:color w:val="auto"/>
                <w:szCs w:val="21"/>
              </w:rPr>
              <w:t>工程质量</w:t>
            </w:r>
          </w:p>
        </w:tc>
        <w:tc>
          <w:tcPr>
            <w:tcW w:w="5794" w:type="dxa"/>
            <w:vAlign w:val="center"/>
          </w:tcPr>
          <w:p w14:paraId="294CFDA5">
            <w:pPr>
              <w:adjustRightInd w:val="0"/>
              <w:snapToGrid w:val="0"/>
              <w:spacing w:line="520" w:lineRule="exact"/>
              <w:rPr>
                <w:rFonts w:ascii="宋体" w:hAnsi="宋体"/>
                <w:color w:val="auto"/>
                <w:szCs w:val="21"/>
              </w:rPr>
            </w:pPr>
            <w:r>
              <w:rPr>
                <w:rFonts w:hint="eastAsia" w:ascii="宋体" w:hAnsi="宋体"/>
                <w:color w:val="auto"/>
                <w:szCs w:val="21"/>
              </w:rPr>
              <w:t>符合投标须知前附表规定。</w:t>
            </w:r>
          </w:p>
        </w:tc>
      </w:tr>
      <w:tr w14:paraId="0C92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84" w:type="dxa"/>
            <w:vMerge w:val="continue"/>
            <w:vAlign w:val="center"/>
          </w:tcPr>
          <w:p w14:paraId="2503C9F4">
            <w:pPr>
              <w:widowControl/>
              <w:adjustRightInd w:val="0"/>
              <w:snapToGrid w:val="0"/>
              <w:spacing w:line="520" w:lineRule="exact"/>
              <w:jc w:val="left"/>
              <w:rPr>
                <w:rFonts w:ascii="宋体" w:hAnsi="宋体"/>
                <w:color w:val="auto"/>
                <w:szCs w:val="21"/>
              </w:rPr>
            </w:pPr>
          </w:p>
        </w:tc>
        <w:tc>
          <w:tcPr>
            <w:tcW w:w="776" w:type="dxa"/>
            <w:vMerge w:val="continue"/>
            <w:vAlign w:val="center"/>
          </w:tcPr>
          <w:p w14:paraId="52DB3327">
            <w:pPr>
              <w:widowControl/>
              <w:adjustRightInd w:val="0"/>
              <w:snapToGrid w:val="0"/>
              <w:spacing w:line="520" w:lineRule="exact"/>
              <w:jc w:val="left"/>
              <w:rPr>
                <w:rFonts w:ascii="宋体" w:hAnsi="宋体"/>
                <w:color w:val="auto"/>
                <w:szCs w:val="21"/>
              </w:rPr>
            </w:pPr>
          </w:p>
        </w:tc>
        <w:tc>
          <w:tcPr>
            <w:tcW w:w="2835" w:type="dxa"/>
            <w:gridSpan w:val="2"/>
            <w:vAlign w:val="center"/>
          </w:tcPr>
          <w:p w14:paraId="2AF6AF2C">
            <w:pPr>
              <w:adjustRightInd w:val="0"/>
              <w:snapToGrid w:val="0"/>
              <w:spacing w:line="520" w:lineRule="exact"/>
              <w:rPr>
                <w:rFonts w:ascii="宋体" w:hAnsi="宋体"/>
                <w:color w:val="auto"/>
                <w:szCs w:val="21"/>
              </w:rPr>
            </w:pPr>
            <w:r>
              <w:rPr>
                <w:rFonts w:hint="eastAsia" w:ascii="宋体" w:hAnsi="宋体"/>
                <w:color w:val="auto"/>
                <w:szCs w:val="21"/>
              </w:rPr>
              <w:t>投标有效期</w:t>
            </w:r>
          </w:p>
        </w:tc>
        <w:tc>
          <w:tcPr>
            <w:tcW w:w="5794" w:type="dxa"/>
            <w:vAlign w:val="center"/>
          </w:tcPr>
          <w:p w14:paraId="128FC783">
            <w:pPr>
              <w:adjustRightInd w:val="0"/>
              <w:snapToGrid w:val="0"/>
              <w:spacing w:line="520" w:lineRule="exact"/>
              <w:rPr>
                <w:rFonts w:ascii="宋体" w:hAnsi="宋体"/>
                <w:color w:val="auto"/>
                <w:szCs w:val="21"/>
              </w:rPr>
            </w:pPr>
            <w:r>
              <w:rPr>
                <w:rFonts w:hint="eastAsia" w:ascii="宋体" w:hAnsi="宋体"/>
                <w:color w:val="auto"/>
                <w:szCs w:val="21"/>
              </w:rPr>
              <w:t>符合投标须知前附表规定。</w:t>
            </w:r>
          </w:p>
        </w:tc>
      </w:tr>
      <w:tr w14:paraId="240B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84" w:type="dxa"/>
            <w:vMerge w:val="continue"/>
            <w:vAlign w:val="center"/>
          </w:tcPr>
          <w:p w14:paraId="78C299F6">
            <w:pPr>
              <w:widowControl/>
              <w:adjustRightInd w:val="0"/>
              <w:snapToGrid w:val="0"/>
              <w:spacing w:line="520" w:lineRule="exact"/>
              <w:jc w:val="left"/>
              <w:rPr>
                <w:rFonts w:ascii="宋体" w:hAnsi="宋体"/>
                <w:color w:val="auto"/>
                <w:szCs w:val="21"/>
              </w:rPr>
            </w:pPr>
          </w:p>
        </w:tc>
        <w:tc>
          <w:tcPr>
            <w:tcW w:w="776" w:type="dxa"/>
            <w:vMerge w:val="continue"/>
            <w:vAlign w:val="center"/>
          </w:tcPr>
          <w:p w14:paraId="1A724222">
            <w:pPr>
              <w:widowControl/>
              <w:adjustRightInd w:val="0"/>
              <w:snapToGrid w:val="0"/>
              <w:spacing w:line="520" w:lineRule="exact"/>
              <w:jc w:val="left"/>
              <w:rPr>
                <w:rFonts w:ascii="宋体" w:hAnsi="宋体"/>
                <w:color w:val="auto"/>
                <w:szCs w:val="21"/>
              </w:rPr>
            </w:pPr>
          </w:p>
        </w:tc>
        <w:tc>
          <w:tcPr>
            <w:tcW w:w="2835" w:type="dxa"/>
            <w:gridSpan w:val="2"/>
            <w:vAlign w:val="center"/>
          </w:tcPr>
          <w:p w14:paraId="2DA48169">
            <w:pPr>
              <w:adjustRightInd w:val="0"/>
              <w:snapToGrid w:val="0"/>
              <w:spacing w:line="560" w:lineRule="exact"/>
              <w:rPr>
                <w:rFonts w:ascii="宋体" w:hAnsi="宋体"/>
                <w:color w:val="auto"/>
                <w:szCs w:val="21"/>
              </w:rPr>
            </w:pPr>
            <w:r>
              <w:rPr>
                <w:rFonts w:hint="eastAsia" w:ascii="宋体" w:hAnsi="宋体"/>
                <w:color w:val="auto"/>
                <w:szCs w:val="21"/>
              </w:rPr>
              <w:t>工程成本评审</w:t>
            </w:r>
          </w:p>
        </w:tc>
        <w:tc>
          <w:tcPr>
            <w:tcW w:w="5794" w:type="dxa"/>
            <w:vAlign w:val="center"/>
          </w:tcPr>
          <w:p w14:paraId="3704BFED">
            <w:pPr>
              <w:adjustRightInd w:val="0"/>
              <w:snapToGrid w:val="0"/>
              <w:spacing w:line="560" w:lineRule="exact"/>
              <w:rPr>
                <w:rFonts w:ascii="宋体" w:hAnsi="宋体"/>
                <w:color w:val="auto"/>
                <w:spacing w:val="-6"/>
                <w:szCs w:val="21"/>
              </w:rPr>
            </w:pPr>
            <w:r>
              <w:rPr>
                <w:rFonts w:hint="eastAsia" w:ascii="宋体" w:hAnsi="宋体"/>
                <w:color w:val="auto"/>
                <w:szCs w:val="21"/>
              </w:rPr>
              <w:t>投标报价（1-下浮率）低于本项目通过资信、技术评审且商务标初步评审合格有效投标报价（1-下浮率）平均值10%以上的，由评标委员会重点评审后界定其报价是否低于工程成本。</w:t>
            </w:r>
          </w:p>
        </w:tc>
      </w:tr>
      <w:tr w14:paraId="2924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4" w:type="dxa"/>
            <w:vAlign w:val="center"/>
          </w:tcPr>
          <w:p w14:paraId="3F95F16C">
            <w:pPr>
              <w:widowControl/>
              <w:adjustRightInd w:val="0"/>
              <w:snapToGrid w:val="0"/>
              <w:spacing w:line="520" w:lineRule="exact"/>
              <w:jc w:val="left"/>
              <w:rPr>
                <w:rFonts w:ascii="宋体" w:hAnsi="宋体"/>
                <w:color w:val="auto"/>
                <w:szCs w:val="21"/>
                <w:highlight w:val="none"/>
              </w:rPr>
            </w:pPr>
            <w:r>
              <w:rPr>
                <w:rFonts w:hint="eastAsia" w:ascii="宋体" w:hAnsi="宋体"/>
                <w:color w:val="auto"/>
                <w:szCs w:val="21"/>
                <w:highlight w:val="none"/>
              </w:rPr>
              <w:t>7.1</w:t>
            </w:r>
          </w:p>
        </w:tc>
        <w:tc>
          <w:tcPr>
            <w:tcW w:w="1321" w:type="dxa"/>
            <w:gridSpan w:val="2"/>
            <w:vAlign w:val="center"/>
          </w:tcPr>
          <w:p w14:paraId="6570F090">
            <w:pPr>
              <w:widowControl/>
              <w:adjustRightInd w:val="0"/>
              <w:snapToGrid w:val="0"/>
              <w:spacing w:line="520" w:lineRule="exact"/>
              <w:jc w:val="left"/>
              <w:rPr>
                <w:rFonts w:ascii="宋体" w:hAnsi="宋体"/>
                <w:color w:val="auto"/>
                <w:szCs w:val="21"/>
                <w:highlight w:val="none"/>
              </w:rPr>
            </w:pPr>
            <w:r>
              <w:rPr>
                <w:rFonts w:hint="eastAsia" w:ascii="宋体" w:hAnsi="宋体"/>
                <w:color w:val="auto"/>
                <w:szCs w:val="21"/>
                <w:highlight w:val="none"/>
              </w:rPr>
              <w:t>报价分值</w:t>
            </w:r>
            <w:r>
              <w:rPr>
                <w:rFonts w:ascii="宋体" w:hAnsi="宋体"/>
                <w:color w:val="auto"/>
                <w:szCs w:val="21"/>
                <w:highlight w:val="none"/>
              </w:rPr>
              <w:t>（</w:t>
            </w:r>
            <w:r>
              <w:rPr>
                <w:rFonts w:hint="eastAsia" w:ascii="宋体" w:hAnsi="宋体"/>
                <w:color w:val="auto"/>
                <w:szCs w:val="21"/>
                <w:highlight w:val="none"/>
              </w:rPr>
              <w:t>30</w:t>
            </w:r>
            <w:r>
              <w:rPr>
                <w:rFonts w:ascii="宋体" w:hAnsi="宋体"/>
                <w:color w:val="auto"/>
                <w:szCs w:val="21"/>
                <w:highlight w:val="none"/>
              </w:rPr>
              <w:t>分）</w:t>
            </w:r>
          </w:p>
        </w:tc>
        <w:tc>
          <w:tcPr>
            <w:tcW w:w="8084" w:type="dxa"/>
            <w:gridSpan w:val="2"/>
            <w:vAlign w:val="center"/>
          </w:tcPr>
          <w:p w14:paraId="0C4184FC">
            <w:pPr>
              <w:adjustRightInd w:val="0"/>
              <w:snapToGrid w:val="0"/>
              <w:spacing w:line="520" w:lineRule="exact"/>
              <w:rPr>
                <w:rFonts w:ascii="宋体" w:hAnsi="宋体"/>
                <w:color w:val="auto"/>
                <w:szCs w:val="21"/>
                <w:highlight w:val="none"/>
              </w:rPr>
            </w:pPr>
            <w:r>
              <w:rPr>
                <w:rFonts w:hint="eastAsia" w:ascii="宋体" w:hAnsi="宋体"/>
                <w:color w:val="auto"/>
                <w:szCs w:val="21"/>
                <w:highlight w:val="none"/>
              </w:rPr>
              <w:t>商务标评分按下列步骤计算：</w:t>
            </w:r>
          </w:p>
          <w:p w14:paraId="79D6AF6C">
            <w:pPr>
              <w:adjustRightInd w:val="0"/>
              <w:snapToGrid w:val="0"/>
              <w:spacing w:line="520" w:lineRule="exact"/>
              <w:rPr>
                <w:rFonts w:ascii="宋体" w:hAnsi="宋体"/>
                <w:color w:val="auto"/>
                <w:szCs w:val="21"/>
                <w:highlight w:val="none"/>
              </w:rPr>
            </w:pPr>
            <w:r>
              <w:rPr>
                <w:rFonts w:hint="eastAsia" w:ascii="宋体" w:hAnsi="宋体"/>
                <w:color w:val="auto"/>
                <w:szCs w:val="21"/>
                <w:highlight w:val="none"/>
              </w:rPr>
              <w:t>第一步：计算B值。</w:t>
            </w:r>
          </w:p>
          <w:p w14:paraId="2AE30EEB">
            <w:pPr>
              <w:adjustRightInd w:val="0"/>
              <w:snapToGrid w:val="0"/>
              <w:spacing w:line="520" w:lineRule="exact"/>
              <w:rPr>
                <w:rFonts w:ascii="宋体" w:hAnsi="宋体"/>
                <w:color w:val="auto"/>
                <w:szCs w:val="21"/>
                <w:highlight w:val="none"/>
              </w:rPr>
            </w:pPr>
            <w:r>
              <w:rPr>
                <w:rFonts w:hint="eastAsia" w:ascii="宋体" w:hAnsi="宋体"/>
                <w:color w:val="auto"/>
                <w:szCs w:val="21"/>
                <w:highlight w:val="none"/>
              </w:rPr>
              <w:t>①B值为计算范围内有效投标人报价的算术平均值。</w:t>
            </w:r>
          </w:p>
          <w:p w14:paraId="6CA7AF21">
            <w:pPr>
              <w:adjustRightInd w:val="0"/>
              <w:snapToGrid w:val="0"/>
              <w:spacing w:line="520" w:lineRule="exact"/>
              <w:rPr>
                <w:rFonts w:ascii="宋体" w:hAnsi="宋体"/>
                <w:color w:val="auto"/>
                <w:szCs w:val="21"/>
                <w:highlight w:val="none"/>
              </w:rPr>
            </w:pPr>
            <w:r>
              <w:rPr>
                <w:rFonts w:hint="eastAsia" w:ascii="宋体" w:hAnsi="宋体"/>
                <w:color w:val="auto"/>
                <w:szCs w:val="21"/>
                <w:highlight w:val="none"/>
              </w:rPr>
              <w:t>第二步：计算评标基准价F值。</w:t>
            </w:r>
          </w:p>
          <w:p w14:paraId="38944BBE">
            <w:pPr>
              <w:adjustRightInd w:val="0"/>
              <w:snapToGrid w:val="0"/>
              <w:spacing w:line="520" w:lineRule="exact"/>
              <w:rPr>
                <w:rFonts w:ascii="宋体" w:hAnsi="宋体"/>
                <w:color w:val="auto"/>
                <w:szCs w:val="21"/>
                <w:highlight w:val="none"/>
              </w:rPr>
            </w:pPr>
            <w:r>
              <w:rPr>
                <w:rFonts w:hint="eastAsia" w:ascii="宋体" w:hAnsi="宋体"/>
                <w:color w:val="auto"/>
                <w:szCs w:val="21"/>
                <w:highlight w:val="none"/>
              </w:rPr>
              <w:t>①F=1-B-K，其中K为调整系数，K的取值为-0.5%（1号），0%（2号），0.5%（3号），1.0%（4号），1.5%（5号）。</w:t>
            </w:r>
          </w:p>
          <w:p w14:paraId="400163BF">
            <w:pPr>
              <w:adjustRightInd w:val="0"/>
              <w:snapToGrid w:val="0"/>
              <w:spacing w:line="520" w:lineRule="exact"/>
              <w:rPr>
                <w:rFonts w:ascii="宋体" w:hAnsi="宋体"/>
                <w:color w:val="auto"/>
                <w:szCs w:val="21"/>
                <w:highlight w:val="none"/>
              </w:rPr>
            </w:pPr>
            <w:r>
              <w:rPr>
                <w:rFonts w:hint="eastAsia" w:ascii="宋体" w:hAnsi="宋体"/>
                <w:color w:val="auto"/>
                <w:szCs w:val="21"/>
                <w:highlight w:val="none"/>
              </w:rPr>
              <w:t>第三步：计算差额。</w:t>
            </w:r>
          </w:p>
          <w:p w14:paraId="7612F811">
            <w:pPr>
              <w:adjustRightInd w:val="0"/>
              <w:snapToGrid w:val="0"/>
              <w:spacing w:line="520" w:lineRule="exact"/>
              <w:rPr>
                <w:rFonts w:ascii="宋体" w:hAnsi="宋体"/>
                <w:color w:val="auto"/>
                <w:szCs w:val="21"/>
                <w:highlight w:val="none"/>
              </w:rPr>
            </w:pPr>
            <w:r>
              <w:rPr>
                <w:rFonts w:hint="eastAsia" w:ascii="宋体" w:hAnsi="宋体"/>
                <w:color w:val="auto"/>
                <w:szCs w:val="21"/>
                <w:highlight w:val="none"/>
              </w:rPr>
              <w:t>①差额=∣（1-投标报价）-F∣</w:t>
            </w:r>
          </w:p>
          <w:p w14:paraId="62B56C2D">
            <w:pPr>
              <w:adjustRightInd w:val="0"/>
              <w:snapToGrid w:val="0"/>
              <w:spacing w:line="520" w:lineRule="exact"/>
              <w:rPr>
                <w:rFonts w:ascii="宋体" w:hAnsi="宋体"/>
                <w:color w:val="auto"/>
                <w:szCs w:val="21"/>
                <w:highlight w:val="none"/>
              </w:rPr>
            </w:pPr>
            <w:r>
              <w:rPr>
                <w:rFonts w:hint="eastAsia" w:ascii="宋体" w:hAnsi="宋体"/>
                <w:color w:val="auto"/>
                <w:szCs w:val="21"/>
                <w:highlight w:val="none"/>
              </w:rPr>
              <w:t>第四步：计算报价得分</w:t>
            </w:r>
          </w:p>
          <w:p w14:paraId="0A47650E">
            <w:pPr>
              <w:adjustRightInd w:val="0"/>
              <w:snapToGrid w:val="0"/>
              <w:spacing w:line="520" w:lineRule="exact"/>
              <w:rPr>
                <w:rFonts w:ascii="宋体" w:hAnsi="宋体"/>
                <w:b/>
                <w:bCs/>
                <w:color w:val="auto"/>
                <w:szCs w:val="21"/>
                <w:highlight w:val="none"/>
              </w:rPr>
            </w:pPr>
            <w:r>
              <w:rPr>
                <w:rFonts w:hint="eastAsia" w:ascii="宋体" w:hAnsi="宋体"/>
                <w:b/>
                <w:bCs/>
                <w:color w:val="auto"/>
                <w:szCs w:val="21"/>
                <w:highlight w:val="none"/>
              </w:rPr>
              <w:t>①（1-投标报价）等于评标基准价的得满分。</w:t>
            </w:r>
          </w:p>
          <w:p w14:paraId="0EB8617D">
            <w:pPr>
              <w:adjustRightInd w:val="0"/>
              <w:snapToGrid w:val="0"/>
              <w:spacing w:line="520" w:lineRule="exact"/>
              <w:rPr>
                <w:rFonts w:ascii="宋体" w:hAnsi="宋体"/>
                <w:b/>
                <w:bCs/>
                <w:color w:val="auto"/>
                <w:szCs w:val="21"/>
                <w:highlight w:val="none"/>
              </w:rPr>
            </w:pPr>
            <w:r>
              <w:rPr>
                <w:rFonts w:hint="eastAsia" w:ascii="宋体" w:hAnsi="宋体"/>
                <w:b/>
                <w:bCs/>
                <w:color w:val="auto"/>
                <w:szCs w:val="21"/>
                <w:highlight w:val="none"/>
              </w:rPr>
              <w:t>②（1-投标报价）高于评标基准价的，投标报价得分=报价满分值-差额×100×1</w:t>
            </w:r>
          </w:p>
          <w:p w14:paraId="109FA2BE">
            <w:pPr>
              <w:adjustRightInd w:val="0"/>
              <w:snapToGrid w:val="0"/>
              <w:spacing w:line="520" w:lineRule="exact"/>
              <w:rPr>
                <w:rFonts w:ascii="宋体" w:hAnsi="宋体"/>
                <w:b/>
                <w:bCs/>
                <w:color w:val="auto"/>
                <w:szCs w:val="21"/>
                <w:highlight w:val="none"/>
              </w:rPr>
            </w:pPr>
            <w:r>
              <w:rPr>
                <w:rFonts w:hint="eastAsia" w:ascii="宋体" w:hAnsi="宋体"/>
                <w:b/>
                <w:bCs/>
                <w:color w:val="auto"/>
                <w:szCs w:val="21"/>
                <w:highlight w:val="none"/>
              </w:rPr>
              <w:t>③（1-投标报价）低于评标基准价的，投标报价得分=报价满分值-差额×100×0.5注：注：计算过程中，B值、评标基准价F值、差额在%前保留两位小数，小数点后第三位四舍五入。报价得分保留两位小数，小数点后第三位四舍五入。</w:t>
            </w:r>
          </w:p>
          <w:p w14:paraId="503BCD3C">
            <w:pPr>
              <w:adjustRightInd w:val="0"/>
              <w:snapToGrid w:val="0"/>
              <w:spacing w:line="520" w:lineRule="exact"/>
              <w:rPr>
                <w:rFonts w:ascii="宋体" w:hAnsi="宋体"/>
                <w:color w:val="auto"/>
                <w:szCs w:val="21"/>
                <w:highlight w:val="none"/>
              </w:rPr>
            </w:pPr>
            <w:r>
              <w:rPr>
                <w:rFonts w:hint="eastAsia" w:ascii="宋体" w:hAnsi="宋体"/>
                <w:b/>
                <w:bCs/>
                <w:color w:val="auto"/>
                <w:szCs w:val="21"/>
                <w:highlight w:val="none"/>
              </w:rPr>
              <w:t>商务标评分计算示例如下：假设上述B值为9.20%, K值 为1. 0%,则F=l-9. 20%-l. 0%=89. 80%;某投标人的投标报价下浮率为10. 01%,则与F的差额=1-10. 01%-89. 80%=0. 19%,则该投标人的商务得分=（满分值-0.19x1）分。。</w:t>
            </w:r>
          </w:p>
        </w:tc>
      </w:tr>
      <w:tr w14:paraId="02B1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4" w:type="dxa"/>
            <w:vAlign w:val="center"/>
          </w:tcPr>
          <w:p w14:paraId="61DD5479">
            <w:pPr>
              <w:widowControl/>
              <w:adjustRightInd w:val="0"/>
              <w:snapToGrid w:val="0"/>
              <w:spacing w:line="520" w:lineRule="exact"/>
              <w:jc w:val="left"/>
              <w:rPr>
                <w:rFonts w:ascii="宋体" w:hAnsi="宋体"/>
                <w:color w:val="auto"/>
                <w:szCs w:val="21"/>
                <w:highlight w:val="none"/>
              </w:rPr>
            </w:pPr>
            <w:r>
              <w:rPr>
                <w:rFonts w:hint="eastAsia" w:ascii="宋体" w:hAnsi="宋体"/>
                <w:color w:val="auto"/>
                <w:szCs w:val="21"/>
                <w:highlight w:val="none"/>
              </w:rPr>
              <w:t>7.2</w:t>
            </w:r>
          </w:p>
        </w:tc>
        <w:tc>
          <w:tcPr>
            <w:tcW w:w="1321" w:type="dxa"/>
            <w:gridSpan w:val="2"/>
            <w:vAlign w:val="center"/>
          </w:tcPr>
          <w:p w14:paraId="07722319">
            <w:pPr>
              <w:pStyle w:val="47"/>
              <w:spacing w:before="177" w:line="439" w:lineRule="exact"/>
              <w:rPr>
                <w:color w:val="auto"/>
                <w:highlight w:val="none"/>
                <w:lang w:eastAsia="zh-CN"/>
              </w:rPr>
            </w:pPr>
            <w:r>
              <w:rPr>
                <w:rFonts w:hint="eastAsia"/>
                <w:color w:val="auto"/>
                <w:highlight w:val="none"/>
                <w:lang w:eastAsia="zh-CN"/>
              </w:rPr>
              <w:t>投标设备技术性能指标的响应程度（</w:t>
            </w:r>
            <w:r>
              <w:rPr>
                <w:color w:val="auto"/>
                <w:highlight w:val="none"/>
                <w:lang w:eastAsia="zh-CN"/>
              </w:rPr>
              <w:t>5</w:t>
            </w:r>
            <w:r>
              <w:rPr>
                <w:rFonts w:hint="eastAsia"/>
                <w:color w:val="auto"/>
                <w:highlight w:val="none"/>
                <w:lang w:eastAsia="zh-CN"/>
              </w:rPr>
              <w:t>分）</w:t>
            </w:r>
          </w:p>
        </w:tc>
        <w:tc>
          <w:tcPr>
            <w:tcW w:w="8084" w:type="dxa"/>
            <w:gridSpan w:val="2"/>
            <w:vAlign w:val="center"/>
          </w:tcPr>
          <w:p w14:paraId="4EE3B502">
            <w:pPr>
              <w:adjustRightInd w:val="0"/>
              <w:snapToGrid w:val="0"/>
              <w:spacing w:line="520" w:lineRule="exact"/>
              <w:rPr>
                <w:rFonts w:ascii="宋体" w:hAnsi="宋体" w:cs="宋体"/>
                <w:color w:val="auto"/>
                <w:szCs w:val="21"/>
                <w:highlight w:val="none"/>
              </w:rPr>
            </w:pPr>
            <w:r>
              <w:rPr>
                <w:rFonts w:hint="eastAsia" w:ascii="宋体" w:hAnsi="宋体"/>
                <w:color w:val="auto"/>
                <w:szCs w:val="21"/>
                <w:highlight w:val="none"/>
              </w:rPr>
              <w:t>以投标人承诺为准（承诺书见“技术参数响应承诺书</w:t>
            </w:r>
            <w:r>
              <w:rPr>
                <w:rFonts w:ascii="宋体" w:hAnsi="宋体"/>
                <w:color w:val="auto"/>
                <w:szCs w:val="21"/>
                <w:highlight w:val="none"/>
              </w:rPr>
              <w:t xml:space="preserve"> </w:t>
            </w:r>
            <w:r>
              <w:rPr>
                <w:rFonts w:hint="eastAsia" w:ascii="宋体" w:hAnsi="宋体"/>
                <w:color w:val="auto"/>
                <w:szCs w:val="21"/>
                <w:highlight w:val="none"/>
              </w:rPr>
              <w:t>”）；承诺全部响应技术参数及服务要求的得</w:t>
            </w:r>
            <w:r>
              <w:rPr>
                <w:rFonts w:ascii="宋体" w:hAnsi="宋体"/>
                <w:color w:val="auto"/>
                <w:szCs w:val="21"/>
                <w:highlight w:val="none"/>
              </w:rPr>
              <w:t>5</w:t>
            </w:r>
            <w:r>
              <w:rPr>
                <w:rFonts w:hint="eastAsia" w:ascii="宋体" w:hAnsi="宋体"/>
                <w:color w:val="auto"/>
                <w:szCs w:val="21"/>
                <w:highlight w:val="none"/>
              </w:rPr>
              <w:t>分，每负偏离一项扣</w:t>
            </w:r>
            <w:r>
              <w:rPr>
                <w:rFonts w:ascii="宋体" w:hAnsi="宋体"/>
                <w:color w:val="auto"/>
                <w:szCs w:val="21"/>
                <w:highlight w:val="none"/>
              </w:rPr>
              <w:t>0.5</w:t>
            </w:r>
            <w:r>
              <w:rPr>
                <w:rFonts w:hint="eastAsia" w:ascii="宋体" w:hAnsi="宋体"/>
                <w:color w:val="auto"/>
                <w:szCs w:val="21"/>
                <w:highlight w:val="none"/>
              </w:rPr>
              <w:t>分；扣完为止。</w:t>
            </w:r>
          </w:p>
        </w:tc>
      </w:tr>
    </w:tbl>
    <w:p w14:paraId="35056A97">
      <w:pPr>
        <w:adjustRightInd w:val="0"/>
        <w:snapToGrid w:val="0"/>
        <w:spacing w:line="560" w:lineRule="exact"/>
        <w:ind w:firstLine="316" w:firstLineChars="150"/>
        <w:rPr>
          <w:rFonts w:ascii="黑体" w:hAnsi="黑体" w:eastAsia="黑体" w:cs="黑体"/>
          <w:b/>
          <w:bCs/>
          <w:color w:val="auto"/>
          <w:szCs w:val="21"/>
        </w:rPr>
      </w:pPr>
      <w:r>
        <w:rPr>
          <w:rFonts w:hint="eastAsia" w:ascii="黑体" w:hAnsi="黑体" w:eastAsia="黑体" w:cs="黑体"/>
          <w:b/>
          <w:color w:val="auto"/>
          <w:szCs w:val="21"/>
        </w:rPr>
        <w:t>商务标评审表注：</w:t>
      </w:r>
    </w:p>
    <w:p w14:paraId="61F88D37">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1.只有通过详细评审的投标人才能参加评分</w:t>
      </w:r>
    </w:p>
    <w:p w14:paraId="5018F50D">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2.本表所称投标报价是指按招标文件规定修正后的投标总报价（多算投标报价、多报费用不扣减），报价以元为单位，保留两位小数，小数点后第三位四舍五入。</w:t>
      </w:r>
    </w:p>
    <w:p w14:paraId="7C30DBFE">
      <w:pPr>
        <w:pStyle w:val="22"/>
        <w:spacing w:line="520" w:lineRule="exact"/>
        <w:ind w:left="0" w:leftChars="0"/>
        <w:rPr>
          <w:rFonts w:ascii="宋体" w:hAnsi="宋体" w:cs="宋体"/>
          <w:color w:val="auto"/>
          <w:szCs w:val="21"/>
        </w:rPr>
      </w:pPr>
      <w:r>
        <w:rPr>
          <w:rFonts w:hint="eastAsia" w:ascii="宋体" w:hAnsi="宋体" w:cs="宋体"/>
          <w:color w:val="auto"/>
          <w:szCs w:val="21"/>
        </w:rPr>
        <w:t>3.K值（评标基准价系数）的抽取：资信标、技术标、商务标详细评审完成后，由招标人在线抽取K值，并根据抽取的K值计算F值，评标办法中的评标基准价计算出来后，除数字计算错误外，其他情况均不再调整。</w:t>
      </w:r>
    </w:p>
    <w:p w14:paraId="72905827">
      <w:pPr>
        <w:widowControl/>
        <w:adjustRightInd w:val="0"/>
        <w:snapToGrid w:val="0"/>
        <w:spacing w:line="520" w:lineRule="exact"/>
        <w:ind w:firstLine="422" w:firstLineChars="200"/>
        <w:jc w:val="left"/>
        <w:rPr>
          <w:rFonts w:ascii="宋体" w:hAnsi="宋体" w:cs="宋体"/>
          <w:b/>
          <w:bCs/>
          <w:color w:val="auto"/>
          <w:szCs w:val="21"/>
        </w:rPr>
      </w:pPr>
      <w:r>
        <w:rPr>
          <w:rFonts w:hint="eastAsia" w:ascii="宋体" w:hAnsi="宋体" w:cs="宋体"/>
          <w:b/>
          <w:bCs/>
          <w:color w:val="auto"/>
          <w:szCs w:val="21"/>
          <w:lang w:val="en-US" w:eastAsia="zh-CN"/>
        </w:rPr>
        <w:t>4</w:t>
      </w:r>
      <w:r>
        <w:rPr>
          <w:rFonts w:ascii="宋体" w:hAnsi="宋体" w:cs="宋体"/>
          <w:b/>
          <w:bCs/>
          <w:color w:val="auto"/>
          <w:szCs w:val="21"/>
        </w:rPr>
        <w:t>.</w:t>
      </w:r>
      <w:r>
        <w:rPr>
          <w:rFonts w:hint="eastAsia" w:ascii="宋体" w:hAnsi="宋体" w:cs="宋体"/>
          <w:b/>
          <w:bCs/>
          <w:color w:val="auto"/>
          <w:szCs w:val="21"/>
        </w:rPr>
        <w:t>投标人（如投标人为联合体，联合体中施工企业需提供）注册建造师必须满足相应建筑业企业资质标准要求，评标委员会在评审时，将对此进行评审。投标单位（如投标人为联合体，联合体中施工企业需提供）应在商务标文件中提供全国建筑市场监管公共服务平台</w:t>
      </w:r>
      <w:r>
        <w:rPr>
          <w:rFonts w:ascii="宋体" w:hAnsi="宋体" w:cs="宋体"/>
          <w:b/>
          <w:bCs/>
          <w:color w:val="auto"/>
          <w:szCs w:val="21"/>
        </w:rPr>
        <w:t>(四库一平台)企业注册人员网页截图，未提供相关截图，按无效标处理。</w:t>
      </w:r>
    </w:p>
    <w:p w14:paraId="381D5202">
      <w:pPr>
        <w:pStyle w:val="3"/>
        <w:adjustRightInd w:val="0"/>
        <w:snapToGrid w:val="0"/>
        <w:spacing w:line="520" w:lineRule="exact"/>
        <w:ind w:firstLine="422" w:firstLineChars="200"/>
        <w:rPr>
          <w:rFonts w:ascii="黑体" w:hAnsi="黑体" w:cs="黑体"/>
          <w:color w:val="auto"/>
          <w:sz w:val="21"/>
          <w:szCs w:val="21"/>
        </w:rPr>
      </w:pPr>
      <w:bookmarkStart w:id="650" w:name="_Toc95223414"/>
      <w:r>
        <w:rPr>
          <w:rFonts w:hint="eastAsia" w:ascii="黑体" w:hAnsi="黑体" w:cs="黑体"/>
          <w:color w:val="auto"/>
          <w:sz w:val="21"/>
          <w:szCs w:val="21"/>
        </w:rPr>
        <w:t>1. 评标方法</w:t>
      </w:r>
      <w:bookmarkEnd w:id="650"/>
    </w:p>
    <w:p w14:paraId="6D0D19F8">
      <w:pPr>
        <w:spacing w:line="520" w:lineRule="exact"/>
        <w:ind w:firstLine="420" w:firstLineChars="200"/>
        <w:rPr>
          <w:rFonts w:ascii="宋体" w:hAnsi="宋体" w:cs="宋体"/>
          <w:color w:val="auto"/>
          <w:szCs w:val="21"/>
          <w:highlight w:val="yellow"/>
        </w:rPr>
      </w:pPr>
      <w:r>
        <w:rPr>
          <w:rFonts w:hint="eastAsia" w:ascii="宋体" w:hAnsi="宋体" w:cs="宋体"/>
          <w:color w:val="auto"/>
          <w:szCs w:val="21"/>
        </w:rPr>
        <w:t>本次评标采用综合评估法。评标委员会对满足招标文件实质性要求的</w:t>
      </w:r>
      <w:bookmarkStart w:id="651" w:name="_Toc60061511"/>
      <w:r>
        <w:rPr>
          <w:rFonts w:hint="eastAsia" w:ascii="宋体" w:hAnsi="宋体" w:cs="宋体"/>
          <w:color w:val="auto"/>
          <w:szCs w:val="21"/>
        </w:rPr>
        <w:t>投标文件，按照</w:t>
      </w:r>
      <w:bookmarkEnd w:id="651"/>
      <w:r>
        <w:rPr>
          <w:rFonts w:hint="eastAsia" w:ascii="宋体" w:hAnsi="宋体" w:cs="宋体"/>
          <w:color w:val="auto"/>
          <w:szCs w:val="21"/>
        </w:rPr>
        <w:t>本章规定的评分标准进行打分，并按总得分由高到低顺序推荐3名中标候选人，并标明排序，但投标报价低于其成本的除外。如总得分相等，以投标报价低（下浮率数值大）的优先，投标报价（下浮率）仍相等，由评标委员会主任委员或招标人随机抽取确定排名。</w:t>
      </w:r>
    </w:p>
    <w:p w14:paraId="0B2BA785">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1）根据评标委员会评审初步结论，项目单位（代理机构）对预中标候选人、法定代表人及其项目经理（建造师）是否存在招标文件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78980BAA">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（2）评标委员会登录安徽省住建厅网址</w:t>
      </w:r>
      <w:r>
        <w:rPr>
          <w:rFonts w:ascii="宋体" w:hAnsi="宋体" w:cs="宋体"/>
          <w:color w:val="auto"/>
          <w:szCs w:val="21"/>
        </w:rPr>
        <w:t>http://dohurd.ah.gov.cn/site/tpl/9311</w:t>
      </w:r>
      <w:r>
        <w:rPr>
          <w:rFonts w:hint="eastAsia" w:ascii="宋体" w:hAnsi="宋体" w:cs="宋体"/>
          <w:color w:val="auto"/>
          <w:szCs w:val="21"/>
        </w:rPr>
        <w:t>或全国建筑市场监管公共服务平台 ( 四库-平台)https://jzsc.mohurd.gov.cn/home 进行实时查询，并结合《住房城乡建设部关于进一步加强建设工程企业资质审批管理工作的通知》（建市规〔2023〕3 号）、《住房和城乡建设部办公厅关于建设工程企业资质有关事项的通知》（建办市函〔2022〕361 号）和安徽省住建厅《关于建设工程企业资质有关事宜的通知》（建市函〔2022〕748 号），对中标候选人的关系企业履约能力的建造师数量进行评审：</w:t>
      </w:r>
    </w:p>
    <w:p w14:paraId="4F3378BB">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①机电工程施工总壹级资质企业：机电工程、建筑工程专业一级注册建造师合计不少于 12人，其中机电工程专业一级注册建造师不少于9人。</w:t>
      </w:r>
    </w:p>
    <w:p w14:paraId="3E2C1FA1">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②机电工程施工总贰级资质企业：机电工程、建筑工程专业注册建造师合计不少于 5人。</w:t>
      </w:r>
    </w:p>
    <w:p w14:paraId="3CFC0FE7">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③机电工程施工总叁级资质企业：机电工程、建筑工程专业注册建造师合计不少于 5人。</w:t>
      </w:r>
    </w:p>
    <w:p w14:paraId="4A5D8950">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中标候选人的注册建造师不满足上述要求的，评标委员会对该投标不予认可，并将该情形报送相关行政主管部门。中标候选人依次替补，评标委员会再次对替补单位进行核查。</w:t>
      </w:r>
    </w:p>
    <w:p w14:paraId="31C64CD1">
      <w:pPr>
        <w:pStyle w:val="3"/>
        <w:adjustRightInd w:val="0"/>
        <w:snapToGrid w:val="0"/>
        <w:spacing w:line="520" w:lineRule="exact"/>
        <w:ind w:firstLine="422" w:firstLineChars="200"/>
        <w:rPr>
          <w:rFonts w:ascii="黑体" w:hAnsi="黑体" w:cs="黑体"/>
          <w:color w:val="auto"/>
          <w:sz w:val="21"/>
          <w:szCs w:val="21"/>
        </w:rPr>
      </w:pPr>
      <w:bookmarkStart w:id="652" w:name="_Toc95223415"/>
      <w:r>
        <w:rPr>
          <w:rFonts w:hint="eastAsia" w:ascii="黑体" w:hAnsi="黑体" w:cs="黑体"/>
          <w:color w:val="auto"/>
          <w:sz w:val="21"/>
          <w:szCs w:val="21"/>
        </w:rPr>
        <w:t>2.评标委员会的职责</w:t>
      </w:r>
      <w:bookmarkEnd w:id="652"/>
    </w:p>
    <w:p w14:paraId="1B70C1B8">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评标委员会应当根据本评标办法，应进行系统地评审和比较，</w:t>
      </w:r>
      <w:bookmarkStart w:id="653" w:name="_Toc60061512"/>
      <w:r>
        <w:rPr>
          <w:rFonts w:hint="eastAsia" w:ascii="宋体" w:hAnsi="宋体" w:cs="宋体"/>
          <w:color w:val="auto"/>
          <w:szCs w:val="21"/>
        </w:rPr>
        <w:t>向招标人推荐中标候选</w:t>
      </w:r>
      <w:bookmarkEnd w:id="653"/>
      <w:r>
        <w:rPr>
          <w:rFonts w:hint="eastAsia" w:ascii="宋体" w:hAnsi="宋体" w:cs="宋体"/>
          <w:color w:val="auto"/>
          <w:szCs w:val="21"/>
        </w:rPr>
        <w:t>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1D3D559">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评标委员会应加强对报价合理性审查。</w:t>
      </w:r>
      <w:bookmarkStart w:id="654" w:name="_Toc95223416"/>
      <w:r>
        <w:rPr>
          <w:rFonts w:hint="eastAsia" w:ascii="宋体" w:hAnsi="宋体" w:cs="宋体"/>
          <w:color w:val="auto"/>
          <w:szCs w:val="21"/>
        </w:rPr>
        <w:t>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5FF2E22D">
      <w:pPr>
        <w:pStyle w:val="3"/>
        <w:adjustRightInd w:val="0"/>
        <w:snapToGrid w:val="0"/>
        <w:spacing w:line="520" w:lineRule="exact"/>
        <w:ind w:firstLine="422" w:firstLineChars="200"/>
        <w:rPr>
          <w:rFonts w:ascii="黑体" w:hAnsi="黑体" w:cs="黑体"/>
          <w:color w:val="auto"/>
          <w:sz w:val="21"/>
          <w:szCs w:val="21"/>
        </w:rPr>
      </w:pPr>
      <w:r>
        <w:rPr>
          <w:rFonts w:hint="eastAsia" w:ascii="黑体" w:hAnsi="黑体" w:cs="黑体"/>
          <w:color w:val="auto"/>
          <w:sz w:val="21"/>
          <w:szCs w:val="21"/>
        </w:rPr>
        <w:t>3.评标程序</w:t>
      </w:r>
      <w:bookmarkEnd w:id="654"/>
    </w:p>
    <w:p w14:paraId="13608E9D">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评标先做准备工作，再进行资信证明文件、技术标和商务标评</w:t>
      </w:r>
      <w:bookmarkStart w:id="655" w:name="_Toc60061513"/>
      <w:r>
        <w:rPr>
          <w:rFonts w:hint="eastAsia" w:ascii="宋体" w:hAnsi="宋体"/>
          <w:color w:val="auto"/>
          <w:szCs w:val="21"/>
        </w:rPr>
        <w:t>审。</w:t>
      </w:r>
    </w:p>
    <w:p w14:paraId="75C81C79">
      <w:pPr>
        <w:pStyle w:val="3"/>
        <w:adjustRightInd w:val="0"/>
        <w:snapToGrid w:val="0"/>
        <w:spacing w:line="520" w:lineRule="exact"/>
        <w:ind w:firstLine="422" w:firstLineChars="200"/>
        <w:rPr>
          <w:rFonts w:ascii="黑体" w:hAnsi="黑体" w:cs="黑体"/>
          <w:color w:val="auto"/>
          <w:sz w:val="21"/>
          <w:szCs w:val="21"/>
        </w:rPr>
      </w:pPr>
      <w:bookmarkStart w:id="656" w:name="_Toc95223417"/>
      <w:r>
        <w:rPr>
          <w:rFonts w:hint="eastAsia" w:ascii="黑体" w:hAnsi="黑体" w:cs="黑体"/>
          <w:color w:val="auto"/>
          <w:sz w:val="21"/>
          <w:szCs w:val="21"/>
        </w:rPr>
        <w:t>3.1</w:t>
      </w:r>
      <w:bookmarkEnd w:id="655"/>
      <w:r>
        <w:rPr>
          <w:rFonts w:hint="eastAsia" w:ascii="黑体" w:hAnsi="黑体" w:cs="黑体"/>
          <w:color w:val="auto"/>
          <w:sz w:val="21"/>
          <w:szCs w:val="21"/>
        </w:rPr>
        <w:t>评标准备工作</w:t>
      </w:r>
      <w:bookmarkEnd w:id="656"/>
    </w:p>
    <w:p w14:paraId="4C951226">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评标委员会熟悉评标工作情况：</w:t>
      </w:r>
    </w:p>
    <w:p w14:paraId="595F8282">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（1）阅读由招标人或者其委</w:t>
      </w:r>
      <w:bookmarkStart w:id="657" w:name="_Toc60061514"/>
      <w:r>
        <w:rPr>
          <w:rFonts w:hint="eastAsia" w:ascii="宋体" w:hAnsi="宋体" w:cs="宋体"/>
          <w:color w:val="auto"/>
          <w:szCs w:val="21"/>
        </w:rPr>
        <w:t>托的工程代理机构编</w:t>
      </w:r>
      <w:bookmarkEnd w:id="657"/>
      <w:r>
        <w:rPr>
          <w:rFonts w:hint="eastAsia" w:ascii="宋体" w:hAnsi="宋体" w:cs="宋体"/>
          <w:color w:val="auto"/>
          <w:szCs w:val="21"/>
        </w:rPr>
        <w:t>制的招标项目情况材料。</w:t>
      </w:r>
    </w:p>
    <w:p w14:paraId="695705EA">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（2）阅读、研究招标文件和相关评标资料，获取评标所需要的重要信息和数据，至少应了解和熟悉以下内容：招标项目的范围和性质，招标文件规定的主要技术要求、标准和商务条款。</w:t>
      </w:r>
    </w:p>
    <w:p w14:paraId="13C69381">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（3）熟悉招标文件规定的评标标准和评标方法及在评标过程中需要考虑的相关因素。</w:t>
      </w:r>
    </w:p>
    <w:p w14:paraId="695D78C7">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（4）核对评标工作用表。</w:t>
      </w:r>
    </w:p>
    <w:p w14:paraId="76977FFA">
      <w:pPr>
        <w:pStyle w:val="3"/>
        <w:adjustRightInd w:val="0"/>
        <w:snapToGrid w:val="0"/>
        <w:spacing w:line="520" w:lineRule="exact"/>
        <w:ind w:firstLine="422" w:firstLineChars="200"/>
        <w:rPr>
          <w:rFonts w:ascii="黑体" w:hAnsi="黑体" w:cs="黑体"/>
          <w:color w:val="auto"/>
          <w:sz w:val="21"/>
          <w:szCs w:val="21"/>
        </w:rPr>
      </w:pPr>
      <w:bookmarkStart w:id="658" w:name="_Toc95223418"/>
      <w:r>
        <w:rPr>
          <w:rFonts w:hint="eastAsia" w:ascii="黑体" w:hAnsi="黑体" w:cs="黑体"/>
          <w:color w:val="auto"/>
          <w:sz w:val="21"/>
          <w:szCs w:val="21"/>
        </w:rPr>
        <w:t>3.2技术标评审</w:t>
      </w:r>
      <w:bookmarkEnd w:id="658"/>
    </w:p>
    <w:p w14:paraId="25D74A2C">
      <w:pPr>
        <w:pStyle w:val="3"/>
        <w:adjustRightInd w:val="0"/>
        <w:snapToGrid w:val="0"/>
        <w:spacing w:line="520" w:lineRule="exact"/>
        <w:ind w:firstLine="420" w:firstLineChars="200"/>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详见技术标评审表。</w:t>
      </w:r>
    </w:p>
    <w:p w14:paraId="34BBE470">
      <w:pPr>
        <w:pStyle w:val="3"/>
        <w:adjustRightInd w:val="0"/>
        <w:snapToGrid w:val="0"/>
        <w:spacing w:line="520" w:lineRule="exact"/>
        <w:ind w:firstLine="422" w:firstLineChars="200"/>
        <w:rPr>
          <w:rFonts w:ascii="黑体" w:hAnsi="黑体" w:cs="黑体"/>
          <w:color w:val="auto"/>
          <w:sz w:val="21"/>
          <w:szCs w:val="21"/>
        </w:rPr>
      </w:pPr>
      <w:r>
        <w:rPr>
          <w:rFonts w:hint="eastAsia" w:ascii="黑体" w:hAnsi="黑体" w:cs="黑体"/>
          <w:color w:val="auto"/>
          <w:sz w:val="21"/>
          <w:szCs w:val="21"/>
        </w:rPr>
        <w:t>3.3商务标评审</w:t>
      </w:r>
    </w:p>
    <w:p w14:paraId="10A1B5C6">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详见商务标评审表。</w:t>
      </w:r>
    </w:p>
    <w:p w14:paraId="6D37C4F2">
      <w:pPr>
        <w:pStyle w:val="3"/>
        <w:adjustRightInd w:val="0"/>
        <w:snapToGrid w:val="0"/>
        <w:spacing w:line="520" w:lineRule="exact"/>
        <w:ind w:firstLine="422" w:firstLineChars="200"/>
        <w:rPr>
          <w:rFonts w:ascii="黑体" w:hAnsi="黑体" w:cs="黑体"/>
          <w:b w:val="0"/>
          <w:bCs w:val="0"/>
          <w:color w:val="auto"/>
          <w:szCs w:val="21"/>
        </w:rPr>
      </w:pPr>
      <w:bookmarkStart w:id="659" w:name="_Toc60061515"/>
      <w:r>
        <w:rPr>
          <w:rFonts w:hint="eastAsia" w:ascii="黑体" w:hAnsi="黑体" w:cs="黑体"/>
          <w:color w:val="auto"/>
          <w:sz w:val="21"/>
          <w:szCs w:val="21"/>
        </w:rPr>
        <w:t>3.4推荐中标候</w:t>
      </w:r>
      <w:bookmarkEnd w:id="659"/>
      <w:r>
        <w:rPr>
          <w:rFonts w:hint="eastAsia" w:ascii="黑体" w:hAnsi="黑体" w:cs="黑体"/>
          <w:color w:val="auto"/>
          <w:sz w:val="21"/>
          <w:szCs w:val="21"/>
        </w:rPr>
        <w:t>选人</w:t>
      </w:r>
      <w:r>
        <w:rPr>
          <w:rFonts w:hint="eastAsia" w:ascii="黑体" w:hAnsi="黑体" w:cs="黑体"/>
          <w:b w:val="0"/>
          <w:bCs w:val="0"/>
          <w:color w:val="auto"/>
          <w:szCs w:val="21"/>
        </w:rPr>
        <w:t>：</w:t>
      </w:r>
    </w:p>
    <w:p w14:paraId="3689ACCA">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资信标评审、技术标</w:t>
      </w:r>
      <w:bookmarkStart w:id="660" w:name="_Toc60061516"/>
      <w:r>
        <w:rPr>
          <w:rFonts w:hint="eastAsia" w:ascii="宋体" w:hAnsi="宋体" w:cs="宋体"/>
          <w:color w:val="auto"/>
          <w:szCs w:val="21"/>
        </w:rPr>
        <w:t>评审、商务标评审</w:t>
      </w:r>
      <w:bookmarkEnd w:id="660"/>
      <w:r>
        <w:rPr>
          <w:rFonts w:hint="eastAsia" w:ascii="宋体" w:hAnsi="宋体" w:cs="宋体"/>
          <w:color w:val="auto"/>
          <w:szCs w:val="21"/>
        </w:rPr>
        <w:t>后，推荐3名中标候选人，并标明排序。</w:t>
      </w:r>
    </w:p>
    <w:p w14:paraId="26754CAC">
      <w:pPr>
        <w:pStyle w:val="3"/>
        <w:adjustRightInd w:val="0"/>
        <w:snapToGrid w:val="0"/>
        <w:spacing w:line="520" w:lineRule="exact"/>
        <w:ind w:firstLine="422" w:firstLineChars="200"/>
        <w:rPr>
          <w:rFonts w:ascii="黑体" w:hAnsi="黑体" w:cs="黑体"/>
          <w:color w:val="auto"/>
          <w:sz w:val="21"/>
          <w:szCs w:val="21"/>
        </w:rPr>
      </w:pPr>
      <w:bookmarkStart w:id="661" w:name="_Toc95223420"/>
      <w:r>
        <w:rPr>
          <w:rFonts w:hint="eastAsia" w:ascii="黑体" w:hAnsi="黑体" w:cs="黑体"/>
          <w:color w:val="auto"/>
          <w:sz w:val="21"/>
          <w:szCs w:val="21"/>
        </w:rPr>
        <w:t>4.评审内容</w:t>
      </w:r>
      <w:bookmarkEnd w:id="661"/>
    </w:p>
    <w:p w14:paraId="75C99E41">
      <w:pPr>
        <w:pStyle w:val="3"/>
        <w:adjustRightInd w:val="0"/>
        <w:snapToGrid w:val="0"/>
        <w:spacing w:line="520" w:lineRule="exact"/>
        <w:ind w:firstLine="422" w:firstLineChars="200"/>
        <w:rPr>
          <w:rFonts w:ascii="黑体" w:hAnsi="黑体" w:cs="黑体"/>
          <w:color w:val="auto"/>
          <w:sz w:val="21"/>
          <w:szCs w:val="21"/>
        </w:rPr>
      </w:pPr>
      <w:bookmarkStart w:id="662" w:name="_Toc95223421"/>
      <w:r>
        <w:rPr>
          <w:rFonts w:hint="eastAsia" w:ascii="黑体" w:hAnsi="黑体" w:cs="黑体"/>
          <w:color w:val="auto"/>
          <w:sz w:val="21"/>
          <w:szCs w:val="21"/>
        </w:rPr>
        <w:t>4.1技术标评审</w:t>
      </w:r>
      <w:bookmarkEnd w:id="662"/>
    </w:p>
    <w:p w14:paraId="4679AAD8">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4.1.1形式性评审标准：见技术标评审表。</w:t>
      </w:r>
    </w:p>
    <w:p w14:paraId="357AECA2">
      <w:pPr>
        <w:adjustRightInd w:val="0"/>
        <w:snapToGrid w:val="0"/>
        <w:spacing w:line="520" w:lineRule="exact"/>
        <w:ind w:firstLine="420" w:firstLineChars="200"/>
        <w:rPr>
          <w:rFonts w:ascii="宋体" w:hAnsi="宋体" w:cs="宋体"/>
          <w:color w:val="auto"/>
          <w:szCs w:val="21"/>
        </w:rPr>
      </w:pPr>
      <w:bookmarkStart w:id="663" w:name="_Toc60061517"/>
      <w:r>
        <w:rPr>
          <w:rFonts w:hint="eastAsia" w:ascii="宋体" w:hAnsi="宋体" w:cs="宋体"/>
          <w:color w:val="auto"/>
          <w:szCs w:val="21"/>
        </w:rPr>
        <w:t>4.1.2响</w:t>
      </w:r>
      <w:bookmarkEnd w:id="663"/>
      <w:r>
        <w:rPr>
          <w:rFonts w:hint="eastAsia" w:ascii="宋体" w:hAnsi="宋体" w:cs="宋体"/>
          <w:color w:val="auto"/>
          <w:szCs w:val="21"/>
        </w:rPr>
        <w:t>应</w:t>
      </w:r>
      <w:bookmarkStart w:id="664" w:name="_Toc60061518"/>
      <w:r>
        <w:rPr>
          <w:rFonts w:hint="eastAsia" w:ascii="宋体" w:hAnsi="宋体" w:cs="宋体"/>
          <w:color w:val="auto"/>
          <w:szCs w:val="21"/>
        </w:rPr>
        <w:t>性评审标准：见技</w:t>
      </w:r>
      <w:bookmarkEnd w:id="664"/>
      <w:r>
        <w:rPr>
          <w:rFonts w:hint="eastAsia" w:ascii="宋体" w:hAnsi="宋体" w:cs="宋体"/>
          <w:color w:val="auto"/>
          <w:szCs w:val="21"/>
        </w:rPr>
        <w:t>术标评审表。</w:t>
      </w:r>
    </w:p>
    <w:p w14:paraId="28BDF0E3">
      <w:pPr>
        <w:adjustRightInd w:val="0"/>
        <w:snapToGrid w:val="0"/>
        <w:spacing w:line="520" w:lineRule="exact"/>
        <w:ind w:firstLine="420" w:firstLineChars="200"/>
        <w:rPr>
          <w:rFonts w:ascii="宋体" w:hAnsi="宋体" w:cs="宋体"/>
          <w:color w:val="auto"/>
          <w:szCs w:val="21"/>
        </w:rPr>
      </w:pPr>
      <w:bookmarkStart w:id="665" w:name="_Toc95223422"/>
      <w:r>
        <w:rPr>
          <w:rFonts w:hint="eastAsia" w:ascii="宋体" w:hAnsi="宋体" w:cs="宋体"/>
          <w:color w:val="auto"/>
          <w:szCs w:val="21"/>
        </w:rPr>
        <w:t>评标委员会依据上述标准对投标文件进行形式性评审和响应性评审。有一项不符合评审标准的，作无效投标处理。对否定的技术标，评标委员会要提出充足的否定理由，并填写在技术标评标记录上。</w:t>
      </w:r>
    </w:p>
    <w:p w14:paraId="13C46D49">
      <w:pPr>
        <w:pStyle w:val="3"/>
        <w:adjustRightInd w:val="0"/>
        <w:snapToGrid w:val="0"/>
        <w:spacing w:line="520" w:lineRule="exact"/>
        <w:ind w:firstLine="422" w:firstLineChars="200"/>
        <w:rPr>
          <w:rFonts w:ascii="黑体" w:hAnsi="黑体" w:cs="黑体"/>
          <w:color w:val="auto"/>
          <w:sz w:val="21"/>
          <w:szCs w:val="21"/>
        </w:rPr>
      </w:pPr>
      <w:r>
        <w:rPr>
          <w:rFonts w:hint="eastAsia" w:ascii="黑体" w:hAnsi="黑体" w:cs="黑体"/>
          <w:color w:val="auto"/>
          <w:sz w:val="21"/>
          <w:szCs w:val="21"/>
        </w:rPr>
        <w:t>4.2商务标评审</w:t>
      </w:r>
      <w:bookmarkEnd w:id="665"/>
    </w:p>
    <w:p w14:paraId="31558606">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只有通过技术标评审的投标才能够进入本阶段评审。</w:t>
      </w:r>
    </w:p>
    <w:p w14:paraId="6ECFFEFD">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4.2.1</w:t>
      </w:r>
      <w:bookmarkStart w:id="666" w:name="_Toc60061519"/>
      <w:r>
        <w:rPr>
          <w:rFonts w:hint="eastAsia" w:ascii="宋体" w:hAnsi="宋体" w:cs="宋体"/>
          <w:color w:val="auto"/>
          <w:szCs w:val="21"/>
        </w:rPr>
        <w:t>形式性评审标准：</w:t>
      </w:r>
      <w:bookmarkEnd w:id="666"/>
      <w:r>
        <w:rPr>
          <w:rFonts w:hint="eastAsia" w:ascii="宋体" w:hAnsi="宋体" w:cs="宋体"/>
          <w:color w:val="auto"/>
          <w:szCs w:val="21"/>
        </w:rPr>
        <w:t>见商务标评审表。</w:t>
      </w:r>
    </w:p>
    <w:p w14:paraId="073A4491">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4.2.2响应性评审标准：见商务标评审表。</w:t>
      </w:r>
    </w:p>
    <w:p w14:paraId="03755863">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评标委员会依据上述标准对投标文件进行初步评审。有一项不符合评审标准的，作无效投标处理。</w:t>
      </w:r>
    </w:p>
    <w:p w14:paraId="181A1DDB">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4.2.3详细评审标准：见商务标评审表。</w:t>
      </w:r>
    </w:p>
    <w:p w14:paraId="06D7B084">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4.2.4评标委员会审查投标文件，审核并确认结果，包括工程投标报价的校核、审查全部数据计算的正确性、分析各种费用构成的合理性和正确性等内容，看其是否有计算或表达上的错误，投标报价有错误的，评标委员会按以下原则对投标报价进行修正。</w:t>
      </w:r>
    </w:p>
    <w:p w14:paraId="0800B376">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（1）投标文件中的大写金额与小写金额不一致的，以大写金额为准。</w:t>
      </w:r>
    </w:p>
    <w:p w14:paraId="5096B699">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6B463516">
      <w:pPr>
        <w:pStyle w:val="3"/>
        <w:adjustRightInd w:val="0"/>
        <w:snapToGrid w:val="0"/>
        <w:spacing w:line="520" w:lineRule="exact"/>
        <w:ind w:firstLine="422" w:firstLineChars="200"/>
        <w:rPr>
          <w:rFonts w:ascii="黑体" w:hAnsi="黑体" w:cs="黑体"/>
          <w:color w:val="auto"/>
          <w:sz w:val="21"/>
          <w:szCs w:val="21"/>
        </w:rPr>
      </w:pPr>
      <w:bookmarkStart w:id="667" w:name="_Toc95223423"/>
      <w:r>
        <w:rPr>
          <w:rFonts w:hint="eastAsia" w:ascii="黑体" w:hAnsi="黑体" w:cs="黑体"/>
          <w:color w:val="auto"/>
          <w:sz w:val="21"/>
          <w:szCs w:val="21"/>
        </w:rPr>
        <w:t>5.无效投标条款</w:t>
      </w:r>
      <w:bookmarkEnd w:id="667"/>
    </w:p>
    <w:p w14:paraId="412A5C7C">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5.1投标人存在下列情形的招标人将拒收投标文件：</w:t>
      </w:r>
    </w:p>
    <w:p w14:paraId="035C7717">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w:t>
      </w:r>
      <w:bookmarkStart w:id="668" w:name="_Toc60061520"/>
      <w:r>
        <w:rPr>
          <w:rFonts w:hint="eastAsia" w:ascii="宋体" w:hAnsi="宋体" w:cs="宋体"/>
          <w:color w:val="auto"/>
          <w:szCs w:val="21"/>
        </w:rPr>
        <w:t xml:space="preserve"> 未在投标截止时</w:t>
      </w:r>
      <w:bookmarkEnd w:id="668"/>
      <w:r>
        <w:rPr>
          <w:rFonts w:hint="eastAsia" w:ascii="宋体" w:hAnsi="宋体" w:cs="宋体"/>
          <w:color w:val="auto"/>
          <w:szCs w:val="21"/>
        </w:rPr>
        <w:t>间前通过网上招标投标系统递交有效电子投标文件的，开标系统不予接收，投标将被拒绝。</w:t>
      </w:r>
    </w:p>
    <w:p w14:paraId="5BE6F383">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2）所有投标人应在规定时间里完成投标文件的解密工作【投标企业接到远程解密指令后，须在规定时间内解密（以网上招投标系统解密倒计时为准）。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5FF1C4DB">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5.2投标人有下列情形的，经评审后其投标作无效投标处理：</w:t>
      </w:r>
    </w:p>
    <w:p w14:paraId="1E3D076C">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5.2.1技术标评审</w:t>
      </w:r>
    </w:p>
    <w:p w14:paraId="739BC8DB">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评标委员会依据《技术标评审表》进行形式性评审和响应性评审。有一项不符合评审标准的，做无效投标处理；对否定的技术标，评标委员会要提出充足的否定理由，并填写在技术标评标记录上。</w:t>
      </w:r>
    </w:p>
    <w:p w14:paraId="6EF8F3C0">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 xml:space="preserve"> 5.2.2商务标评审</w:t>
      </w:r>
    </w:p>
    <w:p w14:paraId="61A474B4">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(1)评标委员会依据《商务标评审表》进行形式性评审和响应性评审。有一项不符合评审标准的，做无效投标处理；</w:t>
      </w:r>
    </w:p>
    <w:p w14:paraId="7F7B36A0">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（2）商务标详细评审标准中有任何一项不能通过评审的，作无效投标处理。</w:t>
      </w:r>
    </w:p>
    <w:p w14:paraId="7ED15421">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5.3其他无效投标情况：</w:t>
      </w:r>
    </w:p>
    <w:p w14:paraId="06C2A6E6">
      <w:pPr>
        <w:spacing w:line="520" w:lineRule="exact"/>
        <w:ind w:firstLine="420" w:firstLineChars="200"/>
        <w:rPr>
          <w:rFonts w:ascii="宋体" w:hAnsi="宋体" w:cs="宋体"/>
          <w:color w:val="auto"/>
          <w:szCs w:val="21"/>
        </w:rPr>
      </w:pPr>
      <w:r>
        <w:rPr>
          <w:rFonts w:hint="eastAsia" w:ascii="宋体" w:hAnsi="宋体" w:cs="宋体"/>
          <w:color w:val="auto"/>
          <w:szCs w:val="21"/>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478280E9">
      <w:pPr>
        <w:spacing w:line="520" w:lineRule="exact"/>
        <w:ind w:firstLine="420" w:firstLineChars="200"/>
        <w:rPr>
          <w:rFonts w:ascii="宋体" w:hAnsi="宋体" w:cs="宋体"/>
          <w:color w:val="auto"/>
          <w:szCs w:val="21"/>
        </w:rPr>
      </w:pPr>
      <w:r>
        <w:rPr>
          <w:rFonts w:hint="eastAsia" w:ascii="宋体" w:hAnsi="宋体" w:cs="宋体"/>
          <w:color w:val="auto"/>
          <w:szCs w:val="21"/>
        </w:rPr>
        <w:t>（2）按第四章“评标方法”第4.2.4项修正错误的原则及方法调整或修正投标文件的投标报价，调整或修正的价格经投标人书面确认后具有约束力。投标人不接受修正价格的，其投标将被拒绝。</w:t>
      </w:r>
    </w:p>
    <w:p w14:paraId="1F4AC99E">
      <w:pPr>
        <w:spacing w:line="520" w:lineRule="exact"/>
        <w:ind w:firstLine="420" w:firstLineChars="200"/>
        <w:rPr>
          <w:rFonts w:ascii="宋体" w:hAnsi="宋体" w:cs="宋体"/>
          <w:color w:val="auto"/>
          <w:szCs w:val="21"/>
        </w:rPr>
      </w:pPr>
      <w:r>
        <w:rPr>
          <w:rFonts w:hint="eastAsia" w:ascii="宋体" w:hAnsi="宋体" w:cs="宋体"/>
          <w:color w:val="auto"/>
          <w:szCs w:val="21"/>
        </w:rPr>
        <w:t>（3）第二章“投标人须知”第1.4.3项规定的任何一种情形的。</w:t>
      </w:r>
    </w:p>
    <w:p w14:paraId="35AFF3A5">
      <w:pPr>
        <w:spacing w:line="520" w:lineRule="exact"/>
        <w:ind w:firstLine="420" w:firstLineChars="200"/>
        <w:rPr>
          <w:rFonts w:ascii="宋体" w:hAnsi="宋体" w:cs="宋体"/>
          <w:color w:val="auto"/>
          <w:szCs w:val="21"/>
        </w:rPr>
      </w:pPr>
      <w:r>
        <w:rPr>
          <w:rFonts w:hint="eastAsia" w:ascii="宋体" w:hAnsi="宋体" w:cs="宋体"/>
          <w:color w:val="auto"/>
          <w:szCs w:val="21"/>
        </w:rPr>
        <w:t>（4）投标人有串通投标、视为串通投标、弄虚作假、行贿等违法行为。</w:t>
      </w:r>
    </w:p>
    <w:p w14:paraId="417F6FBB">
      <w:pPr>
        <w:spacing w:line="520" w:lineRule="exact"/>
        <w:ind w:firstLine="420" w:firstLineChars="200"/>
        <w:rPr>
          <w:rFonts w:ascii="宋体" w:hAnsi="宋体" w:cs="宋体"/>
          <w:color w:val="auto"/>
          <w:szCs w:val="21"/>
        </w:rPr>
      </w:pPr>
      <w:r>
        <w:rPr>
          <w:rFonts w:hint="eastAsia" w:ascii="宋体" w:hAnsi="宋体" w:cs="宋体"/>
          <w:color w:val="auto"/>
          <w:szCs w:val="21"/>
        </w:rPr>
        <w:t>（5）投标文件没有对招标文件的实质性要求和条件作出响应。</w:t>
      </w:r>
    </w:p>
    <w:p w14:paraId="6D33AE0F">
      <w:pPr>
        <w:spacing w:line="520" w:lineRule="exact"/>
        <w:ind w:firstLine="420" w:firstLineChars="200"/>
        <w:rPr>
          <w:rFonts w:ascii="宋体" w:hAnsi="宋体" w:cs="宋体"/>
          <w:color w:val="auto"/>
          <w:szCs w:val="21"/>
        </w:rPr>
      </w:pPr>
      <w:r>
        <w:rPr>
          <w:rFonts w:hint="eastAsia" w:ascii="宋体" w:hAnsi="宋体" w:cs="宋体"/>
          <w:color w:val="auto"/>
          <w:szCs w:val="21"/>
        </w:rPr>
        <w:t>（6）未按规定的格式填写导致实质性内容不全以及实质上不响应，或者关键字迹模糊、无法辨认；经公共资源交易监督部门核准的。</w:t>
      </w:r>
    </w:p>
    <w:p w14:paraId="525BDB8E">
      <w:pPr>
        <w:spacing w:line="520" w:lineRule="exact"/>
        <w:ind w:firstLine="420" w:firstLineChars="200"/>
        <w:rPr>
          <w:rFonts w:ascii="宋体" w:hAnsi="宋体" w:cs="宋体"/>
          <w:color w:val="auto"/>
          <w:szCs w:val="21"/>
        </w:rPr>
      </w:pPr>
      <w:r>
        <w:rPr>
          <w:rFonts w:hint="eastAsia" w:ascii="宋体" w:hAnsi="宋体" w:cs="宋体"/>
          <w:color w:val="auto"/>
          <w:szCs w:val="21"/>
        </w:rPr>
        <w:t>（7）同一投标人提交两个以上不同的投标文件或者投标报价，但招标文件规定提交备选投标的除外。</w:t>
      </w:r>
    </w:p>
    <w:p w14:paraId="346191DF">
      <w:pPr>
        <w:spacing w:line="520" w:lineRule="exact"/>
        <w:ind w:firstLine="420" w:firstLineChars="200"/>
        <w:rPr>
          <w:rFonts w:ascii="宋体" w:hAnsi="宋体" w:cs="宋体"/>
          <w:color w:val="auto"/>
          <w:szCs w:val="21"/>
        </w:rPr>
      </w:pPr>
      <w:r>
        <w:rPr>
          <w:rFonts w:hint="eastAsia" w:ascii="宋体" w:hAnsi="宋体" w:cs="宋体"/>
          <w:color w:val="auto"/>
          <w:szCs w:val="21"/>
        </w:rPr>
        <w:t>（8）投标文件中存在招标人不能接受的其他实质性条件。</w:t>
      </w:r>
    </w:p>
    <w:p w14:paraId="06AAC841">
      <w:pPr>
        <w:spacing w:line="520" w:lineRule="exact"/>
        <w:ind w:firstLine="420" w:firstLineChars="200"/>
        <w:rPr>
          <w:rFonts w:ascii="宋体" w:hAnsi="宋体" w:cs="宋体"/>
          <w:color w:val="auto"/>
          <w:szCs w:val="21"/>
        </w:rPr>
      </w:pPr>
      <w:r>
        <w:rPr>
          <w:rFonts w:hint="eastAsia" w:ascii="宋体" w:hAnsi="宋体" w:cs="宋体"/>
          <w:color w:val="auto"/>
          <w:szCs w:val="21"/>
        </w:rPr>
        <w:t>（9）投标文件中填报的拟任项目经理（建造师）与资格审查通过的项目经理（建造师）前后不一致的。</w:t>
      </w:r>
    </w:p>
    <w:p w14:paraId="35556317">
      <w:pPr>
        <w:spacing w:line="520" w:lineRule="exact"/>
        <w:ind w:firstLine="420" w:firstLineChars="200"/>
        <w:rPr>
          <w:rFonts w:ascii="宋体" w:hAnsi="宋体" w:cs="宋体"/>
          <w:color w:val="auto"/>
          <w:szCs w:val="21"/>
        </w:rPr>
      </w:pPr>
      <w:r>
        <w:rPr>
          <w:rFonts w:hint="eastAsia" w:ascii="宋体" w:hAnsi="宋体" w:cs="宋体"/>
          <w:color w:val="auto"/>
          <w:szCs w:val="21"/>
        </w:rPr>
        <w:t>（10）投标人拒不按照要求对投标文件进行澄清、说明、补正的，或评标委员会根据招标文件的规定对招标文件的计算错误进行修正后，投标人不接受修正的投标报价的。</w:t>
      </w:r>
    </w:p>
    <w:p w14:paraId="5C64CB61">
      <w:pPr>
        <w:spacing w:line="520" w:lineRule="exact"/>
        <w:ind w:firstLine="420" w:firstLineChars="200"/>
        <w:rPr>
          <w:rFonts w:ascii="宋体" w:hAnsi="宋体" w:cs="宋体"/>
          <w:color w:val="auto"/>
          <w:szCs w:val="21"/>
        </w:rPr>
      </w:pPr>
      <w:r>
        <w:rPr>
          <w:rFonts w:hint="eastAsia" w:ascii="宋体" w:hAnsi="宋体" w:cs="宋体"/>
          <w:color w:val="auto"/>
          <w:szCs w:val="21"/>
        </w:rPr>
        <w:t>（11）投标人投标MAC地址一致。</w:t>
      </w:r>
    </w:p>
    <w:p w14:paraId="0F9E7F8D">
      <w:pPr>
        <w:spacing w:line="520" w:lineRule="exact"/>
        <w:ind w:firstLine="420" w:firstLineChars="200"/>
        <w:rPr>
          <w:rFonts w:ascii="宋体" w:hAnsi="宋体" w:cs="宋体"/>
          <w:color w:val="auto"/>
          <w:szCs w:val="21"/>
        </w:rPr>
      </w:pPr>
      <w:r>
        <w:rPr>
          <w:rFonts w:hint="eastAsia" w:ascii="宋体" w:hAnsi="宋体" w:cs="宋体"/>
          <w:color w:val="auto"/>
          <w:szCs w:val="21"/>
        </w:rPr>
        <w:t>（12）投标人单方面出现其他投标人材料。</w:t>
      </w:r>
    </w:p>
    <w:p w14:paraId="3BE636AE">
      <w:pPr>
        <w:spacing w:line="520" w:lineRule="exact"/>
        <w:ind w:firstLine="420" w:firstLineChars="200"/>
        <w:rPr>
          <w:rFonts w:ascii="宋体" w:hAnsi="宋体" w:cs="宋体"/>
          <w:bCs/>
          <w:color w:val="auto"/>
          <w:szCs w:val="21"/>
        </w:rPr>
      </w:pPr>
      <w:r>
        <w:rPr>
          <w:rFonts w:hint="eastAsia" w:ascii="宋体" w:hAnsi="宋体" w:cs="宋体"/>
          <w:color w:val="auto"/>
          <w:szCs w:val="21"/>
        </w:rPr>
        <w:t>（13）</w:t>
      </w:r>
      <w:r>
        <w:rPr>
          <w:rFonts w:hint="eastAsia" w:ascii="宋体" w:hAnsi="宋体" w:cs="宋体"/>
          <w:bCs/>
          <w:color w:val="auto"/>
          <w:szCs w:val="21"/>
        </w:rPr>
        <w:t>评标时查询投标文件制作机器码、文件创建标识码及造价软件加密锁号。若存在投标文件制作机器码或创建标识码或造价软件加密锁号信息与其他投标人雷同的，投标无效。</w:t>
      </w:r>
    </w:p>
    <w:p w14:paraId="2A6CE7C5">
      <w:pPr>
        <w:spacing w:line="520" w:lineRule="exact"/>
        <w:ind w:firstLine="420" w:firstLineChars="200"/>
        <w:rPr>
          <w:rFonts w:ascii="宋体" w:hAnsi="宋体" w:cs="宋体"/>
          <w:strike/>
          <w:color w:val="auto"/>
          <w:szCs w:val="21"/>
        </w:rPr>
      </w:pPr>
      <w:r>
        <w:rPr>
          <w:rFonts w:hint="eastAsia" w:ascii="宋体" w:hAnsi="宋体" w:cs="宋体"/>
          <w:bCs/>
          <w:color w:val="auto"/>
          <w:szCs w:val="21"/>
        </w:rPr>
        <w:t>（14）</w:t>
      </w:r>
      <w:r>
        <w:rPr>
          <w:rFonts w:hint="eastAsia" w:ascii="宋体" w:hAnsi="宋体" w:cs="宋体"/>
          <w:color w:val="auto"/>
          <w:szCs w:val="21"/>
          <w:lang w:bidi="ar"/>
        </w:rPr>
        <w:t>投标人申请开具电子保函MAC地址一致。</w:t>
      </w:r>
    </w:p>
    <w:p w14:paraId="12D5E35B">
      <w:pPr>
        <w:spacing w:line="520" w:lineRule="exact"/>
        <w:ind w:firstLine="420" w:firstLineChars="200"/>
        <w:rPr>
          <w:rFonts w:ascii="宋体" w:hAnsi="宋体" w:cs="宋体"/>
          <w:color w:val="auto"/>
          <w:szCs w:val="21"/>
        </w:rPr>
      </w:pPr>
      <w:r>
        <w:rPr>
          <w:rFonts w:hint="eastAsia" w:ascii="宋体" w:hAnsi="宋体" w:cs="宋体"/>
          <w:color w:val="auto"/>
          <w:szCs w:val="21"/>
        </w:rPr>
        <w:t>（15）投标人联系人或联系电话相同的。</w:t>
      </w:r>
    </w:p>
    <w:p w14:paraId="5B3D906F">
      <w:pPr>
        <w:spacing w:line="520" w:lineRule="exact"/>
        <w:ind w:firstLine="420" w:firstLineChars="200"/>
        <w:rPr>
          <w:rFonts w:ascii="宋体" w:hAnsi="宋体" w:cs="宋体"/>
          <w:color w:val="auto"/>
          <w:szCs w:val="21"/>
        </w:rPr>
      </w:pPr>
      <w:r>
        <w:rPr>
          <w:rFonts w:hint="eastAsia" w:ascii="宋体" w:hAnsi="宋体" w:cs="宋体"/>
          <w:color w:val="auto"/>
          <w:szCs w:val="21"/>
        </w:rPr>
        <w:t>（16）法律、法规规定的其他情形。</w:t>
      </w:r>
    </w:p>
    <w:p w14:paraId="493E8B9C">
      <w:pPr>
        <w:pStyle w:val="3"/>
        <w:adjustRightInd w:val="0"/>
        <w:snapToGrid w:val="0"/>
        <w:spacing w:line="520" w:lineRule="exact"/>
        <w:ind w:firstLine="422" w:firstLineChars="200"/>
        <w:rPr>
          <w:rFonts w:ascii="黑体" w:hAnsi="黑体" w:cs="黑体"/>
          <w:color w:val="auto"/>
          <w:sz w:val="21"/>
          <w:szCs w:val="21"/>
        </w:rPr>
      </w:pPr>
      <w:bookmarkStart w:id="669" w:name="_Toc95223424"/>
      <w:r>
        <w:rPr>
          <w:rFonts w:hint="eastAsia" w:ascii="黑体" w:hAnsi="黑体" w:cs="黑体"/>
          <w:color w:val="auto"/>
          <w:sz w:val="21"/>
          <w:szCs w:val="21"/>
        </w:rPr>
        <w:t>6.投标文件的澄清和补正</w:t>
      </w:r>
      <w:bookmarkEnd w:id="669"/>
    </w:p>
    <w:p w14:paraId="5B943B0E">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6.1在评标过程中，评标委员会可以书面形式要求投标</w:t>
      </w:r>
      <w:bookmarkStart w:id="670" w:name="_Toc60061521"/>
      <w:r>
        <w:rPr>
          <w:rFonts w:hint="eastAsia" w:ascii="宋体" w:hAnsi="宋体" w:cs="宋体"/>
          <w:color w:val="auto"/>
          <w:szCs w:val="21"/>
        </w:rPr>
        <w:t>人对所提交的投标文件中含</w:t>
      </w:r>
      <w:bookmarkEnd w:id="670"/>
      <w:r>
        <w:rPr>
          <w:rFonts w:hint="eastAsia" w:ascii="宋体" w:hAnsi="宋体" w:cs="宋体"/>
          <w:color w:val="auto"/>
          <w:szCs w:val="21"/>
        </w:rPr>
        <w:t>义不明确、对同类问题表述不一致或者有明显文字和计算错误”，其他评标办法请一并修改的内容进行书面澄清或说明，或者对细微偏差进行补正。评标委员会不接受投标人主动提出的澄清、说明或补正。</w:t>
      </w:r>
    </w:p>
    <w:p w14:paraId="3A1BBF77">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6.2澄清、说明和补正不得改变投标文件的实质性内容（算术性错误修正的除外）。投标人的书面澄清、说明和补正属于投标文件的组成部分。</w:t>
      </w:r>
    </w:p>
    <w:p w14:paraId="185ADC2C">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6.3评标委员会对投标人提交的澄清、说明和补正有疑问的，可以要求投标人进一步澄清、说明或补正、直至满足评标委员会的要求。</w:t>
      </w:r>
    </w:p>
    <w:p w14:paraId="3691B987">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按照投标文件规定进行澄清、补正后的投标报价经投标人的法定代表人或其委托代理人确认后即为该投标人的最终投标报价。投标人一旦中标，此报价即为中标价。</w:t>
      </w:r>
    </w:p>
    <w:p w14:paraId="03ED4809">
      <w:pPr>
        <w:pStyle w:val="3"/>
        <w:adjustRightInd w:val="0"/>
        <w:snapToGrid w:val="0"/>
        <w:spacing w:line="520" w:lineRule="exact"/>
        <w:ind w:firstLine="422" w:firstLineChars="200"/>
        <w:rPr>
          <w:rFonts w:ascii="黑体" w:hAnsi="黑体" w:cs="黑体"/>
          <w:color w:val="auto"/>
          <w:sz w:val="21"/>
          <w:szCs w:val="21"/>
        </w:rPr>
      </w:pPr>
      <w:bookmarkStart w:id="671" w:name="_Toc95223425"/>
      <w:r>
        <w:rPr>
          <w:rFonts w:hint="eastAsia" w:ascii="黑体" w:hAnsi="黑体" w:cs="黑体"/>
          <w:color w:val="auto"/>
          <w:sz w:val="21"/>
          <w:szCs w:val="21"/>
        </w:rPr>
        <w:t>7.评分标准</w:t>
      </w:r>
      <w:bookmarkEnd w:id="671"/>
    </w:p>
    <w:p w14:paraId="3FFD5348">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评分标准：见资信、技术及商务评分表。。</w:t>
      </w:r>
    </w:p>
    <w:p w14:paraId="5A736B55">
      <w:pPr>
        <w:pStyle w:val="3"/>
        <w:adjustRightInd w:val="0"/>
        <w:snapToGrid w:val="0"/>
        <w:spacing w:line="520" w:lineRule="exact"/>
        <w:ind w:firstLine="422" w:firstLineChars="200"/>
        <w:rPr>
          <w:rFonts w:ascii="黑体" w:hAnsi="黑体" w:cs="黑体"/>
          <w:color w:val="auto"/>
          <w:sz w:val="21"/>
          <w:szCs w:val="21"/>
        </w:rPr>
      </w:pPr>
      <w:bookmarkStart w:id="672" w:name="_Toc95223426"/>
      <w:r>
        <w:rPr>
          <w:rFonts w:hint="eastAsia" w:ascii="黑体" w:hAnsi="黑体" w:cs="黑体"/>
          <w:color w:val="auto"/>
          <w:sz w:val="21"/>
          <w:szCs w:val="21"/>
        </w:rPr>
        <w:t>8.评审结果</w:t>
      </w:r>
      <w:bookmarkEnd w:id="672"/>
    </w:p>
    <w:p w14:paraId="564C1576">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8.1除第二章“投标人须知”及其前附表授权直接确定中标人外，评</w:t>
      </w:r>
      <w:bookmarkStart w:id="673" w:name="_Toc60061523"/>
      <w:r>
        <w:rPr>
          <w:rFonts w:hint="eastAsia" w:ascii="宋体" w:hAnsi="宋体" w:cs="宋体"/>
          <w:color w:val="auto"/>
          <w:szCs w:val="21"/>
        </w:rPr>
        <w:t>标委员会按照</w:t>
      </w:r>
      <w:bookmarkEnd w:id="673"/>
      <w:r>
        <w:rPr>
          <w:rFonts w:hint="eastAsia" w:ascii="宋体" w:hAnsi="宋体" w:cs="宋体"/>
          <w:color w:val="auto"/>
          <w:szCs w:val="21"/>
        </w:rPr>
        <w:t>总得分由高到低顺序推荐中标候选人。</w:t>
      </w:r>
    </w:p>
    <w:p w14:paraId="6A96032D">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8.2评标委员会完成评标后，应当向招标人提交书面评标报告。评标报告应当如实记载以下内容：</w:t>
      </w:r>
    </w:p>
    <w:p w14:paraId="18F4FD83">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（1）基本情况和数据表。</w:t>
      </w:r>
    </w:p>
    <w:p w14:paraId="606797DC">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（2）评标委员会成员名单。</w:t>
      </w:r>
    </w:p>
    <w:p w14:paraId="0BE6E173">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（3）开标记录。</w:t>
      </w:r>
    </w:p>
    <w:p w14:paraId="150DDAD7">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（4）符合要求的投标人一览表。</w:t>
      </w:r>
    </w:p>
    <w:p w14:paraId="29B43CA9">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（5）否决投标情况说明。</w:t>
      </w:r>
    </w:p>
    <w:p w14:paraId="170DFC7A">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（6）评标标准、评标方法或者评标因素。</w:t>
      </w:r>
    </w:p>
    <w:p w14:paraId="6C9630AA">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（7）评分比较一览表。</w:t>
      </w:r>
    </w:p>
    <w:p w14:paraId="70AD4C43">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（8）经评审的投标人排序。</w:t>
      </w:r>
    </w:p>
    <w:p w14:paraId="4F4CC732">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（9）推荐的中标候选人名单与签订合同前要处理的事宜。</w:t>
      </w:r>
    </w:p>
    <w:p w14:paraId="27D402F5">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（10）澄清、说明、补正事项纪要。</w:t>
      </w:r>
    </w:p>
    <w:p w14:paraId="73FF5B99">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8.3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B615067">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33BAF3C1">
      <w:pPr>
        <w:pStyle w:val="3"/>
        <w:adjustRightInd w:val="0"/>
        <w:snapToGrid w:val="0"/>
        <w:spacing w:line="520" w:lineRule="exact"/>
        <w:ind w:firstLine="422" w:firstLineChars="200"/>
        <w:rPr>
          <w:rFonts w:ascii="黑体" w:hAnsi="黑体" w:cs="黑体"/>
          <w:color w:val="auto"/>
          <w:sz w:val="21"/>
          <w:szCs w:val="21"/>
        </w:rPr>
      </w:pPr>
      <w:bookmarkStart w:id="674" w:name="_Toc95223427"/>
      <w:r>
        <w:rPr>
          <w:rFonts w:hint="eastAsia" w:ascii="黑体" w:hAnsi="黑体" w:cs="黑体"/>
          <w:color w:val="auto"/>
          <w:sz w:val="21"/>
          <w:szCs w:val="21"/>
        </w:rPr>
        <w:t>9.其他</w:t>
      </w:r>
      <w:bookmarkEnd w:id="674"/>
    </w:p>
    <w:p w14:paraId="3067529D">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投标人提供的与投标文件有关的各类证书、证明、文件、资料等的真实性、</w:t>
      </w:r>
      <w:bookmarkStart w:id="675" w:name="_Toc60061524"/>
      <w:r>
        <w:rPr>
          <w:rFonts w:hint="eastAsia" w:ascii="宋体" w:hAnsi="宋体" w:cs="宋体"/>
          <w:color w:val="auto"/>
          <w:szCs w:val="21"/>
        </w:rPr>
        <w:t>合法性由</w:t>
      </w:r>
      <w:bookmarkEnd w:id="675"/>
      <w:r>
        <w:rPr>
          <w:rFonts w:hint="eastAsia" w:ascii="宋体" w:hAnsi="宋体" w:cs="宋体"/>
          <w:color w:val="auto"/>
          <w:szCs w:val="21"/>
        </w:rPr>
        <w:t>投标人负全责。</w:t>
      </w:r>
    </w:p>
    <w:bookmarkEnd w:id="639"/>
    <w:p w14:paraId="346FC247">
      <w:pPr>
        <w:rPr>
          <w:color w:val="auto"/>
        </w:rPr>
      </w:pPr>
      <w:bookmarkStart w:id="676" w:name="_Toc95223458"/>
      <w:r>
        <w:rPr>
          <w:color w:val="auto"/>
        </w:rPr>
        <w:br w:type="page"/>
      </w:r>
    </w:p>
    <w:p w14:paraId="3AAF4774">
      <w:pPr>
        <w:pStyle w:val="2"/>
        <w:numPr>
          <w:ilvl w:val="0"/>
          <w:numId w:val="3"/>
        </w:numPr>
        <w:spacing w:before="156" w:beforeLines="50" w:after="156" w:afterLines="50" w:line="360" w:lineRule="auto"/>
        <w:jc w:val="center"/>
        <w:rPr>
          <w:rFonts w:ascii="宋体" w:hAnsi="宋体" w:cs="宋体"/>
          <w:color w:val="auto"/>
          <w:sz w:val="36"/>
          <w:szCs w:val="36"/>
        </w:rPr>
      </w:pPr>
      <w:r>
        <w:rPr>
          <w:rFonts w:hint="eastAsia" w:ascii="宋体" w:hAnsi="宋体" w:cs="宋体"/>
          <w:color w:val="auto"/>
          <w:sz w:val="36"/>
          <w:szCs w:val="36"/>
        </w:rPr>
        <w:t>合同条款及格式</w:t>
      </w:r>
      <w:bookmarkEnd w:id="676"/>
      <w:bookmarkStart w:id="677" w:name="_Toc184263479"/>
      <w:bookmarkStart w:id="678" w:name="_Toc2094516902"/>
      <w:bookmarkStart w:id="679" w:name="_Toc18712"/>
    </w:p>
    <w:p w14:paraId="2F2DF5F4">
      <w:pPr>
        <w:pStyle w:val="2"/>
        <w:spacing w:before="156" w:beforeLines="50" w:after="156" w:afterLines="50" w:line="360" w:lineRule="auto"/>
        <w:jc w:val="center"/>
        <w:rPr>
          <w:rFonts w:ascii="宋体" w:hAnsi="宋体" w:cs="宋体"/>
          <w:color w:val="auto"/>
          <w:sz w:val="28"/>
          <w:szCs w:val="28"/>
        </w:rPr>
      </w:pPr>
      <w:r>
        <w:rPr>
          <w:rFonts w:hint="eastAsia" w:ascii="宋体" w:hAnsi="宋体" w:cs="宋体"/>
          <w:color w:val="auto"/>
          <w:sz w:val="28"/>
          <w:szCs w:val="28"/>
        </w:rPr>
        <w:t>第一节  通用合同条款</w:t>
      </w:r>
    </w:p>
    <w:p w14:paraId="101872AE">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1.一般约定</w:t>
      </w:r>
    </w:p>
    <w:p w14:paraId="799C551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 词语定义</w:t>
      </w:r>
    </w:p>
    <w:p w14:paraId="6DDE49B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除专用合同条款另有约定外，合同中的下列词语应具有本款所赋予的含义。</w:t>
      </w:r>
    </w:p>
    <w:p w14:paraId="6707D75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 合同</w:t>
      </w:r>
    </w:p>
    <w:p w14:paraId="1022C43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1.1.1.1 合同文件（或称合同）：指合同协议书、中标通知书、投标函、商务和技术偏差表、专用合同条款、通用合同条款、技术要求、分项报价表、中标 货物技术性能指标的详细描述、相关服务计划，以及其他构成合同组成部分的文件。</w:t>
      </w:r>
    </w:p>
    <w:p w14:paraId="7FD12D7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1.1.1.2 合同协议书：指买方和卖方共同签署的合同协议书。</w:t>
      </w:r>
    </w:p>
    <w:p w14:paraId="603423A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1.1.1.3 中标通知书：指买方通知卖方中标的函件。</w:t>
      </w:r>
    </w:p>
    <w:p w14:paraId="1CCCB18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1.1.1.4 投标函：指由卖方填写并签署的，名为“投标函 ”的函件。</w:t>
      </w:r>
    </w:p>
    <w:p w14:paraId="238FEBC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1.1.1.5 商务和技术偏差表：指卖方投标文件中的商务和技术偏差表。</w:t>
      </w:r>
    </w:p>
    <w:p w14:paraId="4F3F2A5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1.1.1.6 技术要求：指合同文件中名为“技术要求 ”的文件，具体按招标第 八章“技术要求 ”执行。</w:t>
      </w:r>
    </w:p>
    <w:p w14:paraId="706787B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1.1.1.7 中标货物技术性能指标的详细描述：指卖方投标文件中的投标货物 质量标准的详细描述。</w:t>
      </w:r>
    </w:p>
    <w:p w14:paraId="714881E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1.1.1.8 相关服务计划：指卖方投标文件中的相关服务计划。</w:t>
      </w:r>
    </w:p>
    <w:p w14:paraId="60277C4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1.1.1.9 分项报价表：指卖方投标文件中的分项报价表。</w:t>
      </w:r>
    </w:p>
    <w:p w14:paraId="4450752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1.1.1.10 其他合同文件：指经合同双方当事人确认构成合同文件的其他文件。</w:t>
      </w:r>
    </w:p>
    <w:p w14:paraId="535CE68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1.1.2 合同当事人</w:t>
      </w:r>
    </w:p>
    <w:p w14:paraId="6560C73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1.1.2.1 合同当事人：指买方和（或）卖方。</w:t>
      </w:r>
    </w:p>
    <w:p w14:paraId="6B2C65A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1.1.2.2 买方：指与卖方签订合同协议书，购买合同货物和相关服务的当事人，及其合法继承人。</w:t>
      </w:r>
    </w:p>
    <w:p w14:paraId="0D09088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1.1.2.3 卖方：指与买方签订合同协议书，提供合同货物和相关服务的当事人，及其合法继承人。</w:t>
      </w:r>
    </w:p>
    <w:p w14:paraId="7E74ED3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1.1.3 合同价格</w:t>
      </w:r>
    </w:p>
    <w:p w14:paraId="13731AF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1.1.3.1 签约合同价：是签订合同时合同协议书中写明的合同总金额。</w:t>
      </w:r>
    </w:p>
    <w:p w14:paraId="21A6F78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1.1.3.2 合同价格：指卖方按合同约定履行了全部合同义务后，买方应付给卖方的金额。</w:t>
      </w:r>
    </w:p>
    <w:p w14:paraId="513404A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1.1.4 合同设备：指卖方按合同约定应向买方提供的设备、装置、备品、备件、易损易耗件、配套使用的软件或其他辅助电子应用程序及技术资料，或其中任何一部分。</w:t>
      </w:r>
    </w:p>
    <w:p w14:paraId="2A3A3F9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1.1.5 技术资料：各种纸质及电子载体的与合同设备的设计、检验、安装、调试、考核、操作、维修以及保养等有关的技术指标、规格、图纸和说明文件。</w:t>
      </w:r>
    </w:p>
    <w:p w14:paraId="35D33D4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1.1.6安装：指对合同设备进行的组装、连接以及根据需要将合同设备固定在施工场地内一定的位置上，使其就位并与相关设备、工程实现连接。</w:t>
      </w:r>
    </w:p>
    <w:p w14:paraId="7FDEA07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1.1.7调试：指在合同设备安装完成后，对合同设备所进行的调校和测试。</w:t>
      </w:r>
    </w:p>
    <w:p w14:paraId="068047C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1.1.8考核：指在合同设备调试完成后，对合同设备进行的用于确定其是否达到合同约定的技术性能考核指标的考核。</w:t>
      </w:r>
    </w:p>
    <w:p w14:paraId="1B91442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1.1.9验收： 指合同设备通过考核达到合同约定的技术性能考核指标后，买方作出接受合同设备的确认。</w:t>
      </w:r>
    </w:p>
    <w:p w14:paraId="0928AD4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1.1.10技术服务：指卖方按合同约定，在合同设备验收前，向买方提供的安装、调试服务，或者在由买方负责的安装、调试、考核中对买方进行的技术指导、协助、监督和培训等。</w:t>
      </w:r>
    </w:p>
    <w:p w14:paraId="6D8872E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1.1.11质量保证期：指合同设备验收后，卖方按合同约定保证合同设备适当、稳定运行，并负责消除合同设备故障的期限。</w:t>
      </w:r>
    </w:p>
    <w:p w14:paraId="7747B19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1.1.12质保期服务：指在质量保证期内，卖方向买方提供的合同设备维护服务、咨询服务、技术指导、协助以及对出现故障的合同设备进行修理或更换的服务。</w:t>
      </w:r>
    </w:p>
    <w:p w14:paraId="3191CBA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1.1.13  工程</w:t>
      </w:r>
    </w:p>
    <w:p w14:paraId="719A6A9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1.1.13.1 工程：指在专用合同条款中指明的，安装运行合同设备的工程。</w:t>
      </w:r>
    </w:p>
    <w:p w14:paraId="436F12C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1.1.13.2 施工场地（或称工地、施工现场）：指专用合同条款中指明的工程所在场所。</w:t>
      </w:r>
    </w:p>
    <w:p w14:paraId="0A67D72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1.1.14 天（或称日）：除特别指明外，指日历天。合同中按天计算时间的，开始当天不计入，从次日开始计算。合同约定的期间的最后一天是星期日或者其他法定休假日的，以休假日的次日为期间的最后一天。</w:t>
      </w:r>
    </w:p>
    <w:p w14:paraId="7984958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1.1.15月：按照公历月计算。合同中按月计算时间的，开始当天不计入，从次日开始计算。合同约定的期间的最后一天是星期日或者其他法定休假日的，以休假日的次日为期间的最后一天。</w:t>
      </w:r>
    </w:p>
    <w:p w14:paraId="35CA1BE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1.1.16书面形式：指合同文件、信件和数据电文（包括电报、电传、传真、电子数据交换和电子邮件）等可以有形地表现所载内容的形式。</w:t>
      </w:r>
    </w:p>
    <w:p w14:paraId="2D9C11C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1.2 语言文字</w:t>
      </w:r>
    </w:p>
    <w:p w14:paraId="6E8B91E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合同使用的语言文字为中文。专用术语使用外文的，应附有中文注释。</w:t>
      </w:r>
    </w:p>
    <w:p w14:paraId="7D1C943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1.3 合同文件的优先顺序</w:t>
      </w:r>
    </w:p>
    <w:p w14:paraId="5AC6869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组成合同的各项文件应互相解释，互为说明。除专用合同条款另有约定外，解释合同文件的优先顺序如下：</w:t>
      </w:r>
    </w:p>
    <w:p w14:paraId="7D49B84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（1）合同协议书；</w:t>
      </w:r>
    </w:p>
    <w:p w14:paraId="7B9E927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（2）中标通知书；</w:t>
      </w:r>
    </w:p>
    <w:p w14:paraId="244AE01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（3）投标函；</w:t>
      </w:r>
    </w:p>
    <w:p w14:paraId="52DFFBE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（4）技术偏差表；</w:t>
      </w:r>
    </w:p>
    <w:p w14:paraId="2F6DCE3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（5）专用合同条款；</w:t>
      </w:r>
    </w:p>
    <w:p w14:paraId="6C67D1A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（6）通用合同条款；</w:t>
      </w:r>
    </w:p>
    <w:p w14:paraId="46C02E6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（7）技术要求；</w:t>
      </w:r>
    </w:p>
    <w:p w14:paraId="79DB672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（8）分项报价表；</w:t>
      </w:r>
    </w:p>
    <w:p w14:paraId="0846528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（9）中标货物技术性能指标的详细描述；</w:t>
      </w:r>
    </w:p>
    <w:p w14:paraId="785FF1E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（10）技术服务和质保期服务计划；</w:t>
      </w:r>
    </w:p>
    <w:p w14:paraId="747B288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（11）其他合同文件。</w:t>
      </w:r>
    </w:p>
    <w:p w14:paraId="4310620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1.4 合同的生效及变更</w:t>
      </w:r>
    </w:p>
    <w:p w14:paraId="4BF7AE0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1.4.1除专用合同条款另有约定外，买方和卖方的法定代表人（单位负责人） 或其授权代表在合同协议书上签字并加盖单位章后，合同生效。</w:t>
      </w:r>
    </w:p>
    <w:p w14:paraId="49082EE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1.4.2除专用合同条款另有约定外，在合同履行过程中，如需对合同进行变 更，双方应签订书面协议，并经双方法定代表人（单位负责人）或其授权代表签 字并加盖单位章后生效。</w:t>
      </w:r>
    </w:p>
    <w:p w14:paraId="592EF72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1.5 联络</w:t>
      </w:r>
    </w:p>
    <w:p w14:paraId="1399BF0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1.5.1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4D3B5BB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1.5.2合同履行中或与合同有关的任何联络，送达到第1.5.1项指定的联系人即视为送达。</w:t>
      </w:r>
    </w:p>
    <w:p w14:paraId="5E34E0F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1.5.3买方可以安排监理等相关人员作为买方人员，与卖方进行联络或参加合同设备的监造 （如有）、交货前检验（如有）、开箱检验、安装、调试、考核、验收等， 但应按照第1.5.1项的约定事先书面通知卖方。</w:t>
      </w:r>
    </w:p>
    <w:p w14:paraId="7D6608D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 联合体</w:t>
      </w:r>
    </w:p>
    <w:p w14:paraId="6AE21A2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1.6.1 卖方为联合体的，联合体各方应当共同与买方签订合同，并向买方为 履行合同承担连带责任。</w:t>
      </w:r>
    </w:p>
    <w:p w14:paraId="71C5B37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1.6.2 在合同履行过程中，未经买方同意，不得修改联合体协议。联合体协 议中关于联合体成员间权利义务的划分，并不影响或减损联合体各方应就履行合 同向买方承担的连带责任。</w:t>
      </w:r>
    </w:p>
    <w:p w14:paraId="1AC93C5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1.6.3 联合体牵头人代表联合体与买方联系，并接受指示，负责组织联合体 各成员全面履行合同。除非专用合同条款另有约定，牵头人在履行合同中的所有 行为均视为已获得联合体各方的授权。买方可将合同价款全部支付给牵头人并视 为其已适当履行了付款义务。如牵头人的行为将构成对合同内容的变更，则牵头 人须事先获得联合体各方的特别授权。</w:t>
      </w:r>
    </w:p>
    <w:p w14:paraId="0AA6960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1.7 转让</w:t>
      </w:r>
    </w:p>
    <w:p w14:paraId="383059A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未经对方当事人书面同意，合同任何一方均不得转让其在本合同项下的权利和（或）义务。</w:t>
      </w:r>
    </w:p>
    <w:p w14:paraId="0EFF556B">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2.合同范围</w:t>
      </w:r>
    </w:p>
    <w:p w14:paraId="6F8BDFC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卖方应根据技术要求、中标货物技术性能指标的详细描述、技术服务和质保期服务计划等合同文件的约定向买方提供合同设备、技术服务和质保期服务。</w:t>
      </w:r>
    </w:p>
    <w:p w14:paraId="270782A1">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3.合同价格与支付</w:t>
      </w:r>
    </w:p>
    <w:p w14:paraId="718FB38C">
      <w:pPr>
        <w:spacing w:line="500" w:lineRule="exact"/>
        <w:ind w:firstLine="422" w:firstLineChars="200"/>
        <w:jc w:val="left"/>
        <w:rPr>
          <w:rFonts w:ascii="宋体" w:hAnsi="宋体" w:cs="宋体"/>
          <w:b/>
          <w:bCs/>
          <w:color w:val="auto"/>
          <w:szCs w:val="21"/>
        </w:rPr>
      </w:pPr>
      <w:r>
        <w:rPr>
          <w:rFonts w:hint="eastAsia" w:ascii="宋体" w:hAnsi="宋体" w:cs="宋体"/>
          <w:b/>
          <w:bCs/>
          <w:color w:val="auto"/>
          <w:szCs w:val="21"/>
        </w:rPr>
        <w:t>3.1具体详见第二节专用合同条款。</w:t>
      </w:r>
    </w:p>
    <w:p w14:paraId="187EA900">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4. 监造及交货前检验</w:t>
      </w:r>
    </w:p>
    <w:p w14:paraId="7A5F95E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4.1 监造</w:t>
      </w:r>
    </w:p>
    <w:p w14:paraId="7B76597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专用合同条款约定买方对合同设备进行监造的，双方应按本款及专用合同条款约定履行。</w:t>
      </w:r>
    </w:p>
    <w:p w14:paraId="27B33AB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4.1.1在合同设备的制造过程中，买方可派出监造人员，对合同设备的生产制造进行监造，监督合同设备制造、检验等情况。监造的范围、方式等应符合专用合同条款和（或）技术要求等合同文件的约定。</w:t>
      </w:r>
    </w:p>
    <w:p w14:paraId="5B87B9A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4.1.2 除专用合同条款和（或）技术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6AFD83F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4.1.3卖方制订生产制造合同设备的进度计划时，应将买方监造纳入计划安排，并提前通知买方；买方进行监造不应影响合同设备的正常生产。除专用合同条款和（或）技术要求等合同 文件另有约定外，卖方应提前7日将需要买方监造人员现场监造事项通知买方；如买方监造人员未按通知出席，不影响合同设备及其关键部件的制造或检验，但买方监造人员有权事后了解、查阅、复制相关制造或检验记录。</w:t>
      </w:r>
    </w:p>
    <w:p w14:paraId="4F3DF4E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4.1.4买方监造人员在监造中如发现合同设备及其关键部件不符合合同约定的标准，则有权提出意见和建议。卖方应采取必要措施消除合同设备的不符，由此增加的费用和（或）造成的延误由卖方负责。</w:t>
      </w:r>
    </w:p>
    <w:p w14:paraId="76D2947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4.1.5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0897C29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4.2 交货前检验</w:t>
      </w:r>
    </w:p>
    <w:p w14:paraId="57B6656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专用合同条款约定买方参与交货前检验的，双方应按本款及专用合同条款约定履行。</w:t>
      </w:r>
    </w:p>
    <w:p w14:paraId="2F7F360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4.2.1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1E6CE96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4.2.2 除专用合同条款和（或）技术要求等合同文件另有约定外，卖方应提前7日将需要买方代表检验事项通知买方；如买方代表未按通知出席，不影响合同设备的检验。若卖方未依照合同约定提前通知买方而自行检验，则买方有权要求卖方暂停发货并重新进行检验， 由此增加的费用和（或）造成的延误由卖方负责。</w:t>
      </w:r>
    </w:p>
    <w:p w14:paraId="0EF10F3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4.2.3买方代表在检验中如发现合同设备不符合合同约定的标准，则有权提出异议。卖方应采取必要措施消除合同设备的不符，由此增加的费用和（或） 造成的延误由卖方负责。</w:t>
      </w:r>
    </w:p>
    <w:p w14:paraId="13C32C2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4.2.4买方代表参与交货前检验及签署交货前检验记录的行为，不视为对合同设备质量的确认，不影响卖方交货后买方依照合同约定对合同设备提出质量异议和（或） 退货的权利，也不免除卖方依照合同约定对合同设备所应承担的任何义务或责任。</w:t>
      </w:r>
    </w:p>
    <w:p w14:paraId="48D47BEC">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5.包装、标记、运输和交付</w:t>
      </w:r>
    </w:p>
    <w:p w14:paraId="16566F9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5.1 包装</w:t>
      </w:r>
    </w:p>
    <w:p w14:paraId="598C5CD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5.1.1 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14:paraId="732FB6A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5.1.2 每个独立包装箱内应附装箱清单、质量合格证、装配图、说明书、操作指南等资料。</w:t>
      </w:r>
    </w:p>
    <w:p w14:paraId="14BAF3A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5.1.3 除专用合同条款另有约定外，买方无需将包装物退还给卖方。</w:t>
      </w:r>
    </w:p>
    <w:p w14:paraId="59231CA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5.2 标记</w:t>
      </w:r>
    </w:p>
    <w:p w14:paraId="536949D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5.2.1除专用合同条款另有约定外，卖方应在每一包装箱相邻的四个侧面以不可擦除的、明显的方式标记必要的装运信息和标记，以满足合同设备运输和保管的需要。</w:t>
      </w:r>
    </w:p>
    <w:p w14:paraId="2B55B5E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5.2.2根据合同设备的特点和运输、保管的不同要求，卖方应在包装箱上清楚地标注“小心 轻放” 、“此端朝上，请勿倒置”、“保持干燥”等字样和其他适当标记。对于专用合同条款约定的超大超重件，卖方应在包装箱两侧标注“重心”和“起吊点”以便装卸和搬运。如果发运合同设备中含有易燃易爆物品、腐蚀物品、放射性物质等危险品， 则应在包装箱上标明危险品标志。</w:t>
      </w:r>
    </w:p>
    <w:p w14:paraId="369745F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5.3 运输</w:t>
      </w:r>
    </w:p>
    <w:p w14:paraId="04B0C8F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5.3.1 卖方应自行选择适宜的运输工具及线路安排合同设备运输。</w:t>
      </w:r>
    </w:p>
    <w:p w14:paraId="6FE7DC3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5.3.2 除专用合同条款另有约定外，每件能够独立运行的设备应整套装运。该设备安装、调试、考核和运行所使用的备品、备件、易损易耗件等应随相关的主机一齐装运。</w:t>
      </w:r>
    </w:p>
    <w:p w14:paraId="4C39E37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5.3.3 除专用合同条款另有约定外，卖方应在合同设备预计启运7日前，将合同设备名称、数量、箱数、总毛重、总体积（用 m3  表示）、每箱尺寸（长×宽×高）、装运合同设备总金额、 运输方式、预计交付日期和合同设备在运输、装卸、保管中的注意事项等预通知买方，并在合同设备启运后24小时之内正式通知买方。</w:t>
      </w:r>
    </w:p>
    <w:p w14:paraId="4C472A8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5.3.4 卖方在根据第5.3.3项进行通知时， 如果发运合同设备中包括专用合同条款约定的超大超重包装，则卖方应将超大和（或） 超重的每个包装箱的重量和尺寸通知买方；如果发运 同设备中包括易燃易爆物品、腐蚀物品、放射性物质等危险品，则危险品的品名、性质、在运输、装卸、保管方面的特殊要求、注意事项和处理意外情况的方法等， 也应一并通知买方。</w:t>
      </w:r>
    </w:p>
    <w:p w14:paraId="5A41FCB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5.4 交付</w:t>
      </w:r>
    </w:p>
    <w:p w14:paraId="7BD5871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5.4.1 除专用合同条款另有约定外，卖方应根据合同约定的交付时间和批次在施工场地车面上将合同设备交付给买方。买方对卖方交付的包装的合同设备的外观及件数进行清点核验后应 签发收货清单，并自负风险和费用进行卸货。买方签发收货清单不代表对合同设备的接受，双方还应按合同约定进行后续的检验和验收。</w:t>
      </w:r>
    </w:p>
    <w:p w14:paraId="16026C4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5.4.2 合同设备的所有权和风险自交付时起由卖方转移至买方，合同设备交付给买方之前包括运输在内的所有风险均由卖方承担。</w:t>
      </w:r>
    </w:p>
    <w:p w14:paraId="4E41138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5.4.3 除专用合同条款另有约定外，买方如果发现技术资料存在短缺和（或）损坏， 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p w14:paraId="3DF8051B">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6.开箱检验、安装、调试、考核、验收</w:t>
      </w:r>
    </w:p>
    <w:p w14:paraId="7D1819B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  开箱检验</w:t>
      </w:r>
    </w:p>
    <w:p w14:paraId="71C423C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6.1.1 合同设备交付后应进行开箱检验，即合同设备数量及外观检验。开箱检验在专用合同条款约定的下列任一种时间进行：</w:t>
      </w:r>
    </w:p>
    <w:p w14:paraId="55121AC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（1）合同设备交付时；</w:t>
      </w:r>
    </w:p>
    <w:p w14:paraId="097E458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（2）合同设备交付后的一定期限内。</w:t>
      </w:r>
    </w:p>
    <w:p w14:paraId="6EAE3EC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如开箱检验不在合同设备交付时进行，买方应在开箱检验3日前将开箱检验的时间和地点通知卖方。</w:t>
      </w:r>
    </w:p>
    <w:p w14:paraId="609FFDA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6.1.2 除专用合同条款另有约定外，合同设备的开箱检验应在施工场地进行。</w:t>
      </w:r>
    </w:p>
    <w:p w14:paraId="0BC338E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6.1.3 开箱检验由买卖双方共同进行，卖方应自负费用派遣代表到场参加开箱检验。</w:t>
      </w:r>
    </w:p>
    <w:p w14:paraId="2A349A7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6.1.4 在开箱检验中，买方和卖方应共同签署数量、外观检验报告，报告应列明检验结果，包括检验合格或发现的任何短缺、损坏或其它与合同约定不符的情形。</w:t>
      </w:r>
    </w:p>
    <w:p w14:paraId="02FAA5A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15D6B14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6.1.6 如开箱检验不在合同设备交付时进行，则合同设备交付以后到开箱检验之前， 应由买方负责按交货时外包装原样对合同设备进行妥善保管。除专用合同条款另有约定外，在开箱检 验时如果合同设备外包装与交货时一致，则开箱检验中发现的合同设备的短缺、损坏或其它与合同约定不符的情形，由卖方负责，卖方应补齐、更换及采取其他补救措施。如果在开箱检验 时合同设备外包装不是交货时的包装或虽是交货时的包装但与交货时不一致且出现很可能导致 合同设备短缺或损坏的包装破损，则开箱检验中发现合同设备短缺、损坏或其它与合同约定不 符的情形的风险， 由买方承担，但买方能够证明是由于卖方原因或合同设备交付前非买方原因导致的除外。</w:t>
      </w:r>
    </w:p>
    <w:p w14:paraId="1CAE47B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6.1.7 如双方在专用合同条款和（或）技术要求等合同文件中约定由第三方检测机构对合同设备进行开箱检验或在开箱检验过程中另行约定由第三方检验的，则第三方检测机构的检验结果对双方均具有约束力。</w:t>
      </w:r>
    </w:p>
    <w:p w14:paraId="3ACA61C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6.1.8开箱检验的检验结果不能对抗在合同设备的安装、调试、考核、验收中及质量保证期内发现的合同设备质量问题， 也不能免除或影响卖方依照合同约定对买方负有的包括合同设备质量在内的任何义务或责任。</w:t>
      </w:r>
    </w:p>
    <w:p w14:paraId="0D9B47F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6.2  安装、调试</w:t>
      </w:r>
    </w:p>
    <w:p w14:paraId="3EDDA27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6.2.1 开箱检验完成后，双方应对合同设备进行安装、调试，以使其具备考核的状态。安装、调试应按照专用合同条款约定的下列任一种方式进行：</w:t>
      </w:r>
    </w:p>
    <w:p w14:paraId="4465405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（1）卖方按照合同约定完成合同设备的安装、调试工作；</w:t>
      </w:r>
    </w:p>
    <w:p w14:paraId="63523AA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（2）买方或买方安排第三方负责合同设备的安装、调试工作，卖方提供技术服务。</w:t>
      </w:r>
    </w:p>
    <w:p w14:paraId="41786C5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除专用合同条款另有约定外， 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 造成合同设备损坏的情况，卖方应承担责任。</w:t>
      </w:r>
    </w:p>
    <w:p w14:paraId="5697AE2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6.2.2 除专用合同条款另有约定外，安装、调试中合同设备运行需要的用水、用电、其他动力和原材料（如需要）等均由买方承担。</w:t>
      </w:r>
    </w:p>
    <w:p w14:paraId="3EB99F4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6.2.3双方应对合同设备的安装、调试情况共同及时进行记录。</w:t>
      </w:r>
    </w:p>
    <w:p w14:paraId="747CC2E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6.3  考核</w:t>
      </w:r>
    </w:p>
    <w:p w14:paraId="19CA9AA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6.3.1 安装、调试完成后，双方应对合同设备进行考核， 以确定合同设备是否达到合同约定的技术性能考核指标。除专用合同条款另有约定外，考核中合同设备运行需要的用水、用电、其他动力和原材料（如需要）等均由买方承担。</w:t>
      </w:r>
    </w:p>
    <w:p w14:paraId="0076C61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6.3.2 如由于卖方原因合同设备在考核中未能达到合同约定的技术性能考核指标，则卖方应在双方同意的期限内采取措施消除合同设备中存在的缺陷，并在缺陷消除以后，尽快进行再次考核。</w:t>
      </w:r>
    </w:p>
    <w:p w14:paraId="740BF3D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6.3.3 由于卖方原因未能达到技术性能考核指标时，为卖方进行考核的机会不超过三次。如果由于卖方原因， 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14:paraId="08B0F8B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6.3.4 如由于买方原因合同设备在考核中未能达到合同约定的技术性能考核指标，则卖方应协助买方安排再次考核。由于买方原因未能达到技术性能考核指标时，为买方进行考核的机会不超过三次。</w:t>
      </w:r>
    </w:p>
    <w:p w14:paraId="1BF3187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6.3.5 考核期间，双方应及时共同记录合同设备的用水、用电、其他动力和原材料（如有）的使用及设备考核情况。对于未达到技术性能考核指标的，应如实记录设备表现、可能原因及处理情况等。</w:t>
      </w:r>
    </w:p>
    <w:p w14:paraId="285C7AF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6.4 验收</w:t>
      </w:r>
    </w:p>
    <w:p w14:paraId="732FE8C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6.4.1 如合同设备在考核中达到或视为达到技术性能考核指标，则买卖双方应在考核完成后7日内或专用合同条款另行约定的时间内签署合同设备验收证书一式二份， 双方各持一份。验收日期应为合同设备达到或视为达到技术性能考核指标的日期。</w:t>
      </w:r>
    </w:p>
    <w:p w14:paraId="2E78017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6.4.2如由于买方原因合同设备在三次考核中均未能达到技术性能考核指标，买卖双方应在考核结束后7日内或专用合同条款另行约定的时间内签署验收款支付函。</w:t>
      </w:r>
    </w:p>
    <w:p w14:paraId="68FD068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除专用合同条款另有约定外，卖方有义务在验收款支付函签署后12个月内应买方要求提供相关技术服务，协助买方采取一切必要措施使合同设备达到技术性能考核指标。买方应承担卖方因此产生的全部费用。</w:t>
      </w:r>
    </w:p>
    <w:p w14:paraId="6B2B949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在上述12个月的期限内， 如合同设备经过考核达到或视为达到技术性能考核指标， 则买卖双方应按照第6.4.1项的约定签署合同设备验收证书。</w:t>
      </w:r>
    </w:p>
    <w:p w14:paraId="621348A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6.4.3 除专用合同条款另有约定外，如由于买方原因在最后一批合同设备交货后6个月内未能开始考核，则买卖双方应在上述期限届满后7日内或专用合同条款另行约定的时间内签署验收款支付函。</w:t>
      </w:r>
    </w:p>
    <w:p w14:paraId="6E500A0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除专用合同条款另有约定外，卖方有义务在验收款支付函签署后6个月内应买方要求提供不超出合同范围的技术服务，协助买方采取一切必要措施使合同设备达到技术性能考核指标，且买方无需因此向卖方支付费用。</w:t>
      </w:r>
    </w:p>
    <w:p w14:paraId="142B73D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在上述6个月的期限内，如合同设备经过考核达到或视为达到技术性能考核指标，则买卖双方应按照第6.4.1项的约定签署合同设备验收证书。</w:t>
      </w:r>
    </w:p>
    <w:p w14:paraId="287AA98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6.4.4在第6.4.2项和第6.4.3项情形下，卖方也可单方签署验收款支付函提交买方，如果买方在收到卖方签署的验收款支付函后14日内未向卖方提出书面异议，则验收款支付函自签署之日起生效。</w:t>
      </w:r>
    </w:p>
    <w:p w14:paraId="7D4BDFA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6.4.5合同设备验收证书的签署不能免除卖方在质量保证期内对合同设备应承担的保证责任。</w:t>
      </w:r>
    </w:p>
    <w:p w14:paraId="294D3AD1">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7.技术服务</w:t>
      </w:r>
    </w:p>
    <w:p w14:paraId="274FA12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7.1 卖方应派遣技术熟练、称职的技术人员到施工场地为买方提供技术服务。卖方的技术服务应符合合同的约定。</w:t>
      </w:r>
    </w:p>
    <w:p w14:paraId="1917E4C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7.2 买方应免费为卖方技术人员提供工作条件及便利，包括但不限于必要的办公场所、技术资料及出入许可等。除专用合同条款另有约定外，卖方技术人员的交通、食宿费用由卖方承担。</w:t>
      </w:r>
    </w:p>
    <w:p w14:paraId="75047BC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7.3卖方技术人员应遵守买方施工现场的各项规章制度和安全操作规程，并服从买方的现场管理。</w:t>
      </w:r>
    </w:p>
    <w:p w14:paraId="784D9E3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7.4 如果任何技术人员不合格，买方有权要求卖方撤换，因撤换而产生的费用应由卖方承担。在不影响技术服务并且征得买方同意的条件下，卖方也可自负费用更换其技术人员。</w:t>
      </w:r>
    </w:p>
    <w:p w14:paraId="24ACB69E">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8.质量保证期</w:t>
      </w:r>
    </w:p>
    <w:p w14:paraId="48A6B44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8.1 除专用合同条款和（或）技术要求等合同文件另有约定外，本项目整体质量保证期为验收之日起</w:t>
      </w:r>
      <w:r>
        <w:rPr>
          <w:rFonts w:ascii="宋体" w:hAnsi="宋体" w:cs="宋体"/>
          <w:color w:val="auto"/>
          <w:szCs w:val="21"/>
        </w:rPr>
        <w:t>24</w:t>
      </w:r>
      <w:r>
        <w:rPr>
          <w:rFonts w:hint="eastAsia" w:ascii="宋体" w:hAnsi="宋体" w:cs="宋体"/>
          <w:color w:val="auto"/>
          <w:szCs w:val="21"/>
        </w:rPr>
        <w:t>个月（各设备质</w:t>
      </w:r>
      <w:r>
        <w:rPr>
          <w:rFonts w:hint="eastAsia" w:ascii="宋体" w:hAnsi="宋体" w:cs="宋体"/>
          <w:color w:val="auto"/>
          <w:szCs w:val="21"/>
          <w:highlight w:val="none"/>
        </w:rPr>
        <w:t>保期详见技术要求（如有），以国家规定的质保</w:t>
      </w:r>
      <w:r>
        <w:rPr>
          <w:rFonts w:hint="eastAsia" w:ascii="宋体" w:hAnsi="宋体" w:cs="宋体"/>
          <w:color w:val="auto"/>
          <w:szCs w:val="21"/>
        </w:rPr>
        <w:t>期为准）。如对合同设备中关键部件的质量保证期有特殊要求的，买卖双方可在专用合同条款中约定。在合同第6.4.2项情形下，无论合同设备何时验收，其质量保证期最长为签署验收款支付函后12个月。在合同第6.4.3项情形下，无论合同设备何时验收，其质量保证期最长为签署验收款支付函后6个月。</w:t>
      </w:r>
    </w:p>
    <w:p w14:paraId="3D32049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8.2 在质量保证期内如果合同设备出现故障，卖方应自负费用提供质保期服务，对相关合同设备进行修理或更换以消除故障。更换的合同设备和（或）关键部件的质量保证期应重新计 算。但如果合同设备的故障是由于买方原因造成的，则对合同设备进行修理和更换的费用应由买方承担。</w:t>
      </w:r>
    </w:p>
    <w:p w14:paraId="21BA3EA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8.3 质量保证期届满后， 买方应在7日内或专用合同条款另行约定的时间内向卖方出具合同设备的质量保证期届满证书。</w:t>
      </w:r>
    </w:p>
    <w:p w14:paraId="7E4D0AD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8.4 在合同第6.4.2项情形下，如在验收款支付函签署后12个月内由于买方原因合同设仍未能达到技术性能考核指标，则买卖双方应在该12个月届满后7日内或专用合同条款另行约定的时间内签署结清款支付函。</w:t>
      </w:r>
    </w:p>
    <w:p w14:paraId="3BDAFB9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8.5 在合同第6.4.3项情形下，如在验收款支付函签署后6个月内由于买方原因合同设备仍未进行考核或仍未达到技术性能考核指标，则买卖双方应在该6个月届满后7日内或专用合同条款另行约定的时间内签署结清款支付函。</w:t>
      </w:r>
    </w:p>
    <w:p w14:paraId="732E190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8.6在第8.4款和第8.5款情形下，卖方也可单方签署结清款支付函提交买方，如果买方在收到卖方签署的结清款支付函后14日内未向卖方提出书面异议，则结清款支付函自签署之日起生效。</w:t>
      </w:r>
    </w:p>
    <w:p w14:paraId="2BCCB81D">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9. 质保期服务</w:t>
      </w:r>
    </w:p>
    <w:p w14:paraId="3582F3B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9.1 卖方应为质保期服务配备充足的技术人员、工具和备件并保证提供的联系方式畅通。除专用合同条款和（或）技术要求等合同文件另有约定外，卖方应在收到买方通知后24小时内 做出响应，如需卖方到合同设备现场，卖方应在收到买方通知后48小时内到达， 并在到达后7日内解决合同设备的故障（重大故障除外）。如果卖方未在上述时间内作出响应，则买方有权自行或委托他人解决相关问题或查找和解决合同设备的故障，卖方应承担由此发生的全部费用。</w:t>
      </w:r>
    </w:p>
    <w:p w14:paraId="0A62863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315FC41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9.3 如果任何技术人员不合格，买方有权要求卖方撤换， 因撤换而产生的费用应由卖方承担。在不影响质保期服务并且征得买方同意的条件下，卖方也可自负费用更换其技术人员。</w:t>
      </w:r>
    </w:p>
    <w:p w14:paraId="1FF1CB9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9.4 除专用合同条款另有约定外，卖方应就在施工现场进行质保期服务的情况进行记录，记载合同设备故障发生的时间、原因及解决情况等，由买方签字确认，并在质量保证期结束后提交给买方。</w:t>
      </w:r>
    </w:p>
    <w:p w14:paraId="17E74B90">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10. 履约保证金</w:t>
      </w:r>
    </w:p>
    <w:p w14:paraId="1E0FA93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除专用合同条款另有约定外， 履约保证金自合同生效之日起生效，在合同设备验收证书或验收款支付函签署之日起28日后失效。如果卖方不履行合同约定的义务或其履行不符合合同的约定，买方有权扣划相应金额的履约保证金。</w:t>
      </w:r>
    </w:p>
    <w:p w14:paraId="3C8B1BC0">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11. 保证</w:t>
      </w:r>
    </w:p>
    <w:p w14:paraId="6E396C3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 卖方保证其具有完全的能力履行本合同项下的全部义务。</w:t>
      </w:r>
    </w:p>
    <w:p w14:paraId="667EA87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11.2 卖方保证其所提供的合同设备及对合同的履行符合所有应适用的法律、行政法规、地方性法规、自治条例和单行条例、规章及其他规范性文件的强制性规定。</w:t>
      </w:r>
    </w:p>
    <w:p w14:paraId="09A7E2A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11.3 卖方保证其对合同设备的销售不损害任何第三方的合法权益和社会公众利益。任何第三方不会因卖方原因而基于所有权、抵押权、留置权或其他任何权利或事由对合同设备主张权利。</w:t>
      </w:r>
    </w:p>
    <w:p w14:paraId="512C788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11.4 卖方保证合同设备符合合同约定的规格、标准、技术性能考核指标等，能够安全和稳定地运行，且合同设备（包括全部部件）全新、完整、未使用过，除非专用合同条款和（或）技术要求等合同文件另有约定。</w:t>
      </w:r>
    </w:p>
    <w:p w14:paraId="511B430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11.5 卖方保证，卖方所提供的技术资料完整、清晰、准确，符合合同约定并且能够满足合同设备的安装、调试、考核、操作以及维修和保养的需要。</w:t>
      </w:r>
    </w:p>
    <w:p w14:paraId="7C74008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7EE6E25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11.7 除专用合同条款和（或）技术要求等合同文件另有约定外，如果在合同设备设计使用寿命期内发生合同项下备品备件停止生产的情况， 卖方应事先将拟停止生产的计划通知买方，使买方有足够的时间考虑备品备件的需求量。根据买方要求， 卖方应：</w:t>
      </w:r>
    </w:p>
    <w:p w14:paraId="0BFC552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（1）以不高于同期市场价格或其向任何第三方销售同类产品的价格提供合同设备正常运行所需的全部备品备件。或</w:t>
      </w:r>
    </w:p>
    <w:p w14:paraId="79779A2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3C77837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11.8 卖方保证，在合同设备设计使用寿命期内，如果卖方发现合同设备由于设计、制造、标识等原因存在足以危及人身、财产安全的缺陷， 卖方将及时通知买方并及时采取修正或者补充标识、修理、更换等措施消除缺陷。</w:t>
      </w:r>
    </w:p>
    <w:p w14:paraId="54084E57">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12. 知识产权</w:t>
      </w:r>
    </w:p>
    <w:p w14:paraId="01E56E4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12.1 买方在履行合同过程中提供给卖方的全部图纸、文件和其他含有数据和信息的资料，其知识产权属于买方。</w:t>
      </w:r>
    </w:p>
    <w:p w14:paraId="176FAAF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12.2 除专用合同条款另有约定外，买方不因签署和履行合同而享有卖方在履行合同过程中提供给买方的图纸、文件、配套软件、电子辅助程序和其他含有数据和信息的资料的知识产权。</w:t>
      </w:r>
    </w:p>
    <w:p w14:paraId="518EC89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12.3 如合同设备涉及知识产权，则卖方保证买方在使用合同设备过程中免于受到第三方提出的有关知识产权侵权的主张、索赔或诉讼的伤害。</w:t>
      </w:r>
    </w:p>
    <w:p w14:paraId="60B7524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12.4 如果买方收到任何第三方有关知识产权的主张、索赔或诉讼，卖方在收到买方通知后，应以买方名义并在买方的协助下，自负费用处理与第三方的索赔或诉讼，并赔偿买方因此发生 的费用和遭受的损失。除专用合同条款另有约定外，如果卖方拒绝处理前述索赔或诉讼或在收 到买方通知后28日内未作表示，买方可以自己的名义进行这些索赔或诉讼，因此发生的费用和遭受的损失均应由卖方承担。</w:t>
      </w:r>
    </w:p>
    <w:p w14:paraId="23D64D9A">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13. 保密</w:t>
      </w:r>
    </w:p>
    <w:p w14:paraId="2668FD1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合同双方应对因履行合同而取得的另一方当事人的信息、资料等予以保密。未经另一方当事人书面同意，任何一方均不得为与履行合同无关的目的使用或向第三方披露另一方当事人提供的信息、资料。</w:t>
      </w:r>
    </w:p>
    <w:p w14:paraId="58FC77E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合同当事人的保密义务不适用于下列信息：</w:t>
      </w:r>
    </w:p>
    <w:p w14:paraId="653843F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（1）非因接受信息一方的过失现在或以后进入公共领域的信息；</w:t>
      </w:r>
    </w:p>
    <w:p w14:paraId="65E9876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（2）接受信息一方当事人合法地从第三方获得并且据其善意了解第三方也不对此承担保密义务的信息；</w:t>
      </w:r>
    </w:p>
    <w:p w14:paraId="05E68F8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（3）法律或法律的执行要求披露的信息。</w:t>
      </w:r>
    </w:p>
    <w:p w14:paraId="5F28F1C2">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14. 违约责任</w:t>
      </w:r>
    </w:p>
    <w:p w14:paraId="439E3E1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14.1 合同一方不履行合同义务、履行合同义务不符合约定或者违反合同项下所作保证的，应向对方承担继续履行、采取修理、更换、退货等补救措施或者赔偿损失等违约责任。</w:t>
      </w:r>
    </w:p>
    <w:p w14:paraId="5177C49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14.2 卖方未能按时交付合同设备（包括仅迟延交付技术资料但足以导致合同设备安装、调试、考核、验收工作推迟的）的，应向买方支付迟延交付违约金。除专用合同条款另有约定外，迟延交付违约金的计算方法如下：</w:t>
      </w:r>
    </w:p>
    <w:p w14:paraId="49C9FDA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（1）从迟交的第一周到第四周，每周迟延交付违约金为迟交合同设备价格的0.5%； </w:t>
      </w:r>
    </w:p>
    <w:p w14:paraId="1A3A34E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（2）从迟交的第五周到第八周，每周迟延交付违约金为迟交合同设备价格的1%；</w:t>
      </w:r>
    </w:p>
    <w:p w14:paraId="5ED7514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（3）从迟交第九周起，每周迟延交付违约金为迟交合同设备价格的1.5%。</w:t>
      </w:r>
    </w:p>
    <w:p w14:paraId="4A91DD5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在计算迟延交付违约金时，迟交不足一周的按一周计算。迟延交付违约金的总额不得超过合同价格的10%。</w:t>
      </w:r>
    </w:p>
    <w:p w14:paraId="356F550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迟延交付违约金的支付不能免除卖方继续交付相关合同设备的义务，但如迟延交付必然导致合同设备安装、调试、考核、验收工作推迟的，相关工作应相应顺延。</w:t>
      </w:r>
    </w:p>
    <w:p w14:paraId="49D61F6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14.3买方未能按合同约定支付合同价款的，应向卖方支付延迟付款违约金。除专用合同条款另有约定外，迟延付款违约金的计算方法如下：</w:t>
      </w:r>
    </w:p>
    <w:p w14:paraId="4BF216A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（1）从迟付的第一周到第四周，每周迟延付款违约金为迟延付款金额的0.5%；</w:t>
      </w:r>
    </w:p>
    <w:p w14:paraId="23D61F1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 （2）从迟付的第五周到第八周，每周迟延付款违约金为迟延付款金额的1%；</w:t>
      </w:r>
    </w:p>
    <w:p w14:paraId="0766A34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（3）从迟付第九周起， 每周迟延付款违约金为迟延付款金额的1.5%。</w:t>
      </w:r>
    </w:p>
    <w:p w14:paraId="68E186F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在计算迟延付款违约金时，迟付不足一周的按一周计算。迟延付款违约金的总额不得超过合同价格的 10%。</w:t>
      </w:r>
    </w:p>
    <w:p w14:paraId="04AF2245">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15. 合同的解除</w:t>
      </w:r>
    </w:p>
    <w:p w14:paraId="66CE2B1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除专用合同条款另有约定外， 有下述情形之一，当事人可发出书面通知全部或部分地解除合同，合同自通知到达对方时全部或部分地解除：</w:t>
      </w:r>
    </w:p>
    <w:p w14:paraId="1479D1A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（1）卖方迟延交付合同设备超过3个月；</w:t>
      </w:r>
    </w:p>
    <w:p w14:paraId="111014C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14:paraId="2966423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（3）买方迟延付款超过3个月；</w:t>
      </w:r>
    </w:p>
    <w:p w14:paraId="6E791EA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合同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补救；</w:t>
      </w:r>
    </w:p>
    <w:p w14:paraId="7081DA3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（5）合同一方当事人出现破产、清算、资不抵债、成为失信被执行人等可能丧失履约能力的情形，且未能提供令对方满意的履约保证金。</w:t>
      </w:r>
    </w:p>
    <w:p w14:paraId="3D7A27B6">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16. 不可抗力</w:t>
      </w:r>
    </w:p>
    <w:p w14:paraId="2D82BF3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16.1 如果任何一方当事人受到不能预见、不能避免且不能克服的不可抗力事件的影响， 例如战争、严重的火灾、台风、地震、洪水和专用合同条款约定的其他情形， 而无法履行合同项 下的任何义务，则受影响的一方当事人应立即将此类事件的发生通知另一方当事人，并应在不可抗力事件发生后28日内将有关当局或机构出具的证明文件提交给另一方当事人。</w:t>
      </w:r>
    </w:p>
    <w:p w14:paraId="4534BAF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16.2受不可抗力事件影响的一方当事人对于不可抗力事件导致的任何合同义务的迟延履行或不能履行不承担违约责任。但该方当事人应尽快将不可抗力事件结束或消除的情况通知另一方当事人。</w:t>
      </w:r>
    </w:p>
    <w:p w14:paraId="32E1A20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16.3 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14:paraId="57CCC68A">
      <w:pPr>
        <w:widowControl/>
        <w:jc w:val="left"/>
        <w:rPr>
          <w:b/>
          <w:bCs/>
          <w:color w:val="auto"/>
          <w:sz w:val="28"/>
          <w:szCs w:val="28"/>
        </w:rPr>
      </w:pPr>
      <w:r>
        <w:rPr>
          <w:b/>
          <w:bCs/>
          <w:color w:val="auto"/>
          <w:sz w:val="28"/>
          <w:szCs w:val="28"/>
        </w:rPr>
        <w:br w:type="page"/>
      </w:r>
    </w:p>
    <w:p w14:paraId="4F2F2A74">
      <w:pPr>
        <w:jc w:val="center"/>
        <w:rPr>
          <w:rFonts w:ascii="仿宋_GB2312" w:hAnsi="黑体" w:eastAsia="仿宋_GB2312"/>
          <w:color w:val="auto"/>
        </w:rPr>
      </w:pPr>
      <w:r>
        <w:rPr>
          <w:rFonts w:hint="eastAsia"/>
          <w:b/>
          <w:bCs/>
          <w:color w:val="auto"/>
          <w:sz w:val="28"/>
          <w:szCs w:val="28"/>
        </w:rPr>
        <w:t>第二节  专用合同条款</w:t>
      </w:r>
    </w:p>
    <w:p w14:paraId="434A94AB">
      <w:pPr>
        <w:spacing w:line="520" w:lineRule="exact"/>
        <w:ind w:firstLine="420" w:firstLineChars="200"/>
        <w:jc w:val="left"/>
        <w:rPr>
          <w:rFonts w:ascii="宋体" w:hAnsi="宋体" w:cs="宋体"/>
          <w:color w:val="auto"/>
        </w:rPr>
      </w:pPr>
      <w:r>
        <w:rPr>
          <w:rFonts w:hint="eastAsia" w:ascii="宋体" w:hAnsi="宋体" w:cs="宋体"/>
          <w:color w:val="auto"/>
        </w:rPr>
        <w:t>本《专用合同条款》是根据本项目特点对《通用合同条款》的具体补充和细 化，如有不一致，以《专用合同条款》为准。</w:t>
      </w:r>
    </w:p>
    <w:p w14:paraId="4B9D30BD">
      <w:pPr>
        <w:spacing w:line="520" w:lineRule="exact"/>
        <w:ind w:firstLine="420" w:firstLineChars="200"/>
        <w:jc w:val="center"/>
        <w:rPr>
          <w:rFonts w:ascii="宋体" w:hAnsi="宋体" w:cs="宋体"/>
          <w:color w:val="auto"/>
        </w:rPr>
      </w:pPr>
      <w:r>
        <w:rPr>
          <w:rFonts w:hint="eastAsia" w:ascii="宋体" w:hAnsi="宋体" w:cs="宋体"/>
          <w:color w:val="auto"/>
        </w:rPr>
        <w:t>专用合同条款数据表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065"/>
        <w:gridCol w:w="7822"/>
      </w:tblGrid>
      <w:tr w14:paraId="781C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6FF82280">
            <w:pPr>
              <w:spacing w:line="520" w:lineRule="exact"/>
              <w:jc w:val="left"/>
              <w:rPr>
                <w:rFonts w:ascii="宋体" w:hAnsi="宋体" w:cs="宋体"/>
                <w:color w:val="auto"/>
              </w:rPr>
            </w:pPr>
            <w:r>
              <w:rPr>
                <w:b/>
                <w:bCs/>
                <w:color w:val="auto"/>
                <w:spacing w:val="-7"/>
              </w:rPr>
              <w:t>序号</w:t>
            </w:r>
          </w:p>
        </w:tc>
        <w:tc>
          <w:tcPr>
            <w:tcW w:w="1065" w:type="dxa"/>
          </w:tcPr>
          <w:p w14:paraId="7B88A1FD">
            <w:pPr>
              <w:spacing w:line="520" w:lineRule="exact"/>
              <w:jc w:val="left"/>
              <w:rPr>
                <w:rFonts w:ascii="宋体" w:hAnsi="宋体" w:cs="宋体"/>
                <w:color w:val="auto"/>
              </w:rPr>
            </w:pPr>
            <w:r>
              <w:rPr>
                <w:rFonts w:hint="eastAsia" w:ascii="宋体" w:hAnsi="宋体" w:cs="宋体"/>
                <w:color w:val="auto"/>
              </w:rPr>
              <w:t>条目号</w:t>
            </w:r>
          </w:p>
        </w:tc>
        <w:tc>
          <w:tcPr>
            <w:tcW w:w="7822" w:type="dxa"/>
          </w:tcPr>
          <w:p w14:paraId="184A76ED">
            <w:pPr>
              <w:spacing w:line="520" w:lineRule="exact"/>
              <w:jc w:val="left"/>
              <w:rPr>
                <w:rFonts w:ascii="宋体" w:hAnsi="宋体" w:cs="宋体"/>
                <w:color w:val="auto"/>
              </w:rPr>
            </w:pPr>
            <w:r>
              <w:rPr>
                <w:rFonts w:hint="eastAsia" w:ascii="宋体" w:hAnsi="宋体" w:cs="宋体"/>
                <w:color w:val="auto"/>
              </w:rPr>
              <w:t>信息或数据</w:t>
            </w:r>
          </w:p>
        </w:tc>
      </w:tr>
      <w:tr w14:paraId="2BDD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4CC9553E">
            <w:pPr>
              <w:spacing w:line="520" w:lineRule="exact"/>
              <w:jc w:val="center"/>
              <w:rPr>
                <w:b/>
                <w:bCs/>
                <w:color w:val="auto"/>
                <w:spacing w:val="-7"/>
              </w:rPr>
            </w:pPr>
            <w:r>
              <w:rPr>
                <w:rFonts w:hint="eastAsia" w:ascii="宋体" w:hAnsi="宋体" w:cs="宋体"/>
                <w:color w:val="auto"/>
              </w:rPr>
              <w:t>1</w:t>
            </w:r>
          </w:p>
        </w:tc>
        <w:tc>
          <w:tcPr>
            <w:tcW w:w="1065" w:type="dxa"/>
          </w:tcPr>
          <w:p w14:paraId="27B37C36">
            <w:pPr>
              <w:spacing w:line="520" w:lineRule="exact"/>
              <w:jc w:val="left"/>
              <w:rPr>
                <w:rFonts w:ascii="宋体" w:hAnsi="宋体" w:cs="宋体"/>
                <w:color w:val="auto"/>
              </w:rPr>
            </w:pPr>
            <w:r>
              <w:rPr>
                <w:rFonts w:hint="eastAsia" w:ascii="宋体" w:hAnsi="宋体" w:cs="宋体"/>
                <w:color w:val="auto"/>
              </w:rPr>
              <w:t>3.2</w:t>
            </w:r>
          </w:p>
        </w:tc>
        <w:tc>
          <w:tcPr>
            <w:tcW w:w="7822" w:type="dxa"/>
          </w:tcPr>
          <w:p w14:paraId="2FE115CA">
            <w:pPr>
              <w:spacing w:line="520" w:lineRule="exact"/>
              <w:jc w:val="left"/>
              <w:rPr>
                <w:rFonts w:ascii="宋体" w:hAnsi="宋体" w:cs="宋体"/>
                <w:color w:val="auto"/>
              </w:rPr>
            </w:pPr>
            <w:r>
              <w:rPr>
                <w:rFonts w:hint="eastAsia" w:ascii="宋体" w:hAnsi="宋体" w:cs="宋体"/>
                <w:color w:val="auto"/>
              </w:rPr>
              <w:t>合同价款的支付：在具备施工条件的前提下，买方在合同签订后一个月内或不迟于约定的开工日期前7天内预付工程款（合同总价*10%）。完成水厂精准加药系统改造及西涧湖水厂二车间沉淀池进水管改造后付至已完成合格工程量价款的85%，所有设备供货、安装、调式及验收合格并经审计结束后付至结算价款的98%，剩余2%作为质量保证金，缺陷责任期（自竣工验收合格之日起满2年）满一个月内付清。质量保证金支持保函（银行保函、担保机构担保、保证保险）使用。采用保函的不再从工程进度款中扣留质量保证金，保函有效期须与工程缺陷责任期截止时间保持一致。</w:t>
            </w:r>
          </w:p>
        </w:tc>
      </w:tr>
      <w:tr w14:paraId="51E3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209AD889">
            <w:pPr>
              <w:spacing w:line="520" w:lineRule="exact"/>
              <w:jc w:val="center"/>
              <w:rPr>
                <w:rFonts w:ascii="宋体" w:hAnsi="宋体" w:cs="宋体"/>
                <w:color w:val="auto"/>
              </w:rPr>
            </w:pPr>
            <w:r>
              <w:rPr>
                <w:rFonts w:hint="eastAsia" w:ascii="宋体" w:hAnsi="宋体" w:cs="宋体"/>
                <w:color w:val="auto"/>
              </w:rPr>
              <w:t>2</w:t>
            </w:r>
          </w:p>
        </w:tc>
        <w:tc>
          <w:tcPr>
            <w:tcW w:w="1065" w:type="dxa"/>
            <w:vAlign w:val="center"/>
          </w:tcPr>
          <w:p w14:paraId="62F09F87">
            <w:pPr>
              <w:spacing w:line="520" w:lineRule="exact"/>
              <w:jc w:val="center"/>
              <w:rPr>
                <w:rFonts w:ascii="宋体" w:hAnsi="宋体" w:cs="宋体"/>
                <w:color w:val="auto"/>
              </w:rPr>
            </w:pPr>
            <w:r>
              <w:rPr>
                <w:rFonts w:hint="eastAsia" w:ascii="宋体" w:hAnsi="宋体" w:cs="宋体"/>
                <w:color w:val="auto"/>
              </w:rPr>
              <w:t>3.2.1</w:t>
            </w:r>
          </w:p>
        </w:tc>
        <w:tc>
          <w:tcPr>
            <w:tcW w:w="7822" w:type="dxa"/>
          </w:tcPr>
          <w:p w14:paraId="35BFFCE3">
            <w:pPr>
              <w:spacing w:line="520" w:lineRule="exact"/>
              <w:jc w:val="left"/>
              <w:rPr>
                <w:rFonts w:ascii="宋体" w:hAnsi="宋体" w:cs="宋体"/>
                <w:color w:val="auto"/>
                <w:highlight w:val="none"/>
              </w:rPr>
            </w:pPr>
            <w:r>
              <w:rPr>
                <w:rFonts w:hint="eastAsia" w:ascii="宋体" w:hAnsi="宋体" w:cs="宋体"/>
                <w:color w:val="auto"/>
              </w:rPr>
              <w:t>预付款</w:t>
            </w:r>
          </w:p>
          <w:p w14:paraId="23BD4725">
            <w:pPr>
              <w:spacing w:line="520" w:lineRule="exact"/>
              <w:jc w:val="left"/>
              <w:rPr>
                <w:rFonts w:ascii="宋体" w:hAnsi="宋体" w:cs="宋体"/>
                <w:color w:val="auto"/>
                <w:highlight w:val="none"/>
                <w:u w:val="single"/>
              </w:rPr>
            </w:pPr>
            <w:r>
              <w:rPr>
                <w:rFonts w:hint="eastAsia" w:ascii="宋体" w:hAnsi="宋体" w:cs="宋体"/>
                <w:color w:val="auto"/>
                <w:highlight w:val="none"/>
              </w:rPr>
              <w:t>预付款支付比例或金额：</w:t>
            </w:r>
            <w:r>
              <w:rPr>
                <w:rFonts w:hint="eastAsia" w:ascii="宋体" w:hAnsi="宋体" w:cs="宋体"/>
                <w:color w:val="auto"/>
                <w:highlight w:val="none"/>
                <w:u w:val="single"/>
              </w:rPr>
              <w:t>合同总价</w:t>
            </w:r>
            <w:r>
              <w:rPr>
                <w:rFonts w:ascii="宋体" w:hAnsi="宋体" w:cs="宋体"/>
                <w:color w:val="auto"/>
                <w:highlight w:val="none"/>
                <w:u w:val="single"/>
              </w:rPr>
              <w:t>*10%。</w:t>
            </w:r>
          </w:p>
          <w:p w14:paraId="7746642E">
            <w:pPr>
              <w:spacing w:line="520" w:lineRule="exact"/>
              <w:jc w:val="left"/>
              <w:rPr>
                <w:rFonts w:ascii="宋体" w:hAnsi="宋体" w:cs="宋体"/>
                <w:color w:val="auto"/>
                <w:highlight w:val="none"/>
                <w:u w:val="single"/>
              </w:rPr>
            </w:pPr>
            <w:r>
              <w:rPr>
                <w:rFonts w:hint="eastAsia" w:ascii="宋体" w:hAnsi="宋体" w:cs="宋体"/>
                <w:color w:val="auto"/>
                <w:highlight w:val="none"/>
              </w:rPr>
              <w:t>预付款支付期限：</w:t>
            </w:r>
            <w:r>
              <w:rPr>
                <w:rFonts w:hint="eastAsia" w:ascii="宋体" w:hAnsi="宋体" w:cs="宋体"/>
                <w:color w:val="auto"/>
                <w:highlight w:val="none"/>
                <w:u w:val="single"/>
              </w:rPr>
              <w:t>在具备施工条件的前提下，发包人在合同签订后一个月内或不迟于约定的开工日期前7天内预付工程款。</w:t>
            </w:r>
          </w:p>
          <w:p w14:paraId="2B11DA11">
            <w:pPr>
              <w:spacing w:line="520" w:lineRule="exact"/>
              <w:jc w:val="left"/>
              <w:rPr>
                <w:rFonts w:ascii="宋体" w:hAnsi="宋体" w:cs="宋体"/>
                <w:color w:val="auto"/>
              </w:rPr>
            </w:pPr>
            <w:r>
              <w:rPr>
                <w:rFonts w:hint="eastAsia" w:ascii="宋体" w:hAnsi="宋体" w:cs="宋体"/>
                <w:color w:val="auto"/>
                <w:highlight w:val="none"/>
              </w:rPr>
              <w:t>预付款扣回的方式：</w:t>
            </w:r>
            <w:r>
              <w:rPr>
                <w:rFonts w:hint="eastAsia" w:ascii="宋体" w:hAnsi="宋体" w:cs="宋体"/>
                <w:color w:val="auto"/>
                <w:highlight w:val="none"/>
                <w:u w:val="single"/>
              </w:rPr>
              <w:t>项目开工后，按月等额扣回，</w:t>
            </w:r>
            <w:r>
              <w:rPr>
                <w:rFonts w:ascii="宋体" w:hAnsi="宋体" w:cs="宋体"/>
                <w:color w:val="auto"/>
                <w:highlight w:val="none"/>
                <w:u w:val="single"/>
              </w:rPr>
              <w:t>1</w:t>
            </w:r>
            <w:r>
              <w:rPr>
                <w:rFonts w:hint="eastAsia" w:ascii="宋体" w:hAnsi="宋体" w:cs="宋体"/>
                <w:color w:val="auto"/>
                <w:highlight w:val="none"/>
                <w:u w:val="single"/>
              </w:rPr>
              <w:t xml:space="preserve">个月扣完 </w:t>
            </w:r>
          </w:p>
        </w:tc>
      </w:tr>
      <w:tr w14:paraId="2895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08D33D38">
            <w:pPr>
              <w:spacing w:line="520" w:lineRule="exact"/>
              <w:jc w:val="center"/>
              <w:rPr>
                <w:rFonts w:ascii="宋体" w:hAnsi="宋体" w:cs="宋体"/>
                <w:color w:val="auto"/>
              </w:rPr>
            </w:pPr>
            <w:r>
              <w:rPr>
                <w:rFonts w:hint="eastAsia" w:ascii="宋体" w:hAnsi="宋体" w:cs="宋体"/>
                <w:color w:val="auto"/>
              </w:rPr>
              <w:t>3</w:t>
            </w:r>
          </w:p>
        </w:tc>
        <w:tc>
          <w:tcPr>
            <w:tcW w:w="1065" w:type="dxa"/>
            <w:vAlign w:val="center"/>
          </w:tcPr>
          <w:p w14:paraId="323D249F">
            <w:pPr>
              <w:spacing w:line="520" w:lineRule="exact"/>
              <w:jc w:val="center"/>
              <w:rPr>
                <w:rFonts w:ascii="宋体" w:hAnsi="宋体" w:cs="宋体"/>
                <w:color w:val="auto"/>
              </w:rPr>
            </w:pPr>
            <w:r>
              <w:rPr>
                <w:rFonts w:hint="eastAsia" w:ascii="宋体" w:hAnsi="宋体" w:cs="宋体"/>
                <w:color w:val="auto"/>
              </w:rPr>
              <w:t>3.2.4</w:t>
            </w:r>
          </w:p>
        </w:tc>
        <w:tc>
          <w:tcPr>
            <w:tcW w:w="7822" w:type="dxa"/>
          </w:tcPr>
          <w:p w14:paraId="0A8E6C67">
            <w:pPr>
              <w:spacing w:line="520" w:lineRule="exact"/>
              <w:jc w:val="left"/>
              <w:rPr>
                <w:rFonts w:ascii="宋体" w:hAnsi="宋体" w:cs="宋体"/>
                <w:color w:val="auto"/>
              </w:rPr>
            </w:pPr>
            <w:r>
              <w:rPr>
                <w:rFonts w:hint="eastAsia" w:ascii="宋体" w:hAnsi="宋体" w:cs="宋体"/>
                <w:color w:val="auto"/>
              </w:rPr>
              <w:t>质量保证金金额：结算价款*2%</w:t>
            </w:r>
          </w:p>
          <w:p w14:paraId="22097EEC">
            <w:pPr>
              <w:spacing w:line="520" w:lineRule="exact"/>
              <w:jc w:val="left"/>
              <w:rPr>
                <w:rFonts w:ascii="宋体" w:hAnsi="宋体" w:cs="宋体"/>
                <w:color w:val="auto"/>
              </w:rPr>
            </w:pPr>
            <w:r>
              <w:rPr>
                <w:rFonts w:hint="eastAsia" w:ascii="宋体" w:hAnsi="宋体" w:cs="宋体"/>
                <w:color w:val="auto"/>
              </w:rPr>
              <w:t>质量保证金支持保函（银行保函、担保机构担保、保证保险）使用。采用保函的不再从工程进度款中扣留质量保证金，保函有效期须与工程缺陷责任期截止时间保持一致。</w:t>
            </w:r>
          </w:p>
        </w:tc>
      </w:tr>
      <w:tr w14:paraId="36EC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5A6CB51F">
            <w:pPr>
              <w:spacing w:line="520" w:lineRule="exact"/>
              <w:jc w:val="center"/>
              <w:rPr>
                <w:rFonts w:ascii="宋体" w:hAnsi="宋体" w:cs="宋体"/>
                <w:color w:val="auto"/>
              </w:rPr>
            </w:pPr>
            <w:r>
              <w:rPr>
                <w:rFonts w:hint="eastAsia" w:ascii="宋体" w:hAnsi="宋体" w:cs="宋体"/>
                <w:color w:val="auto"/>
              </w:rPr>
              <w:t>4</w:t>
            </w:r>
          </w:p>
        </w:tc>
        <w:tc>
          <w:tcPr>
            <w:tcW w:w="1065" w:type="dxa"/>
            <w:vAlign w:val="center"/>
          </w:tcPr>
          <w:p w14:paraId="21BD933B">
            <w:pPr>
              <w:spacing w:line="520" w:lineRule="exact"/>
              <w:jc w:val="center"/>
              <w:rPr>
                <w:rFonts w:ascii="宋体" w:hAnsi="宋体" w:cs="宋体"/>
                <w:color w:val="auto"/>
              </w:rPr>
            </w:pPr>
            <w:r>
              <w:rPr>
                <w:rFonts w:hint="eastAsia" w:ascii="宋体" w:hAnsi="宋体" w:cs="宋体"/>
                <w:color w:val="auto"/>
              </w:rPr>
              <w:t>8</w:t>
            </w:r>
          </w:p>
        </w:tc>
        <w:tc>
          <w:tcPr>
            <w:tcW w:w="7822" w:type="dxa"/>
          </w:tcPr>
          <w:p w14:paraId="4A42981D">
            <w:pPr>
              <w:spacing w:line="520" w:lineRule="exact"/>
              <w:jc w:val="left"/>
              <w:rPr>
                <w:rFonts w:ascii="宋体" w:hAnsi="宋体" w:cs="宋体"/>
                <w:color w:val="auto"/>
              </w:rPr>
            </w:pPr>
            <w:r>
              <w:rPr>
                <w:rFonts w:hint="eastAsia" w:ascii="宋体" w:hAnsi="宋体" w:cs="宋体"/>
                <w:color w:val="auto"/>
              </w:rPr>
              <w:t>质量保证期：自整体项目验收完毕之日起两年之内为质保期。</w:t>
            </w:r>
          </w:p>
        </w:tc>
      </w:tr>
      <w:tr w14:paraId="57F7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41856032">
            <w:pPr>
              <w:spacing w:line="520" w:lineRule="exact"/>
              <w:jc w:val="center"/>
              <w:rPr>
                <w:rFonts w:ascii="宋体" w:hAnsi="宋体" w:cs="宋体"/>
                <w:color w:val="auto"/>
              </w:rPr>
            </w:pPr>
            <w:r>
              <w:rPr>
                <w:rFonts w:hint="eastAsia" w:ascii="宋体" w:hAnsi="宋体" w:cs="宋体"/>
                <w:color w:val="auto"/>
              </w:rPr>
              <w:t>5</w:t>
            </w:r>
          </w:p>
        </w:tc>
        <w:tc>
          <w:tcPr>
            <w:tcW w:w="1065" w:type="dxa"/>
            <w:vAlign w:val="center"/>
          </w:tcPr>
          <w:p w14:paraId="08A1F404">
            <w:pPr>
              <w:spacing w:line="520" w:lineRule="exact"/>
              <w:jc w:val="center"/>
              <w:rPr>
                <w:rFonts w:ascii="宋体" w:hAnsi="宋体" w:cs="宋体"/>
                <w:color w:val="auto"/>
              </w:rPr>
            </w:pPr>
            <w:r>
              <w:rPr>
                <w:rFonts w:hint="eastAsia" w:ascii="宋体" w:hAnsi="宋体" w:cs="宋体"/>
                <w:color w:val="auto"/>
              </w:rPr>
              <w:t>10</w:t>
            </w:r>
          </w:p>
        </w:tc>
        <w:tc>
          <w:tcPr>
            <w:tcW w:w="7822" w:type="dxa"/>
          </w:tcPr>
          <w:p w14:paraId="38B8757F">
            <w:pPr>
              <w:spacing w:line="520" w:lineRule="exact"/>
              <w:jc w:val="left"/>
              <w:rPr>
                <w:rFonts w:ascii="宋体" w:hAnsi="宋体" w:cs="宋体"/>
                <w:color w:val="auto"/>
              </w:rPr>
            </w:pPr>
            <w:r>
              <w:rPr>
                <w:rFonts w:hint="eastAsia" w:ascii="宋体" w:hAnsi="宋体" w:cs="宋体"/>
                <w:color w:val="auto"/>
              </w:rPr>
              <w:t>是否要求履约保证金：</w:t>
            </w:r>
            <w:r>
              <w:rPr>
                <w:rFonts w:hint="eastAsia" w:ascii="宋体" w:hAnsi="宋体" w:cs="宋体"/>
                <w:color w:val="auto"/>
                <w:u w:val="single"/>
              </w:rPr>
              <w:t>见投标人须知前附表</w:t>
            </w:r>
            <w:r>
              <w:rPr>
                <w:rFonts w:hint="eastAsia" w:ascii="宋体" w:hAnsi="宋体" w:cs="宋体"/>
                <w:color w:val="auto"/>
              </w:rPr>
              <w:t xml:space="preserve">。 </w:t>
            </w:r>
          </w:p>
          <w:p w14:paraId="0BAA045F">
            <w:pPr>
              <w:spacing w:line="520" w:lineRule="exact"/>
              <w:jc w:val="left"/>
              <w:rPr>
                <w:rFonts w:ascii="宋体" w:hAnsi="宋体" w:cs="宋体"/>
                <w:color w:val="auto"/>
              </w:rPr>
            </w:pPr>
            <w:r>
              <w:rPr>
                <w:rFonts w:hint="eastAsia" w:ascii="宋体" w:hAnsi="宋体" w:cs="宋体"/>
                <w:color w:val="auto"/>
              </w:rPr>
              <w:t>履约保证金的形式：</w:t>
            </w:r>
            <w:r>
              <w:rPr>
                <w:rFonts w:hint="eastAsia" w:ascii="宋体" w:hAnsi="宋体" w:cs="宋体"/>
                <w:color w:val="auto"/>
                <w:u w:val="single"/>
              </w:rPr>
              <w:t>见投标人须知前附表</w:t>
            </w:r>
            <w:r>
              <w:rPr>
                <w:rFonts w:hint="eastAsia" w:ascii="宋体" w:hAnsi="宋体" w:cs="宋体"/>
                <w:color w:val="auto"/>
              </w:rPr>
              <w:t>。</w:t>
            </w:r>
          </w:p>
          <w:p w14:paraId="2D12F09A">
            <w:pPr>
              <w:spacing w:line="520" w:lineRule="exact"/>
              <w:jc w:val="left"/>
              <w:rPr>
                <w:rFonts w:ascii="宋体" w:hAnsi="宋体" w:cs="宋体"/>
                <w:color w:val="auto"/>
              </w:rPr>
            </w:pPr>
            <w:r>
              <w:rPr>
                <w:rFonts w:hint="eastAsia" w:ascii="宋体" w:hAnsi="宋体" w:cs="宋体"/>
                <w:color w:val="auto"/>
              </w:rPr>
              <w:t>履约保证金的金额：</w:t>
            </w:r>
            <w:r>
              <w:rPr>
                <w:rFonts w:hint="eastAsia" w:ascii="宋体" w:hAnsi="宋体" w:cs="宋体"/>
                <w:color w:val="auto"/>
                <w:u w:val="single"/>
              </w:rPr>
              <w:t>见投标人须知前附表</w:t>
            </w:r>
            <w:r>
              <w:rPr>
                <w:rFonts w:hint="eastAsia" w:ascii="宋体" w:hAnsi="宋体" w:cs="宋体"/>
                <w:color w:val="auto"/>
              </w:rPr>
              <w:t>。</w:t>
            </w:r>
          </w:p>
          <w:p w14:paraId="6F66E6C9">
            <w:pPr>
              <w:spacing w:line="520" w:lineRule="exact"/>
              <w:jc w:val="left"/>
              <w:rPr>
                <w:rFonts w:ascii="宋体" w:hAnsi="宋体" w:cs="宋体"/>
                <w:color w:val="auto"/>
              </w:rPr>
            </w:pPr>
            <w:r>
              <w:rPr>
                <w:rFonts w:hint="eastAsia" w:ascii="宋体" w:hAnsi="宋体" w:cs="宋体"/>
                <w:color w:val="auto"/>
              </w:rPr>
              <w:t>履约保证金提交期限的要求：</w:t>
            </w:r>
            <w:r>
              <w:rPr>
                <w:rFonts w:hint="eastAsia" w:ascii="宋体" w:hAnsi="宋体" w:cs="宋体"/>
                <w:color w:val="auto"/>
                <w:u w:val="single"/>
              </w:rPr>
              <w:t>见投标人须知前附表</w:t>
            </w:r>
            <w:r>
              <w:rPr>
                <w:rFonts w:hint="eastAsia" w:ascii="宋体" w:hAnsi="宋体" w:cs="宋体"/>
                <w:color w:val="auto"/>
              </w:rPr>
              <w:t>。</w:t>
            </w:r>
          </w:p>
          <w:p w14:paraId="3E71C083">
            <w:pPr>
              <w:spacing w:line="520" w:lineRule="exact"/>
              <w:jc w:val="left"/>
              <w:rPr>
                <w:rFonts w:ascii="宋体" w:hAnsi="宋体" w:cs="宋体"/>
                <w:color w:val="auto"/>
              </w:rPr>
            </w:pPr>
            <w:r>
              <w:rPr>
                <w:rFonts w:hint="eastAsia" w:ascii="宋体" w:hAnsi="宋体" w:cs="宋体"/>
                <w:color w:val="auto"/>
              </w:rPr>
              <w:t>履约保证金退还时限：</w:t>
            </w:r>
            <w:r>
              <w:rPr>
                <w:rFonts w:hint="eastAsia" w:ascii="宋体" w:hAnsi="宋体" w:cs="宋体"/>
                <w:color w:val="auto"/>
                <w:u w:val="single"/>
              </w:rPr>
              <w:t>见投标人须知前附表。</w:t>
            </w:r>
          </w:p>
        </w:tc>
      </w:tr>
    </w:tbl>
    <w:p w14:paraId="3A00018E">
      <w:pPr>
        <w:spacing w:line="520" w:lineRule="exact"/>
        <w:jc w:val="left"/>
        <w:rPr>
          <w:rFonts w:ascii="宋体" w:hAnsi="宋体" w:cs="宋体"/>
          <w:color w:val="auto"/>
        </w:rPr>
      </w:pPr>
      <w:r>
        <w:rPr>
          <w:rFonts w:hint="eastAsia" w:ascii="宋体" w:hAnsi="宋体" w:cs="宋体"/>
          <w:color w:val="auto"/>
        </w:rPr>
        <w:t>1.一般约定</w:t>
      </w:r>
    </w:p>
    <w:p w14:paraId="70E14CD6">
      <w:pPr>
        <w:spacing w:line="520" w:lineRule="exact"/>
        <w:jc w:val="left"/>
        <w:rPr>
          <w:rFonts w:ascii="宋体" w:hAnsi="宋体" w:cs="宋体"/>
          <w:color w:val="auto"/>
        </w:rPr>
      </w:pPr>
      <w:r>
        <w:rPr>
          <w:rFonts w:hint="eastAsia" w:ascii="宋体" w:hAnsi="宋体" w:cs="宋体"/>
          <w:color w:val="auto"/>
        </w:rPr>
        <w:t>1.1 词语定义</w:t>
      </w:r>
    </w:p>
    <w:p w14:paraId="53EE6905">
      <w:pPr>
        <w:spacing w:line="520" w:lineRule="exact"/>
        <w:jc w:val="left"/>
        <w:rPr>
          <w:rFonts w:ascii="宋体" w:hAnsi="宋体" w:cs="宋体"/>
          <w:color w:val="auto"/>
        </w:rPr>
      </w:pPr>
      <w:r>
        <w:rPr>
          <w:rFonts w:hint="eastAsia" w:ascii="宋体" w:hAnsi="宋体" w:cs="宋体"/>
          <w:color w:val="auto"/>
        </w:rPr>
        <w:t>1.1.1 合同</w:t>
      </w:r>
    </w:p>
    <w:p w14:paraId="690BA4F9">
      <w:pPr>
        <w:spacing w:line="520" w:lineRule="exact"/>
        <w:jc w:val="left"/>
        <w:rPr>
          <w:rFonts w:ascii="宋体" w:hAnsi="宋体" w:cs="宋体"/>
          <w:color w:val="auto"/>
        </w:rPr>
      </w:pPr>
      <w:r>
        <w:rPr>
          <w:rFonts w:hint="eastAsia" w:ascii="宋体" w:hAnsi="宋体" w:cs="宋体"/>
          <w:color w:val="auto"/>
        </w:rPr>
        <w:t>1.1.1.10 其他合同文件：</w:t>
      </w:r>
      <w:r>
        <w:rPr>
          <w:rFonts w:hint="eastAsia" w:ascii="宋体" w:hAnsi="宋体" w:cs="宋体"/>
          <w:color w:val="auto"/>
          <w:u w:val="single"/>
        </w:rPr>
        <w:t xml:space="preserve">                                    </w:t>
      </w:r>
      <w:r>
        <w:rPr>
          <w:rFonts w:hint="eastAsia" w:ascii="宋体" w:hAnsi="宋体" w:cs="宋体"/>
          <w:color w:val="auto"/>
        </w:rPr>
        <w:t>。</w:t>
      </w:r>
    </w:p>
    <w:p w14:paraId="4C494B98">
      <w:pPr>
        <w:spacing w:line="520" w:lineRule="exact"/>
        <w:jc w:val="left"/>
        <w:rPr>
          <w:rFonts w:ascii="宋体" w:hAnsi="宋体" w:cs="宋体"/>
          <w:color w:val="auto"/>
        </w:rPr>
      </w:pPr>
      <w:r>
        <w:rPr>
          <w:rFonts w:hint="eastAsia" w:ascii="宋体" w:hAnsi="宋体" w:cs="宋体"/>
          <w:color w:val="auto"/>
        </w:rPr>
        <w:t>1.1.9 工程</w:t>
      </w:r>
    </w:p>
    <w:p w14:paraId="1AEBB541">
      <w:pPr>
        <w:spacing w:line="520" w:lineRule="exact"/>
        <w:jc w:val="left"/>
        <w:rPr>
          <w:rFonts w:ascii="宋体" w:hAnsi="宋体" w:cs="宋体"/>
          <w:color w:val="auto"/>
        </w:rPr>
      </w:pPr>
      <w:r>
        <w:rPr>
          <w:rFonts w:hint="eastAsia" w:ascii="宋体" w:hAnsi="宋体" w:cs="宋体"/>
          <w:color w:val="auto"/>
        </w:rPr>
        <w:t>1.1.9.1 工程</w:t>
      </w:r>
      <w:r>
        <w:rPr>
          <w:rFonts w:hint="eastAsia" w:ascii="宋体" w:hAnsi="宋体" w:cs="宋体"/>
          <w:color w:val="auto"/>
          <w:u w:val="single"/>
        </w:rPr>
        <w:t xml:space="preserve">：                                    </w:t>
      </w:r>
      <w:r>
        <w:rPr>
          <w:rFonts w:hint="eastAsia" w:ascii="宋体" w:hAnsi="宋体" w:cs="宋体"/>
          <w:color w:val="auto"/>
        </w:rPr>
        <w:t>。</w:t>
      </w:r>
    </w:p>
    <w:p w14:paraId="01D4F865">
      <w:pPr>
        <w:spacing w:line="520" w:lineRule="exact"/>
        <w:jc w:val="left"/>
        <w:rPr>
          <w:rFonts w:ascii="宋体" w:hAnsi="宋体" w:cs="宋体"/>
          <w:color w:val="auto"/>
        </w:rPr>
      </w:pPr>
      <w:r>
        <w:rPr>
          <w:rFonts w:hint="eastAsia" w:ascii="宋体" w:hAnsi="宋体" w:cs="宋体"/>
          <w:color w:val="auto"/>
        </w:rPr>
        <w:t>1.1.9.2 施工场地（或称工地、施工现场）：</w:t>
      </w:r>
      <w:r>
        <w:rPr>
          <w:rFonts w:hint="eastAsia" w:ascii="宋体" w:hAnsi="宋体" w:cs="宋体"/>
          <w:color w:val="auto"/>
          <w:u w:val="single"/>
        </w:rPr>
        <w:t xml:space="preserve">：                                    </w:t>
      </w:r>
      <w:r>
        <w:rPr>
          <w:rFonts w:hint="eastAsia" w:ascii="宋体" w:hAnsi="宋体" w:cs="宋体"/>
          <w:color w:val="auto"/>
        </w:rPr>
        <w:t>。</w:t>
      </w:r>
    </w:p>
    <w:p w14:paraId="248C5597">
      <w:pPr>
        <w:spacing w:line="520" w:lineRule="exact"/>
        <w:jc w:val="left"/>
        <w:rPr>
          <w:rFonts w:ascii="宋体" w:hAnsi="宋体" w:cs="宋体"/>
          <w:color w:val="auto"/>
        </w:rPr>
      </w:pPr>
      <w:r>
        <w:rPr>
          <w:rFonts w:hint="eastAsia" w:ascii="宋体" w:hAnsi="宋体" w:cs="宋体"/>
          <w:color w:val="auto"/>
        </w:rPr>
        <w:t>1.1.13 其他不可抗力情形：</w:t>
      </w:r>
      <w:r>
        <w:rPr>
          <w:rFonts w:hint="eastAsia" w:ascii="宋体" w:hAnsi="宋体" w:cs="宋体"/>
          <w:color w:val="auto"/>
          <w:u w:val="single"/>
        </w:rPr>
        <w:t xml:space="preserve">：                                    </w:t>
      </w:r>
      <w:r>
        <w:rPr>
          <w:rFonts w:hint="eastAsia" w:ascii="宋体" w:hAnsi="宋体" w:cs="宋体"/>
          <w:color w:val="auto"/>
        </w:rPr>
        <w:t>。</w:t>
      </w:r>
    </w:p>
    <w:p w14:paraId="6C6F13FD">
      <w:pPr>
        <w:spacing w:line="520" w:lineRule="exact"/>
        <w:jc w:val="left"/>
        <w:rPr>
          <w:rFonts w:ascii="宋体" w:hAnsi="宋体" w:cs="宋体"/>
          <w:color w:val="auto"/>
        </w:rPr>
      </w:pPr>
      <w:r>
        <w:rPr>
          <w:rFonts w:hint="eastAsia" w:ascii="宋体" w:hAnsi="宋体" w:cs="宋体"/>
          <w:color w:val="auto"/>
        </w:rPr>
        <w:t>对通用合同条款中词语定义的不同约定：</w:t>
      </w:r>
      <w:r>
        <w:rPr>
          <w:rFonts w:hint="eastAsia" w:ascii="宋体" w:hAnsi="宋体" w:cs="宋体"/>
          <w:color w:val="auto"/>
          <w:u w:val="single"/>
        </w:rPr>
        <w:t xml:space="preserve">：                                    </w:t>
      </w:r>
      <w:r>
        <w:rPr>
          <w:rFonts w:hint="eastAsia" w:ascii="宋体" w:hAnsi="宋体" w:cs="宋体"/>
          <w:color w:val="auto"/>
        </w:rPr>
        <w:t>。</w:t>
      </w:r>
    </w:p>
    <w:p w14:paraId="1CDA3500">
      <w:pPr>
        <w:spacing w:line="520" w:lineRule="exact"/>
        <w:jc w:val="left"/>
        <w:rPr>
          <w:rFonts w:ascii="宋体" w:hAnsi="宋体" w:cs="宋体"/>
          <w:color w:val="auto"/>
        </w:rPr>
      </w:pPr>
      <w:r>
        <w:rPr>
          <w:rFonts w:hint="eastAsia" w:ascii="宋体" w:hAnsi="宋体" w:cs="宋体"/>
          <w:color w:val="auto"/>
        </w:rPr>
        <w:t>1.3 合同文件的优先顺序</w:t>
      </w:r>
    </w:p>
    <w:p w14:paraId="10F2B030">
      <w:pPr>
        <w:spacing w:line="520" w:lineRule="exact"/>
        <w:jc w:val="left"/>
        <w:rPr>
          <w:rFonts w:ascii="宋体" w:hAnsi="宋体" w:cs="宋体"/>
          <w:color w:val="auto"/>
        </w:rPr>
      </w:pPr>
      <w:r>
        <w:rPr>
          <w:rFonts w:hint="eastAsia" w:ascii="宋体" w:hAnsi="宋体" w:cs="宋体"/>
          <w:color w:val="auto"/>
        </w:rPr>
        <w:t>解释合同文件的优先顺序：</w:t>
      </w:r>
      <w:r>
        <w:rPr>
          <w:rFonts w:hint="eastAsia" w:ascii="宋体" w:hAnsi="宋体" w:cs="宋体"/>
          <w:color w:val="auto"/>
          <w:u w:val="single"/>
        </w:rPr>
        <w:t xml:space="preserve">：                                    </w:t>
      </w:r>
      <w:r>
        <w:rPr>
          <w:rFonts w:hint="eastAsia" w:ascii="宋体" w:hAnsi="宋体" w:cs="宋体"/>
          <w:color w:val="auto"/>
        </w:rPr>
        <w:t>。</w:t>
      </w:r>
    </w:p>
    <w:p w14:paraId="737C36AC">
      <w:pPr>
        <w:spacing w:line="520" w:lineRule="exact"/>
        <w:jc w:val="left"/>
        <w:rPr>
          <w:rFonts w:ascii="宋体" w:hAnsi="宋体" w:cs="宋体"/>
          <w:color w:val="auto"/>
        </w:rPr>
      </w:pPr>
      <w:r>
        <w:rPr>
          <w:rFonts w:hint="eastAsia" w:ascii="宋体" w:hAnsi="宋体" w:cs="宋体"/>
          <w:color w:val="auto"/>
        </w:rPr>
        <w:t>1.4 合同的生效及变更</w:t>
      </w:r>
    </w:p>
    <w:p w14:paraId="02AB4C5A">
      <w:pPr>
        <w:spacing w:line="520" w:lineRule="exact"/>
        <w:jc w:val="left"/>
        <w:rPr>
          <w:rFonts w:ascii="宋体" w:hAnsi="宋体" w:cs="宋体"/>
          <w:color w:val="auto"/>
        </w:rPr>
      </w:pPr>
      <w:r>
        <w:rPr>
          <w:rFonts w:hint="eastAsia" w:ascii="宋体" w:hAnsi="宋体" w:cs="宋体"/>
          <w:color w:val="auto"/>
        </w:rPr>
        <w:t>1.4.1 合同生效条件：</w:t>
      </w:r>
      <w:r>
        <w:rPr>
          <w:rFonts w:hint="eastAsia" w:ascii="宋体" w:hAnsi="宋体" w:cs="宋体"/>
          <w:color w:val="auto"/>
          <w:u w:val="single"/>
        </w:rPr>
        <w:t xml:space="preserve">：                                    </w:t>
      </w:r>
      <w:r>
        <w:rPr>
          <w:rFonts w:hint="eastAsia" w:ascii="宋体" w:hAnsi="宋体" w:cs="宋体"/>
          <w:color w:val="auto"/>
        </w:rPr>
        <w:t>。</w:t>
      </w:r>
    </w:p>
    <w:p w14:paraId="637A02DE">
      <w:pPr>
        <w:spacing w:line="520" w:lineRule="exact"/>
        <w:jc w:val="left"/>
        <w:rPr>
          <w:rFonts w:ascii="宋体" w:hAnsi="宋体" w:cs="宋体"/>
          <w:color w:val="auto"/>
        </w:rPr>
      </w:pPr>
      <w:r>
        <w:rPr>
          <w:rFonts w:hint="eastAsia" w:ascii="宋体" w:hAnsi="宋体" w:cs="宋体"/>
          <w:color w:val="auto"/>
        </w:rPr>
        <w:t>1.4.2 合同变更的方式：</w:t>
      </w:r>
      <w:r>
        <w:rPr>
          <w:rFonts w:hint="eastAsia" w:ascii="宋体" w:hAnsi="宋体" w:cs="宋体"/>
          <w:color w:val="auto"/>
          <w:u w:val="single"/>
        </w:rPr>
        <w:t xml:space="preserve">：                                    </w:t>
      </w:r>
      <w:r>
        <w:rPr>
          <w:rFonts w:hint="eastAsia" w:ascii="宋体" w:hAnsi="宋体" w:cs="宋体"/>
          <w:color w:val="auto"/>
        </w:rPr>
        <w:t xml:space="preserve"> 。</w:t>
      </w:r>
    </w:p>
    <w:p w14:paraId="410051A9">
      <w:pPr>
        <w:spacing w:line="520" w:lineRule="exact"/>
        <w:jc w:val="left"/>
        <w:rPr>
          <w:rFonts w:ascii="宋体" w:hAnsi="宋体" w:cs="宋体"/>
          <w:color w:val="auto"/>
        </w:rPr>
      </w:pPr>
      <w:r>
        <w:rPr>
          <w:rFonts w:hint="eastAsia" w:ascii="宋体" w:hAnsi="宋体" w:cs="宋体"/>
          <w:color w:val="auto"/>
        </w:rPr>
        <w:t>1.5 联络</w:t>
      </w:r>
    </w:p>
    <w:p w14:paraId="5A6C9FFB">
      <w:pPr>
        <w:spacing w:line="520" w:lineRule="exact"/>
        <w:jc w:val="left"/>
        <w:rPr>
          <w:rFonts w:ascii="宋体" w:hAnsi="宋体" w:cs="宋体"/>
          <w:color w:val="auto"/>
        </w:rPr>
      </w:pPr>
      <w:r>
        <w:rPr>
          <w:rFonts w:hint="eastAsia" w:ascii="宋体" w:hAnsi="宋体" w:cs="宋体"/>
          <w:color w:val="auto"/>
        </w:rPr>
        <w:t>买方指定的联系人和联系方式</w:t>
      </w:r>
      <w:r>
        <w:rPr>
          <w:rFonts w:hint="eastAsia" w:ascii="宋体" w:hAnsi="宋体" w:cs="宋体"/>
          <w:color w:val="auto"/>
          <w:u w:val="single"/>
        </w:rPr>
        <w:t xml:space="preserve">：                                    </w:t>
      </w:r>
      <w:r>
        <w:rPr>
          <w:rFonts w:hint="eastAsia" w:ascii="宋体" w:hAnsi="宋体" w:cs="宋体"/>
          <w:color w:val="auto"/>
        </w:rPr>
        <w:t xml:space="preserve">； </w:t>
      </w:r>
    </w:p>
    <w:p w14:paraId="318E4EE4">
      <w:pPr>
        <w:spacing w:line="520" w:lineRule="exact"/>
        <w:jc w:val="left"/>
        <w:rPr>
          <w:rFonts w:ascii="宋体" w:hAnsi="宋体" w:cs="宋体"/>
          <w:color w:val="auto"/>
        </w:rPr>
      </w:pPr>
      <w:r>
        <w:rPr>
          <w:rFonts w:hint="eastAsia" w:ascii="宋体" w:hAnsi="宋体" w:cs="宋体"/>
          <w:color w:val="auto"/>
        </w:rPr>
        <w:t>卖方指定的联系人和联系方式</w:t>
      </w:r>
      <w:r>
        <w:rPr>
          <w:rFonts w:hint="eastAsia" w:ascii="宋体" w:hAnsi="宋体" w:cs="宋体"/>
          <w:color w:val="auto"/>
          <w:u w:val="single"/>
        </w:rPr>
        <w:t xml:space="preserve">：                                    </w:t>
      </w:r>
      <w:r>
        <w:rPr>
          <w:rFonts w:hint="eastAsia" w:ascii="宋体" w:hAnsi="宋体" w:cs="宋体"/>
          <w:color w:val="auto"/>
        </w:rPr>
        <w:t>。</w:t>
      </w:r>
    </w:p>
    <w:p w14:paraId="44CC6F13">
      <w:pPr>
        <w:spacing w:line="520" w:lineRule="exact"/>
        <w:jc w:val="left"/>
        <w:rPr>
          <w:rFonts w:ascii="宋体" w:hAnsi="宋体" w:cs="宋体"/>
          <w:color w:val="auto"/>
        </w:rPr>
      </w:pPr>
      <w:r>
        <w:rPr>
          <w:rFonts w:hint="eastAsia" w:ascii="宋体" w:hAnsi="宋体" w:cs="宋体"/>
          <w:color w:val="auto"/>
        </w:rPr>
        <w:t>1.6 联合体</w:t>
      </w:r>
    </w:p>
    <w:p w14:paraId="698BE77F">
      <w:pPr>
        <w:spacing w:line="520" w:lineRule="exact"/>
        <w:jc w:val="left"/>
        <w:rPr>
          <w:rFonts w:ascii="宋体" w:hAnsi="宋体" w:cs="宋体"/>
          <w:color w:val="auto"/>
          <w:szCs w:val="21"/>
        </w:rPr>
      </w:pPr>
      <w:r>
        <w:rPr>
          <w:rFonts w:hint="eastAsia" w:ascii="宋体" w:hAnsi="宋体" w:cs="宋体"/>
          <w:color w:val="auto"/>
          <w:szCs w:val="21"/>
        </w:rPr>
        <w:t>1.6.3 联合体各方对联合体牵头人的授权范围：</w:t>
      </w:r>
      <w:r>
        <w:rPr>
          <w:rFonts w:hint="eastAsia" w:ascii="宋体" w:hAnsi="宋体" w:cs="宋体"/>
          <w:color w:val="auto"/>
          <w:szCs w:val="21"/>
          <w:u w:val="single"/>
        </w:rPr>
        <w:t xml:space="preserve">：                                   </w:t>
      </w:r>
      <w:r>
        <w:rPr>
          <w:rFonts w:hint="eastAsia" w:ascii="宋体" w:hAnsi="宋体" w:cs="宋体"/>
          <w:color w:val="auto"/>
          <w:szCs w:val="21"/>
        </w:rPr>
        <w:t>。</w:t>
      </w:r>
    </w:p>
    <w:p w14:paraId="6C7B5B62">
      <w:pPr>
        <w:spacing w:line="520" w:lineRule="exact"/>
        <w:jc w:val="left"/>
        <w:rPr>
          <w:rFonts w:ascii="宋体" w:hAnsi="宋体" w:cs="宋体"/>
          <w:color w:val="auto"/>
          <w:spacing w:val="-2"/>
          <w:szCs w:val="21"/>
        </w:rPr>
      </w:pPr>
      <w:r>
        <w:rPr>
          <w:rFonts w:hint="eastAsia" w:ascii="宋体" w:hAnsi="宋体" w:cs="宋体"/>
          <w:color w:val="auto"/>
          <w:spacing w:val="-2"/>
          <w:szCs w:val="21"/>
        </w:rPr>
        <w:t>3.合同价格与支付</w:t>
      </w:r>
    </w:p>
    <w:p w14:paraId="33E954AD">
      <w:pPr>
        <w:spacing w:line="520" w:lineRule="exact"/>
        <w:jc w:val="left"/>
        <w:rPr>
          <w:rFonts w:ascii="宋体" w:hAnsi="宋体" w:cs="宋体"/>
          <w:color w:val="auto"/>
          <w:spacing w:val="-2"/>
          <w:szCs w:val="21"/>
        </w:rPr>
      </w:pPr>
      <w:r>
        <w:rPr>
          <w:rFonts w:hint="eastAsia" w:ascii="宋体" w:hAnsi="宋体" w:cs="宋体"/>
          <w:color w:val="auto"/>
          <w:spacing w:val="-2"/>
          <w:szCs w:val="21"/>
        </w:rPr>
        <w:t>3.1合同价格</w:t>
      </w:r>
    </w:p>
    <w:p w14:paraId="204C718A">
      <w:pPr>
        <w:widowControl/>
        <w:spacing w:line="440" w:lineRule="exact"/>
        <w:jc w:val="left"/>
        <w:rPr>
          <w:rFonts w:ascii="宋体" w:hAnsi="宋体" w:cs="宋体"/>
          <w:color w:val="auto"/>
          <w:spacing w:val="-2"/>
          <w:szCs w:val="21"/>
          <w:highlight w:val="none"/>
          <w:u w:val="single"/>
        </w:rPr>
      </w:pPr>
      <w:r>
        <w:rPr>
          <w:rFonts w:hint="eastAsia" w:ascii="宋体" w:hAnsi="宋体" w:cs="宋体"/>
          <w:color w:val="auto"/>
          <w:spacing w:val="-2"/>
          <w:szCs w:val="21"/>
        </w:rPr>
        <w:t>3.1.2合同价格</w:t>
      </w:r>
      <w:r>
        <w:rPr>
          <w:rFonts w:hint="eastAsia" w:ascii="宋体" w:hAnsi="宋体" w:cs="宋体"/>
          <w:color w:val="auto"/>
          <w:spacing w:val="-2"/>
          <w:szCs w:val="21"/>
          <w:highlight w:val="none"/>
        </w:rPr>
        <w:t>形式：</w:t>
      </w:r>
      <w:r>
        <w:rPr>
          <w:rFonts w:hint="eastAsia" w:ascii="宋体" w:hAnsi="宋体" w:cs="宋体"/>
          <w:color w:val="auto"/>
          <w:spacing w:val="-2"/>
          <w:szCs w:val="21"/>
          <w:highlight w:val="none"/>
          <w:u w:val="single"/>
        </w:rPr>
        <w:t>固定单价，合同履行期间市场价格波动不调整合同价格的约定。 因招标人指令引起工程量的增减或变更，按实结算，结算总价不得高于</w:t>
      </w:r>
      <w:r>
        <w:rPr>
          <w:rFonts w:ascii="宋体" w:hAnsi="宋体" w:cs="宋体"/>
          <w:color w:val="auto"/>
          <w:spacing w:val="-2"/>
          <w:szCs w:val="21"/>
          <w:highlight w:val="none"/>
          <w:u w:val="single"/>
        </w:rPr>
        <w:t>818</w:t>
      </w:r>
      <w:r>
        <w:rPr>
          <w:rFonts w:hint="eastAsia" w:ascii="宋体" w:hAnsi="宋体" w:cs="宋体"/>
          <w:color w:val="auto"/>
          <w:spacing w:val="-2"/>
          <w:szCs w:val="21"/>
          <w:highlight w:val="none"/>
          <w:u w:val="single"/>
        </w:rPr>
        <w:t>万元</w:t>
      </w:r>
      <w:r>
        <w:rPr>
          <w:rFonts w:ascii="宋体" w:hAnsi="宋体" w:cs="宋体"/>
          <w:color w:val="auto"/>
          <w:spacing w:val="-2"/>
          <w:szCs w:val="21"/>
          <w:highlight w:val="none"/>
          <w:u w:val="single"/>
        </w:rPr>
        <w:t>*（1-</w:t>
      </w:r>
      <w:r>
        <w:rPr>
          <w:rFonts w:hint="eastAsia" w:ascii="宋体" w:hAnsi="宋体" w:cs="宋体"/>
          <w:color w:val="auto"/>
          <w:spacing w:val="-2"/>
          <w:szCs w:val="21"/>
          <w:highlight w:val="none"/>
          <w:u w:val="single"/>
        </w:rPr>
        <w:t>中标下浮率）。</w:t>
      </w:r>
    </w:p>
    <w:p w14:paraId="3CA3D645">
      <w:pPr>
        <w:widowControl/>
        <w:spacing w:line="440" w:lineRule="exact"/>
        <w:jc w:val="left"/>
        <w:rPr>
          <w:rFonts w:ascii="宋体" w:hAnsi="宋体" w:cs="宋体"/>
          <w:color w:val="auto"/>
          <w:spacing w:val="-2"/>
          <w:szCs w:val="21"/>
          <w:highlight w:val="none"/>
          <w:u w:val="single"/>
        </w:rPr>
      </w:pPr>
      <w:r>
        <w:rPr>
          <w:rFonts w:hint="eastAsia" w:ascii="宋体" w:hAnsi="宋体" w:cs="宋体"/>
          <w:color w:val="auto"/>
          <w:spacing w:val="-2"/>
          <w:szCs w:val="21"/>
          <w:highlight w:val="none"/>
          <w:u w:val="single"/>
        </w:rPr>
        <w:t>（1）因中标人施工图设计缺陷或不能满足发包人要求或未达到相关规范文件指标的或中标人施工组织不当导致的漏项、施工工艺变更、整改返工以及未通过相关验收等一系列由中标人自身原因造成的工程造价增加，由中标人自行承担，其产生的相关费用发包人不予承担。</w:t>
      </w:r>
    </w:p>
    <w:p w14:paraId="795C5D9A">
      <w:pPr>
        <w:spacing w:line="520" w:lineRule="exact"/>
        <w:jc w:val="left"/>
        <w:rPr>
          <w:rFonts w:ascii="宋体" w:hAnsi="宋体" w:cs="宋体"/>
          <w:color w:val="auto"/>
          <w:spacing w:val="-1"/>
          <w:szCs w:val="21"/>
        </w:rPr>
      </w:pPr>
      <w:r>
        <w:rPr>
          <w:rFonts w:hint="eastAsia" w:ascii="宋体" w:hAnsi="宋体" w:cs="宋体"/>
          <w:color w:val="auto"/>
          <w:spacing w:val="-1"/>
          <w:szCs w:val="21"/>
        </w:rPr>
        <w:t>3.2 合同价款的支付</w:t>
      </w:r>
    </w:p>
    <w:p w14:paraId="5150B554">
      <w:pPr>
        <w:spacing w:line="520" w:lineRule="exact"/>
        <w:rPr>
          <w:rFonts w:ascii="宋体" w:hAnsi="宋体" w:cs="宋体"/>
          <w:color w:val="auto"/>
          <w:spacing w:val="-1"/>
          <w:szCs w:val="21"/>
        </w:rPr>
      </w:pPr>
      <w:r>
        <w:rPr>
          <w:rFonts w:hint="eastAsia" w:ascii="宋体" w:hAnsi="宋体" w:cs="宋体"/>
          <w:color w:val="auto"/>
          <w:spacing w:val="-1"/>
          <w:szCs w:val="21"/>
        </w:rPr>
        <w:t>买方应通过以下方式和比例向卖方支付合同价款：</w:t>
      </w:r>
    </w:p>
    <w:p w14:paraId="61A4C573">
      <w:pPr>
        <w:spacing w:line="520" w:lineRule="exact"/>
        <w:rPr>
          <w:rFonts w:ascii="宋体" w:hAnsi="宋体" w:cs="宋体"/>
          <w:color w:val="auto"/>
          <w:spacing w:val="-1"/>
          <w:szCs w:val="21"/>
        </w:rPr>
      </w:pPr>
      <w:r>
        <w:rPr>
          <w:rFonts w:hint="eastAsia" w:ascii="宋体" w:hAnsi="宋体" w:cs="宋体"/>
          <w:color w:val="auto"/>
          <w:spacing w:val="-1"/>
          <w:szCs w:val="21"/>
        </w:rPr>
        <w:t>3.2.1 预付款</w:t>
      </w:r>
    </w:p>
    <w:p w14:paraId="147989BB">
      <w:pPr>
        <w:spacing w:line="520" w:lineRule="exact"/>
        <w:rPr>
          <w:rFonts w:ascii="宋体" w:hAnsi="宋体" w:cs="宋体"/>
          <w:color w:val="auto"/>
          <w:spacing w:val="-1"/>
          <w:szCs w:val="21"/>
        </w:rPr>
      </w:pPr>
      <w:r>
        <w:rPr>
          <w:rFonts w:hint="eastAsia" w:ascii="宋体" w:hAnsi="宋体" w:cs="宋体"/>
          <w:color w:val="auto"/>
        </w:rPr>
        <w:t>预付款支付比例或金额</w:t>
      </w:r>
      <w:r>
        <w:rPr>
          <w:rFonts w:hint="eastAsia" w:ascii="宋体" w:hAnsi="宋体" w:cs="宋体"/>
          <w:color w:val="auto"/>
          <w:spacing w:val="-1"/>
          <w:szCs w:val="21"/>
        </w:rPr>
        <w:t>：</w:t>
      </w:r>
      <w:r>
        <w:rPr>
          <w:rFonts w:hint="eastAsia" w:ascii="宋体" w:hAnsi="宋体" w:cs="宋体"/>
          <w:color w:val="auto"/>
          <w:spacing w:val="-1"/>
          <w:szCs w:val="21"/>
          <w:u w:val="single"/>
        </w:rPr>
        <w:t>见《专用合同条款数据表》</w:t>
      </w:r>
      <w:r>
        <w:rPr>
          <w:rFonts w:hint="eastAsia" w:ascii="宋体" w:hAnsi="宋体" w:cs="宋体"/>
          <w:color w:val="auto"/>
          <w:spacing w:val="-1"/>
          <w:szCs w:val="21"/>
        </w:rPr>
        <w:t>；</w:t>
      </w:r>
    </w:p>
    <w:p w14:paraId="116D83E7">
      <w:pPr>
        <w:spacing w:line="520" w:lineRule="exact"/>
        <w:rPr>
          <w:rFonts w:ascii="宋体" w:hAnsi="宋体" w:cs="宋体"/>
          <w:color w:val="auto"/>
          <w:spacing w:val="-1"/>
          <w:szCs w:val="21"/>
        </w:rPr>
      </w:pPr>
      <w:r>
        <w:rPr>
          <w:rFonts w:hint="eastAsia" w:ascii="宋体" w:hAnsi="宋体" w:cs="宋体"/>
          <w:color w:val="auto"/>
        </w:rPr>
        <w:t>预付款支付期限</w:t>
      </w:r>
      <w:r>
        <w:rPr>
          <w:rFonts w:hint="eastAsia" w:ascii="宋体" w:hAnsi="宋体" w:cs="宋体"/>
          <w:color w:val="auto"/>
          <w:spacing w:val="-1"/>
          <w:szCs w:val="21"/>
        </w:rPr>
        <w:t>：</w:t>
      </w:r>
      <w:r>
        <w:rPr>
          <w:rFonts w:hint="eastAsia" w:ascii="宋体" w:hAnsi="宋体" w:cs="宋体"/>
          <w:color w:val="auto"/>
          <w:spacing w:val="-1"/>
          <w:szCs w:val="21"/>
          <w:u w:val="single"/>
        </w:rPr>
        <w:t>见《专用合同条款数据表》</w:t>
      </w:r>
      <w:r>
        <w:rPr>
          <w:rFonts w:hint="eastAsia" w:ascii="宋体" w:hAnsi="宋体" w:cs="宋体"/>
          <w:color w:val="auto"/>
          <w:spacing w:val="-1"/>
          <w:szCs w:val="21"/>
        </w:rPr>
        <w:t>；</w:t>
      </w:r>
    </w:p>
    <w:p w14:paraId="4B62810A">
      <w:pPr>
        <w:spacing w:line="520" w:lineRule="exact"/>
        <w:rPr>
          <w:rFonts w:ascii="宋体" w:hAnsi="宋体" w:cs="宋体"/>
          <w:color w:val="auto"/>
          <w:spacing w:val="-1"/>
          <w:szCs w:val="21"/>
        </w:rPr>
      </w:pPr>
      <w:r>
        <w:rPr>
          <w:rFonts w:hint="eastAsia" w:ascii="宋体" w:hAnsi="宋体" w:cs="宋体"/>
          <w:color w:val="auto"/>
          <w:spacing w:val="-1"/>
          <w:szCs w:val="21"/>
        </w:rPr>
        <w:t>预付款扣回的方式：</w:t>
      </w:r>
      <w:r>
        <w:rPr>
          <w:rFonts w:hint="eastAsia" w:ascii="宋体" w:hAnsi="宋体" w:cs="宋体"/>
          <w:color w:val="auto"/>
          <w:spacing w:val="-1"/>
          <w:szCs w:val="21"/>
          <w:u w:val="single"/>
        </w:rPr>
        <w:t>见《专用合同条款数据表》</w:t>
      </w:r>
      <w:r>
        <w:rPr>
          <w:rFonts w:hint="eastAsia" w:ascii="宋体" w:hAnsi="宋体" w:cs="宋体"/>
          <w:color w:val="auto"/>
          <w:spacing w:val="-1"/>
          <w:szCs w:val="21"/>
        </w:rPr>
        <w:t>。</w:t>
      </w:r>
    </w:p>
    <w:p w14:paraId="2EECFE57">
      <w:pPr>
        <w:spacing w:line="520" w:lineRule="exact"/>
        <w:rPr>
          <w:rFonts w:ascii="宋体" w:hAnsi="宋体" w:cs="宋体"/>
          <w:color w:val="auto"/>
          <w:spacing w:val="-1"/>
          <w:szCs w:val="21"/>
        </w:rPr>
      </w:pPr>
      <w:r>
        <w:rPr>
          <w:rFonts w:hint="eastAsia" w:ascii="宋体" w:hAnsi="宋体" w:cs="宋体"/>
          <w:color w:val="auto"/>
          <w:spacing w:val="-1"/>
          <w:szCs w:val="21"/>
        </w:rPr>
        <w:t>3.2.2交货款</w:t>
      </w:r>
    </w:p>
    <w:p w14:paraId="4D630296">
      <w:pPr>
        <w:spacing w:line="520" w:lineRule="exact"/>
        <w:rPr>
          <w:rFonts w:ascii="宋体" w:hAnsi="宋体" w:cs="宋体"/>
          <w:color w:val="auto"/>
          <w:spacing w:val="-1"/>
          <w:szCs w:val="21"/>
        </w:rPr>
      </w:pPr>
      <w:r>
        <w:rPr>
          <w:rFonts w:hint="eastAsia" w:ascii="宋体" w:hAnsi="宋体" w:cs="宋体"/>
          <w:color w:val="auto"/>
          <w:spacing w:val="-1"/>
          <w:szCs w:val="21"/>
        </w:rPr>
        <w:t>支付时间：</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07D948D2">
      <w:pPr>
        <w:spacing w:line="520" w:lineRule="exact"/>
        <w:rPr>
          <w:rFonts w:ascii="宋体" w:hAnsi="宋体" w:cs="宋体"/>
          <w:color w:val="auto"/>
          <w:spacing w:val="-1"/>
          <w:szCs w:val="21"/>
        </w:rPr>
      </w:pPr>
      <w:r>
        <w:rPr>
          <w:rFonts w:hint="eastAsia" w:ascii="宋体" w:hAnsi="宋体" w:cs="宋体"/>
          <w:color w:val="auto"/>
          <w:spacing w:val="-1"/>
          <w:szCs w:val="21"/>
        </w:rPr>
        <w:t>支付比例或金额：</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70BD08CD">
      <w:pPr>
        <w:spacing w:line="520" w:lineRule="exact"/>
        <w:rPr>
          <w:rFonts w:ascii="宋体" w:hAnsi="宋体" w:cs="宋体"/>
          <w:color w:val="auto"/>
          <w:spacing w:val="-1"/>
          <w:szCs w:val="21"/>
        </w:rPr>
      </w:pPr>
      <w:r>
        <w:rPr>
          <w:rFonts w:hint="eastAsia" w:ascii="宋体" w:hAnsi="宋体" w:cs="宋体"/>
          <w:color w:val="auto"/>
          <w:spacing w:val="-1"/>
          <w:szCs w:val="21"/>
        </w:rPr>
        <w:t>支付单据：</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14241F7D">
      <w:pPr>
        <w:spacing w:line="520" w:lineRule="exact"/>
        <w:rPr>
          <w:rFonts w:ascii="宋体" w:hAnsi="宋体" w:cs="宋体"/>
          <w:color w:val="auto"/>
          <w:spacing w:val="-1"/>
          <w:szCs w:val="21"/>
        </w:rPr>
      </w:pPr>
      <w:r>
        <w:rPr>
          <w:rFonts w:hint="eastAsia" w:ascii="宋体" w:hAnsi="宋体" w:cs="宋体"/>
          <w:color w:val="auto"/>
          <w:spacing w:val="-1"/>
          <w:szCs w:val="21"/>
        </w:rPr>
        <w:t>3.2.3验收款</w:t>
      </w:r>
    </w:p>
    <w:p w14:paraId="2BE63578">
      <w:pPr>
        <w:spacing w:line="520" w:lineRule="exact"/>
        <w:rPr>
          <w:rFonts w:ascii="宋体" w:hAnsi="宋体" w:cs="宋体"/>
          <w:color w:val="auto"/>
          <w:spacing w:val="-1"/>
          <w:szCs w:val="21"/>
        </w:rPr>
      </w:pPr>
      <w:r>
        <w:rPr>
          <w:rFonts w:hint="eastAsia" w:ascii="宋体" w:hAnsi="宋体" w:cs="宋体"/>
          <w:color w:val="auto"/>
          <w:spacing w:val="-1"/>
          <w:szCs w:val="21"/>
        </w:rPr>
        <w:t>支付时间：</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531CCC3B">
      <w:pPr>
        <w:spacing w:line="520" w:lineRule="exact"/>
        <w:rPr>
          <w:rFonts w:ascii="宋体" w:hAnsi="宋体" w:cs="宋体"/>
          <w:color w:val="auto"/>
          <w:spacing w:val="-1"/>
          <w:szCs w:val="21"/>
        </w:rPr>
      </w:pPr>
      <w:r>
        <w:rPr>
          <w:rFonts w:hint="eastAsia" w:ascii="宋体" w:hAnsi="宋体" w:cs="宋体"/>
          <w:color w:val="auto"/>
          <w:spacing w:val="-1"/>
          <w:szCs w:val="21"/>
        </w:rPr>
        <w:t>支付比例或金额：</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14A678F0">
      <w:pPr>
        <w:spacing w:line="520" w:lineRule="exact"/>
        <w:rPr>
          <w:rFonts w:ascii="宋体" w:hAnsi="宋体" w:cs="宋体"/>
          <w:color w:val="auto"/>
          <w:spacing w:val="-1"/>
          <w:szCs w:val="21"/>
        </w:rPr>
      </w:pPr>
      <w:r>
        <w:rPr>
          <w:rFonts w:hint="eastAsia" w:ascii="宋体" w:hAnsi="宋体" w:cs="宋体"/>
          <w:color w:val="auto"/>
          <w:spacing w:val="-1"/>
          <w:szCs w:val="21"/>
        </w:rPr>
        <w:t>支付单据：</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776F8151">
      <w:pPr>
        <w:spacing w:line="520" w:lineRule="exact"/>
        <w:rPr>
          <w:rFonts w:ascii="宋体" w:hAnsi="宋体" w:cs="宋体"/>
          <w:color w:val="auto"/>
          <w:spacing w:val="-1"/>
          <w:szCs w:val="21"/>
        </w:rPr>
      </w:pPr>
      <w:r>
        <w:rPr>
          <w:rFonts w:hint="eastAsia" w:ascii="宋体" w:hAnsi="宋体" w:cs="宋体"/>
          <w:color w:val="auto"/>
          <w:spacing w:val="-1"/>
          <w:szCs w:val="21"/>
        </w:rPr>
        <w:t>3.2.4结算款</w:t>
      </w:r>
    </w:p>
    <w:p w14:paraId="6DE85284">
      <w:pPr>
        <w:spacing w:line="520" w:lineRule="exact"/>
        <w:rPr>
          <w:rFonts w:ascii="宋体" w:hAnsi="宋体" w:cs="宋体"/>
          <w:color w:val="auto"/>
          <w:spacing w:val="-1"/>
          <w:szCs w:val="21"/>
        </w:rPr>
      </w:pPr>
      <w:r>
        <w:rPr>
          <w:rFonts w:hint="eastAsia" w:ascii="宋体" w:hAnsi="宋体" w:cs="宋体"/>
          <w:color w:val="auto"/>
          <w:spacing w:val="-1"/>
          <w:szCs w:val="21"/>
        </w:rPr>
        <w:t>支付时间：</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384A17A8">
      <w:pPr>
        <w:spacing w:line="520" w:lineRule="exact"/>
        <w:rPr>
          <w:rFonts w:ascii="宋体" w:hAnsi="宋体" w:cs="宋体"/>
          <w:color w:val="auto"/>
          <w:spacing w:val="-1"/>
          <w:szCs w:val="21"/>
        </w:rPr>
      </w:pPr>
      <w:r>
        <w:rPr>
          <w:rFonts w:hint="eastAsia" w:ascii="宋体" w:hAnsi="宋体" w:cs="宋体"/>
          <w:color w:val="auto"/>
          <w:spacing w:val="-1"/>
          <w:szCs w:val="21"/>
        </w:rPr>
        <w:t>支付比例或金额：</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5442DB18">
      <w:pPr>
        <w:spacing w:line="520" w:lineRule="exact"/>
        <w:rPr>
          <w:rFonts w:ascii="宋体" w:hAnsi="宋体" w:cs="宋体"/>
          <w:color w:val="auto"/>
          <w:spacing w:val="-1"/>
          <w:szCs w:val="21"/>
        </w:rPr>
      </w:pPr>
      <w:r>
        <w:rPr>
          <w:rFonts w:hint="eastAsia" w:ascii="宋体" w:hAnsi="宋体" w:cs="宋体"/>
          <w:color w:val="auto"/>
          <w:spacing w:val="-1"/>
          <w:szCs w:val="21"/>
        </w:rPr>
        <w:t>支付单据：</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20CFB455">
      <w:pPr>
        <w:spacing w:line="440" w:lineRule="exact"/>
        <w:ind w:firstLine="416" w:firstLineChars="200"/>
        <w:jc w:val="left"/>
        <w:rPr>
          <w:rFonts w:ascii="宋体" w:hAnsi="宋体" w:cs="宋体"/>
          <w:color w:val="auto"/>
          <w:spacing w:val="-1"/>
          <w:szCs w:val="21"/>
        </w:rPr>
      </w:pPr>
      <w:r>
        <w:rPr>
          <w:rFonts w:hint="eastAsia" w:ascii="宋体" w:hAnsi="宋体" w:cs="宋体"/>
          <w:color w:val="auto"/>
          <w:spacing w:val="-1"/>
          <w:szCs w:val="21"/>
        </w:rPr>
        <w:t>在不适用通用合同条款所约定的支付方式时，其他支付方式的约定：在具备施工条件的前提下，买方在合同签订后一个月内或不迟于约定的开工日期前7天内预付</w:t>
      </w:r>
      <w:r>
        <w:rPr>
          <w:rFonts w:hint="eastAsia" w:ascii="宋体" w:hAnsi="宋体" w:cs="宋体"/>
          <w:color w:val="auto"/>
          <w:spacing w:val="-1"/>
          <w:szCs w:val="21"/>
          <w:highlight w:val="none"/>
        </w:rPr>
        <w:t>工程款（合同总价</w:t>
      </w:r>
      <w:r>
        <w:rPr>
          <w:rFonts w:ascii="宋体" w:hAnsi="宋体" w:cs="宋体"/>
          <w:color w:val="auto"/>
          <w:spacing w:val="-1"/>
          <w:szCs w:val="21"/>
          <w:highlight w:val="none"/>
        </w:rPr>
        <w:t>*10%）</w:t>
      </w:r>
      <w:r>
        <w:rPr>
          <w:rFonts w:hint="eastAsia" w:ascii="宋体" w:hAnsi="宋体" w:cs="宋体"/>
          <w:color w:val="auto"/>
          <w:spacing w:val="-1"/>
          <w:szCs w:val="21"/>
          <w:highlight w:val="none"/>
        </w:rPr>
        <w:t>。完成水厂精准加药系统改造及西涧湖水厂二车间沉淀池进水管改造后付至已完成合格工程量价款的85%</w:t>
      </w:r>
      <w:r>
        <w:rPr>
          <w:rFonts w:hint="eastAsia" w:ascii="宋体" w:hAnsi="宋体" w:cs="宋体"/>
          <w:color w:val="auto"/>
          <w:spacing w:val="-1"/>
          <w:szCs w:val="21"/>
          <w:highlight w:val="none"/>
          <w:lang w:eastAsia="zh-CN"/>
        </w:rPr>
        <w:t>，</w:t>
      </w:r>
      <w:r>
        <w:rPr>
          <w:rFonts w:hint="eastAsia" w:ascii="宋体" w:hAnsi="宋体" w:cs="宋体"/>
          <w:b/>
          <w:bCs/>
          <w:color w:val="auto"/>
          <w:szCs w:val="21"/>
          <w:highlight w:val="none"/>
        </w:rPr>
        <w:t>所有设备供货、安装、调式及验收合格并经审计结束后付至结算价款的98%，剩余2%作为质量保证金，</w:t>
      </w:r>
      <w:r>
        <w:rPr>
          <w:rFonts w:hint="eastAsia" w:ascii="宋体" w:hAnsi="宋体" w:cs="宋体"/>
          <w:color w:val="auto"/>
          <w:spacing w:val="-1"/>
          <w:szCs w:val="21"/>
          <w:highlight w:val="none"/>
        </w:rPr>
        <w:t>缺陷责任期（自竣工验收合格之日起满2年）满一个月内付清</w:t>
      </w:r>
      <w:r>
        <w:rPr>
          <w:rFonts w:hint="eastAsia" w:ascii="宋体" w:hAnsi="宋体" w:cs="宋体"/>
          <w:b/>
          <w:bCs/>
          <w:color w:val="auto"/>
          <w:szCs w:val="21"/>
          <w:highlight w:val="none"/>
        </w:rPr>
        <w:t>。</w:t>
      </w:r>
      <w:r>
        <w:rPr>
          <w:rFonts w:hint="eastAsia" w:ascii="宋体" w:hAnsi="宋体" w:cs="宋体"/>
          <w:color w:val="auto"/>
          <w:spacing w:val="-1"/>
          <w:szCs w:val="21"/>
          <w:highlight w:val="none"/>
        </w:rPr>
        <w:t>质量保证金支持保函（银行保函、担保机构担保、保证保险）使用。采用保函的不再从工程进度款中扣留质量保证金，保函有</w:t>
      </w:r>
      <w:r>
        <w:rPr>
          <w:rFonts w:hint="eastAsia" w:ascii="宋体" w:hAnsi="宋体" w:cs="宋体"/>
          <w:color w:val="auto"/>
          <w:spacing w:val="-1"/>
          <w:szCs w:val="21"/>
        </w:rPr>
        <w:t>效期须与工程缺陷责任期截止时间保持一致。</w:t>
      </w:r>
    </w:p>
    <w:p w14:paraId="0C5988AD">
      <w:pPr>
        <w:spacing w:line="520" w:lineRule="exact"/>
        <w:rPr>
          <w:rFonts w:ascii="宋体" w:hAnsi="宋体" w:cs="宋体"/>
          <w:color w:val="auto"/>
          <w:spacing w:val="-1"/>
          <w:szCs w:val="21"/>
        </w:rPr>
      </w:pPr>
      <w:r>
        <w:rPr>
          <w:rFonts w:hint="eastAsia" w:ascii="宋体" w:hAnsi="宋体" w:cs="宋体"/>
          <w:color w:val="auto"/>
          <w:spacing w:val="-1"/>
          <w:szCs w:val="21"/>
        </w:rPr>
        <w:t>5.包装、标记、运输和交付</w:t>
      </w:r>
    </w:p>
    <w:p w14:paraId="547903F4">
      <w:pPr>
        <w:spacing w:line="520" w:lineRule="exact"/>
        <w:rPr>
          <w:rFonts w:ascii="宋体" w:hAnsi="宋体" w:cs="宋体"/>
          <w:color w:val="auto"/>
          <w:spacing w:val="-1"/>
          <w:szCs w:val="21"/>
        </w:rPr>
      </w:pPr>
      <w:r>
        <w:rPr>
          <w:rFonts w:hint="eastAsia" w:ascii="宋体" w:hAnsi="宋体" w:cs="宋体"/>
          <w:color w:val="auto"/>
          <w:spacing w:val="-1"/>
          <w:szCs w:val="21"/>
        </w:rPr>
        <w:t>5.1 包装</w:t>
      </w:r>
    </w:p>
    <w:p w14:paraId="0514A91F">
      <w:pPr>
        <w:spacing w:line="520" w:lineRule="exact"/>
        <w:rPr>
          <w:rFonts w:ascii="宋体" w:hAnsi="宋体" w:cs="宋体"/>
          <w:color w:val="auto"/>
          <w:spacing w:val="-1"/>
          <w:szCs w:val="21"/>
        </w:rPr>
      </w:pPr>
      <w:r>
        <w:rPr>
          <w:rFonts w:hint="eastAsia" w:ascii="宋体" w:hAnsi="宋体" w:cs="宋体"/>
          <w:color w:val="auto"/>
          <w:spacing w:val="-1"/>
          <w:szCs w:val="21"/>
        </w:rPr>
        <w:t>5.1.1 包装的其他要求：</w:t>
      </w:r>
      <w:r>
        <w:rPr>
          <w:rFonts w:hint="eastAsia" w:ascii="宋体" w:hAnsi="宋体" w:cs="宋体"/>
          <w:color w:val="auto"/>
          <w:spacing w:val="-1"/>
          <w:szCs w:val="21"/>
          <w:u w:val="single"/>
        </w:rPr>
        <w:t xml:space="preserve">  执行通用合同条款 </w:t>
      </w:r>
      <w:r>
        <w:rPr>
          <w:rFonts w:hint="eastAsia" w:ascii="宋体" w:hAnsi="宋体" w:cs="宋体"/>
          <w:color w:val="auto"/>
          <w:spacing w:val="-1"/>
          <w:szCs w:val="21"/>
        </w:rPr>
        <w:t xml:space="preserve"> 。</w:t>
      </w:r>
    </w:p>
    <w:p w14:paraId="35FE97EE">
      <w:pPr>
        <w:spacing w:line="520" w:lineRule="exact"/>
        <w:rPr>
          <w:rFonts w:ascii="宋体" w:hAnsi="宋体" w:cs="宋体"/>
          <w:color w:val="auto"/>
          <w:spacing w:val="-1"/>
          <w:szCs w:val="21"/>
        </w:rPr>
      </w:pPr>
      <w:r>
        <w:rPr>
          <w:rFonts w:hint="eastAsia" w:ascii="宋体" w:hAnsi="宋体" w:cs="宋体"/>
          <w:color w:val="auto"/>
          <w:spacing w:val="-1"/>
          <w:szCs w:val="21"/>
        </w:rPr>
        <w:t>5.1.2 买方是否需将包装物退还给卖方：</w:t>
      </w:r>
      <w:r>
        <w:rPr>
          <w:rFonts w:hint="eastAsia" w:ascii="宋体" w:hAnsi="宋体" w:cs="宋体"/>
          <w:color w:val="auto"/>
          <w:spacing w:val="-1"/>
          <w:szCs w:val="21"/>
          <w:u w:val="single"/>
        </w:rPr>
        <w:t xml:space="preserve">  根据现场实际情况在另行确定  </w:t>
      </w:r>
      <w:r>
        <w:rPr>
          <w:rFonts w:hint="eastAsia" w:ascii="宋体" w:hAnsi="宋体" w:cs="宋体"/>
          <w:color w:val="auto"/>
          <w:spacing w:val="-1"/>
          <w:szCs w:val="21"/>
        </w:rPr>
        <w:t xml:space="preserve"> 。</w:t>
      </w:r>
    </w:p>
    <w:p w14:paraId="5546DE8C">
      <w:pPr>
        <w:spacing w:line="520" w:lineRule="exact"/>
        <w:rPr>
          <w:rFonts w:ascii="宋体" w:hAnsi="宋体" w:cs="宋体"/>
          <w:color w:val="auto"/>
          <w:spacing w:val="-1"/>
          <w:szCs w:val="21"/>
        </w:rPr>
      </w:pPr>
      <w:r>
        <w:rPr>
          <w:rFonts w:hint="eastAsia" w:ascii="宋体" w:hAnsi="宋体" w:cs="宋体"/>
          <w:color w:val="auto"/>
          <w:spacing w:val="-1"/>
          <w:szCs w:val="21"/>
        </w:rPr>
        <w:t>5.2 标记</w:t>
      </w:r>
    </w:p>
    <w:p w14:paraId="7C0B23D7">
      <w:pPr>
        <w:spacing w:line="520" w:lineRule="exact"/>
        <w:rPr>
          <w:rFonts w:ascii="宋体" w:hAnsi="宋体" w:cs="宋体"/>
          <w:color w:val="auto"/>
          <w:spacing w:val="-1"/>
          <w:szCs w:val="21"/>
        </w:rPr>
      </w:pPr>
      <w:r>
        <w:rPr>
          <w:rFonts w:hint="eastAsia" w:ascii="宋体" w:hAnsi="宋体" w:cs="宋体"/>
          <w:color w:val="auto"/>
          <w:spacing w:val="-1"/>
          <w:szCs w:val="21"/>
        </w:rPr>
        <w:t>5.2.1标记要求：</w:t>
      </w:r>
      <w:r>
        <w:rPr>
          <w:rFonts w:hint="eastAsia" w:ascii="宋体" w:hAnsi="宋体" w:cs="宋体"/>
          <w:color w:val="auto"/>
          <w:spacing w:val="-1"/>
          <w:szCs w:val="21"/>
          <w:u w:val="single"/>
        </w:rPr>
        <w:t xml:space="preserve"> 执行通用合同条款并满足设备技术规范     </w:t>
      </w:r>
      <w:r>
        <w:rPr>
          <w:rFonts w:hint="eastAsia" w:ascii="宋体" w:hAnsi="宋体" w:cs="宋体"/>
          <w:color w:val="auto"/>
          <w:spacing w:val="-1"/>
          <w:szCs w:val="21"/>
        </w:rPr>
        <w:t>。</w:t>
      </w:r>
    </w:p>
    <w:p w14:paraId="01F40576">
      <w:pPr>
        <w:spacing w:line="520" w:lineRule="exact"/>
        <w:rPr>
          <w:rFonts w:ascii="宋体" w:hAnsi="宋体" w:cs="宋体"/>
          <w:color w:val="auto"/>
          <w:spacing w:val="-1"/>
          <w:szCs w:val="21"/>
        </w:rPr>
      </w:pPr>
      <w:r>
        <w:rPr>
          <w:rFonts w:hint="eastAsia" w:ascii="宋体" w:hAnsi="宋体" w:cs="宋体"/>
          <w:color w:val="auto"/>
          <w:spacing w:val="-1"/>
          <w:szCs w:val="21"/>
        </w:rPr>
        <w:t>5.4 交付</w:t>
      </w:r>
    </w:p>
    <w:p w14:paraId="238CA7BC">
      <w:pPr>
        <w:spacing w:line="520" w:lineRule="exact"/>
        <w:rPr>
          <w:rFonts w:ascii="宋体" w:hAnsi="宋体" w:cs="宋体"/>
          <w:color w:val="auto"/>
          <w:spacing w:val="-1"/>
          <w:szCs w:val="21"/>
        </w:rPr>
      </w:pPr>
      <w:r>
        <w:rPr>
          <w:rFonts w:hint="eastAsia" w:ascii="宋体" w:hAnsi="宋体" w:cs="宋体"/>
          <w:color w:val="auto"/>
          <w:spacing w:val="-1"/>
          <w:szCs w:val="21"/>
        </w:rPr>
        <w:t>5.4.1 交付时间、批次：</w:t>
      </w:r>
      <w:r>
        <w:rPr>
          <w:rFonts w:hint="eastAsia" w:ascii="宋体" w:hAnsi="宋体" w:cs="宋体"/>
          <w:color w:val="auto"/>
          <w:spacing w:val="-1"/>
          <w:szCs w:val="21"/>
          <w:u w:val="single"/>
        </w:rPr>
        <w:t xml:space="preserve">  执行通用合同条款   </w:t>
      </w:r>
      <w:r>
        <w:rPr>
          <w:rFonts w:hint="eastAsia" w:ascii="宋体" w:hAnsi="宋体" w:cs="宋体"/>
          <w:color w:val="auto"/>
          <w:spacing w:val="-1"/>
          <w:szCs w:val="21"/>
        </w:rPr>
        <w:t xml:space="preserve">。 </w:t>
      </w:r>
    </w:p>
    <w:p w14:paraId="3B7D0FF3">
      <w:pPr>
        <w:spacing w:line="520" w:lineRule="exact"/>
        <w:rPr>
          <w:rFonts w:ascii="宋体" w:hAnsi="宋体" w:cs="宋体"/>
          <w:color w:val="auto"/>
          <w:spacing w:val="-1"/>
          <w:szCs w:val="21"/>
        </w:rPr>
      </w:pPr>
      <w:r>
        <w:rPr>
          <w:rFonts w:hint="eastAsia" w:ascii="宋体" w:hAnsi="宋体" w:cs="宋体"/>
          <w:color w:val="auto"/>
          <w:spacing w:val="-1"/>
          <w:szCs w:val="21"/>
        </w:rPr>
        <w:t>交付地点</w:t>
      </w:r>
      <w:r>
        <w:rPr>
          <w:rFonts w:hint="eastAsia" w:ascii="宋体" w:hAnsi="宋体" w:cs="宋体"/>
          <w:color w:val="auto"/>
          <w:spacing w:val="-1"/>
          <w:szCs w:val="21"/>
          <w:u w:val="single"/>
        </w:rPr>
        <w:t xml:space="preserve">：项目所在地  </w:t>
      </w:r>
      <w:r>
        <w:rPr>
          <w:rFonts w:hint="eastAsia" w:ascii="宋体" w:hAnsi="宋体" w:cs="宋体"/>
          <w:color w:val="auto"/>
          <w:spacing w:val="-1"/>
          <w:szCs w:val="21"/>
        </w:rPr>
        <w:t>。</w:t>
      </w:r>
    </w:p>
    <w:p w14:paraId="12856C35">
      <w:pPr>
        <w:spacing w:line="520" w:lineRule="exact"/>
        <w:rPr>
          <w:rFonts w:ascii="宋体" w:hAnsi="宋体" w:cs="宋体"/>
          <w:color w:val="auto"/>
          <w:spacing w:val="-1"/>
          <w:szCs w:val="21"/>
        </w:rPr>
      </w:pPr>
      <w:r>
        <w:rPr>
          <w:rFonts w:hint="eastAsia" w:ascii="宋体" w:hAnsi="宋体" w:cs="宋体"/>
          <w:color w:val="auto"/>
          <w:spacing w:val="-1"/>
          <w:szCs w:val="21"/>
        </w:rPr>
        <w:t>交付方式：</w:t>
      </w:r>
      <w:r>
        <w:rPr>
          <w:rFonts w:hint="eastAsia" w:ascii="宋体" w:hAnsi="宋体" w:cs="宋体"/>
          <w:color w:val="auto"/>
          <w:spacing w:val="-1"/>
          <w:szCs w:val="21"/>
          <w:u w:val="single"/>
        </w:rPr>
        <w:t xml:space="preserve">  现场交付  </w:t>
      </w:r>
      <w:r>
        <w:rPr>
          <w:rFonts w:hint="eastAsia" w:ascii="宋体" w:hAnsi="宋体" w:cs="宋体"/>
          <w:color w:val="auto"/>
          <w:spacing w:val="-1"/>
          <w:szCs w:val="21"/>
        </w:rPr>
        <w:t>。</w:t>
      </w:r>
    </w:p>
    <w:p w14:paraId="33D17697">
      <w:pPr>
        <w:spacing w:line="520" w:lineRule="exact"/>
        <w:rPr>
          <w:rFonts w:ascii="宋体" w:hAnsi="宋体" w:cs="宋体"/>
          <w:color w:val="auto"/>
          <w:spacing w:val="-1"/>
          <w:szCs w:val="21"/>
        </w:rPr>
      </w:pPr>
      <w:r>
        <w:rPr>
          <w:rFonts w:hint="eastAsia" w:ascii="宋体" w:hAnsi="宋体" w:cs="宋体"/>
          <w:color w:val="auto"/>
          <w:spacing w:val="-1"/>
          <w:szCs w:val="21"/>
        </w:rPr>
        <w:t>5.4.3 技术资料免费补齐的时间：</w:t>
      </w:r>
      <w:r>
        <w:rPr>
          <w:rFonts w:hint="eastAsia" w:ascii="宋体" w:hAnsi="宋体" w:cs="宋体"/>
          <w:color w:val="auto"/>
          <w:spacing w:val="-1"/>
          <w:szCs w:val="21"/>
          <w:u w:val="single"/>
        </w:rPr>
        <w:t xml:space="preserve">  执行通用合同条款   </w:t>
      </w:r>
      <w:r>
        <w:rPr>
          <w:rFonts w:hint="eastAsia" w:ascii="宋体" w:hAnsi="宋体" w:cs="宋体"/>
          <w:color w:val="auto"/>
          <w:spacing w:val="-1"/>
          <w:szCs w:val="21"/>
        </w:rPr>
        <w:t>。</w:t>
      </w:r>
    </w:p>
    <w:p w14:paraId="19C68E80">
      <w:pPr>
        <w:spacing w:line="520" w:lineRule="exact"/>
        <w:rPr>
          <w:rFonts w:ascii="宋体" w:hAnsi="宋体" w:cs="宋体"/>
          <w:color w:val="auto"/>
          <w:spacing w:val="-1"/>
          <w:szCs w:val="21"/>
        </w:rPr>
      </w:pPr>
      <w:r>
        <w:rPr>
          <w:rFonts w:hint="eastAsia" w:ascii="宋体" w:hAnsi="宋体" w:cs="宋体"/>
          <w:color w:val="auto"/>
          <w:spacing w:val="-1"/>
          <w:szCs w:val="21"/>
        </w:rPr>
        <w:t>6.开箱检验、安装、调试、考核、验收</w:t>
      </w:r>
    </w:p>
    <w:p w14:paraId="39A22F5F">
      <w:pPr>
        <w:spacing w:line="520" w:lineRule="exact"/>
        <w:jc w:val="left"/>
        <w:rPr>
          <w:rFonts w:ascii="宋体" w:hAnsi="宋体" w:cs="宋体"/>
          <w:color w:val="auto"/>
          <w:spacing w:val="-1"/>
          <w:szCs w:val="21"/>
        </w:rPr>
      </w:pPr>
      <w:r>
        <w:rPr>
          <w:rFonts w:hint="eastAsia" w:ascii="宋体" w:hAnsi="宋体" w:cs="宋体"/>
          <w:color w:val="auto"/>
          <w:spacing w:val="-1"/>
          <w:szCs w:val="21"/>
        </w:rPr>
        <w:t>6.1开箱检验</w:t>
      </w:r>
    </w:p>
    <w:p w14:paraId="64E30FA8">
      <w:pPr>
        <w:spacing w:line="520" w:lineRule="exact"/>
        <w:jc w:val="left"/>
        <w:rPr>
          <w:rFonts w:ascii="宋体" w:hAnsi="宋体" w:cs="宋体"/>
          <w:color w:val="auto"/>
          <w:spacing w:val="-1"/>
          <w:szCs w:val="21"/>
        </w:rPr>
      </w:pPr>
      <w:r>
        <w:rPr>
          <w:rFonts w:hint="eastAsia" w:ascii="宋体" w:hAnsi="宋体" w:cs="宋体"/>
          <w:color w:val="auto"/>
          <w:spacing w:val="-1"/>
          <w:szCs w:val="21"/>
        </w:rPr>
        <w:t>6.1.1开箱检验方式：</w:t>
      </w:r>
      <w:r>
        <w:rPr>
          <w:rFonts w:hint="eastAsia" w:ascii="宋体" w:hAnsi="宋体" w:cs="宋体"/>
          <w:color w:val="auto"/>
          <w:spacing w:val="-1"/>
          <w:szCs w:val="21"/>
          <w:u w:val="single"/>
        </w:rPr>
        <w:t>合同设备交付时。</w:t>
      </w:r>
    </w:p>
    <w:p w14:paraId="37C7D08D">
      <w:pPr>
        <w:spacing w:line="520" w:lineRule="exact"/>
        <w:jc w:val="left"/>
        <w:rPr>
          <w:rFonts w:ascii="宋体" w:hAnsi="宋体" w:cs="宋体"/>
          <w:color w:val="auto"/>
          <w:spacing w:val="-1"/>
          <w:szCs w:val="21"/>
        </w:rPr>
      </w:pPr>
      <w:r>
        <w:rPr>
          <w:rFonts w:hint="eastAsia" w:ascii="宋体" w:hAnsi="宋体" w:cs="宋体"/>
          <w:color w:val="auto"/>
          <w:spacing w:val="-1"/>
          <w:szCs w:val="21"/>
        </w:rPr>
        <w:t>6.1.2开箱检验地点：</w:t>
      </w:r>
      <w:r>
        <w:rPr>
          <w:rFonts w:hint="eastAsia" w:ascii="宋体" w:hAnsi="宋体" w:cs="宋体"/>
          <w:color w:val="auto"/>
          <w:spacing w:val="-1"/>
          <w:szCs w:val="21"/>
          <w:u w:val="single"/>
        </w:rPr>
        <w:t>项目所在地。</w:t>
      </w:r>
    </w:p>
    <w:p w14:paraId="494BE3BE">
      <w:pPr>
        <w:spacing w:line="520" w:lineRule="exact"/>
        <w:jc w:val="left"/>
        <w:rPr>
          <w:rFonts w:ascii="宋体" w:hAnsi="宋体" w:cs="宋体"/>
          <w:color w:val="auto"/>
          <w:spacing w:val="-1"/>
          <w:szCs w:val="21"/>
        </w:rPr>
      </w:pPr>
      <w:r>
        <w:rPr>
          <w:rFonts w:hint="eastAsia" w:ascii="宋体" w:hAnsi="宋体" w:cs="宋体"/>
          <w:color w:val="auto"/>
          <w:spacing w:val="-1"/>
          <w:szCs w:val="21"/>
        </w:rPr>
        <w:t>6.2安装、调试</w:t>
      </w:r>
    </w:p>
    <w:p w14:paraId="03E743B3">
      <w:pPr>
        <w:spacing w:line="520" w:lineRule="exact"/>
        <w:jc w:val="left"/>
        <w:rPr>
          <w:rFonts w:ascii="宋体" w:hAnsi="宋体" w:cs="宋体"/>
          <w:color w:val="auto"/>
          <w:spacing w:val="-1"/>
          <w:szCs w:val="21"/>
          <w:u w:val="single"/>
        </w:rPr>
      </w:pPr>
      <w:r>
        <w:rPr>
          <w:rFonts w:hint="eastAsia" w:ascii="宋体" w:hAnsi="宋体" w:cs="宋体"/>
          <w:color w:val="auto"/>
          <w:spacing w:val="-1"/>
          <w:szCs w:val="21"/>
        </w:rPr>
        <w:t>6.2.1安装、调试方式：</w:t>
      </w:r>
      <w:r>
        <w:rPr>
          <w:rFonts w:hint="eastAsia" w:ascii="宋体" w:hAnsi="宋体" w:cs="宋体"/>
          <w:color w:val="auto"/>
          <w:spacing w:val="-1"/>
          <w:szCs w:val="21"/>
          <w:u w:val="single"/>
        </w:rPr>
        <w:t>卖</w:t>
      </w:r>
      <w:r>
        <w:rPr>
          <w:color w:val="auto"/>
          <w:spacing w:val="-2"/>
          <w:szCs w:val="21"/>
          <w:u w:val="single"/>
        </w:rPr>
        <w:t>方按照合同约定完成合同设备的安装、调试工作</w:t>
      </w:r>
    </w:p>
    <w:p w14:paraId="489B7FD2">
      <w:pPr>
        <w:spacing w:line="520" w:lineRule="exact"/>
        <w:jc w:val="left"/>
        <w:rPr>
          <w:rFonts w:ascii="宋体" w:hAnsi="宋体" w:cs="宋体"/>
          <w:color w:val="auto"/>
          <w:spacing w:val="-1"/>
          <w:szCs w:val="21"/>
        </w:rPr>
      </w:pPr>
      <w:r>
        <w:rPr>
          <w:rFonts w:hint="eastAsia" w:ascii="宋体" w:hAnsi="宋体" w:cs="宋体"/>
          <w:color w:val="auto"/>
          <w:spacing w:val="-1"/>
          <w:szCs w:val="21"/>
        </w:rPr>
        <w:t>6.2.2安装、调试中合同设备运行需要的用水、用电、其他动力和原材料（如需要）等均由买方承担。</w:t>
      </w:r>
    </w:p>
    <w:p w14:paraId="220352E1">
      <w:pPr>
        <w:spacing w:line="520" w:lineRule="exact"/>
        <w:jc w:val="left"/>
        <w:rPr>
          <w:rFonts w:ascii="宋体" w:hAnsi="宋体" w:cs="宋体"/>
          <w:color w:val="auto"/>
          <w:spacing w:val="-1"/>
          <w:szCs w:val="21"/>
        </w:rPr>
      </w:pPr>
      <w:r>
        <w:rPr>
          <w:rFonts w:hint="eastAsia" w:ascii="宋体" w:hAnsi="宋体" w:cs="宋体"/>
          <w:color w:val="auto"/>
          <w:spacing w:val="-1"/>
          <w:szCs w:val="21"/>
        </w:rPr>
        <w:t>6.3考核</w:t>
      </w:r>
    </w:p>
    <w:p w14:paraId="51D45628">
      <w:pPr>
        <w:spacing w:line="520" w:lineRule="exact"/>
        <w:jc w:val="left"/>
        <w:rPr>
          <w:rFonts w:ascii="宋体" w:hAnsi="宋体" w:cs="宋体"/>
          <w:color w:val="auto"/>
          <w:spacing w:val="-1"/>
          <w:szCs w:val="21"/>
        </w:rPr>
      </w:pPr>
      <w:r>
        <w:rPr>
          <w:rFonts w:hint="eastAsia" w:ascii="宋体" w:hAnsi="宋体" w:cs="宋体"/>
          <w:color w:val="auto"/>
          <w:spacing w:val="-1"/>
          <w:szCs w:val="21"/>
        </w:rPr>
        <w:t>6.3.1安装、调试完成后，双方应对合同设备进行考核，以确定合同设备是否达到合同约定的技术性能考核指标。考核中合同设备运行需要的用水、用电、其他动力和原材料（如需要）等均由买方承担。</w:t>
      </w:r>
    </w:p>
    <w:p w14:paraId="1A9C1E39">
      <w:pPr>
        <w:spacing w:line="520" w:lineRule="exact"/>
        <w:jc w:val="left"/>
        <w:rPr>
          <w:rFonts w:ascii="宋体" w:hAnsi="宋体" w:cs="宋体"/>
          <w:color w:val="auto"/>
          <w:spacing w:val="-1"/>
          <w:szCs w:val="21"/>
        </w:rPr>
      </w:pPr>
      <w:r>
        <w:rPr>
          <w:rFonts w:hint="eastAsia" w:ascii="宋体" w:hAnsi="宋体" w:cs="宋体"/>
          <w:color w:val="auto"/>
          <w:spacing w:val="-1"/>
          <w:szCs w:val="21"/>
        </w:rPr>
        <w:t>7.技术服务</w:t>
      </w:r>
    </w:p>
    <w:p w14:paraId="09EA492F">
      <w:pPr>
        <w:spacing w:line="520" w:lineRule="exact"/>
        <w:jc w:val="left"/>
        <w:rPr>
          <w:rFonts w:ascii="宋体" w:hAnsi="宋体" w:cs="宋体"/>
          <w:color w:val="auto"/>
          <w:spacing w:val="-1"/>
          <w:szCs w:val="21"/>
        </w:rPr>
      </w:pPr>
      <w:r>
        <w:rPr>
          <w:rFonts w:hint="eastAsia" w:ascii="宋体" w:hAnsi="宋体" w:cs="宋体"/>
          <w:color w:val="auto"/>
          <w:spacing w:val="-1"/>
          <w:szCs w:val="21"/>
        </w:rPr>
        <w:t>7.2 卖方技术人员的费用承担：</w:t>
      </w:r>
      <w:r>
        <w:rPr>
          <w:rFonts w:hint="eastAsia" w:ascii="宋体" w:hAnsi="宋体" w:cs="宋体"/>
          <w:color w:val="auto"/>
          <w:spacing w:val="-1"/>
          <w:szCs w:val="21"/>
          <w:u w:val="single"/>
        </w:rPr>
        <w:t xml:space="preserve">    执行通用合同条款         </w:t>
      </w:r>
      <w:r>
        <w:rPr>
          <w:rFonts w:hint="eastAsia" w:ascii="宋体" w:hAnsi="宋体" w:cs="宋体"/>
          <w:color w:val="auto"/>
          <w:spacing w:val="-1"/>
          <w:szCs w:val="21"/>
        </w:rPr>
        <w:t xml:space="preserve"> 。</w:t>
      </w:r>
    </w:p>
    <w:p w14:paraId="09222389">
      <w:pPr>
        <w:spacing w:line="520" w:lineRule="exact"/>
        <w:jc w:val="left"/>
        <w:rPr>
          <w:rFonts w:ascii="宋体" w:hAnsi="宋体" w:cs="宋体"/>
          <w:color w:val="auto"/>
          <w:spacing w:val="-1"/>
          <w:szCs w:val="21"/>
        </w:rPr>
      </w:pPr>
      <w:r>
        <w:rPr>
          <w:rFonts w:hint="eastAsia" w:ascii="宋体" w:hAnsi="宋体" w:cs="宋体"/>
          <w:color w:val="auto"/>
          <w:spacing w:val="-1"/>
          <w:szCs w:val="21"/>
        </w:rPr>
        <w:t>8.质量保证期</w:t>
      </w:r>
    </w:p>
    <w:p w14:paraId="5B71EF67">
      <w:pPr>
        <w:spacing w:line="520" w:lineRule="exact"/>
        <w:jc w:val="left"/>
        <w:rPr>
          <w:rFonts w:ascii="宋体" w:hAnsi="宋体" w:cs="宋体"/>
          <w:color w:val="auto"/>
          <w:spacing w:val="-1"/>
          <w:szCs w:val="21"/>
        </w:rPr>
      </w:pPr>
      <w:r>
        <w:rPr>
          <w:rFonts w:hint="eastAsia" w:ascii="宋体" w:hAnsi="宋体" w:cs="宋体"/>
          <w:color w:val="auto"/>
          <w:spacing w:val="-1"/>
          <w:szCs w:val="21"/>
        </w:rPr>
        <w:t>8.1 质量保证期：</w:t>
      </w:r>
      <w:r>
        <w:rPr>
          <w:rFonts w:hint="eastAsia" w:ascii="宋体" w:hAnsi="宋体" w:cs="宋体"/>
          <w:color w:val="auto"/>
          <w:spacing w:val="-1"/>
          <w:szCs w:val="21"/>
          <w:u w:val="single"/>
        </w:rPr>
        <w:t>见《专用合同条款数据表》</w:t>
      </w:r>
      <w:r>
        <w:rPr>
          <w:rFonts w:hint="eastAsia" w:ascii="宋体" w:hAnsi="宋体" w:cs="宋体"/>
          <w:color w:val="auto"/>
          <w:spacing w:val="-1"/>
          <w:szCs w:val="21"/>
        </w:rPr>
        <w:t>。</w:t>
      </w:r>
    </w:p>
    <w:p w14:paraId="70FE3C08">
      <w:pPr>
        <w:spacing w:line="520" w:lineRule="exact"/>
        <w:jc w:val="left"/>
        <w:rPr>
          <w:rFonts w:ascii="宋体" w:hAnsi="宋体" w:cs="宋体"/>
          <w:color w:val="auto"/>
        </w:rPr>
      </w:pPr>
      <w:r>
        <w:rPr>
          <w:rFonts w:hint="eastAsia" w:ascii="宋体" w:hAnsi="宋体" w:cs="宋体"/>
          <w:color w:val="auto"/>
        </w:rPr>
        <w:t>质量保证金金额：结算价款*2%</w:t>
      </w:r>
    </w:p>
    <w:p w14:paraId="753F9E28">
      <w:pPr>
        <w:spacing w:line="520" w:lineRule="exact"/>
        <w:jc w:val="left"/>
        <w:rPr>
          <w:rFonts w:ascii="宋体" w:hAnsi="宋体" w:cs="宋体"/>
          <w:color w:val="auto"/>
          <w:spacing w:val="-1"/>
          <w:szCs w:val="21"/>
        </w:rPr>
      </w:pPr>
      <w:r>
        <w:rPr>
          <w:rFonts w:hint="eastAsia" w:ascii="宋体" w:hAnsi="宋体" w:cs="宋体"/>
          <w:color w:val="auto"/>
        </w:rPr>
        <w:t>质量保证金支持保函（银行保函、担保机构担保、保证保险）使用。采用保函的不再从工程进度款中扣留质量保证金，保函有效期须与工程缺陷责任期截止时间保持一致。</w:t>
      </w:r>
    </w:p>
    <w:p w14:paraId="61C8D0CE">
      <w:pPr>
        <w:spacing w:line="520" w:lineRule="exact"/>
        <w:jc w:val="left"/>
        <w:rPr>
          <w:rFonts w:ascii="宋体" w:hAnsi="宋体" w:cs="宋体"/>
          <w:color w:val="auto"/>
          <w:spacing w:val="-1"/>
          <w:szCs w:val="21"/>
        </w:rPr>
      </w:pPr>
      <w:r>
        <w:rPr>
          <w:rFonts w:hint="eastAsia" w:ascii="宋体" w:hAnsi="宋体" w:cs="宋体"/>
          <w:color w:val="auto"/>
          <w:spacing w:val="-1"/>
          <w:szCs w:val="21"/>
        </w:rPr>
        <w:t>10.履约保证金</w:t>
      </w:r>
    </w:p>
    <w:p w14:paraId="6B22B08C">
      <w:pPr>
        <w:spacing w:line="520" w:lineRule="exact"/>
        <w:jc w:val="left"/>
        <w:rPr>
          <w:rFonts w:ascii="宋体" w:hAnsi="宋体" w:cs="宋体"/>
          <w:color w:val="auto"/>
          <w:spacing w:val="-1"/>
          <w:szCs w:val="21"/>
        </w:rPr>
      </w:pPr>
      <w:r>
        <w:rPr>
          <w:rFonts w:hint="eastAsia" w:ascii="宋体" w:hAnsi="宋体" w:cs="宋体"/>
          <w:color w:val="auto"/>
          <w:spacing w:val="-1"/>
          <w:szCs w:val="21"/>
        </w:rPr>
        <w:t>履约保证金：见《专用合同条款数据表》。</w:t>
      </w:r>
    </w:p>
    <w:p w14:paraId="67A1F83D">
      <w:pPr>
        <w:spacing w:line="520" w:lineRule="exact"/>
        <w:jc w:val="left"/>
        <w:rPr>
          <w:rFonts w:ascii="宋体" w:hAnsi="宋体" w:cs="宋体"/>
          <w:color w:val="auto"/>
          <w:spacing w:val="-1"/>
          <w:szCs w:val="21"/>
        </w:rPr>
      </w:pPr>
      <w:r>
        <w:rPr>
          <w:rFonts w:hint="eastAsia" w:ascii="宋体" w:hAnsi="宋体" w:cs="宋体"/>
          <w:color w:val="auto"/>
          <w:spacing w:val="-1"/>
          <w:szCs w:val="21"/>
        </w:rPr>
        <w:t>履约保证金的形式：现金（银行转账、银行电汇）或银行保函或担保机构担保或保证保险。</w:t>
      </w:r>
    </w:p>
    <w:p w14:paraId="7BE3A2D2">
      <w:pPr>
        <w:spacing w:line="520" w:lineRule="exact"/>
        <w:jc w:val="left"/>
        <w:rPr>
          <w:rFonts w:ascii="宋体" w:hAnsi="宋体" w:cs="宋体"/>
          <w:color w:val="auto"/>
          <w:spacing w:val="-1"/>
          <w:szCs w:val="21"/>
        </w:rPr>
      </w:pPr>
      <w:r>
        <w:rPr>
          <w:rFonts w:hint="eastAsia" w:ascii="宋体" w:hAnsi="宋体" w:cs="宋体"/>
          <w:color w:val="auto"/>
          <w:spacing w:val="-1"/>
          <w:szCs w:val="21"/>
        </w:rPr>
        <w:t>履约保证金的金额：见《专用合同条款数据表》。</w:t>
      </w:r>
    </w:p>
    <w:p w14:paraId="3179D5E0">
      <w:pPr>
        <w:spacing w:line="520" w:lineRule="exact"/>
        <w:jc w:val="left"/>
        <w:rPr>
          <w:rFonts w:ascii="宋体" w:hAnsi="宋体" w:cs="宋体"/>
          <w:color w:val="auto"/>
          <w:spacing w:val="-1"/>
          <w:szCs w:val="21"/>
        </w:rPr>
      </w:pPr>
      <w:r>
        <w:rPr>
          <w:rFonts w:hint="eastAsia" w:ascii="宋体" w:hAnsi="宋体" w:cs="宋体"/>
          <w:color w:val="auto"/>
          <w:spacing w:val="-1"/>
          <w:szCs w:val="21"/>
        </w:rPr>
        <w:t>履约保证金提交期限的要求：见《专用合同条款数据表》 履约保证金的期限：见《专用合同条款数据表》。</w:t>
      </w:r>
    </w:p>
    <w:p w14:paraId="143BEDFB">
      <w:pPr>
        <w:spacing w:line="520" w:lineRule="exact"/>
        <w:jc w:val="left"/>
        <w:rPr>
          <w:rFonts w:ascii="宋体" w:hAnsi="宋体" w:cs="宋体"/>
          <w:color w:val="auto"/>
          <w:spacing w:val="-1"/>
          <w:szCs w:val="21"/>
        </w:rPr>
      </w:pPr>
      <w:r>
        <w:rPr>
          <w:rFonts w:hint="eastAsia" w:ascii="宋体" w:hAnsi="宋体" w:cs="宋体"/>
          <w:color w:val="auto"/>
          <w:spacing w:val="-1"/>
          <w:szCs w:val="21"/>
        </w:rPr>
        <w:t>履约保证金退还时限：见《专用合同条款数据表》。</w:t>
      </w:r>
    </w:p>
    <w:p w14:paraId="5C57C3B4">
      <w:pPr>
        <w:spacing w:line="520" w:lineRule="exact"/>
        <w:jc w:val="left"/>
        <w:rPr>
          <w:rFonts w:ascii="宋体" w:hAnsi="宋体" w:cs="宋体"/>
          <w:color w:val="auto"/>
          <w:spacing w:val="-1"/>
          <w:szCs w:val="21"/>
        </w:rPr>
      </w:pPr>
      <w:r>
        <w:rPr>
          <w:rFonts w:hint="eastAsia" w:ascii="宋体" w:hAnsi="宋体" w:cs="宋体"/>
          <w:color w:val="auto"/>
          <w:spacing w:val="-1"/>
          <w:szCs w:val="21"/>
        </w:rPr>
        <w:t>11.保证</w:t>
      </w:r>
    </w:p>
    <w:p w14:paraId="51B7A47E">
      <w:pPr>
        <w:spacing w:line="520" w:lineRule="exact"/>
        <w:jc w:val="left"/>
        <w:rPr>
          <w:rFonts w:ascii="宋体" w:hAnsi="宋体" w:cs="宋体"/>
          <w:color w:val="auto"/>
          <w:spacing w:val="-1"/>
          <w:szCs w:val="21"/>
        </w:rPr>
      </w:pPr>
      <w:r>
        <w:rPr>
          <w:rFonts w:hint="eastAsia" w:ascii="宋体" w:hAnsi="宋体" w:cs="宋体"/>
          <w:color w:val="auto"/>
          <w:spacing w:val="-1"/>
          <w:szCs w:val="21"/>
        </w:rPr>
        <w:t>11.4 合同货物技术规格、质量标准的特殊要求：</w:t>
      </w:r>
      <w:r>
        <w:rPr>
          <w:rFonts w:hint="eastAsia" w:ascii="宋体" w:hAnsi="宋体" w:cs="宋体"/>
          <w:color w:val="auto"/>
          <w:spacing w:val="-1"/>
          <w:szCs w:val="21"/>
          <w:u w:val="single"/>
        </w:rPr>
        <w:t xml:space="preserve">  满足设备技术规范    </w:t>
      </w:r>
      <w:r>
        <w:rPr>
          <w:rFonts w:hint="eastAsia" w:ascii="宋体" w:hAnsi="宋体" w:cs="宋体"/>
          <w:color w:val="auto"/>
          <w:spacing w:val="-1"/>
          <w:szCs w:val="21"/>
        </w:rPr>
        <w:t>。</w:t>
      </w:r>
    </w:p>
    <w:p w14:paraId="39251787">
      <w:pPr>
        <w:spacing w:line="520" w:lineRule="exact"/>
        <w:jc w:val="left"/>
        <w:rPr>
          <w:rFonts w:ascii="宋体" w:hAnsi="宋体" w:cs="宋体"/>
          <w:color w:val="auto"/>
          <w:spacing w:val="-1"/>
          <w:szCs w:val="21"/>
        </w:rPr>
      </w:pPr>
      <w:r>
        <w:rPr>
          <w:rFonts w:hint="eastAsia" w:ascii="宋体" w:hAnsi="宋体" w:cs="宋体"/>
          <w:color w:val="auto"/>
          <w:spacing w:val="-1"/>
          <w:szCs w:val="21"/>
        </w:rPr>
        <w:t>14.违约责任</w:t>
      </w:r>
    </w:p>
    <w:p w14:paraId="4016FBAC">
      <w:pPr>
        <w:spacing w:line="520" w:lineRule="exact"/>
        <w:jc w:val="left"/>
        <w:rPr>
          <w:rFonts w:ascii="宋体" w:hAnsi="宋体" w:cs="宋体"/>
          <w:color w:val="auto"/>
          <w:spacing w:val="-1"/>
          <w:szCs w:val="21"/>
        </w:rPr>
      </w:pPr>
      <w:r>
        <w:rPr>
          <w:rFonts w:hint="eastAsia" w:ascii="宋体" w:hAnsi="宋体" w:cs="宋体"/>
          <w:color w:val="auto"/>
          <w:spacing w:val="-1"/>
          <w:szCs w:val="21"/>
        </w:rPr>
        <w:t>14.2 迟延交付违约金的计算方法：</w:t>
      </w:r>
      <w:r>
        <w:rPr>
          <w:rFonts w:hint="eastAsia" w:ascii="宋体" w:hAnsi="宋体" w:cs="宋体"/>
          <w:color w:val="auto"/>
          <w:spacing w:val="-1"/>
          <w:szCs w:val="21"/>
          <w:u w:val="single"/>
        </w:rPr>
        <w:t xml:space="preserve">   执行通用合同条款          </w:t>
      </w:r>
      <w:r>
        <w:rPr>
          <w:rFonts w:hint="eastAsia" w:ascii="宋体" w:hAnsi="宋体" w:cs="宋体"/>
          <w:color w:val="auto"/>
          <w:spacing w:val="-1"/>
          <w:szCs w:val="21"/>
        </w:rPr>
        <w:t>。</w:t>
      </w:r>
    </w:p>
    <w:p w14:paraId="2F79B50E">
      <w:pPr>
        <w:spacing w:line="520" w:lineRule="exact"/>
        <w:jc w:val="left"/>
        <w:rPr>
          <w:rFonts w:ascii="宋体" w:hAnsi="宋体" w:cs="宋体"/>
          <w:color w:val="auto"/>
          <w:spacing w:val="-1"/>
          <w:szCs w:val="21"/>
        </w:rPr>
      </w:pPr>
      <w:r>
        <w:rPr>
          <w:rFonts w:hint="eastAsia" w:ascii="宋体" w:hAnsi="宋体" w:cs="宋体"/>
          <w:color w:val="auto"/>
          <w:spacing w:val="-1"/>
          <w:szCs w:val="21"/>
        </w:rPr>
        <w:t>14.3 迟延付款违约金的计算方法：</w:t>
      </w:r>
      <w:r>
        <w:rPr>
          <w:rFonts w:hint="eastAsia" w:ascii="宋体" w:hAnsi="宋体" w:cs="宋体"/>
          <w:color w:val="auto"/>
          <w:spacing w:val="-1"/>
          <w:szCs w:val="21"/>
          <w:u w:val="single"/>
        </w:rPr>
        <w:t xml:space="preserve">   执行通用合同条款      </w:t>
      </w:r>
      <w:r>
        <w:rPr>
          <w:rFonts w:hint="eastAsia" w:ascii="宋体" w:hAnsi="宋体" w:cs="宋体"/>
          <w:color w:val="auto"/>
          <w:spacing w:val="-1"/>
          <w:szCs w:val="21"/>
        </w:rPr>
        <w:t xml:space="preserve"> 。</w:t>
      </w:r>
    </w:p>
    <w:p w14:paraId="55B1F9C0">
      <w:pPr>
        <w:spacing w:line="520" w:lineRule="exact"/>
        <w:jc w:val="left"/>
        <w:rPr>
          <w:rFonts w:ascii="宋体" w:hAnsi="宋体" w:cs="宋体"/>
          <w:color w:val="auto"/>
          <w:spacing w:val="-1"/>
          <w:szCs w:val="21"/>
        </w:rPr>
      </w:pPr>
      <w:r>
        <w:rPr>
          <w:rFonts w:hint="eastAsia" w:ascii="宋体" w:hAnsi="宋体" w:cs="宋体"/>
          <w:color w:val="auto"/>
          <w:spacing w:val="-1"/>
          <w:szCs w:val="21"/>
        </w:rPr>
        <w:t>15.合同的解除</w:t>
      </w:r>
    </w:p>
    <w:p w14:paraId="0B665B24">
      <w:pPr>
        <w:spacing w:line="520" w:lineRule="exact"/>
        <w:jc w:val="left"/>
        <w:rPr>
          <w:rFonts w:ascii="宋体" w:hAnsi="宋体" w:cs="宋体"/>
          <w:color w:val="auto"/>
          <w:spacing w:val="-1"/>
          <w:szCs w:val="21"/>
        </w:rPr>
      </w:pPr>
      <w:r>
        <w:rPr>
          <w:rFonts w:hint="eastAsia" w:ascii="宋体" w:hAnsi="宋体" w:cs="宋体"/>
          <w:color w:val="auto"/>
          <w:spacing w:val="-1"/>
          <w:szCs w:val="21"/>
        </w:rPr>
        <w:t>合同解除的其他情形：</w:t>
      </w:r>
      <w:r>
        <w:rPr>
          <w:rFonts w:hint="eastAsia" w:ascii="宋体" w:hAnsi="宋体" w:cs="宋体"/>
          <w:color w:val="auto"/>
          <w:spacing w:val="-1"/>
          <w:szCs w:val="21"/>
          <w:u w:val="single"/>
        </w:rPr>
        <w:t xml:space="preserve">  执行通用合同条款    </w:t>
      </w:r>
      <w:r>
        <w:rPr>
          <w:rFonts w:hint="eastAsia" w:ascii="宋体" w:hAnsi="宋体" w:cs="宋体"/>
          <w:color w:val="auto"/>
          <w:spacing w:val="-1"/>
          <w:szCs w:val="21"/>
        </w:rPr>
        <w:t>。</w:t>
      </w:r>
    </w:p>
    <w:p w14:paraId="7D09F460">
      <w:pPr>
        <w:spacing w:line="520" w:lineRule="exact"/>
        <w:jc w:val="left"/>
        <w:rPr>
          <w:rFonts w:ascii="宋体" w:hAnsi="宋体" w:cs="宋体"/>
          <w:color w:val="auto"/>
          <w:spacing w:val="-1"/>
          <w:szCs w:val="21"/>
        </w:rPr>
      </w:pPr>
      <w:r>
        <w:rPr>
          <w:rFonts w:hint="eastAsia" w:ascii="宋体" w:hAnsi="宋体" w:cs="宋体"/>
          <w:color w:val="auto"/>
          <w:spacing w:val="-1"/>
          <w:szCs w:val="21"/>
        </w:rPr>
        <w:t>17.争议的解决</w:t>
      </w:r>
    </w:p>
    <w:p w14:paraId="53851D6F">
      <w:pPr>
        <w:spacing w:line="520" w:lineRule="exact"/>
        <w:jc w:val="left"/>
        <w:rPr>
          <w:rFonts w:ascii="宋体" w:hAnsi="宋体" w:cs="宋体"/>
          <w:color w:val="auto"/>
          <w:spacing w:val="-1"/>
          <w:szCs w:val="21"/>
        </w:rPr>
      </w:pPr>
      <w:r>
        <w:rPr>
          <w:rFonts w:hint="eastAsia" w:ascii="宋体" w:hAnsi="宋体" w:cs="宋体"/>
          <w:color w:val="auto"/>
          <w:spacing w:val="-1"/>
          <w:szCs w:val="21"/>
        </w:rPr>
        <w:t>因合同引起的或与合同有关的任何争议，按下列第</w:t>
      </w:r>
      <w:r>
        <w:rPr>
          <w:rFonts w:hint="eastAsia" w:ascii="宋体" w:hAnsi="宋体" w:cs="宋体"/>
          <w:color w:val="auto"/>
          <w:spacing w:val="-1"/>
          <w:szCs w:val="21"/>
          <w:u w:val="single"/>
        </w:rPr>
        <w:t xml:space="preserve">  （2）   </w:t>
      </w:r>
      <w:r>
        <w:rPr>
          <w:rFonts w:hint="eastAsia" w:ascii="宋体" w:hAnsi="宋体" w:cs="宋体"/>
          <w:color w:val="auto"/>
          <w:spacing w:val="-1"/>
          <w:szCs w:val="21"/>
        </w:rPr>
        <w:t>种方式解决：</w:t>
      </w:r>
    </w:p>
    <w:p w14:paraId="1F36905F">
      <w:pPr>
        <w:spacing w:line="520" w:lineRule="exact"/>
        <w:jc w:val="left"/>
        <w:rPr>
          <w:rFonts w:ascii="宋体" w:hAnsi="宋体" w:cs="宋体"/>
          <w:color w:val="auto"/>
          <w:spacing w:val="-1"/>
          <w:szCs w:val="21"/>
        </w:rPr>
      </w:pPr>
      <w:r>
        <w:rPr>
          <w:rFonts w:hint="eastAsia" w:ascii="宋体" w:hAnsi="宋体" w:cs="宋体"/>
          <w:color w:val="auto"/>
          <w:spacing w:val="-1"/>
          <w:szCs w:val="21"/>
        </w:rPr>
        <w:t>（1）向</w:t>
      </w:r>
      <w:r>
        <w:rPr>
          <w:rFonts w:hint="eastAsia" w:ascii="宋体" w:hAnsi="宋体" w:cs="宋体"/>
          <w:color w:val="auto"/>
          <w:spacing w:val="-1"/>
          <w:szCs w:val="21"/>
          <w:u w:val="single"/>
        </w:rPr>
        <w:t xml:space="preserve">  </w:t>
      </w:r>
      <w:r>
        <w:rPr>
          <w:rFonts w:ascii="宋体" w:hAnsi="宋体" w:cs="宋体"/>
          <w:color w:val="auto"/>
          <w:spacing w:val="-1"/>
          <w:szCs w:val="21"/>
          <w:u w:val="single"/>
        </w:rPr>
        <w:t xml:space="preserve">  </w:t>
      </w:r>
      <w:r>
        <w:rPr>
          <w:rFonts w:hint="eastAsia" w:ascii="宋体" w:hAnsi="宋体" w:cs="宋体"/>
          <w:color w:val="auto"/>
          <w:spacing w:val="-1"/>
          <w:szCs w:val="21"/>
          <w:u w:val="single"/>
        </w:rPr>
        <w:t xml:space="preserve">建设单位所在地  </w:t>
      </w:r>
      <w:r>
        <w:rPr>
          <w:rFonts w:ascii="宋体" w:hAnsi="宋体" w:cs="宋体"/>
          <w:color w:val="auto"/>
          <w:spacing w:val="-1"/>
          <w:szCs w:val="21"/>
          <w:u w:val="single"/>
        </w:rPr>
        <w:t xml:space="preserve"> </w:t>
      </w:r>
      <w:r>
        <w:rPr>
          <w:rFonts w:hint="eastAsia" w:ascii="宋体" w:hAnsi="宋体" w:cs="宋体"/>
          <w:color w:val="auto"/>
          <w:spacing w:val="-1"/>
          <w:szCs w:val="21"/>
          <w:u w:val="single"/>
        </w:rPr>
        <w:t xml:space="preserve">   </w:t>
      </w:r>
      <w:r>
        <w:rPr>
          <w:rFonts w:hint="eastAsia" w:ascii="宋体" w:hAnsi="宋体" w:cs="宋体"/>
          <w:color w:val="auto"/>
          <w:spacing w:val="-1"/>
          <w:szCs w:val="21"/>
        </w:rPr>
        <w:t>仲裁委员会申请仲裁；</w:t>
      </w:r>
    </w:p>
    <w:p w14:paraId="452C90C4">
      <w:pPr>
        <w:spacing w:line="520" w:lineRule="exact"/>
        <w:jc w:val="left"/>
        <w:rPr>
          <w:rFonts w:ascii="宋体" w:hAnsi="宋体" w:cs="宋体"/>
          <w:color w:val="auto"/>
          <w:spacing w:val="-1"/>
          <w:szCs w:val="21"/>
        </w:rPr>
      </w:pPr>
      <w:r>
        <w:rPr>
          <w:rFonts w:hint="eastAsia" w:ascii="宋体" w:hAnsi="宋体" w:cs="宋体"/>
          <w:color w:val="auto"/>
          <w:spacing w:val="-1"/>
          <w:szCs w:val="21"/>
        </w:rPr>
        <w:t>（2）向</w:t>
      </w:r>
      <w:r>
        <w:rPr>
          <w:rFonts w:hint="eastAsia" w:ascii="宋体" w:hAnsi="宋体" w:cs="宋体"/>
          <w:color w:val="auto"/>
          <w:spacing w:val="-1"/>
          <w:szCs w:val="21"/>
          <w:u w:val="single"/>
        </w:rPr>
        <w:t xml:space="preserve">    建设单位所在地        </w:t>
      </w:r>
      <w:r>
        <w:rPr>
          <w:rFonts w:hint="eastAsia" w:ascii="宋体" w:hAnsi="宋体" w:cs="宋体"/>
          <w:color w:val="auto"/>
          <w:spacing w:val="-1"/>
          <w:szCs w:val="21"/>
        </w:rPr>
        <w:t>人民法院起诉。</w:t>
      </w:r>
    </w:p>
    <w:p w14:paraId="7B88476B">
      <w:pPr>
        <w:spacing w:line="520" w:lineRule="exact"/>
        <w:jc w:val="left"/>
        <w:rPr>
          <w:rFonts w:ascii="宋体" w:hAnsi="宋体" w:cs="宋体"/>
          <w:color w:val="auto"/>
          <w:spacing w:val="-1"/>
          <w:szCs w:val="21"/>
        </w:rPr>
      </w:pPr>
    </w:p>
    <w:p w14:paraId="6EC1E679">
      <w:pPr>
        <w:spacing w:line="520" w:lineRule="exact"/>
        <w:jc w:val="left"/>
        <w:rPr>
          <w:rFonts w:ascii="宋体" w:hAnsi="宋体" w:cs="宋体"/>
          <w:color w:val="auto"/>
          <w:spacing w:val="-1"/>
          <w:szCs w:val="21"/>
        </w:rPr>
      </w:pPr>
    </w:p>
    <w:p w14:paraId="030DBE9F">
      <w:pPr>
        <w:rPr>
          <w:b/>
          <w:bCs/>
          <w:color w:val="auto"/>
          <w:sz w:val="28"/>
          <w:szCs w:val="28"/>
        </w:rPr>
      </w:pPr>
      <w:r>
        <w:rPr>
          <w:rFonts w:hint="eastAsia"/>
          <w:b/>
          <w:bCs/>
          <w:color w:val="auto"/>
          <w:sz w:val="28"/>
          <w:szCs w:val="28"/>
        </w:rPr>
        <w:br w:type="page"/>
      </w:r>
    </w:p>
    <w:p w14:paraId="51C16AAE">
      <w:pPr>
        <w:jc w:val="center"/>
        <w:rPr>
          <w:rFonts w:ascii="仿宋_GB2312" w:hAnsi="黑体" w:eastAsia="仿宋_GB2312"/>
          <w:color w:val="auto"/>
        </w:rPr>
      </w:pPr>
      <w:r>
        <w:rPr>
          <w:rFonts w:hint="eastAsia"/>
          <w:b/>
          <w:bCs/>
          <w:color w:val="auto"/>
          <w:sz w:val="28"/>
          <w:szCs w:val="28"/>
        </w:rPr>
        <w:t>第三节  合同附件格式</w:t>
      </w:r>
    </w:p>
    <w:p w14:paraId="687EFBDE">
      <w:pPr>
        <w:outlineLvl w:val="1"/>
        <w:rPr>
          <w:rFonts w:ascii="仿宋_GB2312" w:hAnsi="黑体" w:eastAsia="仿宋_GB2312"/>
          <w:color w:val="auto"/>
        </w:rPr>
      </w:pPr>
    </w:p>
    <w:p w14:paraId="2B3AA378">
      <w:pPr>
        <w:spacing w:line="560" w:lineRule="exact"/>
        <w:outlineLvl w:val="1"/>
        <w:rPr>
          <w:rFonts w:ascii="宋体" w:hAnsi="宋体" w:cs="宋体"/>
          <w:b/>
          <w:bCs/>
          <w:color w:val="auto"/>
          <w:sz w:val="28"/>
          <w:szCs w:val="36"/>
        </w:rPr>
      </w:pPr>
      <w:r>
        <w:rPr>
          <w:rFonts w:hint="eastAsia" w:ascii="宋体" w:hAnsi="宋体" w:cs="宋体"/>
          <w:b/>
          <w:bCs/>
          <w:color w:val="auto"/>
          <w:sz w:val="28"/>
          <w:szCs w:val="36"/>
        </w:rPr>
        <w:t>附件一：合同协议书</w:t>
      </w:r>
    </w:p>
    <w:p w14:paraId="10DA2F18">
      <w:pPr>
        <w:spacing w:line="560" w:lineRule="exact"/>
        <w:jc w:val="center"/>
        <w:outlineLvl w:val="1"/>
        <w:rPr>
          <w:rFonts w:ascii="宋体" w:hAnsi="宋体" w:cs="宋体"/>
          <w:b/>
          <w:bCs/>
          <w:color w:val="auto"/>
          <w:sz w:val="28"/>
          <w:szCs w:val="36"/>
        </w:rPr>
      </w:pPr>
      <w:r>
        <w:rPr>
          <w:rFonts w:hint="eastAsia" w:ascii="宋体" w:hAnsi="宋体" w:cs="宋体"/>
          <w:b/>
          <w:bCs/>
          <w:color w:val="auto"/>
          <w:sz w:val="28"/>
          <w:szCs w:val="36"/>
        </w:rPr>
        <w:t>合同协议书</w:t>
      </w:r>
    </w:p>
    <w:p w14:paraId="05E8226D">
      <w:pPr>
        <w:spacing w:line="440" w:lineRule="exact"/>
        <w:ind w:firstLine="420" w:firstLineChars="200"/>
        <w:jc w:val="left"/>
        <w:outlineLvl w:val="1"/>
        <w:rPr>
          <w:rFonts w:ascii="宋体" w:hAnsi="宋体" w:cs="宋体"/>
          <w:color w:val="auto"/>
        </w:rPr>
      </w:pPr>
      <w:r>
        <w:rPr>
          <w:rFonts w:hint="eastAsia" w:ascii="宋体" w:hAnsi="宋体" w:cs="宋体"/>
          <w:color w:val="auto"/>
          <w:u w:val="single"/>
        </w:rPr>
        <w:tab/>
      </w:r>
      <w:r>
        <w:rPr>
          <w:rFonts w:hint="eastAsia" w:ascii="宋体" w:hAnsi="宋体" w:cs="宋体"/>
          <w:color w:val="auto"/>
        </w:rPr>
        <w:t>（买方名称，以下简称“买方 ”）为获得</w:t>
      </w:r>
      <w:r>
        <w:rPr>
          <w:rFonts w:hint="eastAsia" w:ascii="宋体" w:hAnsi="宋体" w:cs="宋体"/>
          <w:color w:val="auto"/>
          <w:u w:val="single"/>
        </w:rPr>
        <w:t xml:space="preserve">           （</w:t>
      </w:r>
      <w:r>
        <w:rPr>
          <w:rFonts w:hint="eastAsia" w:ascii="宋体" w:hAnsi="宋体" w:cs="宋体"/>
          <w:color w:val="auto"/>
        </w:rPr>
        <w:t>招标项目名称） 合同货物和相关服务，已接受</w:t>
      </w:r>
      <w:r>
        <w:rPr>
          <w:rFonts w:hint="eastAsia" w:ascii="宋体" w:hAnsi="宋体" w:cs="宋体"/>
          <w:color w:val="auto"/>
          <w:u w:val="single"/>
        </w:rPr>
        <w:t xml:space="preserve">         </w:t>
      </w:r>
      <w:r>
        <w:rPr>
          <w:rFonts w:hint="eastAsia" w:ascii="宋体" w:hAnsi="宋体" w:cs="宋体"/>
          <w:color w:val="auto"/>
        </w:rPr>
        <w:t>（卖方名称，以下简称“卖方 ”）为提供上述合同货物和相关服务所作的投标，买方和卖方共同达成如下协议：</w:t>
      </w:r>
    </w:p>
    <w:p w14:paraId="560AB809">
      <w:pPr>
        <w:spacing w:line="440" w:lineRule="exact"/>
        <w:ind w:firstLine="420" w:firstLineChars="200"/>
        <w:jc w:val="left"/>
        <w:outlineLvl w:val="1"/>
        <w:rPr>
          <w:rFonts w:ascii="宋体" w:hAnsi="宋体" w:cs="宋体"/>
          <w:color w:val="auto"/>
        </w:rPr>
      </w:pPr>
      <w:r>
        <w:rPr>
          <w:rFonts w:hint="eastAsia" w:ascii="宋体" w:hAnsi="宋体" w:cs="宋体"/>
          <w:color w:val="auto"/>
        </w:rPr>
        <w:t>1.本协议书与下列文件一起构成合同文件：</w:t>
      </w:r>
    </w:p>
    <w:p w14:paraId="4E8F543D">
      <w:pPr>
        <w:spacing w:line="440" w:lineRule="exact"/>
        <w:ind w:firstLine="420" w:firstLineChars="200"/>
        <w:jc w:val="left"/>
        <w:outlineLvl w:val="1"/>
        <w:rPr>
          <w:rFonts w:ascii="宋体" w:hAnsi="宋体" w:cs="宋体"/>
          <w:color w:val="auto"/>
        </w:rPr>
      </w:pPr>
      <w:r>
        <w:rPr>
          <w:rFonts w:hint="eastAsia" w:ascii="宋体" w:hAnsi="宋体" w:cs="宋体"/>
          <w:color w:val="auto"/>
        </w:rPr>
        <w:t>（1）中标通知书；</w:t>
      </w:r>
    </w:p>
    <w:p w14:paraId="4E5AA37D">
      <w:pPr>
        <w:spacing w:line="440" w:lineRule="exact"/>
        <w:ind w:firstLine="420" w:firstLineChars="200"/>
        <w:jc w:val="left"/>
        <w:outlineLvl w:val="1"/>
        <w:rPr>
          <w:rFonts w:ascii="宋体" w:hAnsi="宋体" w:cs="宋体"/>
          <w:color w:val="auto"/>
        </w:rPr>
      </w:pPr>
      <w:r>
        <w:rPr>
          <w:rFonts w:hint="eastAsia" w:ascii="宋体" w:hAnsi="宋体" w:cs="宋体"/>
          <w:color w:val="auto"/>
        </w:rPr>
        <w:t>（2）投标函；</w:t>
      </w:r>
    </w:p>
    <w:p w14:paraId="5C399F95">
      <w:pPr>
        <w:spacing w:line="440" w:lineRule="exact"/>
        <w:ind w:firstLine="420" w:firstLineChars="200"/>
        <w:jc w:val="left"/>
        <w:outlineLvl w:val="1"/>
        <w:rPr>
          <w:rFonts w:ascii="宋体" w:hAnsi="宋体" w:cs="宋体"/>
          <w:color w:val="auto"/>
        </w:rPr>
      </w:pPr>
      <w:r>
        <w:rPr>
          <w:rFonts w:hint="eastAsia" w:ascii="宋体" w:hAnsi="宋体" w:cs="宋体"/>
          <w:color w:val="auto"/>
        </w:rPr>
        <w:t>（3）技术偏差表；</w:t>
      </w:r>
    </w:p>
    <w:p w14:paraId="6B81C9B4">
      <w:pPr>
        <w:spacing w:line="440" w:lineRule="exact"/>
        <w:ind w:firstLine="420" w:firstLineChars="200"/>
        <w:jc w:val="left"/>
        <w:outlineLvl w:val="1"/>
        <w:rPr>
          <w:rFonts w:ascii="宋体" w:hAnsi="宋体" w:cs="宋体"/>
          <w:color w:val="auto"/>
        </w:rPr>
      </w:pPr>
      <w:r>
        <w:rPr>
          <w:rFonts w:hint="eastAsia" w:ascii="宋体" w:hAnsi="宋体" w:cs="宋体"/>
          <w:color w:val="auto"/>
        </w:rPr>
        <w:t>（4）专用合同条款；</w:t>
      </w:r>
    </w:p>
    <w:p w14:paraId="4CB43FEF">
      <w:pPr>
        <w:spacing w:line="440" w:lineRule="exact"/>
        <w:ind w:firstLine="420" w:firstLineChars="200"/>
        <w:jc w:val="left"/>
        <w:outlineLvl w:val="1"/>
        <w:rPr>
          <w:rFonts w:ascii="宋体" w:hAnsi="宋体" w:cs="宋体"/>
          <w:color w:val="auto"/>
        </w:rPr>
      </w:pPr>
      <w:r>
        <w:rPr>
          <w:rFonts w:hint="eastAsia" w:ascii="宋体" w:hAnsi="宋体" w:cs="宋体"/>
          <w:color w:val="auto"/>
        </w:rPr>
        <w:t>（5）通用合同条款；</w:t>
      </w:r>
    </w:p>
    <w:p w14:paraId="6E4216AE">
      <w:pPr>
        <w:spacing w:line="440" w:lineRule="exact"/>
        <w:ind w:firstLine="420" w:firstLineChars="200"/>
        <w:jc w:val="left"/>
        <w:outlineLvl w:val="1"/>
        <w:rPr>
          <w:rFonts w:ascii="宋体" w:hAnsi="宋体" w:cs="宋体"/>
          <w:color w:val="auto"/>
        </w:rPr>
      </w:pPr>
      <w:r>
        <w:rPr>
          <w:rFonts w:hint="eastAsia" w:ascii="宋体" w:hAnsi="宋体" w:cs="宋体"/>
          <w:color w:val="auto"/>
        </w:rPr>
        <w:t>（6）技术要求；</w:t>
      </w:r>
    </w:p>
    <w:p w14:paraId="66B68EDC">
      <w:pPr>
        <w:spacing w:line="440" w:lineRule="exact"/>
        <w:ind w:firstLine="420" w:firstLineChars="200"/>
        <w:jc w:val="left"/>
        <w:outlineLvl w:val="1"/>
        <w:rPr>
          <w:rFonts w:ascii="宋体" w:hAnsi="宋体" w:cs="宋体"/>
          <w:color w:val="auto"/>
        </w:rPr>
      </w:pPr>
      <w:r>
        <w:rPr>
          <w:rFonts w:hint="eastAsia" w:ascii="宋体" w:hAnsi="宋体" w:cs="宋体"/>
          <w:color w:val="auto"/>
        </w:rPr>
        <w:t>（7）分项报价表（工程量清单报价书）</w:t>
      </w:r>
      <w:r>
        <w:rPr>
          <w:rFonts w:hint="eastAsia" w:ascii="宋体" w:hAnsi="宋体" w:cs="宋体"/>
          <w:color w:val="auto"/>
          <w:lang w:eastAsia="zh-CN"/>
        </w:rPr>
        <w:t>（</w:t>
      </w:r>
      <w:r>
        <w:rPr>
          <w:rFonts w:hint="eastAsia" w:ascii="宋体" w:hAnsi="宋体" w:cs="宋体"/>
          <w:color w:val="auto"/>
          <w:lang w:val="en-US" w:eastAsia="zh-CN"/>
        </w:rPr>
        <w:t>如有）</w:t>
      </w:r>
      <w:r>
        <w:rPr>
          <w:rFonts w:hint="eastAsia" w:ascii="宋体" w:hAnsi="宋体" w:cs="宋体"/>
          <w:color w:val="auto"/>
        </w:rPr>
        <w:t>；</w:t>
      </w:r>
    </w:p>
    <w:p w14:paraId="1ABD9168">
      <w:pPr>
        <w:spacing w:line="440" w:lineRule="exact"/>
        <w:ind w:firstLine="420" w:firstLineChars="200"/>
        <w:jc w:val="left"/>
        <w:outlineLvl w:val="1"/>
        <w:rPr>
          <w:rFonts w:ascii="宋体" w:hAnsi="宋体" w:cs="宋体"/>
          <w:color w:val="auto"/>
        </w:rPr>
      </w:pPr>
      <w:r>
        <w:rPr>
          <w:rFonts w:hint="eastAsia" w:ascii="宋体" w:hAnsi="宋体" w:cs="宋体"/>
          <w:color w:val="auto"/>
        </w:rPr>
        <w:t>（8）中标货物技术性能指标的详细描述；</w:t>
      </w:r>
    </w:p>
    <w:p w14:paraId="4ED3B4BE">
      <w:pPr>
        <w:spacing w:line="440" w:lineRule="exact"/>
        <w:ind w:firstLine="420" w:firstLineChars="200"/>
        <w:jc w:val="left"/>
        <w:outlineLvl w:val="1"/>
        <w:rPr>
          <w:rFonts w:ascii="宋体" w:hAnsi="宋体" w:cs="宋体"/>
          <w:color w:val="auto"/>
        </w:rPr>
      </w:pPr>
      <w:r>
        <w:rPr>
          <w:rFonts w:hint="eastAsia" w:ascii="宋体" w:hAnsi="宋体" w:cs="宋体"/>
          <w:color w:val="auto"/>
        </w:rPr>
        <w:t>（9）相关服务计划；</w:t>
      </w:r>
    </w:p>
    <w:p w14:paraId="7BB23430">
      <w:pPr>
        <w:spacing w:line="440" w:lineRule="exact"/>
        <w:ind w:firstLine="420" w:firstLineChars="200"/>
        <w:jc w:val="left"/>
        <w:outlineLvl w:val="1"/>
        <w:rPr>
          <w:rFonts w:ascii="宋体" w:hAnsi="宋体" w:cs="宋体"/>
          <w:color w:val="auto"/>
        </w:rPr>
      </w:pPr>
      <w:r>
        <w:rPr>
          <w:rFonts w:hint="eastAsia" w:ascii="宋体" w:hAnsi="宋体" w:cs="宋体"/>
          <w:color w:val="auto"/>
        </w:rPr>
        <w:t>（10）其他合同文件。</w:t>
      </w:r>
    </w:p>
    <w:p w14:paraId="63C0747A">
      <w:pPr>
        <w:spacing w:line="440" w:lineRule="exact"/>
        <w:ind w:firstLine="420" w:firstLineChars="200"/>
        <w:jc w:val="left"/>
        <w:outlineLvl w:val="1"/>
        <w:rPr>
          <w:rFonts w:ascii="宋体" w:hAnsi="宋体" w:cs="宋体"/>
          <w:color w:val="auto"/>
        </w:rPr>
      </w:pPr>
      <w:r>
        <w:rPr>
          <w:rFonts w:hint="eastAsia" w:ascii="宋体" w:hAnsi="宋体" w:cs="宋体"/>
          <w:color w:val="auto"/>
        </w:rPr>
        <w:t>2.上述合同文件互相补充和解释。如果合同文件之间存在矛盾或不一致之 处，以上述文件的排列顺序在先者为准。</w:t>
      </w:r>
    </w:p>
    <w:p w14:paraId="713DAF0E">
      <w:pPr>
        <w:spacing w:line="440" w:lineRule="exact"/>
        <w:ind w:firstLine="420" w:firstLineChars="200"/>
        <w:jc w:val="left"/>
        <w:outlineLvl w:val="1"/>
        <w:rPr>
          <w:rFonts w:ascii="宋体" w:hAnsi="宋体" w:cs="宋体"/>
          <w:color w:val="auto"/>
        </w:rPr>
      </w:pPr>
      <w:r>
        <w:rPr>
          <w:rFonts w:hint="eastAsia" w:ascii="宋体" w:hAnsi="宋体" w:cs="宋体"/>
          <w:color w:val="auto"/>
        </w:rPr>
        <w:t>3. 签约合同价：人民币（大写）</w:t>
      </w:r>
      <w:r>
        <w:rPr>
          <w:rFonts w:hint="eastAsia" w:ascii="宋体" w:hAnsi="宋体" w:cs="宋体"/>
          <w:color w:val="auto"/>
          <w:u w:val="single"/>
        </w:rPr>
        <w:t xml:space="preserve">         (¥        ) </w:t>
      </w:r>
      <w:r>
        <w:rPr>
          <w:rFonts w:hint="eastAsia" w:ascii="宋体" w:hAnsi="宋体" w:cs="宋体"/>
          <w:color w:val="auto"/>
        </w:rPr>
        <w:t>。</w:t>
      </w:r>
    </w:p>
    <w:p w14:paraId="25003B92">
      <w:pPr>
        <w:spacing w:line="440" w:lineRule="exact"/>
        <w:ind w:firstLine="420" w:firstLineChars="200"/>
        <w:jc w:val="left"/>
        <w:outlineLvl w:val="1"/>
        <w:rPr>
          <w:rFonts w:ascii="宋体" w:hAnsi="宋体" w:cs="宋体"/>
          <w:color w:val="auto"/>
        </w:rPr>
      </w:pPr>
      <w:r>
        <w:rPr>
          <w:rFonts w:hint="eastAsia" w:ascii="宋体" w:hAnsi="宋体" w:cs="宋体"/>
          <w:color w:val="auto"/>
        </w:rPr>
        <w:t xml:space="preserve">4.卖方承诺保证完全按照合同约定提供合同货物和相关服务并修补缺陷。 5.买方承诺保证按照合同约定的条件、时间和方式向卖方支付合同价款。 6.本合同协议书一式 </w:t>
      </w:r>
      <w:r>
        <w:rPr>
          <w:rFonts w:hint="eastAsia" w:ascii="宋体" w:hAnsi="宋体" w:cs="宋体"/>
          <w:color w:val="auto"/>
          <w:u w:val="single"/>
        </w:rPr>
        <w:t xml:space="preserve">    </w:t>
      </w:r>
      <w:r>
        <w:rPr>
          <w:rFonts w:hint="eastAsia" w:ascii="宋体" w:hAnsi="宋体" w:cs="宋体"/>
          <w:color w:val="auto"/>
        </w:rPr>
        <w:t>份，合同双方各执</w:t>
      </w:r>
      <w:r>
        <w:rPr>
          <w:rFonts w:hint="eastAsia" w:ascii="宋体" w:hAnsi="宋体" w:cs="宋体"/>
          <w:color w:val="auto"/>
          <w:u w:val="single"/>
        </w:rPr>
        <w:t xml:space="preserve">     </w:t>
      </w:r>
      <w:r>
        <w:rPr>
          <w:rFonts w:hint="eastAsia" w:ascii="宋体" w:hAnsi="宋体" w:cs="宋体"/>
          <w:color w:val="auto"/>
        </w:rPr>
        <w:t>份。</w:t>
      </w:r>
    </w:p>
    <w:p w14:paraId="22583811">
      <w:pPr>
        <w:pStyle w:val="22"/>
        <w:jc w:val="left"/>
        <w:outlineLvl w:val="1"/>
        <w:rPr>
          <w:rFonts w:ascii="宋体" w:hAnsi="宋体" w:cs="宋体"/>
          <w:color w:val="auto"/>
        </w:rPr>
      </w:pPr>
      <w:r>
        <w:rPr>
          <w:rFonts w:hint="eastAsia" w:ascii="宋体" w:hAnsi="宋体" w:cs="宋体"/>
          <w:color w:val="auto"/>
        </w:rPr>
        <w:t>7.合同未尽事宜，双方另行签订补充协议，补充协议是合同的组成部分。</w:t>
      </w:r>
    </w:p>
    <w:p w14:paraId="710FA444">
      <w:pPr>
        <w:spacing w:line="440" w:lineRule="exact"/>
        <w:jc w:val="right"/>
        <w:outlineLvl w:val="1"/>
        <w:rPr>
          <w:rFonts w:ascii="宋体" w:hAnsi="宋体" w:cs="宋体"/>
          <w:color w:val="auto"/>
        </w:rPr>
      </w:pPr>
      <w:r>
        <w:rPr>
          <w:rFonts w:hint="eastAsia" w:ascii="宋体" w:hAnsi="宋体" w:cs="宋体"/>
          <w:color w:val="auto"/>
        </w:rPr>
        <w:t>买方：</w:t>
      </w:r>
      <w:r>
        <w:rPr>
          <w:rFonts w:hint="eastAsia" w:ascii="宋体" w:hAnsi="宋体" w:cs="宋体"/>
          <w:color w:val="auto"/>
          <w:u w:val="single"/>
        </w:rPr>
        <w:t xml:space="preserve">                                （</w:t>
      </w:r>
      <w:r>
        <w:rPr>
          <w:rFonts w:hint="eastAsia" w:ascii="宋体" w:hAnsi="宋体" w:cs="宋体"/>
          <w:color w:val="auto"/>
        </w:rPr>
        <w:t xml:space="preserve">盖单位章） </w:t>
      </w:r>
    </w:p>
    <w:p w14:paraId="4B080A6C">
      <w:pPr>
        <w:spacing w:line="440" w:lineRule="exact"/>
        <w:jc w:val="right"/>
        <w:outlineLvl w:val="1"/>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 xml:space="preserve">        （签字）</w:t>
      </w:r>
    </w:p>
    <w:p w14:paraId="29A59932">
      <w:pPr>
        <w:spacing w:line="440" w:lineRule="exact"/>
        <w:jc w:val="right"/>
        <w:outlineLvl w:val="1"/>
        <w:rPr>
          <w:rFonts w:ascii="宋体" w:hAnsi="宋体" w:cs="宋体"/>
          <w:color w:val="auto"/>
        </w:rPr>
      </w:pPr>
      <w:r>
        <w:rPr>
          <w:rFonts w:hint="eastAsia" w:ascii="宋体" w:hAnsi="宋体" w:cs="宋体"/>
          <w:color w:val="auto"/>
        </w:rPr>
        <w:tab/>
      </w:r>
      <w:r>
        <w:rPr>
          <w:rFonts w:hint="eastAsia" w:ascii="宋体" w:hAnsi="宋体" w:cs="宋体"/>
          <w:color w:val="auto"/>
        </w:rPr>
        <w:t xml:space="preserve"> 年     月     日</w:t>
      </w:r>
    </w:p>
    <w:p w14:paraId="4BEF89A7">
      <w:pPr>
        <w:spacing w:line="440" w:lineRule="exact"/>
        <w:jc w:val="right"/>
        <w:outlineLvl w:val="1"/>
        <w:rPr>
          <w:rFonts w:ascii="宋体" w:hAnsi="宋体" w:cs="宋体"/>
          <w:color w:val="auto"/>
        </w:rPr>
      </w:pPr>
      <w:r>
        <w:rPr>
          <w:rFonts w:hint="eastAsia" w:ascii="宋体" w:hAnsi="宋体" w:cs="宋体"/>
          <w:color w:val="auto"/>
        </w:rPr>
        <w:t>卖方：</w:t>
      </w:r>
      <w:r>
        <w:rPr>
          <w:rFonts w:hint="eastAsia" w:ascii="宋体" w:hAnsi="宋体" w:cs="宋体"/>
          <w:color w:val="auto"/>
          <w:u w:val="single"/>
        </w:rPr>
        <w:t xml:space="preserve">                                （</w:t>
      </w:r>
      <w:r>
        <w:rPr>
          <w:rFonts w:hint="eastAsia" w:ascii="宋体" w:hAnsi="宋体" w:cs="宋体"/>
          <w:color w:val="auto"/>
        </w:rPr>
        <w:t xml:space="preserve">盖单位章） </w:t>
      </w:r>
    </w:p>
    <w:p w14:paraId="501B5386">
      <w:pPr>
        <w:spacing w:line="440" w:lineRule="exact"/>
        <w:jc w:val="right"/>
        <w:outlineLvl w:val="1"/>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 xml:space="preserve">        （签字）</w:t>
      </w:r>
    </w:p>
    <w:p w14:paraId="3C743F8C">
      <w:pPr>
        <w:spacing w:line="440" w:lineRule="exact"/>
        <w:jc w:val="right"/>
        <w:outlineLvl w:val="1"/>
        <w:rPr>
          <w:rFonts w:ascii="宋体" w:hAnsi="宋体" w:cs="宋体"/>
          <w:color w:val="auto"/>
        </w:rPr>
      </w:pPr>
      <w:r>
        <w:rPr>
          <w:rFonts w:hint="eastAsia" w:ascii="宋体" w:hAnsi="宋体" w:cs="宋体"/>
          <w:color w:val="auto"/>
        </w:rPr>
        <w:tab/>
      </w:r>
      <w:r>
        <w:rPr>
          <w:rFonts w:hint="eastAsia" w:ascii="宋体" w:hAnsi="宋体" w:cs="宋体"/>
          <w:color w:val="auto"/>
        </w:rPr>
        <w:t xml:space="preserve"> 年     月     日</w:t>
      </w:r>
    </w:p>
    <w:p w14:paraId="36D014B7">
      <w:pPr>
        <w:rPr>
          <w:rFonts w:ascii="仿宋_GB2312" w:hAnsi="黑体" w:eastAsia="仿宋_GB2312"/>
          <w:color w:val="auto"/>
        </w:rPr>
      </w:pPr>
      <w:r>
        <w:rPr>
          <w:rFonts w:hint="eastAsia" w:ascii="仿宋_GB2312" w:hAnsi="黑体" w:eastAsia="仿宋_GB2312"/>
          <w:color w:val="auto"/>
        </w:rPr>
        <w:br w:type="page"/>
      </w:r>
    </w:p>
    <w:p w14:paraId="729EF82D">
      <w:pPr>
        <w:spacing w:line="560" w:lineRule="exact"/>
        <w:outlineLvl w:val="1"/>
        <w:rPr>
          <w:rFonts w:ascii="宋体" w:hAnsi="宋体" w:cs="宋体"/>
          <w:b/>
          <w:bCs/>
          <w:color w:val="auto"/>
          <w:sz w:val="28"/>
          <w:szCs w:val="36"/>
        </w:rPr>
      </w:pPr>
      <w:r>
        <w:rPr>
          <w:rFonts w:hint="eastAsia" w:ascii="宋体" w:hAnsi="宋体" w:cs="宋体"/>
          <w:b/>
          <w:bCs/>
          <w:color w:val="auto"/>
          <w:sz w:val="28"/>
          <w:szCs w:val="36"/>
        </w:rPr>
        <w:t>附件二：履约保证金格式</w:t>
      </w:r>
    </w:p>
    <w:p w14:paraId="22E60C40">
      <w:pPr>
        <w:adjustRightInd w:val="0"/>
        <w:snapToGrid w:val="0"/>
        <w:spacing w:line="360" w:lineRule="auto"/>
        <w:jc w:val="center"/>
        <w:rPr>
          <w:rFonts w:ascii="宋体" w:hAnsi="宋体" w:cs="宋体"/>
          <w:b/>
          <w:bCs/>
          <w:color w:val="auto"/>
          <w:sz w:val="32"/>
          <w:szCs w:val="32"/>
        </w:rPr>
      </w:pPr>
      <w:bookmarkStart w:id="680" w:name="_Toc95223505"/>
      <w:bookmarkStart w:id="681" w:name="_Toc25855"/>
      <w:bookmarkStart w:id="682" w:name="_Toc8655"/>
      <w:bookmarkStart w:id="683" w:name="_Toc362478915"/>
      <w:r>
        <w:rPr>
          <w:rFonts w:hint="eastAsia" w:ascii="宋体" w:hAnsi="宋体" w:cs="宋体"/>
          <w:b/>
          <w:bCs/>
          <w:color w:val="auto"/>
          <w:sz w:val="32"/>
          <w:szCs w:val="32"/>
        </w:rPr>
        <w:t>履约保函示范文本</w:t>
      </w:r>
      <w:bookmarkEnd w:id="680"/>
      <w:bookmarkEnd w:id="681"/>
      <w:bookmarkEnd w:id="682"/>
    </w:p>
    <w:p w14:paraId="08C6DE2C">
      <w:pPr>
        <w:wordWrap w:val="0"/>
        <w:adjustRightInd w:val="0"/>
        <w:snapToGrid w:val="0"/>
        <w:spacing w:line="360" w:lineRule="auto"/>
        <w:jc w:val="right"/>
        <w:rPr>
          <w:rFonts w:ascii="宋体" w:hAnsi="宋体" w:cs="宋体"/>
          <w:color w:val="auto"/>
          <w:szCs w:val="21"/>
        </w:rPr>
      </w:pPr>
      <w:r>
        <w:rPr>
          <w:rFonts w:hint="eastAsia" w:ascii="宋体" w:hAnsi="宋体" w:cs="宋体"/>
          <w:color w:val="auto"/>
          <w:szCs w:val="21"/>
        </w:rPr>
        <w:t xml:space="preserve">编号：           </w:t>
      </w:r>
    </w:p>
    <w:p w14:paraId="09155913">
      <w:pPr>
        <w:adjustRightInd w:val="0"/>
        <w:snapToGrid w:val="0"/>
        <w:spacing w:line="360" w:lineRule="auto"/>
        <w:rPr>
          <w:rFonts w:ascii="宋体" w:hAnsi="宋体" w:cs="宋体"/>
          <w:color w:val="auto"/>
          <w:szCs w:val="21"/>
        </w:rPr>
      </w:pPr>
    </w:p>
    <w:p w14:paraId="4A481F68">
      <w:pPr>
        <w:adjustRightInd w:val="0"/>
        <w:snapToGrid w:val="0"/>
        <w:spacing w:line="360" w:lineRule="auto"/>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 xml:space="preserve">（受益人名称）： </w:t>
      </w:r>
    </w:p>
    <w:p w14:paraId="3F54FCA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鉴于</w:t>
      </w:r>
      <w:r>
        <w:rPr>
          <w:rFonts w:hint="eastAsia" w:ascii="宋体" w:hAnsi="宋体" w:cs="宋体"/>
          <w:color w:val="auto"/>
          <w:szCs w:val="21"/>
          <w:u w:val="single"/>
        </w:rPr>
        <w:t xml:space="preserve">        </w:t>
      </w:r>
      <w:r>
        <w:rPr>
          <w:rFonts w:hint="eastAsia" w:ascii="宋体" w:hAnsi="宋体" w:cs="宋体"/>
          <w:color w:val="auto"/>
          <w:szCs w:val="21"/>
        </w:rPr>
        <w:t>（以下简称“受益人”）与</w:t>
      </w:r>
      <w:r>
        <w:rPr>
          <w:rFonts w:hint="eastAsia" w:ascii="宋体" w:hAnsi="宋体" w:cs="宋体"/>
          <w:color w:val="auto"/>
          <w:szCs w:val="21"/>
          <w:u w:val="single"/>
        </w:rPr>
        <w:t xml:space="preserve">         </w:t>
      </w:r>
      <w:r>
        <w:rPr>
          <w:rFonts w:hint="eastAsia" w:ascii="宋体" w:hAnsi="宋体" w:cs="宋体"/>
          <w:color w:val="auto"/>
          <w:szCs w:val="21"/>
        </w:rPr>
        <w:t>（以下简称“申请人”）于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日就</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（标段编号）的</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（标段名称）</w:t>
      </w:r>
      <w:r>
        <w:rPr>
          <w:rFonts w:hint="eastAsia" w:ascii="宋体" w:hAnsi="宋体" w:cs="宋体"/>
          <w:color w:val="auto"/>
          <w:szCs w:val="21"/>
        </w:rPr>
        <w:t>有关事项协商一致共同签订</w:t>
      </w:r>
      <w:r>
        <w:rPr>
          <w:rFonts w:hint="eastAsia" w:ascii="宋体" w:hAnsi="宋体" w:cs="宋体"/>
          <w:color w:val="auto"/>
          <w:szCs w:val="21"/>
          <w:u w:val="single"/>
        </w:rPr>
        <w:t>《        》</w:t>
      </w:r>
      <w:r>
        <w:rPr>
          <w:rFonts w:hint="eastAsia" w:ascii="宋体" w:hAnsi="宋体" w:cs="宋体"/>
          <w:color w:val="auto"/>
          <w:szCs w:val="21"/>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1006801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一、本保函担保范围：承包人未按照基础合同的约定履行义务，应当向受益人承担的违约责任和赔偿因此造成的损失、利息、律师费、诉讼费用等实现债权的费用。</w:t>
      </w:r>
    </w:p>
    <w:p w14:paraId="0B16D96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二、本保函担保金额最高不超过人民币（大写）</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551621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三、本保函有效期自开立之日起至基础合同约定的缺陷责任期满之日止。 </w:t>
      </w:r>
    </w:p>
    <w:p w14:paraId="30729CD4">
      <w:pPr>
        <w:adjustRightInd w:val="0"/>
        <w:snapToGrid w:val="0"/>
        <w:spacing w:line="360" w:lineRule="auto"/>
        <w:ind w:firstLine="480"/>
        <w:rPr>
          <w:rFonts w:ascii="宋体" w:hAnsi="宋体" w:cs="宋体"/>
          <w:color w:val="auto"/>
          <w:szCs w:val="21"/>
        </w:rPr>
      </w:pPr>
      <w:bookmarkStart w:id="684" w:name="_Hlk40302764"/>
      <w:r>
        <w:rPr>
          <w:rFonts w:hint="eastAsia" w:ascii="宋体" w:hAnsi="宋体" w:cs="宋体"/>
          <w:color w:val="auto"/>
          <w:szCs w:val="21"/>
        </w:rPr>
        <w:t>四、开立人承诺，在收到受益人发来的书面付款通知后的七日内无条件支付，前述书面付款通知即为付款要求之单据，且应满足以下要求：</w:t>
      </w:r>
    </w:p>
    <w:bookmarkEnd w:id="684"/>
    <w:p w14:paraId="656D146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（1）付款通知到达的日期在本保函的有效期内；</w:t>
      </w:r>
    </w:p>
    <w:p w14:paraId="6047591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（2）载明要求支付的金额；</w:t>
      </w:r>
    </w:p>
    <w:p w14:paraId="1458A6E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（3）载明申请人违反合同义务的条款和内容；</w:t>
      </w:r>
    </w:p>
    <w:p w14:paraId="231B22B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（4）声明不存在合同文件约定或我国法律规定免除申请人或开立人支付责任的情形；</w:t>
      </w:r>
    </w:p>
    <w:p w14:paraId="03D828A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（5）付款通知应在本保函有效期内到达的地址是：</w:t>
      </w:r>
      <w:r>
        <w:rPr>
          <w:rFonts w:hint="eastAsia" w:ascii="宋体" w:hAnsi="宋体" w:cs="宋体"/>
          <w:color w:val="auto"/>
          <w:szCs w:val="21"/>
          <w:u w:val="single"/>
        </w:rPr>
        <w:t xml:space="preserve">             </w:t>
      </w:r>
      <w:r>
        <w:rPr>
          <w:rFonts w:hint="eastAsia" w:ascii="宋体" w:hAnsi="宋体" w:cs="宋体"/>
          <w:color w:val="auto"/>
          <w:szCs w:val="21"/>
        </w:rPr>
        <w:t>。</w:t>
      </w:r>
    </w:p>
    <w:p w14:paraId="4B20209B">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    </w:t>
      </w:r>
      <w:bookmarkStart w:id="685" w:name="_Hlk40303486"/>
      <w:r>
        <w:rPr>
          <w:rFonts w:hint="eastAsia" w:ascii="宋体" w:hAnsi="宋体" w:cs="宋体"/>
          <w:color w:val="auto"/>
          <w:szCs w:val="21"/>
        </w:rPr>
        <w:t>受益人发出的书面付款通知应由其法定代表人（负责人）或授权代理人签字并加盖公章。</w:t>
      </w:r>
      <w:bookmarkEnd w:id="685"/>
    </w:p>
    <w:p w14:paraId="4B43A68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五、本保函项下的权利不得转让，不得设定担保。受益人未经我方书面同意转 让本保函或其项下任何权利，对我方不发生法律效力。 </w:t>
      </w:r>
    </w:p>
    <w:p w14:paraId="33908AA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六、与本保函有关的基础合同不成立、不生效、无效、被撤销、被解除，不影响本保函的独立有效。 </w:t>
      </w:r>
    </w:p>
    <w:p w14:paraId="668E3077">
      <w:pPr>
        <w:adjustRightInd w:val="0"/>
        <w:snapToGrid w:val="0"/>
        <w:spacing w:line="360" w:lineRule="auto"/>
        <w:ind w:firstLine="420" w:firstLineChars="200"/>
        <w:rPr>
          <w:rFonts w:ascii="宋体" w:hAnsi="宋体" w:cs="宋体"/>
          <w:color w:val="auto"/>
          <w:szCs w:val="21"/>
        </w:rPr>
      </w:pPr>
      <w:bookmarkStart w:id="686" w:name="_Hlk40303383"/>
      <w:bookmarkStart w:id="687" w:name="_Hlk40354981"/>
      <w:r>
        <w:rPr>
          <w:rFonts w:hint="eastAsia" w:ascii="宋体" w:hAnsi="宋体" w:cs="宋体"/>
          <w:color w:val="auto"/>
          <w:szCs w:val="21"/>
        </w:rPr>
        <w:t xml:space="preserve">七、本保函项下的义务和责任均在保函有效期到期后自动消灭。 </w:t>
      </w:r>
    </w:p>
    <w:p w14:paraId="4003DC4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八、本保函适用的法律为中华人民共和国法律，因本保函产生的纠纷案件，</w:t>
      </w:r>
      <w:bookmarkEnd w:id="686"/>
      <w:r>
        <w:rPr>
          <w:rFonts w:hint="eastAsia" w:ascii="宋体" w:hAnsi="宋体" w:cs="宋体"/>
          <w:color w:val="auto"/>
          <w:szCs w:val="21"/>
        </w:rPr>
        <w:t xml:space="preserve">由受益人所在地人民法院管辖。 </w:t>
      </w:r>
    </w:p>
    <w:bookmarkEnd w:id="687"/>
    <w:p w14:paraId="3484D74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九、本保函自我方法定代表人或授权代表签字并加盖公章之日起生效。 </w:t>
      </w:r>
    </w:p>
    <w:p w14:paraId="348414B0">
      <w:pPr>
        <w:adjustRightInd w:val="0"/>
        <w:snapToGrid w:val="0"/>
        <w:spacing w:line="360" w:lineRule="auto"/>
        <w:ind w:firstLine="420" w:firstLineChars="200"/>
        <w:rPr>
          <w:rFonts w:ascii="宋体" w:hAnsi="宋体" w:cs="宋体"/>
          <w:color w:val="auto"/>
          <w:szCs w:val="21"/>
        </w:rPr>
      </w:pPr>
    </w:p>
    <w:p w14:paraId="43E70C90">
      <w:pPr>
        <w:adjustRightInd w:val="0"/>
        <w:snapToGrid w:val="0"/>
        <w:spacing w:line="360" w:lineRule="auto"/>
        <w:ind w:firstLine="420" w:firstLineChars="200"/>
        <w:rPr>
          <w:rFonts w:ascii="宋体" w:hAnsi="宋体" w:cs="宋体"/>
          <w:color w:val="auto"/>
          <w:szCs w:val="21"/>
        </w:rPr>
      </w:pPr>
    </w:p>
    <w:p w14:paraId="35BCCA18">
      <w:pPr>
        <w:adjustRightInd w:val="0"/>
        <w:snapToGrid w:val="0"/>
        <w:spacing w:line="360" w:lineRule="auto"/>
        <w:ind w:firstLine="420" w:firstLineChars="200"/>
        <w:rPr>
          <w:rFonts w:ascii="宋体" w:hAnsi="宋体" w:cs="宋体"/>
          <w:color w:val="auto"/>
          <w:szCs w:val="21"/>
        </w:rPr>
      </w:pPr>
    </w:p>
    <w:p w14:paraId="42177E1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开 立 人：</w:t>
      </w:r>
      <w:r>
        <w:rPr>
          <w:rFonts w:hint="eastAsia" w:ascii="宋体" w:hAnsi="宋体" w:cs="宋体"/>
          <w:color w:val="auto"/>
          <w:szCs w:val="21"/>
          <w:u w:val="single"/>
        </w:rPr>
        <w:t xml:space="preserve">                              </w:t>
      </w:r>
      <w:r>
        <w:rPr>
          <w:rFonts w:hint="eastAsia" w:ascii="宋体" w:hAnsi="宋体" w:cs="宋体"/>
          <w:color w:val="auto"/>
          <w:szCs w:val="21"/>
        </w:rPr>
        <w:t xml:space="preserve">（公章） </w:t>
      </w:r>
    </w:p>
    <w:p w14:paraId="1678221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法定代表人（或授权代表）：</w:t>
      </w:r>
      <w:r>
        <w:rPr>
          <w:rFonts w:hint="eastAsia" w:ascii="宋体" w:hAnsi="宋体" w:cs="宋体"/>
          <w:color w:val="auto"/>
          <w:szCs w:val="21"/>
          <w:u w:val="single"/>
        </w:rPr>
        <w:t xml:space="preserve">               </w:t>
      </w:r>
      <w:r>
        <w:rPr>
          <w:rFonts w:hint="eastAsia" w:ascii="宋体" w:hAnsi="宋体" w:cs="宋体"/>
          <w:color w:val="auto"/>
          <w:szCs w:val="21"/>
        </w:rPr>
        <w:t xml:space="preserve">（签字） </w:t>
      </w:r>
    </w:p>
    <w:p w14:paraId="7A86C75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p>
    <w:p w14:paraId="14F9BEA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w:t>
      </w:r>
    </w:p>
    <w:p w14:paraId="26AF8EE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p>
    <w:p w14:paraId="19682CED">
      <w:pPr>
        <w:adjustRightInd w:val="0"/>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传    真：</w:t>
      </w:r>
      <w:r>
        <w:rPr>
          <w:rFonts w:hint="eastAsia" w:ascii="宋体" w:hAnsi="宋体" w:cs="宋体"/>
          <w:color w:val="auto"/>
          <w:szCs w:val="21"/>
          <w:u w:val="single"/>
        </w:rPr>
        <w:t xml:space="preserve">                 </w:t>
      </w:r>
    </w:p>
    <w:p w14:paraId="75A997F3">
      <w:pPr>
        <w:adjustRightInd w:val="0"/>
        <w:snapToGrid w:val="0"/>
        <w:spacing w:line="360" w:lineRule="auto"/>
        <w:ind w:left="1323" w:leftChars="200" w:hanging="903" w:hangingChars="430"/>
        <w:rPr>
          <w:rFonts w:ascii="宋体" w:hAnsi="宋体" w:cs="宋体"/>
          <w:color w:val="auto"/>
          <w:szCs w:val="21"/>
        </w:rPr>
      </w:pPr>
      <w:r>
        <w:rPr>
          <w:rFonts w:hint="eastAsia" w:ascii="宋体" w:hAnsi="宋体" w:cs="宋体"/>
          <w:color w:val="auto"/>
          <w:szCs w:val="21"/>
        </w:rPr>
        <w:t>开立时间：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5009199F">
      <w:pP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br w:type="page"/>
      </w:r>
    </w:p>
    <w:p w14:paraId="749552CB">
      <w:pPr>
        <w:spacing w:line="560" w:lineRule="exact"/>
        <w:outlineLvl w:val="1"/>
        <w:rPr>
          <w:rFonts w:ascii="宋体" w:hAnsi="宋体" w:cs="宋体"/>
          <w:b/>
          <w:bCs/>
          <w:color w:val="auto"/>
          <w:sz w:val="28"/>
          <w:szCs w:val="36"/>
        </w:rPr>
      </w:pPr>
      <w:r>
        <w:rPr>
          <w:rFonts w:hint="eastAsia" w:ascii="宋体" w:hAnsi="宋体" w:cs="宋体"/>
          <w:b/>
          <w:bCs/>
          <w:color w:val="auto"/>
          <w:sz w:val="28"/>
          <w:szCs w:val="36"/>
        </w:rPr>
        <w:t>附件三：廉政协议</w:t>
      </w:r>
    </w:p>
    <w:bookmarkEnd w:id="677"/>
    <w:bookmarkEnd w:id="678"/>
    <w:bookmarkEnd w:id="679"/>
    <w:bookmarkEnd w:id="683"/>
    <w:p w14:paraId="1C882614">
      <w:pPr>
        <w:widowControl/>
        <w:spacing w:line="360" w:lineRule="auto"/>
        <w:ind w:firstLine="641"/>
        <w:jc w:val="center"/>
        <w:rPr>
          <w:rFonts w:ascii="宋体" w:hAnsi="宋体" w:cs="宋体"/>
          <w:b/>
          <w:bCs/>
          <w:color w:val="auto"/>
          <w:kern w:val="0"/>
          <w:sz w:val="32"/>
          <w:szCs w:val="32"/>
        </w:rPr>
      </w:pPr>
      <w:bookmarkStart w:id="688" w:name="_Toc7607"/>
      <w:bookmarkStart w:id="689" w:name="_Toc9808"/>
      <w:bookmarkStart w:id="690" w:name="_Toc95223496"/>
      <w:bookmarkStart w:id="691" w:name="_Toc95223515"/>
      <w:bookmarkStart w:id="692" w:name="_Toc4767"/>
      <w:r>
        <w:rPr>
          <w:rFonts w:hint="eastAsia" w:ascii="宋体" w:hAnsi="宋体" w:cs="宋体"/>
          <w:b/>
          <w:bCs/>
          <w:color w:val="auto"/>
          <w:kern w:val="0"/>
          <w:sz w:val="32"/>
          <w:szCs w:val="32"/>
        </w:rPr>
        <w:t>廉 政 协 议</w:t>
      </w:r>
      <w:bookmarkEnd w:id="688"/>
      <w:bookmarkEnd w:id="689"/>
      <w:bookmarkEnd w:id="690"/>
    </w:p>
    <w:p w14:paraId="68452965">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为促进双方诚信经营、廉洁从业，防范商业贿赂，保护国家、集体和当事人的合法权益，根据国家有关法律法规和安徽省、项目所在地廉政建设的规定，</w:t>
      </w:r>
      <w:r>
        <w:rPr>
          <w:rFonts w:hint="eastAsia" w:ascii="宋体" w:hAnsi="宋体" w:cs="宋体"/>
          <w:color w:val="auto"/>
          <w:kern w:val="0"/>
          <w:szCs w:val="21"/>
          <w:u w:val="single"/>
        </w:rPr>
        <w:t xml:space="preserve">                 </w:t>
      </w:r>
      <w:r>
        <w:rPr>
          <w:rFonts w:hint="eastAsia" w:ascii="宋体" w:hAnsi="宋体" w:cs="宋体"/>
          <w:color w:val="auto"/>
          <w:kern w:val="0"/>
          <w:szCs w:val="21"/>
        </w:rPr>
        <w:t>(以下称甲方)与</w:t>
      </w:r>
      <w:r>
        <w:rPr>
          <w:rFonts w:hint="eastAsia" w:ascii="宋体" w:hAnsi="宋体" w:cs="宋体"/>
          <w:color w:val="auto"/>
          <w:kern w:val="0"/>
          <w:szCs w:val="21"/>
          <w:u w:val="single"/>
        </w:rPr>
        <w:t xml:space="preserve">                     </w:t>
      </w:r>
      <w:r>
        <w:rPr>
          <w:rFonts w:hint="eastAsia" w:ascii="宋体" w:hAnsi="宋体" w:cs="宋体"/>
          <w:color w:val="auto"/>
          <w:kern w:val="0"/>
          <w:szCs w:val="21"/>
        </w:rPr>
        <w:t>(以下称乙方)，特此订立本协议共同遵照执行。</w:t>
      </w:r>
    </w:p>
    <w:p w14:paraId="605058B2">
      <w:pPr>
        <w:widowControl/>
        <w:spacing w:line="360" w:lineRule="auto"/>
        <w:ind w:firstLine="420" w:firstLineChars="200"/>
        <w:jc w:val="left"/>
        <w:rPr>
          <w:rFonts w:ascii="宋体" w:hAnsi="宋体" w:cs="宋体"/>
          <w:color w:val="auto"/>
          <w:kern w:val="0"/>
          <w:szCs w:val="21"/>
        </w:rPr>
      </w:pPr>
      <w:bookmarkStart w:id="693" w:name="_Toc95223497"/>
      <w:bookmarkStart w:id="694" w:name="_Toc21306"/>
      <w:bookmarkStart w:id="695" w:name="_Toc9888"/>
      <w:r>
        <w:rPr>
          <w:rFonts w:hint="eastAsia" w:ascii="宋体" w:hAnsi="宋体" w:cs="宋体"/>
          <w:color w:val="auto"/>
          <w:kern w:val="0"/>
          <w:szCs w:val="21"/>
        </w:rPr>
        <w:t>第一条 甲乙双方的权利和义务</w:t>
      </w:r>
      <w:bookmarkEnd w:id="693"/>
      <w:bookmarkEnd w:id="694"/>
      <w:bookmarkEnd w:id="695"/>
    </w:p>
    <w:p w14:paraId="3E113364">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24D62398">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（二）严格执行</w:t>
      </w:r>
      <w:r>
        <w:rPr>
          <w:rFonts w:hint="eastAsia" w:ascii="宋体" w:hAnsi="宋体" w:cs="宋体"/>
          <w:color w:val="auto"/>
          <w:kern w:val="0"/>
          <w:szCs w:val="21"/>
          <w:u w:val="single"/>
        </w:rPr>
        <w:t xml:space="preserve">                                </w:t>
      </w:r>
      <w:r>
        <w:rPr>
          <w:rFonts w:hint="eastAsia" w:ascii="宋体" w:hAnsi="宋体" w:cs="宋体"/>
          <w:color w:val="auto"/>
          <w:kern w:val="0"/>
          <w:szCs w:val="21"/>
        </w:rPr>
        <w:t>的合同要求，自觉履行合同约定的相关义务。</w:t>
      </w:r>
    </w:p>
    <w:p w14:paraId="604142D2">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（三）在业务活动中坚持公开、公正、诚信、透明的原则，不得损害国家、集体利益。</w:t>
      </w:r>
    </w:p>
    <w:p w14:paraId="7EAB1AB7">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（四）建立健全廉政制度，开展廉政教育，公布举报电话，监督并认真查处违法违纪行为。</w:t>
      </w:r>
    </w:p>
    <w:p w14:paraId="2818397E">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（五）发现对方在业务活动中有违反廉政规定的行为，应及时提醒对方纠正。情节严重的，应向其上级有关部门举报、建议给予处理，并有权要求告知处理结果。</w:t>
      </w:r>
    </w:p>
    <w:p w14:paraId="2756D664">
      <w:pPr>
        <w:widowControl/>
        <w:spacing w:line="360" w:lineRule="auto"/>
        <w:ind w:firstLine="420" w:firstLineChars="200"/>
        <w:jc w:val="left"/>
        <w:rPr>
          <w:rFonts w:ascii="宋体" w:hAnsi="宋体" w:cs="宋体"/>
          <w:color w:val="auto"/>
          <w:kern w:val="0"/>
          <w:szCs w:val="21"/>
        </w:rPr>
      </w:pPr>
      <w:bookmarkStart w:id="696" w:name="_Toc1917"/>
      <w:bookmarkStart w:id="697" w:name="_Toc3866"/>
      <w:bookmarkStart w:id="698" w:name="_Toc95223498"/>
      <w:r>
        <w:rPr>
          <w:rFonts w:hint="eastAsia" w:ascii="宋体" w:hAnsi="宋体" w:cs="宋体"/>
          <w:color w:val="auto"/>
          <w:kern w:val="0"/>
          <w:szCs w:val="21"/>
        </w:rPr>
        <w:t>第二条 甲方的义务</w:t>
      </w:r>
      <w:bookmarkEnd w:id="696"/>
      <w:bookmarkEnd w:id="697"/>
      <w:bookmarkEnd w:id="698"/>
    </w:p>
    <w:p w14:paraId="61F8D406">
      <w:pPr>
        <w:widowControl/>
        <w:spacing w:line="360" w:lineRule="auto"/>
        <w:ind w:firstLine="525" w:firstLineChars="250"/>
        <w:jc w:val="left"/>
        <w:rPr>
          <w:rFonts w:ascii="宋体" w:hAnsi="宋体" w:cs="宋体"/>
          <w:color w:val="auto"/>
          <w:kern w:val="0"/>
          <w:szCs w:val="21"/>
        </w:rPr>
      </w:pPr>
      <w:r>
        <w:rPr>
          <w:rFonts w:hint="eastAsia" w:ascii="宋体" w:hAnsi="宋体" w:cs="宋体"/>
          <w:color w:val="auto"/>
          <w:kern w:val="0"/>
          <w:szCs w:val="21"/>
        </w:rPr>
        <w:t>(一)甲方及其工作人员不得索要或接受乙方的礼金、有价证券和贵重物品，不得在乙方报销任何应由甲方单位或个人支付的费用等。</w:t>
      </w:r>
    </w:p>
    <w:p w14:paraId="34E58EA1">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664FBCDB">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（三） 甲方及其工作人员不得要求或者接受乙方为其住房装修、婚丧嫁娶活动、配偶子女工作安排以及出国出境、旅游等提供方便等。</w:t>
      </w:r>
    </w:p>
    <w:p w14:paraId="723087FB">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（四） 甲方工作人员不得在乙方有股权关联的企业兼职，不得向乙方介绍家属或者亲友从事与甲方业务有关的经济活动。</w:t>
      </w:r>
    </w:p>
    <w:p w14:paraId="74A10175">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（五）甲方工作人员不得以明显低于市场的价格向乙方购买房屋、汽车等物品；不得以明显高于市场的价格向乙方出售房屋、汽车等物品；不得以其他交易形式非法收受请托人财物。</w:t>
      </w:r>
    </w:p>
    <w:p w14:paraId="05220363">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（六）甲方工作人员不得利用职务之便收受乙方以回扣、手续费、加班费、咨询费、劳务费、协调费、辛苦费等各种名义给予或赠送的钱物。</w:t>
      </w:r>
    </w:p>
    <w:p w14:paraId="743DFA6B">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（七）甲方工作人员不得接受乙方给予或赠送的干股或红利。</w:t>
      </w:r>
    </w:p>
    <w:p w14:paraId="7044D171">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（八）甲方任何人不得以个人的名义向乙方推荐设备、部件等供货商以及其他合作单位。</w:t>
      </w:r>
    </w:p>
    <w:p w14:paraId="0117D52E">
      <w:pPr>
        <w:widowControl/>
        <w:spacing w:line="360" w:lineRule="auto"/>
        <w:ind w:firstLine="420" w:firstLineChars="200"/>
        <w:jc w:val="left"/>
        <w:rPr>
          <w:rFonts w:ascii="宋体" w:hAnsi="宋体" w:cs="宋体"/>
          <w:color w:val="auto"/>
          <w:kern w:val="0"/>
          <w:szCs w:val="21"/>
        </w:rPr>
      </w:pPr>
      <w:bookmarkStart w:id="699" w:name="_Toc20831"/>
      <w:bookmarkStart w:id="700" w:name="_Toc95223499"/>
      <w:bookmarkStart w:id="701" w:name="_Toc10556"/>
      <w:r>
        <w:rPr>
          <w:rFonts w:hint="eastAsia" w:ascii="宋体" w:hAnsi="宋体" w:cs="宋体"/>
          <w:color w:val="auto"/>
          <w:kern w:val="0"/>
          <w:szCs w:val="21"/>
        </w:rPr>
        <w:t>第三条 乙方的义务</w:t>
      </w:r>
      <w:bookmarkEnd w:id="699"/>
      <w:bookmarkEnd w:id="700"/>
      <w:bookmarkEnd w:id="701"/>
    </w:p>
    <w:p w14:paraId="75D025FB">
      <w:pPr>
        <w:widowControl/>
        <w:spacing w:line="360" w:lineRule="auto"/>
        <w:ind w:firstLine="525" w:firstLineChars="250"/>
        <w:jc w:val="left"/>
        <w:rPr>
          <w:rFonts w:ascii="宋体" w:hAnsi="宋体" w:cs="宋体"/>
          <w:color w:val="auto"/>
          <w:kern w:val="0"/>
          <w:szCs w:val="21"/>
        </w:rPr>
      </w:pPr>
      <w:r>
        <w:rPr>
          <w:rFonts w:hint="eastAsia" w:ascii="宋体" w:hAnsi="宋体" w:cs="宋体"/>
          <w:color w:val="auto"/>
          <w:kern w:val="0"/>
          <w:szCs w:val="21"/>
        </w:rPr>
        <w:t>(一)乙方不得以任何理由向甲方及其工作人员行贿或馈赠礼金、有价证券、贵重礼品。</w:t>
      </w:r>
    </w:p>
    <w:p w14:paraId="0EAE0A3D">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（二)乙方不得以任何名义为甲方及其工作人员报销应由甲方单位或个人支付的任何费用。</w:t>
      </w:r>
    </w:p>
    <w:p w14:paraId="7AEF02C3">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(三)乙方不得以任何理由安排甲方工作人员参加可能影响相关业务公开、公正、公平性的宴请及娱乐活动。</w:t>
      </w:r>
    </w:p>
    <w:p w14:paraId="5334BC9D">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（四）乙方不得为甲方单位和个人购置或提供通讯工具和高档办公用品等物品，也不得为甲方提供与工作无关的房屋、汽车等。</w:t>
      </w:r>
    </w:p>
    <w:p w14:paraId="731FBFD2">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（五）乙方不得与甲方工作人员就合同中的质量、数量、价格、工程量、验收等条款进行私下商谈或者达成默契。</w:t>
      </w:r>
    </w:p>
    <w:p w14:paraId="76E998B7">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（六）乙方不得以回扣、手续费、加班费、咨询费、劳务费、协调费、辛苦费等各种名义向甲方工作人员给予或赠送钱物。</w:t>
      </w:r>
    </w:p>
    <w:p w14:paraId="52F5ABF3">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（七）乙方不得向甲方工作人员提供干股或红利。</w:t>
      </w:r>
    </w:p>
    <w:p w14:paraId="65A0C19B">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（八）乙方须按</w:t>
      </w:r>
      <w:r>
        <w:rPr>
          <w:rFonts w:hint="eastAsia" w:ascii="宋体" w:hAnsi="宋体" w:cs="宋体"/>
          <w:color w:val="auto"/>
          <w:kern w:val="0"/>
          <w:szCs w:val="21"/>
          <w:u w:val="single"/>
        </w:rPr>
        <w:t xml:space="preserve">         </w:t>
      </w:r>
      <w:r>
        <w:rPr>
          <w:rFonts w:hint="eastAsia" w:ascii="宋体" w:hAnsi="宋体" w:cs="宋体"/>
          <w:color w:val="auto"/>
          <w:kern w:val="0"/>
          <w:szCs w:val="21"/>
        </w:rPr>
        <w:t>专项纪检监察工作组(如有)要求开展相关工作。</w:t>
      </w:r>
    </w:p>
    <w:p w14:paraId="41C1E266">
      <w:pPr>
        <w:widowControl/>
        <w:spacing w:line="360" w:lineRule="auto"/>
        <w:ind w:firstLine="420" w:firstLineChars="200"/>
        <w:jc w:val="left"/>
        <w:rPr>
          <w:rFonts w:ascii="宋体" w:hAnsi="宋体" w:cs="宋体"/>
          <w:color w:val="auto"/>
          <w:kern w:val="0"/>
          <w:szCs w:val="21"/>
        </w:rPr>
      </w:pPr>
      <w:bookmarkStart w:id="702" w:name="_Toc95223500"/>
      <w:bookmarkStart w:id="703" w:name="_Toc14507"/>
      <w:bookmarkStart w:id="704" w:name="_Toc2198"/>
      <w:r>
        <w:rPr>
          <w:rFonts w:hint="eastAsia" w:ascii="宋体" w:hAnsi="宋体" w:cs="宋体"/>
          <w:color w:val="auto"/>
          <w:kern w:val="0"/>
          <w:szCs w:val="21"/>
        </w:rPr>
        <w:t>第四条 违约责任</w:t>
      </w:r>
      <w:bookmarkEnd w:id="702"/>
      <w:bookmarkEnd w:id="703"/>
      <w:bookmarkEnd w:id="704"/>
    </w:p>
    <w:p w14:paraId="5C1F29C2">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46028F7E">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甲方投诉联系部门：</w:t>
      </w:r>
      <w:r>
        <w:rPr>
          <w:rFonts w:hint="eastAsia" w:ascii="宋体" w:hAnsi="宋体" w:cs="宋体"/>
          <w:color w:val="auto"/>
          <w:kern w:val="0"/>
          <w:szCs w:val="21"/>
          <w:u w:val="single"/>
        </w:rPr>
        <w:t xml:space="preserve">           </w:t>
      </w:r>
      <w:r>
        <w:rPr>
          <w:rFonts w:hint="eastAsia" w:ascii="宋体" w:hAnsi="宋体" w:cs="宋体"/>
          <w:color w:val="auto"/>
          <w:kern w:val="0"/>
          <w:szCs w:val="21"/>
        </w:rPr>
        <w:t>，联系电话：</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7145FC38">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（二）乙方及其工作人员违反本协议第一、三条规定。根据具体情节和造成的后果，甲方有权对乙方采取以下一种或多种处理办法：</w:t>
      </w:r>
    </w:p>
    <w:p w14:paraId="321DA848">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1. 全额收取乙方合同履约保证金不予退还； </w:t>
      </w:r>
    </w:p>
    <w:p w14:paraId="6B65F178">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 追究乙方其他违约责任；</w:t>
      </w:r>
    </w:p>
    <w:p w14:paraId="464DAD27">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 终止或解除双方已签订的包括本合同在内的所有合同；</w:t>
      </w:r>
    </w:p>
    <w:p w14:paraId="5B2C2C66">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 乙方一定期限内（6个月至3年，具体由甲方根据情况而定）不得参与甲方作为发包人（业主）的工程项目投标。</w:t>
      </w:r>
    </w:p>
    <w:p w14:paraId="773DE79F">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甲方作出的处理意见，乙方应无条件接受并承担给甲方造成的损失，全额返还通过不正当手段从甲方获取的非法所得，并承担相应的法律责任。</w:t>
      </w:r>
    </w:p>
    <w:p w14:paraId="3DE790DE">
      <w:pPr>
        <w:widowControl/>
        <w:spacing w:line="360" w:lineRule="auto"/>
        <w:ind w:firstLine="420" w:firstLineChars="200"/>
        <w:jc w:val="left"/>
        <w:rPr>
          <w:rFonts w:ascii="宋体" w:hAnsi="宋体" w:cs="宋体"/>
          <w:color w:val="auto"/>
          <w:kern w:val="0"/>
          <w:szCs w:val="21"/>
        </w:rPr>
      </w:pPr>
      <w:bookmarkStart w:id="705" w:name="_Toc2334"/>
      <w:bookmarkStart w:id="706" w:name="_Toc95223501"/>
      <w:bookmarkStart w:id="707" w:name="_Toc10228"/>
      <w:r>
        <w:rPr>
          <w:rFonts w:hint="eastAsia" w:ascii="宋体" w:hAnsi="宋体" w:cs="宋体"/>
          <w:color w:val="auto"/>
          <w:kern w:val="0"/>
          <w:szCs w:val="21"/>
        </w:rPr>
        <w:t>第五条 双方约定</w:t>
      </w:r>
      <w:bookmarkEnd w:id="705"/>
      <w:bookmarkEnd w:id="706"/>
      <w:bookmarkEnd w:id="707"/>
    </w:p>
    <w:p w14:paraId="1BF235F1">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2232D8DB">
      <w:pPr>
        <w:widowControl/>
        <w:spacing w:line="360" w:lineRule="auto"/>
        <w:ind w:firstLine="420" w:firstLineChars="200"/>
        <w:jc w:val="left"/>
        <w:rPr>
          <w:rFonts w:ascii="宋体" w:hAnsi="宋体" w:cs="宋体"/>
          <w:color w:val="auto"/>
          <w:kern w:val="0"/>
          <w:szCs w:val="21"/>
        </w:rPr>
      </w:pPr>
      <w:bookmarkStart w:id="708" w:name="_Toc17717"/>
      <w:bookmarkStart w:id="709" w:name="_Toc32140"/>
      <w:bookmarkStart w:id="710" w:name="_Toc95223502"/>
      <w:r>
        <w:rPr>
          <w:rFonts w:hint="eastAsia" w:ascii="宋体" w:hAnsi="宋体" w:cs="宋体"/>
          <w:color w:val="auto"/>
          <w:kern w:val="0"/>
          <w:szCs w:val="21"/>
        </w:rPr>
        <w:t>第六条  本协议有效期为甲乙双方签署之日起至合同终止。</w:t>
      </w:r>
      <w:bookmarkEnd w:id="708"/>
      <w:bookmarkEnd w:id="709"/>
      <w:bookmarkEnd w:id="710"/>
      <w:r>
        <w:rPr>
          <w:rFonts w:hint="eastAsia" w:ascii="宋体" w:hAnsi="宋体" w:cs="宋体"/>
          <w:color w:val="auto"/>
          <w:kern w:val="0"/>
          <w:szCs w:val="21"/>
        </w:rPr>
        <w:t xml:space="preserve">  </w:t>
      </w:r>
    </w:p>
    <w:p w14:paraId="27059C7A">
      <w:pPr>
        <w:widowControl/>
        <w:spacing w:line="360" w:lineRule="auto"/>
        <w:ind w:firstLine="420" w:firstLineChars="200"/>
        <w:jc w:val="left"/>
        <w:rPr>
          <w:rFonts w:ascii="宋体" w:hAnsi="宋体" w:cs="宋体"/>
          <w:color w:val="auto"/>
          <w:kern w:val="0"/>
          <w:szCs w:val="21"/>
        </w:rPr>
      </w:pPr>
      <w:bookmarkStart w:id="711" w:name="_Toc95223503"/>
      <w:bookmarkStart w:id="712" w:name="_Toc1871"/>
      <w:bookmarkStart w:id="713" w:name="_Toc24032"/>
      <w:r>
        <w:rPr>
          <w:rFonts w:hint="eastAsia" w:ascii="宋体" w:hAnsi="宋体" w:cs="宋体"/>
          <w:color w:val="auto"/>
          <w:kern w:val="0"/>
          <w:szCs w:val="21"/>
        </w:rPr>
        <w:t>第七条  本协议作为合同的附件，与本合同具有同等法律效力。</w:t>
      </w:r>
      <w:bookmarkEnd w:id="711"/>
      <w:bookmarkEnd w:id="712"/>
      <w:bookmarkEnd w:id="713"/>
    </w:p>
    <w:p w14:paraId="6190C50E">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 </w:t>
      </w:r>
    </w:p>
    <w:p w14:paraId="789A74CF">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甲方（盖章）：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乙方（盖章）：</w:t>
      </w:r>
      <w:r>
        <w:rPr>
          <w:rFonts w:hint="eastAsia" w:ascii="宋体" w:hAnsi="宋体" w:cs="宋体"/>
          <w:color w:val="auto"/>
          <w:kern w:val="0"/>
          <w:szCs w:val="21"/>
          <w:u w:val="single"/>
        </w:rPr>
        <w:t xml:space="preserve">                      </w:t>
      </w:r>
    </w:p>
    <w:p w14:paraId="0753B849">
      <w:pPr>
        <w:widowControl/>
        <w:spacing w:line="360" w:lineRule="auto"/>
        <w:ind w:firstLine="420" w:firstLineChars="200"/>
        <w:jc w:val="left"/>
        <w:rPr>
          <w:rFonts w:ascii="宋体" w:hAnsi="宋体" w:cs="宋体"/>
          <w:color w:val="auto"/>
          <w:kern w:val="0"/>
          <w:szCs w:val="21"/>
        </w:rPr>
      </w:pPr>
    </w:p>
    <w:p w14:paraId="54040907">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法定代表人或                                法定代表人或</w:t>
      </w:r>
    </w:p>
    <w:p w14:paraId="6CC65C38">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授权代表：</w:t>
      </w:r>
      <w:r>
        <w:rPr>
          <w:rFonts w:hint="eastAsia" w:ascii="宋体" w:hAnsi="宋体" w:cs="宋体"/>
          <w:color w:val="auto"/>
          <w:kern w:val="0"/>
          <w:szCs w:val="21"/>
          <w:u w:val="single"/>
        </w:rPr>
        <w:t xml:space="preserve">              </w:t>
      </w:r>
      <w:r>
        <w:rPr>
          <w:rFonts w:hint="eastAsia" w:ascii="宋体" w:hAnsi="宋体" w:cs="宋体"/>
          <w:color w:val="auto"/>
          <w:kern w:val="0"/>
          <w:szCs w:val="21"/>
        </w:rPr>
        <w:t>(职务)              授权代表：</w:t>
      </w:r>
      <w:r>
        <w:rPr>
          <w:rFonts w:hint="eastAsia" w:ascii="宋体" w:hAnsi="宋体" w:cs="宋体"/>
          <w:color w:val="auto"/>
          <w:kern w:val="0"/>
          <w:szCs w:val="21"/>
          <w:u w:val="single"/>
        </w:rPr>
        <w:t xml:space="preserve">             </w:t>
      </w:r>
      <w:r>
        <w:rPr>
          <w:rFonts w:hint="eastAsia" w:ascii="宋体" w:hAnsi="宋体" w:cs="宋体"/>
          <w:color w:val="auto"/>
          <w:kern w:val="0"/>
          <w:szCs w:val="21"/>
        </w:rPr>
        <w:t>(职务)</w:t>
      </w:r>
    </w:p>
    <w:p w14:paraId="3EF4B792">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姓名：</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姓名：</w:t>
      </w:r>
      <w:r>
        <w:rPr>
          <w:rFonts w:hint="eastAsia" w:ascii="宋体" w:hAnsi="宋体" w:cs="宋体"/>
          <w:color w:val="auto"/>
          <w:kern w:val="0"/>
          <w:szCs w:val="21"/>
          <w:u w:val="single"/>
        </w:rPr>
        <w:t xml:space="preserve">             </w:t>
      </w:r>
    </w:p>
    <w:p w14:paraId="3CAD486F">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签字：</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签字：</w:t>
      </w:r>
      <w:r>
        <w:rPr>
          <w:rFonts w:hint="eastAsia" w:ascii="宋体" w:hAnsi="宋体" w:cs="宋体"/>
          <w:color w:val="auto"/>
          <w:kern w:val="0"/>
          <w:szCs w:val="21"/>
          <w:u w:val="single"/>
        </w:rPr>
        <w:t xml:space="preserve">             </w:t>
      </w:r>
    </w:p>
    <w:p w14:paraId="1D29D502">
      <w:pPr>
        <w:widowControl/>
        <w:spacing w:line="360" w:lineRule="auto"/>
        <w:ind w:firstLine="420" w:firstLineChars="200"/>
        <w:jc w:val="left"/>
        <w:rPr>
          <w:rFonts w:ascii="宋体" w:hAnsi="宋体" w:cs="宋体"/>
          <w:color w:val="auto"/>
          <w:kern w:val="0"/>
          <w:szCs w:val="21"/>
        </w:rPr>
      </w:pPr>
    </w:p>
    <w:p w14:paraId="57C00F21">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廉政监督联系人                              廉政监督联系人</w:t>
      </w:r>
    </w:p>
    <w:p w14:paraId="29BEC4E1">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姓名：</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姓名：</w:t>
      </w:r>
      <w:r>
        <w:rPr>
          <w:rFonts w:hint="eastAsia" w:ascii="宋体" w:hAnsi="宋体" w:cs="宋体"/>
          <w:color w:val="auto"/>
          <w:kern w:val="0"/>
          <w:szCs w:val="21"/>
          <w:u w:val="single"/>
        </w:rPr>
        <w:t xml:space="preserve">                       </w:t>
      </w:r>
    </w:p>
    <w:p w14:paraId="69F59F8E">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签字：</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签字：</w:t>
      </w:r>
      <w:r>
        <w:rPr>
          <w:rFonts w:hint="eastAsia" w:ascii="宋体" w:hAnsi="宋体" w:cs="宋体"/>
          <w:color w:val="auto"/>
          <w:kern w:val="0"/>
          <w:szCs w:val="21"/>
          <w:u w:val="single"/>
        </w:rPr>
        <w:t xml:space="preserve">                       </w:t>
      </w:r>
    </w:p>
    <w:p w14:paraId="7C265A62">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电话：</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电话：</w:t>
      </w:r>
      <w:r>
        <w:rPr>
          <w:rFonts w:hint="eastAsia" w:ascii="宋体" w:hAnsi="宋体" w:cs="宋体"/>
          <w:color w:val="auto"/>
          <w:kern w:val="0"/>
          <w:szCs w:val="21"/>
          <w:u w:val="single"/>
        </w:rPr>
        <w:t xml:space="preserve">                       </w:t>
      </w:r>
    </w:p>
    <w:p w14:paraId="5276DE21">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地址：</w:t>
      </w:r>
      <w:r>
        <w:rPr>
          <w:rFonts w:hint="eastAsia" w:ascii="宋体" w:hAnsi="宋体" w:cs="宋体"/>
          <w:color w:val="auto"/>
          <w:kern w:val="0"/>
          <w:szCs w:val="21"/>
          <w:u w:val="single"/>
        </w:rPr>
        <w:t xml:space="preserve">                       </w:t>
      </w:r>
    </w:p>
    <w:p w14:paraId="297B7B18">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日期：</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日期：</w:t>
      </w:r>
      <w:r>
        <w:rPr>
          <w:rFonts w:hint="eastAsia" w:ascii="宋体" w:hAnsi="宋体" w:cs="宋体"/>
          <w:color w:val="auto"/>
          <w:kern w:val="0"/>
          <w:szCs w:val="21"/>
          <w:u w:val="single"/>
        </w:rPr>
        <w:t xml:space="preserve">                       </w:t>
      </w:r>
    </w:p>
    <w:p w14:paraId="1E7CFF77">
      <w:pPr>
        <w:jc w:val="center"/>
        <w:rPr>
          <w:rFonts w:ascii="宋体" w:hAnsi="宋体" w:cs="宋体"/>
          <w:b/>
          <w:bCs/>
          <w:color w:val="auto"/>
          <w:kern w:val="44"/>
          <w:sz w:val="36"/>
          <w:szCs w:val="36"/>
          <w:highlight w:val="none"/>
        </w:rPr>
      </w:pPr>
      <w:r>
        <w:rPr>
          <w:rFonts w:hint="eastAsia" w:ascii="宋体" w:hAnsi="宋体" w:cs="宋体"/>
          <w:b/>
          <w:bCs/>
          <w:color w:val="auto"/>
          <w:kern w:val="44"/>
          <w:sz w:val="36"/>
          <w:szCs w:val="36"/>
          <w:highlight w:val="yellow"/>
        </w:rPr>
        <w:br w:type="page"/>
      </w:r>
      <w:bookmarkEnd w:id="691"/>
      <w:bookmarkEnd w:id="692"/>
      <w:bookmarkStart w:id="714" w:name="_Toc95223522"/>
      <w:r>
        <w:rPr>
          <w:rFonts w:hint="eastAsia" w:ascii="宋体" w:hAnsi="宋体" w:cs="宋体"/>
          <w:b/>
          <w:bCs/>
          <w:color w:val="auto"/>
          <w:kern w:val="44"/>
          <w:sz w:val="36"/>
          <w:szCs w:val="36"/>
          <w:highlight w:val="none"/>
        </w:rPr>
        <w:t>第六章工程量清单</w:t>
      </w:r>
    </w:p>
    <w:p w14:paraId="5F37B27F">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20" w:firstLineChars="200"/>
        <w:jc w:val="center"/>
        <w:textAlignment w:val="auto"/>
        <w:rPr>
          <w:rFonts w:ascii="宋体" w:hAnsi="宋体" w:cs="宋体"/>
          <w:color w:val="auto"/>
          <w:szCs w:val="21"/>
          <w:highlight w:val="none"/>
        </w:rPr>
      </w:pPr>
      <w:r>
        <w:rPr>
          <w:rFonts w:hint="eastAsia" w:ascii="宋体" w:hAnsi="宋体" w:cs="宋体"/>
          <w:color w:val="auto"/>
          <w:szCs w:val="21"/>
          <w:highlight w:val="none"/>
        </w:rPr>
        <w:t>详见第八章技术要求</w:t>
      </w:r>
    </w:p>
    <w:p w14:paraId="38DCA9C4">
      <w:pPr>
        <w:keepNext/>
        <w:keepLines/>
        <w:spacing w:line="360" w:lineRule="auto"/>
        <w:jc w:val="center"/>
        <w:outlineLvl w:val="0"/>
        <w:rPr>
          <w:rFonts w:hint="eastAsia" w:ascii="宋体" w:hAnsi="宋体" w:cs="宋体"/>
          <w:b/>
          <w:bCs/>
          <w:color w:val="auto"/>
          <w:kern w:val="44"/>
          <w:sz w:val="36"/>
          <w:szCs w:val="36"/>
          <w:highlight w:val="none"/>
        </w:rPr>
      </w:pPr>
    </w:p>
    <w:p w14:paraId="36BAD78B">
      <w:pPr>
        <w:keepNext/>
        <w:keepLines/>
        <w:spacing w:line="360" w:lineRule="auto"/>
        <w:jc w:val="center"/>
        <w:outlineLvl w:val="0"/>
        <w:rPr>
          <w:rFonts w:hint="eastAsia" w:ascii="宋体" w:hAnsi="宋体" w:cs="宋体"/>
          <w:b/>
          <w:bCs/>
          <w:color w:val="auto"/>
          <w:kern w:val="44"/>
          <w:sz w:val="36"/>
          <w:szCs w:val="36"/>
          <w:highlight w:val="none"/>
        </w:rPr>
      </w:pPr>
    </w:p>
    <w:p w14:paraId="382CF0B9">
      <w:pPr>
        <w:keepNext/>
        <w:keepLines/>
        <w:spacing w:line="360" w:lineRule="auto"/>
        <w:jc w:val="center"/>
        <w:outlineLvl w:val="0"/>
        <w:rPr>
          <w:rFonts w:ascii="宋体" w:hAnsi="宋体" w:cs="宋体"/>
          <w:b/>
          <w:bCs/>
          <w:color w:val="auto"/>
          <w:kern w:val="44"/>
          <w:sz w:val="36"/>
          <w:szCs w:val="36"/>
          <w:highlight w:val="none"/>
        </w:rPr>
      </w:pPr>
      <w:r>
        <w:rPr>
          <w:rFonts w:hint="eastAsia" w:ascii="宋体" w:hAnsi="宋体" w:cs="宋体"/>
          <w:b/>
          <w:bCs/>
          <w:color w:val="auto"/>
          <w:kern w:val="44"/>
          <w:sz w:val="36"/>
          <w:szCs w:val="36"/>
          <w:highlight w:val="none"/>
        </w:rPr>
        <w:t xml:space="preserve">第七章 </w:t>
      </w:r>
      <w:bookmarkStart w:id="715" w:name="_Toc10656"/>
      <w:r>
        <w:rPr>
          <w:rFonts w:hint="eastAsia" w:ascii="宋体" w:hAnsi="宋体" w:cs="宋体"/>
          <w:b/>
          <w:bCs/>
          <w:color w:val="auto"/>
          <w:kern w:val="44"/>
          <w:sz w:val="36"/>
          <w:szCs w:val="36"/>
          <w:highlight w:val="none"/>
        </w:rPr>
        <w:t>图  纸</w:t>
      </w:r>
      <w:bookmarkEnd w:id="714"/>
      <w:bookmarkEnd w:id="715"/>
    </w:p>
    <w:p w14:paraId="4996D138">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20" w:firstLineChars="20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详见初步设计文件。</w:t>
      </w:r>
    </w:p>
    <w:p w14:paraId="14434CFF">
      <w:pPr>
        <w:pStyle w:val="2"/>
        <w:adjustRightInd w:val="0"/>
        <w:snapToGrid w:val="0"/>
        <w:spacing w:line="560" w:lineRule="exact"/>
        <w:jc w:val="center"/>
        <w:rPr>
          <w:rFonts w:ascii="宋体" w:hAnsi="宋体" w:cs="宋体"/>
          <w:bCs w:val="0"/>
          <w:color w:val="auto"/>
          <w:sz w:val="32"/>
        </w:rPr>
      </w:pPr>
      <w:r>
        <w:rPr>
          <w:rFonts w:hint="eastAsia" w:ascii="宋体" w:hAnsi="宋体" w:cs="宋体"/>
          <w:b w:val="0"/>
          <w:bCs w:val="0"/>
          <w:color w:val="auto"/>
          <w:sz w:val="32"/>
          <w:highlight w:val="none"/>
        </w:rPr>
        <w:br w:type="page"/>
      </w:r>
      <w:bookmarkStart w:id="716" w:name="_Toc4784276"/>
      <w:bookmarkEnd w:id="716"/>
      <w:bookmarkStart w:id="717" w:name="_Toc4784273"/>
      <w:bookmarkEnd w:id="717"/>
      <w:bookmarkStart w:id="718" w:name="_Toc4784272"/>
      <w:bookmarkEnd w:id="718"/>
      <w:bookmarkStart w:id="719" w:name="_Toc4784277"/>
      <w:bookmarkEnd w:id="719"/>
      <w:bookmarkStart w:id="720" w:name="_Toc4608"/>
      <w:bookmarkStart w:id="721" w:name="_Toc95223525"/>
      <w:r>
        <w:rPr>
          <w:rFonts w:hint="eastAsia" w:ascii="宋体" w:hAnsi="宋体" w:cs="宋体"/>
          <w:color w:val="auto"/>
          <w:sz w:val="36"/>
          <w:szCs w:val="36"/>
        </w:rPr>
        <w:t xml:space="preserve">第八章  </w:t>
      </w:r>
      <w:bookmarkEnd w:id="720"/>
      <w:bookmarkEnd w:id="721"/>
      <w:r>
        <w:rPr>
          <w:rFonts w:hint="eastAsia" w:ascii="宋体" w:hAnsi="宋体" w:cs="宋体"/>
          <w:color w:val="auto"/>
          <w:sz w:val="36"/>
          <w:szCs w:val="36"/>
        </w:rPr>
        <w:t>技术要求</w:t>
      </w:r>
    </w:p>
    <w:p w14:paraId="7EB88438">
      <w:pPr>
        <w:pStyle w:val="3"/>
        <w:spacing w:before="93" w:beforeLines="30" w:after="93" w:afterLines="30" w:line="500" w:lineRule="exact"/>
        <w:jc w:val="center"/>
        <w:rPr>
          <w:rFonts w:ascii="宋体" w:hAnsi="宋体" w:eastAsia="宋体" w:cs="宋体"/>
          <w:color w:val="auto"/>
          <w:sz w:val="28"/>
          <w:szCs w:val="28"/>
        </w:rPr>
      </w:pPr>
      <w:bookmarkStart w:id="722" w:name="_Toc95223531"/>
      <w:r>
        <w:rPr>
          <w:rFonts w:hint="eastAsia" w:ascii="宋体" w:hAnsi="宋体" w:eastAsia="宋体" w:cs="宋体"/>
          <w:color w:val="auto"/>
          <w:sz w:val="28"/>
          <w:szCs w:val="28"/>
        </w:rPr>
        <w:t>一、总则</w:t>
      </w:r>
    </w:p>
    <w:p w14:paraId="3AB2BEE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技术条件的使用范围仅限于</w:t>
      </w:r>
      <w:r>
        <w:rPr>
          <w:rFonts w:hint="eastAsia" w:ascii="宋体" w:hAnsi="宋体" w:cs="宋体"/>
          <w:color w:val="auto"/>
          <w:szCs w:val="21"/>
          <w:u w:val="single"/>
        </w:rPr>
        <w:t xml:space="preserve"> 滁州市自来水有限公司水厂水质保障提升</w:t>
      </w:r>
      <w:r>
        <w:rPr>
          <w:rFonts w:hint="eastAsia" w:ascii="宋体" w:hAnsi="宋体" w:cs="宋体"/>
          <w:color w:val="auto"/>
          <w:szCs w:val="21"/>
          <w:u w:val="single"/>
          <w:lang w:val="en-US" w:eastAsia="zh-CN"/>
        </w:rPr>
        <w:t>改造</w:t>
      </w:r>
      <w:r>
        <w:rPr>
          <w:rFonts w:hint="eastAsia" w:ascii="宋体" w:hAnsi="宋体" w:cs="宋体"/>
          <w:color w:val="auto"/>
          <w:szCs w:val="21"/>
          <w:u w:val="single"/>
        </w:rPr>
        <w:t xml:space="preserve">项目  </w:t>
      </w:r>
      <w:r>
        <w:rPr>
          <w:rFonts w:hint="eastAsia" w:ascii="宋体" w:hAnsi="宋体" w:cs="宋体"/>
          <w:color w:val="auto"/>
          <w:szCs w:val="21"/>
        </w:rPr>
        <w:t>的运行条件和技术条件。</w:t>
      </w:r>
    </w:p>
    <w:p w14:paraId="3BDCC03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本技术条件提出的是最低限度的技术条件，并未对一切技术细节做出规定，也未充分引述有关标准和规范的条文，投标人应保证提供符合本条件和标准的优质产品。</w:t>
      </w:r>
    </w:p>
    <w:p w14:paraId="60701C5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如果投标人没有以书面形式对本技术条件和条文提出异议，那么可以认为供货方提供的产品完成满足技术条件的要求。</w:t>
      </w:r>
    </w:p>
    <w:p w14:paraId="57416C7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货物应满足本技术要求书及国家和地方规定的标准和规范进行设计和制造。若在设计和制造中应用的某项标准或规范在本技术规范书中没有规定，则投标人应详细说明其所采用的标准和规范，并提供该标准或规范的完整中文原件给招标人。只有当其采用的标准和规范是国际公认的、惯用的，且等于或优于本技术要求书的要求时，此标准或规范才能为招标人所接受。</w:t>
      </w:r>
    </w:p>
    <w:p w14:paraId="4351F55F">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二、招标货物总体要求</w:t>
      </w:r>
    </w:p>
    <w:p w14:paraId="7027C65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招标范围包括货物的设计、供应、安装调试、验收等。</w:t>
      </w:r>
    </w:p>
    <w:p w14:paraId="3EA1EE7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所有装置必须可应付</w:t>
      </w:r>
      <w:r>
        <w:rPr>
          <w:rFonts w:hint="eastAsia" w:ascii="宋体" w:hAnsi="宋体" w:cs="宋体"/>
          <w:color w:val="auto"/>
          <w:szCs w:val="21"/>
          <w:u w:val="single"/>
        </w:rPr>
        <w:t xml:space="preserve">    10年     </w:t>
      </w:r>
      <w:r>
        <w:rPr>
          <w:rFonts w:hint="eastAsia" w:ascii="宋体" w:hAnsi="宋体" w:cs="宋体"/>
          <w:color w:val="auto"/>
          <w:szCs w:val="21"/>
        </w:rPr>
        <w:t>的正常工作。</w:t>
      </w:r>
    </w:p>
    <w:p w14:paraId="628F4EB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所有装置设计必须考虑防火、防尘、耐用、节能、容易清洁、</w:t>
      </w:r>
      <w:r>
        <w:rPr>
          <w:rFonts w:hint="eastAsia" w:ascii="宋体" w:hAnsi="宋体" w:cs="宋体"/>
          <w:color w:val="auto"/>
          <w:szCs w:val="21"/>
          <w:u w:val="single"/>
        </w:rPr>
        <w:t xml:space="preserve"> 方便维护  </w:t>
      </w:r>
      <w:r>
        <w:rPr>
          <w:rFonts w:hint="eastAsia" w:ascii="宋体" w:hAnsi="宋体" w:cs="宋体"/>
          <w:color w:val="auto"/>
          <w:szCs w:val="21"/>
        </w:rPr>
        <w:t>。</w:t>
      </w:r>
    </w:p>
    <w:p w14:paraId="7C943E3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所有使用的材料和工艺必须是满足要求的。</w:t>
      </w:r>
    </w:p>
    <w:p w14:paraId="707A3C1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招标货物的使用环境</w:t>
      </w:r>
    </w:p>
    <w:p w14:paraId="3BDE678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5.1安装场所：①西涧湖水厂二车间；②三水厂；③三水厂原水泵房；④四水厂等。</w:t>
      </w:r>
    </w:p>
    <w:p w14:paraId="65BC14B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5.2海拔：1000m以下</w:t>
      </w:r>
    </w:p>
    <w:p w14:paraId="23B8212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5.3环境温度：-10℃－40℃</w:t>
      </w:r>
    </w:p>
    <w:p w14:paraId="5C6D3DB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5.4日温差：10℃</w:t>
      </w:r>
    </w:p>
    <w:p w14:paraId="430297C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5.5  相对湿度：湿度：40-95%</w:t>
      </w:r>
    </w:p>
    <w:p w14:paraId="29BE49BC">
      <w:pPr>
        <w:pStyle w:val="11"/>
        <w:spacing w:line="500" w:lineRule="exact"/>
        <w:ind w:firstLine="480"/>
        <w:jc w:val="left"/>
        <w:rPr>
          <w:rFonts w:ascii="宋体" w:hAnsi="宋体" w:cs="宋体"/>
          <w:b/>
          <w:bCs/>
          <w:color w:val="auto"/>
          <w:szCs w:val="21"/>
          <w:highlight w:val="none"/>
        </w:rPr>
      </w:pPr>
      <w:r>
        <w:rPr>
          <w:rFonts w:hint="eastAsia" w:ascii="宋体" w:hAnsi="宋体" w:cs="宋体"/>
          <w:b/>
          <w:bCs/>
          <w:color w:val="auto"/>
          <w:szCs w:val="21"/>
          <w:highlight w:val="none"/>
        </w:rPr>
        <w:t>6</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工期要求：自合同签订之日起5个日历天完成初步设计的优化，10个日历天完成施工图设计并通过相关部门的审核；自开工之日起90日历天完成施工并通过验收。</w:t>
      </w:r>
    </w:p>
    <w:p w14:paraId="15256476">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三、一般性要求条件</w:t>
      </w:r>
    </w:p>
    <w:p w14:paraId="7092497D">
      <w:pPr>
        <w:pStyle w:val="4"/>
        <w:spacing w:before="93" w:beforeLines="30" w:after="93" w:afterLines="30" w:line="500" w:lineRule="exact"/>
        <w:ind w:left="0" w:firstLine="482" w:firstLineChars="200"/>
        <w:jc w:val="left"/>
        <w:rPr>
          <w:rFonts w:ascii="宋体" w:hAnsi="宋体" w:cs="宋体"/>
          <w:color w:val="auto"/>
          <w:sz w:val="24"/>
          <w:szCs w:val="24"/>
        </w:rPr>
      </w:pPr>
      <w:r>
        <w:rPr>
          <w:rFonts w:hint="eastAsia" w:ascii="宋体" w:hAnsi="宋体" w:cs="宋体"/>
          <w:color w:val="auto"/>
          <w:sz w:val="24"/>
          <w:szCs w:val="24"/>
        </w:rPr>
        <w:t>1.项目概况</w:t>
      </w:r>
    </w:p>
    <w:p w14:paraId="1048F14E">
      <w:pPr>
        <w:pStyle w:val="5"/>
        <w:spacing w:before="93" w:beforeLines="30" w:after="93" w:afterLines="30" w:line="500" w:lineRule="exact"/>
        <w:ind w:firstLine="422" w:firstLineChars="200"/>
        <w:jc w:val="left"/>
        <w:rPr>
          <w:rFonts w:ascii="宋体" w:hAnsi="宋体" w:eastAsia="宋体" w:cs="宋体"/>
          <w:bCs w:val="0"/>
          <w:color w:val="auto"/>
          <w:sz w:val="21"/>
          <w:szCs w:val="21"/>
        </w:rPr>
      </w:pPr>
      <w:r>
        <w:rPr>
          <w:rFonts w:hint="eastAsia" w:ascii="宋体" w:hAnsi="宋体" w:eastAsia="宋体" w:cs="宋体"/>
          <w:bCs w:val="0"/>
          <w:color w:val="auto"/>
          <w:sz w:val="21"/>
          <w:szCs w:val="21"/>
        </w:rPr>
        <w:t>1.1项目背景</w:t>
      </w:r>
    </w:p>
    <w:p w14:paraId="74807853">
      <w:pPr>
        <w:spacing w:line="500" w:lineRule="exact"/>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滁州西涧湖水厂二车间设计规模10万吨/日、三水厂设计规模</w:t>
      </w:r>
      <w:r>
        <w:rPr>
          <w:rFonts w:ascii="宋体" w:hAnsi="宋体" w:cs="宋体"/>
          <w:color w:val="auto"/>
          <w:kern w:val="0"/>
          <w:szCs w:val="21"/>
          <w:lang w:bidi="ar"/>
        </w:rPr>
        <w:t>15</w:t>
      </w:r>
      <w:r>
        <w:rPr>
          <w:rFonts w:hint="eastAsia" w:ascii="宋体" w:hAnsi="宋体" w:cs="宋体"/>
          <w:color w:val="auto"/>
          <w:kern w:val="0"/>
          <w:szCs w:val="21"/>
          <w:lang w:bidi="ar"/>
        </w:rPr>
        <w:t>万吨</w:t>
      </w:r>
      <w:r>
        <w:rPr>
          <w:rFonts w:ascii="宋体" w:hAnsi="宋体" w:cs="宋体"/>
          <w:color w:val="auto"/>
          <w:kern w:val="0"/>
          <w:szCs w:val="21"/>
          <w:lang w:bidi="ar"/>
        </w:rPr>
        <w:t>/日</w:t>
      </w:r>
      <w:r>
        <w:rPr>
          <w:rFonts w:hint="eastAsia" w:ascii="宋体" w:hAnsi="宋体" w:cs="宋体"/>
          <w:color w:val="auto"/>
          <w:kern w:val="0"/>
          <w:szCs w:val="21"/>
          <w:lang w:bidi="ar"/>
        </w:rPr>
        <w:t>、四水厂设计规模20万吨/日，自来水生产均采用混凝-沉淀-过滤-消毒常规工艺。近年受滁州地区长期干旱、高温等极端天气影响，水厂生产用原水出现季节性高锰酸盐指数、藻类、氨氮异常升高等问题。由于水厂供水设施存在加药种类单一，投加点单一，投药不精确的情况，导致出厂水消毒副产物和高锰酸钾盐指数季节性接近国标限值。</w:t>
      </w:r>
    </w:p>
    <w:p w14:paraId="60F9CA41">
      <w:pPr>
        <w:spacing w:line="500" w:lineRule="exact"/>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为此，特计划实施本工程来解决上述问题，主要包含增加二氧化碳投加工艺、精准加药系统改造、原水新增高锰酸钾复合盐及粉炭投加系统、滤池气浮工艺等。</w:t>
      </w:r>
    </w:p>
    <w:p w14:paraId="5B76CF9A">
      <w:pPr>
        <w:pStyle w:val="5"/>
        <w:spacing w:before="93" w:beforeLines="30" w:after="93" w:afterLines="30" w:line="500" w:lineRule="exact"/>
        <w:ind w:firstLine="422"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1.2改造范围</w:t>
      </w:r>
    </w:p>
    <w:p w14:paraId="16B823DB">
      <w:pPr>
        <w:pStyle w:val="6"/>
        <w:spacing w:before="0" w:after="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1.2.1 水厂精准加药系统改造</w:t>
      </w:r>
    </w:p>
    <w:p w14:paraId="4E15F86B">
      <w:pPr>
        <w:spacing w:line="500" w:lineRule="exact"/>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1、在西涧湖水厂二车间增加流量计、余氯检测设备，将流量计信号发送至中控室，实现主加氯量（依据滤后水流量信号）和投矾量（依据原水流量信号）自动调控；出厂水余氯信号传至PLC控制柜，实现水厂补加氯依据余氯反馈值自动调控。</w:t>
      </w:r>
    </w:p>
    <w:p w14:paraId="2F8054AC">
      <w:pPr>
        <w:spacing w:line="500" w:lineRule="exact"/>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2、西涧湖水厂二车间增加二氧化碳投加系统，实现调整降低原水pH值至合适范围，改善絮凝效果，达到抑制原水藻类滋生，降低出厂水余铝超标风险的目的。</w:t>
      </w:r>
    </w:p>
    <w:p w14:paraId="59ACFF44">
      <w:pPr>
        <w:spacing w:line="500" w:lineRule="exact"/>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3、三水厂增加清水池出水余氯检测设备，将出厂水余氯信号传至PLC控制柜，实现补加氯依据余氯反馈值自动调控。</w:t>
      </w:r>
    </w:p>
    <w:p w14:paraId="34AA6175">
      <w:pPr>
        <w:pStyle w:val="6"/>
        <w:spacing w:before="0" w:after="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 xml:space="preserve">1.2.2 </w:t>
      </w:r>
      <w:bookmarkStart w:id="723" w:name="OLE_LINK4"/>
      <w:r>
        <w:rPr>
          <w:rFonts w:hint="eastAsia" w:ascii="宋体" w:hAnsi="宋体" w:cs="宋体"/>
          <w:color w:val="auto"/>
          <w:sz w:val="21"/>
          <w:szCs w:val="21"/>
        </w:rPr>
        <w:t>西涧湖水厂二车间沉淀池进水管改造</w:t>
      </w:r>
      <w:bookmarkEnd w:id="723"/>
    </w:p>
    <w:p w14:paraId="179CA60E">
      <w:pPr>
        <w:spacing w:line="500" w:lineRule="exact"/>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一二期沉淀池进水不平衡，需将进水管手动蝶阀改装为电动蝶阀，并与水厂内原水流量计联动，实现一二期进水一致。</w:t>
      </w:r>
    </w:p>
    <w:p w14:paraId="5DB01C6E">
      <w:pPr>
        <w:pStyle w:val="5"/>
        <w:spacing w:before="93" w:beforeLines="30" w:after="93" w:afterLines="30"/>
        <w:ind w:firstLine="422" w:firstLineChars="200"/>
        <w:jc w:val="left"/>
        <w:rPr>
          <w:rFonts w:hint="eastAsia" w:ascii="宋体" w:hAnsi="宋体" w:eastAsia="宋体" w:cs="宋体"/>
          <w:bCs w:val="0"/>
          <w:color w:val="auto"/>
          <w:sz w:val="21"/>
          <w:szCs w:val="21"/>
        </w:rPr>
      </w:pPr>
      <w:r>
        <w:rPr>
          <w:rFonts w:hint="eastAsia" w:ascii="宋体" w:hAnsi="宋体" w:cs="宋体"/>
          <w:color w:val="auto"/>
          <w:sz w:val="21"/>
          <w:szCs w:val="21"/>
        </w:rPr>
        <w:t>1.2.3三水厂增加粉炭投加系统</w:t>
      </w:r>
    </w:p>
    <w:p w14:paraId="395006FC">
      <w:pPr>
        <w:spacing w:line="500" w:lineRule="exact"/>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在三水厂进水端增加粉炭投加系统，应对原水嗅味、藻类等水质问题。</w:t>
      </w:r>
    </w:p>
    <w:p w14:paraId="415650B0">
      <w:pPr>
        <w:pStyle w:val="6"/>
        <w:spacing w:before="0" w:after="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1.2.4三水厂取水泵房增加高锰酸钾复合盐及粉炭投加系统</w:t>
      </w:r>
    </w:p>
    <w:p w14:paraId="1F27CE3F">
      <w:pPr>
        <w:spacing w:line="500" w:lineRule="exact"/>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在三水厂取水泵房除增加高锰酸钾复合盐及粉炭投加系统，加强原水预处理，应对原水嗅味、藻类、有机物等水质问题。</w:t>
      </w:r>
    </w:p>
    <w:p w14:paraId="29E733EB">
      <w:pPr>
        <w:pStyle w:val="6"/>
        <w:spacing w:before="0" w:after="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1.2.5 水厂滤池增加气浮工艺</w:t>
      </w:r>
    </w:p>
    <w:p w14:paraId="3157B111">
      <w:pPr>
        <w:spacing w:line="500" w:lineRule="exact"/>
        <w:ind w:firstLine="420" w:firstLineChars="200"/>
        <w:jc w:val="left"/>
        <w:rPr>
          <w:rFonts w:ascii="宋体" w:hAnsi="宋体" w:cs="宋体"/>
          <w:color w:val="auto"/>
          <w:szCs w:val="21"/>
        </w:rPr>
      </w:pPr>
      <w:r>
        <w:rPr>
          <w:rFonts w:hint="eastAsia" w:ascii="宋体" w:hAnsi="宋体" w:eastAsia="宋体" w:cs="宋体"/>
          <w:color w:val="auto"/>
          <w:kern w:val="0"/>
          <w:sz w:val="21"/>
          <w:szCs w:val="21"/>
          <w:lang w:bidi="ar"/>
        </w:rPr>
        <w:t>在西涧湖水厂二车间、三水厂、四水厂的滤池上增加</w:t>
      </w:r>
      <w:r>
        <w:rPr>
          <w:rFonts w:hint="eastAsia" w:ascii="宋体" w:hAnsi="宋体" w:eastAsia="宋体" w:cs="宋体"/>
          <w:color w:val="auto"/>
          <w:sz w:val="21"/>
          <w:szCs w:val="21"/>
        </w:rPr>
        <w:t>压力溶气气浮系统提高</w:t>
      </w:r>
      <w:r>
        <w:rPr>
          <w:rFonts w:hint="eastAsia" w:ascii="宋体" w:hAnsi="宋体" w:cs="宋体"/>
          <w:color w:val="auto"/>
          <w:sz w:val="21"/>
          <w:szCs w:val="21"/>
          <w:lang w:val="en-US" w:eastAsia="zh-CN"/>
        </w:rPr>
        <w:t>工艺</w:t>
      </w:r>
      <w:r>
        <w:rPr>
          <w:rFonts w:hint="eastAsia" w:ascii="宋体" w:hAnsi="宋体" w:eastAsia="宋体" w:cs="宋体"/>
          <w:color w:val="auto"/>
          <w:sz w:val="21"/>
          <w:szCs w:val="21"/>
        </w:rPr>
        <w:t>去除藻类能力</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改善滤池水质环境</w:t>
      </w:r>
      <w:r>
        <w:rPr>
          <w:rFonts w:hint="eastAsia" w:ascii="宋体" w:hAnsi="宋体" w:cs="宋体"/>
          <w:color w:val="auto"/>
          <w:szCs w:val="21"/>
        </w:rPr>
        <w:t>。</w:t>
      </w:r>
    </w:p>
    <w:p w14:paraId="1C3148DE">
      <w:pPr>
        <w:pStyle w:val="5"/>
        <w:spacing w:before="93" w:beforeLines="30" w:after="93" w:afterLines="30" w:line="500" w:lineRule="exact"/>
        <w:ind w:firstLine="422"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1.3 改造目标</w:t>
      </w:r>
    </w:p>
    <w:p w14:paraId="79B3CBBB">
      <w:pPr>
        <w:spacing w:line="500" w:lineRule="exact"/>
        <w:ind w:firstLine="420" w:firstLineChars="200"/>
        <w:jc w:val="left"/>
        <w:rPr>
          <w:rFonts w:ascii="宋体" w:hAnsi="宋体" w:cs="宋体"/>
          <w:color w:val="auto"/>
          <w:szCs w:val="21"/>
        </w:rPr>
      </w:pPr>
      <w:r>
        <w:rPr>
          <w:rFonts w:hint="eastAsia" w:ascii="宋体" w:hAnsi="宋体" w:cs="宋体"/>
          <w:bCs/>
          <w:color w:val="auto"/>
          <w:szCs w:val="21"/>
        </w:rPr>
        <w:t>通过完善水厂现状工艺，提高水厂对原水藻类、有机物等污染物的去除效率；实现加药过程的精准控制，提高消毒效果，减少生产药剂消耗，降低消毒副产物、余铝等指标超标风险，提升水厂原水水质突变应对能力，确保出厂水稳定达标。</w:t>
      </w:r>
    </w:p>
    <w:p w14:paraId="085C574F">
      <w:pPr>
        <w:pStyle w:val="4"/>
        <w:spacing w:before="93" w:beforeLines="30" w:after="93" w:afterLines="30" w:line="500" w:lineRule="exact"/>
        <w:ind w:left="0" w:firstLine="482" w:firstLineChars="200"/>
        <w:jc w:val="left"/>
        <w:rPr>
          <w:rFonts w:hint="eastAsia" w:ascii="宋体" w:hAnsi="宋体" w:cs="宋体"/>
          <w:color w:val="auto"/>
          <w:sz w:val="24"/>
          <w:szCs w:val="24"/>
        </w:rPr>
      </w:pPr>
      <w:bookmarkStart w:id="724" w:name="_Toc192433722"/>
      <w:bookmarkStart w:id="725" w:name="_Toc436668571"/>
      <w:r>
        <w:rPr>
          <w:rFonts w:hint="eastAsia" w:ascii="宋体" w:hAnsi="宋体" w:cs="宋体"/>
          <w:color w:val="auto"/>
          <w:sz w:val="24"/>
          <w:szCs w:val="24"/>
        </w:rPr>
        <w:t>2.工程范围</w:t>
      </w:r>
    </w:p>
    <w:p w14:paraId="43960F56">
      <w:pPr>
        <w:pStyle w:val="5"/>
        <w:spacing w:before="93" w:beforeLines="30" w:after="93" w:afterLines="30" w:line="500" w:lineRule="exact"/>
        <w:ind w:firstLine="422" w:firstLineChars="200"/>
        <w:jc w:val="left"/>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2.1设计阶段 </w:t>
      </w:r>
    </w:p>
    <w:p w14:paraId="4AE69A9B">
      <w:p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2.2.1</w:t>
      </w:r>
      <w:r>
        <w:rPr>
          <w:rFonts w:hint="eastAsia" w:ascii="宋体" w:hAnsi="宋体" w:cs="宋体"/>
          <w:color w:val="auto"/>
          <w:szCs w:val="21"/>
        </w:rPr>
        <w:t>完成初步设计的优化，</w:t>
      </w:r>
      <w:r>
        <w:rPr>
          <w:rFonts w:ascii="宋体" w:hAnsi="宋体" w:cs="宋体"/>
          <w:color w:val="auto"/>
          <w:szCs w:val="21"/>
        </w:rPr>
        <w:t>10个日历天完成施工图设计并通过相关部门的审核</w:t>
      </w:r>
      <w:r>
        <w:rPr>
          <w:rFonts w:hint="eastAsia" w:ascii="宋体" w:hAnsi="宋体" w:cs="宋体"/>
          <w:color w:val="auto"/>
          <w:szCs w:val="21"/>
        </w:rPr>
        <w:t>。</w:t>
      </w:r>
    </w:p>
    <w:p w14:paraId="4823E6D0">
      <w:pPr>
        <w:pStyle w:val="5"/>
        <w:spacing w:before="93" w:beforeLines="30" w:after="93" w:afterLines="30" w:line="500" w:lineRule="exact"/>
        <w:ind w:firstLine="422" w:firstLineChars="200"/>
        <w:jc w:val="left"/>
        <w:rPr>
          <w:rFonts w:ascii="宋体" w:hAnsi="宋体" w:eastAsia="宋体" w:cs="宋体"/>
          <w:bCs w:val="0"/>
          <w:color w:val="auto"/>
          <w:sz w:val="21"/>
          <w:szCs w:val="21"/>
        </w:rPr>
      </w:pPr>
      <w:r>
        <w:rPr>
          <w:rFonts w:hint="eastAsia" w:ascii="宋体" w:hAnsi="宋体" w:eastAsia="宋体" w:cs="宋体"/>
          <w:bCs w:val="0"/>
          <w:color w:val="auto"/>
          <w:sz w:val="21"/>
          <w:szCs w:val="21"/>
        </w:rPr>
        <w:t>2.2 采购阶段</w:t>
      </w:r>
    </w:p>
    <w:p w14:paraId="65B4D057">
      <w:p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2.2.1</w:t>
      </w:r>
      <w:r>
        <w:rPr>
          <w:rFonts w:hint="eastAsia" w:ascii="宋体" w:hAnsi="宋体" w:cs="宋体"/>
          <w:color w:val="auto"/>
          <w:szCs w:val="21"/>
        </w:rPr>
        <w:t>采购符合技术要求的气浮系统设备、加药设备、在线监测设备及相关配套材料。</w:t>
      </w:r>
    </w:p>
    <w:p w14:paraId="50AA89FD">
      <w:p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2.2.2</w:t>
      </w:r>
      <w:r>
        <w:rPr>
          <w:rFonts w:hint="eastAsia" w:ascii="宋体" w:hAnsi="宋体" w:cs="宋体"/>
          <w:color w:val="auto"/>
          <w:szCs w:val="21"/>
        </w:rPr>
        <w:t>确保设备采购渠道合法，质量可靠，提供设备的合格证明文件和质量检测报告。</w:t>
      </w:r>
    </w:p>
    <w:p w14:paraId="5F750596">
      <w:p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2.2.3</w:t>
      </w:r>
      <w:r>
        <w:rPr>
          <w:rFonts w:hint="eastAsia" w:ascii="宋体" w:hAnsi="宋体" w:cs="宋体"/>
          <w:color w:val="auto"/>
          <w:szCs w:val="21"/>
        </w:rPr>
        <w:t>负责设备的运输、装卸和现场保管工作，确保设备安全到达施工现场。</w:t>
      </w:r>
    </w:p>
    <w:p w14:paraId="6E4E912C">
      <w:pPr>
        <w:pStyle w:val="5"/>
        <w:spacing w:before="93" w:beforeLines="30" w:after="93" w:afterLines="30" w:line="500" w:lineRule="exact"/>
        <w:ind w:firstLine="422" w:firstLineChars="200"/>
        <w:jc w:val="left"/>
        <w:rPr>
          <w:rFonts w:ascii="宋体" w:hAnsi="宋体" w:eastAsia="宋体" w:cs="宋体"/>
          <w:bCs w:val="0"/>
          <w:color w:val="auto"/>
          <w:sz w:val="21"/>
          <w:szCs w:val="21"/>
        </w:rPr>
      </w:pPr>
      <w:r>
        <w:rPr>
          <w:rFonts w:hint="eastAsia" w:ascii="宋体" w:hAnsi="宋体" w:eastAsia="宋体" w:cs="宋体"/>
          <w:bCs w:val="0"/>
          <w:color w:val="auto"/>
          <w:sz w:val="21"/>
          <w:szCs w:val="21"/>
        </w:rPr>
        <w:t>2.3施工阶段</w:t>
      </w:r>
    </w:p>
    <w:p w14:paraId="1643EFE2">
      <w:pPr>
        <w:numPr>
          <w:ilvl w:val="-1"/>
          <w:numId w:val="0"/>
        </w:num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2.3.1</w:t>
      </w:r>
      <w:r>
        <w:rPr>
          <w:rFonts w:hint="eastAsia" w:ascii="宋体" w:hAnsi="宋体" w:cs="宋体"/>
          <w:color w:val="auto"/>
          <w:szCs w:val="21"/>
        </w:rPr>
        <w:t>按照设计文件和施工规范进行施工，包括土建工程、设备安装调试、电气系统施工等。</w:t>
      </w:r>
    </w:p>
    <w:p w14:paraId="7B8B1596">
      <w:pPr>
        <w:numPr>
          <w:ilvl w:val="-1"/>
          <w:numId w:val="0"/>
        </w:num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2.3.2</w:t>
      </w:r>
      <w:r>
        <w:rPr>
          <w:rFonts w:hint="eastAsia" w:ascii="宋体" w:hAnsi="宋体" w:cs="宋体"/>
          <w:color w:val="auto"/>
          <w:szCs w:val="21"/>
        </w:rPr>
        <w:t>施工过程中应严格遵守安全生产规定，确保施工人员和设备的安全。</w:t>
      </w:r>
    </w:p>
    <w:p w14:paraId="5BE16522">
      <w:pPr>
        <w:numPr>
          <w:ilvl w:val="-1"/>
          <w:numId w:val="0"/>
        </w:num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2.3.3</w:t>
      </w:r>
      <w:r>
        <w:rPr>
          <w:rFonts w:hint="eastAsia" w:ascii="宋体" w:hAnsi="宋体" w:cs="宋体"/>
          <w:color w:val="auto"/>
          <w:szCs w:val="21"/>
        </w:rPr>
        <w:t>对施工质量进行全程监控，确保工程质量符合设计要求和相关标准。</w:t>
      </w:r>
    </w:p>
    <w:p w14:paraId="316730EE">
      <w:pPr>
        <w:pStyle w:val="5"/>
        <w:spacing w:before="93" w:beforeLines="30" w:after="93" w:afterLines="30" w:line="500" w:lineRule="exact"/>
        <w:ind w:firstLine="422" w:firstLineChars="200"/>
        <w:jc w:val="left"/>
        <w:rPr>
          <w:rFonts w:ascii="宋体" w:hAnsi="宋体" w:eastAsia="宋体" w:cs="宋体"/>
          <w:bCs w:val="0"/>
          <w:color w:val="auto"/>
          <w:sz w:val="21"/>
          <w:szCs w:val="21"/>
        </w:rPr>
      </w:pPr>
      <w:r>
        <w:rPr>
          <w:rFonts w:hint="eastAsia" w:ascii="宋体" w:hAnsi="宋体" w:eastAsia="宋体" w:cs="宋体"/>
          <w:bCs w:val="0"/>
          <w:color w:val="auto"/>
          <w:sz w:val="21"/>
          <w:szCs w:val="21"/>
        </w:rPr>
        <w:t>2.4调试与验收阶段</w:t>
      </w:r>
    </w:p>
    <w:p w14:paraId="5A45AC65">
      <w:pPr>
        <w:numPr>
          <w:ilvl w:val="-1"/>
          <w:numId w:val="0"/>
        </w:num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2.4.1</w:t>
      </w:r>
      <w:r>
        <w:rPr>
          <w:rFonts w:hint="eastAsia" w:ascii="宋体" w:hAnsi="宋体" w:cs="宋体"/>
          <w:color w:val="auto"/>
          <w:szCs w:val="21"/>
        </w:rPr>
        <w:t>对改造后的滤池气浮系统、加药系统和自控系统进行调试运行，确保系统运行稳定，各项指标达到设计要求。</w:t>
      </w:r>
    </w:p>
    <w:p w14:paraId="06468CD3">
      <w:pPr>
        <w:numPr>
          <w:ilvl w:val="-1"/>
          <w:numId w:val="0"/>
        </w:num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2.4.2</w:t>
      </w:r>
      <w:r>
        <w:rPr>
          <w:rFonts w:hint="eastAsia" w:ascii="宋体" w:hAnsi="宋体" w:cs="宋体"/>
          <w:color w:val="auto"/>
          <w:szCs w:val="21"/>
        </w:rPr>
        <w:t>配合业主进行工程验收，提供完整的竣工资料，包括施工记录、设备调试报告、验收报告等。</w:t>
      </w:r>
    </w:p>
    <w:p w14:paraId="24C31371">
      <w:pPr>
        <w:numPr>
          <w:ilvl w:val="-1"/>
          <w:numId w:val="0"/>
        </w:num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2.4.3</w:t>
      </w:r>
      <w:r>
        <w:rPr>
          <w:rFonts w:hint="eastAsia" w:ascii="宋体" w:hAnsi="宋体" w:cs="宋体"/>
          <w:color w:val="auto"/>
          <w:szCs w:val="21"/>
        </w:rPr>
        <w:t>对业主相关人员进行技术培训，确保其掌握系统的操作和维护方法</w:t>
      </w:r>
    </w:p>
    <w:p w14:paraId="16301CD6">
      <w:pPr>
        <w:pStyle w:val="4"/>
        <w:spacing w:before="0" w:beforeLines="0" w:after="0" w:afterLines="0" w:line="50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3.设计</w:t>
      </w:r>
      <w:bookmarkEnd w:id="724"/>
      <w:bookmarkEnd w:id="725"/>
      <w:r>
        <w:rPr>
          <w:rFonts w:hint="eastAsia" w:ascii="宋体" w:hAnsi="宋体" w:cs="宋体"/>
          <w:color w:val="auto"/>
          <w:sz w:val="24"/>
          <w:szCs w:val="24"/>
        </w:rPr>
        <w:t>要求</w:t>
      </w:r>
    </w:p>
    <w:p w14:paraId="72228E67">
      <w:pPr>
        <w:pStyle w:val="5"/>
        <w:spacing w:before="0" w:beforeLines="0" w:after="0" w:afterLines="0" w:line="500" w:lineRule="exact"/>
        <w:ind w:firstLine="422" w:firstLineChars="200"/>
        <w:rPr>
          <w:rFonts w:ascii="宋体" w:hAnsi="宋体" w:eastAsia="宋体" w:cs="宋体"/>
          <w:bCs w:val="0"/>
          <w:color w:val="auto"/>
          <w:sz w:val="21"/>
          <w:szCs w:val="21"/>
        </w:rPr>
      </w:pPr>
      <w:bookmarkStart w:id="726" w:name="_Toc436668572"/>
      <w:bookmarkStart w:id="727" w:name="_Toc192433723"/>
      <w:r>
        <w:rPr>
          <w:rFonts w:hint="eastAsia" w:ascii="宋体" w:hAnsi="宋体" w:eastAsia="宋体" w:cs="宋体"/>
          <w:bCs w:val="0"/>
          <w:color w:val="auto"/>
          <w:sz w:val="21"/>
          <w:szCs w:val="21"/>
        </w:rPr>
        <w:t>3.1</w:t>
      </w:r>
      <w:bookmarkEnd w:id="726"/>
      <w:r>
        <w:rPr>
          <w:rFonts w:hint="eastAsia" w:ascii="宋体" w:hAnsi="宋体" w:eastAsia="宋体" w:cs="宋体"/>
          <w:bCs w:val="0"/>
          <w:color w:val="auto"/>
          <w:sz w:val="21"/>
          <w:szCs w:val="21"/>
        </w:rPr>
        <w:t xml:space="preserve"> 水厂精准加药系统改造</w:t>
      </w:r>
      <w:bookmarkEnd w:id="727"/>
    </w:p>
    <w:p w14:paraId="5883879D">
      <w:pPr>
        <w:pStyle w:val="5"/>
        <w:spacing w:before="0" w:beforeLines="0" w:after="0" w:afterLines="0" w:line="500" w:lineRule="exact"/>
        <w:ind w:firstLine="422" w:firstLineChars="200"/>
        <w:rPr>
          <w:rFonts w:ascii="宋体" w:hAnsi="宋体" w:eastAsia="宋体" w:cs="宋体"/>
          <w:bCs w:val="0"/>
          <w:color w:val="auto"/>
          <w:sz w:val="21"/>
          <w:szCs w:val="21"/>
        </w:rPr>
      </w:pPr>
      <w:r>
        <w:rPr>
          <w:rFonts w:hint="eastAsia" w:ascii="宋体" w:hAnsi="宋体" w:eastAsia="宋体" w:cs="宋体"/>
          <w:bCs w:val="0"/>
          <w:color w:val="auto"/>
          <w:sz w:val="21"/>
          <w:szCs w:val="21"/>
        </w:rPr>
        <w:t>3.1.1流量计、余氯分析仪等的设计</w:t>
      </w:r>
    </w:p>
    <w:p w14:paraId="61DF6C02">
      <w:pPr>
        <w:numPr>
          <w:ilvl w:val="-1"/>
          <w:numId w:val="0"/>
        </w:num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选型要求</w:t>
      </w:r>
    </w:p>
    <w:p w14:paraId="7CF42791">
      <w:pPr>
        <w:pStyle w:val="53"/>
        <w:spacing w:beforeLines="0" w:afterLines="0" w:line="500" w:lineRule="exact"/>
        <w:ind w:firstLine="422" w:firstLineChars="200"/>
        <w:jc w:val="left"/>
        <w:rPr>
          <w:rFonts w:ascii="宋体" w:hAnsi="宋体"/>
          <w:b w:val="0"/>
          <w:bCs/>
          <w:color w:val="auto"/>
          <w:szCs w:val="21"/>
        </w:rPr>
      </w:pPr>
      <w:r>
        <w:rPr>
          <w:rFonts w:hint="eastAsia" w:ascii="宋体" w:hAnsi="宋体"/>
          <w:color w:val="auto"/>
          <w:szCs w:val="21"/>
        </w:rPr>
        <w:t xml:space="preserve">   </w:t>
      </w:r>
      <w:r>
        <w:rPr>
          <w:rFonts w:hint="eastAsia" w:ascii="宋体" w:hAnsi="宋体"/>
          <w:b w:val="0"/>
          <w:bCs/>
          <w:color w:val="auto"/>
          <w:szCs w:val="21"/>
        </w:rPr>
        <w:t>应选择适合水厂现状工艺流程和水质特性的流量计类型，流量计的量程范围应覆盖车间正常运行流量以及可能出现的高峰和低谷流量，确保在不同工况下都能准确测量。精度要求不低于±1%，以保证流量信号的准确性，为加氯量的精准调控提供可靠依据。</w:t>
      </w:r>
    </w:p>
    <w:p w14:paraId="0CCB56AB">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应选择在线式余氯检测仪，能够实时、连续地监测出厂水中的余氯含量。检测仪的测量范围应覆盖水厂出厂水余氯的正常范围以及可能出现的波动范围，一般为0 - 5mg/L。精度要求不低于±0.1mg/L，以确保余氯反馈值的准确性，为补加氯的调控提供可靠依据。</w:t>
      </w:r>
    </w:p>
    <w:p w14:paraId="5FFE10B9">
      <w:pPr>
        <w:pStyle w:val="53"/>
        <w:numPr>
          <w:ilvl w:val="-1"/>
          <w:numId w:val="0"/>
        </w:numPr>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lang w:val="en-US" w:eastAsia="zh-CN"/>
        </w:rPr>
        <w:t>2）</w:t>
      </w:r>
      <w:r>
        <w:rPr>
          <w:rFonts w:hint="eastAsia" w:ascii="宋体" w:hAnsi="宋体"/>
          <w:b w:val="0"/>
          <w:bCs/>
          <w:color w:val="auto"/>
          <w:szCs w:val="21"/>
        </w:rPr>
        <w:t>安装要求</w:t>
      </w:r>
    </w:p>
    <w:p w14:paraId="0A1D640F">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流量计安装位置应选择在水流稳定、无涡流的直管段，以减少管道内流体流动状态对测量结果的影响。流量计应水平安装，且保证管道内充满液体，避免因液体不满管导致测量误差。安装时需考虑便于维护和检修，周围应留有足够的空间，便于拆卸和校准。</w:t>
      </w:r>
    </w:p>
    <w:p w14:paraId="74882B60">
      <w:pPr>
        <w:pStyle w:val="53"/>
        <w:spacing w:beforeLines="0" w:afterLines="0" w:line="500" w:lineRule="exact"/>
        <w:ind w:left="61" w:leftChars="29" w:firstLine="420" w:firstLineChars="200"/>
        <w:jc w:val="both"/>
        <w:rPr>
          <w:rFonts w:ascii="宋体" w:hAnsi="宋体"/>
          <w:b w:val="0"/>
          <w:bCs/>
          <w:color w:val="auto"/>
          <w:szCs w:val="21"/>
        </w:rPr>
      </w:pPr>
      <w:r>
        <w:rPr>
          <w:rFonts w:hint="eastAsia" w:ascii="宋体" w:hAnsi="宋体"/>
          <w:b w:val="0"/>
          <w:bCs/>
          <w:color w:val="auto"/>
          <w:szCs w:val="21"/>
        </w:rPr>
        <w:t>余氯分析仪安装位置应选择在出厂水管道的合适位置，确保所测量的余氯值能够代表补加氯后出厂水的余氯水平。余氯检测仪的取样点应设置在水流平稳、无气泡和杂质干扰的位置，避免因取样不准确导致测量误差。安装时需考虑便于取样和维护，周围应留有足够的空间，便于清洁和更换传感器。</w:t>
      </w:r>
    </w:p>
    <w:p w14:paraId="6F66F4CD">
      <w:pPr>
        <w:pStyle w:val="53"/>
        <w:numPr>
          <w:ilvl w:val="-1"/>
          <w:numId w:val="0"/>
        </w:numPr>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lang w:val="en-US" w:eastAsia="zh-CN"/>
        </w:rPr>
        <w:t>3）</w:t>
      </w:r>
      <w:r>
        <w:rPr>
          <w:rFonts w:hint="eastAsia" w:ascii="宋体" w:hAnsi="宋体"/>
          <w:b w:val="0"/>
          <w:bCs/>
          <w:color w:val="auto"/>
          <w:szCs w:val="21"/>
        </w:rPr>
        <w:t>信号传输要求</w:t>
      </w:r>
    </w:p>
    <w:p w14:paraId="3F7AE58F">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流量计应具备标准的数字信号输出（如Modbus协议），以便将流量信号稳定、准确地传输至中控室。 信号传输线路应采用屏蔽电缆，避免受到外界电磁干扰，确保信号传输的稳定性。在信号传输过程中，应设置信号中继设备（如信号放大器），以保证长距离传输时信号不失真。</w:t>
      </w:r>
    </w:p>
    <w:p w14:paraId="5C71C98C">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余氯检测仪应具备标准的数字信号输出，以便将余氯信号稳定、准确地传输至PLC控制柜。信号传输线路同样应采用屏蔽电缆，避免受到外界干扰。在信号传输过程中，也应设置信号中继设备，确保信号的稳定传输。</w:t>
      </w:r>
    </w:p>
    <w:p w14:paraId="1F72A0D5">
      <w:pPr>
        <w:pStyle w:val="53"/>
        <w:spacing w:beforeLines="0" w:afterLines="0" w:line="500" w:lineRule="exact"/>
        <w:ind w:left="0" w:firstLine="420" w:firstLineChars="200"/>
        <w:jc w:val="both"/>
        <w:rPr>
          <w:rFonts w:ascii="宋体" w:hAnsi="宋体"/>
          <w:b w:val="0"/>
          <w:bCs/>
          <w:color w:val="auto"/>
          <w:szCs w:val="21"/>
        </w:rPr>
      </w:pPr>
      <w:r>
        <w:rPr>
          <w:rFonts w:hint="eastAsia" w:ascii="宋体" w:hAnsi="宋体"/>
          <w:b w:val="0"/>
          <w:bCs/>
          <w:color w:val="auto"/>
          <w:szCs w:val="21"/>
          <w:lang w:val="en-US" w:eastAsia="zh-CN"/>
        </w:rPr>
        <w:t>4）</w:t>
      </w:r>
      <w:r>
        <w:rPr>
          <w:rFonts w:hint="eastAsia" w:ascii="宋体" w:hAnsi="宋体"/>
          <w:b w:val="0"/>
          <w:bCs/>
          <w:color w:val="auto"/>
          <w:szCs w:val="21"/>
        </w:rPr>
        <w:t>自控集成要求</w:t>
      </w:r>
    </w:p>
    <w:p w14:paraId="6218CC15">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流量计的信号接入中控室的DCS（分布式控制系统）或PLC（可编程逻辑控制器）系统，实现数据的实时采集和显示。中控室应具备流量信号的实时监测功能，能够显示瞬时流量、累计流量等参数，并设置流量报警阈值，当流量异常时及时发出警报。根据流量信号，中控室应能够自动调控主加氯设备的加氯量，实现加氯量与流量的联动控制，确保加氯量与水量成正比，保障出厂水水质。</w:t>
      </w:r>
    </w:p>
    <w:p w14:paraId="40454E65">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出厂水余氯信号接入PLC控制柜，PLC根据设定的余氯控制范围和反馈值，自动调控水厂的补加氯设备，实现余氯的闭环控制。 PLC应具备余氯信号的实时监测功能，能够显示当前余氯值，并设置余氯报警阈值，当余氯过高或过低时及时发出警报。PLC控制逻辑应合理，能够根据余氯反馈值的变化，及时调整补加氯量，确保出厂水余氯在规定的范围内，保障供水水质安全。</w:t>
      </w:r>
    </w:p>
    <w:p w14:paraId="3E58E0DD">
      <w:pPr>
        <w:pStyle w:val="53"/>
        <w:numPr>
          <w:ilvl w:val="255"/>
          <w:numId w:val="0"/>
        </w:numPr>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5</w:t>
      </w:r>
      <w:r>
        <w:rPr>
          <w:rFonts w:hint="eastAsia" w:ascii="宋体" w:hAnsi="宋体"/>
          <w:b w:val="0"/>
          <w:bCs/>
          <w:color w:val="auto"/>
          <w:szCs w:val="21"/>
          <w:lang w:eastAsia="zh-CN"/>
        </w:rPr>
        <w:t>）</w:t>
      </w:r>
      <w:r>
        <w:rPr>
          <w:rFonts w:hint="eastAsia" w:ascii="宋体" w:hAnsi="宋体"/>
          <w:b w:val="0"/>
          <w:bCs/>
          <w:color w:val="auto"/>
          <w:szCs w:val="21"/>
        </w:rPr>
        <w:t>整体设计要求</w:t>
      </w:r>
    </w:p>
    <w:p w14:paraId="17AE0428">
      <w:pPr>
        <w:pStyle w:val="53"/>
        <w:numPr>
          <w:ilvl w:val="0"/>
          <w:numId w:val="4"/>
        </w:numPr>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设备兼容性要求</w:t>
      </w:r>
    </w:p>
    <w:p w14:paraId="57455452">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 xml:space="preserve"> 流量计、余氯检测设备以及PLC控制柜等设备之间应具备良好的兼容性，能够无缝集成到现有的水厂自动化控制系统中。设备的通信协议应统一，便于数据的交互和共享。</w:t>
      </w:r>
    </w:p>
    <w:p w14:paraId="049C41AD">
      <w:pPr>
        <w:pStyle w:val="53"/>
        <w:numPr>
          <w:ilvl w:val="0"/>
          <w:numId w:val="4"/>
        </w:numPr>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系统稳定性要求</w:t>
      </w:r>
    </w:p>
    <w:p w14:paraId="3B32BFE5">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整个系统应具备高稳定性，设备在运行过程中应能够长期稳定工作，故障率低。应设置备用设备或冗余设计，当主设备出现故障时，备用设备能够及时切换，确保系统的正常运行。</w:t>
      </w:r>
    </w:p>
    <w:p w14:paraId="20B01E49">
      <w:pPr>
        <w:pStyle w:val="53"/>
        <w:numPr>
          <w:ilvl w:val="0"/>
          <w:numId w:val="4"/>
        </w:numPr>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数据安全与记录要求</w:t>
      </w:r>
    </w:p>
    <w:p w14:paraId="312E398B">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系统应具备数据存储功能，能够记录流量和余氯的历史数据，便于后续的数据分析和故障排查。数据存储应具备安全性，防止数据丢失或被篡改。</w:t>
      </w:r>
    </w:p>
    <w:p w14:paraId="218064D5">
      <w:pPr>
        <w:pStyle w:val="53"/>
        <w:numPr>
          <w:ilvl w:val="0"/>
          <w:numId w:val="4"/>
        </w:numPr>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操作与维护要求</w:t>
      </w:r>
    </w:p>
    <w:p w14:paraId="4E17703D">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系统应具备简单易用的操作界面，操作人员能够方便地进行参数设置、设备监控和报警处理。设备应具备完善的维护手册和操作说明，便于维护人员进行日常维护和故障排除。</w:t>
      </w:r>
    </w:p>
    <w:p w14:paraId="402D48A9">
      <w:pPr>
        <w:pStyle w:val="5"/>
        <w:spacing w:before="0" w:beforeLines="0" w:after="0" w:afterLines="0" w:line="500" w:lineRule="exact"/>
        <w:ind w:firstLine="422" w:firstLineChars="200"/>
        <w:rPr>
          <w:rFonts w:ascii="宋体" w:hAnsi="宋体" w:eastAsia="宋体" w:cs="宋体"/>
          <w:bCs w:val="0"/>
          <w:color w:val="auto"/>
          <w:sz w:val="21"/>
          <w:szCs w:val="21"/>
        </w:rPr>
      </w:pPr>
      <w:r>
        <w:rPr>
          <w:rFonts w:hint="eastAsia" w:ascii="宋体" w:hAnsi="宋体" w:eastAsia="宋体" w:cs="宋体"/>
          <w:bCs w:val="0"/>
          <w:color w:val="auto"/>
          <w:sz w:val="21"/>
          <w:szCs w:val="21"/>
        </w:rPr>
        <w:t>3.1.2二氧化碳投加系统的设计</w:t>
      </w:r>
    </w:p>
    <w:p w14:paraId="2524667B">
      <w:p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rPr>
        <w:t>系统及投加方式要求</w:t>
      </w:r>
    </w:p>
    <w:p w14:paraId="445C296D">
      <w:p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rPr>
        <w:t xml:space="preserve">应包括储存系统、投加装置、监测与控制系统等并实现自动调控。采用“液-液”投加方式，即二氧化碳与水混合形成碳酸溶液后再投加，二氧化碳利用率应不低于97%。 </w:t>
      </w:r>
    </w:p>
    <w:p w14:paraId="459EE5F0">
      <w:p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投加量与压力要求</w:t>
      </w:r>
    </w:p>
    <w:p w14:paraId="1209B1A3">
      <w:p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rPr>
        <w:t>设计投加量应满足水厂设计规模和pH值调节需求，确保在最大生产规模（按5500立方/小时计算）和最不利水质条件（原水pH值为8.5）下正常工作。供气压力应高于投加点处的水压，防止水倒流进入二氧化碳投加装置。</w:t>
      </w:r>
    </w:p>
    <w:p w14:paraId="4B69A2C2">
      <w:pPr>
        <w:spacing w:beforeLines="0" w:afterLines="0" w:line="500" w:lineRule="exact"/>
        <w:ind w:left="0"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 xml:space="preserve">安全性要求 </w:t>
      </w:r>
    </w:p>
    <w:p w14:paraId="71D73AC6">
      <w:p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rPr>
        <w:t>储存系统安装位置应符合当地法规，避免对周边环境产生影响。 固定式储罐应置于室外，四周设防护栏杆，预留槽车通行空间；钢瓶应置于室内，避免暴晒和加热，室内需配备通风系统；二氧化碳储存和投加设备放置点应设有高位新鲜空气进口和低位排出口。</w:t>
      </w:r>
    </w:p>
    <w:p w14:paraId="5F5ED970">
      <w:p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rPr>
        <w:t>储存系统应设有防泄漏措施，室内安装二氧化碳泄漏检测仪，报警值设置为日平均0.1%，瞬时0.5%。与二氧化碳接触的管件、阀门等应耐压防腐，优先选用不锈钢材质。系统应设有过压保护措施，防止设备损坏或安全事故。</w:t>
      </w:r>
    </w:p>
    <w:p w14:paraId="0BF4AF89">
      <w:pPr>
        <w:spacing w:beforeLines="0" w:afterLines="0"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控制与监测要求</w:t>
      </w:r>
    </w:p>
    <w:p w14:paraId="240DDD68">
      <w:p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rPr>
        <w:t>通过设定目标pH值自动调整投加量，手动控制用于自动系统故障时。pH值调节精度控制在±0.1以内，pH值稳定时间宜小于30分钟。 二氧化碳投加流量控反应时间为1秒至4秒。</w:t>
      </w:r>
    </w:p>
    <w:p w14:paraId="107F7CD4">
      <w:p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rPr>
        <w:t>在原水、投加后沉淀池进水处、出厂水处设置在线pH监测点。采用数据库技术管理监测数据，存储监测点编号、参数及时间点等信息。 系统应具备数据备份功能，历史数据定期备份存档。 监测设备应具备故障报警及自动保护功能。当二氧化碳不足或泄漏时，设备应在20秒内自动停止运行并报警。</w:t>
      </w:r>
    </w:p>
    <w:p w14:paraId="0D64CB3A">
      <w:pPr>
        <w:pStyle w:val="5"/>
        <w:spacing w:before="0" w:beforeLines="0" w:after="0" w:afterLines="0" w:line="500" w:lineRule="exact"/>
        <w:ind w:firstLine="422" w:firstLineChars="200"/>
        <w:rPr>
          <w:rFonts w:ascii="宋体" w:hAnsi="宋体" w:eastAsia="宋体" w:cs="宋体"/>
          <w:bCs w:val="0"/>
          <w:color w:val="auto"/>
          <w:sz w:val="21"/>
          <w:szCs w:val="21"/>
        </w:rPr>
      </w:pPr>
      <w:bookmarkStart w:id="728" w:name="_Toc192433724"/>
      <w:r>
        <w:rPr>
          <w:rFonts w:hint="eastAsia" w:ascii="宋体" w:hAnsi="宋体" w:eastAsia="宋体" w:cs="宋体"/>
          <w:bCs w:val="0"/>
          <w:color w:val="auto"/>
          <w:sz w:val="21"/>
          <w:szCs w:val="21"/>
        </w:rPr>
        <w:t>3.2 西涧湖水厂二车间沉淀池进水管改造</w:t>
      </w:r>
      <w:bookmarkEnd w:id="728"/>
    </w:p>
    <w:p w14:paraId="0568F0EC">
      <w:pPr>
        <w:spacing w:beforeLines="0" w:afterLines="0" w:line="500" w:lineRule="exact"/>
        <w:ind w:firstLine="420" w:firstLineChars="200"/>
        <w:jc w:val="both"/>
        <w:rPr>
          <w:color w:val="auto"/>
        </w:rPr>
      </w:pPr>
      <w:r>
        <w:rPr>
          <w:rFonts w:hint="eastAsia" w:ascii="宋体" w:hAnsi="宋体" w:cs="宋体"/>
          <w:color w:val="auto"/>
          <w:szCs w:val="21"/>
        </w:rPr>
        <w:t>现状取水泵房至絮凝池2根DN900原水管，由于路由长度不同，管道水损不一，导致进出2格沉淀池水量不一致。要求设计将折板絮凝池原水管上现状手动蝶阀改为电动蝶阀，依据原水流量信号调整阀门开度，保证两边絮凝池进水量一致。</w:t>
      </w:r>
    </w:p>
    <w:p w14:paraId="59DA73C6">
      <w:pPr>
        <w:pStyle w:val="53"/>
        <w:spacing w:beforeLines="0" w:afterLines="0" w:line="500" w:lineRule="exact"/>
        <w:ind w:firstLine="422" w:firstLineChars="200"/>
        <w:jc w:val="left"/>
        <w:rPr>
          <w:rFonts w:ascii="宋体" w:hAnsi="宋体"/>
          <w:b w:val="0"/>
          <w:bCs/>
          <w:color w:val="auto"/>
          <w:szCs w:val="21"/>
        </w:rPr>
      </w:pPr>
      <w:r>
        <w:rPr>
          <w:rFonts w:hint="eastAsia"/>
          <w:color w:val="auto"/>
        </w:rPr>
        <w:t xml:space="preserve"> </w:t>
      </w:r>
      <w:r>
        <w:rPr>
          <w:rFonts w:hint="eastAsia" w:ascii="宋体" w:hAnsi="宋体"/>
          <w:color w:val="auto"/>
          <w:szCs w:val="21"/>
        </w:rPr>
        <w:t xml:space="preserve"> </w:t>
      </w:r>
      <w:r>
        <w:rPr>
          <w:rFonts w:hint="eastAsia" w:ascii="宋体" w:hAnsi="宋体"/>
          <w:b w:val="0"/>
          <w:bCs/>
          <w:color w:val="auto"/>
          <w:szCs w:val="21"/>
        </w:rPr>
        <w:t>1</w:t>
      </w:r>
      <w:r>
        <w:rPr>
          <w:rFonts w:hint="eastAsia" w:ascii="宋体" w:hAnsi="宋体"/>
          <w:b w:val="0"/>
          <w:bCs/>
          <w:color w:val="auto"/>
          <w:szCs w:val="21"/>
          <w:lang w:eastAsia="zh-CN"/>
        </w:rPr>
        <w:t>）</w:t>
      </w:r>
      <w:r>
        <w:rPr>
          <w:rFonts w:hint="eastAsia" w:ascii="宋体" w:hAnsi="宋体"/>
          <w:b w:val="0"/>
          <w:bCs/>
          <w:color w:val="auto"/>
          <w:szCs w:val="21"/>
        </w:rPr>
        <w:t>电动控制机构选型要求</w:t>
      </w:r>
    </w:p>
    <w:p w14:paraId="13CEBFD9">
      <w:pPr>
        <w:pStyle w:val="53"/>
        <w:spacing w:beforeLines="0" w:afterLines="0" w:line="500" w:lineRule="exact"/>
        <w:ind w:firstLine="420" w:firstLineChars="200"/>
        <w:jc w:val="left"/>
        <w:rPr>
          <w:rFonts w:ascii="宋体" w:hAnsi="宋体"/>
          <w:b w:val="0"/>
          <w:bCs/>
          <w:color w:val="auto"/>
          <w:szCs w:val="21"/>
        </w:rPr>
      </w:pPr>
      <w:r>
        <w:rPr>
          <w:rFonts w:hint="eastAsia" w:ascii="宋体" w:hAnsi="宋体"/>
          <w:b w:val="0"/>
          <w:bCs/>
          <w:color w:val="auto"/>
          <w:szCs w:val="21"/>
        </w:rPr>
        <w:t xml:space="preserve"> 选择适合蝶阀的电动执行器，通常为角行程电动执行器，能够实现0 - 90°的开合角度控制。执行器应具备高精度控制能力，能够根据流量信号精确调节阀门开度；执行器的输出扭矩应满足蝶阀在最大压力和流量工况下的开启和关闭需求；根据蝶阀的规格和工况，选择合适的电机功率，确保执行器在长期运行中不会过载；电动执行器的控制精度应不低于0.1%，能够实现阀门开度的精细调节。执行器的防护等级应符合水厂环境要求，至少达到IP65，以防止灰尘和水进入设备内部，确保设备的可靠性和使用寿命；电动执行器应具备标准的通信接口（如Modbus RTU、Profibus等），能够与中控室的自动化系统（如PLC或DCS）进行数据交互，接收流量信号并反馈阀门开度信息。</w:t>
      </w:r>
    </w:p>
    <w:p w14:paraId="3BE755D8">
      <w:pPr>
        <w:pStyle w:val="53"/>
        <w:numPr>
          <w:ilvl w:val="-1"/>
          <w:numId w:val="0"/>
        </w:numPr>
        <w:spacing w:beforeLines="0" w:afterLines="0" w:line="500" w:lineRule="exact"/>
        <w:ind w:firstLine="420" w:firstLineChars="200"/>
        <w:jc w:val="left"/>
        <w:rPr>
          <w:rFonts w:ascii="宋体" w:hAnsi="宋体"/>
          <w:b w:val="0"/>
          <w:bCs/>
          <w:color w:val="auto"/>
          <w:szCs w:val="21"/>
        </w:rPr>
      </w:pPr>
      <w:r>
        <w:rPr>
          <w:rFonts w:hint="eastAsia" w:ascii="宋体" w:hAnsi="宋体"/>
          <w:b w:val="0"/>
          <w:bCs/>
          <w:color w:val="auto"/>
          <w:szCs w:val="21"/>
          <w:lang w:val="en-US" w:eastAsia="zh-CN"/>
        </w:rPr>
        <w:t>2）</w:t>
      </w:r>
      <w:r>
        <w:rPr>
          <w:rFonts w:hint="eastAsia" w:ascii="宋体" w:hAnsi="宋体"/>
          <w:b w:val="0"/>
          <w:bCs/>
          <w:color w:val="auto"/>
          <w:szCs w:val="21"/>
        </w:rPr>
        <w:t>阀门与执行器的集成要求</w:t>
      </w:r>
    </w:p>
    <w:p w14:paraId="329D8955">
      <w:pPr>
        <w:pStyle w:val="53"/>
        <w:spacing w:beforeLines="0" w:afterLines="0" w:line="500" w:lineRule="exact"/>
        <w:ind w:firstLine="420" w:firstLineChars="200"/>
        <w:jc w:val="left"/>
        <w:rPr>
          <w:rFonts w:ascii="宋体" w:hAnsi="宋体"/>
          <w:b w:val="0"/>
          <w:bCs/>
          <w:color w:val="auto"/>
          <w:szCs w:val="21"/>
        </w:rPr>
      </w:pPr>
      <w:r>
        <w:rPr>
          <w:rFonts w:hint="eastAsia" w:ascii="宋体" w:hAnsi="宋体"/>
          <w:b w:val="0"/>
          <w:bCs/>
          <w:color w:val="auto"/>
          <w:szCs w:val="21"/>
        </w:rPr>
        <w:t xml:space="preserve"> 电动执行器与蝶阀的连接应采用标准的机械接口，确保传动平稳可靠，在运行过程中不会松动或移位。连接部位应加装密封件，防止漏水或漏气，同时要考虑执行器的安装方向和角度，确保其操作手柄或显示屏便于操作人员观察和操作。 执行器的电源线和信号线应采用屏蔽电缆，避免受到外界电磁干扰。 电源线应连接到可靠的电源系统，信号线应连接到中控室的自动化控制系统。电气连接应符合电气安全规范，接地可靠，确保操作人员的安全。</w:t>
      </w:r>
    </w:p>
    <w:p w14:paraId="2DE988B9">
      <w:pPr>
        <w:pStyle w:val="53"/>
        <w:numPr>
          <w:ilvl w:val="-1"/>
          <w:numId w:val="0"/>
        </w:numPr>
        <w:spacing w:beforeLines="0" w:afterLines="0" w:line="500" w:lineRule="exact"/>
        <w:ind w:firstLine="420" w:firstLineChars="200"/>
        <w:jc w:val="left"/>
        <w:rPr>
          <w:rFonts w:ascii="宋体" w:hAnsi="宋体"/>
          <w:b w:val="0"/>
          <w:bCs/>
          <w:color w:val="auto"/>
          <w:szCs w:val="21"/>
        </w:rPr>
      </w:pPr>
      <w:r>
        <w:rPr>
          <w:rFonts w:hint="eastAsia" w:ascii="宋体" w:hAnsi="宋体"/>
          <w:b w:val="0"/>
          <w:bCs/>
          <w:color w:val="auto"/>
          <w:szCs w:val="21"/>
          <w:lang w:val="en-US" w:eastAsia="zh-CN"/>
        </w:rPr>
        <w:t>3）</w:t>
      </w:r>
      <w:r>
        <w:rPr>
          <w:rFonts w:hint="eastAsia" w:ascii="宋体" w:hAnsi="宋体"/>
          <w:b w:val="0"/>
          <w:bCs/>
          <w:color w:val="auto"/>
          <w:szCs w:val="21"/>
        </w:rPr>
        <w:t>流量信号接收与阀门控制要求</w:t>
      </w:r>
    </w:p>
    <w:p w14:paraId="29D2E085">
      <w:pPr>
        <w:pStyle w:val="53"/>
        <w:spacing w:beforeLines="0" w:afterLines="0" w:line="500" w:lineRule="exact"/>
        <w:ind w:firstLine="420" w:firstLineChars="200"/>
        <w:jc w:val="left"/>
        <w:rPr>
          <w:rFonts w:ascii="宋体" w:hAnsi="宋体"/>
          <w:b w:val="0"/>
          <w:bCs/>
          <w:color w:val="auto"/>
          <w:szCs w:val="21"/>
        </w:rPr>
      </w:pPr>
      <w:r>
        <w:rPr>
          <w:rFonts w:hint="eastAsia" w:ascii="宋体" w:hAnsi="宋体"/>
          <w:b w:val="0"/>
          <w:bCs/>
          <w:color w:val="auto"/>
          <w:szCs w:val="21"/>
        </w:rPr>
        <w:t>电动执行器应能够接收来自流量计的标准模拟信号（如4 - 20mA）或数字信号（如Modbus协议），并将其转换为阀门开度的控制指令。执行器应具备信号滤波功能，避免因流量信号的波动导致阀门频繁动作。根据流量信号的大小，执行器应能够自动调节蝶阀的开度，以实现流量的精确控制。控制逻辑应具备以下功能：1）比例控制：根据流量信号的变化，按比例调整阀门开度。2） 积分控制：消除流量偏差的积累，确保流量稳定。3） 微分控制：根据流量变化率提前调整阀门开度，减少流量波动。执行器应具备手动/自动切换功能，便于在调试或故障时手动操作阀门。</w:t>
      </w:r>
    </w:p>
    <w:p w14:paraId="4F7AFD93">
      <w:pPr>
        <w:pStyle w:val="53"/>
        <w:numPr>
          <w:ilvl w:val="-1"/>
          <w:numId w:val="0"/>
        </w:numPr>
        <w:spacing w:beforeLines="0" w:afterLines="0" w:line="500" w:lineRule="exact"/>
        <w:ind w:firstLine="420" w:firstLineChars="200"/>
        <w:jc w:val="left"/>
        <w:rPr>
          <w:rFonts w:ascii="宋体" w:hAnsi="宋体"/>
          <w:b w:val="0"/>
          <w:bCs/>
          <w:color w:val="auto"/>
          <w:szCs w:val="21"/>
        </w:rPr>
      </w:pPr>
      <w:r>
        <w:rPr>
          <w:rFonts w:hint="eastAsia" w:ascii="宋体" w:hAnsi="宋体"/>
          <w:b w:val="0"/>
          <w:bCs/>
          <w:color w:val="auto"/>
          <w:szCs w:val="21"/>
          <w:lang w:val="en-US" w:eastAsia="zh-CN"/>
        </w:rPr>
        <w:t>4）</w:t>
      </w:r>
      <w:r>
        <w:rPr>
          <w:rFonts w:hint="eastAsia" w:ascii="宋体" w:hAnsi="宋体"/>
          <w:b w:val="0"/>
          <w:bCs/>
          <w:color w:val="auto"/>
          <w:szCs w:val="21"/>
        </w:rPr>
        <w:t>系统集成要求</w:t>
      </w:r>
    </w:p>
    <w:p w14:paraId="63932756">
      <w:pPr>
        <w:pStyle w:val="53"/>
        <w:spacing w:beforeLines="0" w:afterLines="0" w:line="500" w:lineRule="exact"/>
        <w:ind w:firstLine="420" w:firstLineChars="200"/>
        <w:jc w:val="left"/>
        <w:rPr>
          <w:rFonts w:ascii="宋体" w:hAnsi="宋体"/>
          <w:b w:val="0"/>
          <w:bCs/>
          <w:color w:val="auto"/>
          <w:szCs w:val="21"/>
        </w:rPr>
      </w:pPr>
      <w:r>
        <w:rPr>
          <w:rFonts w:hint="eastAsia" w:ascii="宋体" w:hAnsi="宋体"/>
          <w:b w:val="0"/>
          <w:bCs/>
          <w:color w:val="auto"/>
          <w:szCs w:val="21"/>
        </w:rPr>
        <w:t>电动执行器应无缝集成到水厂的自动化控制系统中，中控室应能够实时监控阀门开度和流量信号。中控室应能够远程设置阀门的控制参数（如开度范围、控制模式等），并能够远程操作阀门。当阀门开度异常（如超出设定范围或执行器故障）时，执行器应发出报警信号，并可自动切换到安全模式（如保持当前开度或关闭阀门）。执行器应具备数据记录功能，能够存储阀门开度、流量信号等历史数据，便于故障排查和分析。中控系统应定期进行数据备份，防止数据丢失。</w:t>
      </w:r>
    </w:p>
    <w:p w14:paraId="75280621">
      <w:pPr>
        <w:pStyle w:val="5"/>
        <w:spacing w:before="0" w:beforeLines="0" w:after="0" w:afterLines="0" w:line="500" w:lineRule="exact"/>
        <w:ind w:firstLine="422" w:firstLineChars="200"/>
        <w:rPr>
          <w:rFonts w:ascii="宋体" w:hAnsi="宋体" w:eastAsia="宋体" w:cs="宋体"/>
          <w:bCs w:val="0"/>
          <w:color w:val="auto"/>
          <w:sz w:val="21"/>
          <w:szCs w:val="21"/>
        </w:rPr>
      </w:pPr>
      <w:bookmarkStart w:id="729" w:name="_Toc192433725"/>
      <w:r>
        <w:rPr>
          <w:rFonts w:hint="eastAsia" w:ascii="宋体" w:hAnsi="宋体" w:eastAsia="宋体" w:cs="宋体"/>
          <w:bCs w:val="0"/>
          <w:color w:val="auto"/>
          <w:sz w:val="21"/>
          <w:szCs w:val="21"/>
        </w:rPr>
        <w:t xml:space="preserve">3.3 </w:t>
      </w:r>
      <w:bookmarkEnd w:id="729"/>
      <w:r>
        <w:rPr>
          <w:rFonts w:hint="eastAsia" w:ascii="宋体" w:hAnsi="宋体" w:eastAsia="宋体" w:cs="宋体"/>
          <w:bCs w:val="0"/>
          <w:color w:val="auto"/>
          <w:sz w:val="21"/>
          <w:szCs w:val="21"/>
        </w:rPr>
        <w:t>三水厂增加粉炭投加系统</w:t>
      </w:r>
    </w:p>
    <w:p w14:paraId="7ABCFDC7">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需在厂区内新增一套粉炭投</w:t>
      </w:r>
      <w:r>
        <w:rPr>
          <w:rFonts w:hint="eastAsia" w:ascii="宋体" w:hAnsi="宋体" w:cs="宋体"/>
          <w:color w:val="auto"/>
          <w:szCs w:val="21"/>
          <w:highlight w:val="none"/>
        </w:rPr>
        <w:t>加系统，设计规模按</w:t>
      </w:r>
      <w:r>
        <w:rPr>
          <w:rFonts w:ascii="宋体" w:hAnsi="宋体" w:cs="宋体"/>
          <w:color w:val="auto"/>
          <w:szCs w:val="21"/>
          <w:highlight w:val="none"/>
        </w:rPr>
        <w:t>15万吨/日</w:t>
      </w:r>
      <w:r>
        <w:rPr>
          <w:rFonts w:hint="eastAsia" w:ascii="宋体" w:hAnsi="宋体" w:cs="宋体"/>
          <w:color w:val="auto"/>
          <w:szCs w:val="21"/>
          <w:highlight w:val="none"/>
        </w:rPr>
        <w:t>计，位置</w:t>
      </w:r>
      <w:r>
        <w:rPr>
          <w:rFonts w:hint="eastAsia" w:ascii="宋体" w:hAnsi="宋体" w:cs="宋体"/>
          <w:color w:val="auto"/>
          <w:szCs w:val="21"/>
        </w:rPr>
        <w:t>位于新建配水井旁。</w:t>
      </w:r>
    </w:p>
    <w:p w14:paraId="3AA1D48F">
      <w:pPr>
        <w:numPr>
          <w:ilvl w:val="-1"/>
          <w:numId w:val="0"/>
        </w:numPr>
        <w:spacing w:beforeLines="0" w:afterLines="0" w:line="500" w:lineRule="exact"/>
        <w:ind w:left="0" w:firstLine="420" w:firstLineChars="200"/>
        <w:jc w:val="left"/>
        <w:rPr>
          <w:rFonts w:ascii="宋体" w:hAnsi="宋体" w:cs="宋体"/>
          <w:color w:val="auto"/>
          <w:szCs w:val="21"/>
        </w:rPr>
      </w:pPr>
      <w:bookmarkStart w:id="730" w:name="OLE_LINK6"/>
      <w:r>
        <w:rPr>
          <w:rFonts w:hint="eastAsia" w:ascii="宋体" w:hAnsi="宋体" w:cs="宋体"/>
          <w:color w:val="auto"/>
          <w:szCs w:val="21"/>
          <w:lang w:val="en-US" w:eastAsia="zh-CN"/>
        </w:rPr>
        <w:t>1）</w:t>
      </w:r>
      <w:r>
        <w:rPr>
          <w:rFonts w:hint="eastAsia" w:ascii="宋体" w:hAnsi="宋体" w:cs="宋体"/>
          <w:color w:val="auto"/>
          <w:szCs w:val="21"/>
        </w:rPr>
        <w:t>系统组成</w:t>
      </w:r>
    </w:p>
    <w:p w14:paraId="397DFF8A">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由粉末活性炭料仓、真空吸料机、 溶解罐、搅拌器、螺旋给料机 、螺杆投加泵、在线稀释装置、控制系统等设备组成。设计供水量为15万m3/d，粉炭投加量为5-30mg/L，粉炭用量为4.5T/d,约187kg/h。粉炭堆积密度0.4kg/L,粉炭储存料仓40m3，储存10吨，最小存储时间为2天；制备浓度为1-5%,制备/储液罐体积7m3，螺杆泵为4.5m3/h（一用一备）。</w:t>
      </w:r>
    </w:p>
    <w:p w14:paraId="1BC71348">
      <w:pPr>
        <w:numPr>
          <w:ilvl w:val="-1"/>
          <w:numId w:val="0"/>
        </w:numPr>
        <w:spacing w:beforeLines="0" w:afterLines="0" w:line="500" w:lineRule="exact"/>
        <w:ind w:left="0" w:firstLine="420" w:firstLineChars="200"/>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投加控制要求</w:t>
      </w:r>
    </w:p>
    <w:p w14:paraId="4C1F788C">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将粉末活性炭配制成一定浓度（1% - 5%）的悬乳液通过投加系统投入配水井中，投加量应精确可调，最大投加量应满足粉炭投加浓度30mg/L、进水量7000方/小时的工作情况。 粉末活性炭的投加量、悬乳液的配制和投加均通过PLC控制系统自动控制，投加量的控制精度应不低于±3%，确保投加量的准确性。溶解罐和储存罐的液位及投加流量均有在线仪表实时监控。</w:t>
      </w:r>
    </w:p>
    <w:p w14:paraId="73D6585F">
      <w:pPr>
        <w:numPr>
          <w:ilvl w:val="-1"/>
          <w:numId w:val="0"/>
        </w:numPr>
        <w:spacing w:beforeLines="0" w:afterLines="0" w:line="500" w:lineRule="exact"/>
        <w:ind w:left="0" w:firstLine="420" w:firstLineChars="200"/>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材质要求</w:t>
      </w:r>
    </w:p>
    <w:p w14:paraId="376CD7DA">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料仓、溶解罐、螺杆投加泵等采用不锈钢材质，耐腐蚀、耐磨损；管道、管件采用UPVC材质，耐腐蚀、耐压。</w:t>
      </w:r>
    </w:p>
    <w:p w14:paraId="2D7CB21D">
      <w:pPr>
        <w:numPr>
          <w:ilvl w:val="-1"/>
          <w:numId w:val="0"/>
        </w:numPr>
        <w:spacing w:beforeLines="0" w:afterLines="0" w:line="500" w:lineRule="exact"/>
        <w:ind w:left="0" w:firstLine="420" w:firstLineChars="200"/>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 xml:space="preserve">安全要求 </w:t>
      </w:r>
    </w:p>
    <w:p w14:paraId="2321EDD1">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系统应具备故障报警功能，当出现设备故障或投加异常时，及时发出警报。系统采用密闭式管道输送设计，避免粉尘泄漏，改善工作环境。加药管路应具备自动冲洗功能，防止悬乳液沉淀堵塞管道。在粉末活性炭储存和投加过程中，应采取防爆措施，避免粉尘爆炸。</w:t>
      </w:r>
    </w:p>
    <w:p w14:paraId="7A4A1350">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设备应安装在平整、稳固的地面上，确保运行稳定。管道连接应牢固、密封，避免泄漏。电气连接应符合电气安全规范，接地可靠。</w:t>
      </w:r>
    </w:p>
    <w:bookmarkEnd w:id="730"/>
    <w:p w14:paraId="56B20411">
      <w:pPr>
        <w:pStyle w:val="22"/>
        <w:spacing w:beforeLines="0" w:afterLines="0" w:line="500" w:lineRule="exact"/>
        <w:ind w:firstLine="0" w:firstLineChars="0"/>
        <w:jc w:val="left"/>
        <w:rPr>
          <w:rFonts w:ascii="宋体" w:hAnsi="宋体" w:cs="宋体"/>
          <w:color w:val="auto"/>
          <w:szCs w:val="21"/>
        </w:rPr>
      </w:pPr>
      <w:r>
        <w:rPr>
          <w:rFonts w:hint="eastAsia" w:ascii="宋体" w:hAnsi="宋体" w:cs="宋体"/>
          <w:color w:val="auto"/>
          <w:szCs w:val="21"/>
        </w:rPr>
        <w:t>主要设备清单如下：</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7"/>
        <w:gridCol w:w="1567"/>
        <w:gridCol w:w="3072"/>
        <w:gridCol w:w="849"/>
        <w:gridCol w:w="896"/>
        <w:gridCol w:w="1203"/>
        <w:gridCol w:w="1446"/>
      </w:tblGrid>
      <w:tr w14:paraId="6EF44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1981A7EB">
            <w:pPr>
              <w:pStyle w:val="45"/>
              <w:spacing w:beforeLines="0" w:afterLines="0" w:line="500" w:lineRule="exact"/>
              <w:rPr>
                <w:rFonts w:ascii="宋体" w:hAnsi="宋体" w:eastAsia="宋体" w:cs="宋体"/>
                <w:color w:val="auto"/>
              </w:rPr>
            </w:pPr>
            <w:r>
              <w:rPr>
                <w:rFonts w:hint="eastAsia" w:ascii="宋体" w:hAnsi="宋体" w:eastAsia="宋体" w:cs="宋体"/>
                <w:color w:val="auto"/>
              </w:rPr>
              <w:t>序号</w:t>
            </w:r>
          </w:p>
        </w:tc>
        <w:tc>
          <w:tcPr>
            <w:tcW w:w="1567" w:type="dxa"/>
            <w:tcBorders>
              <w:top w:val="single" w:color="000000" w:sz="4" w:space="0"/>
              <w:left w:val="single" w:color="000000" w:sz="4" w:space="0"/>
              <w:bottom w:val="single" w:color="000000" w:sz="4" w:space="0"/>
              <w:right w:val="single" w:color="000000" w:sz="4" w:space="0"/>
            </w:tcBorders>
            <w:vAlign w:val="center"/>
          </w:tcPr>
          <w:p w14:paraId="405FA711">
            <w:pPr>
              <w:pStyle w:val="45"/>
              <w:spacing w:beforeLines="0" w:afterLines="0" w:line="500" w:lineRule="exact"/>
              <w:rPr>
                <w:rFonts w:ascii="宋体" w:hAnsi="宋体" w:eastAsia="宋体" w:cs="宋体"/>
                <w:color w:val="auto"/>
              </w:rPr>
            </w:pPr>
            <w:r>
              <w:rPr>
                <w:rFonts w:hint="eastAsia" w:ascii="宋体" w:hAnsi="宋体" w:eastAsia="宋体" w:cs="宋体"/>
                <w:color w:val="auto"/>
              </w:rPr>
              <w:t>名称</w:t>
            </w:r>
          </w:p>
        </w:tc>
        <w:tc>
          <w:tcPr>
            <w:tcW w:w="3072" w:type="dxa"/>
            <w:tcBorders>
              <w:top w:val="single" w:color="000000" w:sz="4" w:space="0"/>
              <w:left w:val="single" w:color="000000" w:sz="4" w:space="0"/>
              <w:bottom w:val="single" w:color="000000" w:sz="4" w:space="0"/>
              <w:right w:val="single" w:color="000000" w:sz="4" w:space="0"/>
            </w:tcBorders>
            <w:vAlign w:val="center"/>
          </w:tcPr>
          <w:p w14:paraId="260448C9">
            <w:pPr>
              <w:pStyle w:val="45"/>
              <w:spacing w:beforeLines="0" w:afterLines="0" w:line="500" w:lineRule="exact"/>
              <w:rPr>
                <w:rFonts w:ascii="宋体" w:hAnsi="宋体" w:eastAsia="宋体" w:cs="宋体"/>
                <w:color w:val="auto"/>
              </w:rPr>
            </w:pPr>
            <w:r>
              <w:rPr>
                <w:rFonts w:hint="eastAsia" w:ascii="宋体" w:hAnsi="宋体" w:eastAsia="宋体" w:cs="宋体"/>
                <w:color w:val="auto"/>
              </w:rPr>
              <w:t>参数</w:t>
            </w:r>
          </w:p>
        </w:tc>
        <w:tc>
          <w:tcPr>
            <w:tcW w:w="849" w:type="dxa"/>
            <w:tcBorders>
              <w:top w:val="single" w:color="000000" w:sz="4" w:space="0"/>
              <w:left w:val="single" w:color="000000" w:sz="4" w:space="0"/>
              <w:bottom w:val="single" w:color="000000" w:sz="4" w:space="0"/>
              <w:right w:val="single" w:color="000000" w:sz="4" w:space="0"/>
            </w:tcBorders>
            <w:vAlign w:val="center"/>
          </w:tcPr>
          <w:p w14:paraId="46A03B6A">
            <w:pPr>
              <w:pStyle w:val="45"/>
              <w:spacing w:beforeLines="0" w:afterLines="0" w:line="500" w:lineRule="exact"/>
              <w:rPr>
                <w:rFonts w:ascii="宋体" w:hAnsi="宋体" w:eastAsia="宋体" w:cs="宋体"/>
                <w:color w:val="auto"/>
              </w:rPr>
            </w:pPr>
            <w:r>
              <w:rPr>
                <w:rFonts w:hint="eastAsia" w:ascii="宋体" w:hAnsi="宋体" w:eastAsia="宋体" w:cs="宋体"/>
                <w:color w:val="auto"/>
              </w:rPr>
              <w:t>单位</w:t>
            </w:r>
          </w:p>
        </w:tc>
        <w:tc>
          <w:tcPr>
            <w:tcW w:w="896" w:type="dxa"/>
            <w:tcBorders>
              <w:top w:val="single" w:color="000000" w:sz="4" w:space="0"/>
              <w:left w:val="single" w:color="000000" w:sz="4" w:space="0"/>
              <w:bottom w:val="single" w:color="000000" w:sz="4" w:space="0"/>
              <w:right w:val="single" w:color="000000" w:sz="4" w:space="0"/>
            </w:tcBorders>
            <w:vAlign w:val="center"/>
          </w:tcPr>
          <w:p w14:paraId="08130A5F">
            <w:pPr>
              <w:pStyle w:val="45"/>
              <w:spacing w:beforeLines="0" w:afterLines="0" w:line="500" w:lineRule="exact"/>
              <w:rPr>
                <w:rFonts w:ascii="宋体" w:hAnsi="宋体" w:eastAsia="宋体" w:cs="宋体"/>
                <w:color w:val="auto"/>
              </w:rPr>
            </w:pPr>
            <w:r>
              <w:rPr>
                <w:rFonts w:hint="eastAsia" w:ascii="宋体" w:hAnsi="宋体" w:eastAsia="宋体" w:cs="宋体"/>
                <w:color w:val="auto"/>
              </w:rPr>
              <w:t>数量</w:t>
            </w:r>
          </w:p>
        </w:tc>
        <w:tc>
          <w:tcPr>
            <w:tcW w:w="1203" w:type="dxa"/>
            <w:tcBorders>
              <w:top w:val="single" w:color="000000" w:sz="4" w:space="0"/>
              <w:left w:val="single" w:color="000000" w:sz="4" w:space="0"/>
              <w:bottom w:val="single" w:color="000000" w:sz="4" w:space="0"/>
              <w:right w:val="single" w:color="000000" w:sz="4" w:space="0"/>
            </w:tcBorders>
            <w:vAlign w:val="center"/>
          </w:tcPr>
          <w:p w14:paraId="323C174D">
            <w:pPr>
              <w:pStyle w:val="45"/>
              <w:spacing w:beforeLines="0" w:afterLines="0" w:line="500" w:lineRule="exact"/>
              <w:rPr>
                <w:rFonts w:ascii="宋体" w:hAnsi="宋体" w:eastAsia="宋体" w:cs="宋体"/>
                <w:color w:val="auto"/>
              </w:rPr>
            </w:pPr>
            <w:r>
              <w:rPr>
                <w:rFonts w:hint="eastAsia" w:ascii="宋体" w:hAnsi="宋体" w:eastAsia="宋体" w:cs="宋体"/>
                <w:color w:val="auto"/>
              </w:rPr>
              <w:t>安装点</w:t>
            </w:r>
          </w:p>
        </w:tc>
        <w:tc>
          <w:tcPr>
            <w:tcW w:w="1446" w:type="dxa"/>
            <w:tcBorders>
              <w:top w:val="single" w:color="000000" w:sz="4" w:space="0"/>
              <w:left w:val="single" w:color="000000" w:sz="4" w:space="0"/>
              <w:bottom w:val="single" w:color="000000" w:sz="4" w:space="0"/>
              <w:right w:val="single" w:color="000000" w:sz="4" w:space="0"/>
            </w:tcBorders>
            <w:vAlign w:val="center"/>
          </w:tcPr>
          <w:p w14:paraId="6745C5FD">
            <w:pPr>
              <w:pStyle w:val="45"/>
              <w:spacing w:beforeLines="0" w:afterLines="0" w:line="500" w:lineRule="exact"/>
              <w:rPr>
                <w:rFonts w:ascii="宋体" w:hAnsi="宋体" w:eastAsia="宋体" w:cs="宋体"/>
                <w:color w:val="auto"/>
              </w:rPr>
            </w:pPr>
            <w:r>
              <w:rPr>
                <w:rFonts w:hint="eastAsia" w:ascii="宋体" w:hAnsi="宋体" w:eastAsia="宋体" w:cs="宋体"/>
                <w:color w:val="auto"/>
              </w:rPr>
              <w:t>备注</w:t>
            </w:r>
          </w:p>
        </w:tc>
      </w:tr>
      <w:tr w14:paraId="432B0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2D76BE76">
            <w:pPr>
              <w:pStyle w:val="45"/>
              <w:spacing w:beforeLines="0" w:afterLines="0" w:line="500" w:lineRule="exact"/>
              <w:rPr>
                <w:rFonts w:ascii="宋体" w:hAnsi="宋体" w:eastAsia="宋体" w:cs="宋体"/>
                <w:color w:val="auto"/>
              </w:rPr>
            </w:pPr>
            <w:r>
              <w:rPr>
                <w:rFonts w:hint="eastAsia" w:ascii="宋体" w:hAnsi="宋体" w:eastAsia="宋体" w:cs="宋体"/>
                <w:color w:val="auto"/>
              </w:rPr>
              <w:t>1</w:t>
            </w:r>
          </w:p>
        </w:tc>
        <w:tc>
          <w:tcPr>
            <w:tcW w:w="1567" w:type="dxa"/>
            <w:tcBorders>
              <w:top w:val="single" w:color="000000" w:sz="4" w:space="0"/>
              <w:left w:val="single" w:color="000000" w:sz="4" w:space="0"/>
              <w:bottom w:val="single" w:color="000000" w:sz="4" w:space="0"/>
              <w:right w:val="single" w:color="000000" w:sz="4" w:space="0"/>
            </w:tcBorders>
            <w:vAlign w:val="center"/>
          </w:tcPr>
          <w:p w14:paraId="4FE4FF2C">
            <w:pPr>
              <w:pStyle w:val="45"/>
              <w:spacing w:beforeLines="0" w:afterLines="0" w:line="500" w:lineRule="exact"/>
              <w:rPr>
                <w:rFonts w:ascii="宋体" w:hAnsi="宋体" w:eastAsia="宋体" w:cs="宋体"/>
                <w:color w:val="auto"/>
              </w:rPr>
            </w:pPr>
            <w:r>
              <w:rPr>
                <w:rFonts w:hint="eastAsia" w:ascii="宋体" w:hAnsi="宋体" w:eastAsia="宋体" w:cs="宋体"/>
                <w:color w:val="auto"/>
              </w:rPr>
              <w:t>粉末活性炭投加系统</w:t>
            </w:r>
          </w:p>
        </w:tc>
        <w:tc>
          <w:tcPr>
            <w:tcW w:w="3072" w:type="dxa"/>
            <w:tcBorders>
              <w:top w:val="single" w:color="000000" w:sz="4" w:space="0"/>
              <w:left w:val="single" w:color="000000" w:sz="4" w:space="0"/>
              <w:bottom w:val="single" w:color="000000" w:sz="4" w:space="0"/>
              <w:right w:val="single" w:color="000000" w:sz="4" w:space="0"/>
            </w:tcBorders>
            <w:vAlign w:val="center"/>
          </w:tcPr>
          <w:p w14:paraId="50C37DA1">
            <w:pPr>
              <w:pStyle w:val="45"/>
              <w:spacing w:beforeLines="0" w:afterLines="0" w:line="500" w:lineRule="exact"/>
              <w:rPr>
                <w:rFonts w:ascii="宋体" w:hAnsi="宋体" w:eastAsia="宋体" w:cs="宋体"/>
                <w:color w:val="auto"/>
              </w:rPr>
            </w:pPr>
            <w:r>
              <w:rPr>
                <w:rFonts w:hint="eastAsia" w:ascii="宋体" w:hAnsi="宋体" w:eastAsia="宋体" w:cs="宋体"/>
                <w:color w:val="auto"/>
              </w:rPr>
              <w:t xml:space="preserve"> 5-30mg/L</w:t>
            </w:r>
          </w:p>
        </w:tc>
        <w:tc>
          <w:tcPr>
            <w:tcW w:w="849" w:type="dxa"/>
            <w:tcBorders>
              <w:top w:val="single" w:color="000000" w:sz="4" w:space="0"/>
              <w:left w:val="single" w:color="000000" w:sz="4" w:space="0"/>
              <w:bottom w:val="single" w:color="000000" w:sz="4" w:space="0"/>
              <w:right w:val="single" w:color="000000" w:sz="4" w:space="0"/>
            </w:tcBorders>
            <w:vAlign w:val="center"/>
          </w:tcPr>
          <w:p w14:paraId="2881C3BB">
            <w:pPr>
              <w:pStyle w:val="45"/>
              <w:spacing w:beforeLines="0" w:afterLines="0" w:line="500" w:lineRule="exact"/>
              <w:rPr>
                <w:rFonts w:ascii="宋体" w:hAnsi="宋体" w:eastAsia="宋体" w:cs="宋体"/>
                <w:color w:val="auto"/>
              </w:rPr>
            </w:pPr>
            <w:r>
              <w:rPr>
                <w:rFonts w:hint="eastAsia" w:ascii="宋体" w:hAnsi="宋体" w:eastAsia="宋体" w:cs="宋体"/>
                <w:color w:val="auto"/>
              </w:rPr>
              <w:t>套</w:t>
            </w:r>
          </w:p>
        </w:tc>
        <w:tc>
          <w:tcPr>
            <w:tcW w:w="896" w:type="dxa"/>
            <w:tcBorders>
              <w:top w:val="single" w:color="000000" w:sz="4" w:space="0"/>
              <w:left w:val="single" w:color="000000" w:sz="4" w:space="0"/>
              <w:bottom w:val="single" w:color="000000" w:sz="4" w:space="0"/>
              <w:right w:val="single" w:color="000000" w:sz="4" w:space="0"/>
            </w:tcBorders>
            <w:vAlign w:val="center"/>
          </w:tcPr>
          <w:p w14:paraId="55C69CDB">
            <w:pPr>
              <w:pStyle w:val="45"/>
              <w:spacing w:beforeLines="0" w:afterLines="0" w:line="500" w:lineRule="exact"/>
              <w:rPr>
                <w:rFonts w:ascii="宋体" w:hAnsi="宋体" w:eastAsia="宋体" w:cs="宋体"/>
                <w:color w:val="auto"/>
              </w:rPr>
            </w:pPr>
            <w:r>
              <w:rPr>
                <w:rFonts w:hint="eastAsia" w:ascii="宋体" w:hAnsi="宋体" w:eastAsia="宋体" w:cs="宋体"/>
                <w:color w:val="auto"/>
              </w:rPr>
              <w:t>1</w:t>
            </w:r>
          </w:p>
        </w:tc>
        <w:tc>
          <w:tcPr>
            <w:tcW w:w="1203" w:type="dxa"/>
            <w:tcBorders>
              <w:top w:val="single" w:color="000000" w:sz="4" w:space="0"/>
              <w:left w:val="single" w:color="000000" w:sz="4" w:space="0"/>
              <w:bottom w:val="single" w:color="000000" w:sz="4" w:space="0"/>
              <w:right w:val="single" w:color="000000" w:sz="4" w:space="0"/>
            </w:tcBorders>
            <w:vAlign w:val="center"/>
          </w:tcPr>
          <w:p w14:paraId="4A02D3A3">
            <w:pPr>
              <w:pStyle w:val="45"/>
              <w:spacing w:beforeLines="0" w:afterLines="0" w:line="500" w:lineRule="exact"/>
              <w:rPr>
                <w:rFonts w:ascii="宋体" w:hAnsi="宋体" w:eastAsia="宋体" w:cs="宋体"/>
                <w:color w:val="auto"/>
              </w:rPr>
            </w:pPr>
            <w:r>
              <w:rPr>
                <w:rFonts w:hint="eastAsia" w:ascii="宋体" w:hAnsi="宋体" w:eastAsia="宋体" w:cs="宋体"/>
                <w:color w:val="auto"/>
              </w:rPr>
              <w:t xml:space="preserve">三水厂 </w:t>
            </w:r>
          </w:p>
        </w:tc>
        <w:tc>
          <w:tcPr>
            <w:tcW w:w="1446" w:type="dxa"/>
            <w:tcBorders>
              <w:top w:val="single" w:color="000000" w:sz="4" w:space="0"/>
              <w:left w:val="single" w:color="000000" w:sz="4" w:space="0"/>
              <w:bottom w:val="single" w:color="000000" w:sz="4" w:space="0"/>
              <w:right w:val="single" w:color="000000" w:sz="4" w:space="0"/>
            </w:tcBorders>
            <w:vAlign w:val="center"/>
          </w:tcPr>
          <w:p w14:paraId="7B9C27FA">
            <w:pPr>
              <w:pStyle w:val="45"/>
              <w:spacing w:beforeLines="0" w:afterLines="0" w:line="500" w:lineRule="exact"/>
              <w:rPr>
                <w:rFonts w:ascii="宋体" w:hAnsi="宋体" w:eastAsia="宋体" w:cs="宋体"/>
                <w:color w:val="auto"/>
              </w:rPr>
            </w:pPr>
          </w:p>
        </w:tc>
      </w:tr>
    </w:tbl>
    <w:p w14:paraId="6A38FB3F">
      <w:pPr>
        <w:pStyle w:val="5"/>
        <w:spacing w:before="0" w:beforeLines="0" w:after="0" w:afterLines="0" w:line="500" w:lineRule="exact"/>
        <w:ind w:firstLine="422" w:firstLineChars="200"/>
        <w:rPr>
          <w:rFonts w:ascii="宋体" w:hAnsi="宋体" w:eastAsia="宋体" w:cs="宋体"/>
          <w:bCs w:val="0"/>
          <w:color w:val="auto"/>
          <w:sz w:val="21"/>
          <w:szCs w:val="21"/>
        </w:rPr>
      </w:pPr>
      <w:bookmarkStart w:id="731" w:name="_Toc192433726"/>
      <w:r>
        <w:rPr>
          <w:rFonts w:hint="eastAsia" w:ascii="宋体" w:hAnsi="宋体" w:eastAsia="宋体" w:cs="宋体"/>
          <w:bCs w:val="0"/>
          <w:color w:val="auto"/>
          <w:sz w:val="21"/>
          <w:szCs w:val="21"/>
        </w:rPr>
        <w:t>3.4 三水厂原水端增加高锰酸钾复合盐及粉炭投加系统</w:t>
      </w:r>
      <w:bookmarkEnd w:id="731"/>
    </w:p>
    <w:p w14:paraId="4C1D69F4">
      <w:pPr>
        <w:pStyle w:val="6"/>
        <w:spacing w:before="0" w:beforeLines="0" w:after="0" w:afterLines="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3.4.1高锰酸钾复合盐投加系统的设计</w:t>
      </w:r>
    </w:p>
    <w:p w14:paraId="7514F958">
      <w:pPr>
        <w:spacing w:beforeLines="0" w:afterLines="0" w:line="500" w:lineRule="exact"/>
        <w:ind w:firstLine="422" w:firstLineChars="200"/>
        <w:jc w:val="left"/>
        <w:rPr>
          <w:rFonts w:ascii="宋体" w:hAnsi="宋体" w:cs="宋体"/>
          <w:b/>
          <w:color w:val="auto"/>
          <w:szCs w:val="21"/>
        </w:rPr>
      </w:pPr>
      <w:r>
        <w:rPr>
          <w:rFonts w:hint="eastAsia" w:ascii="宋体" w:hAnsi="宋体" w:cs="宋体"/>
          <w:b/>
          <w:color w:val="auto"/>
          <w:szCs w:val="21"/>
        </w:rPr>
        <w:t>1</w:t>
      </w:r>
      <w:r>
        <w:rPr>
          <w:rFonts w:hint="eastAsia" w:ascii="宋体" w:hAnsi="宋体" w:cs="宋体"/>
          <w:b/>
          <w:color w:val="auto"/>
          <w:szCs w:val="21"/>
          <w:lang w:eastAsia="zh-CN"/>
        </w:rPr>
        <w:t>）</w:t>
      </w:r>
      <w:r>
        <w:rPr>
          <w:rFonts w:hint="eastAsia" w:ascii="宋体" w:hAnsi="宋体" w:cs="宋体"/>
          <w:b/>
          <w:color w:val="auto"/>
          <w:szCs w:val="21"/>
        </w:rPr>
        <w:t xml:space="preserve">系统要求  </w:t>
      </w:r>
    </w:p>
    <w:p w14:paraId="43531F84">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高锰酸钾复合盐自动投加系统主要由药液溶解存储系统、数字计量泵投加系统、PLC自动化控制系统三部分组成；</w:t>
      </w:r>
    </w:p>
    <w:p w14:paraId="251584F1">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系统装置为应急投加系统也可以实现24小时连续运行，操作简单、安全、实用的一套设备，本系统除了需要人工快速倒料之外，其它都为自动化控制；</w:t>
      </w:r>
    </w:p>
    <w:p w14:paraId="66C91916">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主要工艺流程为：高锰酸钾复合盐原料采用25kg袋装包装，通过计算水厂每天高锰酸钾复合盐复合盐的用量，人工称量并倒料至溶解及熟化存储罐。溶解罐1用1备，保证了药剂投加的连续及稳定。通过储液罐液位和高锰酸钾复合盐复合盐投加量配比，使溶液浓度达到1-1.5%，配置好的溶液通过计量泵投加至投加点。</w:t>
      </w:r>
    </w:p>
    <w:p w14:paraId="38057079">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要求整套高锰酸钾复合盐投加系统密封性良好、进料快速顺畅、自动运行，室内无粉尘外溢，系统设备非防爆。</w:t>
      </w:r>
    </w:p>
    <w:p w14:paraId="4E9BDF54">
      <w:pPr>
        <w:tabs>
          <w:tab w:val="left" w:pos="0"/>
        </w:tabs>
        <w:spacing w:beforeLines="0" w:afterLines="0" w:line="500" w:lineRule="exact"/>
        <w:ind w:firstLine="422" w:firstLineChars="200"/>
        <w:jc w:val="left"/>
        <w:rPr>
          <w:rFonts w:ascii="宋体" w:hAnsi="宋体" w:cs="宋体"/>
          <w:b/>
          <w:bCs/>
          <w:color w:val="auto"/>
          <w:szCs w:val="21"/>
        </w:rPr>
      </w:pPr>
      <w:r>
        <w:rPr>
          <w:rFonts w:hint="eastAsia" w:ascii="宋体" w:hAnsi="宋体" w:cs="宋体"/>
          <w:b/>
          <w:bCs/>
          <w:color w:val="auto"/>
          <w:szCs w:val="21"/>
        </w:rPr>
        <w:t>2</w:t>
      </w:r>
      <w:r>
        <w:rPr>
          <w:rFonts w:hint="eastAsia" w:ascii="宋体" w:hAnsi="宋体" w:cs="宋体"/>
          <w:b/>
          <w:bCs/>
          <w:color w:val="auto"/>
          <w:szCs w:val="21"/>
          <w:lang w:eastAsia="zh-CN"/>
        </w:rPr>
        <w:t>）</w:t>
      </w:r>
      <w:r>
        <w:rPr>
          <w:rFonts w:hint="eastAsia" w:ascii="宋体" w:hAnsi="宋体" w:cs="宋体"/>
          <w:b/>
          <w:bCs/>
          <w:color w:val="auto"/>
          <w:szCs w:val="21"/>
        </w:rPr>
        <w:t>投加原料、浓度、投加量要求</w:t>
      </w:r>
    </w:p>
    <w:p w14:paraId="43C536F1">
      <w:pPr>
        <w:spacing w:beforeLines="0" w:afterLines="0" w:line="500" w:lineRule="exact"/>
        <w:ind w:firstLine="452" w:firstLineChars="200"/>
        <w:jc w:val="left"/>
        <w:rPr>
          <w:rFonts w:ascii="宋体" w:hAnsi="宋体" w:cs="宋体"/>
          <w:color w:val="auto"/>
          <w:spacing w:val="8"/>
          <w:szCs w:val="21"/>
        </w:rPr>
      </w:pPr>
      <w:r>
        <w:rPr>
          <w:rFonts w:hint="eastAsia" w:ascii="宋体" w:hAnsi="宋体" w:cs="宋体"/>
          <w:color w:val="auto"/>
          <w:spacing w:val="8"/>
          <w:szCs w:val="21"/>
        </w:rPr>
        <w:t>（1）高锰酸钾复合盐原料：25kg袋装固体小颗粒</w:t>
      </w:r>
      <w:r>
        <w:rPr>
          <w:rFonts w:hint="eastAsia" w:ascii="宋体" w:hAnsi="宋体" w:cs="宋体"/>
          <w:color w:val="auto"/>
          <w:szCs w:val="21"/>
        </w:rPr>
        <w:t>；</w:t>
      </w:r>
    </w:p>
    <w:p w14:paraId="03E96EC0">
      <w:pPr>
        <w:spacing w:beforeLines="0" w:afterLines="0" w:line="500" w:lineRule="exact"/>
        <w:ind w:firstLine="452" w:firstLineChars="200"/>
        <w:jc w:val="left"/>
        <w:rPr>
          <w:rFonts w:ascii="宋体" w:hAnsi="宋体" w:cs="宋体"/>
          <w:color w:val="auto"/>
          <w:spacing w:val="8"/>
          <w:szCs w:val="21"/>
        </w:rPr>
      </w:pPr>
      <w:r>
        <w:rPr>
          <w:rFonts w:hint="eastAsia" w:ascii="宋体" w:hAnsi="宋体" w:cs="宋体"/>
          <w:color w:val="auto"/>
          <w:spacing w:val="8"/>
          <w:szCs w:val="21"/>
        </w:rPr>
        <w:t>（2）投加浓度：2%；</w:t>
      </w:r>
    </w:p>
    <w:p w14:paraId="6082B73D">
      <w:pPr>
        <w:topLinePunct/>
        <w:autoSpaceDN/>
        <w:spacing w:beforeLines="0" w:afterLines="0" w:line="500" w:lineRule="exact"/>
        <w:ind w:firstLine="452" w:firstLineChars="200"/>
        <w:jc w:val="left"/>
        <w:rPr>
          <w:rFonts w:ascii="宋体" w:hAnsi="宋体" w:cs="宋体"/>
          <w:color w:val="auto"/>
          <w:szCs w:val="21"/>
        </w:rPr>
      </w:pPr>
      <w:r>
        <w:rPr>
          <w:rFonts w:hint="eastAsia" w:ascii="宋体" w:hAnsi="宋体" w:cs="宋体"/>
          <w:color w:val="auto"/>
          <w:spacing w:val="8"/>
          <w:szCs w:val="21"/>
        </w:rPr>
        <w:t>（3）最大投加量为1mg/L，即投加量为：</w:t>
      </w:r>
      <w:r>
        <w:rPr>
          <w:rFonts w:hint="eastAsia" w:ascii="宋体" w:hAnsi="宋体" w:cs="宋体"/>
          <w:color w:val="auto"/>
          <w:szCs w:val="21"/>
        </w:rPr>
        <w:t xml:space="preserve">制备浓度2%。 </w:t>
      </w:r>
    </w:p>
    <w:p w14:paraId="60F87415">
      <w:pPr>
        <w:pStyle w:val="6"/>
        <w:spacing w:before="0" w:beforeLines="0" w:after="0" w:afterLines="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3.4.2 粉炭投加系统的设计</w:t>
      </w:r>
    </w:p>
    <w:p w14:paraId="688402C3">
      <w:pPr>
        <w:numPr>
          <w:ilvl w:val="-1"/>
          <w:numId w:val="0"/>
        </w:numPr>
        <w:spacing w:beforeLines="0" w:afterLines="0" w:line="500" w:lineRule="exact"/>
        <w:ind w:left="0" w:firstLine="420" w:firstLineChars="200"/>
        <w:jc w:val="left"/>
        <w:rPr>
          <w:rFonts w:ascii="宋体" w:hAnsi="宋体" w:cs="宋体"/>
          <w:color w:val="auto"/>
          <w:szCs w:val="21"/>
        </w:rPr>
      </w:pPr>
      <w:bookmarkStart w:id="732" w:name="_Toc436668575"/>
      <w:bookmarkStart w:id="733" w:name="_Toc192433727"/>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系统组成</w:t>
      </w:r>
    </w:p>
    <w:p w14:paraId="57F72917">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由粉末活性炭料仓、真空吸料机、 溶解罐、搅拌器、螺旋给料机 、螺杆投加泵、在线稀释装置、控制系统等设备组成。设计供水量为15万m3/d，粉炭投加量为5-30mg/L，粉炭用量为4.5T/d,约187kg/h。粉炭堆积密度0.4kg/L,粉炭储存料仓40m3，储存10吨，最小存储时间为2天；制备浓度为1-5%,制备/储液罐体积7m3，螺杆泵为4.5m3/h（一用一备）。</w:t>
      </w:r>
    </w:p>
    <w:p w14:paraId="4DE5ECF9">
      <w:pPr>
        <w:numPr>
          <w:ilvl w:val="-1"/>
          <w:numId w:val="0"/>
        </w:numPr>
        <w:spacing w:beforeLines="0" w:afterLines="0" w:line="500" w:lineRule="exact"/>
        <w:ind w:left="0" w:firstLine="420" w:firstLineChars="200"/>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投加控制要求</w:t>
      </w:r>
    </w:p>
    <w:p w14:paraId="798144D9">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将粉末活性炭配制成一定浓度（1% - 5%）的悬乳液通过投加系统投入配水井中，投加量应精确可调，最大投加量应满足粉炭投加浓度30mg/L、进水量7000方/小时的工作情况。 粉末活性炭的投加量、悬乳液的配制和投加均通过PLC控制系统自动控制，投加量的控制精度应不低于±3%，确保投加量的准确性。溶解罐和储存罐的液位及投加流量均有在线仪表实时监控。</w:t>
      </w:r>
    </w:p>
    <w:p w14:paraId="00F8D154">
      <w:pPr>
        <w:numPr>
          <w:ilvl w:val="-1"/>
          <w:numId w:val="0"/>
        </w:numPr>
        <w:spacing w:beforeLines="0" w:afterLines="0" w:line="500" w:lineRule="exact"/>
        <w:ind w:left="0" w:firstLine="420" w:firstLineChars="200"/>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材质要求</w:t>
      </w:r>
    </w:p>
    <w:p w14:paraId="51C92A70">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料仓、溶解罐、螺杆投加泵等采用不锈钢材质，耐腐蚀、耐磨损；管道、管件采用UPVC材质，耐腐蚀、耐压。</w:t>
      </w:r>
    </w:p>
    <w:p w14:paraId="613CF3AB">
      <w:pPr>
        <w:numPr>
          <w:ilvl w:val="-1"/>
          <w:numId w:val="0"/>
        </w:numPr>
        <w:spacing w:beforeLines="0" w:afterLines="0" w:line="500" w:lineRule="exact"/>
        <w:ind w:left="0" w:firstLine="420" w:firstLineChars="200"/>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 xml:space="preserve">安全要求 </w:t>
      </w:r>
    </w:p>
    <w:p w14:paraId="03BF3EA8">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系统应具备故障报警功能，当出现设备故障或投加异常时，及时发出警报。系统采用密闭式管道输送设计，避免粉尘泄漏，改善工作环境。加药管路应具备自动冲洗功能，防止悬乳液沉淀堵塞管道。在粉末活性炭储存和投加过程中，应采取防爆措施，避免粉尘爆炸。</w:t>
      </w:r>
    </w:p>
    <w:p w14:paraId="0D6BB48B">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设备应安装在平整、稳固的地面上，确保运行稳定。管道连接应牢固、密封，避免泄漏。电气连接应符合电气安全规范，接地可靠。</w:t>
      </w:r>
    </w:p>
    <w:p w14:paraId="0DA770B6">
      <w:pPr>
        <w:pStyle w:val="22"/>
        <w:spacing w:beforeLines="0" w:afterLines="0" w:line="500" w:lineRule="exact"/>
        <w:jc w:val="left"/>
        <w:rPr>
          <w:rFonts w:ascii="宋体" w:hAnsi="宋体" w:cs="宋体"/>
          <w:color w:val="auto"/>
          <w:szCs w:val="21"/>
        </w:rPr>
      </w:pPr>
      <w:r>
        <w:rPr>
          <w:rFonts w:hint="eastAsia" w:ascii="宋体" w:hAnsi="宋体" w:cs="宋体"/>
          <w:color w:val="auto"/>
          <w:szCs w:val="21"/>
        </w:rPr>
        <w:t xml:space="preserve"> 主要设备清单如下：</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7"/>
        <w:gridCol w:w="1567"/>
        <w:gridCol w:w="3072"/>
        <w:gridCol w:w="849"/>
        <w:gridCol w:w="896"/>
        <w:gridCol w:w="1203"/>
        <w:gridCol w:w="1446"/>
      </w:tblGrid>
      <w:tr w14:paraId="43C7A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3D42F6CD">
            <w:pPr>
              <w:pStyle w:val="45"/>
              <w:spacing w:beforeLines="0" w:afterLines="0" w:line="500" w:lineRule="exact"/>
              <w:rPr>
                <w:rFonts w:ascii="宋体" w:hAnsi="宋体" w:eastAsia="宋体" w:cs="宋体"/>
                <w:color w:val="auto"/>
              </w:rPr>
            </w:pPr>
            <w:r>
              <w:rPr>
                <w:rFonts w:hint="eastAsia" w:ascii="宋体" w:hAnsi="宋体" w:eastAsia="宋体" w:cs="宋体"/>
                <w:color w:val="auto"/>
              </w:rPr>
              <w:t>序号</w:t>
            </w:r>
          </w:p>
        </w:tc>
        <w:tc>
          <w:tcPr>
            <w:tcW w:w="1567" w:type="dxa"/>
            <w:tcBorders>
              <w:top w:val="single" w:color="000000" w:sz="4" w:space="0"/>
              <w:left w:val="single" w:color="000000" w:sz="4" w:space="0"/>
              <w:bottom w:val="single" w:color="000000" w:sz="4" w:space="0"/>
              <w:right w:val="single" w:color="000000" w:sz="4" w:space="0"/>
            </w:tcBorders>
            <w:vAlign w:val="center"/>
          </w:tcPr>
          <w:p w14:paraId="4EE86028">
            <w:pPr>
              <w:pStyle w:val="45"/>
              <w:spacing w:beforeLines="0" w:afterLines="0" w:line="500" w:lineRule="exact"/>
              <w:rPr>
                <w:rFonts w:ascii="宋体" w:hAnsi="宋体" w:eastAsia="宋体" w:cs="宋体"/>
                <w:color w:val="auto"/>
              </w:rPr>
            </w:pPr>
            <w:r>
              <w:rPr>
                <w:rFonts w:hint="eastAsia" w:ascii="宋体" w:hAnsi="宋体" w:eastAsia="宋体" w:cs="宋体"/>
                <w:color w:val="auto"/>
              </w:rPr>
              <w:t>名称</w:t>
            </w:r>
          </w:p>
        </w:tc>
        <w:tc>
          <w:tcPr>
            <w:tcW w:w="3072" w:type="dxa"/>
            <w:tcBorders>
              <w:top w:val="single" w:color="000000" w:sz="4" w:space="0"/>
              <w:left w:val="single" w:color="000000" w:sz="4" w:space="0"/>
              <w:bottom w:val="single" w:color="000000" w:sz="4" w:space="0"/>
              <w:right w:val="single" w:color="000000" w:sz="4" w:space="0"/>
            </w:tcBorders>
            <w:vAlign w:val="center"/>
          </w:tcPr>
          <w:p w14:paraId="7193F0A2">
            <w:pPr>
              <w:pStyle w:val="45"/>
              <w:spacing w:beforeLines="0" w:afterLines="0" w:line="500" w:lineRule="exact"/>
              <w:rPr>
                <w:rFonts w:ascii="宋体" w:hAnsi="宋体" w:eastAsia="宋体" w:cs="宋体"/>
                <w:color w:val="auto"/>
              </w:rPr>
            </w:pPr>
            <w:r>
              <w:rPr>
                <w:rFonts w:hint="eastAsia" w:ascii="宋体" w:hAnsi="宋体" w:eastAsia="宋体" w:cs="宋体"/>
                <w:color w:val="auto"/>
              </w:rPr>
              <w:t>参数</w:t>
            </w:r>
          </w:p>
        </w:tc>
        <w:tc>
          <w:tcPr>
            <w:tcW w:w="849" w:type="dxa"/>
            <w:tcBorders>
              <w:top w:val="single" w:color="000000" w:sz="4" w:space="0"/>
              <w:left w:val="single" w:color="000000" w:sz="4" w:space="0"/>
              <w:bottom w:val="single" w:color="000000" w:sz="4" w:space="0"/>
              <w:right w:val="single" w:color="000000" w:sz="4" w:space="0"/>
            </w:tcBorders>
            <w:vAlign w:val="center"/>
          </w:tcPr>
          <w:p w14:paraId="68EEA76A">
            <w:pPr>
              <w:pStyle w:val="45"/>
              <w:spacing w:beforeLines="0" w:afterLines="0" w:line="500" w:lineRule="exact"/>
              <w:rPr>
                <w:rFonts w:ascii="宋体" w:hAnsi="宋体" w:eastAsia="宋体" w:cs="宋体"/>
                <w:color w:val="auto"/>
              </w:rPr>
            </w:pPr>
            <w:r>
              <w:rPr>
                <w:rFonts w:hint="eastAsia" w:ascii="宋体" w:hAnsi="宋体" w:eastAsia="宋体" w:cs="宋体"/>
                <w:color w:val="auto"/>
              </w:rPr>
              <w:t>单位</w:t>
            </w:r>
          </w:p>
        </w:tc>
        <w:tc>
          <w:tcPr>
            <w:tcW w:w="896" w:type="dxa"/>
            <w:tcBorders>
              <w:top w:val="single" w:color="000000" w:sz="4" w:space="0"/>
              <w:left w:val="single" w:color="000000" w:sz="4" w:space="0"/>
              <w:bottom w:val="single" w:color="000000" w:sz="4" w:space="0"/>
              <w:right w:val="single" w:color="000000" w:sz="4" w:space="0"/>
            </w:tcBorders>
            <w:vAlign w:val="center"/>
          </w:tcPr>
          <w:p w14:paraId="5665314B">
            <w:pPr>
              <w:pStyle w:val="45"/>
              <w:spacing w:beforeLines="0" w:afterLines="0" w:line="500" w:lineRule="exact"/>
              <w:rPr>
                <w:rFonts w:ascii="宋体" w:hAnsi="宋体" w:eastAsia="宋体" w:cs="宋体"/>
                <w:color w:val="auto"/>
              </w:rPr>
            </w:pPr>
            <w:r>
              <w:rPr>
                <w:rFonts w:hint="eastAsia" w:ascii="宋体" w:hAnsi="宋体" w:eastAsia="宋体" w:cs="宋体"/>
                <w:color w:val="auto"/>
              </w:rPr>
              <w:t>数量</w:t>
            </w:r>
          </w:p>
        </w:tc>
        <w:tc>
          <w:tcPr>
            <w:tcW w:w="1203" w:type="dxa"/>
            <w:tcBorders>
              <w:top w:val="single" w:color="000000" w:sz="4" w:space="0"/>
              <w:left w:val="single" w:color="000000" w:sz="4" w:space="0"/>
              <w:bottom w:val="single" w:color="000000" w:sz="4" w:space="0"/>
              <w:right w:val="single" w:color="000000" w:sz="4" w:space="0"/>
            </w:tcBorders>
            <w:vAlign w:val="center"/>
          </w:tcPr>
          <w:p w14:paraId="520BCF6C">
            <w:pPr>
              <w:pStyle w:val="45"/>
              <w:spacing w:beforeLines="0" w:afterLines="0" w:line="500" w:lineRule="exact"/>
              <w:rPr>
                <w:rFonts w:ascii="宋体" w:hAnsi="宋体" w:eastAsia="宋体" w:cs="宋体"/>
                <w:color w:val="auto"/>
              </w:rPr>
            </w:pPr>
            <w:r>
              <w:rPr>
                <w:rFonts w:hint="eastAsia" w:ascii="宋体" w:hAnsi="宋体" w:eastAsia="宋体" w:cs="宋体"/>
                <w:color w:val="auto"/>
              </w:rPr>
              <w:t>安装点</w:t>
            </w:r>
          </w:p>
        </w:tc>
        <w:tc>
          <w:tcPr>
            <w:tcW w:w="1446" w:type="dxa"/>
            <w:tcBorders>
              <w:top w:val="single" w:color="000000" w:sz="4" w:space="0"/>
              <w:left w:val="single" w:color="000000" w:sz="4" w:space="0"/>
              <w:bottom w:val="single" w:color="000000" w:sz="4" w:space="0"/>
              <w:right w:val="single" w:color="000000" w:sz="4" w:space="0"/>
            </w:tcBorders>
            <w:vAlign w:val="center"/>
          </w:tcPr>
          <w:p w14:paraId="09792559">
            <w:pPr>
              <w:pStyle w:val="45"/>
              <w:spacing w:beforeLines="0" w:afterLines="0" w:line="500" w:lineRule="exact"/>
              <w:rPr>
                <w:rFonts w:ascii="宋体" w:hAnsi="宋体" w:eastAsia="宋体" w:cs="宋体"/>
                <w:color w:val="auto"/>
              </w:rPr>
            </w:pPr>
            <w:r>
              <w:rPr>
                <w:rFonts w:hint="eastAsia" w:ascii="宋体" w:hAnsi="宋体" w:eastAsia="宋体" w:cs="宋体"/>
                <w:color w:val="auto"/>
              </w:rPr>
              <w:t>备注</w:t>
            </w:r>
          </w:p>
        </w:tc>
      </w:tr>
      <w:tr w14:paraId="11AF8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33AA7461">
            <w:pPr>
              <w:pStyle w:val="45"/>
              <w:spacing w:beforeLines="0" w:afterLines="0" w:line="500" w:lineRule="exact"/>
              <w:rPr>
                <w:rFonts w:ascii="宋体" w:hAnsi="宋体" w:eastAsia="宋体" w:cs="宋体"/>
                <w:color w:val="auto"/>
              </w:rPr>
            </w:pPr>
            <w:r>
              <w:rPr>
                <w:rFonts w:hint="eastAsia" w:ascii="宋体" w:hAnsi="宋体" w:eastAsia="宋体" w:cs="宋体"/>
                <w:color w:val="auto"/>
              </w:rPr>
              <w:t>1</w:t>
            </w:r>
          </w:p>
        </w:tc>
        <w:tc>
          <w:tcPr>
            <w:tcW w:w="1567" w:type="dxa"/>
            <w:tcBorders>
              <w:top w:val="single" w:color="000000" w:sz="4" w:space="0"/>
              <w:left w:val="single" w:color="000000" w:sz="4" w:space="0"/>
              <w:bottom w:val="single" w:color="000000" w:sz="4" w:space="0"/>
              <w:right w:val="single" w:color="000000" w:sz="4" w:space="0"/>
            </w:tcBorders>
            <w:vAlign w:val="center"/>
          </w:tcPr>
          <w:p w14:paraId="2BFD2696">
            <w:pPr>
              <w:pStyle w:val="45"/>
              <w:spacing w:beforeLines="0" w:afterLines="0" w:line="500" w:lineRule="exact"/>
              <w:rPr>
                <w:rFonts w:ascii="宋体" w:hAnsi="宋体" w:eastAsia="宋体" w:cs="宋体"/>
                <w:color w:val="auto"/>
              </w:rPr>
            </w:pPr>
            <w:r>
              <w:rPr>
                <w:rFonts w:hint="eastAsia" w:ascii="宋体" w:hAnsi="宋体" w:eastAsia="宋体" w:cs="宋体"/>
                <w:color w:val="auto"/>
              </w:rPr>
              <w:t>高锰酸钾复合盐投加系统</w:t>
            </w:r>
          </w:p>
        </w:tc>
        <w:tc>
          <w:tcPr>
            <w:tcW w:w="3072" w:type="dxa"/>
            <w:tcBorders>
              <w:top w:val="single" w:color="000000" w:sz="4" w:space="0"/>
              <w:left w:val="single" w:color="000000" w:sz="4" w:space="0"/>
              <w:bottom w:val="single" w:color="000000" w:sz="4" w:space="0"/>
              <w:right w:val="single" w:color="000000" w:sz="4" w:space="0"/>
            </w:tcBorders>
            <w:vAlign w:val="center"/>
          </w:tcPr>
          <w:p w14:paraId="66B2FCCF">
            <w:pPr>
              <w:pStyle w:val="45"/>
              <w:spacing w:beforeLines="0" w:afterLines="0" w:line="500" w:lineRule="exact"/>
              <w:rPr>
                <w:rFonts w:ascii="宋体" w:hAnsi="宋体" w:eastAsia="宋体" w:cs="宋体"/>
                <w:color w:val="auto"/>
              </w:rPr>
            </w:pPr>
            <w:r>
              <w:rPr>
                <w:rFonts w:hint="eastAsia" w:ascii="宋体" w:hAnsi="宋体" w:eastAsia="宋体" w:cs="宋体"/>
                <w:color w:val="auto"/>
              </w:rPr>
              <w:t xml:space="preserve"> 投加量 Max 3mg/L，制备浓度为1%</w:t>
            </w:r>
            <w:r>
              <w:rPr>
                <w:rFonts w:hint="eastAsia" w:ascii="宋体" w:hAnsi="宋体" w:eastAsia="宋体" w:cs="宋体"/>
                <w:color w:val="auto"/>
                <w:sz w:val="21"/>
                <w:szCs w:val="21"/>
                <w:lang w:eastAsia="zh-CN"/>
              </w:rPr>
              <w:t>～</w:t>
            </w:r>
            <w:r>
              <w:rPr>
                <w:rFonts w:hint="eastAsia" w:ascii="宋体" w:hAnsi="宋体" w:eastAsia="宋体" w:cs="宋体"/>
                <w:color w:val="auto"/>
              </w:rPr>
              <w:t>5%</w:t>
            </w:r>
          </w:p>
        </w:tc>
        <w:tc>
          <w:tcPr>
            <w:tcW w:w="849" w:type="dxa"/>
            <w:tcBorders>
              <w:top w:val="single" w:color="000000" w:sz="4" w:space="0"/>
              <w:left w:val="single" w:color="000000" w:sz="4" w:space="0"/>
              <w:bottom w:val="single" w:color="000000" w:sz="4" w:space="0"/>
              <w:right w:val="single" w:color="000000" w:sz="4" w:space="0"/>
            </w:tcBorders>
            <w:vAlign w:val="center"/>
          </w:tcPr>
          <w:p w14:paraId="42743F6B">
            <w:pPr>
              <w:pStyle w:val="45"/>
              <w:spacing w:beforeLines="0" w:afterLines="0" w:line="500" w:lineRule="exact"/>
              <w:rPr>
                <w:rFonts w:ascii="宋体" w:hAnsi="宋体" w:eastAsia="宋体" w:cs="宋体"/>
                <w:color w:val="auto"/>
              </w:rPr>
            </w:pPr>
            <w:r>
              <w:rPr>
                <w:rFonts w:hint="eastAsia" w:ascii="宋体" w:hAnsi="宋体" w:eastAsia="宋体" w:cs="宋体"/>
                <w:color w:val="auto"/>
              </w:rPr>
              <w:t>套</w:t>
            </w:r>
          </w:p>
        </w:tc>
        <w:tc>
          <w:tcPr>
            <w:tcW w:w="896" w:type="dxa"/>
            <w:tcBorders>
              <w:top w:val="single" w:color="000000" w:sz="4" w:space="0"/>
              <w:left w:val="single" w:color="000000" w:sz="4" w:space="0"/>
              <w:bottom w:val="single" w:color="000000" w:sz="4" w:space="0"/>
              <w:right w:val="single" w:color="000000" w:sz="4" w:space="0"/>
            </w:tcBorders>
            <w:vAlign w:val="center"/>
          </w:tcPr>
          <w:p w14:paraId="52F6796B">
            <w:pPr>
              <w:pStyle w:val="45"/>
              <w:spacing w:beforeLines="0" w:afterLines="0" w:line="500" w:lineRule="exact"/>
              <w:rPr>
                <w:rFonts w:ascii="宋体" w:hAnsi="宋体" w:eastAsia="宋体" w:cs="宋体"/>
                <w:color w:val="auto"/>
              </w:rPr>
            </w:pPr>
            <w:r>
              <w:rPr>
                <w:rFonts w:hint="eastAsia" w:ascii="宋体" w:hAnsi="宋体" w:eastAsia="宋体" w:cs="宋体"/>
                <w:color w:val="auto"/>
              </w:rPr>
              <w:t>1</w:t>
            </w:r>
          </w:p>
        </w:tc>
        <w:tc>
          <w:tcPr>
            <w:tcW w:w="1203" w:type="dxa"/>
            <w:tcBorders>
              <w:top w:val="single" w:color="000000" w:sz="4" w:space="0"/>
              <w:left w:val="single" w:color="000000" w:sz="4" w:space="0"/>
              <w:bottom w:val="single" w:color="000000" w:sz="4" w:space="0"/>
              <w:right w:val="single" w:color="000000" w:sz="4" w:space="0"/>
            </w:tcBorders>
            <w:vAlign w:val="center"/>
          </w:tcPr>
          <w:p w14:paraId="61821CB9">
            <w:pPr>
              <w:pStyle w:val="45"/>
              <w:spacing w:beforeLines="0" w:afterLines="0" w:line="500" w:lineRule="exact"/>
              <w:rPr>
                <w:rFonts w:ascii="宋体" w:hAnsi="宋体" w:eastAsia="宋体" w:cs="宋体"/>
                <w:color w:val="auto"/>
              </w:rPr>
            </w:pPr>
            <w:r>
              <w:rPr>
                <w:rFonts w:hint="eastAsia" w:ascii="宋体" w:hAnsi="宋体" w:eastAsia="宋体" w:cs="宋体"/>
                <w:color w:val="auto"/>
              </w:rPr>
              <w:t>三厂取水泵房</w:t>
            </w:r>
          </w:p>
        </w:tc>
        <w:tc>
          <w:tcPr>
            <w:tcW w:w="1446" w:type="dxa"/>
            <w:tcBorders>
              <w:top w:val="single" w:color="000000" w:sz="4" w:space="0"/>
              <w:left w:val="single" w:color="000000" w:sz="4" w:space="0"/>
              <w:bottom w:val="single" w:color="000000" w:sz="4" w:space="0"/>
              <w:right w:val="single" w:color="000000" w:sz="4" w:space="0"/>
            </w:tcBorders>
            <w:vAlign w:val="center"/>
          </w:tcPr>
          <w:p w14:paraId="162DCDAA">
            <w:pPr>
              <w:pStyle w:val="45"/>
              <w:spacing w:beforeLines="0" w:afterLines="0" w:line="500" w:lineRule="exact"/>
              <w:rPr>
                <w:rFonts w:ascii="宋体" w:hAnsi="宋体" w:eastAsia="宋体" w:cs="宋体"/>
                <w:color w:val="auto"/>
              </w:rPr>
            </w:pPr>
          </w:p>
        </w:tc>
      </w:tr>
      <w:tr w14:paraId="60E4F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4FD8FBEB">
            <w:pPr>
              <w:pStyle w:val="45"/>
              <w:spacing w:beforeLines="0" w:afterLines="0" w:line="500" w:lineRule="exact"/>
              <w:rPr>
                <w:rFonts w:ascii="宋体" w:hAnsi="宋体" w:eastAsia="宋体" w:cs="宋体"/>
                <w:color w:val="auto"/>
              </w:rPr>
            </w:pPr>
            <w:r>
              <w:rPr>
                <w:rFonts w:hint="eastAsia" w:ascii="宋体" w:hAnsi="宋体" w:eastAsia="宋体" w:cs="宋体"/>
                <w:color w:val="auto"/>
              </w:rPr>
              <w:t>2</w:t>
            </w:r>
          </w:p>
        </w:tc>
        <w:tc>
          <w:tcPr>
            <w:tcW w:w="1567" w:type="dxa"/>
            <w:tcBorders>
              <w:top w:val="single" w:color="000000" w:sz="4" w:space="0"/>
              <w:left w:val="single" w:color="000000" w:sz="4" w:space="0"/>
              <w:bottom w:val="single" w:color="000000" w:sz="4" w:space="0"/>
              <w:right w:val="single" w:color="000000" w:sz="4" w:space="0"/>
            </w:tcBorders>
            <w:vAlign w:val="center"/>
          </w:tcPr>
          <w:p w14:paraId="62A7B306">
            <w:pPr>
              <w:pStyle w:val="45"/>
              <w:spacing w:beforeLines="0" w:afterLines="0" w:line="500" w:lineRule="exact"/>
              <w:rPr>
                <w:rFonts w:ascii="宋体" w:hAnsi="宋体" w:eastAsia="宋体" w:cs="宋体"/>
                <w:color w:val="auto"/>
              </w:rPr>
            </w:pPr>
            <w:r>
              <w:rPr>
                <w:rFonts w:hint="eastAsia" w:ascii="宋体" w:hAnsi="宋体" w:eastAsia="宋体" w:cs="宋体"/>
                <w:color w:val="auto"/>
              </w:rPr>
              <w:t>粉末活性炭投加系统</w:t>
            </w:r>
          </w:p>
        </w:tc>
        <w:tc>
          <w:tcPr>
            <w:tcW w:w="3072" w:type="dxa"/>
            <w:tcBorders>
              <w:top w:val="single" w:color="000000" w:sz="4" w:space="0"/>
              <w:left w:val="single" w:color="000000" w:sz="4" w:space="0"/>
              <w:bottom w:val="single" w:color="000000" w:sz="4" w:space="0"/>
              <w:right w:val="single" w:color="000000" w:sz="4" w:space="0"/>
            </w:tcBorders>
            <w:vAlign w:val="center"/>
          </w:tcPr>
          <w:p w14:paraId="4A76B6D4">
            <w:pPr>
              <w:pStyle w:val="45"/>
              <w:spacing w:beforeLines="0" w:afterLines="0" w:line="500" w:lineRule="exact"/>
              <w:rPr>
                <w:rFonts w:ascii="宋体" w:hAnsi="宋体" w:eastAsia="宋体" w:cs="宋体"/>
                <w:color w:val="auto"/>
              </w:rPr>
            </w:pPr>
            <w:r>
              <w:rPr>
                <w:rFonts w:hint="eastAsia" w:ascii="宋体" w:hAnsi="宋体" w:eastAsia="宋体" w:cs="宋体"/>
                <w:color w:val="auto"/>
              </w:rPr>
              <w:t xml:space="preserve"> 投加量 5-30mg/L ，制备浓度为1%</w:t>
            </w:r>
            <w:r>
              <w:rPr>
                <w:rFonts w:hint="eastAsia" w:ascii="宋体" w:hAnsi="宋体" w:eastAsia="宋体" w:cs="宋体"/>
                <w:color w:val="auto"/>
                <w:sz w:val="21"/>
                <w:szCs w:val="21"/>
                <w:lang w:eastAsia="zh-CN"/>
              </w:rPr>
              <w:t>～</w:t>
            </w:r>
            <w:r>
              <w:rPr>
                <w:rFonts w:hint="eastAsia" w:ascii="宋体" w:hAnsi="宋体" w:eastAsia="宋体" w:cs="宋体"/>
                <w:color w:val="auto"/>
              </w:rPr>
              <w:t xml:space="preserve">5%  </w:t>
            </w:r>
          </w:p>
        </w:tc>
        <w:tc>
          <w:tcPr>
            <w:tcW w:w="849" w:type="dxa"/>
            <w:tcBorders>
              <w:top w:val="single" w:color="000000" w:sz="4" w:space="0"/>
              <w:left w:val="single" w:color="000000" w:sz="4" w:space="0"/>
              <w:bottom w:val="single" w:color="000000" w:sz="4" w:space="0"/>
              <w:right w:val="single" w:color="000000" w:sz="4" w:space="0"/>
            </w:tcBorders>
            <w:vAlign w:val="center"/>
          </w:tcPr>
          <w:p w14:paraId="07915A2E">
            <w:pPr>
              <w:pStyle w:val="45"/>
              <w:spacing w:beforeLines="0" w:afterLines="0" w:line="500" w:lineRule="exact"/>
              <w:rPr>
                <w:rFonts w:ascii="宋体" w:hAnsi="宋体" w:eastAsia="宋体" w:cs="宋体"/>
                <w:color w:val="auto"/>
              </w:rPr>
            </w:pPr>
            <w:r>
              <w:rPr>
                <w:rFonts w:hint="eastAsia" w:ascii="宋体" w:hAnsi="宋体" w:eastAsia="宋体" w:cs="宋体"/>
                <w:color w:val="auto"/>
              </w:rPr>
              <w:t>套</w:t>
            </w:r>
          </w:p>
        </w:tc>
        <w:tc>
          <w:tcPr>
            <w:tcW w:w="896" w:type="dxa"/>
            <w:tcBorders>
              <w:top w:val="single" w:color="000000" w:sz="4" w:space="0"/>
              <w:left w:val="single" w:color="000000" w:sz="4" w:space="0"/>
              <w:bottom w:val="single" w:color="000000" w:sz="4" w:space="0"/>
              <w:right w:val="single" w:color="000000" w:sz="4" w:space="0"/>
            </w:tcBorders>
            <w:vAlign w:val="center"/>
          </w:tcPr>
          <w:p w14:paraId="641A44B9">
            <w:pPr>
              <w:pStyle w:val="45"/>
              <w:spacing w:beforeLines="0" w:afterLines="0" w:line="500" w:lineRule="exact"/>
              <w:rPr>
                <w:rFonts w:ascii="宋体" w:hAnsi="宋体" w:eastAsia="宋体" w:cs="宋体"/>
                <w:color w:val="auto"/>
              </w:rPr>
            </w:pPr>
            <w:r>
              <w:rPr>
                <w:rFonts w:hint="eastAsia" w:ascii="宋体" w:hAnsi="宋体" w:eastAsia="宋体" w:cs="宋体"/>
                <w:color w:val="auto"/>
              </w:rPr>
              <w:t>1</w:t>
            </w:r>
          </w:p>
        </w:tc>
        <w:tc>
          <w:tcPr>
            <w:tcW w:w="1203" w:type="dxa"/>
            <w:tcBorders>
              <w:top w:val="single" w:color="000000" w:sz="4" w:space="0"/>
              <w:left w:val="single" w:color="000000" w:sz="4" w:space="0"/>
              <w:bottom w:val="single" w:color="000000" w:sz="4" w:space="0"/>
              <w:right w:val="single" w:color="000000" w:sz="4" w:space="0"/>
            </w:tcBorders>
            <w:vAlign w:val="center"/>
          </w:tcPr>
          <w:p w14:paraId="13474716">
            <w:pPr>
              <w:pStyle w:val="45"/>
              <w:spacing w:beforeLines="0" w:afterLines="0" w:line="500" w:lineRule="exact"/>
              <w:rPr>
                <w:rFonts w:ascii="宋体" w:hAnsi="宋体" w:eastAsia="宋体" w:cs="宋体"/>
                <w:color w:val="auto"/>
              </w:rPr>
            </w:pPr>
            <w:r>
              <w:rPr>
                <w:rFonts w:hint="eastAsia" w:ascii="宋体" w:hAnsi="宋体" w:eastAsia="宋体" w:cs="宋体"/>
                <w:color w:val="auto"/>
              </w:rPr>
              <w:t>三厂取水泵房</w:t>
            </w:r>
          </w:p>
        </w:tc>
        <w:tc>
          <w:tcPr>
            <w:tcW w:w="1446" w:type="dxa"/>
            <w:tcBorders>
              <w:top w:val="single" w:color="000000" w:sz="4" w:space="0"/>
              <w:left w:val="single" w:color="000000" w:sz="4" w:space="0"/>
              <w:bottom w:val="single" w:color="000000" w:sz="4" w:space="0"/>
              <w:right w:val="single" w:color="000000" w:sz="4" w:space="0"/>
            </w:tcBorders>
            <w:vAlign w:val="center"/>
          </w:tcPr>
          <w:p w14:paraId="2A1879F6">
            <w:pPr>
              <w:pStyle w:val="45"/>
              <w:spacing w:beforeLines="0" w:afterLines="0" w:line="500" w:lineRule="exact"/>
              <w:rPr>
                <w:rFonts w:ascii="宋体" w:hAnsi="宋体" w:eastAsia="宋体" w:cs="宋体"/>
                <w:color w:val="auto"/>
              </w:rPr>
            </w:pPr>
          </w:p>
        </w:tc>
      </w:tr>
    </w:tbl>
    <w:p w14:paraId="486C2BA3">
      <w:pPr>
        <w:pStyle w:val="6"/>
        <w:spacing w:before="0" w:beforeLines="0" w:after="0" w:afterLines="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3.5 水厂滤池气浮工艺改造</w:t>
      </w:r>
    </w:p>
    <w:p w14:paraId="115F37D9">
      <w:pPr>
        <w:spacing w:beforeLines="0" w:afterLines="0" w:line="500" w:lineRule="exact"/>
        <w:ind w:firstLine="420" w:firstLineChars="200"/>
        <w:jc w:val="left"/>
        <w:rPr>
          <w:rFonts w:ascii="宋体" w:hAnsi="宋体" w:cs="宋体"/>
          <w:bCs/>
          <w:color w:val="auto"/>
          <w:szCs w:val="21"/>
        </w:rPr>
      </w:pPr>
      <w:r>
        <w:rPr>
          <w:rFonts w:hint="eastAsia" w:ascii="宋体" w:hAnsi="宋体" w:cs="宋体"/>
          <w:bCs/>
          <w:color w:val="auto"/>
          <w:szCs w:val="21"/>
        </w:rPr>
        <w:t>西涧湖水库、黄栗树水库和沙河集水库原水藻类基本维持在1</w:t>
      </w:r>
      <w:r>
        <w:rPr>
          <w:rFonts w:hint="eastAsia" w:ascii="宋体" w:hAnsi="宋体" w:eastAsia="宋体" w:cs="宋体"/>
          <w:color w:val="auto"/>
          <w:sz w:val="21"/>
          <w:szCs w:val="21"/>
          <w:lang w:eastAsia="zh-CN"/>
        </w:rPr>
        <w:t>～</w:t>
      </w:r>
      <w:r>
        <w:rPr>
          <w:rFonts w:hint="eastAsia" w:ascii="宋体" w:hAnsi="宋体" w:cs="宋体"/>
          <w:bCs/>
          <w:color w:val="auto"/>
          <w:szCs w:val="21"/>
        </w:rPr>
        <w:t>3×10</w:t>
      </w:r>
      <w:r>
        <w:rPr>
          <w:rFonts w:hint="eastAsia" w:ascii="宋体" w:hAnsi="宋体" w:cs="宋体"/>
          <w:bCs/>
          <w:color w:val="auto"/>
          <w:szCs w:val="21"/>
          <w:vertAlign w:val="superscript"/>
        </w:rPr>
        <w:t>7</w:t>
      </w:r>
      <w:r>
        <w:rPr>
          <w:rFonts w:hint="eastAsia" w:ascii="宋体" w:hAnsi="宋体" w:cs="宋体"/>
          <w:bCs/>
          <w:color w:val="auto"/>
          <w:szCs w:val="21"/>
        </w:rPr>
        <w:t>个/L之间，高峰时达到11</w:t>
      </w:r>
      <w:bookmarkStart w:id="734" w:name="OLE_LINK26"/>
      <w:r>
        <w:rPr>
          <w:rFonts w:hint="eastAsia" w:ascii="宋体" w:hAnsi="宋体" w:eastAsia="宋体" w:cs="宋体"/>
          <w:color w:val="auto"/>
          <w:sz w:val="21"/>
          <w:szCs w:val="21"/>
          <w:lang w:eastAsia="zh-CN"/>
        </w:rPr>
        <w:t>～</w:t>
      </w:r>
      <w:bookmarkEnd w:id="734"/>
      <w:r>
        <w:rPr>
          <w:rFonts w:hint="eastAsia" w:ascii="宋体" w:hAnsi="宋体" w:cs="宋体"/>
          <w:bCs/>
          <w:color w:val="auto"/>
          <w:szCs w:val="21"/>
        </w:rPr>
        <w:t>15×10</w:t>
      </w:r>
      <w:r>
        <w:rPr>
          <w:rFonts w:hint="eastAsia" w:ascii="宋体" w:hAnsi="宋体" w:cs="宋体"/>
          <w:bCs/>
          <w:color w:val="auto"/>
          <w:szCs w:val="21"/>
          <w:vertAlign w:val="superscript"/>
        </w:rPr>
        <w:t>7</w:t>
      </w:r>
      <w:r>
        <w:rPr>
          <w:rFonts w:hint="eastAsia" w:ascii="宋体" w:hAnsi="宋体" w:cs="宋体"/>
          <w:bCs/>
          <w:color w:val="auto"/>
          <w:szCs w:val="21"/>
        </w:rPr>
        <w:t>个/L，均对出厂水水质产生严重影响。要求在西涧湖水厂二车间、第三水厂、第四水厂现状滤池设计压力溶气气浮除藻工艺设备，通过</w:t>
      </w:r>
      <w:bookmarkStart w:id="735" w:name="OLE_LINK27"/>
      <w:r>
        <w:rPr>
          <w:rFonts w:hint="eastAsia" w:ascii="宋体" w:hAnsi="宋体" w:cs="宋体"/>
          <w:bCs/>
          <w:color w:val="auto"/>
          <w:szCs w:val="21"/>
        </w:rPr>
        <w:t>压力溶气气浮工艺</w:t>
      </w:r>
      <w:bookmarkEnd w:id="735"/>
      <w:r>
        <w:rPr>
          <w:rFonts w:hint="eastAsia" w:ascii="宋体" w:hAnsi="宋体" w:cs="宋体"/>
          <w:bCs/>
          <w:color w:val="auto"/>
          <w:szCs w:val="21"/>
        </w:rPr>
        <w:t>进行降藻。</w:t>
      </w:r>
    </w:p>
    <w:p w14:paraId="58C47D01">
      <w:pPr>
        <w:pStyle w:val="6"/>
        <w:spacing w:before="0" w:beforeLines="0" w:after="0" w:afterLines="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3.5.1设计规模</w:t>
      </w:r>
    </w:p>
    <w:p w14:paraId="0EF0F5C4">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西涧湖水厂第二车间设计规模为10万m</w:t>
      </w:r>
      <w:r>
        <w:rPr>
          <w:rFonts w:hint="eastAsia" w:ascii="宋体" w:hAnsi="宋体" w:cs="宋体"/>
          <w:color w:val="auto"/>
          <w:szCs w:val="21"/>
          <w:vertAlign w:val="superscript"/>
        </w:rPr>
        <w:t>3</w:t>
      </w:r>
      <w:r>
        <w:rPr>
          <w:rFonts w:hint="eastAsia" w:ascii="宋体" w:hAnsi="宋体" w:cs="宋体"/>
          <w:color w:val="auto"/>
          <w:szCs w:val="21"/>
        </w:rPr>
        <w:t>/d，共两组双阀滤池，单组滤池为8格。计划新增2套溶气气浮系统，单套溶气气浮系统对应一组滤池，设计规模为5万m</w:t>
      </w:r>
      <w:r>
        <w:rPr>
          <w:rFonts w:hint="eastAsia" w:ascii="宋体" w:hAnsi="宋体" w:cs="宋体"/>
          <w:color w:val="auto"/>
          <w:szCs w:val="21"/>
          <w:vertAlign w:val="superscript"/>
        </w:rPr>
        <w:t>3</w:t>
      </w:r>
      <w:r>
        <w:rPr>
          <w:rFonts w:hint="eastAsia" w:ascii="宋体" w:hAnsi="宋体" w:cs="宋体"/>
          <w:color w:val="auto"/>
          <w:szCs w:val="21"/>
        </w:rPr>
        <w:t>/d。</w:t>
      </w:r>
    </w:p>
    <w:p w14:paraId="15D1A8E3">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第三水厂按设计规模10万m</w:t>
      </w:r>
      <w:r>
        <w:rPr>
          <w:rFonts w:hint="eastAsia" w:ascii="宋体" w:hAnsi="宋体" w:cs="宋体"/>
          <w:color w:val="auto"/>
          <w:szCs w:val="21"/>
          <w:vertAlign w:val="superscript"/>
        </w:rPr>
        <w:t>3</w:t>
      </w:r>
      <w:r>
        <w:rPr>
          <w:rFonts w:hint="eastAsia" w:ascii="宋体" w:hAnsi="宋体" w:cs="宋体"/>
          <w:color w:val="auto"/>
          <w:szCs w:val="21"/>
        </w:rPr>
        <w:t>/d计，共两组V型滤池，单组滤池为4格。计划新增1套溶气气浮系统，设计规模为10万m</w:t>
      </w:r>
      <w:r>
        <w:rPr>
          <w:rFonts w:hint="eastAsia" w:ascii="宋体" w:hAnsi="宋体" w:cs="宋体"/>
          <w:color w:val="auto"/>
          <w:szCs w:val="21"/>
          <w:vertAlign w:val="superscript"/>
        </w:rPr>
        <w:t>3</w:t>
      </w:r>
      <w:r>
        <w:rPr>
          <w:rFonts w:hint="eastAsia" w:ascii="宋体" w:hAnsi="宋体" w:cs="宋体"/>
          <w:color w:val="auto"/>
          <w:szCs w:val="21"/>
        </w:rPr>
        <w:t>/d。</w:t>
      </w:r>
    </w:p>
    <w:p w14:paraId="009AAA9D">
      <w:pPr>
        <w:pStyle w:val="11"/>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第四水厂现状设计规模为20万m</w:t>
      </w:r>
      <w:r>
        <w:rPr>
          <w:rFonts w:hint="eastAsia" w:ascii="宋体" w:hAnsi="宋体" w:cs="宋体"/>
          <w:color w:val="auto"/>
          <w:szCs w:val="21"/>
          <w:vertAlign w:val="superscript"/>
        </w:rPr>
        <w:t>3</w:t>
      </w:r>
      <w:r>
        <w:rPr>
          <w:rFonts w:hint="eastAsia" w:ascii="宋体" w:hAnsi="宋体" w:cs="宋体"/>
          <w:color w:val="auto"/>
          <w:szCs w:val="21"/>
        </w:rPr>
        <w:t>/d，共四组V型滤池，单组滤池为4格。计划新增4套溶气气浮系统，单套</w:t>
      </w:r>
      <w:bookmarkStart w:id="736" w:name="OLE_LINK28"/>
      <w:r>
        <w:rPr>
          <w:rFonts w:hint="eastAsia" w:ascii="宋体" w:hAnsi="宋体" w:cs="宋体"/>
          <w:color w:val="auto"/>
          <w:szCs w:val="21"/>
        </w:rPr>
        <w:t>溶气气浮系统</w:t>
      </w:r>
      <w:bookmarkEnd w:id="736"/>
      <w:r>
        <w:rPr>
          <w:rFonts w:hint="eastAsia" w:ascii="宋体" w:hAnsi="宋体" w:cs="宋体"/>
          <w:color w:val="auto"/>
          <w:szCs w:val="21"/>
        </w:rPr>
        <w:t>对应一组滤池，设计规模为5万m</w:t>
      </w:r>
      <w:r>
        <w:rPr>
          <w:rFonts w:hint="eastAsia" w:ascii="宋体" w:hAnsi="宋体" w:cs="宋体"/>
          <w:color w:val="auto"/>
          <w:szCs w:val="21"/>
          <w:vertAlign w:val="superscript"/>
        </w:rPr>
        <w:t>3</w:t>
      </w:r>
      <w:r>
        <w:rPr>
          <w:rFonts w:hint="eastAsia" w:ascii="宋体" w:hAnsi="宋体" w:cs="宋体"/>
          <w:color w:val="auto"/>
          <w:szCs w:val="21"/>
        </w:rPr>
        <w:t>/d。</w:t>
      </w:r>
    </w:p>
    <w:p w14:paraId="1FCCF9A0">
      <w:pPr>
        <w:pStyle w:val="6"/>
        <w:spacing w:before="0" w:beforeLines="0" w:after="0" w:afterLines="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3.5.2 溶气气浮系统设计</w:t>
      </w:r>
    </w:p>
    <w:p w14:paraId="0B9100F7">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溶气气浮系统包含加压水泵、空气压缩机、溶气罐、真空排渣装置、表面冲洗装置和电控装置等组成。</w:t>
      </w:r>
    </w:p>
    <w:p w14:paraId="50E122B7">
      <w:pPr>
        <w:numPr>
          <w:ilvl w:val="0"/>
          <w:numId w:val="5"/>
        </w:num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加压水泵</w:t>
      </w:r>
    </w:p>
    <w:p w14:paraId="256C39AE">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选择合适的加压水泵，其压力应根据溶气罐的溶气压力确定，既要保证足够的溶气量，又要避免压力过高导致气泡合并，影响气浮效果。同时，水泵的流量应满足气浮池的处理水量要求。</w:t>
      </w:r>
    </w:p>
    <w:p w14:paraId="733CCEEE">
      <w:pPr>
        <w:numPr>
          <w:ilvl w:val="0"/>
          <w:numId w:val="5"/>
        </w:num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空气压缩机</w:t>
      </w:r>
    </w:p>
    <w:p w14:paraId="4CA5CCAC">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空气压缩机应具备出气速度快、出气压力高、运行噪音低等特点，其产气量和压力需与溶气罐的溶气需求相匹配，确保能够为溶气罐提供充足的压缩空气。</w:t>
      </w:r>
    </w:p>
    <w:p w14:paraId="607A13AA">
      <w:pPr>
        <w:numPr>
          <w:ilvl w:val="0"/>
          <w:numId w:val="5"/>
        </w:num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溶气罐</w:t>
      </w:r>
    </w:p>
    <w:p w14:paraId="40D7489E">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溶气罐是实现水和空气接触、溶解的关键设备，宜采用能耗低、溶气效率高的喷淋式填料罐。溶气罐的容积应根据所选工艺流程和处理水量确定，同时要考虑溶气罐内的填料类型和布置方式，以提高溶气效率。</w:t>
      </w:r>
    </w:p>
    <w:p w14:paraId="057814B1">
      <w:pPr>
        <w:pStyle w:val="11"/>
        <w:numPr>
          <w:ilvl w:val="0"/>
          <w:numId w:val="5"/>
        </w:num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释放器 </w:t>
      </w:r>
    </w:p>
    <w:p w14:paraId="04DD18CD">
      <w:pPr>
        <w:pStyle w:val="11"/>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选择合适的释放器，其性能直接影响气泡的形成和分布。释放器应能够将溶气水中的空气以微小气泡的形式均匀释放出来，气泡直径越小，气浮效果越好，但也要考虑气泡的上浮速度和对水体的扰动等因素。</w:t>
      </w:r>
    </w:p>
    <w:p w14:paraId="56190420">
      <w:pPr>
        <w:pStyle w:val="11"/>
        <w:numPr>
          <w:ilvl w:val="0"/>
          <w:numId w:val="5"/>
        </w:num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真空排渣装置</w:t>
      </w:r>
    </w:p>
    <w:p w14:paraId="2F8F9FD3">
      <w:pPr>
        <w:pStyle w:val="11"/>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排渣装置应运行稳定，能够及时将浮渣吸除并排出气浮池，避免浮渣堆积影响气浮效果和池体的有效容积。</w:t>
      </w:r>
    </w:p>
    <w:p w14:paraId="23EA18EA">
      <w:pPr>
        <w:pStyle w:val="11"/>
        <w:numPr>
          <w:ilvl w:val="0"/>
          <w:numId w:val="5"/>
        </w:num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电气控制箱</w:t>
      </w:r>
    </w:p>
    <w:p w14:paraId="57C2C72A">
      <w:pPr>
        <w:pStyle w:val="11"/>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应符合相关标准规定，具备可靠的接地措施，电气控制装置的绝缘电阻应满足要求，以保证设备的安全运行和操作人员的人身安全。</w:t>
      </w:r>
    </w:p>
    <w:p w14:paraId="30A7FAD7">
      <w:pPr>
        <w:pStyle w:val="11"/>
        <w:numPr>
          <w:ilvl w:val="0"/>
          <w:numId w:val="5"/>
        </w:num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自动化控制</w:t>
      </w:r>
    </w:p>
    <w:p w14:paraId="0DEF2806">
      <w:pPr>
        <w:spacing w:beforeLines="0" w:afterLines="0" w:line="500" w:lineRule="exact"/>
        <w:ind w:firstLine="420" w:firstLineChars="200"/>
        <w:jc w:val="left"/>
        <w:rPr>
          <w:color w:val="auto"/>
        </w:rPr>
      </w:pPr>
      <w:r>
        <w:rPr>
          <w:rFonts w:hint="eastAsia" w:ascii="宋体" w:hAnsi="宋体" w:cs="宋体"/>
          <w:color w:val="auto"/>
          <w:szCs w:val="21"/>
        </w:rPr>
        <w:t>各气浮装置主要用电设备可以现场手动控制和PLC自动控制，正常情况下，各用电设备均由自控系统根据工艺流程要求实现自动控制。自控子站可采用线缆与上级PLC主站通讯。</w:t>
      </w:r>
    </w:p>
    <w:p w14:paraId="0C7E4B65">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四、专业技术要求</w:t>
      </w:r>
      <w:bookmarkEnd w:id="732"/>
      <w:bookmarkEnd w:id="733"/>
    </w:p>
    <w:p w14:paraId="05D81E43">
      <w:pPr>
        <w:pStyle w:val="6"/>
        <w:spacing w:before="93" w:beforeLines="30" w:after="93" w:afterLines="30" w:line="50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特别说明：中标人可根据深化后的内容完善和补充设备工程量，但不得低于招标人提供的基本配置量。</w:t>
      </w:r>
    </w:p>
    <w:p w14:paraId="605FA0C7">
      <w:pPr>
        <w:pStyle w:val="6"/>
        <w:spacing w:before="93" w:beforeLines="30" w:after="93" w:afterLines="30" w:line="500" w:lineRule="exact"/>
        <w:jc w:val="left"/>
        <w:rPr>
          <w:rFonts w:ascii="宋体" w:hAnsi="宋体" w:cs="宋体"/>
          <w:color w:val="auto"/>
          <w:sz w:val="21"/>
          <w:szCs w:val="21"/>
        </w:rPr>
      </w:pPr>
      <w:r>
        <w:rPr>
          <w:rFonts w:hint="eastAsia" w:ascii="宋体" w:hAnsi="宋体" w:cs="宋体"/>
          <w:color w:val="auto"/>
          <w:sz w:val="21"/>
          <w:szCs w:val="21"/>
        </w:rPr>
        <w:t>4.1主要工程量清单</w:t>
      </w:r>
    </w:p>
    <w:p w14:paraId="71473288">
      <w:pPr>
        <w:pStyle w:val="6"/>
        <w:spacing w:before="0" w:after="0" w:line="500" w:lineRule="exact"/>
        <w:jc w:val="center"/>
        <w:rPr>
          <w:rFonts w:ascii="宋体" w:hAnsi="宋体" w:cs="宋体"/>
          <w:color w:val="auto"/>
          <w:sz w:val="22"/>
          <w:szCs w:val="21"/>
        </w:rPr>
      </w:pPr>
      <w:r>
        <w:rPr>
          <w:rFonts w:hint="eastAsia" w:ascii="宋体" w:hAnsi="宋体" w:cs="宋体"/>
          <w:color w:val="auto"/>
          <w:sz w:val="22"/>
          <w:szCs w:val="21"/>
        </w:rPr>
        <w:t>表4-1 主要工程量表</w:t>
      </w:r>
    </w:p>
    <w:tbl>
      <w:tblPr>
        <w:tblStyle w:val="23"/>
        <w:tblW w:w="0" w:type="auto"/>
        <w:tblInd w:w="-388" w:type="dxa"/>
        <w:tblLayout w:type="fixed"/>
        <w:tblCellMar>
          <w:top w:w="0" w:type="dxa"/>
          <w:left w:w="108" w:type="dxa"/>
          <w:bottom w:w="0" w:type="dxa"/>
          <w:right w:w="108" w:type="dxa"/>
        </w:tblCellMar>
      </w:tblPr>
      <w:tblGrid>
        <w:gridCol w:w="1110"/>
        <w:gridCol w:w="1725"/>
        <w:gridCol w:w="1545"/>
        <w:gridCol w:w="1470"/>
        <w:gridCol w:w="1248"/>
        <w:gridCol w:w="482"/>
        <w:gridCol w:w="1105"/>
        <w:gridCol w:w="1920"/>
      </w:tblGrid>
      <w:tr w14:paraId="19F0D827">
        <w:tblPrEx>
          <w:tblCellMar>
            <w:top w:w="0" w:type="dxa"/>
            <w:left w:w="108" w:type="dxa"/>
            <w:bottom w:w="0" w:type="dxa"/>
            <w:right w:w="108" w:type="dxa"/>
          </w:tblCellMar>
        </w:tblPrEx>
        <w:trPr>
          <w:trHeight w:val="20" w:hRule="atLeast"/>
          <w:tblHeader/>
        </w:trPr>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5E9DA8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725" w:type="dxa"/>
            <w:tcBorders>
              <w:top w:val="single" w:color="auto" w:sz="4" w:space="0"/>
              <w:left w:val="nil"/>
              <w:bottom w:val="single" w:color="auto" w:sz="4" w:space="0"/>
              <w:right w:val="single" w:color="auto" w:sz="4" w:space="0"/>
            </w:tcBorders>
            <w:shd w:val="clear" w:color="auto" w:fill="auto"/>
            <w:vAlign w:val="center"/>
          </w:tcPr>
          <w:p w14:paraId="087C90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标准或图号</w:t>
            </w:r>
          </w:p>
        </w:tc>
        <w:tc>
          <w:tcPr>
            <w:tcW w:w="1545" w:type="dxa"/>
            <w:tcBorders>
              <w:top w:val="single" w:color="auto" w:sz="4" w:space="0"/>
              <w:left w:val="nil"/>
              <w:bottom w:val="single" w:color="auto" w:sz="4" w:space="0"/>
              <w:right w:val="single" w:color="auto" w:sz="4" w:space="0"/>
            </w:tcBorders>
            <w:shd w:val="clear" w:color="auto" w:fill="auto"/>
            <w:vAlign w:val="center"/>
          </w:tcPr>
          <w:p w14:paraId="04055A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名称</w:t>
            </w:r>
          </w:p>
        </w:tc>
        <w:tc>
          <w:tcPr>
            <w:tcW w:w="1470" w:type="dxa"/>
            <w:tcBorders>
              <w:top w:val="single" w:color="auto" w:sz="4" w:space="0"/>
              <w:left w:val="nil"/>
              <w:bottom w:val="single" w:color="auto" w:sz="4" w:space="0"/>
              <w:right w:val="single" w:color="auto" w:sz="4" w:space="0"/>
            </w:tcBorders>
            <w:shd w:val="clear" w:color="auto" w:fill="auto"/>
            <w:vAlign w:val="center"/>
          </w:tcPr>
          <w:p w14:paraId="7BD1F1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规格</w:t>
            </w:r>
          </w:p>
        </w:tc>
        <w:tc>
          <w:tcPr>
            <w:tcW w:w="1248" w:type="dxa"/>
            <w:tcBorders>
              <w:top w:val="single" w:color="auto" w:sz="4" w:space="0"/>
              <w:left w:val="nil"/>
              <w:bottom w:val="single" w:color="auto" w:sz="4" w:space="0"/>
              <w:right w:val="single" w:color="auto" w:sz="4" w:space="0"/>
            </w:tcBorders>
            <w:shd w:val="clear" w:color="auto" w:fill="auto"/>
            <w:vAlign w:val="center"/>
          </w:tcPr>
          <w:p w14:paraId="2BB170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材料</w:t>
            </w:r>
          </w:p>
        </w:tc>
        <w:tc>
          <w:tcPr>
            <w:tcW w:w="482" w:type="dxa"/>
            <w:tcBorders>
              <w:top w:val="single" w:color="auto" w:sz="4" w:space="0"/>
              <w:left w:val="nil"/>
              <w:bottom w:val="single" w:color="auto" w:sz="4" w:space="0"/>
              <w:right w:val="single" w:color="auto" w:sz="4" w:space="0"/>
            </w:tcBorders>
            <w:shd w:val="clear" w:color="auto" w:fill="auto"/>
            <w:vAlign w:val="center"/>
          </w:tcPr>
          <w:p w14:paraId="324723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w:t>
            </w:r>
          </w:p>
        </w:tc>
        <w:tc>
          <w:tcPr>
            <w:tcW w:w="1105" w:type="dxa"/>
            <w:tcBorders>
              <w:top w:val="single" w:color="auto" w:sz="4" w:space="0"/>
              <w:left w:val="nil"/>
              <w:bottom w:val="single" w:color="auto" w:sz="4" w:space="0"/>
              <w:right w:val="single" w:color="auto" w:sz="4" w:space="0"/>
            </w:tcBorders>
            <w:shd w:val="clear" w:color="auto" w:fill="auto"/>
            <w:vAlign w:val="center"/>
          </w:tcPr>
          <w:p w14:paraId="24112C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w:t>
            </w:r>
          </w:p>
        </w:tc>
        <w:tc>
          <w:tcPr>
            <w:tcW w:w="1920" w:type="dxa"/>
            <w:tcBorders>
              <w:top w:val="single" w:color="auto" w:sz="4" w:space="0"/>
              <w:left w:val="nil"/>
              <w:bottom w:val="single" w:color="auto" w:sz="4" w:space="0"/>
              <w:right w:val="single" w:color="auto" w:sz="4" w:space="0"/>
            </w:tcBorders>
            <w:shd w:val="clear" w:color="auto" w:fill="auto"/>
            <w:vAlign w:val="center"/>
          </w:tcPr>
          <w:p w14:paraId="62A21C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备注</w:t>
            </w:r>
          </w:p>
        </w:tc>
      </w:tr>
      <w:tr w14:paraId="57204F5C">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53A683C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子项一：</w:t>
            </w:r>
          </w:p>
        </w:tc>
        <w:tc>
          <w:tcPr>
            <w:tcW w:w="1725" w:type="dxa"/>
            <w:tcBorders>
              <w:top w:val="nil"/>
              <w:left w:val="nil"/>
              <w:bottom w:val="single" w:color="auto" w:sz="4" w:space="0"/>
              <w:right w:val="single" w:color="auto" w:sz="4" w:space="0"/>
            </w:tcBorders>
            <w:shd w:val="clear" w:color="auto" w:fill="auto"/>
            <w:vAlign w:val="center"/>
          </w:tcPr>
          <w:p w14:paraId="1EB2C65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45971C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470" w:type="dxa"/>
            <w:tcBorders>
              <w:top w:val="nil"/>
              <w:left w:val="nil"/>
              <w:bottom w:val="single" w:color="auto" w:sz="4" w:space="0"/>
              <w:right w:val="single" w:color="auto" w:sz="4" w:space="0"/>
            </w:tcBorders>
            <w:shd w:val="clear" w:color="auto" w:fill="auto"/>
            <w:vAlign w:val="center"/>
          </w:tcPr>
          <w:p w14:paraId="6ED894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48" w:type="dxa"/>
            <w:tcBorders>
              <w:top w:val="nil"/>
              <w:left w:val="nil"/>
              <w:bottom w:val="single" w:color="auto" w:sz="4" w:space="0"/>
              <w:right w:val="single" w:color="auto" w:sz="4" w:space="0"/>
            </w:tcBorders>
            <w:shd w:val="clear" w:color="auto" w:fill="auto"/>
            <w:vAlign w:val="center"/>
          </w:tcPr>
          <w:p w14:paraId="1A5B80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nil"/>
              <w:bottom w:val="single" w:color="auto" w:sz="4" w:space="0"/>
              <w:right w:val="single" w:color="auto" w:sz="4" w:space="0"/>
            </w:tcBorders>
            <w:shd w:val="clear" w:color="auto" w:fill="auto"/>
            <w:vAlign w:val="center"/>
          </w:tcPr>
          <w:p w14:paraId="47BB86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105" w:type="dxa"/>
            <w:tcBorders>
              <w:top w:val="nil"/>
              <w:left w:val="nil"/>
              <w:bottom w:val="single" w:color="auto" w:sz="4" w:space="0"/>
              <w:right w:val="single" w:color="auto" w:sz="4" w:space="0"/>
            </w:tcBorders>
            <w:shd w:val="clear" w:color="auto" w:fill="auto"/>
            <w:vAlign w:val="center"/>
          </w:tcPr>
          <w:p w14:paraId="53C958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920" w:type="dxa"/>
            <w:tcBorders>
              <w:top w:val="nil"/>
              <w:left w:val="nil"/>
              <w:bottom w:val="single" w:color="auto" w:sz="4" w:space="0"/>
              <w:right w:val="single" w:color="auto" w:sz="4" w:space="0"/>
            </w:tcBorders>
            <w:shd w:val="clear" w:color="auto" w:fill="auto"/>
            <w:vAlign w:val="center"/>
          </w:tcPr>
          <w:p w14:paraId="2262B9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3751A217">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13DE7A2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725" w:type="dxa"/>
            <w:tcBorders>
              <w:top w:val="nil"/>
              <w:left w:val="nil"/>
              <w:bottom w:val="single" w:color="auto" w:sz="4" w:space="0"/>
              <w:right w:val="single" w:color="auto" w:sz="4" w:space="0"/>
            </w:tcBorders>
            <w:shd w:val="clear" w:color="auto" w:fill="auto"/>
            <w:vAlign w:val="center"/>
          </w:tcPr>
          <w:p w14:paraId="4997F14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097722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插入式流量计</w:t>
            </w:r>
          </w:p>
        </w:tc>
        <w:tc>
          <w:tcPr>
            <w:tcW w:w="1470" w:type="dxa"/>
            <w:tcBorders>
              <w:top w:val="nil"/>
              <w:left w:val="nil"/>
              <w:bottom w:val="single" w:color="auto" w:sz="4" w:space="0"/>
              <w:right w:val="single" w:color="auto" w:sz="4" w:space="0"/>
            </w:tcBorders>
            <w:shd w:val="clear" w:color="auto" w:fill="auto"/>
            <w:vAlign w:val="center"/>
          </w:tcPr>
          <w:p w14:paraId="7AA722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DN900，PN=0.6MPa</w:t>
            </w:r>
          </w:p>
        </w:tc>
        <w:tc>
          <w:tcPr>
            <w:tcW w:w="1248" w:type="dxa"/>
            <w:tcBorders>
              <w:top w:val="nil"/>
              <w:left w:val="nil"/>
              <w:bottom w:val="single" w:color="auto" w:sz="4" w:space="0"/>
              <w:right w:val="single" w:color="auto" w:sz="4" w:space="0"/>
            </w:tcBorders>
            <w:shd w:val="clear" w:color="auto" w:fill="auto"/>
            <w:vAlign w:val="center"/>
          </w:tcPr>
          <w:p w14:paraId="47D5C3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nil"/>
              <w:bottom w:val="single" w:color="auto" w:sz="4" w:space="0"/>
              <w:right w:val="single" w:color="auto" w:sz="4" w:space="0"/>
            </w:tcBorders>
            <w:shd w:val="clear" w:color="auto" w:fill="auto"/>
            <w:vAlign w:val="center"/>
          </w:tcPr>
          <w:p w14:paraId="02EB56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105" w:type="dxa"/>
            <w:tcBorders>
              <w:top w:val="nil"/>
              <w:left w:val="nil"/>
              <w:bottom w:val="single" w:color="auto" w:sz="4" w:space="0"/>
              <w:right w:val="single" w:color="auto" w:sz="4" w:space="0"/>
            </w:tcBorders>
            <w:shd w:val="clear" w:color="auto" w:fill="auto"/>
            <w:vAlign w:val="center"/>
          </w:tcPr>
          <w:p w14:paraId="636931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20" w:type="dxa"/>
            <w:tcBorders>
              <w:top w:val="nil"/>
              <w:left w:val="nil"/>
              <w:bottom w:val="single" w:color="auto" w:sz="4" w:space="0"/>
              <w:right w:val="single" w:color="auto" w:sz="4" w:space="0"/>
            </w:tcBorders>
            <w:shd w:val="clear" w:color="auto" w:fill="auto"/>
            <w:vAlign w:val="center"/>
          </w:tcPr>
          <w:p w14:paraId="05585C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成品</w:t>
            </w:r>
          </w:p>
        </w:tc>
      </w:tr>
      <w:tr w14:paraId="19A859E5">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7E887D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725" w:type="dxa"/>
            <w:tcBorders>
              <w:top w:val="nil"/>
              <w:left w:val="nil"/>
              <w:bottom w:val="single" w:color="auto" w:sz="4" w:space="0"/>
              <w:right w:val="single" w:color="auto" w:sz="4" w:space="0"/>
            </w:tcBorders>
            <w:shd w:val="clear" w:color="auto" w:fill="auto"/>
            <w:vAlign w:val="center"/>
          </w:tcPr>
          <w:p w14:paraId="2CB4ED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07MS101-2,162</w:t>
            </w:r>
          </w:p>
        </w:tc>
        <w:tc>
          <w:tcPr>
            <w:tcW w:w="1545" w:type="dxa"/>
            <w:tcBorders>
              <w:top w:val="nil"/>
              <w:left w:val="nil"/>
              <w:bottom w:val="single" w:color="auto" w:sz="4" w:space="0"/>
              <w:right w:val="single" w:color="auto" w:sz="4" w:space="0"/>
            </w:tcBorders>
            <w:shd w:val="clear" w:color="auto" w:fill="auto"/>
            <w:vAlign w:val="center"/>
          </w:tcPr>
          <w:p w14:paraId="0842EC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流量计井</w:t>
            </w:r>
          </w:p>
        </w:tc>
        <w:tc>
          <w:tcPr>
            <w:tcW w:w="1470" w:type="dxa"/>
            <w:tcBorders>
              <w:top w:val="nil"/>
              <w:left w:val="nil"/>
              <w:bottom w:val="single" w:color="auto" w:sz="4" w:space="0"/>
              <w:right w:val="single" w:color="auto" w:sz="4" w:space="0"/>
            </w:tcBorders>
            <w:shd w:val="clear" w:color="auto" w:fill="auto"/>
            <w:vAlign w:val="center"/>
          </w:tcPr>
          <w:p w14:paraId="7BA8FE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1400x1600</w:t>
            </w:r>
          </w:p>
        </w:tc>
        <w:tc>
          <w:tcPr>
            <w:tcW w:w="1248" w:type="dxa"/>
            <w:tcBorders>
              <w:top w:val="nil"/>
              <w:left w:val="nil"/>
              <w:bottom w:val="single" w:color="auto" w:sz="4" w:space="0"/>
              <w:right w:val="single" w:color="auto" w:sz="4" w:space="0"/>
            </w:tcBorders>
            <w:shd w:val="clear" w:color="auto" w:fill="auto"/>
            <w:vAlign w:val="center"/>
          </w:tcPr>
          <w:p w14:paraId="3BFFEC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钢筋混凝土</w:t>
            </w:r>
          </w:p>
        </w:tc>
        <w:tc>
          <w:tcPr>
            <w:tcW w:w="482" w:type="dxa"/>
            <w:tcBorders>
              <w:top w:val="nil"/>
              <w:left w:val="nil"/>
              <w:bottom w:val="single" w:color="auto" w:sz="4" w:space="0"/>
              <w:right w:val="single" w:color="auto" w:sz="4" w:space="0"/>
            </w:tcBorders>
            <w:shd w:val="clear" w:color="auto" w:fill="auto"/>
            <w:vAlign w:val="center"/>
          </w:tcPr>
          <w:p w14:paraId="21EAB3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座</w:t>
            </w:r>
          </w:p>
        </w:tc>
        <w:tc>
          <w:tcPr>
            <w:tcW w:w="1105" w:type="dxa"/>
            <w:tcBorders>
              <w:top w:val="nil"/>
              <w:left w:val="nil"/>
              <w:bottom w:val="single" w:color="auto" w:sz="4" w:space="0"/>
              <w:right w:val="single" w:color="auto" w:sz="4" w:space="0"/>
            </w:tcBorders>
            <w:shd w:val="clear" w:color="auto" w:fill="auto"/>
            <w:vAlign w:val="center"/>
          </w:tcPr>
          <w:p w14:paraId="0296DF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20" w:type="dxa"/>
            <w:tcBorders>
              <w:top w:val="nil"/>
              <w:left w:val="nil"/>
              <w:bottom w:val="single" w:color="auto" w:sz="4" w:space="0"/>
              <w:right w:val="single" w:color="auto" w:sz="4" w:space="0"/>
            </w:tcBorders>
            <w:shd w:val="clear" w:color="auto" w:fill="auto"/>
            <w:vAlign w:val="center"/>
          </w:tcPr>
          <w:p w14:paraId="614235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配2个DN900刚性防水套管</w:t>
            </w:r>
          </w:p>
        </w:tc>
      </w:tr>
      <w:tr w14:paraId="6701A1BD">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0B32A3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725" w:type="dxa"/>
            <w:tcBorders>
              <w:top w:val="nil"/>
              <w:left w:val="nil"/>
              <w:bottom w:val="single" w:color="auto" w:sz="4" w:space="0"/>
              <w:right w:val="single" w:color="auto" w:sz="4" w:space="0"/>
            </w:tcBorders>
            <w:shd w:val="clear" w:color="auto" w:fill="auto"/>
            <w:vAlign w:val="center"/>
          </w:tcPr>
          <w:p w14:paraId="26D30FF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4A2EBE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插入式流量计</w:t>
            </w:r>
          </w:p>
        </w:tc>
        <w:tc>
          <w:tcPr>
            <w:tcW w:w="1470" w:type="dxa"/>
            <w:tcBorders>
              <w:top w:val="nil"/>
              <w:left w:val="nil"/>
              <w:bottom w:val="single" w:color="auto" w:sz="4" w:space="0"/>
              <w:right w:val="single" w:color="auto" w:sz="4" w:space="0"/>
            </w:tcBorders>
            <w:shd w:val="clear" w:color="auto" w:fill="auto"/>
            <w:vAlign w:val="center"/>
          </w:tcPr>
          <w:p w14:paraId="004C00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DN1200，PN=0.6MPa</w:t>
            </w:r>
          </w:p>
        </w:tc>
        <w:tc>
          <w:tcPr>
            <w:tcW w:w="1248" w:type="dxa"/>
            <w:tcBorders>
              <w:top w:val="nil"/>
              <w:left w:val="nil"/>
              <w:bottom w:val="single" w:color="auto" w:sz="4" w:space="0"/>
              <w:right w:val="single" w:color="auto" w:sz="4" w:space="0"/>
            </w:tcBorders>
            <w:shd w:val="clear" w:color="auto" w:fill="auto"/>
            <w:vAlign w:val="center"/>
          </w:tcPr>
          <w:p w14:paraId="2FA052A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nil"/>
              <w:bottom w:val="single" w:color="auto" w:sz="4" w:space="0"/>
              <w:right w:val="single" w:color="auto" w:sz="4" w:space="0"/>
            </w:tcBorders>
            <w:shd w:val="clear" w:color="auto" w:fill="auto"/>
            <w:vAlign w:val="center"/>
          </w:tcPr>
          <w:p w14:paraId="49826F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105" w:type="dxa"/>
            <w:tcBorders>
              <w:top w:val="nil"/>
              <w:left w:val="nil"/>
              <w:bottom w:val="single" w:color="auto" w:sz="4" w:space="0"/>
              <w:right w:val="single" w:color="auto" w:sz="4" w:space="0"/>
            </w:tcBorders>
            <w:shd w:val="clear" w:color="auto" w:fill="auto"/>
            <w:vAlign w:val="center"/>
          </w:tcPr>
          <w:p w14:paraId="180D84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20" w:type="dxa"/>
            <w:tcBorders>
              <w:top w:val="nil"/>
              <w:left w:val="nil"/>
              <w:bottom w:val="single" w:color="auto" w:sz="4" w:space="0"/>
              <w:right w:val="single" w:color="auto" w:sz="4" w:space="0"/>
            </w:tcBorders>
            <w:shd w:val="clear" w:color="auto" w:fill="auto"/>
            <w:vAlign w:val="center"/>
          </w:tcPr>
          <w:p w14:paraId="56F4824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成品</w:t>
            </w:r>
          </w:p>
        </w:tc>
      </w:tr>
      <w:tr w14:paraId="007B4058">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027B26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725" w:type="dxa"/>
            <w:tcBorders>
              <w:top w:val="nil"/>
              <w:left w:val="nil"/>
              <w:bottom w:val="single" w:color="auto" w:sz="4" w:space="0"/>
              <w:right w:val="single" w:color="auto" w:sz="4" w:space="0"/>
            </w:tcBorders>
            <w:shd w:val="clear" w:color="auto" w:fill="auto"/>
            <w:vAlign w:val="center"/>
          </w:tcPr>
          <w:p w14:paraId="59770A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07MS101-2,162</w:t>
            </w:r>
          </w:p>
        </w:tc>
        <w:tc>
          <w:tcPr>
            <w:tcW w:w="1545" w:type="dxa"/>
            <w:tcBorders>
              <w:top w:val="nil"/>
              <w:left w:val="nil"/>
              <w:bottom w:val="single" w:color="auto" w:sz="4" w:space="0"/>
              <w:right w:val="single" w:color="auto" w:sz="4" w:space="0"/>
            </w:tcBorders>
            <w:shd w:val="clear" w:color="auto" w:fill="auto"/>
            <w:vAlign w:val="center"/>
          </w:tcPr>
          <w:p w14:paraId="0C4C5D1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流量计井</w:t>
            </w:r>
          </w:p>
        </w:tc>
        <w:tc>
          <w:tcPr>
            <w:tcW w:w="1470" w:type="dxa"/>
            <w:tcBorders>
              <w:top w:val="nil"/>
              <w:left w:val="nil"/>
              <w:bottom w:val="single" w:color="auto" w:sz="4" w:space="0"/>
              <w:right w:val="single" w:color="auto" w:sz="4" w:space="0"/>
            </w:tcBorders>
            <w:shd w:val="clear" w:color="auto" w:fill="auto"/>
            <w:vAlign w:val="center"/>
          </w:tcPr>
          <w:p w14:paraId="64112D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1600x2000</w:t>
            </w:r>
          </w:p>
        </w:tc>
        <w:tc>
          <w:tcPr>
            <w:tcW w:w="1248" w:type="dxa"/>
            <w:tcBorders>
              <w:top w:val="nil"/>
              <w:left w:val="nil"/>
              <w:bottom w:val="single" w:color="auto" w:sz="4" w:space="0"/>
              <w:right w:val="single" w:color="auto" w:sz="4" w:space="0"/>
            </w:tcBorders>
            <w:shd w:val="clear" w:color="auto" w:fill="auto"/>
            <w:vAlign w:val="center"/>
          </w:tcPr>
          <w:p w14:paraId="47E250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钢筋混凝土</w:t>
            </w:r>
          </w:p>
        </w:tc>
        <w:tc>
          <w:tcPr>
            <w:tcW w:w="482" w:type="dxa"/>
            <w:tcBorders>
              <w:top w:val="nil"/>
              <w:left w:val="nil"/>
              <w:bottom w:val="single" w:color="auto" w:sz="4" w:space="0"/>
              <w:right w:val="single" w:color="auto" w:sz="4" w:space="0"/>
            </w:tcBorders>
            <w:shd w:val="clear" w:color="auto" w:fill="auto"/>
            <w:vAlign w:val="center"/>
          </w:tcPr>
          <w:p w14:paraId="48968B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座</w:t>
            </w:r>
          </w:p>
        </w:tc>
        <w:tc>
          <w:tcPr>
            <w:tcW w:w="1105" w:type="dxa"/>
            <w:tcBorders>
              <w:top w:val="nil"/>
              <w:left w:val="nil"/>
              <w:bottom w:val="single" w:color="auto" w:sz="4" w:space="0"/>
              <w:right w:val="single" w:color="auto" w:sz="4" w:space="0"/>
            </w:tcBorders>
            <w:shd w:val="clear" w:color="auto" w:fill="auto"/>
            <w:vAlign w:val="center"/>
          </w:tcPr>
          <w:p w14:paraId="4CF0C0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20" w:type="dxa"/>
            <w:tcBorders>
              <w:top w:val="nil"/>
              <w:left w:val="nil"/>
              <w:bottom w:val="single" w:color="auto" w:sz="4" w:space="0"/>
              <w:right w:val="single" w:color="auto" w:sz="4" w:space="0"/>
            </w:tcBorders>
            <w:shd w:val="clear" w:color="auto" w:fill="auto"/>
            <w:vAlign w:val="center"/>
          </w:tcPr>
          <w:p w14:paraId="703C1D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配2个DN1200刚性防水套管</w:t>
            </w:r>
          </w:p>
        </w:tc>
      </w:tr>
      <w:tr w14:paraId="4A69AE53">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61622A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725" w:type="dxa"/>
            <w:tcBorders>
              <w:top w:val="nil"/>
              <w:left w:val="nil"/>
              <w:bottom w:val="single" w:color="auto" w:sz="4" w:space="0"/>
              <w:right w:val="single" w:color="auto" w:sz="4" w:space="0"/>
            </w:tcBorders>
            <w:shd w:val="clear" w:color="auto" w:fill="auto"/>
            <w:vAlign w:val="center"/>
          </w:tcPr>
          <w:p w14:paraId="62F91C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4354B2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NaClO 加药管</w:t>
            </w:r>
          </w:p>
        </w:tc>
        <w:tc>
          <w:tcPr>
            <w:tcW w:w="1470" w:type="dxa"/>
            <w:tcBorders>
              <w:top w:val="nil"/>
              <w:left w:val="nil"/>
              <w:bottom w:val="single" w:color="auto" w:sz="4" w:space="0"/>
              <w:right w:val="single" w:color="auto" w:sz="4" w:space="0"/>
            </w:tcBorders>
            <w:shd w:val="clear" w:color="auto" w:fill="auto"/>
            <w:vAlign w:val="center"/>
          </w:tcPr>
          <w:p w14:paraId="505DAC8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de25</w:t>
            </w:r>
          </w:p>
        </w:tc>
        <w:tc>
          <w:tcPr>
            <w:tcW w:w="1248" w:type="dxa"/>
            <w:tcBorders>
              <w:top w:val="nil"/>
              <w:left w:val="nil"/>
              <w:bottom w:val="single" w:color="auto" w:sz="4" w:space="0"/>
              <w:right w:val="single" w:color="auto" w:sz="4" w:space="0"/>
            </w:tcBorders>
            <w:shd w:val="clear" w:color="auto" w:fill="auto"/>
            <w:vAlign w:val="center"/>
          </w:tcPr>
          <w:p w14:paraId="0395B3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CPVC化工管</w:t>
            </w:r>
          </w:p>
        </w:tc>
        <w:tc>
          <w:tcPr>
            <w:tcW w:w="482" w:type="dxa"/>
            <w:tcBorders>
              <w:top w:val="nil"/>
              <w:left w:val="nil"/>
              <w:bottom w:val="single" w:color="auto" w:sz="4" w:space="0"/>
              <w:right w:val="single" w:color="auto" w:sz="4" w:space="0"/>
            </w:tcBorders>
            <w:shd w:val="clear" w:color="auto" w:fill="auto"/>
            <w:vAlign w:val="center"/>
          </w:tcPr>
          <w:p w14:paraId="0721C17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米</w:t>
            </w:r>
          </w:p>
        </w:tc>
        <w:tc>
          <w:tcPr>
            <w:tcW w:w="1105" w:type="dxa"/>
            <w:tcBorders>
              <w:top w:val="nil"/>
              <w:left w:val="nil"/>
              <w:bottom w:val="single" w:color="auto" w:sz="4" w:space="0"/>
              <w:right w:val="single" w:color="auto" w:sz="4" w:space="0"/>
            </w:tcBorders>
            <w:shd w:val="clear" w:color="auto" w:fill="auto"/>
            <w:vAlign w:val="center"/>
          </w:tcPr>
          <w:p w14:paraId="79DABE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920" w:type="dxa"/>
            <w:tcBorders>
              <w:top w:val="nil"/>
              <w:left w:val="nil"/>
              <w:bottom w:val="single" w:color="auto" w:sz="4" w:space="0"/>
              <w:right w:val="single" w:color="auto" w:sz="4" w:space="0"/>
            </w:tcBorders>
            <w:shd w:val="clear" w:color="auto" w:fill="auto"/>
            <w:vAlign w:val="center"/>
          </w:tcPr>
          <w:p w14:paraId="2900360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72F98073">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23964E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1725" w:type="dxa"/>
            <w:tcBorders>
              <w:top w:val="nil"/>
              <w:left w:val="nil"/>
              <w:bottom w:val="single" w:color="auto" w:sz="4" w:space="0"/>
              <w:right w:val="single" w:color="auto" w:sz="4" w:space="0"/>
            </w:tcBorders>
            <w:shd w:val="clear" w:color="auto" w:fill="auto"/>
            <w:vAlign w:val="center"/>
          </w:tcPr>
          <w:p w14:paraId="282872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1F80EF2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余氯检测仪</w:t>
            </w:r>
          </w:p>
        </w:tc>
        <w:tc>
          <w:tcPr>
            <w:tcW w:w="1470" w:type="dxa"/>
            <w:tcBorders>
              <w:top w:val="nil"/>
              <w:left w:val="nil"/>
              <w:bottom w:val="single" w:color="auto" w:sz="4" w:space="0"/>
              <w:right w:val="single" w:color="auto" w:sz="4" w:space="0"/>
            </w:tcBorders>
            <w:shd w:val="clear" w:color="auto" w:fill="auto"/>
            <w:vAlign w:val="center"/>
          </w:tcPr>
          <w:p w14:paraId="34729C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48" w:type="dxa"/>
            <w:tcBorders>
              <w:top w:val="nil"/>
              <w:left w:val="nil"/>
              <w:bottom w:val="single" w:color="auto" w:sz="4" w:space="0"/>
              <w:right w:val="single" w:color="auto" w:sz="4" w:space="0"/>
            </w:tcBorders>
            <w:shd w:val="clear" w:color="auto" w:fill="auto"/>
            <w:vAlign w:val="center"/>
          </w:tcPr>
          <w:p w14:paraId="4B307F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nil"/>
              <w:bottom w:val="single" w:color="auto" w:sz="4" w:space="0"/>
              <w:right w:val="single" w:color="auto" w:sz="4" w:space="0"/>
            </w:tcBorders>
            <w:shd w:val="clear" w:color="auto" w:fill="auto"/>
            <w:vAlign w:val="center"/>
          </w:tcPr>
          <w:p w14:paraId="3AFCF8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1105" w:type="dxa"/>
            <w:tcBorders>
              <w:top w:val="nil"/>
              <w:left w:val="nil"/>
              <w:bottom w:val="single" w:color="auto" w:sz="4" w:space="0"/>
              <w:right w:val="single" w:color="auto" w:sz="4" w:space="0"/>
            </w:tcBorders>
            <w:shd w:val="clear" w:color="auto" w:fill="auto"/>
            <w:vAlign w:val="center"/>
          </w:tcPr>
          <w:p w14:paraId="7564D2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920" w:type="dxa"/>
            <w:tcBorders>
              <w:top w:val="nil"/>
              <w:left w:val="nil"/>
              <w:bottom w:val="single" w:color="auto" w:sz="4" w:space="0"/>
              <w:right w:val="single" w:color="auto" w:sz="4" w:space="0"/>
            </w:tcBorders>
            <w:shd w:val="clear" w:color="auto" w:fill="auto"/>
            <w:vAlign w:val="center"/>
          </w:tcPr>
          <w:p w14:paraId="48B56F6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2884C19D">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4EA1B2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子项二：</w:t>
            </w:r>
          </w:p>
        </w:tc>
        <w:tc>
          <w:tcPr>
            <w:tcW w:w="1725" w:type="dxa"/>
            <w:tcBorders>
              <w:top w:val="nil"/>
              <w:left w:val="nil"/>
              <w:bottom w:val="single" w:color="auto" w:sz="4" w:space="0"/>
              <w:right w:val="single" w:color="auto" w:sz="4" w:space="0"/>
            </w:tcBorders>
            <w:shd w:val="clear" w:color="auto" w:fill="auto"/>
            <w:noWrap/>
            <w:vAlign w:val="center"/>
          </w:tcPr>
          <w:p w14:paraId="1A3B9A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single" w:color="auto" w:sz="4" w:space="0"/>
              <w:left w:val="nil"/>
              <w:bottom w:val="single" w:color="auto" w:sz="4" w:space="0"/>
              <w:right w:val="single" w:color="auto" w:sz="4" w:space="0"/>
            </w:tcBorders>
            <w:shd w:val="clear" w:color="auto" w:fill="auto"/>
            <w:vAlign w:val="center"/>
          </w:tcPr>
          <w:p w14:paraId="0A4F4E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470" w:type="dxa"/>
            <w:tcBorders>
              <w:top w:val="single" w:color="auto" w:sz="4" w:space="0"/>
              <w:left w:val="nil"/>
              <w:bottom w:val="single" w:color="auto" w:sz="4" w:space="0"/>
              <w:right w:val="single" w:color="auto" w:sz="4" w:space="0"/>
            </w:tcBorders>
            <w:shd w:val="clear" w:color="auto" w:fill="auto"/>
            <w:vAlign w:val="center"/>
          </w:tcPr>
          <w:p w14:paraId="2703A66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48" w:type="dxa"/>
            <w:tcBorders>
              <w:top w:val="single" w:color="auto" w:sz="4" w:space="0"/>
              <w:left w:val="nil"/>
              <w:bottom w:val="single" w:color="auto" w:sz="4" w:space="0"/>
              <w:right w:val="single" w:color="auto" w:sz="4" w:space="0"/>
            </w:tcBorders>
            <w:shd w:val="clear" w:color="auto" w:fill="auto"/>
            <w:vAlign w:val="center"/>
          </w:tcPr>
          <w:p w14:paraId="5C7A77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single" w:color="auto" w:sz="4" w:space="0"/>
              <w:left w:val="nil"/>
              <w:bottom w:val="single" w:color="auto" w:sz="4" w:space="0"/>
              <w:right w:val="single" w:color="auto" w:sz="4" w:space="0"/>
            </w:tcBorders>
            <w:shd w:val="clear" w:color="auto" w:fill="auto"/>
            <w:vAlign w:val="center"/>
          </w:tcPr>
          <w:p w14:paraId="6717F50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105" w:type="dxa"/>
            <w:tcBorders>
              <w:top w:val="single" w:color="auto" w:sz="4" w:space="0"/>
              <w:left w:val="nil"/>
              <w:bottom w:val="single" w:color="auto" w:sz="4" w:space="0"/>
              <w:right w:val="single" w:color="auto" w:sz="4" w:space="0"/>
            </w:tcBorders>
            <w:shd w:val="clear" w:color="auto" w:fill="auto"/>
            <w:vAlign w:val="center"/>
          </w:tcPr>
          <w:p w14:paraId="564E03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920" w:type="dxa"/>
            <w:tcBorders>
              <w:top w:val="nil"/>
              <w:left w:val="nil"/>
              <w:bottom w:val="single" w:color="auto" w:sz="4" w:space="0"/>
              <w:right w:val="single" w:color="auto" w:sz="4" w:space="0"/>
            </w:tcBorders>
            <w:shd w:val="clear" w:color="auto" w:fill="auto"/>
            <w:vAlign w:val="center"/>
          </w:tcPr>
          <w:p w14:paraId="393940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003A73B9">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595AEA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725" w:type="dxa"/>
            <w:tcBorders>
              <w:top w:val="nil"/>
              <w:left w:val="nil"/>
              <w:bottom w:val="single" w:color="auto" w:sz="4" w:space="0"/>
              <w:right w:val="single" w:color="auto" w:sz="4" w:space="0"/>
            </w:tcBorders>
            <w:shd w:val="clear" w:color="auto" w:fill="auto"/>
            <w:noWrap/>
            <w:vAlign w:val="center"/>
          </w:tcPr>
          <w:p w14:paraId="00F673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33C1AC0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手动蝶阀新增电动头</w:t>
            </w:r>
          </w:p>
        </w:tc>
        <w:tc>
          <w:tcPr>
            <w:tcW w:w="1470" w:type="dxa"/>
            <w:tcBorders>
              <w:top w:val="nil"/>
              <w:left w:val="nil"/>
              <w:bottom w:val="single" w:color="auto" w:sz="4" w:space="0"/>
              <w:right w:val="single" w:color="auto" w:sz="4" w:space="0"/>
            </w:tcBorders>
            <w:shd w:val="clear" w:color="auto" w:fill="auto"/>
            <w:vAlign w:val="center"/>
          </w:tcPr>
          <w:p w14:paraId="7EFCB0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48" w:type="dxa"/>
            <w:tcBorders>
              <w:top w:val="nil"/>
              <w:left w:val="nil"/>
              <w:bottom w:val="single" w:color="auto" w:sz="4" w:space="0"/>
              <w:right w:val="single" w:color="auto" w:sz="4" w:space="0"/>
            </w:tcBorders>
            <w:shd w:val="clear" w:color="auto" w:fill="auto"/>
            <w:vAlign w:val="center"/>
          </w:tcPr>
          <w:p w14:paraId="6F4ECE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nil"/>
              <w:bottom w:val="single" w:color="auto" w:sz="4" w:space="0"/>
              <w:right w:val="single" w:color="auto" w:sz="4" w:space="0"/>
            </w:tcBorders>
            <w:shd w:val="clear" w:color="auto" w:fill="auto"/>
            <w:vAlign w:val="center"/>
          </w:tcPr>
          <w:p w14:paraId="64E4E1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1105" w:type="dxa"/>
            <w:tcBorders>
              <w:top w:val="nil"/>
              <w:left w:val="nil"/>
              <w:bottom w:val="single" w:color="auto" w:sz="4" w:space="0"/>
              <w:right w:val="single" w:color="auto" w:sz="4" w:space="0"/>
            </w:tcBorders>
            <w:shd w:val="clear" w:color="auto" w:fill="auto"/>
            <w:vAlign w:val="center"/>
          </w:tcPr>
          <w:p w14:paraId="359F77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920" w:type="dxa"/>
            <w:tcBorders>
              <w:top w:val="nil"/>
              <w:left w:val="nil"/>
              <w:bottom w:val="single" w:color="auto" w:sz="4" w:space="0"/>
              <w:right w:val="single" w:color="auto" w:sz="4" w:space="0"/>
            </w:tcBorders>
            <w:shd w:val="clear" w:color="auto" w:fill="auto"/>
            <w:vAlign w:val="center"/>
          </w:tcPr>
          <w:p w14:paraId="3CB3EF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开度可调节</w:t>
            </w:r>
          </w:p>
        </w:tc>
      </w:tr>
      <w:tr w14:paraId="75B05DA2">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48FD0D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子项三：</w:t>
            </w:r>
          </w:p>
        </w:tc>
        <w:tc>
          <w:tcPr>
            <w:tcW w:w="9495" w:type="dxa"/>
            <w:gridSpan w:val="7"/>
            <w:tcBorders>
              <w:top w:val="single" w:color="auto" w:sz="4" w:space="0"/>
              <w:left w:val="nil"/>
              <w:bottom w:val="single" w:color="auto" w:sz="4" w:space="0"/>
              <w:right w:val="single" w:color="000000" w:sz="4" w:space="0"/>
            </w:tcBorders>
            <w:shd w:val="clear" w:color="auto" w:fill="auto"/>
            <w:vAlign w:val="center"/>
          </w:tcPr>
          <w:p w14:paraId="754BE4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1D00D604">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75B90C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725" w:type="dxa"/>
            <w:tcBorders>
              <w:top w:val="nil"/>
              <w:left w:val="nil"/>
              <w:bottom w:val="single" w:color="auto" w:sz="4" w:space="0"/>
              <w:right w:val="nil"/>
            </w:tcBorders>
            <w:shd w:val="clear" w:color="auto" w:fill="auto"/>
            <w:vAlign w:val="center"/>
          </w:tcPr>
          <w:p w14:paraId="37276B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single" w:color="auto" w:sz="4" w:space="0"/>
              <w:bottom w:val="single" w:color="auto" w:sz="4" w:space="0"/>
              <w:right w:val="single" w:color="auto" w:sz="4" w:space="0"/>
            </w:tcBorders>
            <w:shd w:val="clear" w:color="auto" w:fill="auto"/>
            <w:vAlign w:val="center"/>
          </w:tcPr>
          <w:p w14:paraId="5D23BFC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粉炭投加系统</w:t>
            </w:r>
          </w:p>
        </w:tc>
        <w:tc>
          <w:tcPr>
            <w:tcW w:w="1470" w:type="dxa"/>
            <w:tcBorders>
              <w:top w:val="nil"/>
              <w:left w:val="nil"/>
              <w:bottom w:val="single" w:color="auto" w:sz="4" w:space="0"/>
              <w:right w:val="nil"/>
            </w:tcBorders>
            <w:shd w:val="clear" w:color="auto" w:fill="auto"/>
            <w:vAlign w:val="center"/>
          </w:tcPr>
          <w:p w14:paraId="734466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48" w:type="dxa"/>
            <w:tcBorders>
              <w:top w:val="nil"/>
              <w:left w:val="nil"/>
              <w:bottom w:val="single" w:color="auto" w:sz="4" w:space="0"/>
              <w:right w:val="nil"/>
            </w:tcBorders>
            <w:shd w:val="clear" w:color="auto" w:fill="auto"/>
            <w:vAlign w:val="center"/>
          </w:tcPr>
          <w:p w14:paraId="653EFD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single" w:color="auto" w:sz="4" w:space="0"/>
              <w:bottom w:val="single" w:color="auto" w:sz="4" w:space="0"/>
              <w:right w:val="single" w:color="auto" w:sz="4" w:space="0"/>
            </w:tcBorders>
            <w:shd w:val="clear" w:color="auto" w:fill="auto"/>
            <w:vAlign w:val="center"/>
          </w:tcPr>
          <w:p w14:paraId="797994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105" w:type="dxa"/>
            <w:tcBorders>
              <w:top w:val="nil"/>
              <w:left w:val="nil"/>
              <w:bottom w:val="single" w:color="auto" w:sz="4" w:space="0"/>
              <w:right w:val="single" w:color="auto" w:sz="4" w:space="0"/>
            </w:tcBorders>
            <w:shd w:val="clear" w:color="auto" w:fill="auto"/>
            <w:vAlign w:val="center"/>
          </w:tcPr>
          <w:p w14:paraId="5D5A54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20" w:type="dxa"/>
            <w:tcBorders>
              <w:top w:val="nil"/>
              <w:left w:val="nil"/>
              <w:bottom w:val="single" w:color="auto" w:sz="4" w:space="0"/>
              <w:right w:val="single" w:color="auto" w:sz="4" w:space="0"/>
            </w:tcBorders>
            <w:shd w:val="clear" w:color="auto" w:fill="auto"/>
            <w:vAlign w:val="center"/>
          </w:tcPr>
          <w:p w14:paraId="7E0BC0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6D55B432">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396F815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子项四：</w:t>
            </w:r>
          </w:p>
        </w:tc>
        <w:tc>
          <w:tcPr>
            <w:tcW w:w="1725" w:type="dxa"/>
            <w:tcBorders>
              <w:top w:val="nil"/>
              <w:left w:val="nil"/>
              <w:bottom w:val="single" w:color="auto" w:sz="4" w:space="0"/>
              <w:right w:val="single" w:color="auto" w:sz="4" w:space="0"/>
            </w:tcBorders>
            <w:shd w:val="clear" w:color="auto" w:fill="auto"/>
            <w:vAlign w:val="center"/>
          </w:tcPr>
          <w:p w14:paraId="7F0569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0F54F1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470" w:type="dxa"/>
            <w:tcBorders>
              <w:top w:val="nil"/>
              <w:left w:val="nil"/>
              <w:bottom w:val="single" w:color="auto" w:sz="4" w:space="0"/>
              <w:right w:val="single" w:color="auto" w:sz="4" w:space="0"/>
            </w:tcBorders>
            <w:shd w:val="clear" w:color="auto" w:fill="auto"/>
            <w:vAlign w:val="center"/>
          </w:tcPr>
          <w:p w14:paraId="2953201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48" w:type="dxa"/>
            <w:tcBorders>
              <w:top w:val="nil"/>
              <w:left w:val="nil"/>
              <w:bottom w:val="single" w:color="auto" w:sz="4" w:space="0"/>
              <w:right w:val="single" w:color="auto" w:sz="4" w:space="0"/>
            </w:tcBorders>
            <w:shd w:val="clear" w:color="auto" w:fill="auto"/>
            <w:vAlign w:val="center"/>
          </w:tcPr>
          <w:p w14:paraId="3240F26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nil"/>
              <w:bottom w:val="single" w:color="auto" w:sz="4" w:space="0"/>
              <w:right w:val="single" w:color="auto" w:sz="4" w:space="0"/>
            </w:tcBorders>
            <w:shd w:val="clear" w:color="auto" w:fill="auto"/>
            <w:vAlign w:val="center"/>
          </w:tcPr>
          <w:p w14:paraId="6F72DA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105" w:type="dxa"/>
            <w:tcBorders>
              <w:top w:val="nil"/>
              <w:left w:val="nil"/>
              <w:bottom w:val="single" w:color="auto" w:sz="4" w:space="0"/>
              <w:right w:val="single" w:color="auto" w:sz="4" w:space="0"/>
            </w:tcBorders>
            <w:shd w:val="clear" w:color="auto" w:fill="auto"/>
            <w:vAlign w:val="center"/>
          </w:tcPr>
          <w:p w14:paraId="2F5547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920" w:type="dxa"/>
            <w:tcBorders>
              <w:top w:val="nil"/>
              <w:left w:val="nil"/>
              <w:bottom w:val="single" w:color="auto" w:sz="4" w:space="0"/>
              <w:right w:val="single" w:color="auto" w:sz="4" w:space="0"/>
            </w:tcBorders>
            <w:shd w:val="clear" w:color="auto" w:fill="auto"/>
            <w:vAlign w:val="center"/>
          </w:tcPr>
          <w:p w14:paraId="4E38B91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599848A7">
        <w:tblPrEx>
          <w:tblCellMar>
            <w:top w:w="0" w:type="dxa"/>
            <w:left w:w="108" w:type="dxa"/>
            <w:bottom w:w="0" w:type="dxa"/>
            <w:right w:w="108" w:type="dxa"/>
          </w:tblCellMar>
        </w:tblPrEx>
        <w:trPr>
          <w:trHeight w:val="20" w:hRule="atLeast"/>
        </w:trPr>
        <w:tc>
          <w:tcPr>
            <w:tcW w:w="1110" w:type="dxa"/>
            <w:tcBorders>
              <w:top w:val="nil"/>
              <w:left w:val="single" w:color="auto" w:sz="4" w:space="0"/>
              <w:bottom w:val="nil"/>
              <w:right w:val="single" w:color="auto" w:sz="4" w:space="0"/>
            </w:tcBorders>
            <w:shd w:val="clear" w:color="auto" w:fill="auto"/>
            <w:vAlign w:val="center"/>
          </w:tcPr>
          <w:p w14:paraId="4208D0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725" w:type="dxa"/>
            <w:tcBorders>
              <w:top w:val="nil"/>
              <w:left w:val="nil"/>
              <w:bottom w:val="single" w:color="auto" w:sz="4" w:space="0"/>
              <w:right w:val="single" w:color="auto" w:sz="4" w:space="0"/>
            </w:tcBorders>
            <w:shd w:val="clear" w:color="auto" w:fill="auto"/>
            <w:vAlign w:val="center"/>
          </w:tcPr>
          <w:p w14:paraId="3305F0A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6DBC55D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高锰酸钾投加系统</w:t>
            </w:r>
          </w:p>
        </w:tc>
        <w:tc>
          <w:tcPr>
            <w:tcW w:w="1470" w:type="dxa"/>
            <w:tcBorders>
              <w:top w:val="nil"/>
              <w:left w:val="nil"/>
              <w:bottom w:val="single" w:color="auto" w:sz="4" w:space="0"/>
              <w:right w:val="single" w:color="auto" w:sz="4" w:space="0"/>
            </w:tcBorders>
            <w:shd w:val="clear" w:color="auto" w:fill="auto"/>
            <w:vAlign w:val="center"/>
          </w:tcPr>
          <w:p w14:paraId="62562D2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48" w:type="dxa"/>
            <w:tcBorders>
              <w:top w:val="nil"/>
              <w:left w:val="nil"/>
              <w:bottom w:val="single" w:color="auto" w:sz="4" w:space="0"/>
              <w:right w:val="single" w:color="auto" w:sz="4" w:space="0"/>
            </w:tcBorders>
            <w:shd w:val="clear" w:color="auto" w:fill="auto"/>
            <w:vAlign w:val="center"/>
          </w:tcPr>
          <w:p w14:paraId="57E0BA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nil"/>
              <w:bottom w:val="single" w:color="auto" w:sz="4" w:space="0"/>
              <w:right w:val="single" w:color="auto" w:sz="4" w:space="0"/>
            </w:tcBorders>
            <w:shd w:val="clear" w:color="auto" w:fill="auto"/>
            <w:vAlign w:val="center"/>
          </w:tcPr>
          <w:p w14:paraId="052029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105" w:type="dxa"/>
            <w:tcBorders>
              <w:top w:val="nil"/>
              <w:left w:val="nil"/>
              <w:bottom w:val="single" w:color="auto" w:sz="4" w:space="0"/>
              <w:right w:val="single" w:color="auto" w:sz="4" w:space="0"/>
            </w:tcBorders>
            <w:shd w:val="clear" w:color="auto" w:fill="auto"/>
            <w:vAlign w:val="center"/>
          </w:tcPr>
          <w:p w14:paraId="0C55D0C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20" w:type="dxa"/>
            <w:tcBorders>
              <w:top w:val="nil"/>
              <w:left w:val="nil"/>
              <w:bottom w:val="single" w:color="auto" w:sz="4" w:space="0"/>
              <w:right w:val="single" w:color="auto" w:sz="4" w:space="0"/>
            </w:tcBorders>
            <w:shd w:val="clear" w:color="auto" w:fill="auto"/>
            <w:vAlign w:val="center"/>
          </w:tcPr>
          <w:p w14:paraId="1D9FDB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6CA01C9F">
        <w:tblPrEx>
          <w:tblCellMar>
            <w:top w:w="0" w:type="dxa"/>
            <w:left w:w="108" w:type="dxa"/>
            <w:bottom w:w="0" w:type="dxa"/>
            <w:right w:w="108" w:type="dxa"/>
          </w:tblCellMar>
        </w:tblPrEx>
        <w:trPr>
          <w:trHeight w:val="20" w:hRule="atLeast"/>
        </w:trPr>
        <w:tc>
          <w:tcPr>
            <w:tcW w:w="11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0A67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725" w:type="dxa"/>
            <w:tcBorders>
              <w:top w:val="nil"/>
              <w:left w:val="nil"/>
              <w:bottom w:val="single" w:color="auto" w:sz="4" w:space="0"/>
              <w:right w:val="single" w:color="auto" w:sz="4" w:space="0"/>
            </w:tcBorders>
            <w:shd w:val="clear" w:color="auto" w:fill="auto"/>
            <w:noWrap/>
            <w:vAlign w:val="center"/>
          </w:tcPr>
          <w:p w14:paraId="6ADB51F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659FD0B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粉炭投加系统</w:t>
            </w:r>
          </w:p>
        </w:tc>
        <w:tc>
          <w:tcPr>
            <w:tcW w:w="1470" w:type="dxa"/>
            <w:tcBorders>
              <w:top w:val="nil"/>
              <w:left w:val="nil"/>
              <w:bottom w:val="single" w:color="auto" w:sz="4" w:space="0"/>
              <w:right w:val="single" w:color="auto" w:sz="4" w:space="0"/>
            </w:tcBorders>
            <w:shd w:val="clear" w:color="auto" w:fill="auto"/>
            <w:vAlign w:val="center"/>
          </w:tcPr>
          <w:p w14:paraId="101EE4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48" w:type="dxa"/>
            <w:tcBorders>
              <w:top w:val="nil"/>
              <w:left w:val="nil"/>
              <w:bottom w:val="single" w:color="auto" w:sz="4" w:space="0"/>
              <w:right w:val="single" w:color="auto" w:sz="4" w:space="0"/>
            </w:tcBorders>
            <w:shd w:val="clear" w:color="auto" w:fill="auto"/>
            <w:noWrap/>
            <w:vAlign w:val="center"/>
          </w:tcPr>
          <w:p w14:paraId="753AE3B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nil"/>
              <w:bottom w:val="single" w:color="auto" w:sz="4" w:space="0"/>
              <w:right w:val="single" w:color="auto" w:sz="4" w:space="0"/>
            </w:tcBorders>
            <w:shd w:val="clear" w:color="auto" w:fill="auto"/>
            <w:vAlign w:val="center"/>
          </w:tcPr>
          <w:p w14:paraId="5DA397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105" w:type="dxa"/>
            <w:tcBorders>
              <w:top w:val="nil"/>
              <w:left w:val="nil"/>
              <w:bottom w:val="single" w:color="auto" w:sz="4" w:space="0"/>
              <w:right w:val="single" w:color="auto" w:sz="4" w:space="0"/>
            </w:tcBorders>
            <w:shd w:val="clear" w:color="auto" w:fill="auto"/>
            <w:vAlign w:val="center"/>
          </w:tcPr>
          <w:p w14:paraId="68353A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20" w:type="dxa"/>
            <w:tcBorders>
              <w:top w:val="nil"/>
              <w:left w:val="nil"/>
              <w:bottom w:val="single" w:color="auto" w:sz="4" w:space="0"/>
              <w:right w:val="single" w:color="auto" w:sz="4" w:space="0"/>
            </w:tcBorders>
            <w:shd w:val="clear" w:color="auto" w:fill="auto"/>
            <w:noWrap/>
            <w:vAlign w:val="center"/>
          </w:tcPr>
          <w:p w14:paraId="3BCA430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224C6FE2">
        <w:tblPrEx>
          <w:tblCellMar>
            <w:top w:w="0" w:type="dxa"/>
            <w:left w:w="108" w:type="dxa"/>
            <w:bottom w:w="0" w:type="dxa"/>
            <w:right w:w="108" w:type="dxa"/>
          </w:tblCellMar>
        </w:tblPrEx>
        <w:trPr>
          <w:trHeight w:val="20" w:hRule="atLeast"/>
        </w:trPr>
        <w:tc>
          <w:tcPr>
            <w:tcW w:w="11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1474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子项五：</w:t>
            </w:r>
          </w:p>
        </w:tc>
        <w:tc>
          <w:tcPr>
            <w:tcW w:w="949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1920DF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r>
      <w:tr w14:paraId="44D8CA06">
        <w:tblPrEx>
          <w:tblCellMar>
            <w:top w:w="0" w:type="dxa"/>
            <w:left w:w="108" w:type="dxa"/>
            <w:bottom w:w="0" w:type="dxa"/>
            <w:right w:w="108" w:type="dxa"/>
          </w:tblCellMar>
        </w:tblPrEx>
        <w:trPr>
          <w:trHeight w:val="20" w:hRule="atLeast"/>
        </w:trPr>
        <w:tc>
          <w:tcPr>
            <w:tcW w:w="11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8C75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18B04E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c>
          <w:tcPr>
            <w:tcW w:w="1545" w:type="dxa"/>
            <w:tcBorders>
              <w:top w:val="single" w:color="auto" w:sz="4" w:space="0"/>
              <w:left w:val="nil"/>
              <w:bottom w:val="single" w:color="auto" w:sz="4" w:space="0"/>
              <w:right w:val="single" w:color="auto" w:sz="4" w:space="0"/>
            </w:tcBorders>
            <w:shd w:val="clear" w:color="auto" w:fill="auto"/>
            <w:vAlign w:val="center"/>
          </w:tcPr>
          <w:p w14:paraId="4AE658B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压力溶气气浮系统</w:t>
            </w:r>
          </w:p>
        </w:tc>
        <w:tc>
          <w:tcPr>
            <w:tcW w:w="1470" w:type="dxa"/>
            <w:tcBorders>
              <w:top w:val="single" w:color="auto" w:sz="4" w:space="0"/>
              <w:left w:val="nil"/>
              <w:bottom w:val="single" w:color="auto" w:sz="4" w:space="0"/>
              <w:right w:val="single" w:color="auto" w:sz="4" w:space="0"/>
            </w:tcBorders>
            <w:shd w:val="clear" w:color="auto" w:fill="auto"/>
            <w:vAlign w:val="center"/>
          </w:tcPr>
          <w:p w14:paraId="0A13605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c>
          <w:tcPr>
            <w:tcW w:w="1248" w:type="dxa"/>
            <w:tcBorders>
              <w:top w:val="single" w:color="auto" w:sz="4" w:space="0"/>
              <w:left w:val="nil"/>
              <w:bottom w:val="single" w:color="auto" w:sz="4" w:space="0"/>
              <w:right w:val="single" w:color="auto" w:sz="4" w:space="0"/>
            </w:tcBorders>
            <w:shd w:val="clear" w:color="auto" w:fill="auto"/>
            <w:noWrap/>
            <w:vAlign w:val="center"/>
          </w:tcPr>
          <w:p w14:paraId="26415E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c>
          <w:tcPr>
            <w:tcW w:w="482" w:type="dxa"/>
            <w:tcBorders>
              <w:top w:val="single" w:color="auto" w:sz="4" w:space="0"/>
              <w:left w:val="nil"/>
              <w:bottom w:val="single" w:color="auto" w:sz="4" w:space="0"/>
              <w:right w:val="single" w:color="auto" w:sz="4" w:space="0"/>
            </w:tcBorders>
            <w:shd w:val="clear" w:color="auto" w:fill="auto"/>
            <w:vAlign w:val="center"/>
          </w:tcPr>
          <w:p w14:paraId="0FE420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105" w:type="dxa"/>
            <w:tcBorders>
              <w:top w:val="single" w:color="auto" w:sz="4" w:space="0"/>
              <w:left w:val="nil"/>
              <w:bottom w:val="single" w:color="auto" w:sz="4" w:space="0"/>
              <w:right w:val="single" w:color="auto" w:sz="4" w:space="0"/>
            </w:tcBorders>
            <w:shd w:val="clear" w:color="auto" w:fill="auto"/>
            <w:vAlign w:val="center"/>
          </w:tcPr>
          <w:p w14:paraId="2A0E58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1920" w:type="dxa"/>
            <w:tcBorders>
              <w:top w:val="single" w:color="auto" w:sz="4" w:space="0"/>
              <w:left w:val="nil"/>
              <w:bottom w:val="single" w:color="auto" w:sz="4" w:space="0"/>
              <w:right w:val="single" w:color="auto" w:sz="4" w:space="0"/>
            </w:tcBorders>
            <w:shd w:val="clear" w:color="auto" w:fill="auto"/>
            <w:noWrap/>
            <w:vAlign w:val="center"/>
          </w:tcPr>
          <w:p w14:paraId="36CEDBA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r>
    </w:tbl>
    <w:p w14:paraId="3D5B41DD">
      <w:pPr>
        <w:pStyle w:val="6"/>
        <w:spacing w:before="93" w:beforeLines="30" w:after="93" w:afterLines="3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4.2总体要求</w:t>
      </w:r>
    </w:p>
    <w:p w14:paraId="50FC137C">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rPr>
        <w:t>本技术要求适用于滁州</w:t>
      </w:r>
      <w:r>
        <w:rPr>
          <w:rFonts w:hint="eastAsia" w:ascii="宋体" w:hAnsi="宋体" w:cs="宋体"/>
          <w:color w:val="auto"/>
          <w:szCs w:val="21"/>
          <w:highlight w:val="none"/>
        </w:rPr>
        <w:t>自来水有限公司水厂水质保障提升</w:t>
      </w:r>
      <w:r>
        <w:rPr>
          <w:rFonts w:hint="eastAsia" w:ascii="宋体" w:hAnsi="宋体" w:cs="宋体"/>
          <w:color w:val="auto"/>
          <w:szCs w:val="21"/>
          <w:highlight w:val="none"/>
          <w:lang w:val="en-US" w:eastAsia="zh-CN"/>
        </w:rPr>
        <w:t>改造</w:t>
      </w:r>
      <w:r>
        <w:rPr>
          <w:rFonts w:hint="eastAsia" w:ascii="宋体" w:hAnsi="宋体" w:cs="宋体"/>
          <w:color w:val="auto"/>
          <w:szCs w:val="21"/>
          <w:highlight w:val="none"/>
        </w:rPr>
        <w:t>项目的采购，招标范围包括货物的设计、供应、安装调试、验收等。</w:t>
      </w:r>
    </w:p>
    <w:p w14:paraId="1816AF5D">
      <w:pPr>
        <w:numPr>
          <w:ilvl w:val="-1"/>
          <w:numId w:val="0"/>
        </w:numPr>
        <w:spacing w:line="50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技术要求（包括图纸）的编制目的在于保证工程达到设计要求并正常运营，不得被认为是详尽无遗的，无论规定与否，卖方应完整提供本工程所采购的设备正常运行所必须的全部设备、附属设备、预埋件、电气元器件和相应的材料等，并完成相关的技术服务和合同项下的其他辅助工作，不得借故予以变更或要求增加费用。</w:t>
      </w:r>
    </w:p>
    <w:p w14:paraId="00303583">
      <w:pPr>
        <w:pStyle w:val="14"/>
        <w:numPr>
          <w:ilvl w:val="-1"/>
          <w:numId w:val="0"/>
        </w:numPr>
        <w:spacing w:line="500" w:lineRule="exact"/>
        <w:ind w:left="0" w:firstLine="420" w:firstLineChars="200"/>
        <w:rPr>
          <w:rFonts w:hAnsi="宋体" w:cs="宋体"/>
          <w:color w:val="auto"/>
          <w:szCs w:val="21"/>
          <w:highlight w:val="none"/>
        </w:rPr>
      </w:pPr>
      <w:r>
        <w:rPr>
          <w:rFonts w:hint="eastAsia" w:hAnsi="宋体" w:cs="宋体"/>
          <w:color w:val="auto"/>
          <w:szCs w:val="21"/>
          <w:highlight w:val="none"/>
          <w:lang w:val="en-US" w:eastAsia="zh-CN"/>
        </w:rPr>
        <w:t>2.</w:t>
      </w:r>
      <w:r>
        <w:rPr>
          <w:rFonts w:hint="eastAsia" w:hAnsi="宋体" w:cs="宋体"/>
          <w:color w:val="auto"/>
          <w:szCs w:val="21"/>
          <w:highlight w:val="none"/>
        </w:rPr>
        <w:t>本工程所有设备的选型均参照性能优良可靠，性价比高的准则，设备的设计、制造、安装、调试均符合国家相关规范。</w:t>
      </w:r>
      <w:r>
        <w:rPr>
          <w:rFonts w:hint="eastAsia" w:hAnsi="宋体" w:cs="宋体"/>
          <w:bCs/>
          <w:color w:val="auto"/>
          <w:spacing w:val="20"/>
          <w:szCs w:val="21"/>
          <w:highlight w:val="none"/>
        </w:rPr>
        <w:t>所有提供的设备应是已建立信誉的制造商的产品，并应负有确保设备质量的不可推卸的责任，在安装、调试、检验时，派遣代表参加并指导，发现质量问题，代表必须负责处理至业主满意为止。</w:t>
      </w:r>
    </w:p>
    <w:p w14:paraId="2837A20E">
      <w:pPr>
        <w:numPr>
          <w:ilvl w:val="-1"/>
          <w:numId w:val="0"/>
        </w:numPr>
        <w:spacing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如果投标人没有以书面形式对本技术条件和条文提出异议，那么可以认为供货方提供的产品完全满足技术条件的要求。</w:t>
      </w:r>
    </w:p>
    <w:p w14:paraId="3A4AAFD8">
      <w:pPr>
        <w:numPr>
          <w:ilvl w:val="-1"/>
          <w:numId w:val="0"/>
        </w:numPr>
        <w:spacing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鉴于工程的复杂性，投标人应充分考虑履约风险，不得以工程进度滞后、原材料价格上涨、仓储或运输成本增加等为由推卸责任、拒绝服务、要求提前付款或增加费用。</w:t>
      </w:r>
    </w:p>
    <w:p w14:paraId="24EEABB6">
      <w:pPr>
        <w:numPr>
          <w:ilvl w:val="-1"/>
          <w:numId w:val="0"/>
        </w:numPr>
        <w:spacing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投标人应提供全套设备资料供业主使用，包括原产地证明、合格证书、操作手册、技术资料等。</w:t>
      </w:r>
    </w:p>
    <w:p w14:paraId="53BCC38B">
      <w:pPr>
        <w:numPr>
          <w:ilvl w:val="-1"/>
          <w:numId w:val="0"/>
        </w:numPr>
        <w:spacing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投标人必须对合同内设备的单机调试和水厂整体联合运行负责。由于设备的设计或质量缺陷导致水厂出水达不到标准，或造成其他损失，投标人负相应责任。</w:t>
      </w:r>
    </w:p>
    <w:p w14:paraId="17A8562E">
      <w:pPr>
        <w:numPr>
          <w:ilvl w:val="-1"/>
          <w:numId w:val="0"/>
        </w:numPr>
        <w:spacing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投标人要承担用于设备的全部专利费用和许可费用，应保证业主免受涉及专利权或知识产权的损害（包括专利、专利权、专利权税等方面的侵害而产生索赔或法律纠纷）。相关费用已包含于投标总价中。</w:t>
      </w:r>
    </w:p>
    <w:p w14:paraId="0930D42D">
      <w:pPr>
        <w:numPr>
          <w:ilvl w:val="-1"/>
          <w:numId w:val="0"/>
        </w:numPr>
        <w:spacing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本次采购设备的质保期至少两年，从调试验收合格之日算起，投标人须保证零配件的供应，质保期内免费维护设备。所有装置必须保证 10年的正常工作。</w:t>
      </w:r>
    </w:p>
    <w:p w14:paraId="04E965B9">
      <w:pPr>
        <w:numPr>
          <w:ilvl w:val="-1"/>
          <w:numId w:val="0"/>
        </w:numPr>
        <w:spacing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所有装置设计必须配套安全防护装置、防火、防尘、耐用、节能、容易清洁、方便维护。</w:t>
      </w:r>
    </w:p>
    <w:p w14:paraId="649C1D15">
      <w:pPr>
        <w:numPr>
          <w:ilvl w:val="-1"/>
          <w:numId w:val="0"/>
        </w:numPr>
        <w:snapToGrid w:val="0"/>
        <w:spacing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招标人有权对产品进行生产期间及发货前的监造及质量检查，招标人可组织人员到制造厂检查制造工艺、原材料质量、产品质量和生产进度，并参加产品出厂试验（但不作为验收）等工作。投标人应为招标人进行上述检查提供便利条件，由此发生的费用由中标人承担。</w:t>
      </w:r>
    </w:p>
    <w:p w14:paraId="3DA824C7">
      <w:pPr>
        <w:pStyle w:val="6"/>
        <w:spacing w:before="93" w:beforeLines="30" w:after="93" w:afterLines="30" w:line="500" w:lineRule="exact"/>
        <w:jc w:val="left"/>
        <w:rPr>
          <w:rFonts w:ascii="宋体" w:hAnsi="宋体" w:cs="宋体"/>
          <w:color w:val="auto"/>
          <w:sz w:val="21"/>
          <w:szCs w:val="21"/>
        </w:rPr>
      </w:pPr>
      <w:r>
        <w:rPr>
          <w:rFonts w:hint="eastAsia" w:ascii="宋体" w:hAnsi="宋体" w:cs="宋体"/>
          <w:color w:val="auto"/>
          <w:sz w:val="21"/>
          <w:szCs w:val="21"/>
        </w:rPr>
        <w:t>4.2.1水厂精准加药系统改造</w:t>
      </w:r>
    </w:p>
    <w:p w14:paraId="589A2567">
      <w:pPr>
        <w:pStyle w:val="53"/>
        <w:spacing w:line="500" w:lineRule="exact"/>
        <w:ind w:firstLine="630" w:firstLineChars="300"/>
        <w:jc w:val="both"/>
        <w:rPr>
          <w:rFonts w:ascii="宋体" w:hAnsi="宋体"/>
          <w:b w:val="0"/>
          <w:bCs/>
          <w:color w:val="auto"/>
          <w:szCs w:val="21"/>
        </w:rPr>
      </w:pPr>
      <w:r>
        <w:rPr>
          <w:rFonts w:hint="eastAsia" w:ascii="宋体" w:hAnsi="宋体"/>
          <w:b w:val="0"/>
          <w:bCs/>
          <w:color w:val="auto"/>
          <w:szCs w:val="21"/>
        </w:rPr>
        <w:t>主要设备清单如下：</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2085"/>
        <w:gridCol w:w="2833"/>
        <w:gridCol w:w="792"/>
        <w:gridCol w:w="835"/>
        <w:gridCol w:w="1870"/>
        <w:gridCol w:w="551"/>
      </w:tblGrid>
      <w:tr w14:paraId="5CDCB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751" w:type="dxa"/>
            <w:tcBorders>
              <w:top w:val="single" w:color="000000" w:sz="4" w:space="0"/>
              <w:left w:val="single" w:color="000000" w:sz="4" w:space="0"/>
              <w:bottom w:val="single" w:color="000000" w:sz="4" w:space="0"/>
              <w:right w:val="single" w:color="000000" w:sz="4" w:space="0"/>
            </w:tcBorders>
            <w:vAlign w:val="center"/>
          </w:tcPr>
          <w:p w14:paraId="6BC41032">
            <w:pPr>
              <w:pStyle w:val="45"/>
              <w:spacing w:line="500" w:lineRule="exact"/>
              <w:jc w:val="center"/>
              <w:rPr>
                <w:rFonts w:ascii="宋体" w:hAnsi="宋体" w:eastAsia="宋体" w:cs="宋体"/>
                <w:color w:val="auto"/>
              </w:rPr>
            </w:pPr>
            <w:r>
              <w:rPr>
                <w:rFonts w:hint="eastAsia" w:ascii="宋体" w:hAnsi="宋体" w:eastAsia="宋体" w:cs="宋体"/>
                <w:color w:val="auto"/>
              </w:rPr>
              <w:t>序号</w:t>
            </w:r>
          </w:p>
        </w:tc>
        <w:tc>
          <w:tcPr>
            <w:tcW w:w="2328" w:type="dxa"/>
            <w:tcBorders>
              <w:top w:val="single" w:color="000000" w:sz="4" w:space="0"/>
              <w:left w:val="single" w:color="000000" w:sz="4" w:space="0"/>
              <w:bottom w:val="single" w:color="000000" w:sz="4" w:space="0"/>
              <w:right w:val="single" w:color="000000" w:sz="4" w:space="0"/>
            </w:tcBorders>
            <w:vAlign w:val="center"/>
          </w:tcPr>
          <w:p w14:paraId="66FD9529">
            <w:pPr>
              <w:pStyle w:val="45"/>
              <w:spacing w:line="500" w:lineRule="exact"/>
              <w:jc w:val="center"/>
              <w:rPr>
                <w:rFonts w:ascii="宋体" w:hAnsi="宋体" w:eastAsia="宋体" w:cs="宋体"/>
                <w:color w:val="auto"/>
              </w:rPr>
            </w:pPr>
            <w:r>
              <w:rPr>
                <w:rFonts w:hint="eastAsia" w:ascii="宋体" w:hAnsi="宋体" w:eastAsia="宋体" w:cs="宋体"/>
                <w:color w:val="auto"/>
              </w:rPr>
              <w:t>名称</w:t>
            </w:r>
          </w:p>
        </w:tc>
        <w:tc>
          <w:tcPr>
            <w:tcW w:w="3077" w:type="dxa"/>
            <w:tcBorders>
              <w:top w:val="single" w:color="000000" w:sz="4" w:space="0"/>
              <w:left w:val="single" w:color="000000" w:sz="4" w:space="0"/>
              <w:bottom w:val="single" w:color="000000" w:sz="4" w:space="0"/>
              <w:right w:val="single" w:color="000000" w:sz="4" w:space="0"/>
            </w:tcBorders>
            <w:vAlign w:val="center"/>
          </w:tcPr>
          <w:p w14:paraId="7FE3B511">
            <w:pPr>
              <w:pStyle w:val="45"/>
              <w:spacing w:line="500" w:lineRule="exact"/>
              <w:jc w:val="center"/>
              <w:rPr>
                <w:rFonts w:ascii="宋体" w:hAnsi="宋体" w:eastAsia="宋体" w:cs="宋体"/>
                <w:color w:val="auto"/>
              </w:rPr>
            </w:pPr>
            <w:r>
              <w:rPr>
                <w:rFonts w:hint="eastAsia" w:ascii="宋体" w:hAnsi="宋体" w:eastAsia="宋体" w:cs="宋体"/>
                <w:color w:val="auto"/>
              </w:rPr>
              <w:t>参数</w:t>
            </w:r>
          </w:p>
        </w:tc>
        <w:tc>
          <w:tcPr>
            <w:tcW w:w="846" w:type="dxa"/>
            <w:tcBorders>
              <w:top w:val="single" w:color="000000" w:sz="4" w:space="0"/>
              <w:left w:val="single" w:color="000000" w:sz="4" w:space="0"/>
              <w:bottom w:val="single" w:color="000000" w:sz="4" w:space="0"/>
              <w:right w:val="single" w:color="000000" w:sz="4" w:space="0"/>
            </w:tcBorders>
            <w:vAlign w:val="center"/>
          </w:tcPr>
          <w:p w14:paraId="2B3153D8">
            <w:pPr>
              <w:pStyle w:val="45"/>
              <w:spacing w:line="500" w:lineRule="exact"/>
              <w:jc w:val="center"/>
              <w:rPr>
                <w:rFonts w:ascii="宋体" w:hAnsi="宋体" w:eastAsia="宋体" w:cs="宋体"/>
                <w:color w:val="auto"/>
              </w:rPr>
            </w:pPr>
            <w:r>
              <w:rPr>
                <w:rFonts w:hint="eastAsia" w:ascii="宋体" w:hAnsi="宋体" w:eastAsia="宋体" w:cs="宋体"/>
                <w:color w:val="auto"/>
              </w:rPr>
              <w:t>单位</w:t>
            </w:r>
          </w:p>
        </w:tc>
        <w:tc>
          <w:tcPr>
            <w:tcW w:w="895" w:type="dxa"/>
            <w:tcBorders>
              <w:top w:val="single" w:color="000000" w:sz="4" w:space="0"/>
              <w:left w:val="single" w:color="000000" w:sz="4" w:space="0"/>
              <w:bottom w:val="single" w:color="000000" w:sz="4" w:space="0"/>
              <w:right w:val="single" w:color="000000" w:sz="4" w:space="0"/>
            </w:tcBorders>
            <w:vAlign w:val="center"/>
          </w:tcPr>
          <w:p w14:paraId="1334B8F8">
            <w:pPr>
              <w:pStyle w:val="45"/>
              <w:spacing w:line="500" w:lineRule="exact"/>
              <w:jc w:val="center"/>
              <w:rPr>
                <w:rFonts w:ascii="宋体" w:hAnsi="宋体" w:eastAsia="宋体" w:cs="宋体"/>
                <w:color w:val="auto"/>
              </w:rPr>
            </w:pPr>
            <w:r>
              <w:rPr>
                <w:rFonts w:hint="eastAsia" w:ascii="宋体" w:hAnsi="宋体" w:eastAsia="宋体" w:cs="宋体"/>
                <w:color w:val="auto"/>
              </w:rPr>
              <w:t>数量</w:t>
            </w:r>
          </w:p>
        </w:tc>
        <w:tc>
          <w:tcPr>
            <w:tcW w:w="2081" w:type="dxa"/>
            <w:tcBorders>
              <w:top w:val="single" w:color="000000" w:sz="4" w:space="0"/>
              <w:left w:val="single" w:color="000000" w:sz="4" w:space="0"/>
              <w:bottom w:val="single" w:color="000000" w:sz="4" w:space="0"/>
              <w:right w:val="single" w:color="000000" w:sz="4" w:space="0"/>
            </w:tcBorders>
            <w:vAlign w:val="center"/>
          </w:tcPr>
          <w:p w14:paraId="03AE1801">
            <w:pPr>
              <w:pStyle w:val="45"/>
              <w:spacing w:line="500" w:lineRule="exact"/>
              <w:jc w:val="center"/>
              <w:rPr>
                <w:rFonts w:ascii="宋体" w:hAnsi="宋体" w:eastAsia="宋体" w:cs="宋体"/>
                <w:color w:val="auto"/>
              </w:rPr>
            </w:pPr>
            <w:r>
              <w:rPr>
                <w:rFonts w:hint="eastAsia" w:ascii="宋体" w:hAnsi="宋体" w:eastAsia="宋体" w:cs="宋体"/>
                <w:color w:val="auto"/>
              </w:rPr>
              <w:t>安装点</w:t>
            </w:r>
          </w:p>
        </w:tc>
        <w:tc>
          <w:tcPr>
            <w:tcW w:w="569" w:type="dxa"/>
            <w:tcBorders>
              <w:top w:val="single" w:color="000000" w:sz="4" w:space="0"/>
              <w:left w:val="single" w:color="000000" w:sz="4" w:space="0"/>
              <w:bottom w:val="single" w:color="000000" w:sz="4" w:space="0"/>
              <w:right w:val="single" w:color="000000" w:sz="4" w:space="0"/>
            </w:tcBorders>
            <w:vAlign w:val="center"/>
          </w:tcPr>
          <w:p w14:paraId="01DFBDC2">
            <w:pPr>
              <w:pStyle w:val="45"/>
              <w:spacing w:line="500" w:lineRule="exact"/>
              <w:jc w:val="center"/>
              <w:rPr>
                <w:rFonts w:ascii="宋体" w:hAnsi="宋体" w:eastAsia="宋体" w:cs="宋体"/>
                <w:color w:val="auto"/>
              </w:rPr>
            </w:pPr>
            <w:r>
              <w:rPr>
                <w:rFonts w:hint="eastAsia" w:ascii="宋体" w:hAnsi="宋体" w:eastAsia="宋体" w:cs="宋体"/>
                <w:color w:val="auto"/>
              </w:rPr>
              <w:t>备注</w:t>
            </w:r>
          </w:p>
        </w:tc>
      </w:tr>
      <w:tr w14:paraId="177D8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751" w:type="dxa"/>
            <w:tcBorders>
              <w:top w:val="single" w:color="000000" w:sz="4" w:space="0"/>
              <w:left w:val="single" w:color="000000" w:sz="4" w:space="0"/>
              <w:bottom w:val="single" w:color="000000" w:sz="4" w:space="0"/>
              <w:right w:val="single" w:color="000000" w:sz="4" w:space="0"/>
            </w:tcBorders>
            <w:vAlign w:val="center"/>
          </w:tcPr>
          <w:p w14:paraId="01E998B9">
            <w:pPr>
              <w:pStyle w:val="45"/>
              <w:spacing w:line="500" w:lineRule="exact"/>
              <w:jc w:val="center"/>
              <w:rPr>
                <w:rFonts w:ascii="宋体" w:hAnsi="宋体" w:eastAsia="宋体" w:cs="宋体"/>
                <w:color w:val="auto"/>
              </w:rPr>
            </w:pPr>
            <w:r>
              <w:rPr>
                <w:rFonts w:hint="eastAsia" w:ascii="宋体" w:hAnsi="宋体" w:eastAsia="宋体" w:cs="宋体"/>
                <w:color w:val="auto"/>
              </w:rPr>
              <w:t>1</w:t>
            </w:r>
          </w:p>
        </w:tc>
        <w:tc>
          <w:tcPr>
            <w:tcW w:w="2328" w:type="dxa"/>
            <w:tcBorders>
              <w:top w:val="single" w:color="000000" w:sz="4" w:space="0"/>
              <w:left w:val="single" w:color="000000" w:sz="4" w:space="0"/>
              <w:bottom w:val="single" w:color="000000" w:sz="4" w:space="0"/>
              <w:right w:val="single" w:color="000000" w:sz="4" w:space="0"/>
            </w:tcBorders>
            <w:vAlign w:val="center"/>
          </w:tcPr>
          <w:p w14:paraId="52BF3963">
            <w:pPr>
              <w:pStyle w:val="45"/>
              <w:spacing w:line="500" w:lineRule="exact"/>
              <w:jc w:val="center"/>
              <w:rPr>
                <w:rFonts w:ascii="宋体" w:hAnsi="宋体" w:eastAsia="宋体" w:cs="宋体"/>
                <w:color w:val="auto"/>
              </w:rPr>
            </w:pPr>
            <w:r>
              <w:rPr>
                <w:rFonts w:hint="eastAsia" w:ascii="宋体" w:hAnsi="宋体" w:eastAsia="宋体" w:cs="宋体"/>
                <w:color w:val="auto"/>
              </w:rPr>
              <w:t>插入式电磁流量计</w:t>
            </w:r>
          </w:p>
        </w:tc>
        <w:tc>
          <w:tcPr>
            <w:tcW w:w="3077" w:type="dxa"/>
            <w:tcBorders>
              <w:top w:val="single" w:color="000000" w:sz="4" w:space="0"/>
              <w:left w:val="single" w:color="000000" w:sz="4" w:space="0"/>
              <w:bottom w:val="single" w:color="000000" w:sz="4" w:space="0"/>
              <w:right w:val="single" w:color="000000" w:sz="4" w:space="0"/>
            </w:tcBorders>
            <w:vAlign w:val="center"/>
          </w:tcPr>
          <w:p w14:paraId="11CA2D4B">
            <w:pPr>
              <w:pStyle w:val="45"/>
              <w:spacing w:line="500" w:lineRule="exact"/>
              <w:jc w:val="center"/>
              <w:rPr>
                <w:rFonts w:ascii="宋体" w:hAnsi="宋体" w:eastAsia="宋体" w:cs="宋体"/>
                <w:color w:val="auto"/>
              </w:rPr>
            </w:pPr>
            <w:r>
              <w:rPr>
                <w:rFonts w:hint="eastAsia" w:ascii="宋体" w:hAnsi="宋体" w:eastAsia="宋体" w:cs="宋体"/>
                <w:color w:val="auto"/>
              </w:rPr>
              <w:t>DN900，PN=0.6MPa</w:t>
            </w:r>
          </w:p>
        </w:tc>
        <w:tc>
          <w:tcPr>
            <w:tcW w:w="846" w:type="dxa"/>
            <w:tcBorders>
              <w:top w:val="single" w:color="000000" w:sz="4" w:space="0"/>
              <w:left w:val="single" w:color="000000" w:sz="4" w:space="0"/>
              <w:bottom w:val="single" w:color="000000" w:sz="4" w:space="0"/>
              <w:right w:val="single" w:color="000000" w:sz="4" w:space="0"/>
            </w:tcBorders>
            <w:vAlign w:val="center"/>
          </w:tcPr>
          <w:p w14:paraId="28B5320C">
            <w:pPr>
              <w:pStyle w:val="45"/>
              <w:spacing w:line="500" w:lineRule="exact"/>
              <w:jc w:val="center"/>
              <w:rPr>
                <w:rFonts w:ascii="宋体" w:hAnsi="宋体" w:eastAsia="宋体" w:cs="宋体"/>
                <w:color w:val="auto"/>
              </w:rPr>
            </w:pPr>
            <w:r>
              <w:rPr>
                <w:rFonts w:hint="eastAsia" w:ascii="宋体" w:hAnsi="宋体" w:eastAsia="宋体" w:cs="宋体"/>
                <w:color w:val="auto"/>
              </w:rPr>
              <w:t>台</w:t>
            </w:r>
          </w:p>
        </w:tc>
        <w:tc>
          <w:tcPr>
            <w:tcW w:w="895" w:type="dxa"/>
            <w:tcBorders>
              <w:top w:val="single" w:color="000000" w:sz="4" w:space="0"/>
              <w:left w:val="single" w:color="000000" w:sz="4" w:space="0"/>
              <w:bottom w:val="single" w:color="000000" w:sz="4" w:space="0"/>
              <w:right w:val="single" w:color="000000" w:sz="4" w:space="0"/>
            </w:tcBorders>
            <w:vAlign w:val="center"/>
          </w:tcPr>
          <w:p w14:paraId="4F4D05CA">
            <w:pPr>
              <w:pStyle w:val="45"/>
              <w:spacing w:line="500" w:lineRule="exact"/>
              <w:jc w:val="center"/>
              <w:rPr>
                <w:rFonts w:ascii="宋体" w:hAnsi="宋体" w:eastAsia="宋体" w:cs="宋体"/>
                <w:color w:val="auto"/>
              </w:rPr>
            </w:pPr>
            <w:r>
              <w:rPr>
                <w:rFonts w:hint="eastAsia" w:ascii="宋体" w:hAnsi="宋体" w:eastAsia="宋体" w:cs="宋体"/>
                <w:color w:val="auto"/>
              </w:rPr>
              <w:t>1</w:t>
            </w:r>
          </w:p>
        </w:tc>
        <w:tc>
          <w:tcPr>
            <w:tcW w:w="2081" w:type="dxa"/>
            <w:tcBorders>
              <w:top w:val="single" w:color="000000" w:sz="4" w:space="0"/>
              <w:left w:val="single" w:color="000000" w:sz="4" w:space="0"/>
              <w:bottom w:val="single" w:color="000000" w:sz="4" w:space="0"/>
              <w:right w:val="single" w:color="000000" w:sz="4" w:space="0"/>
            </w:tcBorders>
            <w:vAlign w:val="center"/>
          </w:tcPr>
          <w:p w14:paraId="1E8A5861">
            <w:pPr>
              <w:pStyle w:val="45"/>
              <w:spacing w:line="500" w:lineRule="exact"/>
              <w:jc w:val="center"/>
              <w:rPr>
                <w:rFonts w:ascii="宋体" w:hAnsi="宋体" w:eastAsia="宋体" w:cs="宋体"/>
                <w:color w:val="auto"/>
              </w:rPr>
            </w:pPr>
            <w:r>
              <w:rPr>
                <w:rFonts w:hint="eastAsia" w:ascii="宋体" w:hAnsi="宋体" w:eastAsia="宋体" w:cs="宋体"/>
                <w:color w:val="auto"/>
              </w:rPr>
              <w:t xml:space="preserve">西涧湖二车间 </w:t>
            </w:r>
          </w:p>
        </w:tc>
        <w:tc>
          <w:tcPr>
            <w:tcW w:w="569" w:type="dxa"/>
            <w:tcBorders>
              <w:top w:val="single" w:color="000000" w:sz="4" w:space="0"/>
              <w:left w:val="single" w:color="000000" w:sz="4" w:space="0"/>
              <w:bottom w:val="single" w:color="000000" w:sz="4" w:space="0"/>
              <w:right w:val="single" w:color="000000" w:sz="4" w:space="0"/>
            </w:tcBorders>
            <w:vAlign w:val="center"/>
          </w:tcPr>
          <w:p w14:paraId="114A0234">
            <w:pPr>
              <w:pStyle w:val="45"/>
              <w:spacing w:line="500" w:lineRule="exact"/>
              <w:jc w:val="center"/>
              <w:rPr>
                <w:rFonts w:ascii="宋体" w:hAnsi="宋体" w:eastAsia="宋体" w:cs="宋体"/>
                <w:color w:val="auto"/>
              </w:rPr>
            </w:pPr>
          </w:p>
        </w:tc>
      </w:tr>
      <w:tr w14:paraId="193C4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751" w:type="dxa"/>
            <w:tcBorders>
              <w:top w:val="single" w:color="000000" w:sz="4" w:space="0"/>
              <w:left w:val="single" w:color="000000" w:sz="4" w:space="0"/>
              <w:bottom w:val="single" w:color="000000" w:sz="4" w:space="0"/>
              <w:right w:val="single" w:color="000000" w:sz="4" w:space="0"/>
            </w:tcBorders>
            <w:vAlign w:val="center"/>
          </w:tcPr>
          <w:p w14:paraId="6CB8E53D">
            <w:pPr>
              <w:pStyle w:val="45"/>
              <w:spacing w:line="500" w:lineRule="exact"/>
              <w:jc w:val="center"/>
              <w:rPr>
                <w:rFonts w:ascii="宋体" w:hAnsi="宋体" w:eastAsia="宋体" w:cs="宋体"/>
                <w:color w:val="auto"/>
              </w:rPr>
            </w:pPr>
            <w:r>
              <w:rPr>
                <w:rFonts w:hint="eastAsia" w:ascii="宋体" w:hAnsi="宋体" w:eastAsia="宋体" w:cs="宋体"/>
                <w:color w:val="auto"/>
              </w:rPr>
              <w:t>2</w:t>
            </w:r>
          </w:p>
        </w:tc>
        <w:tc>
          <w:tcPr>
            <w:tcW w:w="2328" w:type="dxa"/>
            <w:tcBorders>
              <w:top w:val="single" w:color="000000" w:sz="4" w:space="0"/>
              <w:left w:val="single" w:color="000000" w:sz="4" w:space="0"/>
              <w:bottom w:val="single" w:color="000000" w:sz="4" w:space="0"/>
              <w:right w:val="single" w:color="000000" w:sz="4" w:space="0"/>
            </w:tcBorders>
            <w:vAlign w:val="center"/>
          </w:tcPr>
          <w:p w14:paraId="0D3EF8EA">
            <w:pPr>
              <w:pStyle w:val="45"/>
              <w:spacing w:line="500" w:lineRule="exact"/>
              <w:jc w:val="center"/>
              <w:rPr>
                <w:rFonts w:ascii="宋体" w:hAnsi="宋体" w:eastAsia="宋体" w:cs="宋体"/>
                <w:color w:val="auto"/>
              </w:rPr>
            </w:pPr>
            <w:r>
              <w:rPr>
                <w:rFonts w:hint="eastAsia" w:ascii="宋体" w:hAnsi="宋体" w:eastAsia="宋体" w:cs="宋体"/>
                <w:color w:val="auto"/>
              </w:rPr>
              <w:t>插入式电磁流量计</w:t>
            </w:r>
          </w:p>
        </w:tc>
        <w:tc>
          <w:tcPr>
            <w:tcW w:w="3077" w:type="dxa"/>
            <w:tcBorders>
              <w:top w:val="single" w:color="000000" w:sz="4" w:space="0"/>
              <w:left w:val="single" w:color="000000" w:sz="4" w:space="0"/>
              <w:bottom w:val="single" w:color="000000" w:sz="4" w:space="0"/>
              <w:right w:val="single" w:color="000000" w:sz="4" w:space="0"/>
            </w:tcBorders>
            <w:vAlign w:val="center"/>
          </w:tcPr>
          <w:p w14:paraId="3DC32C2B">
            <w:pPr>
              <w:pStyle w:val="45"/>
              <w:spacing w:line="500" w:lineRule="exact"/>
              <w:jc w:val="center"/>
              <w:rPr>
                <w:rFonts w:ascii="宋体" w:hAnsi="宋体" w:eastAsia="宋体" w:cs="宋体"/>
                <w:color w:val="auto"/>
              </w:rPr>
            </w:pPr>
            <w:r>
              <w:rPr>
                <w:rFonts w:hint="eastAsia" w:ascii="宋体" w:hAnsi="宋体" w:eastAsia="宋体" w:cs="宋体"/>
                <w:color w:val="auto"/>
              </w:rPr>
              <w:t>DN1200，PN=0.6MPa</w:t>
            </w:r>
          </w:p>
        </w:tc>
        <w:tc>
          <w:tcPr>
            <w:tcW w:w="846" w:type="dxa"/>
            <w:tcBorders>
              <w:top w:val="single" w:color="000000" w:sz="4" w:space="0"/>
              <w:left w:val="single" w:color="000000" w:sz="4" w:space="0"/>
              <w:bottom w:val="single" w:color="000000" w:sz="4" w:space="0"/>
              <w:right w:val="single" w:color="000000" w:sz="4" w:space="0"/>
            </w:tcBorders>
            <w:vAlign w:val="center"/>
          </w:tcPr>
          <w:p w14:paraId="6AD07791">
            <w:pPr>
              <w:pStyle w:val="45"/>
              <w:spacing w:line="500" w:lineRule="exact"/>
              <w:jc w:val="center"/>
              <w:rPr>
                <w:rFonts w:ascii="宋体" w:hAnsi="宋体" w:eastAsia="宋体" w:cs="宋体"/>
                <w:color w:val="auto"/>
              </w:rPr>
            </w:pPr>
            <w:r>
              <w:rPr>
                <w:rFonts w:hint="eastAsia" w:ascii="宋体" w:hAnsi="宋体" w:eastAsia="宋体" w:cs="宋体"/>
                <w:color w:val="auto"/>
              </w:rPr>
              <w:t>台</w:t>
            </w:r>
          </w:p>
        </w:tc>
        <w:tc>
          <w:tcPr>
            <w:tcW w:w="895" w:type="dxa"/>
            <w:tcBorders>
              <w:top w:val="single" w:color="000000" w:sz="4" w:space="0"/>
              <w:left w:val="single" w:color="000000" w:sz="4" w:space="0"/>
              <w:bottom w:val="single" w:color="000000" w:sz="4" w:space="0"/>
              <w:right w:val="single" w:color="000000" w:sz="4" w:space="0"/>
            </w:tcBorders>
            <w:vAlign w:val="center"/>
          </w:tcPr>
          <w:p w14:paraId="346B8F05">
            <w:pPr>
              <w:pStyle w:val="45"/>
              <w:spacing w:line="500" w:lineRule="exact"/>
              <w:jc w:val="center"/>
              <w:rPr>
                <w:rFonts w:ascii="宋体" w:hAnsi="宋体" w:eastAsia="宋体" w:cs="宋体"/>
                <w:color w:val="auto"/>
              </w:rPr>
            </w:pPr>
            <w:r>
              <w:rPr>
                <w:rFonts w:hint="eastAsia" w:ascii="宋体" w:hAnsi="宋体" w:eastAsia="宋体" w:cs="宋体"/>
                <w:color w:val="auto"/>
              </w:rPr>
              <w:t>1</w:t>
            </w:r>
          </w:p>
        </w:tc>
        <w:tc>
          <w:tcPr>
            <w:tcW w:w="2081" w:type="dxa"/>
            <w:tcBorders>
              <w:top w:val="single" w:color="000000" w:sz="4" w:space="0"/>
              <w:left w:val="single" w:color="000000" w:sz="4" w:space="0"/>
              <w:bottom w:val="single" w:color="000000" w:sz="4" w:space="0"/>
              <w:right w:val="single" w:color="000000" w:sz="4" w:space="0"/>
            </w:tcBorders>
            <w:vAlign w:val="center"/>
          </w:tcPr>
          <w:p w14:paraId="6CB8BFB9">
            <w:pPr>
              <w:pStyle w:val="45"/>
              <w:spacing w:line="500" w:lineRule="exact"/>
              <w:jc w:val="center"/>
              <w:rPr>
                <w:rFonts w:ascii="宋体" w:hAnsi="宋体" w:eastAsia="宋体" w:cs="宋体"/>
                <w:color w:val="auto"/>
              </w:rPr>
            </w:pPr>
            <w:r>
              <w:rPr>
                <w:rFonts w:hint="eastAsia" w:ascii="宋体" w:hAnsi="宋体" w:eastAsia="宋体" w:cs="宋体"/>
                <w:color w:val="auto"/>
              </w:rPr>
              <w:t>西涧湖二车间</w:t>
            </w:r>
          </w:p>
        </w:tc>
        <w:tc>
          <w:tcPr>
            <w:tcW w:w="569" w:type="dxa"/>
            <w:tcBorders>
              <w:top w:val="single" w:color="000000" w:sz="4" w:space="0"/>
              <w:left w:val="single" w:color="000000" w:sz="4" w:space="0"/>
              <w:bottom w:val="single" w:color="000000" w:sz="4" w:space="0"/>
              <w:right w:val="single" w:color="000000" w:sz="4" w:space="0"/>
            </w:tcBorders>
            <w:vAlign w:val="center"/>
          </w:tcPr>
          <w:p w14:paraId="7DFBD9AF">
            <w:pPr>
              <w:pStyle w:val="45"/>
              <w:spacing w:line="500" w:lineRule="exact"/>
              <w:jc w:val="center"/>
              <w:rPr>
                <w:rFonts w:ascii="宋体" w:hAnsi="宋体" w:eastAsia="宋体" w:cs="宋体"/>
                <w:color w:val="auto"/>
              </w:rPr>
            </w:pPr>
          </w:p>
        </w:tc>
      </w:tr>
      <w:tr w14:paraId="3F1E8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751" w:type="dxa"/>
            <w:tcBorders>
              <w:top w:val="single" w:color="000000" w:sz="4" w:space="0"/>
              <w:left w:val="single" w:color="000000" w:sz="4" w:space="0"/>
              <w:bottom w:val="single" w:color="000000" w:sz="4" w:space="0"/>
              <w:right w:val="single" w:color="000000" w:sz="4" w:space="0"/>
            </w:tcBorders>
            <w:vAlign w:val="center"/>
          </w:tcPr>
          <w:p w14:paraId="3673FC41">
            <w:pPr>
              <w:pStyle w:val="45"/>
              <w:spacing w:line="500" w:lineRule="exact"/>
              <w:jc w:val="center"/>
              <w:rPr>
                <w:rFonts w:ascii="宋体" w:hAnsi="宋体" w:eastAsia="宋体" w:cs="宋体"/>
                <w:color w:val="auto"/>
              </w:rPr>
            </w:pPr>
            <w:r>
              <w:rPr>
                <w:rFonts w:hint="eastAsia" w:ascii="宋体" w:hAnsi="宋体" w:eastAsia="宋体" w:cs="宋体"/>
                <w:color w:val="auto"/>
              </w:rPr>
              <w:t>3</w:t>
            </w:r>
          </w:p>
        </w:tc>
        <w:tc>
          <w:tcPr>
            <w:tcW w:w="2328" w:type="dxa"/>
            <w:tcBorders>
              <w:top w:val="single" w:color="000000" w:sz="4" w:space="0"/>
              <w:left w:val="single" w:color="000000" w:sz="4" w:space="0"/>
              <w:bottom w:val="single" w:color="000000" w:sz="4" w:space="0"/>
              <w:right w:val="single" w:color="000000" w:sz="4" w:space="0"/>
            </w:tcBorders>
            <w:vAlign w:val="center"/>
          </w:tcPr>
          <w:p w14:paraId="3569BB01">
            <w:pPr>
              <w:pStyle w:val="45"/>
              <w:spacing w:line="500" w:lineRule="exact"/>
              <w:jc w:val="center"/>
              <w:rPr>
                <w:rFonts w:ascii="宋体" w:hAnsi="宋体" w:eastAsia="宋体" w:cs="宋体"/>
                <w:color w:val="auto"/>
              </w:rPr>
            </w:pPr>
            <w:r>
              <w:rPr>
                <w:rFonts w:hint="eastAsia" w:ascii="宋体" w:hAnsi="宋体" w:eastAsia="宋体" w:cs="宋体"/>
                <w:color w:val="auto"/>
              </w:rPr>
              <w:t>在线余氯分析仪</w:t>
            </w:r>
          </w:p>
        </w:tc>
        <w:tc>
          <w:tcPr>
            <w:tcW w:w="3077" w:type="dxa"/>
            <w:tcBorders>
              <w:top w:val="single" w:color="000000" w:sz="4" w:space="0"/>
              <w:left w:val="single" w:color="000000" w:sz="4" w:space="0"/>
              <w:bottom w:val="single" w:color="000000" w:sz="4" w:space="0"/>
              <w:right w:val="single" w:color="000000" w:sz="4" w:space="0"/>
            </w:tcBorders>
            <w:vAlign w:val="center"/>
          </w:tcPr>
          <w:p w14:paraId="57BFB3F0">
            <w:pPr>
              <w:pStyle w:val="45"/>
              <w:spacing w:line="500" w:lineRule="exact"/>
              <w:jc w:val="center"/>
              <w:rPr>
                <w:rFonts w:ascii="宋体" w:hAnsi="宋体" w:eastAsia="宋体" w:cs="宋体"/>
                <w:color w:val="auto"/>
              </w:rPr>
            </w:pPr>
            <w:r>
              <w:rPr>
                <w:rFonts w:hint="eastAsia" w:ascii="宋体" w:hAnsi="宋体" w:eastAsia="宋体" w:cs="宋体"/>
                <w:color w:val="auto"/>
              </w:rPr>
              <w:t>DPD比色法 0～5mg/L</w:t>
            </w:r>
          </w:p>
        </w:tc>
        <w:tc>
          <w:tcPr>
            <w:tcW w:w="846" w:type="dxa"/>
            <w:tcBorders>
              <w:top w:val="single" w:color="000000" w:sz="4" w:space="0"/>
              <w:left w:val="single" w:color="000000" w:sz="4" w:space="0"/>
              <w:bottom w:val="single" w:color="000000" w:sz="4" w:space="0"/>
              <w:right w:val="single" w:color="000000" w:sz="4" w:space="0"/>
            </w:tcBorders>
            <w:vAlign w:val="center"/>
          </w:tcPr>
          <w:p w14:paraId="00147B05">
            <w:pPr>
              <w:pStyle w:val="45"/>
              <w:spacing w:line="500" w:lineRule="exact"/>
              <w:jc w:val="center"/>
              <w:rPr>
                <w:rFonts w:ascii="宋体" w:hAnsi="宋体" w:eastAsia="宋体" w:cs="宋体"/>
                <w:color w:val="auto"/>
              </w:rPr>
            </w:pPr>
            <w:r>
              <w:rPr>
                <w:rFonts w:hint="eastAsia" w:ascii="宋体" w:hAnsi="宋体" w:eastAsia="宋体" w:cs="宋体"/>
                <w:color w:val="auto"/>
              </w:rPr>
              <w:t>台</w:t>
            </w:r>
          </w:p>
        </w:tc>
        <w:tc>
          <w:tcPr>
            <w:tcW w:w="895" w:type="dxa"/>
            <w:tcBorders>
              <w:top w:val="single" w:color="000000" w:sz="4" w:space="0"/>
              <w:left w:val="single" w:color="000000" w:sz="4" w:space="0"/>
              <w:bottom w:val="single" w:color="000000" w:sz="4" w:space="0"/>
              <w:right w:val="single" w:color="000000" w:sz="4" w:space="0"/>
            </w:tcBorders>
            <w:vAlign w:val="center"/>
          </w:tcPr>
          <w:p w14:paraId="09F2793B">
            <w:pPr>
              <w:pStyle w:val="45"/>
              <w:spacing w:line="500" w:lineRule="exact"/>
              <w:jc w:val="center"/>
              <w:rPr>
                <w:rFonts w:ascii="宋体" w:hAnsi="宋体" w:eastAsia="宋体" w:cs="宋体"/>
                <w:color w:val="auto"/>
              </w:rPr>
            </w:pPr>
            <w:r>
              <w:rPr>
                <w:rFonts w:hint="eastAsia" w:ascii="宋体" w:hAnsi="宋体" w:eastAsia="宋体" w:cs="宋体"/>
                <w:color w:val="auto"/>
              </w:rPr>
              <w:t>1</w:t>
            </w:r>
          </w:p>
        </w:tc>
        <w:tc>
          <w:tcPr>
            <w:tcW w:w="2081" w:type="dxa"/>
            <w:tcBorders>
              <w:top w:val="single" w:color="000000" w:sz="4" w:space="0"/>
              <w:left w:val="single" w:color="000000" w:sz="4" w:space="0"/>
              <w:bottom w:val="single" w:color="000000" w:sz="4" w:space="0"/>
              <w:right w:val="single" w:color="000000" w:sz="4" w:space="0"/>
            </w:tcBorders>
            <w:vAlign w:val="center"/>
          </w:tcPr>
          <w:p w14:paraId="09FF53BC">
            <w:pPr>
              <w:pStyle w:val="45"/>
              <w:spacing w:line="500" w:lineRule="exact"/>
              <w:jc w:val="center"/>
              <w:rPr>
                <w:rFonts w:ascii="宋体" w:hAnsi="宋体" w:eastAsia="宋体" w:cs="宋体"/>
                <w:color w:val="auto"/>
              </w:rPr>
            </w:pPr>
            <w:r>
              <w:rPr>
                <w:rFonts w:hint="eastAsia" w:ascii="宋体" w:hAnsi="宋体" w:eastAsia="宋体" w:cs="宋体"/>
                <w:color w:val="auto"/>
              </w:rPr>
              <w:t xml:space="preserve">西涧湖二车间 </w:t>
            </w:r>
          </w:p>
        </w:tc>
        <w:tc>
          <w:tcPr>
            <w:tcW w:w="569" w:type="dxa"/>
            <w:tcBorders>
              <w:top w:val="single" w:color="000000" w:sz="4" w:space="0"/>
              <w:left w:val="single" w:color="000000" w:sz="4" w:space="0"/>
              <w:bottom w:val="single" w:color="000000" w:sz="4" w:space="0"/>
              <w:right w:val="single" w:color="000000" w:sz="4" w:space="0"/>
            </w:tcBorders>
            <w:vAlign w:val="center"/>
          </w:tcPr>
          <w:p w14:paraId="5ECAE7FA">
            <w:pPr>
              <w:pStyle w:val="45"/>
              <w:spacing w:line="500" w:lineRule="exact"/>
              <w:jc w:val="center"/>
              <w:rPr>
                <w:rFonts w:ascii="宋体" w:hAnsi="宋体" w:eastAsia="宋体" w:cs="宋体"/>
                <w:color w:val="auto"/>
              </w:rPr>
            </w:pPr>
          </w:p>
        </w:tc>
      </w:tr>
      <w:tr w14:paraId="572BC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751" w:type="dxa"/>
            <w:tcBorders>
              <w:top w:val="single" w:color="000000" w:sz="4" w:space="0"/>
              <w:left w:val="single" w:color="000000" w:sz="4" w:space="0"/>
              <w:bottom w:val="single" w:color="000000" w:sz="4" w:space="0"/>
              <w:right w:val="single" w:color="000000" w:sz="4" w:space="0"/>
            </w:tcBorders>
            <w:vAlign w:val="center"/>
          </w:tcPr>
          <w:p w14:paraId="69C53A57">
            <w:pPr>
              <w:pStyle w:val="45"/>
              <w:spacing w:line="500" w:lineRule="exact"/>
              <w:jc w:val="center"/>
              <w:rPr>
                <w:rFonts w:ascii="宋体" w:hAnsi="宋体" w:eastAsia="宋体" w:cs="宋体"/>
                <w:color w:val="auto"/>
              </w:rPr>
            </w:pPr>
            <w:r>
              <w:rPr>
                <w:rFonts w:hint="eastAsia" w:ascii="宋体" w:hAnsi="宋体" w:eastAsia="宋体" w:cs="宋体"/>
                <w:color w:val="auto"/>
              </w:rPr>
              <w:t>4</w:t>
            </w:r>
          </w:p>
        </w:tc>
        <w:tc>
          <w:tcPr>
            <w:tcW w:w="2328" w:type="dxa"/>
            <w:tcBorders>
              <w:top w:val="single" w:color="000000" w:sz="4" w:space="0"/>
              <w:left w:val="single" w:color="000000" w:sz="4" w:space="0"/>
              <w:bottom w:val="single" w:color="000000" w:sz="4" w:space="0"/>
              <w:right w:val="single" w:color="000000" w:sz="4" w:space="0"/>
            </w:tcBorders>
            <w:vAlign w:val="center"/>
          </w:tcPr>
          <w:p w14:paraId="247F990D">
            <w:pPr>
              <w:pStyle w:val="45"/>
              <w:spacing w:line="500" w:lineRule="exact"/>
              <w:jc w:val="center"/>
              <w:rPr>
                <w:rFonts w:ascii="宋体" w:hAnsi="宋体" w:eastAsia="宋体" w:cs="宋体"/>
                <w:color w:val="auto"/>
              </w:rPr>
            </w:pPr>
            <w:r>
              <w:rPr>
                <w:rFonts w:hint="eastAsia" w:ascii="宋体" w:hAnsi="宋体" w:eastAsia="宋体" w:cs="宋体"/>
                <w:color w:val="auto"/>
              </w:rPr>
              <w:t>在线余氯分析仪</w:t>
            </w:r>
          </w:p>
        </w:tc>
        <w:tc>
          <w:tcPr>
            <w:tcW w:w="3077" w:type="dxa"/>
            <w:tcBorders>
              <w:top w:val="single" w:color="000000" w:sz="4" w:space="0"/>
              <w:left w:val="single" w:color="000000" w:sz="4" w:space="0"/>
              <w:bottom w:val="single" w:color="000000" w:sz="4" w:space="0"/>
              <w:right w:val="single" w:color="000000" w:sz="4" w:space="0"/>
            </w:tcBorders>
            <w:vAlign w:val="center"/>
          </w:tcPr>
          <w:p w14:paraId="566CAF15">
            <w:pPr>
              <w:pStyle w:val="45"/>
              <w:spacing w:line="500" w:lineRule="exact"/>
              <w:jc w:val="center"/>
              <w:rPr>
                <w:rFonts w:ascii="宋体" w:hAnsi="宋体" w:eastAsia="宋体" w:cs="宋体"/>
                <w:color w:val="auto"/>
              </w:rPr>
            </w:pPr>
            <w:r>
              <w:rPr>
                <w:rFonts w:hint="eastAsia" w:ascii="宋体" w:hAnsi="宋体" w:eastAsia="宋体" w:cs="宋体"/>
                <w:color w:val="auto"/>
              </w:rPr>
              <w:t>DPD比色法 0～5mg/L</w:t>
            </w:r>
          </w:p>
        </w:tc>
        <w:tc>
          <w:tcPr>
            <w:tcW w:w="846" w:type="dxa"/>
            <w:tcBorders>
              <w:top w:val="single" w:color="000000" w:sz="4" w:space="0"/>
              <w:left w:val="single" w:color="000000" w:sz="4" w:space="0"/>
              <w:bottom w:val="single" w:color="000000" w:sz="4" w:space="0"/>
              <w:right w:val="single" w:color="000000" w:sz="4" w:space="0"/>
            </w:tcBorders>
            <w:vAlign w:val="center"/>
          </w:tcPr>
          <w:p w14:paraId="0BEEB7D2">
            <w:pPr>
              <w:pStyle w:val="45"/>
              <w:spacing w:line="500" w:lineRule="exact"/>
              <w:jc w:val="center"/>
              <w:rPr>
                <w:rFonts w:ascii="宋体" w:hAnsi="宋体" w:eastAsia="宋体" w:cs="宋体"/>
                <w:color w:val="auto"/>
              </w:rPr>
            </w:pPr>
            <w:r>
              <w:rPr>
                <w:rFonts w:hint="eastAsia" w:ascii="宋体" w:hAnsi="宋体" w:eastAsia="宋体" w:cs="宋体"/>
                <w:color w:val="auto"/>
              </w:rPr>
              <w:t>台</w:t>
            </w:r>
          </w:p>
        </w:tc>
        <w:tc>
          <w:tcPr>
            <w:tcW w:w="895" w:type="dxa"/>
            <w:tcBorders>
              <w:top w:val="single" w:color="000000" w:sz="4" w:space="0"/>
              <w:left w:val="single" w:color="000000" w:sz="4" w:space="0"/>
              <w:bottom w:val="single" w:color="000000" w:sz="4" w:space="0"/>
              <w:right w:val="single" w:color="000000" w:sz="4" w:space="0"/>
            </w:tcBorders>
            <w:vAlign w:val="center"/>
          </w:tcPr>
          <w:p w14:paraId="74BB6FA3">
            <w:pPr>
              <w:pStyle w:val="45"/>
              <w:spacing w:line="500" w:lineRule="exact"/>
              <w:jc w:val="center"/>
              <w:rPr>
                <w:rFonts w:ascii="宋体" w:hAnsi="宋体" w:eastAsia="宋体" w:cs="宋体"/>
                <w:color w:val="auto"/>
              </w:rPr>
            </w:pPr>
            <w:r>
              <w:rPr>
                <w:rFonts w:hint="eastAsia" w:ascii="宋体" w:hAnsi="宋体" w:eastAsia="宋体" w:cs="宋体"/>
                <w:color w:val="auto"/>
              </w:rPr>
              <w:t>2</w:t>
            </w:r>
          </w:p>
        </w:tc>
        <w:tc>
          <w:tcPr>
            <w:tcW w:w="2081" w:type="dxa"/>
            <w:tcBorders>
              <w:top w:val="single" w:color="000000" w:sz="4" w:space="0"/>
              <w:left w:val="single" w:color="000000" w:sz="4" w:space="0"/>
              <w:bottom w:val="single" w:color="000000" w:sz="4" w:space="0"/>
              <w:right w:val="single" w:color="000000" w:sz="4" w:space="0"/>
            </w:tcBorders>
            <w:vAlign w:val="center"/>
          </w:tcPr>
          <w:p w14:paraId="5973DB9F">
            <w:pPr>
              <w:pStyle w:val="45"/>
              <w:spacing w:line="500" w:lineRule="exact"/>
              <w:jc w:val="center"/>
              <w:rPr>
                <w:rFonts w:ascii="宋体" w:hAnsi="宋体" w:eastAsia="宋体" w:cs="宋体"/>
                <w:color w:val="auto"/>
              </w:rPr>
            </w:pPr>
            <w:r>
              <w:rPr>
                <w:rFonts w:hint="eastAsia" w:ascii="宋体" w:hAnsi="宋体" w:eastAsia="宋体" w:cs="宋体"/>
                <w:color w:val="auto"/>
              </w:rPr>
              <w:t xml:space="preserve">三水厂 </w:t>
            </w:r>
          </w:p>
        </w:tc>
        <w:tc>
          <w:tcPr>
            <w:tcW w:w="569" w:type="dxa"/>
            <w:tcBorders>
              <w:top w:val="single" w:color="000000" w:sz="4" w:space="0"/>
              <w:left w:val="single" w:color="000000" w:sz="4" w:space="0"/>
              <w:bottom w:val="single" w:color="000000" w:sz="4" w:space="0"/>
              <w:right w:val="single" w:color="000000" w:sz="4" w:space="0"/>
            </w:tcBorders>
            <w:vAlign w:val="center"/>
          </w:tcPr>
          <w:p w14:paraId="24C0CB5F">
            <w:pPr>
              <w:pStyle w:val="45"/>
              <w:spacing w:line="500" w:lineRule="exact"/>
              <w:jc w:val="center"/>
              <w:rPr>
                <w:rFonts w:ascii="宋体" w:hAnsi="宋体" w:eastAsia="宋体" w:cs="宋体"/>
                <w:color w:val="auto"/>
              </w:rPr>
            </w:pPr>
          </w:p>
        </w:tc>
      </w:tr>
      <w:tr w14:paraId="15C44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751" w:type="dxa"/>
            <w:tcBorders>
              <w:top w:val="single" w:color="000000" w:sz="4" w:space="0"/>
              <w:left w:val="single" w:color="000000" w:sz="4" w:space="0"/>
              <w:bottom w:val="single" w:color="000000" w:sz="4" w:space="0"/>
              <w:right w:val="single" w:color="000000" w:sz="4" w:space="0"/>
            </w:tcBorders>
            <w:vAlign w:val="center"/>
          </w:tcPr>
          <w:p w14:paraId="35F75DEA">
            <w:pPr>
              <w:pStyle w:val="45"/>
              <w:spacing w:line="500" w:lineRule="exact"/>
              <w:jc w:val="center"/>
              <w:rPr>
                <w:rFonts w:ascii="宋体" w:hAnsi="宋体" w:eastAsia="宋体" w:cs="宋体"/>
                <w:color w:val="auto"/>
              </w:rPr>
            </w:pPr>
            <w:r>
              <w:rPr>
                <w:rFonts w:hint="eastAsia" w:ascii="宋体" w:hAnsi="宋体" w:eastAsia="宋体" w:cs="宋体"/>
                <w:color w:val="auto"/>
              </w:rPr>
              <w:t>5</w:t>
            </w:r>
          </w:p>
        </w:tc>
        <w:tc>
          <w:tcPr>
            <w:tcW w:w="2328" w:type="dxa"/>
            <w:tcBorders>
              <w:top w:val="single" w:color="000000" w:sz="4" w:space="0"/>
              <w:left w:val="single" w:color="000000" w:sz="4" w:space="0"/>
              <w:bottom w:val="single" w:color="000000" w:sz="4" w:space="0"/>
              <w:right w:val="single" w:color="000000" w:sz="4" w:space="0"/>
            </w:tcBorders>
            <w:vAlign w:val="center"/>
          </w:tcPr>
          <w:p w14:paraId="6B2F4F81">
            <w:pPr>
              <w:pStyle w:val="45"/>
              <w:spacing w:line="500" w:lineRule="exact"/>
              <w:jc w:val="center"/>
              <w:rPr>
                <w:rFonts w:ascii="宋体" w:hAnsi="宋体" w:eastAsia="宋体" w:cs="宋体"/>
                <w:color w:val="auto"/>
              </w:rPr>
            </w:pPr>
            <w:r>
              <w:rPr>
                <w:rFonts w:hint="eastAsia" w:ascii="宋体" w:hAnsi="宋体" w:eastAsia="宋体" w:cs="宋体"/>
                <w:color w:val="auto"/>
              </w:rPr>
              <w:t>二氧化碳投加系统</w:t>
            </w:r>
          </w:p>
        </w:tc>
        <w:tc>
          <w:tcPr>
            <w:tcW w:w="3077" w:type="dxa"/>
            <w:tcBorders>
              <w:top w:val="single" w:color="000000" w:sz="4" w:space="0"/>
              <w:left w:val="single" w:color="000000" w:sz="4" w:space="0"/>
              <w:bottom w:val="single" w:color="000000" w:sz="4" w:space="0"/>
              <w:right w:val="single" w:color="000000" w:sz="4" w:space="0"/>
            </w:tcBorders>
            <w:vAlign w:val="center"/>
          </w:tcPr>
          <w:p w14:paraId="367ED566">
            <w:pPr>
              <w:pStyle w:val="45"/>
              <w:spacing w:line="500" w:lineRule="exact"/>
              <w:jc w:val="center"/>
              <w:rPr>
                <w:rFonts w:ascii="宋体" w:hAnsi="宋体" w:eastAsia="宋体" w:cs="宋体"/>
                <w:color w:val="auto"/>
              </w:rPr>
            </w:pPr>
            <w:r>
              <w:rPr>
                <w:rFonts w:hint="eastAsia" w:ascii="宋体" w:hAnsi="宋体" w:eastAsia="宋体" w:cs="宋体"/>
                <w:color w:val="auto"/>
              </w:rPr>
              <w:t xml:space="preserve">  50kg/h</w:t>
            </w:r>
          </w:p>
        </w:tc>
        <w:tc>
          <w:tcPr>
            <w:tcW w:w="846" w:type="dxa"/>
            <w:tcBorders>
              <w:top w:val="single" w:color="000000" w:sz="4" w:space="0"/>
              <w:left w:val="single" w:color="000000" w:sz="4" w:space="0"/>
              <w:bottom w:val="single" w:color="000000" w:sz="4" w:space="0"/>
              <w:right w:val="single" w:color="000000" w:sz="4" w:space="0"/>
            </w:tcBorders>
            <w:vAlign w:val="center"/>
          </w:tcPr>
          <w:p w14:paraId="46CA3145">
            <w:pPr>
              <w:pStyle w:val="45"/>
              <w:spacing w:line="500" w:lineRule="exact"/>
              <w:jc w:val="center"/>
              <w:rPr>
                <w:rFonts w:ascii="宋体" w:hAnsi="宋体" w:eastAsia="宋体" w:cs="宋体"/>
                <w:color w:val="auto"/>
              </w:rPr>
            </w:pPr>
            <w:r>
              <w:rPr>
                <w:rFonts w:hint="eastAsia" w:ascii="宋体" w:hAnsi="宋体" w:eastAsia="宋体" w:cs="宋体"/>
                <w:color w:val="auto"/>
              </w:rPr>
              <w:t>套</w:t>
            </w:r>
          </w:p>
        </w:tc>
        <w:tc>
          <w:tcPr>
            <w:tcW w:w="895" w:type="dxa"/>
            <w:tcBorders>
              <w:top w:val="single" w:color="000000" w:sz="4" w:space="0"/>
              <w:left w:val="single" w:color="000000" w:sz="4" w:space="0"/>
              <w:bottom w:val="single" w:color="000000" w:sz="4" w:space="0"/>
              <w:right w:val="single" w:color="000000" w:sz="4" w:space="0"/>
            </w:tcBorders>
            <w:vAlign w:val="center"/>
          </w:tcPr>
          <w:p w14:paraId="5E2CF6E0">
            <w:pPr>
              <w:pStyle w:val="45"/>
              <w:spacing w:line="500" w:lineRule="exact"/>
              <w:jc w:val="center"/>
              <w:rPr>
                <w:rFonts w:ascii="宋体" w:hAnsi="宋体" w:eastAsia="宋体" w:cs="宋体"/>
                <w:color w:val="auto"/>
              </w:rPr>
            </w:pPr>
            <w:r>
              <w:rPr>
                <w:rFonts w:hint="eastAsia" w:ascii="宋体" w:hAnsi="宋体" w:eastAsia="宋体" w:cs="宋体"/>
                <w:color w:val="auto"/>
              </w:rPr>
              <w:t>1</w:t>
            </w:r>
          </w:p>
        </w:tc>
        <w:tc>
          <w:tcPr>
            <w:tcW w:w="2081" w:type="dxa"/>
            <w:tcBorders>
              <w:top w:val="single" w:color="000000" w:sz="4" w:space="0"/>
              <w:left w:val="single" w:color="000000" w:sz="4" w:space="0"/>
              <w:bottom w:val="single" w:color="000000" w:sz="4" w:space="0"/>
              <w:right w:val="single" w:color="000000" w:sz="4" w:space="0"/>
            </w:tcBorders>
            <w:vAlign w:val="center"/>
          </w:tcPr>
          <w:p w14:paraId="0F2CDC4B">
            <w:pPr>
              <w:pStyle w:val="45"/>
              <w:spacing w:line="500" w:lineRule="exact"/>
              <w:jc w:val="center"/>
              <w:rPr>
                <w:rFonts w:ascii="宋体" w:hAnsi="宋体" w:eastAsia="宋体" w:cs="宋体"/>
                <w:color w:val="auto"/>
              </w:rPr>
            </w:pPr>
            <w:r>
              <w:rPr>
                <w:rFonts w:hint="eastAsia" w:ascii="宋体" w:hAnsi="宋体" w:eastAsia="宋体" w:cs="宋体"/>
                <w:color w:val="auto"/>
              </w:rPr>
              <w:t xml:space="preserve">西涧湖二车间 </w:t>
            </w:r>
          </w:p>
        </w:tc>
        <w:tc>
          <w:tcPr>
            <w:tcW w:w="569" w:type="dxa"/>
            <w:tcBorders>
              <w:top w:val="single" w:color="000000" w:sz="4" w:space="0"/>
              <w:left w:val="single" w:color="000000" w:sz="4" w:space="0"/>
              <w:bottom w:val="single" w:color="000000" w:sz="4" w:space="0"/>
              <w:right w:val="single" w:color="000000" w:sz="4" w:space="0"/>
            </w:tcBorders>
            <w:vAlign w:val="center"/>
          </w:tcPr>
          <w:p w14:paraId="48E49457">
            <w:pPr>
              <w:pStyle w:val="45"/>
              <w:spacing w:line="500" w:lineRule="exact"/>
              <w:jc w:val="center"/>
              <w:rPr>
                <w:rFonts w:ascii="宋体" w:hAnsi="宋体" w:eastAsia="宋体" w:cs="宋体"/>
                <w:color w:val="auto"/>
              </w:rPr>
            </w:pPr>
          </w:p>
        </w:tc>
      </w:tr>
    </w:tbl>
    <w:p w14:paraId="0D7760A5">
      <w:pPr>
        <w:pStyle w:val="6"/>
        <w:spacing w:before="0" w:after="0" w:line="500" w:lineRule="exact"/>
        <w:ind w:left="420" w:leftChars="200"/>
        <w:jc w:val="left"/>
        <w:rPr>
          <w:rFonts w:ascii="宋体" w:hAnsi="宋体" w:cs="宋体"/>
          <w:color w:val="auto"/>
          <w:sz w:val="21"/>
          <w:szCs w:val="21"/>
        </w:rPr>
      </w:pPr>
      <w:r>
        <w:rPr>
          <w:rFonts w:hint="eastAsia" w:ascii="宋体" w:hAnsi="宋体" w:cs="宋体"/>
          <w:color w:val="auto"/>
          <w:sz w:val="21"/>
          <w:szCs w:val="21"/>
        </w:rPr>
        <w:t>（一） 插入式电磁流量计</w:t>
      </w:r>
    </w:p>
    <w:p w14:paraId="5AA3BBF8">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功能： 测量、指示和传送管道内导电液体的流量、状态</w:t>
      </w:r>
    </w:p>
    <w:p w14:paraId="0226B4D9">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规格： 一体式/分体式</w:t>
      </w:r>
    </w:p>
    <w:p w14:paraId="54EE8E8F">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组成： 传感器、变送器和全部安装附件</w:t>
      </w:r>
    </w:p>
    <w:p w14:paraId="742FCA99">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测量原理： 利用法拉第电磁感应测量原理、连续测量</w:t>
      </w:r>
    </w:p>
    <w:p w14:paraId="3E181351">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电极材质： 316L/哈氏合金  介质电导率 &gt;20μs/cm</w:t>
      </w:r>
    </w:p>
    <w:p w14:paraId="231907BF">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w:t>
      </w:r>
      <w:r>
        <w:rPr>
          <w:rFonts w:hint="eastAsia" w:ascii="宋体" w:hAnsi="宋体" w:cs="宋体"/>
          <w:color w:val="auto"/>
          <w:szCs w:val="21"/>
        </w:rPr>
        <w:t>内衬材质： 橡胶</w:t>
      </w:r>
    </w:p>
    <w:p w14:paraId="2E4A91E5">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7</w:t>
      </w:r>
      <w:r>
        <w:rPr>
          <w:rFonts w:hint="eastAsia" w:ascii="宋体" w:hAnsi="宋体" w:cs="宋体"/>
          <w:color w:val="auto"/>
          <w:szCs w:val="21"/>
          <w:lang w:val="en-US" w:eastAsia="zh-CN"/>
        </w:rPr>
        <w:t>.</w:t>
      </w:r>
      <w:r>
        <w:rPr>
          <w:rFonts w:hint="eastAsia" w:ascii="宋体" w:hAnsi="宋体" w:cs="宋体"/>
          <w:color w:val="auto"/>
          <w:szCs w:val="21"/>
        </w:rPr>
        <w:t>传感器直管段要求： 前 10D 后 5D 时，满足测量精度</w:t>
      </w:r>
    </w:p>
    <w:p w14:paraId="47310438">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szCs w:val="21"/>
          <w:lang w:val="en-US" w:eastAsia="zh-CN"/>
        </w:rPr>
        <w:t>.</w:t>
      </w:r>
      <w:r>
        <w:rPr>
          <w:rFonts w:hint="eastAsia" w:ascii="宋体" w:hAnsi="宋体" w:cs="宋体"/>
          <w:color w:val="auto"/>
          <w:szCs w:val="21"/>
        </w:rPr>
        <w:t>温度 -40</w:t>
      </w:r>
      <w:r>
        <w:rPr>
          <w:rFonts w:hint="eastAsia" w:ascii="宋体" w:hAnsi="宋体" w:eastAsia="宋体" w:cs="宋体"/>
          <w:color w:val="auto"/>
          <w:sz w:val="21"/>
          <w:szCs w:val="21"/>
          <w:lang w:eastAsia="zh-CN"/>
        </w:rPr>
        <w:t>～</w:t>
      </w:r>
      <w:r>
        <w:rPr>
          <w:rFonts w:hint="eastAsia" w:ascii="宋体" w:hAnsi="宋体" w:cs="宋体"/>
          <w:color w:val="auto"/>
          <w:szCs w:val="21"/>
        </w:rPr>
        <w:t>180℃ 标定压力 Max100</w:t>
      </w:r>
    </w:p>
    <w:p w14:paraId="146D478B">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9</w:t>
      </w:r>
      <w:r>
        <w:rPr>
          <w:rFonts w:hint="eastAsia" w:ascii="宋体" w:hAnsi="宋体" w:cs="宋体"/>
          <w:color w:val="auto"/>
          <w:szCs w:val="21"/>
          <w:lang w:val="en-US" w:eastAsia="zh-CN"/>
        </w:rPr>
        <w:t>.</w:t>
      </w:r>
      <w:r>
        <w:rPr>
          <w:rFonts w:hint="eastAsia" w:ascii="宋体" w:hAnsi="宋体" w:cs="宋体"/>
          <w:color w:val="auto"/>
          <w:szCs w:val="21"/>
        </w:rPr>
        <w:t>介质温度 -20</w:t>
      </w:r>
      <w:r>
        <w:rPr>
          <w:rFonts w:hint="eastAsia" w:ascii="宋体" w:hAnsi="宋体" w:eastAsia="宋体" w:cs="宋体"/>
          <w:color w:val="auto"/>
          <w:sz w:val="21"/>
          <w:szCs w:val="21"/>
          <w:lang w:eastAsia="zh-CN"/>
        </w:rPr>
        <w:t>～</w:t>
      </w:r>
      <w:r>
        <w:rPr>
          <w:rFonts w:hint="eastAsia" w:ascii="宋体" w:hAnsi="宋体" w:cs="宋体"/>
          <w:color w:val="auto"/>
          <w:szCs w:val="21"/>
        </w:rPr>
        <w:t>130℃</w:t>
      </w:r>
    </w:p>
    <w:p w14:paraId="6B33AA44">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10</w:t>
      </w:r>
      <w:r>
        <w:rPr>
          <w:rFonts w:hint="eastAsia" w:ascii="宋体" w:hAnsi="宋体" w:cs="宋体"/>
          <w:color w:val="auto"/>
          <w:szCs w:val="21"/>
          <w:lang w:val="en-US" w:eastAsia="zh-CN"/>
        </w:rPr>
        <w:t>.</w:t>
      </w:r>
      <w:r>
        <w:rPr>
          <w:rFonts w:hint="eastAsia" w:ascii="宋体" w:hAnsi="宋体" w:cs="宋体"/>
          <w:color w:val="auto"/>
          <w:szCs w:val="21"/>
        </w:rPr>
        <w:t>防护等级： IP67/68</w:t>
      </w:r>
    </w:p>
    <w:p w14:paraId="35FE41C6">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11</w:t>
      </w:r>
      <w:r>
        <w:rPr>
          <w:rFonts w:hint="eastAsia" w:ascii="宋体" w:hAnsi="宋体" w:cs="宋体"/>
          <w:color w:val="auto"/>
          <w:szCs w:val="21"/>
          <w:lang w:val="en-US" w:eastAsia="zh-CN"/>
        </w:rPr>
        <w:t>.</w:t>
      </w:r>
      <w:r>
        <w:rPr>
          <w:rFonts w:hint="eastAsia" w:ascii="宋体" w:hAnsi="宋体" w:cs="宋体"/>
          <w:color w:val="auto"/>
          <w:szCs w:val="21"/>
        </w:rPr>
        <w:t>安装方式： 定尺安装形式、在线可插拔安装形式</w:t>
      </w:r>
    </w:p>
    <w:p w14:paraId="25E38704">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12</w:t>
      </w:r>
      <w:r>
        <w:rPr>
          <w:rFonts w:hint="eastAsia" w:ascii="宋体" w:hAnsi="宋体" w:cs="宋体"/>
          <w:color w:val="auto"/>
          <w:szCs w:val="21"/>
          <w:lang w:val="en-US" w:eastAsia="zh-CN"/>
        </w:rPr>
        <w:t>.</w:t>
      </w:r>
      <w:r>
        <w:rPr>
          <w:rFonts w:hint="eastAsia" w:ascii="宋体" w:hAnsi="宋体" w:cs="宋体"/>
          <w:color w:val="auto"/>
          <w:szCs w:val="21"/>
        </w:rPr>
        <w:t>传感器口径： DN200～DN2000</w:t>
      </w:r>
    </w:p>
    <w:p w14:paraId="293988D4">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13</w:t>
      </w:r>
      <w:r>
        <w:rPr>
          <w:rFonts w:hint="eastAsia" w:ascii="宋体" w:hAnsi="宋体" w:cs="宋体"/>
          <w:color w:val="auto"/>
          <w:szCs w:val="21"/>
          <w:lang w:val="en-US" w:eastAsia="zh-CN"/>
        </w:rPr>
        <w:t>.</w:t>
      </w:r>
      <w:r>
        <w:rPr>
          <w:rFonts w:hint="eastAsia" w:ascii="宋体" w:hAnsi="宋体" w:cs="宋体"/>
          <w:color w:val="auto"/>
          <w:szCs w:val="21"/>
        </w:rPr>
        <w:t>变送器：测量精度 ±1%</w:t>
      </w:r>
    </w:p>
    <w:p w14:paraId="0C75585B">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w:t>
      </w:r>
      <w:r>
        <w:rPr>
          <w:rFonts w:hint="eastAsia" w:ascii="宋体" w:hAnsi="宋体" w:cs="宋体"/>
          <w:color w:val="auto"/>
          <w:szCs w:val="21"/>
        </w:rPr>
        <w:t>测量流向： 单向/双向流</w:t>
      </w:r>
    </w:p>
    <w:p w14:paraId="5D4F7A22">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w:t>
      </w:r>
      <w:r>
        <w:rPr>
          <w:rFonts w:hint="eastAsia" w:ascii="宋体" w:hAnsi="宋体" w:cs="宋体"/>
          <w:color w:val="auto"/>
          <w:szCs w:val="21"/>
        </w:rPr>
        <w:t>变送器显示： 3行 20个字符</w:t>
      </w:r>
    </w:p>
    <w:p w14:paraId="01EEA9DC">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16</w:t>
      </w:r>
      <w:r>
        <w:rPr>
          <w:rFonts w:hint="eastAsia" w:ascii="宋体" w:hAnsi="宋体" w:cs="宋体"/>
          <w:color w:val="auto"/>
          <w:szCs w:val="21"/>
          <w:lang w:val="en-US" w:eastAsia="zh-CN"/>
        </w:rPr>
        <w:t>.</w:t>
      </w:r>
      <w:r>
        <w:rPr>
          <w:rFonts w:hint="eastAsia" w:ascii="宋体" w:hAnsi="宋体" w:cs="宋体"/>
          <w:color w:val="auto"/>
          <w:szCs w:val="21"/>
        </w:rPr>
        <w:t>输出信号： 一路电流一路数字</w:t>
      </w:r>
    </w:p>
    <w:p w14:paraId="61A177F3">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17</w:t>
      </w:r>
      <w:r>
        <w:rPr>
          <w:rFonts w:hint="eastAsia" w:ascii="宋体" w:hAnsi="宋体" w:cs="宋体"/>
          <w:color w:val="auto"/>
          <w:szCs w:val="21"/>
          <w:lang w:val="en-US" w:eastAsia="zh-CN"/>
        </w:rPr>
        <w:t>.</w:t>
      </w:r>
      <w:r>
        <w:rPr>
          <w:rFonts w:hint="eastAsia" w:ascii="宋体" w:hAnsi="宋体" w:cs="宋体"/>
          <w:color w:val="auto"/>
          <w:szCs w:val="21"/>
        </w:rPr>
        <w:t>供电电源 220VAC 防护等级 IP67</w:t>
      </w:r>
    </w:p>
    <w:p w14:paraId="4314CED7">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18</w:t>
      </w:r>
      <w:r>
        <w:rPr>
          <w:rFonts w:hint="eastAsia" w:ascii="宋体" w:hAnsi="宋体" w:cs="宋体"/>
          <w:color w:val="auto"/>
          <w:szCs w:val="21"/>
          <w:lang w:val="en-US" w:eastAsia="zh-CN"/>
        </w:rPr>
        <w:t>.</w:t>
      </w:r>
      <w:r>
        <w:rPr>
          <w:rFonts w:hint="eastAsia" w:ascii="宋体" w:hAnsi="宋体" w:cs="宋体"/>
          <w:color w:val="auto"/>
          <w:szCs w:val="21"/>
        </w:rPr>
        <w:t>其他 出场标定 实流标定，并提供全套标定记录</w:t>
      </w:r>
    </w:p>
    <w:p w14:paraId="49B73E3B">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传感器组件： 全套安装法兰(管道用)、垫片和附件</w:t>
      </w:r>
    </w:p>
    <w:p w14:paraId="11CE991A">
      <w:pPr>
        <w:pStyle w:val="11"/>
        <w:spacing w:line="500" w:lineRule="exact"/>
        <w:ind w:left="420" w:leftChars="200" w:firstLine="422" w:firstLineChars="200"/>
        <w:jc w:val="left"/>
        <w:rPr>
          <w:rFonts w:ascii="宋体" w:hAnsi="宋体" w:cs="宋体"/>
          <w:b/>
          <w:bCs/>
          <w:color w:val="auto"/>
          <w:szCs w:val="21"/>
        </w:rPr>
      </w:pPr>
      <w:r>
        <w:rPr>
          <w:rFonts w:hint="eastAsia" w:ascii="宋体" w:hAnsi="宋体" w:cs="宋体"/>
          <w:b/>
          <w:bCs/>
          <w:color w:val="auto"/>
          <w:szCs w:val="21"/>
        </w:rPr>
        <w:t>推荐品牌：艾默生、ABB、霍尼韦尔等</w:t>
      </w:r>
    </w:p>
    <w:p w14:paraId="10A02C44">
      <w:pPr>
        <w:pStyle w:val="6"/>
        <w:spacing w:before="0" w:after="0" w:line="500" w:lineRule="exact"/>
        <w:ind w:left="420" w:leftChars="200"/>
        <w:jc w:val="left"/>
        <w:rPr>
          <w:rFonts w:ascii="宋体" w:hAnsi="宋体" w:cs="宋体"/>
          <w:color w:val="auto"/>
          <w:sz w:val="21"/>
          <w:szCs w:val="21"/>
        </w:rPr>
      </w:pPr>
      <w:r>
        <w:rPr>
          <w:rFonts w:hint="eastAsia" w:ascii="宋体" w:hAnsi="宋体" w:cs="宋体"/>
          <w:color w:val="auto"/>
          <w:sz w:val="21"/>
          <w:szCs w:val="21"/>
        </w:rPr>
        <w:t>（二）余氯分析仪</w:t>
      </w:r>
    </w:p>
    <w:p w14:paraId="63A482B2">
      <w:pPr>
        <w:spacing w:line="500" w:lineRule="exact"/>
        <w:ind w:firstLine="558" w:firstLineChars="266"/>
        <w:jc w:val="lef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1.</w:t>
      </w:r>
      <w:r>
        <w:rPr>
          <w:rFonts w:hint="eastAsia" w:ascii="宋体" w:hAnsi="宋体" w:cs="宋体"/>
          <w:color w:val="auto"/>
          <w:szCs w:val="21"/>
        </w:rPr>
        <w:t>测量原理：DPD比色法，可准确测量余氯或总氯含量；</w:t>
      </w:r>
    </w:p>
    <w:p w14:paraId="424F9FDC">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利用内置曲线校正；</w:t>
      </w:r>
    </w:p>
    <w:p w14:paraId="7E31DCF5">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测量范围：0～5mg/L的余氯或总氯；</w:t>
      </w:r>
    </w:p>
    <w:p w14:paraId="369F2A08">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准确度：读数的±5%或0.035mg/L Cl2；</w:t>
      </w:r>
    </w:p>
    <w:p w14:paraId="70E086AD">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精度：读数的±5%或0.005mg/L Cl2；</w:t>
      </w:r>
    </w:p>
    <w:p w14:paraId="01527D2D">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检测限：0.035mg/L；</w:t>
      </w:r>
    </w:p>
    <w:p w14:paraId="5FC9F5C0">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测量时间：2.5分钟；</w:t>
      </w:r>
    </w:p>
    <w:p w14:paraId="43D516F0">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样品流量：200</w:t>
      </w:r>
      <w:r>
        <w:rPr>
          <w:rFonts w:hint="eastAsia" w:ascii="宋体" w:hAnsi="宋体" w:eastAsia="宋体" w:cs="宋体"/>
          <w:color w:val="auto"/>
          <w:sz w:val="21"/>
          <w:szCs w:val="21"/>
          <w:lang w:eastAsia="zh-CN"/>
        </w:rPr>
        <w:t>～</w:t>
      </w:r>
      <w:r>
        <w:rPr>
          <w:rFonts w:hint="eastAsia" w:ascii="宋体" w:hAnsi="宋体" w:cs="宋体"/>
          <w:color w:val="auto"/>
          <w:szCs w:val="21"/>
        </w:rPr>
        <w:t>500 mL/min；</w:t>
      </w:r>
    </w:p>
    <w:p w14:paraId="540C74CE">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样品压力范围：0.01～0.5Mpa；</w:t>
      </w:r>
    </w:p>
    <w:p w14:paraId="7F82FE22">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显示：LCD液晶屏；</w:t>
      </w:r>
    </w:p>
    <w:p w14:paraId="1C803125">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11.</w:t>
      </w:r>
      <w:r>
        <w:rPr>
          <w:rFonts w:hint="eastAsia" w:ascii="宋体" w:hAnsi="宋体" w:cs="宋体"/>
          <w:color w:val="auto"/>
          <w:szCs w:val="21"/>
        </w:rPr>
        <w:t>输出：4～20mA，继电器；</w:t>
      </w:r>
    </w:p>
    <w:p w14:paraId="722E1207">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12.</w:t>
      </w:r>
      <w:r>
        <w:rPr>
          <w:rFonts w:hint="eastAsia" w:ascii="宋体" w:hAnsi="宋体" w:cs="宋体"/>
          <w:color w:val="auto"/>
          <w:szCs w:val="21"/>
        </w:rPr>
        <w:t>通讯协议：可选AquaTrend网络接口（Lonworks）</w:t>
      </w:r>
    </w:p>
    <w:p w14:paraId="4CAB2DEF">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13.</w:t>
      </w:r>
      <w:r>
        <w:rPr>
          <w:rFonts w:hint="eastAsia" w:ascii="宋体" w:hAnsi="宋体" w:cs="宋体"/>
          <w:color w:val="auto"/>
          <w:szCs w:val="21"/>
        </w:rPr>
        <w:t>操作环境：5～40℃，0～90％相对湿度；</w:t>
      </w:r>
    </w:p>
    <w:p w14:paraId="7DCE0E14">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14.</w:t>
      </w:r>
      <w:r>
        <w:rPr>
          <w:rFonts w:hint="eastAsia" w:ascii="宋体" w:hAnsi="宋体" w:cs="宋体"/>
          <w:color w:val="auto"/>
          <w:szCs w:val="21"/>
        </w:rPr>
        <w:t>电源：100～230VAC，50/60Hz；</w:t>
      </w:r>
    </w:p>
    <w:p w14:paraId="15EE907B">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15.</w:t>
      </w:r>
      <w:r>
        <w:rPr>
          <w:rFonts w:hint="eastAsia" w:ascii="宋体" w:hAnsi="宋体" w:cs="宋体"/>
          <w:color w:val="auto"/>
          <w:szCs w:val="21"/>
        </w:rPr>
        <w:t>认证：CE，UL1262 ETL，CSA22.2，No.142；</w:t>
      </w:r>
    </w:p>
    <w:p w14:paraId="63241AA4">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16.</w:t>
      </w:r>
      <w:r>
        <w:rPr>
          <w:rFonts w:hint="eastAsia" w:ascii="宋体" w:hAnsi="宋体" w:cs="宋体"/>
          <w:color w:val="auto"/>
          <w:szCs w:val="21"/>
        </w:rPr>
        <w:t>防护等级：IP62，室内安装；</w:t>
      </w:r>
    </w:p>
    <w:p w14:paraId="10E3ED35">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17.</w:t>
      </w:r>
      <w:r>
        <w:rPr>
          <w:rFonts w:hint="eastAsia" w:ascii="宋体" w:hAnsi="宋体" w:cs="宋体"/>
          <w:color w:val="auto"/>
          <w:szCs w:val="21"/>
        </w:rPr>
        <w:t>仪器安装方式：壁挂式安装。</w:t>
      </w:r>
    </w:p>
    <w:p w14:paraId="5BFE6B49">
      <w:pPr>
        <w:pStyle w:val="11"/>
        <w:spacing w:line="500" w:lineRule="exact"/>
        <w:ind w:left="420" w:leftChars="200" w:firstLine="422" w:firstLineChars="200"/>
        <w:jc w:val="left"/>
        <w:rPr>
          <w:rFonts w:ascii="宋体" w:hAnsi="宋体" w:cs="宋体"/>
          <w:b/>
          <w:bCs/>
          <w:color w:val="auto"/>
          <w:szCs w:val="21"/>
        </w:rPr>
      </w:pPr>
      <w:r>
        <w:rPr>
          <w:rFonts w:hint="eastAsia" w:ascii="宋体" w:hAnsi="宋体" w:cs="宋体"/>
          <w:b/>
          <w:bCs/>
          <w:color w:val="auto"/>
          <w:szCs w:val="21"/>
        </w:rPr>
        <w:t>推荐品牌：哈希、本华、E+H、德菲等</w:t>
      </w:r>
    </w:p>
    <w:p w14:paraId="5BACCA1E">
      <w:pPr>
        <w:pStyle w:val="6"/>
        <w:numPr>
          <w:ilvl w:val="0"/>
          <w:numId w:val="6"/>
        </w:numPr>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二氧化碳投加系统</w:t>
      </w:r>
    </w:p>
    <w:p w14:paraId="37B91571">
      <w:pPr>
        <w:spacing w:line="500" w:lineRule="exact"/>
        <w:ind w:firstLine="630" w:firstLineChars="300"/>
        <w:rPr>
          <w:rFonts w:ascii="宋体" w:hAnsi="宋体" w:cs="宋体"/>
          <w:color w:val="auto"/>
          <w:szCs w:val="21"/>
        </w:rPr>
      </w:pPr>
      <w:r>
        <w:rPr>
          <w:rFonts w:hint="eastAsia"/>
          <w:color w:val="auto"/>
        </w:rPr>
        <w:t xml:space="preserve">    </w:t>
      </w:r>
      <w:r>
        <w:rPr>
          <w:rFonts w:hint="eastAsia" w:ascii="宋体" w:hAnsi="宋体" w:cs="宋体"/>
          <w:color w:val="auto"/>
          <w:szCs w:val="21"/>
        </w:rPr>
        <w:t xml:space="preserve"> 主要清单如下：</w:t>
      </w:r>
    </w:p>
    <w:tbl>
      <w:tblPr>
        <w:tblStyle w:val="23"/>
        <w:tblW w:w="10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4"/>
        <w:gridCol w:w="1590"/>
        <w:gridCol w:w="4883"/>
        <w:gridCol w:w="637"/>
        <w:gridCol w:w="750"/>
        <w:gridCol w:w="2096"/>
      </w:tblGrid>
      <w:tr w14:paraId="41E96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14" w:type="dxa"/>
            <w:shd w:val="clear" w:color="auto" w:fill="auto"/>
            <w:vAlign w:val="center"/>
          </w:tcPr>
          <w:p w14:paraId="080F136D">
            <w:pPr>
              <w:spacing w:line="500" w:lineRule="exact"/>
              <w:rPr>
                <w:rFonts w:ascii="宋体" w:hAnsi="宋体" w:cs="宋体"/>
                <w:color w:val="auto"/>
                <w:szCs w:val="21"/>
              </w:rPr>
            </w:pPr>
            <w:r>
              <w:rPr>
                <w:rFonts w:hint="eastAsia" w:ascii="宋体" w:hAnsi="宋体" w:cs="宋体"/>
                <w:color w:val="auto"/>
                <w:szCs w:val="21"/>
              </w:rPr>
              <w:t>序号</w:t>
            </w:r>
          </w:p>
        </w:tc>
        <w:tc>
          <w:tcPr>
            <w:tcW w:w="1590" w:type="dxa"/>
            <w:shd w:val="clear" w:color="auto" w:fill="auto"/>
            <w:vAlign w:val="center"/>
          </w:tcPr>
          <w:p w14:paraId="71C00C54">
            <w:pPr>
              <w:spacing w:line="500" w:lineRule="exact"/>
              <w:ind w:left="420" w:leftChars="200"/>
              <w:jc w:val="center"/>
              <w:rPr>
                <w:rFonts w:ascii="宋体" w:hAnsi="宋体" w:cs="宋体"/>
                <w:color w:val="auto"/>
                <w:szCs w:val="21"/>
              </w:rPr>
            </w:pPr>
            <w:r>
              <w:rPr>
                <w:rFonts w:hint="eastAsia" w:ascii="宋体" w:hAnsi="宋体" w:cs="宋体"/>
                <w:color w:val="auto"/>
                <w:szCs w:val="21"/>
              </w:rPr>
              <w:t>设备名称</w:t>
            </w:r>
          </w:p>
        </w:tc>
        <w:tc>
          <w:tcPr>
            <w:tcW w:w="4883" w:type="dxa"/>
            <w:shd w:val="clear" w:color="auto" w:fill="auto"/>
            <w:vAlign w:val="center"/>
          </w:tcPr>
          <w:p w14:paraId="7B4226AD">
            <w:pPr>
              <w:spacing w:line="500" w:lineRule="exact"/>
              <w:ind w:left="420" w:leftChars="200"/>
              <w:jc w:val="center"/>
              <w:rPr>
                <w:rFonts w:ascii="宋体" w:hAnsi="宋体" w:cs="宋体"/>
                <w:color w:val="auto"/>
                <w:szCs w:val="21"/>
              </w:rPr>
            </w:pPr>
            <w:r>
              <w:rPr>
                <w:rFonts w:hint="eastAsia" w:ascii="宋体" w:hAnsi="宋体" w:cs="宋体"/>
                <w:color w:val="auto"/>
                <w:szCs w:val="21"/>
              </w:rPr>
              <w:t>规格型号</w:t>
            </w:r>
          </w:p>
        </w:tc>
        <w:tc>
          <w:tcPr>
            <w:tcW w:w="637" w:type="dxa"/>
            <w:shd w:val="clear" w:color="auto" w:fill="auto"/>
            <w:vAlign w:val="center"/>
          </w:tcPr>
          <w:p w14:paraId="0732914C">
            <w:pPr>
              <w:spacing w:line="500" w:lineRule="exact"/>
              <w:rPr>
                <w:rFonts w:ascii="宋体" w:hAnsi="宋体" w:cs="宋体"/>
                <w:color w:val="auto"/>
                <w:szCs w:val="21"/>
              </w:rPr>
            </w:pPr>
            <w:r>
              <w:rPr>
                <w:rFonts w:hint="eastAsia" w:ascii="宋体" w:hAnsi="宋体" w:cs="宋体"/>
                <w:color w:val="auto"/>
                <w:szCs w:val="21"/>
              </w:rPr>
              <w:t>数量</w:t>
            </w:r>
          </w:p>
        </w:tc>
        <w:tc>
          <w:tcPr>
            <w:tcW w:w="750" w:type="dxa"/>
            <w:shd w:val="clear" w:color="auto" w:fill="auto"/>
            <w:vAlign w:val="center"/>
          </w:tcPr>
          <w:p w14:paraId="23BE11C1">
            <w:pPr>
              <w:spacing w:line="500" w:lineRule="exact"/>
              <w:rPr>
                <w:rFonts w:ascii="宋体" w:hAnsi="宋体" w:cs="宋体"/>
                <w:color w:val="auto"/>
                <w:szCs w:val="21"/>
              </w:rPr>
            </w:pPr>
            <w:r>
              <w:rPr>
                <w:rFonts w:hint="eastAsia" w:ascii="宋体" w:hAnsi="宋体" w:cs="宋体"/>
                <w:color w:val="auto"/>
                <w:szCs w:val="21"/>
              </w:rPr>
              <w:t>单位</w:t>
            </w:r>
          </w:p>
        </w:tc>
        <w:tc>
          <w:tcPr>
            <w:tcW w:w="2096" w:type="dxa"/>
            <w:shd w:val="clear" w:color="auto" w:fill="auto"/>
            <w:vAlign w:val="center"/>
          </w:tcPr>
          <w:p w14:paraId="6165D9F0">
            <w:pPr>
              <w:spacing w:line="500" w:lineRule="exact"/>
              <w:ind w:left="420" w:leftChars="200"/>
              <w:jc w:val="center"/>
              <w:rPr>
                <w:rFonts w:ascii="宋体" w:hAnsi="宋体" w:cs="宋体"/>
                <w:color w:val="auto"/>
                <w:szCs w:val="21"/>
              </w:rPr>
            </w:pPr>
            <w:r>
              <w:rPr>
                <w:rFonts w:hint="eastAsia" w:ascii="宋体" w:hAnsi="宋体" w:cs="宋体"/>
                <w:color w:val="auto"/>
                <w:szCs w:val="21"/>
              </w:rPr>
              <w:t>选型要求</w:t>
            </w:r>
          </w:p>
        </w:tc>
      </w:tr>
      <w:tr w14:paraId="5879F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14" w:type="dxa"/>
            <w:shd w:val="clear" w:color="auto" w:fill="auto"/>
            <w:vAlign w:val="center"/>
          </w:tcPr>
          <w:p w14:paraId="2D03DEC6">
            <w:pPr>
              <w:spacing w:line="500" w:lineRule="exact"/>
              <w:rPr>
                <w:rFonts w:ascii="宋体" w:hAnsi="宋体" w:cs="宋体"/>
                <w:color w:val="auto"/>
                <w:szCs w:val="21"/>
              </w:rPr>
            </w:pPr>
            <w:r>
              <w:rPr>
                <w:rFonts w:hint="eastAsia" w:ascii="宋体" w:hAnsi="宋体" w:cs="宋体"/>
                <w:color w:val="auto"/>
                <w:szCs w:val="21"/>
              </w:rPr>
              <w:t>1</w:t>
            </w:r>
          </w:p>
        </w:tc>
        <w:tc>
          <w:tcPr>
            <w:tcW w:w="1590" w:type="dxa"/>
            <w:shd w:val="clear" w:color="auto" w:fill="auto"/>
            <w:vAlign w:val="center"/>
          </w:tcPr>
          <w:p w14:paraId="7068EA5E">
            <w:pPr>
              <w:spacing w:line="500" w:lineRule="exact"/>
              <w:rPr>
                <w:rFonts w:ascii="宋体" w:hAnsi="宋体" w:cs="宋体"/>
                <w:color w:val="auto"/>
                <w:szCs w:val="21"/>
              </w:rPr>
            </w:pPr>
            <w:r>
              <w:rPr>
                <w:rFonts w:hint="eastAsia" w:ascii="宋体" w:hAnsi="宋体" w:cs="宋体"/>
                <w:color w:val="auto"/>
                <w:szCs w:val="21"/>
              </w:rPr>
              <w:t>液态二氧化碳储罐</w:t>
            </w:r>
          </w:p>
        </w:tc>
        <w:tc>
          <w:tcPr>
            <w:tcW w:w="4883" w:type="dxa"/>
            <w:shd w:val="clear" w:color="auto" w:fill="auto"/>
            <w:vAlign w:val="center"/>
          </w:tcPr>
          <w:p w14:paraId="5049B809">
            <w:pPr>
              <w:spacing w:line="500" w:lineRule="exact"/>
              <w:rPr>
                <w:rFonts w:ascii="宋体" w:hAnsi="宋体" w:cs="宋体"/>
                <w:color w:val="auto"/>
                <w:szCs w:val="21"/>
              </w:rPr>
            </w:pPr>
            <w:r>
              <w:rPr>
                <w:rFonts w:hint="eastAsia" w:ascii="宋体" w:hAnsi="宋体" w:cs="宋体"/>
                <w:color w:val="auto"/>
                <w:szCs w:val="21"/>
              </w:rPr>
              <w:t>15m³，尺寸：2.4m*5.3m，壁厚8mm，封头厚8mm，碳钢，为内、外槽双层结构；内外筒夹层中充满保温材料珠光砂绝热材料并抽真空，内外层夹层压力为绝对压力≤3Pa，出厂真空度优于国家标准，确保日蒸发率的指标优于国标。</w:t>
            </w:r>
          </w:p>
        </w:tc>
        <w:tc>
          <w:tcPr>
            <w:tcW w:w="637" w:type="dxa"/>
            <w:shd w:val="clear" w:color="auto" w:fill="auto"/>
            <w:vAlign w:val="center"/>
          </w:tcPr>
          <w:p w14:paraId="7A0D9587">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4D5106AA">
            <w:pPr>
              <w:spacing w:line="500" w:lineRule="exact"/>
              <w:rPr>
                <w:rFonts w:ascii="宋体" w:hAnsi="宋体" w:cs="宋体"/>
                <w:color w:val="auto"/>
                <w:szCs w:val="21"/>
              </w:rPr>
            </w:pPr>
            <w:r>
              <w:rPr>
                <w:rFonts w:hint="eastAsia" w:ascii="宋体" w:hAnsi="宋体" w:cs="宋体"/>
                <w:color w:val="auto"/>
                <w:szCs w:val="21"/>
              </w:rPr>
              <w:t>座</w:t>
            </w:r>
          </w:p>
        </w:tc>
        <w:tc>
          <w:tcPr>
            <w:tcW w:w="2096" w:type="dxa"/>
            <w:shd w:val="clear" w:color="auto" w:fill="auto"/>
            <w:vAlign w:val="center"/>
          </w:tcPr>
          <w:p w14:paraId="16C18345">
            <w:pPr>
              <w:spacing w:line="500" w:lineRule="exact"/>
              <w:rPr>
                <w:rFonts w:ascii="宋体" w:hAnsi="宋体" w:cs="宋体"/>
                <w:color w:val="auto"/>
                <w:szCs w:val="21"/>
              </w:rPr>
            </w:pPr>
            <w:r>
              <w:rPr>
                <w:rFonts w:hint="eastAsia" w:ascii="宋体" w:hAnsi="宋体" w:cs="宋体"/>
                <w:color w:val="auto"/>
                <w:szCs w:val="21"/>
              </w:rPr>
              <w:t>性能应不低于中杰特装、中集圣达、查特深冷等产品。</w:t>
            </w:r>
          </w:p>
        </w:tc>
      </w:tr>
      <w:tr w14:paraId="585C9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jc w:val="center"/>
        </w:trPr>
        <w:tc>
          <w:tcPr>
            <w:tcW w:w="614" w:type="dxa"/>
            <w:shd w:val="clear" w:color="auto" w:fill="auto"/>
            <w:vAlign w:val="center"/>
          </w:tcPr>
          <w:p w14:paraId="281B91BB">
            <w:pPr>
              <w:spacing w:line="500" w:lineRule="exact"/>
              <w:rPr>
                <w:rFonts w:ascii="宋体" w:hAnsi="宋体" w:cs="宋体"/>
                <w:color w:val="auto"/>
                <w:szCs w:val="21"/>
              </w:rPr>
            </w:pPr>
            <w:r>
              <w:rPr>
                <w:rFonts w:hint="eastAsia" w:ascii="宋体" w:hAnsi="宋体" w:cs="宋体"/>
                <w:color w:val="auto"/>
                <w:szCs w:val="21"/>
              </w:rPr>
              <w:t>2</w:t>
            </w:r>
          </w:p>
        </w:tc>
        <w:tc>
          <w:tcPr>
            <w:tcW w:w="1590" w:type="dxa"/>
            <w:shd w:val="clear" w:color="auto" w:fill="auto"/>
            <w:vAlign w:val="center"/>
          </w:tcPr>
          <w:p w14:paraId="3F1B8EB4">
            <w:pPr>
              <w:spacing w:line="500" w:lineRule="exact"/>
              <w:rPr>
                <w:rFonts w:ascii="宋体" w:hAnsi="宋体" w:cs="宋体"/>
                <w:color w:val="auto"/>
                <w:szCs w:val="21"/>
              </w:rPr>
            </w:pPr>
            <w:r>
              <w:rPr>
                <w:rFonts w:hint="eastAsia" w:ascii="宋体" w:hAnsi="宋体" w:cs="宋体"/>
                <w:color w:val="auto"/>
                <w:szCs w:val="21"/>
              </w:rPr>
              <w:t>汽化器</w:t>
            </w:r>
          </w:p>
        </w:tc>
        <w:tc>
          <w:tcPr>
            <w:tcW w:w="4883" w:type="dxa"/>
            <w:shd w:val="clear" w:color="auto" w:fill="auto"/>
            <w:vAlign w:val="center"/>
          </w:tcPr>
          <w:p w14:paraId="2BFD785C">
            <w:pPr>
              <w:spacing w:line="500" w:lineRule="exact"/>
              <w:rPr>
                <w:rFonts w:ascii="宋体" w:hAnsi="宋体" w:cs="宋体"/>
                <w:color w:val="auto"/>
                <w:szCs w:val="21"/>
              </w:rPr>
            </w:pPr>
            <w:r>
              <w:rPr>
                <w:rFonts w:hint="eastAsia" w:ascii="宋体" w:hAnsi="宋体" w:cs="宋体"/>
                <w:color w:val="auto"/>
                <w:szCs w:val="21"/>
              </w:rPr>
              <w:t>150m</w:t>
            </w:r>
            <w:r>
              <w:rPr>
                <w:rFonts w:hint="eastAsia" w:ascii="宋体" w:hAnsi="宋体" w:cs="宋体"/>
                <w:color w:val="auto"/>
                <w:szCs w:val="21"/>
                <w:vertAlign w:val="superscript"/>
              </w:rPr>
              <w:t>3</w:t>
            </w:r>
            <w:r>
              <w:rPr>
                <w:rFonts w:hint="eastAsia" w:ascii="宋体" w:hAnsi="宋体" w:cs="宋体"/>
                <w:color w:val="auto"/>
                <w:szCs w:val="21"/>
              </w:rPr>
              <w:t>/h，由星型翅片导热管、液气导流管、支架、底座、进出品接头等部件组成,铝合金</w:t>
            </w:r>
          </w:p>
        </w:tc>
        <w:tc>
          <w:tcPr>
            <w:tcW w:w="637" w:type="dxa"/>
            <w:shd w:val="clear" w:color="auto" w:fill="auto"/>
            <w:vAlign w:val="center"/>
          </w:tcPr>
          <w:p w14:paraId="1121507E">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45BBA7F1">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1CB8519F">
            <w:pPr>
              <w:spacing w:line="500" w:lineRule="exact"/>
              <w:rPr>
                <w:rFonts w:ascii="宋体" w:hAnsi="宋体" w:cs="宋体"/>
                <w:color w:val="auto"/>
                <w:szCs w:val="21"/>
              </w:rPr>
            </w:pPr>
            <w:r>
              <w:rPr>
                <w:rFonts w:hint="eastAsia" w:ascii="宋体" w:hAnsi="宋体" w:cs="宋体"/>
                <w:color w:val="auto"/>
                <w:szCs w:val="21"/>
              </w:rPr>
              <w:t>性能应不低于中杰特装、中集圣达、查特深冷等产品。</w:t>
            </w:r>
          </w:p>
        </w:tc>
      </w:tr>
      <w:tr w14:paraId="74F69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14" w:type="dxa"/>
            <w:shd w:val="clear" w:color="auto" w:fill="auto"/>
            <w:vAlign w:val="center"/>
          </w:tcPr>
          <w:p w14:paraId="049D1335">
            <w:pPr>
              <w:spacing w:line="500" w:lineRule="exact"/>
              <w:rPr>
                <w:rFonts w:ascii="宋体" w:hAnsi="宋体" w:cs="宋体"/>
                <w:color w:val="auto"/>
                <w:szCs w:val="21"/>
              </w:rPr>
            </w:pPr>
            <w:r>
              <w:rPr>
                <w:rFonts w:hint="eastAsia" w:ascii="宋体" w:hAnsi="宋体" w:cs="宋体"/>
                <w:color w:val="auto"/>
                <w:szCs w:val="21"/>
              </w:rPr>
              <w:t>3</w:t>
            </w:r>
          </w:p>
        </w:tc>
        <w:tc>
          <w:tcPr>
            <w:tcW w:w="1590" w:type="dxa"/>
            <w:shd w:val="clear" w:color="auto" w:fill="auto"/>
            <w:vAlign w:val="center"/>
          </w:tcPr>
          <w:p w14:paraId="45FB43A9">
            <w:pPr>
              <w:spacing w:line="500" w:lineRule="exact"/>
              <w:rPr>
                <w:rFonts w:ascii="宋体" w:hAnsi="宋体" w:cs="宋体"/>
                <w:color w:val="auto"/>
                <w:szCs w:val="21"/>
              </w:rPr>
            </w:pPr>
            <w:r>
              <w:rPr>
                <w:rFonts w:hint="eastAsia" w:ascii="宋体" w:hAnsi="宋体" w:cs="宋体"/>
                <w:color w:val="auto"/>
                <w:szCs w:val="21"/>
              </w:rPr>
              <w:t>调节阀组</w:t>
            </w:r>
          </w:p>
        </w:tc>
        <w:tc>
          <w:tcPr>
            <w:tcW w:w="4883" w:type="dxa"/>
            <w:shd w:val="clear" w:color="auto" w:fill="auto"/>
            <w:vAlign w:val="center"/>
          </w:tcPr>
          <w:p w14:paraId="1E15BD63">
            <w:pPr>
              <w:spacing w:line="500" w:lineRule="exact"/>
              <w:rPr>
                <w:rFonts w:ascii="宋体" w:hAnsi="宋体" w:cs="宋体"/>
                <w:color w:val="auto"/>
                <w:szCs w:val="21"/>
              </w:rPr>
            </w:pPr>
            <w:r>
              <w:rPr>
                <w:rFonts w:hint="eastAsia" w:ascii="宋体" w:hAnsi="宋体" w:cs="宋体"/>
                <w:color w:val="auto"/>
                <w:szCs w:val="21"/>
              </w:rPr>
              <w:t>DN25，SUS304</w:t>
            </w:r>
          </w:p>
        </w:tc>
        <w:tc>
          <w:tcPr>
            <w:tcW w:w="637" w:type="dxa"/>
            <w:shd w:val="clear" w:color="auto" w:fill="auto"/>
            <w:vAlign w:val="center"/>
          </w:tcPr>
          <w:p w14:paraId="434802D3">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35D60C23">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74BF04A3">
            <w:pPr>
              <w:spacing w:line="500" w:lineRule="exact"/>
              <w:rPr>
                <w:rFonts w:ascii="宋体" w:hAnsi="宋体" w:cs="宋体"/>
                <w:color w:val="auto"/>
                <w:szCs w:val="21"/>
              </w:rPr>
            </w:pPr>
            <w:r>
              <w:rPr>
                <w:rFonts w:hint="eastAsia" w:ascii="宋体" w:hAnsi="宋体" w:cs="宋体"/>
                <w:color w:val="auto"/>
                <w:szCs w:val="21"/>
              </w:rPr>
              <w:t>性能应不低于中杰特装、中集圣达、查特深冷等产品。</w:t>
            </w:r>
          </w:p>
        </w:tc>
      </w:tr>
      <w:tr w14:paraId="55721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5" w:hRule="atLeast"/>
          <w:jc w:val="center"/>
        </w:trPr>
        <w:tc>
          <w:tcPr>
            <w:tcW w:w="614" w:type="dxa"/>
            <w:shd w:val="clear" w:color="auto" w:fill="auto"/>
            <w:vAlign w:val="center"/>
          </w:tcPr>
          <w:p w14:paraId="68F516E0">
            <w:pPr>
              <w:spacing w:line="500" w:lineRule="exact"/>
              <w:rPr>
                <w:rFonts w:ascii="宋体" w:hAnsi="宋体" w:cs="宋体"/>
                <w:color w:val="auto"/>
                <w:szCs w:val="21"/>
              </w:rPr>
            </w:pPr>
            <w:r>
              <w:rPr>
                <w:rFonts w:hint="eastAsia" w:ascii="宋体" w:hAnsi="宋体" w:cs="宋体"/>
                <w:color w:val="auto"/>
                <w:szCs w:val="21"/>
              </w:rPr>
              <w:t>4</w:t>
            </w:r>
          </w:p>
        </w:tc>
        <w:tc>
          <w:tcPr>
            <w:tcW w:w="1590" w:type="dxa"/>
            <w:shd w:val="clear" w:color="auto" w:fill="auto"/>
            <w:vAlign w:val="center"/>
          </w:tcPr>
          <w:p w14:paraId="68E22AD4">
            <w:pPr>
              <w:spacing w:line="500" w:lineRule="exact"/>
              <w:rPr>
                <w:rFonts w:ascii="宋体" w:hAnsi="宋体" w:cs="宋体"/>
                <w:color w:val="auto"/>
                <w:szCs w:val="21"/>
              </w:rPr>
            </w:pPr>
            <w:r>
              <w:rPr>
                <w:rFonts w:hint="eastAsia" w:ascii="宋体" w:hAnsi="宋体" w:cs="宋体"/>
                <w:color w:val="auto"/>
                <w:szCs w:val="21"/>
              </w:rPr>
              <w:t>管道变频增压泵</w:t>
            </w:r>
          </w:p>
        </w:tc>
        <w:tc>
          <w:tcPr>
            <w:tcW w:w="4883" w:type="dxa"/>
            <w:shd w:val="clear" w:color="auto" w:fill="auto"/>
            <w:vAlign w:val="center"/>
          </w:tcPr>
          <w:p w14:paraId="0AC55675">
            <w:pPr>
              <w:spacing w:line="500" w:lineRule="exact"/>
              <w:rPr>
                <w:rFonts w:ascii="宋体" w:hAnsi="宋体" w:cs="宋体"/>
                <w:color w:val="auto"/>
                <w:szCs w:val="21"/>
              </w:rPr>
            </w:pPr>
            <w:r>
              <w:rPr>
                <w:rFonts w:hint="eastAsia" w:ascii="宋体" w:hAnsi="宋体" w:cs="宋体"/>
                <w:color w:val="auto"/>
                <w:szCs w:val="21"/>
              </w:rPr>
              <w:t>流量35m</w:t>
            </w:r>
            <w:r>
              <w:rPr>
                <w:rFonts w:hint="eastAsia" w:ascii="宋体" w:hAnsi="宋体" w:cs="宋体"/>
                <w:color w:val="auto"/>
                <w:szCs w:val="21"/>
                <w:vertAlign w:val="superscript"/>
              </w:rPr>
              <w:t>3</w:t>
            </w:r>
            <w:r>
              <w:rPr>
                <w:rFonts w:hint="eastAsia" w:ascii="宋体" w:hAnsi="宋体" w:cs="宋体"/>
                <w:color w:val="auto"/>
                <w:szCs w:val="21"/>
              </w:rPr>
              <w:t>/h,扬程30m，包括配套手动阀门、管路，配套变频控制箱，材质为UPVC</w:t>
            </w:r>
          </w:p>
        </w:tc>
        <w:tc>
          <w:tcPr>
            <w:tcW w:w="637" w:type="dxa"/>
            <w:shd w:val="clear" w:color="auto" w:fill="auto"/>
            <w:vAlign w:val="center"/>
          </w:tcPr>
          <w:p w14:paraId="673008F8">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7E436A3A">
            <w:pPr>
              <w:spacing w:line="500" w:lineRule="exact"/>
              <w:rPr>
                <w:rFonts w:ascii="宋体" w:hAnsi="宋体" w:cs="宋体"/>
                <w:color w:val="auto"/>
                <w:szCs w:val="21"/>
              </w:rPr>
            </w:pPr>
            <w:r>
              <w:rPr>
                <w:rFonts w:hint="eastAsia" w:ascii="宋体" w:hAnsi="宋体" w:cs="宋体"/>
                <w:color w:val="auto"/>
                <w:szCs w:val="21"/>
              </w:rPr>
              <w:t>台</w:t>
            </w:r>
          </w:p>
        </w:tc>
        <w:tc>
          <w:tcPr>
            <w:tcW w:w="2096" w:type="dxa"/>
            <w:shd w:val="clear" w:color="auto" w:fill="auto"/>
            <w:vAlign w:val="center"/>
          </w:tcPr>
          <w:p w14:paraId="6FEB0A0E">
            <w:pPr>
              <w:spacing w:line="500" w:lineRule="exact"/>
              <w:rPr>
                <w:rFonts w:ascii="宋体" w:hAnsi="宋体" w:cs="宋体"/>
                <w:color w:val="auto"/>
                <w:szCs w:val="21"/>
              </w:rPr>
            </w:pPr>
            <w:r>
              <w:rPr>
                <w:rFonts w:hint="eastAsia" w:ascii="宋体" w:hAnsi="宋体" w:cs="宋体"/>
                <w:color w:val="auto"/>
                <w:szCs w:val="21"/>
              </w:rPr>
              <w:t>性能应不低于南方泵业、东方泵业、凯泉泵业等产品。</w:t>
            </w:r>
          </w:p>
        </w:tc>
      </w:tr>
      <w:tr w14:paraId="43EF3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14" w:type="dxa"/>
            <w:shd w:val="clear" w:color="auto" w:fill="auto"/>
            <w:vAlign w:val="center"/>
          </w:tcPr>
          <w:p w14:paraId="5D656F4F">
            <w:pPr>
              <w:spacing w:line="500" w:lineRule="exact"/>
              <w:rPr>
                <w:rFonts w:ascii="宋体" w:hAnsi="宋体" w:cs="宋体"/>
                <w:color w:val="auto"/>
                <w:szCs w:val="21"/>
              </w:rPr>
            </w:pPr>
            <w:r>
              <w:rPr>
                <w:rFonts w:hint="eastAsia" w:ascii="宋体" w:hAnsi="宋体" w:cs="宋体"/>
                <w:color w:val="auto"/>
                <w:szCs w:val="21"/>
              </w:rPr>
              <w:t>5</w:t>
            </w:r>
          </w:p>
        </w:tc>
        <w:tc>
          <w:tcPr>
            <w:tcW w:w="1590" w:type="dxa"/>
            <w:shd w:val="clear" w:color="auto" w:fill="auto"/>
            <w:vAlign w:val="center"/>
          </w:tcPr>
          <w:p w14:paraId="71FD8528">
            <w:pPr>
              <w:spacing w:line="500" w:lineRule="exact"/>
              <w:rPr>
                <w:rFonts w:ascii="宋体" w:hAnsi="宋体" w:cs="宋体"/>
                <w:color w:val="auto"/>
                <w:szCs w:val="21"/>
              </w:rPr>
            </w:pPr>
            <w:r>
              <w:rPr>
                <w:rFonts w:hint="eastAsia" w:ascii="宋体" w:hAnsi="宋体" w:cs="宋体"/>
                <w:color w:val="auto"/>
                <w:szCs w:val="21"/>
              </w:rPr>
              <w:t>电磁流量计</w:t>
            </w:r>
          </w:p>
        </w:tc>
        <w:tc>
          <w:tcPr>
            <w:tcW w:w="4883" w:type="dxa"/>
            <w:shd w:val="clear" w:color="auto" w:fill="auto"/>
            <w:vAlign w:val="center"/>
          </w:tcPr>
          <w:p w14:paraId="56582A5B">
            <w:pPr>
              <w:spacing w:line="500" w:lineRule="exact"/>
              <w:rPr>
                <w:rFonts w:ascii="宋体" w:hAnsi="宋体" w:cs="宋体"/>
                <w:color w:val="auto"/>
                <w:szCs w:val="21"/>
              </w:rPr>
            </w:pPr>
            <w:r>
              <w:rPr>
                <w:rFonts w:hint="eastAsia" w:ascii="宋体" w:hAnsi="宋体" w:cs="宋体"/>
                <w:color w:val="auto"/>
                <w:szCs w:val="21"/>
              </w:rPr>
              <w:t xml:space="preserve">DN80，1套，用于服务水增压泵出口，采用不锈钢316电极； </w:t>
            </w:r>
          </w:p>
        </w:tc>
        <w:tc>
          <w:tcPr>
            <w:tcW w:w="637" w:type="dxa"/>
            <w:shd w:val="clear" w:color="auto" w:fill="auto"/>
            <w:vAlign w:val="center"/>
          </w:tcPr>
          <w:p w14:paraId="392EB2DD">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7E2FBD5C">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3EC78EF6">
            <w:pPr>
              <w:spacing w:line="500" w:lineRule="exact"/>
              <w:rPr>
                <w:rFonts w:ascii="宋体" w:hAnsi="宋体" w:cs="宋体"/>
                <w:color w:val="auto"/>
                <w:szCs w:val="21"/>
              </w:rPr>
            </w:pPr>
            <w:r>
              <w:rPr>
                <w:rFonts w:hint="eastAsia" w:ascii="宋体" w:hAnsi="宋体" w:cs="宋体"/>
                <w:color w:val="auto"/>
                <w:szCs w:val="21"/>
              </w:rPr>
              <w:t>性能应不低于科隆、西门子、E+H等产品。</w:t>
            </w:r>
          </w:p>
        </w:tc>
      </w:tr>
      <w:tr w14:paraId="5669E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5" w:hRule="atLeast"/>
          <w:jc w:val="center"/>
        </w:trPr>
        <w:tc>
          <w:tcPr>
            <w:tcW w:w="614" w:type="dxa"/>
            <w:shd w:val="clear" w:color="auto" w:fill="auto"/>
            <w:vAlign w:val="center"/>
          </w:tcPr>
          <w:p w14:paraId="20C7D6B9">
            <w:pPr>
              <w:spacing w:line="500" w:lineRule="exact"/>
              <w:rPr>
                <w:rFonts w:ascii="宋体" w:hAnsi="宋体" w:cs="宋体"/>
                <w:color w:val="auto"/>
                <w:szCs w:val="21"/>
              </w:rPr>
            </w:pPr>
            <w:r>
              <w:rPr>
                <w:rFonts w:hint="eastAsia" w:ascii="宋体" w:hAnsi="宋体" w:cs="宋体"/>
                <w:color w:val="auto"/>
                <w:szCs w:val="21"/>
              </w:rPr>
              <w:t>6</w:t>
            </w:r>
          </w:p>
        </w:tc>
        <w:tc>
          <w:tcPr>
            <w:tcW w:w="1590" w:type="dxa"/>
            <w:shd w:val="clear" w:color="auto" w:fill="auto"/>
            <w:vAlign w:val="center"/>
          </w:tcPr>
          <w:p w14:paraId="20BE51E9">
            <w:pPr>
              <w:spacing w:line="500" w:lineRule="exact"/>
              <w:rPr>
                <w:rFonts w:ascii="宋体" w:hAnsi="宋体" w:cs="宋体"/>
                <w:color w:val="auto"/>
                <w:szCs w:val="21"/>
              </w:rPr>
            </w:pPr>
            <w:r>
              <w:rPr>
                <w:rFonts w:hint="eastAsia" w:ascii="宋体" w:hAnsi="宋体" w:cs="宋体"/>
                <w:color w:val="auto"/>
                <w:szCs w:val="21"/>
              </w:rPr>
              <w:t>碳酸发生器撬装组件</w:t>
            </w:r>
          </w:p>
        </w:tc>
        <w:tc>
          <w:tcPr>
            <w:tcW w:w="4883" w:type="dxa"/>
            <w:shd w:val="clear" w:color="auto" w:fill="auto"/>
            <w:vAlign w:val="center"/>
          </w:tcPr>
          <w:p w14:paraId="4A95257A">
            <w:pPr>
              <w:spacing w:line="500" w:lineRule="exact"/>
              <w:rPr>
                <w:rFonts w:ascii="宋体" w:hAnsi="宋体" w:cs="宋体"/>
                <w:color w:val="auto"/>
                <w:szCs w:val="21"/>
              </w:rPr>
            </w:pPr>
            <w:r>
              <w:rPr>
                <w:rFonts w:hint="eastAsia" w:ascii="宋体" w:hAnsi="宋体" w:cs="宋体"/>
                <w:color w:val="auto"/>
                <w:szCs w:val="21"/>
              </w:rPr>
              <w:t>二氧化碳投加量50kg/h,不锈钢箱体撬装供货，304材质。防护等级：IP55。</w:t>
            </w:r>
          </w:p>
        </w:tc>
        <w:tc>
          <w:tcPr>
            <w:tcW w:w="637" w:type="dxa"/>
            <w:shd w:val="clear" w:color="auto" w:fill="auto"/>
            <w:vAlign w:val="center"/>
          </w:tcPr>
          <w:p w14:paraId="210CAABE">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108CF650">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7CE10A2A">
            <w:pPr>
              <w:spacing w:line="500" w:lineRule="exact"/>
              <w:rPr>
                <w:rFonts w:ascii="宋体" w:hAnsi="宋体" w:cs="宋体"/>
                <w:color w:val="auto"/>
                <w:szCs w:val="21"/>
              </w:rPr>
            </w:pPr>
            <w:r>
              <w:rPr>
                <w:rFonts w:hint="eastAsia" w:ascii="宋体" w:hAnsi="宋体" w:cs="宋体"/>
                <w:color w:val="auto"/>
                <w:szCs w:val="21"/>
              </w:rPr>
              <w:t>性能应不低于上海轩浦、固莱环保、净化控股等产品</w:t>
            </w:r>
          </w:p>
        </w:tc>
      </w:tr>
      <w:tr w14:paraId="680AB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614" w:type="dxa"/>
            <w:shd w:val="clear" w:color="auto" w:fill="auto"/>
            <w:vAlign w:val="center"/>
          </w:tcPr>
          <w:p w14:paraId="03BE3730">
            <w:pPr>
              <w:spacing w:line="500" w:lineRule="exact"/>
              <w:rPr>
                <w:rFonts w:ascii="宋体" w:hAnsi="宋体" w:cs="宋体"/>
                <w:color w:val="auto"/>
                <w:szCs w:val="21"/>
              </w:rPr>
            </w:pPr>
            <w:r>
              <w:rPr>
                <w:rFonts w:hint="eastAsia" w:ascii="宋体" w:hAnsi="宋体" w:cs="宋体"/>
                <w:color w:val="auto"/>
                <w:szCs w:val="21"/>
              </w:rPr>
              <w:t>6.1</w:t>
            </w:r>
          </w:p>
        </w:tc>
        <w:tc>
          <w:tcPr>
            <w:tcW w:w="1590" w:type="dxa"/>
            <w:shd w:val="clear" w:color="auto" w:fill="auto"/>
            <w:vAlign w:val="center"/>
          </w:tcPr>
          <w:p w14:paraId="545C8C85">
            <w:pPr>
              <w:spacing w:line="500" w:lineRule="exact"/>
              <w:rPr>
                <w:rFonts w:ascii="宋体" w:hAnsi="宋体" w:cs="宋体"/>
                <w:color w:val="auto"/>
                <w:szCs w:val="21"/>
              </w:rPr>
            </w:pPr>
            <w:r>
              <w:rPr>
                <w:rFonts w:hint="eastAsia" w:ascii="宋体" w:hAnsi="宋体" w:cs="宋体"/>
                <w:color w:val="auto"/>
                <w:szCs w:val="21"/>
              </w:rPr>
              <w:t>碳酸制备装置辅助设备</w:t>
            </w:r>
          </w:p>
        </w:tc>
        <w:tc>
          <w:tcPr>
            <w:tcW w:w="4883" w:type="dxa"/>
            <w:shd w:val="clear" w:color="auto" w:fill="auto"/>
            <w:vAlign w:val="center"/>
          </w:tcPr>
          <w:p w14:paraId="43573F97">
            <w:pPr>
              <w:spacing w:line="500" w:lineRule="exact"/>
              <w:rPr>
                <w:rFonts w:ascii="宋体" w:hAnsi="宋体" w:cs="宋体"/>
                <w:color w:val="auto"/>
                <w:szCs w:val="21"/>
              </w:rPr>
            </w:pPr>
            <w:bookmarkStart w:id="737" w:name="_Hlk161741373"/>
            <w:r>
              <w:rPr>
                <w:rFonts w:hint="eastAsia" w:ascii="宋体" w:hAnsi="宋体" w:cs="宋体"/>
                <w:color w:val="auto"/>
                <w:szCs w:val="21"/>
              </w:rPr>
              <w:t>释放器（要求产生微纳米气泡）、二氧化碳热式质量流量计、气动薄膜调节阀、PH仪、压力表、压力变送器、二级调压阀、浮子流量计、高压软管、针型阀、Y型过滤器、手动阀及管道、PLC控制柜，阀门、管道、罐体材质：不锈钢304材质</w:t>
            </w:r>
            <w:bookmarkEnd w:id="737"/>
          </w:p>
        </w:tc>
        <w:tc>
          <w:tcPr>
            <w:tcW w:w="637" w:type="dxa"/>
            <w:shd w:val="clear" w:color="auto" w:fill="auto"/>
            <w:vAlign w:val="center"/>
          </w:tcPr>
          <w:p w14:paraId="0761C401">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7720B3C1">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7D14C0D7">
            <w:pPr>
              <w:spacing w:line="500" w:lineRule="exact"/>
              <w:rPr>
                <w:rFonts w:ascii="宋体" w:hAnsi="宋体" w:cs="宋体"/>
                <w:color w:val="auto"/>
                <w:szCs w:val="21"/>
              </w:rPr>
            </w:pPr>
            <w:r>
              <w:rPr>
                <w:rFonts w:hint="eastAsia" w:ascii="宋体" w:hAnsi="宋体" w:cs="宋体"/>
                <w:color w:val="auto"/>
                <w:szCs w:val="21"/>
              </w:rPr>
              <w:t>性能应不低于上海轩浦、固莱环保、净化控股等产品</w:t>
            </w:r>
          </w:p>
        </w:tc>
      </w:tr>
      <w:tr w14:paraId="28E4B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614" w:type="dxa"/>
            <w:shd w:val="clear" w:color="auto" w:fill="auto"/>
            <w:vAlign w:val="center"/>
          </w:tcPr>
          <w:p w14:paraId="14B6F624">
            <w:pPr>
              <w:spacing w:line="500" w:lineRule="exact"/>
              <w:rPr>
                <w:rFonts w:ascii="宋体" w:hAnsi="宋体" w:cs="宋体"/>
                <w:color w:val="auto"/>
                <w:szCs w:val="21"/>
              </w:rPr>
            </w:pPr>
            <w:r>
              <w:rPr>
                <w:rFonts w:hint="eastAsia" w:ascii="宋体" w:hAnsi="宋体" w:cs="宋体"/>
                <w:color w:val="auto"/>
                <w:szCs w:val="21"/>
              </w:rPr>
              <w:t>6.2</w:t>
            </w:r>
          </w:p>
        </w:tc>
        <w:tc>
          <w:tcPr>
            <w:tcW w:w="1590" w:type="dxa"/>
            <w:shd w:val="clear" w:color="auto" w:fill="auto"/>
            <w:vAlign w:val="center"/>
          </w:tcPr>
          <w:p w14:paraId="55EE6416">
            <w:pPr>
              <w:spacing w:line="500" w:lineRule="exact"/>
              <w:rPr>
                <w:rFonts w:ascii="宋体" w:hAnsi="宋体" w:cs="宋体"/>
                <w:bCs/>
                <w:color w:val="auto"/>
                <w:szCs w:val="21"/>
              </w:rPr>
            </w:pPr>
            <w:r>
              <w:rPr>
                <w:rFonts w:hint="eastAsia" w:ascii="宋体" w:hAnsi="宋体" w:cs="宋体"/>
                <w:bCs/>
                <w:color w:val="auto"/>
                <w:szCs w:val="21"/>
              </w:rPr>
              <w:t>分量调节柜</w:t>
            </w:r>
          </w:p>
        </w:tc>
        <w:tc>
          <w:tcPr>
            <w:tcW w:w="4883" w:type="dxa"/>
            <w:shd w:val="clear" w:color="auto" w:fill="auto"/>
            <w:vAlign w:val="center"/>
          </w:tcPr>
          <w:p w14:paraId="3E56C175">
            <w:pPr>
              <w:spacing w:line="500" w:lineRule="exact"/>
              <w:rPr>
                <w:rFonts w:ascii="宋体" w:hAnsi="宋体" w:cs="宋体"/>
                <w:color w:val="auto"/>
                <w:szCs w:val="21"/>
              </w:rPr>
            </w:pPr>
            <w:r>
              <w:rPr>
                <w:rFonts w:hint="eastAsia" w:ascii="宋体" w:hAnsi="宋体" w:cs="宋体"/>
                <w:color w:val="auto"/>
                <w:szCs w:val="21"/>
              </w:rPr>
              <w:t>柜体内配置5组调节装置，每套电动阀、调流阀等附件</w:t>
            </w:r>
          </w:p>
        </w:tc>
        <w:tc>
          <w:tcPr>
            <w:tcW w:w="637" w:type="dxa"/>
            <w:shd w:val="clear" w:color="auto" w:fill="auto"/>
            <w:vAlign w:val="center"/>
          </w:tcPr>
          <w:p w14:paraId="5102231C">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7779171F">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770940F6">
            <w:pPr>
              <w:spacing w:line="500" w:lineRule="exact"/>
              <w:rPr>
                <w:rFonts w:ascii="宋体" w:hAnsi="宋体" w:cs="宋体"/>
                <w:color w:val="auto"/>
                <w:szCs w:val="21"/>
              </w:rPr>
            </w:pPr>
            <w:r>
              <w:rPr>
                <w:rFonts w:hint="eastAsia" w:ascii="宋体" w:hAnsi="宋体" w:cs="宋体"/>
                <w:color w:val="auto"/>
                <w:szCs w:val="21"/>
              </w:rPr>
              <w:t>厂家配套</w:t>
            </w:r>
          </w:p>
        </w:tc>
      </w:tr>
      <w:tr w14:paraId="42A16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614" w:type="dxa"/>
            <w:shd w:val="clear" w:color="auto" w:fill="auto"/>
            <w:vAlign w:val="center"/>
          </w:tcPr>
          <w:p w14:paraId="72E79236">
            <w:pPr>
              <w:spacing w:line="500" w:lineRule="exact"/>
              <w:rPr>
                <w:rFonts w:ascii="宋体" w:hAnsi="宋体" w:cs="宋体"/>
                <w:color w:val="auto"/>
                <w:szCs w:val="21"/>
              </w:rPr>
            </w:pPr>
            <w:r>
              <w:rPr>
                <w:rFonts w:hint="eastAsia" w:ascii="宋体" w:hAnsi="宋体" w:cs="宋体"/>
                <w:color w:val="auto"/>
                <w:szCs w:val="21"/>
              </w:rPr>
              <w:t>6.3</w:t>
            </w:r>
          </w:p>
        </w:tc>
        <w:tc>
          <w:tcPr>
            <w:tcW w:w="1590" w:type="dxa"/>
            <w:shd w:val="clear" w:color="auto" w:fill="auto"/>
            <w:vAlign w:val="center"/>
          </w:tcPr>
          <w:p w14:paraId="50AD217A">
            <w:pPr>
              <w:spacing w:line="500" w:lineRule="exact"/>
              <w:rPr>
                <w:rFonts w:ascii="宋体" w:hAnsi="宋体" w:cs="宋体"/>
                <w:bCs/>
                <w:color w:val="auto"/>
                <w:szCs w:val="21"/>
              </w:rPr>
            </w:pPr>
            <w:r>
              <w:rPr>
                <w:rFonts w:hint="eastAsia" w:ascii="宋体" w:hAnsi="宋体" w:cs="宋体"/>
                <w:color w:val="auto"/>
                <w:szCs w:val="21"/>
              </w:rPr>
              <w:t>薄膜调节阀</w:t>
            </w:r>
          </w:p>
        </w:tc>
        <w:tc>
          <w:tcPr>
            <w:tcW w:w="4883" w:type="dxa"/>
            <w:shd w:val="clear" w:color="auto" w:fill="auto"/>
            <w:vAlign w:val="center"/>
          </w:tcPr>
          <w:p w14:paraId="0DB5716A">
            <w:pPr>
              <w:spacing w:line="500" w:lineRule="exact"/>
              <w:rPr>
                <w:rFonts w:ascii="宋体" w:hAnsi="宋体" w:cs="宋体"/>
                <w:color w:val="auto"/>
                <w:szCs w:val="21"/>
              </w:rPr>
            </w:pPr>
            <w:r>
              <w:rPr>
                <w:rFonts w:hint="eastAsia" w:ascii="宋体" w:hAnsi="宋体" w:cs="宋体"/>
                <w:color w:val="auto"/>
                <w:szCs w:val="21"/>
              </w:rPr>
              <w:t>阀体材质304，内件材质304，HEP-15定位器带反馈，输入信号4-20mA，KZ03定位器，气开型，不带手轮</w:t>
            </w:r>
          </w:p>
        </w:tc>
        <w:tc>
          <w:tcPr>
            <w:tcW w:w="637" w:type="dxa"/>
            <w:shd w:val="clear" w:color="auto" w:fill="auto"/>
            <w:vAlign w:val="center"/>
          </w:tcPr>
          <w:p w14:paraId="1CC5710D">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0D2A591F">
            <w:pPr>
              <w:spacing w:line="500" w:lineRule="exact"/>
              <w:rPr>
                <w:rFonts w:ascii="宋体" w:hAnsi="宋体" w:cs="宋体"/>
                <w:color w:val="auto"/>
                <w:szCs w:val="21"/>
              </w:rPr>
            </w:pPr>
            <w:r>
              <w:rPr>
                <w:rFonts w:hint="eastAsia" w:ascii="宋体" w:hAnsi="宋体" w:cs="宋体"/>
                <w:color w:val="auto"/>
                <w:szCs w:val="21"/>
              </w:rPr>
              <w:t>台</w:t>
            </w:r>
          </w:p>
        </w:tc>
        <w:tc>
          <w:tcPr>
            <w:tcW w:w="2096" w:type="dxa"/>
            <w:shd w:val="clear" w:color="auto" w:fill="auto"/>
            <w:vAlign w:val="center"/>
          </w:tcPr>
          <w:p w14:paraId="13E7F1B5">
            <w:pPr>
              <w:spacing w:line="500" w:lineRule="exact"/>
              <w:rPr>
                <w:rFonts w:ascii="宋体" w:hAnsi="宋体" w:cs="宋体"/>
                <w:color w:val="auto"/>
                <w:szCs w:val="21"/>
              </w:rPr>
            </w:pPr>
            <w:r>
              <w:rPr>
                <w:rFonts w:hint="eastAsia" w:ascii="宋体" w:hAnsi="宋体" w:cs="宋体"/>
                <w:color w:val="auto"/>
                <w:szCs w:val="21"/>
              </w:rPr>
              <w:t>性能应不低于常州鑫石、埃克美迅</w:t>
            </w:r>
            <w:r>
              <w:rPr>
                <w:rFonts w:hint="eastAsia" w:ascii="宋体" w:hAnsi="宋体" w:cs="宋体"/>
                <w:color w:val="auto"/>
                <w:szCs w:val="21"/>
                <w:shd w:val="clear" w:color="auto" w:fill="FFFFFF"/>
              </w:rPr>
              <w:t>Eicmation</w:t>
            </w:r>
            <w:r>
              <w:rPr>
                <w:rFonts w:hint="eastAsia" w:ascii="宋体" w:hAnsi="宋体" w:cs="宋体"/>
                <w:color w:val="auto"/>
                <w:szCs w:val="21"/>
              </w:rPr>
              <w:t>、朱工阀门等产品。</w:t>
            </w:r>
          </w:p>
        </w:tc>
      </w:tr>
      <w:tr w14:paraId="3BFBA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614" w:type="dxa"/>
            <w:shd w:val="clear" w:color="auto" w:fill="auto"/>
            <w:vAlign w:val="center"/>
          </w:tcPr>
          <w:p w14:paraId="29D38A68">
            <w:pPr>
              <w:spacing w:line="500" w:lineRule="exact"/>
              <w:rPr>
                <w:rFonts w:ascii="宋体" w:hAnsi="宋体" w:cs="宋体"/>
                <w:color w:val="auto"/>
                <w:szCs w:val="21"/>
              </w:rPr>
            </w:pPr>
            <w:r>
              <w:rPr>
                <w:rFonts w:hint="eastAsia" w:ascii="宋体" w:hAnsi="宋体" w:cs="宋体"/>
                <w:color w:val="auto"/>
                <w:szCs w:val="21"/>
              </w:rPr>
              <w:t>6.4</w:t>
            </w:r>
          </w:p>
        </w:tc>
        <w:tc>
          <w:tcPr>
            <w:tcW w:w="1590" w:type="dxa"/>
            <w:shd w:val="clear" w:color="auto" w:fill="auto"/>
            <w:vAlign w:val="center"/>
          </w:tcPr>
          <w:p w14:paraId="1D607390">
            <w:pPr>
              <w:spacing w:line="500" w:lineRule="exact"/>
              <w:rPr>
                <w:rFonts w:ascii="宋体" w:hAnsi="宋体" w:cs="宋体"/>
                <w:bCs/>
                <w:color w:val="auto"/>
                <w:szCs w:val="21"/>
              </w:rPr>
            </w:pPr>
            <w:r>
              <w:rPr>
                <w:rFonts w:hint="eastAsia" w:ascii="宋体" w:hAnsi="宋体" w:cs="宋体"/>
                <w:color w:val="auto"/>
                <w:szCs w:val="21"/>
              </w:rPr>
              <w:t>热式气体质量流量计</w:t>
            </w:r>
          </w:p>
        </w:tc>
        <w:tc>
          <w:tcPr>
            <w:tcW w:w="4883" w:type="dxa"/>
            <w:shd w:val="clear" w:color="auto" w:fill="auto"/>
            <w:vAlign w:val="center"/>
          </w:tcPr>
          <w:p w14:paraId="192060F7">
            <w:pPr>
              <w:spacing w:line="500" w:lineRule="exact"/>
              <w:rPr>
                <w:rFonts w:ascii="宋体" w:hAnsi="宋体" w:cs="宋体"/>
                <w:color w:val="auto"/>
                <w:szCs w:val="21"/>
              </w:rPr>
            </w:pPr>
            <w:r>
              <w:rPr>
                <w:rFonts w:hint="eastAsia" w:ascii="宋体" w:hAnsi="宋体" w:cs="宋体"/>
                <w:color w:val="auto"/>
                <w:szCs w:val="21"/>
              </w:rPr>
              <w:t>材质304,工作压力1.0Mpa,法兰标准HG20592</w:t>
            </w:r>
          </w:p>
        </w:tc>
        <w:tc>
          <w:tcPr>
            <w:tcW w:w="637" w:type="dxa"/>
            <w:shd w:val="clear" w:color="auto" w:fill="auto"/>
            <w:vAlign w:val="center"/>
          </w:tcPr>
          <w:p w14:paraId="794ED0D4">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739E84EF">
            <w:pPr>
              <w:spacing w:line="500" w:lineRule="exact"/>
              <w:rPr>
                <w:rFonts w:ascii="宋体" w:hAnsi="宋体" w:cs="宋体"/>
                <w:color w:val="auto"/>
                <w:szCs w:val="21"/>
              </w:rPr>
            </w:pPr>
            <w:r>
              <w:rPr>
                <w:rFonts w:hint="eastAsia" w:ascii="宋体" w:hAnsi="宋体" w:cs="宋体"/>
                <w:color w:val="auto"/>
                <w:szCs w:val="21"/>
              </w:rPr>
              <w:t>台</w:t>
            </w:r>
          </w:p>
        </w:tc>
        <w:tc>
          <w:tcPr>
            <w:tcW w:w="2096" w:type="dxa"/>
            <w:shd w:val="clear" w:color="auto" w:fill="auto"/>
            <w:vAlign w:val="center"/>
          </w:tcPr>
          <w:p w14:paraId="5DDEC5CA">
            <w:pPr>
              <w:spacing w:line="500" w:lineRule="exact"/>
              <w:rPr>
                <w:rFonts w:ascii="宋体" w:hAnsi="宋体" w:cs="宋体"/>
                <w:color w:val="auto"/>
                <w:szCs w:val="21"/>
              </w:rPr>
            </w:pPr>
            <w:r>
              <w:rPr>
                <w:rFonts w:hint="eastAsia" w:ascii="宋体" w:hAnsi="宋体" w:cs="宋体"/>
                <w:color w:val="auto"/>
                <w:szCs w:val="21"/>
              </w:rPr>
              <w:t>性能应不低于常州鑫石、埃克美迅</w:t>
            </w:r>
            <w:r>
              <w:rPr>
                <w:rFonts w:hint="eastAsia" w:ascii="宋体" w:hAnsi="宋体" w:cs="宋体"/>
                <w:color w:val="auto"/>
                <w:szCs w:val="21"/>
                <w:shd w:val="clear" w:color="auto" w:fill="FFFFFF"/>
              </w:rPr>
              <w:t>Eicmation</w:t>
            </w:r>
            <w:r>
              <w:rPr>
                <w:rFonts w:hint="eastAsia" w:ascii="宋体" w:hAnsi="宋体" w:cs="宋体"/>
                <w:color w:val="auto"/>
                <w:szCs w:val="21"/>
              </w:rPr>
              <w:t>、朱工阀门等产品。</w:t>
            </w:r>
          </w:p>
        </w:tc>
      </w:tr>
      <w:tr w14:paraId="73DB2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614" w:type="dxa"/>
            <w:shd w:val="clear" w:color="auto" w:fill="auto"/>
            <w:vAlign w:val="center"/>
          </w:tcPr>
          <w:p w14:paraId="5638706F">
            <w:pPr>
              <w:spacing w:line="500" w:lineRule="exact"/>
              <w:rPr>
                <w:rFonts w:ascii="宋体" w:hAnsi="宋体" w:cs="宋体"/>
                <w:color w:val="auto"/>
                <w:szCs w:val="21"/>
              </w:rPr>
            </w:pPr>
            <w:r>
              <w:rPr>
                <w:rFonts w:hint="eastAsia" w:ascii="宋体" w:hAnsi="宋体" w:cs="宋体"/>
                <w:color w:val="auto"/>
                <w:szCs w:val="21"/>
              </w:rPr>
              <w:t>7</w:t>
            </w:r>
          </w:p>
        </w:tc>
        <w:tc>
          <w:tcPr>
            <w:tcW w:w="1590" w:type="dxa"/>
            <w:shd w:val="clear" w:color="auto" w:fill="auto"/>
            <w:vAlign w:val="center"/>
          </w:tcPr>
          <w:p w14:paraId="325E327F">
            <w:pPr>
              <w:spacing w:line="500" w:lineRule="exact"/>
              <w:rPr>
                <w:rFonts w:ascii="宋体" w:hAnsi="宋体" w:cs="宋体"/>
                <w:color w:val="auto"/>
                <w:szCs w:val="21"/>
              </w:rPr>
            </w:pPr>
            <w:r>
              <w:rPr>
                <w:rFonts w:hint="eastAsia" w:ascii="宋体" w:hAnsi="宋体" w:cs="宋体"/>
                <w:color w:val="auto"/>
                <w:szCs w:val="21"/>
              </w:rPr>
              <w:t>在线PH计</w:t>
            </w:r>
          </w:p>
        </w:tc>
        <w:tc>
          <w:tcPr>
            <w:tcW w:w="4883" w:type="dxa"/>
            <w:shd w:val="clear" w:color="auto" w:fill="auto"/>
            <w:vAlign w:val="center"/>
          </w:tcPr>
          <w:p w14:paraId="3DB19DCF">
            <w:pPr>
              <w:spacing w:line="500" w:lineRule="exact"/>
              <w:rPr>
                <w:rFonts w:ascii="宋体" w:hAnsi="宋体" w:cs="宋体"/>
                <w:color w:val="auto"/>
                <w:szCs w:val="21"/>
              </w:rPr>
            </w:pPr>
            <w:r>
              <w:rPr>
                <w:rFonts w:hint="eastAsia" w:ascii="宋体" w:hAnsi="宋体" w:cs="宋体"/>
                <w:color w:val="auto"/>
                <w:szCs w:val="21"/>
              </w:rPr>
              <w:t>电极材质为玻璃材质，电极内金属引线-参比测量材质为银/氯化银，采用电解液形式，配置PH在线监测平衡箱（不锈钢304）</w:t>
            </w:r>
          </w:p>
        </w:tc>
        <w:tc>
          <w:tcPr>
            <w:tcW w:w="637" w:type="dxa"/>
            <w:shd w:val="clear" w:color="auto" w:fill="auto"/>
            <w:vAlign w:val="center"/>
          </w:tcPr>
          <w:p w14:paraId="08C109E6">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68A26279">
            <w:pPr>
              <w:spacing w:line="500" w:lineRule="exact"/>
              <w:rPr>
                <w:rFonts w:ascii="宋体" w:hAnsi="宋体" w:cs="宋体"/>
                <w:color w:val="auto"/>
                <w:szCs w:val="21"/>
              </w:rPr>
            </w:pPr>
            <w:r>
              <w:rPr>
                <w:rFonts w:hint="eastAsia" w:ascii="宋体" w:hAnsi="宋体" w:cs="宋体"/>
                <w:color w:val="auto"/>
                <w:szCs w:val="21"/>
              </w:rPr>
              <w:t>台</w:t>
            </w:r>
          </w:p>
        </w:tc>
        <w:tc>
          <w:tcPr>
            <w:tcW w:w="2096" w:type="dxa"/>
            <w:shd w:val="clear" w:color="auto" w:fill="auto"/>
            <w:vAlign w:val="center"/>
          </w:tcPr>
          <w:p w14:paraId="69B4E965">
            <w:pPr>
              <w:spacing w:line="500" w:lineRule="exact"/>
              <w:rPr>
                <w:rFonts w:ascii="宋体" w:hAnsi="宋体" w:cs="宋体"/>
                <w:color w:val="auto"/>
                <w:szCs w:val="21"/>
              </w:rPr>
            </w:pPr>
            <w:r>
              <w:rPr>
                <w:rFonts w:hint="eastAsia" w:ascii="宋体" w:hAnsi="宋体" w:cs="宋体"/>
                <w:color w:val="auto"/>
                <w:szCs w:val="21"/>
              </w:rPr>
              <w:t>性能应不低于E+H、哈希、GP等产品。</w:t>
            </w:r>
          </w:p>
          <w:p w14:paraId="3A5599B6">
            <w:pPr>
              <w:spacing w:line="500" w:lineRule="exact"/>
              <w:ind w:left="420" w:leftChars="200"/>
              <w:jc w:val="center"/>
              <w:rPr>
                <w:rFonts w:ascii="宋体" w:hAnsi="宋体" w:cs="宋体"/>
                <w:color w:val="auto"/>
                <w:szCs w:val="21"/>
              </w:rPr>
            </w:pPr>
          </w:p>
        </w:tc>
      </w:tr>
      <w:tr w14:paraId="56EB4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614" w:type="dxa"/>
            <w:shd w:val="clear" w:color="auto" w:fill="auto"/>
            <w:vAlign w:val="center"/>
          </w:tcPr>
          <w:p w14:paraId="38E841A4">
            <w:pPr>
              <w:spacing w:line="500" w:lineRule="exact"/>
              <w:rPr>
                <w:rFonts w:ascii="宋体" w:hAnsi="宋体" w:cs="宋体"/>
                <w:color w:val="auto"/>
                <w:szCs w:val="21"/>
              </w:rPr>
            </w:pPr>
            <w:r>
              <w:rPr>
                <w:rFonts w:hint="eastAsia" w:ascii="宋体" w:hAnsi="宋体" w:cs="宋体"/>
                <w:color w:val="auto"/>
                <w:szCs w:val="21"/>
              </w:rPr>
              <w:t>8</w:t>
            </w:r>
          </w:p>
        </w:tc>
        <w:tc>
          <w:tcPr>
            <w:tcW w:w="1590" w:type="dxa"/>
            <w:shd w:val="clear" w:color="auto" w:fill="auto"/>
            <w:vAlign w:val="center"/>
          </w:tcPr>
          <w:p w14:paraId="026439A7">
            <w:pPr>
              <w:spacing w:line="500" w:lineRule="exact"/>
              <w:rPr>
                <w:rFonts w:ascii="宋体" w:hAnsi="宋体" w:cs="宋体"/>
                <w:color w:val="auto"/>
                <w:szCs w:val="21"/>
              </w:rPr>
            </w:pPr>
            <w:r>
              <w:rPr>
                <w:rFonts w:hint="eastAsia" w:ascii="宋体" w:hAnsi="宋体" w:cs="宋体"/>
                <w:color w:val="auto"/>
                <w:szCs w:val="21"/>
              </w:rPr>
              <w:t>PLC控制柜（内置于碳酸制备装置）</w:t>
            </w:r>
          </w:p>
        </w:tc>
        <w:tc>
          <w:tcPr>
            <w:tcW w:w="4883" w:type="dxa"/>
            <w:shd w:val="clear" w:color="auto" w:fill="auto"/>
            <w:vAlign w:val="center"/>
          </w:tcPr>
          <w:p w14:paraId="6E7ADBD3">
            <w:pPr>
              <w:spacing w:line="500" w:lineRule="exact"/>
              <w:rPr>
                <w:rFonts w:ascii="宋体" w:hAnsi="宋体" w:cs="宋体"/>
                <w:color w:val="auto"/>
                <w:szCs w:val="21"/>
              </w:rPr>
            </w:pPr>
            <w:r>
              <w:rPr>
                <w:rFonts w:hint="eastAsia" w:ascii="宋体" w:hAnsi="宋体" w:cs="宋体"/>
                <w:color w:val="auto"/>
                <w:szCs w:val="21"/>
              </w:rPr>
              <w:t>材质：SUS304。防护等级：IP55，预留以太网接口；包含制备系统相关设备控制及信号采集。显示屏：10寸。柜体尺寸由投标人配套，柜子用材、制作、安装等一切标准需满足仿威图标准。</w:t>
            </w:r>
          </w:p>
        </w:tc>
        <w:tc>
          <w:tcPr>
            <w:tcW w:w="637" w:type="dxa"/>
            <w:shd w:val="clear" w:color="auto" w:fill="auto"/>
            <w:vAlign w:val="center"/>
          </w:tcPr>
          <w:p w14:paraId="2A947736">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37655A05">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140DEE80">
            <w:pPr>
              <w:spacing w:line="500" w:lineRule="exact"/>
              <w:rPr>
                <w:rFonts w:ascii="宋体" w:hAnsi="宋体" w:cs="宋体"/>
                <w:color w:val="auto"/>
                <w:szCs w:val="21"/>
              </w:rPr>
            </w:pPr>
            <w:r>
              <w:rPr>
                <w:rFonts w:hint="eastAsia" w:ascii="宋体" w:hAnsi="宋体" w:cs="宋体"/>
                <w:color w:val="auto"/>
                <w:szCs w:val="21"/>
              </w:rPr>
              <w:t>厂家配套</w:t>
            </w:r>
          </w:p>
        </w:tc>
      </w:tr>
      <w:tr w14:paraId="4C843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614" w:type="dxa"/>
            <w:shd w:val="clear" w:color="auto" w:fill="auto"/>
            <w:vAlign w:val="center"/>
          </w:tcPr>
          <w:p w14:paraId="6AE0C69A">
            <w:pPr>
              <w:spacing w:line="500" w:lineRule="exact"/>
              <w:rPr>
                <w:rFonts w:ascii="宋体" w:hAnsi="宋体" w:cs="宋体"/>
                <w:color w:val="auto"/>
                <w:szCs w:val="21"/>
              </w:rPr>
            </w:pPr>
            <w:r>
              <w:rPr>
                <w:rFonts w:hint="eastAsia" w:ascii="宋体" w:hAnsi="宋体" w:cs="宋体"/>
                <w:color w:val="auto"/>
                <w:szCs w:val="21"/>
              </w:rPr>
              <w:t>9</w:t>
            </w:r>
          </w:p>
        </w:tc>
        <w:tc>
          <w:tcPr>
            <w:tcW w:w="1590" w:type="dxa"/>
            <w:shd w:val="clear" w:color="auto" w:fill="auto"/>
            <w:vAlign w:val="center"/>
          </w:tcPr>
          <w:p w14:paraId="1A4380E9">
            <w:pPr>
              <w:spacing w:line="500" w:lineRule="exact"/>
              <w:rPr>
                <w:rFonts w:ascii="宋体" w:hAnsi="宋体" w:cs="宋体"/>
                <w:color w:val="auto"/>
                <w:szCs w:val="21"/>
              </w:rPr>
            </w:pPr>
            <w:r>
              <w:rPr>
                <w:rFonts w:hint="eastAsia" w:ascii="宋体" w:hAnsi="宋体" w:cs="宋体"/>
                <w:color w:val="auto"/>
                <w:szCs w:val="21"/>
              </w:rPr>
              <w:t>就地电气控制柜</w:t>
            </w:r>
          </w:p>
        </w:tc>
        <w:tc>
          <w:tcPr>
            <w:tcW w:w="4883" w:type="dxa"/>
            <w:shd w:val="clear" w:color="auto" w:fill="auto"/>
            <w:vAlign w:val="center"/>
          </w:tcPr>
          <w:p w14:paraId="1904AA19">
            <w:pPr>
              <w:spacing w:line="500" w:lineRule="exact"/>
              <w:rPr>
                <w:rFonts w:ascii="宋体" w:hAnsi="宋体" w:cs="宋体"/>
                <w:color w:val="auto"/>
                <w:szCs w:val="21"/>
              </w:rPr>
            </w:pPr>
            <w:r>
              <w:rPr>
                <w:rFonts w:hint="eastAsia" w:ascii="宋体" w:hAnsi="宋体" w:cs="宋体"/>
                <w:color w:val="auto"/>
                <w:szCs w:val="21"/>
              </w:rPr>
              <w:t>SUS304，含1台变频器（增压泵配套），性能应不低于施耐德、ABB或AB的变频器</w:t>
            </w:r>
          </w:p>
        </w:tc>
        <w:tc>
          <w:tcPr>
            <w:tcW w:w="637" w:type="dxa"/>
            <w:shd w:val="clear" w:color="auto" w:fill="auto"/>
            <w:vAlign w:val="center"/>
          </w:tcPr>
          <w:p w14:paraId="17B3230D">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4A3BF6E6">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65F2B85A">
            <w:pPr>
              <w:spacing w:line="500" w:lineRule="exact"/>
              <w:rPr>
                <w:rFonts w:ascii="宋体" w:hAnsi="宋体" w:cs="宋体"/>
                <w:color w:val="auto"/>
                <w:szCs w:val="21"/>
              </w:rPr>
            </w:pPr>
            <w:r>
              <w:rPr>
                <w:rFonts w:hint="eastAsia" w:ascii="宋体" w:hAnsi="宋体" w:cs="宋体"/>
                <w:color w:val="auto"/>
                <w:szCs w:val="21"/>
              </w:rPr>
              <w:t>厂家配套</w:t>
            </w:r>
          </w:p>
        </w:tc>
      </w:tr>
      <w:tr w14:paraId="7CD7E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14" w:type="dxa"/>
            <w:shd w:val="clear" w:color="auto" w:fill="auto"/>
            <w:vAlign w:val="center"/>
          </w:tcPr>
          <w:p w14:paraId="57264B2F">
            <w:pPr>
              <w:spacing w:line="500" w:lineRule="exact"/>
              <w:rPr>
                <w:rFonts w:ascii="宋体" w:hAnsi="宋体" w:cs="宋体"/>
                <w:color w:val="auto"/>
                <w:szCs w:val="21"/>
              </w:rPr>
            </w:pPr>
            <w:r>
              <w:rPr>
                <w:rFonts w:hint="eastAsia" w:ascii="宋体" w:hAnsi="宋体" w:cs="宋体"/>
                <w:color w:val="auto"/>
                <w:szCs w:val="21"/>
              </w:rPr>
              <w:t>10</w:t>
            </w:r>
          </w:p>
        </w:tc>
        <w:tc>
          <w:tcPr>
            <w:tcW w:w="1590" w:type="dxa"/>
            <w:shd w:val="clear" w:color="auto" w:fill="auto"/>
            <w:vAlign w:val="center"/>
          </w:tcPr>
          <w:p w14:paraId="6BDDEBF2">
            <w:pPr>
              <w:spacing w:line="500" w:lineRule="exact"/>
              <w:rPr>
                <w:rFonts w:ascii="宋体" w:hAnsi="宋体" w:cs="宋体"/>
                <w:color w:val="auto"/>
                <w:szCs w:val="21"/>
              </w:rPr>
            </w:pPr>
            <w:r>
              <w:rPr>
                <w:rFonts w:hint="eastAsia" w:ascii="宋体" w:hAnsi="宋体" w:cs="宋体"/>
                <w:color w:val="auto"/>
                <w:szCs w:val="21"/>
              </w:rPr>
              <w:t>管路</w:t>
            </w:r>
          </w:p>
        </w:tc>
        <w:tc>
          <w:tcPr>
            <w:tcW w:w="4883" w:type="dxa"/>
            <w:shd w:val="clear" w:color="auto" w:fill="auto"/>
            <w:vAlign w:val="center"/>
          </w:tcPr>
          <w:p w14:paraId="0EAF9129">
            <w:pPr>
              <w:spacing w:line="500" w:lineRule="exact"/>
              <w:rPr>
                <w:rFonts w:ascii="宋体" w:hAnsi="宋体" w:cs="宋体"/>
                <w:color w:val="auto"/>
                <w:szCs w:val="21"/>
              </w:rPr>
            </w:pPr>
            <w:r>
              <w:rPr>
                <w:rFonts w:hint="eastAsia" w:ascii="宋体" w:hAnsi="宋体" w:cs="宋体"/>
                <w:color w:val="auto"/>
                <w:szCs w:val="21"/>
              </w:rPr>
              <w:t>UPVC材质，碳酸制备出口至投加点，满足国标要求，数量满足现场要求</w:t>
            </w:r>
          </w:p>
        </w:tc>
        <w:tc>
          <w:tcPr>
            <w:tcW w:w="637" w:type="dxa"/>
            <w:shd w:val="clear" w:color="auto" w:fill="auto"/>
            <w:vAlign w:val="center"/>
          </w:tcPr>
          <w:p w14:paraId="532413B4">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6697FB28">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588592F8">
            <w:pPr>
              <w:spacing w:line="500" w:lineRule="exact"/>
              <w:rPr>
                <w:rFonts w:ascii="宋体" w:hAnsi="宋体" w:cs="宋体"/>
                <w:color w:val="auto"/>
                <w:szCs w:val="21"/>
              </w:rPr>
            </w:pPr>
            <w:r>
              <w:rPr>
                <w:rFonts w:hint="eastAsia" w:ascii="宋体" w:hAnsi="宋体" w:cs="宋体"/>
                <w:color w:val="auto"/>
                <w:szCs w:val="21"/>
              </w:rPr>
              <w:t>厂家配套</w:t>
            </w:r>
          </w:p>
        </w:tc>
      </w:tr>
      <w:tr w14:paraId="4FF68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14" w:type="dxa"/>
            <w:shd w:val="clear" w:color="auto" w:fill="auto"/>
            <w:vAlign w:val="center"/>
          </w:tcPr>
          <w:p w14:paraId="013FD1EF">
            <w:pPr>
              <w:spacing w:line="500" w:lineRule="exact"/>
              <w:rPr>
                <w:rFonts w:ascii="宋体" w:hAnsi="宋体" w:cs="宋体"/>
                <w:color w:val="auto"/>
                <w:szCs w:val="21"/>
              </w:rPr>
            </w:pPr>
            <w:r>
              <w:rPr>
                <w:rFonts w:hint="eastAsia" w:ascii="宋体" w:hAnsi="宋体" w:cs="宋体"/>
                <w:color w:val="auto"/>
                <w:szCs w:val="21"/>
              </w:rPr>
              <w:t>11</w:t>
            </w:r>
          </w:p>
        </w:tc>
        <w:tc>
          <w:tcPr>
            <w:tcW w:w="1590" w:type="dxa"/>
            <w:shd w:val="clear" w:color="auto" w:fill="auto"/>
            <w:vAlign w:val="center"/>
          </w:tcPr>
          <w:p w14:paraId="55E90B67">
            <w:pPr>
              <w:spacing w:line="500" w:lineRule="exact"/>
              <w:rPr>
                <w:rFonts w:ascii="宋体" w:hAnsi="宋体" w:cs="宋体"/>
                <w:color w:val="auto"/>
                <w:szCs w:val="21"/>
              </w:rPr>
            </w:pPr>
            <w:r>
              <w:rPr>
                <w:rFonts w:hint="eastAsia" w:ascii="宋体" w:hAnsi="宋体" w:cs="宋体"/>
                <w:color w:val="auto"/>
                <w:szCs w:val="21"/>
              </w:rPr>
              <w:t>电缆</w:t>
            </w:r>
          </w:p>
        </w:tc>
        <w:tc>
          <w:tcPr>
            <w:tcW w:w="4883" w:type="dxa"/>
            <w:shd w:val="clear" w:color="auto" w:fill="auto"/>
            <w:vAlign w:val="center"/>
          </w:tcPr>
          <w:p w14:paraId="1D893CFD">
            <w:pPr>
              <w:spacing w:line="500" w:lineRule="exact"/>
              <w:rPr>
                <w:rFonts w:ascii="宋体" w:hAnsi="宋体" w:cs="宋体"/>
                <w:color w:val="auto"/>
                <w:szCs w:val="21"/>
              </w:rPr>
            </w:pPr>
            <w:r>
              <w:rPr>
                <w:rFonts w:hint="eastAsia" w:ascii="宋体" w:hAnsi="宋体" w:cs="宋体"/>
                <w:color w:val="auto"/>
                <w:szCs w:val="21"/>
              </w:rPr>
              <w:t>按需</w:t>
            </w:r>
          </w:p>
        </w:tc>
        <w:tc>
          <w:tcPr>
            <w:tcW w:w="637" w:type="dxa"/>
            <w:shd w:val="clear" w:color="auto" w:fill="auto"/>
            <w:vAlign w:val="center"/>
          </w:tcPr>
          <w:p w14:paraId="1A33F8E8">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1B5656F3">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26A7D887">
            <w:pPr>
              <w:spacing w:line="500" w:lineRule="exact"/>
              <w:rPr>
                <w:rFonts w:ascii="宋体" w:hAnsi="宋体" w:cs="宋体"/>
                <w:color w:val="auto"/>
                <w:szCs w:val="21"/>
              </w:rPr>
            </w:pPr>
            <w:r>
              <w:rPr>
                <w:rFonts w:hint="eastAsia" w:ascii="宋体" w:hAnsi="宋体" w:cs="宋体"/>
                <w:color w:val="auto"/>
                <w:szCs w:val="21"/>
              </w:rPr>
              <w:t>厂家配套</w:t>
            </w:r>
          </w:p>
        </w:tc>
      </w:tr>
      <w:tr w14:paraId="62DA4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jc w:val="center"/>
        </w:trPr>
        <w:tc>
          <w:tcPr>
            <w:tcW w:w="614" w:type="dxa"/>
            <w:shd w:val="clear" w:color="auto" w:fill="auto"/>
            <w:vAlign w:val="center"/>
          </w:tcPr>
          <w:p w14:paraId="11EF2061">
            <w:pPr>
              <w:spacing w:line="500" w:lineRule="exact"/>
              <w:rPr>
                <w:rFonts w:ascii="宋体" w:hAnsi="宋体" w:cs="宋体"/>
                <w:color w:val="auto"/>
                <w:szCs w:val="21"/>
              </w:rPr>
            </w:pPr>
            <w:r>
              <w:rPr>
                <w:rFonts w:hint="eastAsia" w:ascii="宋体" w:hAnsi="宋体" w:cs="宋体"/>
                <w:color w:val="auto"/>
                <w:szCs w:val="21"/>
              </w:rPr>
              <w:t>12</w:t>
            </w:r>
          </w:p>
        </w:tc>
        <w:tc>
          <w:tcPr>
            <w:tcW w:w="1590" w:type="dxa"/>
            <w:shd w:val="clear" w:color="auto" w:fill="auto"/>
            <w:vAlign w:val="center"/>
          </w:tcPr>
          <w:p w14:paraId="6C9C751F">
            <w:pPr>
              <w:spacing w:line="500" w:lineRule="exact"/>
              <w:rPr>
                <w:rFonts w:ascii="宋体" w:hAnsi="宋体" w:cs="宋体"/>
                <w:color w:val="auto"/>
                <w:szCs w:val="21"/>
              </w:rPr>
            </w:pPr>
            <w:r>
              <w:rPr>
                <w:rFonts w:hint="eastAsia" w:ascii="宋体" w:hAnsi="宋体" w:cs="宋体"/>
                <w:color w:val="auto"/>
                <w:szCs w:val="21"/>
              </w:rPr>
              <w:t>软件</w:t>
            </w:r>
          </w:p>
        </w:tc>
        <w:tc>
          <w:tcPr>
            <w:tcW w:w="4883" w:type="dxa"/>
            <w:shd w:val="clear" w:color="auto" w:fill="auto"/>
            <w:vAlign w:val="center"/>
          </w:tcPr>
          <w:p w14:paraId="15830F34">
            <w:pPr>
              <w:spacing w:line="500" w:lineRule="exact"/>
              <w:rPr>
                <w:rFonts w:ascii="宋体" w:hAnsi="宋体" w:cs="宋体"/>
                <w:color w:val="auto"/>
                <w:szCs w:val="21"/>
              </w:rPr>
            </w:pPr>
            <w:r>
              <w:rPr>
                <w:rFonts w:hint="eastAsia" w:ascii="宋体" w:hAnsi="宋体" w:cs="宋体"/>
                <w:color w:val="auto"/>
                <w:szCs w:val="21"/>
              </w:rPr>
              <w:t>含现场控制软件，含中控界面调整等工作。</w:t>
            </w:r>
          </w:p>
        </w:tc>
        <w:tc>
          <w:tcPr>
            <w:tcW w:w="637" w:type="dxa"/>
            <w:shd w:val="clear" w:color="auto" w:fill="auto"/>
            <w:vAlign w:val="center"/>
          </w:tcPr>
          <w:p w14:paraId="5C54A2DA">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6FDEBA3C">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48476869">
            <w:pPr>
              <w:spacing w:line="500" w:lineRule="exact"/>
              <w:rPr>
                <w:rFonts w:ascii="宋体" w:hAnsi="宋体" w:cs="宋体"/>
                <w:color w:val="auto"/>
                <w:szCs w:val="21"/>
              </w:rPr>
            </w:pPr>
            <w:r>
              <w:rPr>
                <w:rFonts w:hint="eastAsia" w:ascii="宋体" w:hAnsi="宋体" w:cs="宋体"/>
                <w:color w:val="auto"/>
                <w:szCs w:val="21"/>
              </w:rPr>
              <w:t>厂家配套</w:t>
            </w:r>
          </w:p>
        </w:tc>
      </w:tr>
      <w:tr w14:paraId="66E58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jc w:val="center"/>
        </w:trPr>
        <w:tc>
          <w:tcPr>
            <w:tcW w:w="614" w:type="dxa"/>
            <w:shd w:val="clear" w:color="auto" w:fill="auto"/>
            <w:vAlign w:val="center"/>
          </w:tcPr>
          <w:p w14:paraId="6D7774B2">
            <w:pPr>
              <w:spacing w:line="500" w:lineRule="exact"/>
              <w:rPr>
                <w:rFonts w:ascii="宋体" w:hAnsi="宋体" w:cs="宋体"/>
                <w:color w:val="auto"/>
                <w:szCs w:val="21"/>
              </w:rPr>
            </w:pPr>
            <w:r>
              <w:rPr>
                <w:rFonts w:hint="eastAsia" w:ascii="宋体" w:hAnsi="宋体" w:cs="宋体"/>
                <w:color w:val="auto"/>
                <w:szCs w:val="21"/>
              </w:rPr>
              <w:t>13</w:t>
            </w:r>
          </w:p>
        </w:tc>
        <w:tc>
          <w:tcPr>
            <w:tcW w:w="1590" w:type="dxa"/>
            <w:shd w:val="clear" w:color="auto" w:fill="auto"/>
            <w:vAlign w:val="center"/>
          </w:tcPr>
          <w:p w14:paraId="4FE9DA2B">
            <w:pPr>
              <w:spacing w:line="500" w:lineRule="exact"/>
              <w:rPr>
                <w:rFonts w:ascii="宋体" w:hAnsi="宋体" w:cs="宋体"/>
                <w:color w:val="auto"/>
                <w:szCs w:val="21"/>
              </w:rPr>
            </w:pPr>
            <w:r>
              <w:rPr>
                <w:rFonts w:hint="eastAsia" w:ascii="宋体" w:hAnsi="宋体" w:cs="宋体"/>
                <w:color w:val="auto"/>
                <w:szCs w:val="21"/>
              </w:rPr>
              <w:t>安装桥架、支架</w:t>
            </w:r>
          </w:p>
        </w:tc>
        <w:tc>
          <w:tcPr>
            <w:tcW w:w="4883" w:type="dxa"/>
            <w:shd w:val="clear" w:color="auto" w:fill="auto"/>
            <w:vAlign w:val="center"/>
          </w:tcPr>
          <w:p w14:paraId="65767852">
            <w:pPr>
              <w:spacing w:line="500" w:lineRule="exact"/>
              <w:rPr>
                <w:rFonts w:ascii="宋体" w:hAnsi="宋体" w:cs="宋体"/>
                <w:color w:val="auto"/>
                <w:szCs w:val="21"/>
              </w:rPr>
            </w:pPr>
            <w:r>
              <w:rPr>
                <w:rFonts w:hint="eastAsia" w:ascii="宋体" w:hAnsi="宋体" w:cs="宋体"/>
                <w:color w:val="auto"/>
                <w:szCs w:val="21"/>
              </w:rPr>
              <w:t>桥架材质：SUS304</w:t>
            </w:r>
          </w:p>
        </w:tc>
        <w:tc>
          <w:tcPr>
            <w:tcW w:w="637" w:type="dxa"/>
            <w:shd w:val="clear" w:color="auto" w:fill="auto"/>
            <w:vAlign w:val="center"/>
          </w:tcPr>
          <w:p w14:paraId="074D5B40">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48B6D22B">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0CE9406E">
            <w:pPr>
              <w:spacing w:line="500" w:lineRule="exact"/>
              <w:rPr>
                <w:rFonts w:ascii="宋体" w:hAnsi="宋体" w:cs="宋体"/>
                <w:color w:val="auto"/>
                <w:szCs w:val="21"/>
              </w:rPr>
            </w:pPr>
            <w:r>
              <w:rPr>
                <w:rFonts w:hint="eastAsia" w:ascii="宋体" w:hAnsi="宋体" w:cs="宋体"/>
                <w:color w:val="auto"/>
                <w:szCs w:val="21"/>
              </w:rPr>
              <w:t>厂家配套</w:t>
            </w:r>
          </w:p>
        </w:tc>
      </w:tr>
      <w:tr w14:paraId="222F2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14" w:type="dxa"/>
            <w:shd w:val="clear" w:color="auto" w:fill="auto"/>
            <w:vAlign w:val="center"/>
          </w:tcPr>
          <w:p w14:paraId="66B1DABB">
            <w:pPr>
              <w:spacing w:line="500" w:lineRule="exact"/>
              <w:rPr>
                <w:rFonts w:ascii="宋体" w:hAnsi="宋体" w:cs="宋体"/>
                <w:color w:val="auto"/>
                <w:szCs w:val="21"/>
              </w:rPr>
            </w:pPr>
            <w:r>
              <w:rPr>
                <w:rFonts w:hint="eastAsia" w:ascii="宋体" w:hAnsi="宋体" w:cs="宋体"/>
                <w:color w:val="auto"/>
                <w:szCs w:val="21"/>
              </w:rPr>
              <w:t>14</w:t>
            </w:r>
          </w:p>
        </w:tc>
        <w:tc>
          <w:tcPr>
            <w:tcW w:w="1590" w:type="dxa"/>
            <w:shd w:val="clear" w:color="auto" w:fill="auto"/>
            <w:vAlign w:val="center"/>
          </w:tcPr>
          <w:p w14:paraId="7055F7FA">
            <w:pPr>
              <w:spacing w:line="500" w:lineRule="exact"/>
              <w:rPr>
                <w:rFonts w:ascii="宋体" w:hAnsi="宋体" w:cs="宋体"/>
                <w:color w:val="auto"/>
                <w:szCs w:val="21"/>
              </w:rPr>
            </w:pPr>
            <w:r>
              <w:rPr>
                <w:rFonts w:hint="eastAsia" w:ascii="宋体" w:hAnsi="宋体" w:cs="宋体"/>
                <w:color w:val="auto"/>
                <w:szCs w:val="21"/>
              </w:rPr>
              <w:t>吊装、安装、调试</w:t>
            </w:r>
          </w:p>
        </w:tc>
        <w:tc>
          <w:tcPr>
            <w:tcW w:w="4883" w:type="dxa"/>
            <w:shd w:val="clear" w:color="auto" w:fill="auto"/>
            <w:vAlign w:val="center"/>
          </w:tcPr>
          <w:p w14:paraId="6B35984C">
            <w:pPr>
              <w:spacing w:line="500" w:lineRule="exact"/>
              <w:ind w:left="420" w:leftChars="200"/>
              <w:jc w:val="center"/>
              <w:rPr>
                <w:rFonts w:ascii="宋体" w:hAnsi="宋体" w:cs="宋体"/>
                <w:color w:val="auto"/>
                <w:szCs w:val="21"/>
              </w:rPr>
            </w:pPr>
          </w:p>
        </w:tc>
        <w:tc>
          <w:tcPr>
            <w:tcW w:w="637" w:type="dxa"/>
            <w:shd w:val="clear" w:color="auto" w:fill="auto"/>
            <w:vAlign w:val="center"/>
          </w:tcPr>
          <w:p w14:paraId="1D23A2BD">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0088D2BE">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40B2A1C1">
            <w:pPr>
              <w:spacing w:line="500" w:lineRule="exact"/>
              <w:rPr>
                <w:rFonts w:ascii="宋体" w:hAnsi="宋体" w:cs="宋体"/>
                <w:color w:val="auto"/>
                <w:szCs w:val="21"/>
              </w:rPr>
            </w:pPr>
            <w:r>
              <w:rPr>
                <w:rFonts w:hint="eastAsia" w:ascii="宋体" w:hAnsi="宋体" w:cs="宋体"/>
                <w:color w:val="auto"/>
                <w:szCs w:val="21"/>
              </w:rPr>
              <w:t>厂家配套</w:t>
            </w:r>
          </w:p>
        </w:tc>
      </w:tr>
    </w:tbl>
    <w:p w14:paraId="1A87F963">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水厂规模：10万吨/天。</w:t>
      </w:r>
    </w:p>
    <w:p w14:paraId="1B1819C1">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投加原料为：低温高压液态(-37℃，2.2Mpa)罐储存的二氧化碳，通过槽罐车进料，液体二氧化碳密度为1.1kg/L，汽化后密度为1.997g/L，汽化后的二氧化碳通过碳酸发生器快速制备成碳酸，制备好的碳酸投加至加药点。</w:t>
      </w:r>
    </w:p>
    <w:p w14:paraId="53035A01">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原材料储存方式：采用15m³以上容积的液态二氧化碳储气罐，可通过槽罐车进料，安装在户外，最大投加量的情况下可保证15天的储存量。</w:t>
      </w:r>
    </w:p>
    <w:p w14:paraId="39BF1B75">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最大加注量：二氧化碳最大投加量按12mg/L ，即二氧化碳每天用量为1.2T/d，每小时最大投加量50kg/h。</w:t>
      </w:r>
    </w:p>
    <w:p w14:paraId="4B19A364">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 xml:space="preserve">投加点：投加点2个，位于原水管道。 </w:t>
      </w:r>
    </w:p>
    <w:p w14:paraId="0CB84CA9">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系统功能：投加系统采用湿式投加方式，液体二氧化碳由低温罐车输入储罐，通过空温式气化器转化为气态，经过减压阀组调压后输送至二氧化碳溶解投加装置。碳酸制备采用加压混合方式，通过碳酸制备系统将一定压力和温度的气态二氧化碳和一定压力的自来水以一定的比例混合，生成气水混合物:再通过压力储罐将气水混合物转化为饱和碳酸溶液；然后再通过加压水将饱和碳酸溶液注入待处理的水中，使碳酸溶液与水中的碱性物质中和反应，能够达到调整水的PH的目的（或与水中的 CaCO</w:t>
      </w:r>
      <w:r>
        <w:rPr>
          <w:rFonts w:hint="eastAsia" w:ascii="宋体" w:hAnsi="宋体" w:cs="宋体"/>
          <w:color w:val="auto"/>
          <w:szCs w:val="21"/>
          <w:vertAlign w:val="subscript"/>
        </w:rPr>
        <w:t>3</w:t>
      </w:r>
      <w:r>
        <w:rPr>
          <w:rFonts w:hint="eastAsia" w:ascii="宋体" w:hAnsi="宋体" w:cs="宋体"/>
          <w:color w:val="auto"/>
          <w:szCs w:val="21"/>
        </w:rPr>
        <w:t>反应，能够达到调整水的硬度或浊度的目的)。投加系统通过电磁流量计、PH仪、电动调节阀、气体流量计计量、压力传感器等反馈调节，可根据原水PH值、原水流量数据、投加点PH值信号现实PLC自动化控制。增压泵要求为变频控制，碳酸发生装置通过微纳米气泡技术原理，要求投加点无二氧化碳气泡溢出，系统应避免二氧化碳气体进入大气造成浪费，二氧化碳原料利用率为97%以上。</w:t>
      </w:r>
    </w:p>
    <w:p w14:paraId="274D9EEF">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整个系统应做到全封闭，无泄漏。全套系统应包括但不限于以下部件，设备要求为系统最低要求，供货商应不低于此要求。</w:t>
      </w:r>
    </w:p>
    <w:p w14:paraId="18ADFCC6">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液态二氧化碳储罐</w:t>
      </w:r>
    </w:p>
    <w:p w14:paraId="63C655A0">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配备液态二氧化碳储罐一座，15m³，尺寸：2.4m*5.63m，壁厚8mm，封头厚8mm，储罐采用碳钢材质，储罐双层圆筒真空粉末绝热结构，内筒盛装低温液体，（二氧化碳储罐内胆材料为16MnDR），封头选用标准椭圆型封头，外筒面向大气，材料为Q245R 低合金钢，内外筒之间采用八点支承结构。夹层厚度240mm，内外筒夹层中充满保温材料珠光砂绝热材料并抽真空，内外层夹层压力为绝对压力≤3Pa，出厂真空度优于国家标准，确保日蒸发率的指标优于国标。</w:t>
      </w:r>
    </w:p>
    <w:p w14:paraId="6CD40139">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液体二氧化碳储罐采用“组合、安全系统阀”，使用两组安全阀同时工作，在安全阀定期校验时可关闭一侧，另一侧继续工作，确保储罐的安全运行。储罐应相应配备压力表，液位计及液位对照表，以掌握液态二氧化碳储存量及压力变化，便于及时补充。</w:t>
      </w:r>
    </w:p>
    <w:p w14:paraId="14F0441F">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汽化器</w:t>
      </w:r>
    </w:p>
    <w:p w14:paraId="7B359212">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参数：150Nm³/h,1台，空温式汽化器是在常温下把低温二氧化碳液体进行汽化的专用设备。空温式汽化器利用大气环境作为热源，通过性能良好的LF21星型管进行热交换，使低温二氧化碳液体汽化成一定温度的气体。</w:t>
      </w:r>
    </w:p>
    <w:p w14:paraId="5B1B59AD">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 xml:space="preserve">空温式汽化器主要由星型翅片导热管、液气导流管、支架、底座、进出品接头等部件组成。星型翅片导热管采用八翅对称结构，材质选用坚固耐用、耐腐蚀、耐风化、汽化效果好的LF21防锈铝合金材质；液气导流管选用耐高压，耐冲击的T2M紫铜管材质；底座、支架选用坚固耐用、耐腐蚀的角型LF21防锈铝合金材质。    </w:t>
      </w:r>
    </w:p>
    <w:p w14:paraId="63FBF06A">
      <w:pPr>
        <w:spacing w:line="500" w:lineRule="exact"/>
        <w:ind w:left="840" w:leftChars="400"/>
        <w:jc w:val="left"/>
        <w:rPr>
          <w:rFonts w:ascii="宋体" w:hAnsi="宋体" w:cs="宋体"/>
          <w:color w:val="auto"/>
          <w:szCs w:val="21"/>
        </w:rPr>
      </w:pPr>
      <w:r>
        <w:rPr>
          <w:rFonts w:hint="eastAsia" w:ascii="宋体" w:hAnsi="宋体" w:cs="宋体"/>
          <w:color w:val="auto"/>
          <w:szCs w:val="21"/>
        </w:rPr>
        <w:t>（10）增压供水系统</w:t>
      </w:r>
    </w:p>
    <w:p w14:paraId="10BAC388">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增压泵流量≥35m³/h,，扬程30米，1台；用于系统服务水加压及碳酸制备，含进出口配套阀门管件、过滤器、出口电磁流量计、安装螺栓等。</w:t>
      </w:r>
    </w:p>
    <w:p w14:paraId="2BCB1129">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配置就地控制柜，不锈钢304材质，变频调节，设有增压泵启动、停止、故障、就地、远程操作功能。</w:t>
      </w:r>
    </w:p>
    <w:p w14:paraId="2DF5B79D">
      <w:pPr>
        <w:spacing w:line="500" w:lineRule="exact"/>
        <w:ind w:left="840" w:leftChars="400"/>
        <w:jc w:val="left"/>
        <w:rPr>
          <w:rFonts w:ascii="宋体" w:hAnsi="宋体" w:cs="宋体"/>
          <w:color w:val="auto"/>
          <w:szCs w:val="21"/>
        </w:rPr>
      </w:pPr>
      <w:r>
        <w:rPr>
          <w:rFonts w:hint="eastAsia" w:ascii="宋体" w:hAnsi="宋体" w:cs="宋体"/>
          <w:color w:val="auto"/>
          <w:szCs w:val="21"/>
        </w:rPr>
        <w:t>（11）电磁流量计</w:t>
      </w:r>
    </w:p>
    <w:p w14:paraId="291FA43B">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组成：传感器、转换器、连接电缆</w:t>
      </w:r>
    </w:p>
    <w:p w14:paraId="6E714FC5">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电极材料：316L不锈钢电极（用于服务水）</w:t>
      </w:r>
    </w:p>
    <w:p w14:paraId="2D204428">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接地环材质：316L不锈钢</w:t>
      </w:r>
    </w:p>
    <w:p w14:paraId="18DCFEA5">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衬里材质:PTFE</w:t>
      </w:r>
    </w:p>
    <w:p w14:paraId="4663D445">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压力等级:1.6MPa</w:t>
      </w:r>
    </w:p>
    <w:p w14:paraId="3552BFD3">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连接方式:法兰连接，GB9124</w:t>
      </w:r>
    </w:p>
    <w:p w14:paraId="5A48F409">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传感器和法兰材质:A3碳钢</w:t>
      </w:r>
    </w:p>
    <w:p w14:paraId="236F901D">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型式：采用一体式</w:t>
      </w:r>
    </w:p>
    <w:p w14:paraId="674AD9F6">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精度：0.5%</w:t>
      </w:r>
    </w:p>
    <w:p w14:paraId="7EAAD4B2">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量程：0</w:t>
      </w:r>
      <w:r>
        <w:rPr>
          <w:rFonts w:hint="eastAsia" w:ascii="宋体" w:hAnsi="宋体" w:eastAsia="宋体" w:cs="宋体"/>
          <w:color w:val="auto"/>
          <w:sz w:val="21"/>
          <w:szCs w:val="21"/>
          <w:lang w:eastAsia="zh-CN"/>
        </w:rPr>
        <w:t>～</w:t>
      </w:r>
      <w:r>
        <w:rPr>
          <w:rFonts w:hint="eastAsia" w:ascii="宋体" w:hAnsi="宋体" w:cs="宋体"/>
          <w:color w:val="auto"/>
          <w:szCs w:val="21"/>
        </w:rPr>
        <w:t>10m/s，常用区间1</w:t>
      </w:r>
      <w:r>
        <w:rPr>
          <w:rFonts w:hint="eastAsia" w:ascii="宋体" w:hAnsi="宋体" w:eastAsia="宋体" w:cs="宋体"/>
          <w:color w:val="auto"/>
          <w:sz w:val="21"/>
          <w:szCs w:val="21"/>
          <w:lang w:eastAsia="zh-CN"/>
        </w:rPr>
        <w:t>～</w:t>
      </w:r>
      <w:r>
        <w:rPr>
          <w:rFonts w:hint="eastAsia" w:ascii="宋体" w:hAnsi="宋体" w:cs="宋体"/>
          <w:color w:val="auto"/>
          <w:szCs w:val="21"/>
        </w:rPr>
        <w:t>3.5m/s</w:t>
      </w:r>
    </w:p>
    <w:p w14:paraId="52BDE165">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传感器防护等级：IP67或以上</w:t>
      </w:r>
    </w:p>
    <w:p w14:paraId="4C519C60">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输出信号：4-20mA电流信号或脉冲输出或MODBUS或485通讯</w:t>
      </w:r>
    </w:p>
    <w:p w14:paraId="078842E9">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电缆长度：每一台不超过50m</w:t>
      </w:r>
    </w:p>
    <w:p w14:paraId="677F1325">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检测、调节功能：检测、自检、清零、复位、调零、调整量程功能</w:t>
      </w:r>
    </w:p>
    <w:p w14:paraId="0142DE84">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显示：至少2行x10位液晶数字显示，可显示瞬时流量、正向流量、反向流量等</w:t>
      </w:r>
    </w:p>
    <w:p w14:paraId="06070993">
      <w:pPr>
        <w:spacing w:line="500" w:lineRule="exact"/>
        <w:ind w:left="840" w:leftChars="400"/>
        <w:jc w:val="left"/>
        <w:rPr>
          <w:rFonts w:ascii="宋体" w:hAnsi="宋体" w:cs="宋体"/>
          <w:color w:val="auto"/>
          <w:szCs w:val="21"/>
        </w:rPr>
      </w:pPr>
      <w:r>
        <w:rPr>
          <w:rFonts w:hint="eastAsia" w:ascii="宋体" w:hAnsi="宋体" w:cs="宋体"/>
          <w:color w:val="auto"/>
          <w:szCs w:val="21"/>
        </w:rPr>
        <w:t>（12）碳酸制备系统</w:t>
      </w:r>
    </w:p>
    <w:p w14:paraId="5BA77604">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 xml:space="preserve">数量：1套，每套碳酸制备系统材质：采用不锈钢304箱体撬装形式。箱体应密闭紧凑，具备良好的防水防尘能力。 </w:t>
      </w:r>
    </w:p>
    <w:p w14:paraId="4FF14C27">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二氧化碳转化率需在97%以上，单套二氧化碳投加量满足≥50kg/h。主要工作原理要求：液态二氧化碳原料通过汽化器汽化，经碳酸溶液发生器快速生成碳酸，要求采用微纳米技术形成无数微小气泡，要求多级混合强化，增加碳酸制备的效率，制备好的碳酸溶液投加至加药点，要求无气泡溢出。</w:t>
      </w:r>
    </w:p>
    <w:p w14:paraId="57576D90">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主要设备组成：释放器（1套,要求产生微纳米气泡）、二氧化碳热式质量流量计、气动薄膜调节阀、PH仪、压力表、压力变送器、二级调压阀、浮子流量计、高压软管、针型阀、Y型过滤器、手动阀及管道、PLC控制柜，其中阀门、管道、箱体材质为304不锈钢。</w:t>
      </w:r>
    </w:p>
    <w:p w14:paraId="440A801E">
      <w:pPr>
        <w:spacing w:line="500" w:lineRule="exact"/>
        <w:ind w:left="840" w:leftChars="400"/>
        <w:jc w:val="left"/>
        <w:rPr>
          <w:rFonts w:ascii="宋体" w:hAnsi="宋体" w:cs="宋体"/>
          <w:color w:val="auto"/>
          <w:szCs w:val="21"/>
        </w:rPr>
      </w:pPr>
      <w:r>
        <w:rPr>
          <w:rFonts w:hint="eastAsia" w:ascii="宋体" w:hAnsi="宋体" w:cs="宋体"/>
          <w:color w:val="auto"/>
          <w:szCs w:val="21"/>
        </w:rPr>
        <w:t>（13）PLC控制系统</w:t>
      </w:r>
    </w:p>
    <w:p w14:paraId="399C67D5">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数量:1台，控制柜材质：SUS304。控制柜采用PLC控制，柜体内置于碳酸发生器内部，内部元器件由供货方集成。控制柜厚度不小于2mm。主要控制：制备及投加装置以太网方式接入全厂自控系统,采用10寸或以上触摸屏。PLC推荐使用与厂区PLC配套的品牌。控制柜内其它主要元件性能应不低于ABB、施耐德、西门子等品牌产品。防护等级IP55及以上。</w:t>
      </w:r>
    </w:p>
    <w:p w14:paraId="6636F042">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PLC控制柜可根据原水pH值，原水水量或投加点pH值等反馈数据，动态调节二氧化碳的投加流量。主要包括以下功能：</w:t>
      </w:r>
    </w:p>
    <w:p w14:paraId="3C6CD0F4">
      <w:pPr>
        <w:numPr>
          <w:ilvl w:val="0"/>
          <w:numId w:val="8"/>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全套系统PLC 控制。</w:t>
      </w:r>
    </w:p>
    <w:p w14:paraId="2B8ACC12">
      <w:pPr>
        <w:numPr>
          <w:ilvl w:val="0"/>
          <w:numId w:val="8"/>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整套系统可通过远程和就地的方式控制各设备的启停和手、自动切换。</w:t>
      </w:r>
    </w:p>
    <w:p w14:paraId="4D8D7C31">
      <w:pPr>
        <w:numPr>
          <w:ilvl w:val="0"/>
          <w:numId w:val="8"/>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远程控制由上位机实现，就地控制由触摸屏实现，同时都能监控设备状态，包括增压泵运行状态、储液罐液位和压力、电动阀门开关状态、流量计流量、各点在线pH计pH值等，以及故障报警信号。</w:t>
      </w:r>
    </w:p>
    <w:p w14:paraId="51220BEB">
      <w:pPr>
        <w:numPr>
          <w:ilvl w:val="0"/>
          <w:numId w:val="8"/>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通过PLC实现二氧化碳投加全过程的自动控制，并能根据水流量和水质变化参数自动调节投加量，同时具备现场手动操作功能。配置工业以太网等方式接入水厂自控系统传输设备手动自动状态、开停情况以及故障等常规工况状态信号，增加并优化上位机监控画面，实现水厂控制室对二氧化碳投加系统的远程控制。</w:t>
      </w:r>
    </w:p>
    <w:p w14:paraId="6DEB0B6B">
      <w:pPr>
        <w:numPr>
          <w:ilvl w:val="0"/>
          <w:numId w:val="8"/>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控制箱还应配置通信接口，且必须符合厂方自动化控制系统通信规约、物理接口、数据格式等要求。</w:t>
      </w:r>
    </w:p>
    <w:p w14:paraId="76210A6F">
      <w:pPr>
        <w:numPr>
          <w:ilvl w:val="0"/>
          <w:numId w:val="8"/>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控制箱接受电源侧及出线侧均应设空气开关，空气开关应有短路及过载保护。安装浪涌保护器，做好防雷工作。特殊电机还应根据电机特点提供专用保护。</w:t>
      </w:r>
    </w:p>
    <w:p w14:paraId="0E27E4FF">
      <w:pPr>
        <w:spacing w:line="500" w:lineRule="exact"/>
        <w:ind w:left="840" w:leftChars="400"/>
        <w:jc w:val="left"/>
        <w:rPr>
          <w:rFonts w:ascii="宋体" w:hAnsi="宋体" w:cs="宋体"/>
          <w:color w:val="auto"/>
          <w:szCs w:val="21"/>
        </w:rPr>
      </w:pPr>
      <w:r>
        <w:rPr>
          <w:rFonts w:hint="eastAsia" w:ascii="宋体" w:hAnsi="宋体" w:cs="宋体"/>
          <w:color w:val="auto"/>
          <w:szCs w:val="21"/>
        </w:rPr>
        <w:t>（14）电气部分</w:t>
      </w:r>
    </w:p>
    <w:p w14:paraId="4E60F282">
      <w:pPr>
        <w:numPr>
          <w:ilvl w:val="0"/>
          <w:numId w:val="9"/>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新增用电设备电源均引自现状低压配电系统预留馈线回路。</w:t>
      </w:r>
    </w:p>
    <w:p w14:paraId="311AC872">
      <w:pPr>
        <w:numPr>
          <w:ilvl w:val="0"/>
          <w:numId w:val="9"/>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电缆敷设方式：电缆出动力柜后，沿电缆沟、桥架或穿管敷设。在电缆沟或桥架敷设时，动力电缆在上层，控制电缆在下层；由电缆沟或桥架引出后，穿钢管敷设至用电设备。所有电缆进出动力柜的开孔部位，电缆贯穿隔墙，均应实施阻火防水封堵。照明线均采用塑料绝缘线穿PVC管沿墙。</w:t>
      </w:r>
    </w:p>
    <w:p w14:paraId="0625E638">
      <w:pPr>
        <w:numPr>
          <w:ilvl w:val="0"/>
          <w:numId w:val="9"/>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接地及照明：接地系统及照明系统沿用现状，不作变动。凡正常不带电，而当绝缘破坏有可能呈现电压的一切电气设备金属外壳均应可靠接地。各类金属柜，机旁箱，金属保护管，设备金属外壳、金属门窗、金属栏杆、配电柜PE母排、电缆桥架等金属构件均需作等电位连接，与接地装置可靠连接，并形成可靠的电气通路。</w:t>
      </w:r>
    </w:p>
    <w:p w14:paraId="3853F4F3">
      <w:pPr>
        <w:numPr>
          <w:ilvl w:val="0"/>
          <w:numId w:val="9"/>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设备要求：二氧化碳投加系统的配电、控制设备由承包人配套提供，本项目仅对这些设备提供电源。电气设备订货时，需复核所有用电设备额定电流，若与原设计电流值不一致，应按实际电流值调整相应设备的电气配置。</w:t>
      </w:r>
    </w:p>
    <w:p w14:paraId="3D104BA9">
      <w:pPr>
        <w:numPr>
          <w:ilvl w:val="0"/>
          <w:numId w:val="9"/>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电缆构造物中电缆引至配电柜、控制箱等的开孔部位，电缆贯穿隔墙的孔洞处，均应实施阻火封堵。</w:t>
      </w:r>
    </w:p>
    <w:p w14:paraId="0EF7B4A6">
      <w:pPr>
        <w:numPr>
          <w:ilvl w:val="0"/>
          <w:numId w:val="9"/>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所有电气设备所需的预埋件均应在土建施工过程中予以埋设。</w:t>
      </w:r>
    </w:p>
    <w:p w14:paraId="77F095C9">
      <w:pPr>
        <w:spacing w:line="500" w:lineRule="exact"/>
        <w:ind w:left="840" w:leftChars="400"/>
        <w:jc w:val="left"/>
        <w:rPr>
          <w:rFonts w:ascii="宋体" w:hAnsi="宋体" w:cs="宋体"/>
          <w:color w:val="auto"/>
          <w:szCs w:val="21"/>
        </w:rPr>
      </w:pPr>
      <w:r>
        <w:rPr>
          <w:rFonts w:hint="eastAsia" w:ascii="宋体" w:hAnsi="宋体" w:cs="宋体"/>
          <w:color w:val="auto"/>
          <w:szCs w:val="21"/>
        </w:rPr>
        <w:t>（15）其他技术要求</w:t>
      </w:r>
    </w:p>
    <w:p w14:paraId="7C0B3875">
      <w:pPr>
        <w:numPr>
          <w:ilvl w:val="0"/>
          <w:numId w:val="10"/>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投标人投标时须提供系统方案及设计图纸，经招标人审核后按图实施，若实施过程中需优化变更，与招标人沟通并经招标人书面审核同意后才能实施。</w:t>
      </w:r>
    </w:p>
    <w:p w14:paraId="2311BB2D">
      <w:pPr>
        <w:numPr>
          <w:ilvl w:val="0"/>
          <w:numId w:val="0"/>
        </w:numPr>
        <w:spacing w:line="500" w:lineRule="exact"/>
        <w:ind w:firstLine="630" w:firstLineChars="300"/>
        <w:jc w:val="left"/>
        <w:rPr>
          <w:rFonts w:ascii="宋体" w:hAnsi="宋体" w:cs="宋体"/>
          <w:b/>
          <w:color w:val="auto"/>
          <w:szCs w:val="21"/>
          <w:highlight w:val="yellow"/>
        </w:rPr>
      </w:pPr>
      <w:r>
        <w:rPr>
          <w:rFonts w:hint="eastAsia" w:ascii="宋体" w:hAnsi="宋体" w:cs="宋体"/>
          <w:color w:val="auto"/>
          <w:szCs w:val="21"/>
          <w:lang w:val="en-US" w:eastAsia="zh-CN"/>
        </w:rPr>
        <w:t>b)</w:t>
      </w:r>
      <w:r>
        <w:rPr>
          <w:rFonts w:hint="eastAsia" w:ascii="宋体" w:hAnsi="宋体" w:cs="宋体"/>
          <w:color w:val="auto"/>
          <w:szCs w:val="21"/>
        </w:rPr>
        <w:t>本项目为改造项目，应在确保生产安全的前提下进行，实施过程听从招标人的调度安排，并协同招标人提前制定好实施计划及方案，确保实施过程顺利。</w:t>
      </w:r>
    </w:p>
    <w:p w14:paraId="1BC320E1">
      <w:pPr>
        <w:pStyle w:val="6"/>
        <w:numPr>
          <w:ilvl w:val="0"/>
          <w:numId w:val="6"/>
        </w:numPr>
        <w:spacing w:before="0" w:after="0" w:line="500" w:lineRule="exact"/>
        <w:ind w:left="420" w:leftChars="200"/>
        <w:rPr>
          <w:rFonts w:hint="eastAsia" w:ascii="宋体" w:hAnsi="宋体" w:cs="宋体"/>
          <w:color w:val="auto"/>
          <w:sz w:val="21"/>
          <w:szCs w:val="21"/>
        </w:rPr>
      </w:pPr>
      <w:r>
        <w:rPr>
          <w:rFonts w:hint="eastAsia" w:ascii="宋体" w:hAnsi="宋体" w:cs="宋体"/>
          <w:color w:val="auto"/>
          <w:sz w:val="21"/>
          <w:szCs w:val="21"/>
        </w:rPr>
        <w:t>数字计量泵</w:t>
      </w:r>
    </w:p>
    <w:p w14:paraId="6322460D">
      <w:pPr>
        <w:spacing w:line="500" w:lineRule="exact"/>
        <w:ind w:left="420" w:leftChars="200" w:firstLine="422" w:firstLineChars="200"/>
        <w:jc w:val="left"/>
        <w:rPr>
          <w:rFonts w:ascii="宋体" w:hAnsi="宋体" w:cs="宋体"/>
          <w:b/>
          <w:bCs/>
          <w:color w:val="auto"/>
          <w:szCs w:val="21"/>
          <w:u w:val="wave"/>
        </w:rPr>
      </w:pPr>
      <w:r>
        <w:rPr>
          <w:rFonts w:hint="eastAsia" w:ascii="宋体" w:hAnsi="宋体" w:cs="宋体"/>
          <w:b/>
          <w:bCs/>
          <w:color w:val="auto"/>
          <w:szCs w:val="21"/>
          <w:u w:val="wave"/>
        </w:rPr>
        <w:t>计量泵为原装产品</w:t>
      </w:r>
      <w:r>
        <w:rPr>
          <w:rFonts w:hint="eastAsia" w:ascii="宋体" w:hAnsi="宋体" w:cs="宋体"/>
          <w:b/>
          <w:color w:val="auto"/>
          <w:szCs w:val="21"/>
          <w:u w:val="wave"/>
        </w:rPr>
        <w:t>。</w:t>
      </w:r>
    </w:p>
    <w:p w14:paraId="1C2E0662">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隔膜计量泵采用原装采用数字隔膜式计量泵，计量泵采用直流无刷电机驱动，本身设有可读的液晶显示屏，通过显示屏可以直接读取显示的流量（ml/h或者l/h），通过按钮设定投加量。</w:t>
      </w:r>
    </w:p>
    <w:p w14:paraId="30AE69CA">
      <w:pPr>
        <w:pStyle w:val="48"/>
        <w:tabs>
          <w:tab w:val="left" w:pos="907"/>
        </w:tabs>
        <w:spacing w:line="500" w:lineRule="exact"/>
        <w:ind w:left="420" w:leftChars="200" w:firstLine="422" w:firstLineChars="200"/>
        <w:jc w:val="left"/>
        <w:rPr>
          <w:rFonts w:ascii="宋体" w:hAnsi="宋体" w:cs="宋体"/>
          <w:b/>
          <w:bCs/>
          <w:color w:val="auto"/>
          <w:szCs w:val="21"/>
          <w:u w:val="wave"/>
        </w:rPr>
      </w:pPr>
      <w:r>
        <w:rPr>
          <w:rFonts w:hint="eastAsia" w:ascii="宋体" w:hAnsi="宋体" w:cs="宋体"/>
          <w:b/>
          <w:bCs/>
          <w:color w:val="auto"/>
          <w:szCs w:val="21"/>
          <w:u w:val="wave"/>
        </w:rPr>
        <w:t>不得采用普通三相电机配置控制器的形式的替代驱动方案。</w:t>
      </w:r>
    </w:p>
    <w:p w14:paraId="32DB2E19">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计量泵满足在不外接变频器或电动冲程长度调节装置的情况下实现流量自动调节。通过接受外部的控制信号，计量泵能够通过自动调节直流无刷电机的转速来调节排出速度，实现自动调节投加过程，确保最佳和充分的调节效果。</w:t>
      </w:r>
    </w:p>
    <w:p w14:paraId="6AF795B8">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数字隔膜计量泵的投加精度必须达到±1%以上。</w:t>
      </w:r>
    </w:p>
    <w:p w14:paraId="3B148006">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加药计量泵采用数字式隔膜计量泵，计量泵本身设有可读的液晶面板，通过显示屏可以直接读取显示的流量（ml/h或者l/h），脉冲或者批量投加。</w:t>
      </w:r>
    </w:p>
    <w:p w14:paraId="6F256741">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友好的界面显示能让每一个人可以容易地操作泵。仅仅用几个按钮，你就能通过菜单来使用标准控制功能，包括脉冲、模拟量、定时、批投加和排气控制，以及标定和更多的功能。</w:t>
      </w:r>
    </w:p>
    <w:p w14:paraId="4DE42785">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计量泵采用可显示的控制面板，所有的手动操作仅通过设置在计量泵上的控制面板实现。同时要求面板采用友好的界面显示，简洁的菜单设置，能让每一个人可以容易地操作泵。流量的调节仅需通过按钮实现，并可显示需要设置的目标流量。</w:t>
      </w:r>
    </w:p>
    <w:p w14:paraId="060C4E05">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计量泵需自带以4-20ma模拟量信号的形式输出泵的实际工作流量的功能，同时计量泵的控制面板能够接受包括脉冲、模拟量4—20mA调节、定时、批投。</w:t>
      </w:r>
    </w:p>
    <w:p w14:paraId="7158EE2F">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在不同背压和吸水水头编号的情况下，加注泵的精度都应优于额定能力的1%。在该调节比范围内，计量泵的投加精度不会受到任何影响，达到精确投加、节省原料的目的。</w:t>
      </w:r>
    </w:p>
    <w:p w14:paraId="77A66FEA">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泵具备面板锁定的功能，通过设置密码的方式，保证该泵在调试完成后，设置的参数在现场不会遭受其他不相干人员的误操作。</w:t>
      </w:r>
    </w:p>
    <w:p w14:paraId="199B44D3">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在220V，50Hz的电压能够满足使用的情况下，不接受380V，50Hz的三相电机。</w:t>
      </w:r>
    </w:p>
    <w:p w14:paraId="007AE255">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数字隔膜计量泵由PVC或者PVDF泵头、齿轮箱组成，使隔膜内的空气及时排出，保证泵的运行精度。</w:t>
      </w:r>
    </w:p>
    <w:p w14:paraId="411983A6">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数字隔膜计量泵的液力端部分包括隔膜、单向阀及泵头外壳等组成。单向止回球阀采用PVC 的阀体、阀座，聚四氟密封件和垫片，加工精度高，强固耐腐蚀，以保证计量泵的精度和运行稳定。泵头外壳材质为PVC。</w:t>
      </w:r>
    </w:p>
    <w:p w14:paraId="583CD60E">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数字隔膜计量泵运行时，泵的噪音不高于60 dB(A)，轴承温度不高于65oC，无异常振动，各密封处没有泄漏，隔膜采用PTFE材料</w:t>
      </w:r>
    </w:p>
    <w:p w14:paraId="4C9F14DA">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随机备件清单：各隔膜1个；单向阀1个。</w:t>
      </w:r>
    </w:p>
    <w:p w14:paraId="433FEAC2">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数字投加泵精度： ±1%</w:t>
      </w:r>
    </w:p>
    <w:p w14:paraId="6316591A">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出口：PVC承插接口</w:t>
      </w:r>
    </w:p>
    <w:p w14:paraId="46AD9C61">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泵头材质：PVDF</w:t>
      </w:r>
    </w:p>
    <w:p w14:paraId="01440A3B">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密封材质：PTFE或FKM</w:t>
      </w:r>
    </w:p>
    <w:p w14:paraId="73F694BD">
      <w:pPr>
        <w:pStyle w:val="48"/>
        <w:tabs>
          <w:tab w:val="left" w:pos="907"/>
        </w:tabs>
        <w:spacing w:line="500" w:lineRule="exact"/>
        <w:ind w:left="420" w:leftChars="200" w:firstLine="422" w:firstLineChars="200"/>
        <w:jc w:val="left"/>
        <w:rPr>
          <w:rFonts w:ascii="宋体" w:hAnsi="宋体" w:cs="宋体"/>
          <w:b/>
          <w:color w:val="auto"/>
          <w:szCs w:val="21"/>
          <w:u w:val="wave"/>
        </w:rPr>
      </w:pPr>
      <w:bookmarkStart w:id="738" w:name="OLE_LINK5"/>
      <w:r>
        <w:rPr>
          <w:rFonts w:hint="eastAsia" w:ascii="宋体" w:hAnsi="宋体" w:cs="宋体"/>
          <w:b/>
          <w:color w:val="auto"/>
          <w:szCs w:val="21"/>
          <w:u w:val="wave"/>
        </w:rPr>
        <w:t>计量泵加药系统</w:t>
      </w:r>
      <w:bookmarkEnd w:id="738"/>
      <w:r>
        <w:rPr>
          <w:rFonts w:hint="eastAsia" w:ascii="宋体" w:hAnsi="宋体" w:cs="宋体"/>
          <w:b/>
          <w:color w:val="auto"/>
          <w:szCs w:val="21"/>
          <w:u w:val="wave"/>
        </w:rPr>
        <w:t>应该</w:t>
      </w:r>
      <w:bookmarkStart w:id="739" w:name="OLE_LINK2"/>
      <w:r>
        <w:rPr>
          <w:rFonts w:hint="eastAsia" w:ascii="宋体" w:hAnsi="宋体" w:cs="宋体"/>
          <w:b/>
          <w:color w:val="auto"/>
          <w:szCs w:val="21"/>
          <w:u w:val="wave"/>
        </w:rPr>
        <w:t>一体化</w:t>
      </w:r>
      <w:bookmarkStart w:id="740" w:name="OLE_LINK1"/>
      <w:r>
        <w:rPr>
          <w:rFonts w:hint="eastAsia" w:ascii="宋体" w:hAnsi="宋体" w:cs="宋体"/>
          <w:b/>
          <w:color w:val="auto"/>
          <w:szCs w:val="21"/>
          <w:u w:val="wave"/>
        </w:rPr>
        <w:t>撬装</w:t>
      </w:r>
      <w:bookmarkEnd w:id="739"/>
      <w:bookmarkEnd w:id="740"/>
      <w:r>
        <w:rPr>
          <w:rFonts w:hint="eastAsia" w:ascii="宋体" w:hAnsi="宋体" w:cs="宋体"/>
          <w:b/>
          <w:color w:val="auto"/>
          <w:szCs w:val="21"/>
          <w:u w:val="wave"/>
        </w:rPr>
        <w:t>设计，包含计量泵组，电气接线盒，安装管路附件（背压阀、脉冲阻尼器、安全阀、Y型过滤器）等，形成一个完整的系统。为避免堵塞，计量泵加药系统应配合理的管路冲洗设计。一体化撬装支架应采用铝合金型材，单个计量泵撬装最大尺寸2080*1820*720，最多3台计量泵设一个支架。</w:t>
      </w:r>
    </w:p>
    <w:p w14:paraId="48B94C00">
      <w:pPr>
        <w:pStyle w:val="11"/>
        <w:spacing w:line="500" w:lineRule="exact"/>
        <w:ind w:left="420" w:leftChars="200" w:firstLine="422" w:firstLineChars="200"/>
        <w:jc w:val="left"/>
        <w:rPr>
          <w:rFonts w:ascii="宋体" w:hAnsi="宋体" w:cs="宋体"/>
          <w:b/>
          <w:bCs/>
          <w:color w:val="auto"/>
          <w:szCs w:val="21"/>
        </w:rPr>
      </w:pPr>
      <w:r>
        <w:rPr>
          <w:rFonts w:hint="eastAsia" w:ascii="宋体" w:hAnsi="宋体" w:cs="宋体"/>
          <w:b/>
          <w:bCs/>
          <w:color w:val="auto"/>
          <w:szCs w:val="21"/>
        </w:rPr>
        <w:t>★一体化集成商推荐品牌：上海轩浦、固莱环保、净化控股等</w:t>
      </w:r>
    </w:p>
    <w:p w14:paraId="3AA92100">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（五） 电磁流量计</w:t>
      </w:r>
    </w:p>
    <w:p w14:paraId="5F4D431A">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功能： 测量、指示和传送管道内导电液体的流量、状态</w:t>
      </w:r>
    </w:p>
    <w:p w14:paraId="0A15C21C">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规格： 一体式</w:t>
      </w:r>
    </w:p>
    <w:p w14:paraId="3355E36D">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组成： 传感器、变送器和全部安装附件</w:t>
      </w:r>
    </w:p>
    <w:p w14:paraId="495E75A8">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测量原理： 利用法拉第电磁感应测量原理、连续测量</w:t>
      </w:r>
    </w:p>
    <w:p w14:paraId="259464CF">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电极材质： 钛 介质电导率 &gt;5μs/cm</w:t>
      </w:r>
    </w:p>
    <w:p w14:paraId="50D8BBB0">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w:t>
      </w:r>
      <w:r>
        <w:rPr>
          <w:rFonts w:hint="eastAsia" w:ascii="宋体" w:hAnsi="宋体" w:cs="宋体"/>
          <w:color w:val="auto"/>
          <w:szCs w:val="21"/>
        </w:rPr>
        <w:t>内衬材质： PTFE</w:t>
      </w:r>
    </w:p>
    <w:p w14:paraId="323B9D02">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7</w:t>
      </w:r>
      <w:r>
        <w:rPr>
          <w:rFonts w:hint="eastAsia" w:ascii="宋体" w:hAnsi="宋体" w:cs="宋体"/>
          <w:color w:val="auto"/>
          <w:szCs w:val="21"/>
          <w:lang w:val="en-US" w:eastAsia="zh-CN"/>
        </w:rPr>
        <w:t>.</w:t>
      </w:r>
      <w:r>
        <w:rPr>
          <w:rFonts w:hint="eastAsia" w:ascii="宋体" w:hAnsi="宋体" w:cs="宋体"/>
          <w:color w:val="auto"/>
          <w:szCs w:val="21"/>
        </w:rPr>
        <w:t>传感器直管段要求： 前 5D 后 3D 时，满足测量精度</w:t>
      </w:r>
    </w:p>
    <w:p w14:paraId="12B7CB25">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szCs w:val="21"/>
          <w:lang w:val="en-US" w:eastAsia="zh-CN"/>
        </w:rPr>
        <w:t>.</w:t>
      </w:r>
      <w:r>
        <w:rPr>
          <w:rFonts w:hint="eastAsia" w:ascii="宋体" w:hAnsi="宋体" w:cs="宋体"/>
          <w:color w:val="auto"/>
          <w:szCs w:val="21"/>
        </w:rPr>
        <w:t>温度 -40</w:t>
      </w:r>
      <w:r>
        <w:rPr>
          <w:rFonts w:hint="eastAsia" w:ascii="宋体" w:hAnsi="宋体" w:eastAsia="宋体" w:cs="宋体"/>
          <w:color w:val="auto"/>
          <w:sz w:val="21"/>
          <w:szCs w:val="21"/>
          <w:lang w:eastAsia="zh-CN"/>
        </w:rPr>
        <w:t>～</w:t>
      </w:r>
      <w:r>
        <w:rPr>
          <w:rFonts w:hint="eastAsia" w:ascii="宋体" w:hAnsi="宋体" w:cs="宋体"/>
          <w:color w:val="auto"/>
          <w:szCs w:val="21"/>
        </w:rPr>
        <w:t>180℃ 标定压力 Max100</w:t>
      </w:r>
    </w:p>
    <w:p w14:paraId="52F5FF3C">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9</w:t>
      </w:r>
      <w:r>
        <w:rPr>
          <w:rFonts w:hint="eastAsia" w:ascii="宋体" w:hAnsi="宋体" w:cs="宋体"/>
          <w:color w:val="auto"/>
          <w:szCs w:val="21"/>
          <w:lang w:val="en-US" w:eastAsia="zh-CN"/>
        </w:rPr>
        <w:t>.</w:t>
      </w:r>
      <w:r>
        <w:rPr>
          <w:rFonts w:hint="eastAsia" w:ascii="宋体" w:hAnsi="宋体" w:cs="宋体"/>
          <w:color w:val="auto"/>
          <w:szCs w:val="21"/>
        </w:rPr>
        <w:t>介质温度 -20</w:t>
      </w:r>
      <w:r>
        <w:rPr>
          <w:rFonts w:hint="eastAsia" w:ascii="宋体" w:hAnsi="宋体" w:eastAsia="宋体" w:cs="宋体"/>
          <w:color w:val="auto"/>
          <w:sz w:val="21"/>
          <w:szCs w:val="21"/>
          <w:lang w:eastAsia="zh-CN"/>
        </w:rPr>
        <w:t>～</w:t>
      </w:r>
      <w:r>
        <w:rPr>
          <w:rFonts w:hint="eastAsia" w:ascii="宋体" w:hAnsi="宋体" w:cs="宋体"/>
          <w:color w:val="auto"/>
          <w:szCs w:val="21"/>
        </w:rPr>
        <w:t>130℃</w:t>
      </w:r>
    </w:p>
    <w:p w14:paraId="00ED0741">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10</w:t>
      </w:r>
      <w:r>
        <w:rPr>
          <w:rFonts w:hint="eastAsia" w:ascii="宋体" w:hAnsi="宋体" w:cs="宋体"/>
          <w:color w:val="auto"/>
          <w:szCs w:val="21"/>
          <w:lang w:val="en-US" w:eastAsia="zh-CN"/>
        </w:rPr>
        <w:t>.</w:t>
      </w:r>
      <w:r>
        <w:rPr>
          <w:rFonts w:hint="eastAsia" w:ascii="宋体" w:hAnsi="宋体" w:cs="宋体"/>
          <w:color w:val="auto"/>
          <w:szCs w:val="21"/>
        </w:rPr>
        <w:t>防护等级： IP67/68</w:t>
      </w:r>
    </w:p>
    <w:p w14:paraId="13075488">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11</w:t>
      </w:r>
      <w:r>
        <w:rPr>
          <w:rFonts w:hint="eastAsia" w:ascii="宋体" w:hAnsi="宋体" w:cs="宋体"/>
          <w:color w:val="auto"/>
          <w:szCs w:val="21"/>
          <w:lang w:val="en-US" w:eastAsia="zh-CN"/>
        </w:rPr>
        <w:t>.</w:t>
      </w:r>
      <w:r>
        <w:rPr>
          <w:rFonts w:hint="eastAsia" w:ascii="宋体" w:hAnsi="宋体" w:cs="宋体"/>
          <w:color w:val="auto"/>
          <w:szCs w:val="21"/>
        </w:rPr>
        <w:t>安装方式： 对夹式法兰</w:t>
      </w:r>
    </w:p>
    <w:p w14:paraId="7DC76016">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12</w:t>
      </w:r>
      <w:r>
        <w:rPr>
          <w:rFonts w:hint="eastAsia" w:ascii="宋体" w:hAnsi="宋体" w:cs="宋体"/>
          <w:color w:val="auto"/>
          <w:szCs w:val="21"/>
          <w:lang w:val="en-US" w:eastAsia="zh-CN"/>
        </w:rPr>
        <w:t>.</w:t>
      </w:r>
      <w:r>
        <w:rPr>
          <w:rFonts w:hint="eastAsia" w:ascii="宋体" w:hAnsi="宋体" w:cs="宋体"/>
          <w:color w:val="auto"/>
          <w:szCs w:val="21"/>
        </w:rPr>
        <w:t>传感器口径： DN20</w:t>
      </w:r>
    </w:p>
    <w:p w14:paraId="205EAF28">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13</w:t>
      </w:r>
      <w:r>
        <w:rPr>
          <w:rFonts w:hint="eastAsia" w:ascii="宋体" w:hAnsi="宋体" w:cs="宋体"/>
          <w:color w:val="auto"/>
          <w:szCs w:val="21"/>
          <w:lang w:val="en-US" w:eastAsia="zh-CN"/>
        </w:rPr>
        <w:t>.</w:t>
      </w:r>
      <w:r>
        <w:rPr>
          <w:rFonts w:hint="eastAsia" w:ascii="宋体" w:hAnsi="宋体" w:cs="宋体"/>
          <w:color w:val="auto"/>
          <w:szCs w:val="21"/>
        </w:rPr>
        <w:t>变送器：测量精度 ±0.25%</w:t>
      </w:r>
    </w:p>
    <w:p w14:paraId="38EEC953">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w:t>
      </w:r>
      <w:r>
        <w:rPr>
          <w:rFonts w:hint="eastAsia" w:ascii="宋体" w:hAnsi="宋体" w:cs="宋体"/>
          <w:color w:val="auto"/>
          <w:szCs w:val="21"/>
        </w:rPr>
        <w:t>测量流向： 单向/双向流</w:t>
      </w:r>
    </w:p>
    <w:p w14:paraId="06EC5CAF">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w:t>
      </w:r>
      <w:r>
        <w:rPr>
          <w:rFonts w:hint="eastAsia" w:ascii="宋体" w:hAnsi="宋体" w:cs="宋体"/>
          <w:color w:val="auto"/>
          <w:szCs w:val="21"/>
        </w:rPr>
        <w:t>变送器显示： 3行 20个字符</w:t>
      </w:r>
    </w:p>
    <w:p w14:paraId="428B5A24">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16</w:t>
      </w:r>
      <w:r>
        <w:rPr>
          <w:rFonts w:hint="eastAsia" w:ascii="宋体" w:hAnsi="宋体" w:cs="宋体"/>
          <w:color w:val="auto"/>
          <w:szCs w:val="21"/>
          <w:lang w:val="en-US" w:eastAsia="zh-CN"/>
        </w:rPr>
        <w:t>.</w:t>
      </w:r>
      <w:r>
        <w:rPr>
          <w:rFonts w:hint="eastAsia" w:ascii="宋体" w:hAnsi="宋体" w:cs="宋体"/>
          <w:color w:val="auto"/>
          <w:szCs w:val="21"/>
        </w:rPr>
        <w:t>输出信号： 一路电流一路数字一路继电器</w:t>
      </w:r>
    </w:p>
    <w:p w14:paraId="388F10F2">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17</w:t>
      </w:r>
      <w:r>
        <w:rPr>
          <w:rFonts w:hint="eastAsia" w:ascii="宋体" w:hAnsi="宋体" w:cs="宋体"/>
          <w:color w:val="auto"/>
          <w:szCs w:val="21"/>
          <w:lang w:val="en-US" w:eastAsia="zh-CN"/>
        </w:rPr>
        <w:t>.</w:t>
      </w:r>
      <w:r>
        <w:rPr>
          <w:rFonts w:hint="eastAsia" w:ascii="宋体" w:hAnsi="宋体" w:cs="宋体"/>
          <w:color w:val="auto"/>
          <w:szCs w:val="21"/>
        </w:rPr>
        <w:t>供电电源 220VAC 防护等级 IP67</w:t>
      </w:r>
    </w:p>
    <w:p w14:paraId="21FDD4BA">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18</w:t>
      </w:r>
      <w:r>
        <w:rPr>
          <w:rFonts w:hint="eastAsia" w:ascii="宋体" w:hAnsi="宋体" w:cs="宋体"/>
          <w:color w:val="auto"/>
          <w:szCs w:val="21"/>
          <w:lang w:val="en-US" w:eastAsia="zh-CN"/>
        </w:rPr>
        <w:t>.</w:t>
      </w:r>
      <w:r>
        <w:rPr>
          <w:rFonts w:hint="eastAsia" w:ascii="宋体" w:hAnsi="宋体" w:cs="宋体"/>
          <w:color w:val="auto"/>
          <w:szCs w:val="21"/>
        </w:rPr>
        <w:t>其他 出场标定 实流标定，并提供全套标定记录</w:t>
      </w:r>
    </w:p>
    <w:p w14:paraId="5A3AC5C4">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19</w:t>
      </w:r>
      <w:r>
        <w:rPr>
          <w:rFonts w:hint="eastAsia" w:ascii="宋体" w:hAnsi="宋体" w:cs="宋体"/>
          <w:color w:val="auto"/>
          <w:szCs w:val="21"/>
          <w:lang w:val="en-US" w:eastAsia="zh-CN"/>
        </w:rPr>
        <w:t>.</w:t>
      </w:r>
      <w:r>
        <w:rPr>
          <w:rFonts w:hint="eastAsia" w:ascii="宋体" w:hAnsi="宋体" w:cs="宋体"/>
          <w:color w:val="auto"/>
          <w:szCs w:val="21"/>
        </w:rPr>
        <w:t>传感器组件： 全套安装法兰(管道用)、垫片和附件</w:t>
      </w:r>
    </w:p>
    <w:p w14:paraId="2401A426">
      <w:pPr>
        <w:pStyle w:val="11"/>
        <w:spacing w:line="500" w:lineRule="exact"/>
        <w:ind w:left="420" w:leftChars="200" w:firstLine="422" w:firstLineChars="200"/>
        <w:rPr>
          <w:rFonts w:ascii="宋体" w:hAnsi="宋体" w:cs="宋体"/>
          <w:b/>
          <w:bCs/>
          <w:color w:val="auto"/>
          <w:szCs w:val="21"/>
        </w:rPr>
      </w:pPr>
      <w:r>
        <w:rPr>
          <w:rFonts w:hint="eastAsia" w:ascii="宋体" w:hAnsi="宋体" w:cs="宋体"/>
          <w:b/>
          <w:bCs/>
          <w:color w:val="auto"/>
          <w:szCs w:val="21"/>
        </w:rPr>
        <w:t>推荐品牌：</w:t>
      </w:r>
      <w:bookmarkStart w:id="741" w:name="OLE_LINK23"/>
      <w:r>
        <w:rPr>
          <w:rFonts w:hint="eastAsia" w:ascii="宋体" w:hAnsi="宋体" w:cs="宋体"/>
          <w:b/>
          <w:bCs/>
          <w:color w:val="auto"/>
          <w:szCs w:val="21"/>
        </w:rPr>
        <w:t>西门子、ABB、E+H</w:t>
      </w:r>
      <w:bookmarkEnd w:id="741"/>
      <w:r>
        <w:rPr>
          <w:rFonts w:hint="eastAsia" w:ascii="宋体" w:hAnsi="宋体" w:cs="宋体"/>
          <w:b/>
          <w:bCs/>
          <w:color w:val="auto"/>
          <w:szCs w:val="21"/>
        </w:rPr>
        <w:t>等</w:t>
      </w:r>
    </w:p>
    <w:p w14:paraId="10906408">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（六） 脉冲阻尼器</w:t>
      </w:r>
    </w:p>
    <w:p w14:paraId="26FFCCC9">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采用PVC外壳，内衬FPM材质气囊。</w:t>
      </w:r>
    </w:p>
    <w:p w14:paraId="5443B4E1">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圆柱外形，螺纹连接。</w:t>
      </w:r>
    </w:p>
    <w:p w14:paraId="2AF3BF3B">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最大使用压力：1.0MPa</w:t>
      </w:r>
    </w:p>
    <w:p w14:paraId="61DE12B3">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有效容积：与计量泵输出的最大流量配套。</w:t>
      </w:r>
    </w:p>
    <w:p w14:paraId="4BFD48F6">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经均流器阻尼平滑后，可实现5%</w:t>
      </w:r>
      <w:r>
        <w:rPr>
          <w:rFonts w:hint="eastAsia" w:ascii="宋体" w:hAnsi="宋体" w:eastAsia="宋体" w:cs="宋体"/>
          <w:color w:val="auto"/>
          <w:sz w:val="21"/>
          <w:szCs w:val="21"/>
          <w:lang w:eastAsia="zh-CN"/>
        </w:rPr>
        <w:t>～</w:t>
      </w:r>
      <w:r>
        <w:rPr>
          <w:rFonts w:hint="eastAsia" w:ascii="宋体" w:hAnsi="宋体" w:cs="宋体"/>
          <w:color w:val="auto"/>
          <w:szCs w:val="21"/>
        </w:rPr>
        <w:t>10%的阻尼缓冲。</w:t>
      </w:r>
    </w:p>
    <w:p w14:paraId="29C8EE28">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（七） 隔膜压力表</w:t>
      </w:r>
    </w:p>
    <w:p w14:paraId="4CCDF26F">
      <w:pPr>
        <w:pStyle w:val="11"/>
        <w:spacing w:line="500" w:lineRule="exact"/>
        <w:ind w:left="420" w:leftChars="200" w:firstLine="421"/>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压力范围0-1.0MPa,适用于测量腐蚀性液体。</w:t>
      </w:r>
    </w:p>
    <w:p w14:paraId="2B249F30">
      <w:pPr>
        <w:pStyle w:val="11"/>
        <w:spacing w:line="500" w:lineRule="exact"/>
        <w:ind w:left="420" w:leftChars="200" w:firstLine="421"/>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工型法兰连接，精确度士2.5%。</w:t>
      </w:r>
    </w:p>
    <w:p w14:paraId="4A56F4C6">
      <w:pPr>
        <w:pStyle w:val="11"/>
        <w:spacing w:line="500" w:lineRule="exact"/>
        <w:ind w:left="420" w:leftChars="200" w:firstLine="421"/>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密封垫材料采用氟塑料。</w:t>
      </w:r>
    </w:p>
    <w:p w14:paraId="5A1C614B">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（八）</w:t>
      </w:r>
      <w:r>
        <w:rPr>
          <w:rFonts w:hint="eastAsia" w:ascii="宋体" w:hAnsi="宋体" w:cs="宋体"/>
          <w:color w:val="auto"/>
          <w:sz w:val="21"/>
          <w:szCs w:val="21"/>
          <w:u w:val="wave"/>
        </w:rPr>
        <w:t>一体化撬装支架</w:t>
      </w:r>
    </w:p>
    <w:p w14:paraId="23972160">
      <w:pPr>
        <w:pStyle w:val="11"/>
        <w:numPr>
          <w:ilvl w:val="-1"/>
          <w:numId w:val="0"/>
        </w:numPr>
        <w:spacing w:line="500" w:lineRule="exact"/>
        <w:ind w:left="420" w:leftChars="200" w:firstLine="420" w:firstLineChars="2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长×宽×高=1600×600×1600mm</w:t>
      </w:r>
    </w:p>
    <w:p w14:paraId="46EE970C">
      <w:pPr>
        <w:pStyle w:val="11"/>
        <w:numPr>
          <w:ilvl w:val="-1"/>
          <w:numId w:val="0"/>
        </w:numPr>
        <w:spacing w:line="500" w:lineRule="exact"/>
        <w:ind w:left="420" w:leftChars="200"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铝合金材质，用于固定安装数字计量泵、流量计、脉冲阻尼器、背压阀、安全阀、球阀设备和相应管路管件等。</w:t>
      </w:r>
    </w:p>
    <w:p w14:paraId="51618BC7">
      <w:pPr>
        <w:pStyle w:val="11"/>
        <w:numPr>
          <w:ilvl w:val="-1"/>
          <w:numId w:val="0"/>
        </w:numPr>
        <w:spacing w:line="500" w:lineRule="exact"/>
        <w:ind w:left="420" w:leftChars="200"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有良好的耐腐蚀性能，安装稳固。</w:t>
      </w:r>
    </w:p>
    <w:p w14:paraId="531354FB">
      <w:pPr>
        <w:pStyle w:val="11"/>
        <w:numPr>
          <w:ilvl w:val="-1"/>
          <w:numId w:val="0"/>
        </w:numPr>
        <w:spacing w:line="500" w:lineRule="exact"/>
        <w:ind w:left="420" w:leftChars="200" w:firstLine="420" w:firstLineChars="200"/>
        <w:rPr>
          <w:rFonts w:ascii="宋体" w:hAnsi="宋体" w:cs="宋体"/>
          <w:b/>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预留备用泵安装位置。</w:t>
      </w:r>
    </w:p>
    <w:p w14:paraId="11F37D76">
      <w:pPr>
        <w:pStyle w:val="11"/>
        <w:numPr>
          <w:ilvl w:val="255"/>
          <w:numId w:val="0"/>
        </w:numPr>
        <w:spacing w:line="500" w:lineRule="exact"/>
        <w:ind w:left="420" w:leftChars="200" w:firstLine="422" w:firstLineChars="200"/>
        <w:rPr>
          <w:rFonts w:ascii="宋体" w:hAnsi="宋体" w:cs="宋体"/>
          <w:b/>
          <w:color w:val="auto"/>
          <w:szCs w:val="21"/>
        </w:rPr>
      </w:pPr>
      <w:r>
        <w:rPr>
          <w:rFonts w:hint="eastAsia" w:ascii="宋体" w:hAnsi="宋体" w:cs="宋体"/>
          <w:b/>
          <w:bCs/>
          <w:color w:val="auto"/>
          <w:szCs w:val="21"/>
        </w:rPr>
        <w:t>一体化撬装支架推荐品牌：上海轩浦、固莱环保、净化控股等</w:t>
      </w:r>
    </w:p>
    <w:p w14:paraId="0D8FDC10">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（九）综合加药间主站PLC1</w:t>
      </w:r>
    </w:p>
    <w:p w14:paraId="7C422AE1">
      <w:pPr>
        <w:numPr>
          <w:ilvl w:val="-1"/>
          <w:numId w:val="0"/>
        </w:numPr>
        <w:spacing w:line="500" w:lineRule="exact"/>
        <w:ind w:left="420" w:leftChars="200" w:firstLine="420" w:firstLineChars="200"/>
        <w:rPr>
          <w:rFonts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该站负责对二厂碱铝投加系统、次氯酸钠系统进行集成，需要对现状PLC柜控制程序修改或完善。实现对碱铝计量泵、次氯酸钠计量泵、流量计、进出水/进出液阀、等设备进行运行监控及故障报警。</w:t>
      </w:r>
    </w:p>
    <w:p w14:paraId="700EA65A">
      <w:pPr>
        <w:numPr>
          <w:ilvl w:val="-1"/>
          <w:numId w:val="0"/>
        </w:numPr>
        <w:spacing w:line="500" w:lineRule="exact"/>
        <w:ind w:left="420" w:leftChars="200" w:firstLine="420" w:firstLineChars="200"/>
        <w:rPr>
          <w:rFonts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操作总终端上动态显示工艺检测参数和设备工作状态并实时向中央控制室传送数据。</w:t>
      </w:r>
    </w:p>
    <w:p w14:paraId="69F83642">
      <w:pPr>
        <w:numPr>
          <w:ilvl w:val="-1"/>
          <w:numId w:val="0"/>
        </w:numPr>
        <w:spacing w:line="500" w:lineRule="exact"/>
        <w:ind w:left="420" w:leftChars="200" w:firstLine="420" w:firstLineChars="200"/>
        <w:rPr>
          <w:rFonts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接收中央控制室下达的控制指令、工艺参数的设定，判断其正确性、可行性后加以执行。</w:t>
      </w:r>
    </w:p>
    <w:p w14:paraId="200D15EF">
      <w:pPr>
        <w:pStyle w:val="6"/>
        <w:spacing w:before="93" w:beforeLines="30" w:after="93" w:afterLines="30" w:line="500" w:lineRule="exact"/>
        <w:jc w:val="left"/>
        <w:rPr>
          <w:rFonts w:ascii="宋体" w:hAnsi="宋体" w:cs="宋体"/>
          <w:color w:val="auto"/>
          <w:sz w:val="21"/>
          <w:szCs w:val="21"/>
        </w:rPr>
      </w:pPr>
      <w:r>
        <w:rPr>
          <w:rFonts w:hint="eastAsia" w:ascii="宋体" w:hAnsi="宋体" w:cs="宋体"/>
          <w:color w:val="auto"/>
          <w:sz w:val="21"/>
          <w:szCs w:val="21"/>
        </w:rPr>
        <w:t>4.2.2 西涧湖水厂二车间沉淀池进水管改造</w:t>
      </w:r>
    </w:p>
    <w:p w14:paraId="356BA1F0">
      <w:pPr>
        <w:pStyle w:val="22"/>
        <w:spacing w:line="500" w:lineRule="exact"/>
        <w:rPr>
          <w:rFonts w:ascii="宋体" w:hAnsi="宋体" w:cs="宋体"/>
          <w:color w:val="auto"/>
          <w:szCs w:val="21"/>
        </w:rPr>
      </w:pPr>
      <w:r>
        <w:rPr>
          <w:rFonts w:hint="eastAsia" w:ascii="宋体" w:hAnsi="宋体" w:cs="宋体"/>
          <w:bCs/>
          <w:color w:val="auto"/>
          <w:szCs w:val="21"/>
        </w:rPr>
        <w:t xml:space="preserve"> </w:t>
      </w:r>
      <w:bookmarkStart w:id="742" w:name="OLE_LINK29"/>
      <w:r>
        <w:rPr>
          <w:rFonts w:hint="eastAsia" w:ascii="宋体" w:hAnsi="宋体" w:cs="宋体"/>
          <w:color w:val="auto"/>
          <w:szCs w:val="21"/>
        </w:rPr>
        <w:t>主要设备清单如下：</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
        <w:gridCol w:w="2068"/>
        <w:gridCol w:w="2376"/>
        <w:gridCol w:w="823"/>
        <w:gridCol w:w="870"/>
        <w:gridCol w:w="1778"/>
        <w:gridCol w:w="769"/>
      </w:tblGrid>
      <w:tr w14:paraId="54285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026" w:type="dxa"/>
            <w:tcBorders>
              <w:top w:val="single" w:color="000000" w:sz="4" w:space="0"/>
              <w:left w:val="single" w:color="000000" w:sz="4" w:space="0"/>
              <w:bottom w:val="single" w:color="000000" w:sz="4" w:space="0"/>
              <w:right w:val="single" w:color="000000" w:sz="4" w:space="0"/>
            </w:tcBorders>
            <w:vAlign w:val="center"/>
          </w:tcPr>
          <w:p w14:paraId="7B69424A">
            <w:pPr>
              <w:pStyle w:val="45"/>
              <w:spacing w:line="500" w:lineRule="exact"/>
              <w:jc w:val="center"/>
              <w:rPr>
                <w:rFonts w:ascii="宋体" w:hAnsi="宋体" w:eastAsia="宋体" w:cs="宋体"/>
                <w:color w:val="auto"/>
              </w:rPr>
            </w:pPr>
            <w:r>
              <w:rPr>
                <w:rFonts w:hint="eastAsia" w:ascii="宋体" w:hAnsi="宋体" w:eastAsia="宋体" w:cs="宋体"/>
                <w:color w:val="auto"/>
              </w:rPr>
              <w:t>序号</w:t>
            </w:r>
          </w:p>
        </w:tc>
        <w:tc>
          <w:tcPr>
            <w:tcW w:w="2166" w:type="dxa"/>
            <w:tcBorders>
              <w:top w:val="single" w:color="000000" w:sz="4" w:space="0"/>
              <w:left w:val="single" w:color="000000" w:sz="4" w:space="0"/>
              <w:bottom w:val="single" w:color="000000" w:sz="4" w:space="0"/>
              <w:right w:val="single" w:color="000000" w:sz="4" w:space="0"/>
            </w:tcBorders>
            <w:vAlign w:val="center"/>
          </w:tcPr>
          <w:p w14:paraId="49C246A8">
            <w:pPr>
              <w:pStyle w:val="45"/>
              <w:spacing w:line="500" w:lineRule="exact"/>
              <w:jc w:val="center"/>
              <w:rPr>
                <w:rFonts w:ascii="宋体" w:hAnsi="宋体" w:eastAsia="宋体" w:cs="宋体"/>
                <w:color w:val="auto"/>
              </w:rPr>
            </w:pPr>
            <w:r>
              <w:rPr>
                <w:rFonts w:hint="eastAsia" w:ascii="宋体" w:hAnsi="宋体" w:eastAsia="宋体" w:cs="宋体"/>
                <w:color w:val="auto"/>
              </w:rPr>
              <w:t>名称</w:t>
            </w:r>
          </w:p>
        </w:tc>
        <w:tc>
          <w:tcPr>
            <w:tcW w:w="2473" w:type="dxa"/>
            <w:tcBorders>
              <w:top w:val="single" w:color="000000" w:sz="4" w:space="0"/>
              <w:left w:val="single" w:color="000000" w:sz="4" w:space="0"/>
              <w:bottom w:val="single" w:color="000000" w:sz="4" w:space="0"/>
              <w:right w:val="single" w:color="000000" w:sz="4" w:space="0"/>
            </w:tcBorders>
            <w:vAlign w:val="center"/>
          </w:tcPr>
          <w:p w14:paraId="0EFE7591">
            <w:pPr>
              <w:pStyle w:val="45"/>
              <w:spacing w:line="500" w:lineRule="exact"/>
              <w:jc w:val="center"/>
              <w:rPr>
                <w:rFonts w:ascii="宋体" w:hAnsi="宋体" w:eastAsia="宋体" w:cs="宋体"/>
                <w:color w:val="auto"/>
              </w:rPr>
            </w:pPr>
            <w:r>
              <w:rPr>
                <w:rFonts w:hint="eastAsia" w:ascii="宋体" w:hAnsi="宋体" w:eastAsia="宋体" w:cs="宋体"/>
                <w:color w:val="auto"/>
              </w:rPr>
              <w:t>参数</w:t>
            </w:r>
          </w:p>
        </w:tc>
        <w:tc>
          <w:tcPr>
            <w:tcW w:w="847" w:type="dxa"/>
            <w:tcBorders>
              <w:top w:val="single" w:color="000000" w:sz="4" w:space="0"/>
              <w:left w:val="single" w:color="000000" w:sz="4" w:space="0"/>
              <w:bottom w:val="single" w:color="000000" w:sz="4" w:space="0"/>
              <w:right w:val="single" w:color="000000" w:sz="4" w:space="0"/>
            </w:tcBorders>
            <w:vAlign w:val="center"/>
          </w:tcPr>
          <w:p w14:paraId="03A99AE3">
            <w:pPr>
              <w:pStyle w:val="45"/>
              <w:spacing w:line="500" w:lineRule="exact"/>
              <w:jc w:val="center"/>
              <w:rPr>
                <w:rFonts w:ascii="宋体" w:hAnsi="宋体" w:eastAsia="宋体" w:cs="宋体"/>
                <w:color w:val="auto"/>
              </w:rPr>
            </w:pPr>
            <w:r>
              <w:rPr>
                <w:rFonts w:hint="eastAsia" w:ascii="宋体" w:hAnsi="宋体" w:eastAsia="宋体" w:cs="宋体"/>
                <w:color w:val="auto"/>
              </w:rPr>
              <w:t>单位</w:t>
            </w:r>
          </w:p>
        </w:tc>
        <w:tc>
          <w:tcPr>
            <w:tcW w:w="896" w:type="dxa"/>
            <w:tcBorders>
              <w:top w:val="single" w:color="000000" w:sz="4" w:space="0"/>
              <w:left w:val="single" w:color="000000" w:sz="4" w:space="0"/>
              <w:bottom w:val="single" w:color="000000" w:sz="4" w:space="0"/>
              <w:right w:val="single" w:color="000000" w:sz="4" w:space="0"/>
            </w:tcBorders>
            <w:vAlign w:val="center"/>
          </w:tcPr>
          <w:p w14:paraId="50104AB3">
            <w:pPr>
              <w:pStyle w:val="45"/>
              <w:spacing w:line="500" w:lineRule="exact"/>
              <w:jc w:val="center"/>
              <w:rPr>
                <w:rFonts w:ascii="宋体" w:hAnsi="宋体" w:eastAsia="宋体" w:cs="宋体"/>
                <w:color w:val="auto"/>
              </w:rPr>
            </w:pPr>
            <w:r>
              <w:rPr>
                <w:rFonts w:hint="eastAsia" w:ascii="宋体" w:hAnsi="宋体" w:eastAsia="宋体" w:cs="宋体"/>
                <w:color w:val="auto"/>
              </w:rPr>
              <w:t>数量</w:t>
            </w:r>
          </w:p>
        </w:tc>
        <w:tc>
          <w:tcPr>
            <w:tcW w:w="1858" w:type="dxa"/>
            <w:tcBorders>
              <w:top w:val="single" w:color="000000" w:sz="4" w:space="0"/>
              <w:left w:val="single" w:color="000000" w:sz="4" w:space="0"/>
              <w:bottom w:val="single" w:color="000000" w:sz="4" w:space="0"/>
              <w:right w:val="single" w:color="000000" w:sz="4" w:space="0"/>
            </w:tcBorders>
            <w:vAlign w:val="center"/>
          </w:tcPr>
          <w:p w14:paraId="534B25D4">
            <w:pPr>
              <w:pStyle w:val="45"/>
              <w:spacing w:line="500" w:lineRule="exact"/>
              <w:jc w:val="center"/>
              <w:rPr>
                <w:rFonts w:ascii="宋体" w:hAnsi="宋体" w:eastAsia="宋体" w:cs="宋体"/>
                <w:color w:val="auto"/>
              </w:rPr>
            </w:pPr>
            <w:r>
              <w:rPr>
                <w:rFonts w:hint="eastAsia" w:ascii="宋体" w:hAnsi="宋体" w:eastAsia="宋体" w:cs="宋体"/>
                <w:color w:val="auto"/>
              </w:rPr>
              <w:t>安装点</w:t>
            </w:r>
          </w:p>
        </w:tc>
        <w:tc>
          <w:tcPr>
            <w:tcW w:w="789" w:type="dxa"/>
            <w:tcBorders>
              <w:top w:val="single" w:color="000000" w:sz="4" w:space="0"/>
              <w:left w:val="single" w:color="000000" w:sz="4" w:space="0"/>
              <w:bottom w:val="single" w:color="000000" w:sz="4" w:space="0"/>
              <w:right w:val="single" w:color="000000" w:sz="4" w:space="0"/>
            </w:tcBorders>
            <w:vAlign w:val="center"/>
          </w:tcPr>
          <w:p w14:paraId="41E6C8DA">
            <w:pPr>
              <w:pStyle w:val="45"/>
              <w:spacing w:line="500" w:lineRule="exact"/>
              <w:jc w:val="center"/>
              <w:rPr>
                <w:rFonts w:ascii="宋体" w:hAnsi="宋体" w:eastAsia="宋体" w:cs="宋体"/>
                <w:color w:val="auto"/>
              </w:rPr>
            </w:pPr>
            <w:r>
              <w:rPr>
                <w:rFonts w:hint="eastAsia" w:ascii="宋体" w:hAnsi="宋体" w:eastAsia="宋体" w:cs="宋体"/>
                <w:color w:val="auto"/>
              </w:rPr>
              <w:t>备注</w:t>
            </w:r>
          </w:p>
        </w:tc>
      </w:tr>
      <w:tr w14:paraId="2DEFD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026" w:type="dxa"/>
            <w:tcBorders>
              <w:top w:val="single" w:color="000000" w:sz="4" w:space="0"/>
              <w:left w:val="single" w:color="000000" w:sz="4" w:space="0"/>
              <w:bottom w:val="single" w:color="000000" w:sz="4" w:space="0"/>
              <w:right w:val="single" w:color="000000" w:sz="4" w:space="0"/>
            </w:tcBorders>
            <w:vAlign w:val="center"/>
          </w:tcPr>
          <w:p w14:paraId="2B7B2339">
            <w:pPr>
              <w:pStyle w:val="45"/>
              <w:spacing w:line="500" w:lineRule="exact"/>
              <w:jc w:val="center"/>
              <w:rPr>
                <w:rFonts w:ascii="宋体" w:hAnsi="宋体" w:eastAsia="宋体" w:cs="宋体"/>
                <w:color w:val="auto"/>
              </w:rPr>
            </w:pPr>
            <w:r>
              <w:rPr>
                <w:rFonts w:hint="eastAsia" w:ascii="宋体" w:hAnsi="宋体" w:eastAsia="宋体" w:cs="宋体"/>
                <w:color w:val="auto"/>
              </w:rPr>
              <w:t>1</w:t>
            </w:r>
          </w:p>
        </w:tc>
        <w:tc>
          <w:tcPr>
            <w:tcW w:w="2166" w:type="dxa"/>
            <w:tcBorders>
              <w:top w:val="single" w:color="000000" w:sz="4" w:space="0"/>
              <w:left w:val="single" w:color="000000" w:sz="4" w:space="0"/>
              <w:bottom w:val="single" w:color="000000" w:sz="4" w:space="0"/>
              <w:right w:val="single" w:color="000000" w:sz="4" w:space="0"/>
            </w:tcBorders>
            <w:vAlign w:val="center"/>
          </w:tcPr>
          <w:p w14:paraId="39211901">
            <w:pPr>
              <w:pStyle w:val="45"/>
              <w:spacing w:line="500" w:lineRule="exact"/>
              <w:jc w:val="center"/>
              <w:rPr>
                <w:rFonts w:ascii="宋体" w:hAnsi="宋体" w:eastAsia="宋体" w:cs="宋体"/>
                <w:color w:val="auto"/>
              </w:rPr>
            </w:pPr>
            <w:r>
              <w:rPr>
                <w:rFonts w:hint="eastAsia" w:ascii="宋体" w:hAnsi="宋体" w:eastAsia="宋体" w:cs="宋体"/>
                <w:color w:val="auto"/>
              </w:rPr>
              <w:t>阀门电动执行机构</w:t>
            </w:r>
          </w:p>
        </w:tc>
        <w:tc>
          <w:tcPr>
            <w:tcW w:w="2473" w:type="dxa"/>
            <w:tcBorders>
              <w:top w:val="single" w:color="000000" w:sz="4" w:space="0"/>
              <w:left w:val="single" w:color="000000" w:sz="4" w:space="0"/>
              <w:bottom w:val="single" w:color="000000" w:sz="4" w:space="0"/>
              <w:right w:val="single" w:color="000000" w:sz="4" w:space="0"/>
            </w:tcBorders>
            <w:vAlign w:val="center"/>
          </w:tcPr>
          <w:p w14:paraId="677B7457">
            <w:pPr>
              <w:pStyle w:val="45"/>
              <w:spacing w:line="500" w:lineRule="exact"/>
              <w:jc w:val="center"/>
              <w:rPr>
                <w:rFonts w:ascii="宋体" w:hAnsi="宋体" w:eastAsia="宋体" w:cs="宋体"/>
                <w:color w:val="auto"/>
              </w:rPr>
            </w:pPr>
            <w:r>
              <w:rPr>
                <w:rFonts w:hint="eastAsia" w:ascii="宋体" w:hAnsi="宋体" w:eastAsia="宋体" w:cs="宋体"/>
                <w:color w:val="auto"/>
              </w:rPr>
              <w:t xml:space="preserve">   DN900 可调节型</w:t>
            </w:r>
          </w:p>
        </w:tc>
        <w:tc>
          <w:tcPr>
            <w:tcW w:w="847" w:type="dxa"/>
            <w:tcBorders>
              <w:top w:val="single" w:color="000000" w:sz="4" w:space="0"/>
              <w:left w:val="single" w:color="000000" w:sz="4" w:space="0"/>
              <w:bottom w:val="single" w:color="000000" w:sz="4" w:space="0"/>
              <w:right w:val="single" w:color="000000" w:sz="4" w:space="0"/>
            </w:tcBorders>
            <w:vAlign w:val="center"/>
          </w:tcPr>
          <w:p w14:paraId="31A920E7">
            <w:pPr>
              <w:pStyle w:val="45"/>
              <w:spacing w:line="500" w:lineRule="exact"/>
              <w:jc w:val="center"/>
              <w:rPr>
                <w:rFonts w:ascii="宋体" w:hAnsi="宋体" w:eastAsia="宋体" w:cs="宋体"/>
                <w:color w:val="auto"/>
              </w:rPr>
            </w:pPr>
            <w:r>
              <w:rPr>
                <w:rFonts w:hint="eastAsia" w:ascii="宋体" w:hAnsi="宋体" w:eastAsia="宋体" w:cs="宋体"/>
                <w:color w:val="auto"/>
              </w:rPr>
              <w:t>套</w:t>
            </w:r>
          </w:p>
        </w:tc>
        <w:tc>
          <w:tcPr>
            <w:tcW w:w="896" w:type="dxa"/>
            <w:tcBorders>
              <w:top w:val="single" w:color="000000" w:sz="4" w:space="0"/>
              <w:left w:val="single" w:color="000000" w:sz="4" w:space="0"/>
              <w:bottom w:val="single" w:color="000000" w:sz="4" w:space="0"/>
              <w:right w:val="single" w:color="000000" w:sz="4" w:space="0"/>
            </w:tcBorders>
            <w:vAlign w:val="center"/>
          </w:tcPr>
          <w:p w14:paraId="61D6DB53">
            <w:pPr>
              <w:pStyle w:val="45"/>
              <w:spacing w:line="500" w:lineRule="exact"/>
              <w:jc w:val="center"/>
              <w:rPr>
                <w:rFonts w:ascii="宋体" w:hAnsi="宋体" w:eastAsia="宋体" w:cs="宋体"/>
                <w:color w:val="auto"/>
              </w:rPr>
            </w:pPr>
            <w:r>
              <w:rPr>
                <w:rFonts w:hint="eastAsia" w:ascii="宋体" w:hAnsi="宋体" w:eastAsia="宋体" w:cs="宋体"/>
                <w:color w:val="auto"/>
              </w:rPr>
              <w:t>2</w:t>
            </w:r>
          </w:p>
        </w:tc>
        <w:tc>
          <w:tcPr>
            <w:tcW w:w="1858" w:type="dxa"/>
            <w:tcBorders>
              <w:top w:val="single" w:color="000000" w:sz="4" w:space="0"/>
              <w:left w:val="single" w:color="000000" w:sz="4" w:space="0"/>
              <w:bottom w:val="single" w:color="000000" w:sz="4" w:space="0"/>
              <w:right w:val="single" w:color="000000" w:sz="4" w:space="0"/>
            </w:tcBorders>
            <w:vAlign w:val="center"/>
          </w:tcPr>
          <w:p w14:paraId="4DB9EFA2">
            <w:pPr>
              <w:pStyle w:val="45"/>
              <w:spacing w:line="500" w:lineRule="exact"/>
              <w:jc w:val="center"/>
              <w:rPr>
                <w:rFonts w:ascii="宋体" w:hAnsi="宋体" w:eastAsia="宋体" w:cs="宋体"/>
                <w:color w:val="auto"/>
              </w:rPr>
            </w:pPr>
            <w:r>
              <w:rPr>
                <w:rFonts w:hint="eastAsia" w:ascii="宋体" w:hAnsi="宋体" w:eastAsia="宋体" w:cs="宋体"/>
                <w:color w:val="auto"/>
              </w:rPr>
              <w:t xml:space="preserve">西涧湖二车间 </w:t>
            </w:r>
          </w:p>
        </w:tc>
        <w:tc>
          <w:tcPr>
            <w:tcW w:w="789" w:type="dxa"/>
            <w:tcBorders>
              <w:top w:val="single" w:color="000000" w:sz="4" w:space="0"/>
              <w:left w:val="single" w:color="000000" w:sz="4" w:space="0"/>
              <w:bottom w:val="single" w:color="000000" w:sz="4" w:space="0"/>
              <w:right w:val="single" w:color="000000" w:sz="4" w:space="0"/>
            </w:tcBorders>
            <w:vAlign w:val="center"/>
          </w:tcPr>
          <w:p w14:paraId="7AF90342">
            <w:pPr>
              <w:pStyle w:val="45"/>
              <w:spacing w:line="500" w:lineRule="exact"/>
              <w:jc w:val="center"/>
              <w:rPr>
                <w:rFonts w:ascii="宋体" w:hAnsi="宋体" w:eastAsia="宋体" w:cs="宋体"/>
                <w:color w:val="auto"/>
              </w:rPr>
            </w:pPr>
          </w:p>
        </w:tc>
      </w:tr>
      <w:bookmarkEnd w:id="742"/>
    </w:tbl>
    <w:p w14:paraId="06519A45">
      <w:pPr>
        <w:pStyle w:val="6"/>
        <w:spacing w:before="0" w:after="0" w:line="500" w:lineRule="exact"/>
        <w:ind w:left="420" w:leftChars="200"/>
        <w:jc w:val="left"/>
        <w:rPr>
          <w:rFonts w:ascii="宋体" w:hAnsi="宋体" w:cs="宋体"/>
          <w:color w:val="auto"/>
          <w:sz w:val="21"/>
          <w:szCs w:val="21"/>
          <w:lang w:val="zh-CN"/>
        </w:rPr>
      </w:pPr>
      <w:r>
        <w:rPr>
          <w:rFonts w:hint="eastAsia" w:ascii="宋体" w:hAnsi="宋体" w:cs="宋体"/>
          <w:color w:val="auto"/>
          <w:sz w:val="21"/>
          <w:szCs w:val="21"/>
        </w:rPr>
        <w:t>（一）电动执行器</w:t>
      </w:r>
    </w:p>
    <w:p w14:paraId="13503E3B">
      <w:pPr>
        <w:spacing w:line="500" w:lineRule="exact"/>
        <w:ind w:left="420" w:leftChars="200" w:firstLine="525" w:firstLineChars="250"/>
        <w:jc w:val="left"/>
        <w:rPr>
          <w:rFonts w:ascii="宋体" w:hAnsi="宋体" w:cs="宋体"/>
          <w:color w:val="auto"/>
          <w:szCs w:val="21"/>
          <w:lang w:val="zh-CN"/>
        </w:rPr>
      </w:pPr>
      <w:r>
        <w:rPr>
          <w:rFonts w:hint="eastAsia" w:ascii="宋体" w:hAnsi="宋体" w:cs="宋体"/>
          <w:color w:val="auto"/>
          <w:szCs w:val="21"/>
          <w:lang w:val="en-US" w:eastAsia="zh-CN"/>
        </w:rPr>
        <w:t>1.</w:t>
      </w:r>
      <w:r>
        <w:rPr>
          <w:rFonts w:hint="eastAsia" w:ascii="宋体" w:hAnsi="宋体" w:cs="宋体"/>
          <w:color w:val="auto"/>
          <w:szCs w:val="21"/>
          <w:lang w:val="zh-CN"/>
        </w:rPr>
        <w:t>基本要求</w:t>
      </w:r>
    </w:p>
    <w:p w14:paraId="414C8C77">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本工程所需电动执行机构均采用智能型电动执行机构，电动执行机构配减速箱，减速箱不允许和电动执行器做成集成一体式形式，即必须是独立分离形式组装为阀门电动执行器控制阀门，电动执行机构与减速箱必须为同一个品牌。</w:t>
      </w:r>
    </w:p>
    <w:p w14:paraId="23B828D1">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所有电动执行器需配套线缆密封接头用于接电缆后起到密封作用，密封接头接线后应达到IP68标准。</w:t>
      </w:r>
    </w:p>
    <w:p w14:paraId="1C8B0FF9">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齿轮箱应提供IP68的检测报告;必须具备故障保护功能： 当施加的力矩超过执行机构堵转力矩时， 齿轮箱内部的部件会失效（像保险丝），这样齿轮箱就不会将此过大力矩输出到外部的壳体部件来导致壳体破裂，避免执行机构掉下，造成操作人员伤亡或对安装工程造成损坏。</w:t>
      </w:r>
    </w:p>
    <w:p w14:paraId="4986FB3F">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电机：伺服式可逆电机，F 级绝缘。平均负荷不能小于阀门最大驱动力的50%。电机的工作制：间歇启动，额定持续工作时间不应低于15min。</w:t>
      </w:r>
    </w:p>
    <w:p w14:paraId="0036C962">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电机应动态平衡。</w:t>
      </w:r>
    </w:p>
    <w:p w14:paraId="6D9FFFBD">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电源：380V、AC、50Hz。</w:t>
      </w:r>
    </w:p>
    <w:p w14:paraId="46B02794">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内部电源：24V DC</w:t>
      </w:r>
    </w:p>
    <w:p w14:paraId="2555F623">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电动执行机构具有完全非侵入式设计, 可通过具有红外功能的手操器进行设定，应结构简单，性能可靠，便于调试、维护和维修。具有锤击功能、自锁式的输出，即使在手动模式下仍保持自锁。电动头多腔独立密封。不需再另外配备控制箱即可进行就地控制。</w:t>
      </w:r>
    </w:p>
    <w:p w14:paraId="2D728846">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电源电压降至负值极限时执行器能够正常启动，并保证其行程变化不大于全行程的 1.5%，并按正常速度运转。电压误差在±10%，频率误差在±5Hz下，运行性能应得到保证。</w:t>
      </w:r>
    </w:p>
    <w:p w14:paraId="589F97A8">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电动阀门驱动机构上的电机的输出扭矩要大于额定扭矩的1.5倍以上，所有电动操作机构应装有扭距限制器。</w:t>
      </w:r>
    </w:p>
    <w:p w14:paraId="6F7E9901">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电动执行器配合减速箱最终输出力矩值大于等于阀门所开关力矩值的1.5倍，电动执行器配套用减速箱防护等级为IP68。</w:t>
      </w:r>
    </w:p>
    <w:p w14:paraId="49927328">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安装：阀门与执行机构的连接必须灵活方便，执行机构应能安装在阀杆的水平或垂直方向。</w:t>
      </w:r>
    </w:p>
    <w:p w14:paraId="77B74BBB">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防护等级：必须达到IP68的防护等级要求，需提供第三方检测报</w:t>
      </w:r>
      <w:r>
        <w:rPr>
          <w:rFonts w:hint="eastAsia" w:ascii="宋体" w:hAnsi="宋体" w:cs="宋体"/>
          <w:b/>
          <w:bCs/>
          <w:color w:val="auto"/>
          <w:szCs w:val="21"/>
        </w:rPr>
        <w:t>告(设备进场前提供)</w:t>
      </w:r>
      <w:r>
        <w:rPr>
          <w:rFonts w:hint="eastAsia" w:ascii="宋体" w:hAnsi="宋体" w:cs="宋体"/>
          <w:color w:val="auto"/>
          <w:szCs w:val="21"/>
        </w:rPr>
        <w:t>。</w:t>
      </w:r>
    </w:p>
    <w:p w14:paraId="3081273C">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密封：应采用先进的双密封结构，保证即使在现场接线时，执行器内部不受外部环境影响。</w:t>
      </w:r>
    </w:p>
    <w:p w14:paraId="15F0E5C1">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外壳材质：电机及机械传动部分为优质铝合金LM20（ASTMA316）</w:t>
      </w:r>
    </w:p>
    <w:p w14:paraId="46DD7D11">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防腐：整体喷涂环氧聚氨酯，有效防腐防霉。</w:t>
      </w:r>
    </w:p>
    <w:p w14:paraId="3F05FCCA">
      <w:pPr>
        <w:spacing w:line="500" w:lineRule="exact"/>
        <w:ind w:left="420" w:leftChars="200" w:firstLine="525" w:firstLineChars="250"/>
        <w:jc w:val="left"/>
        <w:rPr>
          <w:rFonts w:ascii="宋体" w:hAnsi="宋体" w:cs="宋体"/>
          <w:color w:val="auto"/>
          <w:szCs w:val="21"/>
          <w:lang w:val="zh-CN"/>
        </w:rPr>
      </w:pPr>
      <w:r>
        <w:rPr>
          <w:rFonts w:hint="eastAsia" w:ascii="宋体" w:hAnsi="宋体" w:cs="宋体"/>
          <w:color w:val="auto"/>
          <w:szCs w:val="21"/>
          <w:lang w:val="en-US" w:eastAsia="zh-CN"/>
        </w:rPr>
        <w:t>2.</w:t>
      </w:r>
      <w:r>
        <w:rPr>
          <w:rFonts w:hint="eastAsia" w:ascii="宋体" w:hAnsi="宋体" w:cs="宋体"/>
          <w:color w:val="auto"/>
          <w:szCs w:val="21"/>
          <w:lang w:val="zh-CN"/>
        </w:rPr>
        <w:t>主体结构：</w:t>
      </w:r>
    </w:p>
    <w:p w14:paraId="39604D6E">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主要部件应包括，电动机、力矩限制机构/行程控制机构、位置指示机构、手-电动切换机构、手轮及电气控制单元部分等。</w:t>
      </w:r>
    </w:p>
    <w:p w14:paraId="3F4BFA0D">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（1）电动机</w:t>
      </w:r>
    </w:p>
    <w:p w14:paraId="2550F49C">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所有电动机应符合JB2195、IEC60034标准。所有电动机的绝缘应采用F级绝缘，按B级绝缘考核温升。电机具有高启动力矩低惯性。</w:t>
      </w:r>
    </w:p>
    <w:p w14:paraId="2C2D7248">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采用阀门专用三相鼠笼式异步电动机，额定持续工作时间不应低于15min。电动机为整体式，定子和转子不能分开。</w:t>
      </w:r>
    </w:p>
    <w:p w14:paraId="1EC367E2">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（2）力矩限制机构/行程控制机构</w:t>
      </w:r>
    </w:p>
    <w:p w14:paraId="2C61877A">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配置性能可靠全行程保护的力矩限制机构，接电容量为250VAC，1A。当安全力矩被超过时，力矩限制机构将切断电机电源。为了保护阀门不受损坏，安装在在阀门行程的终点的限位开关将切断电机电源。接电容量为250VAC，1A。在电机电源突然断电的情况下，应保持阀位不变。</w:t>
      </w:r>
    </w:p>
    <w:p w14:paraId="63B9AA25">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（3）电动执行机构的阀位测量及控制采用非接触式元件，能够准确测量阀位和控制阀门行程，不得采用模拟电位器，阀位显示为数字量连续指示，开度递增量为1%。</w:t>
      </w:r>
    </w:p>
    <w:p w14:paraId="70958387">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（4）手-电动切换机构</w:t>
      </w:r>
    </w:p>
    <w:p w14:paraId="5A49B88F">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电动执行机构应配有手/自动切换机构，该机构不得与电机输出轴直接相连，确保在低速安全的状态下进行切换；并配有离合装置，在电动操作时手轮不会随时转动。</w:t>
      </w:r>
    </w:p>
    <w:p w14:paraId="3095D894">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（5）手动驱动装置</w:t>
      </w:r>
    </w:p>
    <w:p w14:paraId="3D812C7D">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完全密闭的齿轮传动。手轮上应注明开启和关闭方向。</w:t>
      </w:r>
    </w:p>
    <w:p w14:paraId="292AA00F">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（6）开度指示机构</w:t>
      </w:r>
    </w:p>
    <w:p w14:paraId="577742D3">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电动执行机构通过简明的数字、字母及符号显示执行机构状态及故障信息，应为中文菜单，方便人员操作，自带9V电池，在现场断电的情况下仍能显示阀门的状态。开度指示应为1%</w:t>
      </w:r>
      <w:r>
        <w:rPr>
          <w:rFonts w:hint="eastAsia" w:ascii="宋体" w:hAnsi="宋体" w:cs="宋体"/>
          <w:color w:val="auto"/>
          <w:sz w:val="21"/>
          <w:szCs w:val="21"/>
          <w:lang w:eastAsia="zh-CN"/>
        </w:rPr>
        <w:t>～</w:t>
      </w:r>
      <w:r>
        <w:rPr>
          <w:rFonts w:hint="eastAsia" w:ascii="宋体" w:hAnsi="宋体" w:cs="宋体"/>
          <w:color w:val="auto"/>
          <w:szCs w:val="21"/>
        </w:rPr>
        <w:t>99%数字量递增。调节型电动执行机构需带有背景照明系统液晶显示屏，通过简明的数字、字母及符号显示执行机构状态及故障信息，应为中文菜单，方便人员操作，自带电池，在现场断电的情况下仍能显示阀门的状态。</w:t>
      </w:r>
    </w:p>
    <w:p w14:paraId="3E8D935D">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（7）控制单元部分</w:t>
      </w:r>
    </w:p>
    <w:p w14:paraId="08AFCC74">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气部分应采用机电一体化控制单元与电动执行器组合到一起，模块化结构。控制单元包括现场操作按钮、指示灯、带锁的选择开关，液晶显示（调节型）等。阀门的所有设定、操作及调试都可以通过非接触式调节方式完成。</w:t>
      </w:r>
    </w:p>
    <w:p w14:paraId="16F9C775">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电动执行机构带一体化智能型控制单元，能通过Folomatic模块 ( 内置于执行机构提供 )接受来自连续调节器或PC输出的4-20mADC模拟信号或断续调节器输出的24V DC脉冲量信号，而且不管采用哪种输入信号方式，电动执行机构和自动调节系统的接口是协调的。具有调节功能，根据PLC控制信号自动调节阀门开启度，并将阀位信号输出至PLC。（该条款内容中Folomatic模块仅针对调节型电动执行器）</w:t>
      </w:r>
    </w:p>
    <w:p w14:paraId="1D2C16AC">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气部分应采用机电一体化控制单元与电动执行器组合到一起，模块化结构。控制单元包括现场操作按钮、指示灯、带锁的选择开关，液晶显示等。阀门的所有设定、操作及调试都可以通过非接触式调节方式完成。</w:t>
      </w:r>
    </w:p>
    <w:p w14:paraId="5113A31B">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电动执行机构应含有内置的控制单元、数据记录器，具有记忆功能，可记录阀门及执行机构的运行情况及设备信息。</w:t>
      </w:r>
    </w:p>
    <w:p w14:paraId="0B4196F7">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电动执行机构需具有可靠完善的保护功能：过力矩保护、综合报警、全开全关报警，其中电机的力矩需通过数字式压力传感器准确测量。</w:t>
      </w:r>
    </w:p>
    <w:p w14:paraId="056B7672">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可通过具有红外功能的手操器进行设定，不需要打开机壳，通过手操器就可对电动执行机构进行参数整定和就地操作。且该手操器应具体数据下载功能，可将下载数据上传至PC机或PDA等掌上电脑进行数据分析。</w:t>
      </w:r>
    </w:p>
    <w:p w14:paraId="03E36CF7">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电动执行器内部线路板的使用寿命：在按照操作手册规定的要求使用情况下，电动执行器内部线路板的使用寿命不得小于10年。</w:t>
      </w:r>
    </w:p>
    <w:p w14:paraId="09BD927F">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控制单元安装方向可任意调整。</w:t>
      </w:r>
    </w:p>
    <w:p w14:paraId="7327068B">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（8）润滑</w:t>
      </w:r>
    </w:p>
    <w:p w14:paraId="0B3CB732">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电动执行机构的齿轮应采用润滑油，蜗轮蜗杆浸泡在油浴之中，且所有在阀杆运动传动中的转动部件都在轴承上转动。</w:t>
      </w:r>
    </w:p>
    <w:p w14:paraId="7BDE472B">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（9）防护、清扫及保护涂层</w:t>
      </w:r>
    </w:p>
    <w:p w14:paraId="2B83CBD9">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电动执行机构防护等级满足IEC60947标准，防护等级应达到IP68，完全防水防尘，适用于户外、潮湿及水下的工作环境。</w:t>
      </w:r>
    </w:p>
    <w:p w14:paraId="36C6902A">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（10）电动执行机构应采用至少4个无源、非接触式触点，并且可在现场通过非侵入式设计设定任意组态自定义所有触点的功能特性，以满足和匹配自控系统的要求。</w:t>
      </w:r>
    </w:p>
    <w:p w14:paraId="0D978E6D">
      <w:pPr>
        <w:pStyle w:val="11"/>
        <w:spacing w:line="500" w:lineRule="exact"/>
        <w:ind w:left="420" w:leftChars="200" w:firstLine="422" w:firstLineChars="200"/>
        <w:jc w:val="left"/>
        <w:rPr>
          <w:rFonts w:ascii="宋体" w:hAnsi="宋体" w:cs="宋体"/>
          <w:color w:val="auto"/>
          <w:szCs w:val="21"/>
        </w:rPr>
      </w:pPr>
      <w:r>
        <w:rPr>
          <w:rFonts w:hint="eastAsia" w:ascii="宋体" w:hAnsi="宋体" w:cs="宋体"/>
          <w:b/>
          <w:bCs/>
          <w:color w:val="auto"/>
          <w:szCs w:val="21"/>
        </w:rPr>
        <w:t>推荐品牌：英国罗托克（ROTORK）、德国（AUMA）、法国伯纳德（BERNARD）等</w:t>
      </w:r>
    </w:p>
    <w:p w14:paraId="6919623E">
      <w:pPr>
        <w:pStyle w:val="6"/>
        <w:spacing w:before="93" w:beforeLines="30" w:after="93" w:afterLines="30" w:line="500" w:lineRule="exact"/>
        <w:ind w:left="420" w:leftChars="200"/>
        <w:jc w:val="left"/>
        <w:rPr>
          <w:rFonts w:ascii="宋体" w:hAnsi="宋体" w:cs="宋体"/>
          <w:b w:val="0"/>
          <w:color w:val="auto"/>
          <w:szCs w:val="21"/>
        </w:rPr>
      </w:pPr>
      <w:r>
        <w:rPr>
          <w:rFonts w:hint="eastAsia" w:ascii="宋体" w:hAnsi="宋体" w:cs="宋体"/>
          <w:color w:val="auto"/>
          <w:sz w:val="21"/>
          <w:szCs w:val="21"/>
        </w:rPr>
        <w:t>4.2.3 三水厂增加粉炭投加系统</w:t>
      </w:r>
    </w:p>
    <w:p w14:paraId="5B4FC81F">
      <w:pPr>
        <w:spacing w:line="500" w:lineRule="exact"/>
        <w:ind w:left="420" w:leftChars="200" w:firstLine="480"/>
        <w:rPr>
          <w:rFonts w:ascii="宋体" w:hAnsi="宋体" w:cs="宋体"/>
          <w:color w:val="auto"/>
          <w:szCs w:val="21"/>
        </w:rPr>
      </w:pPr>
      <w:r>
        <w:rPr>
          <w:rFonts w:hint="eastAsia" w:ascii="宋体" w:hAnsi="宋体" w:cs="宋体"/>
          <w:color w:val="auto"/>
          <w:szCs w:val="21"/>
        </w:rPr>
        <w:t>滁州三水厂粉炭一体化投加设施建设地点位于滁州三水预留空地内。建设内容主要包括：新增粉炭投加设备以</w:t>
      </w:r>
      <w:r>
        <w:rPr>
          <w:rFonts w:ascii="宋体" w:hAnsi="宋体" w:cs="宋体"/>
          <w:color w:val="auto"/>
          <w:szCs w:val="21"/>
        </w:rPr>
        <w:t>15</w:t>
      </w:r>
      <w:r>
        <w:rPr>
          <w:rFonts w:hint="eastAsia" w:ascii="宋体" w:hAnsi="宋体" w:cs="宋体"/>
          <w:color w:val="auto"/>
          <w:szCs w:val="21"/>
        </w:rPr>
        <w:t>万</w:t>
      </w:r>
      <w:r>
        <w:rPr>
          <w:rFonts w:ascii="宋体" w:hAnsi="宋体" w:cs="宋体"/>
          <w:color w:val="auto"/>
          <w:szCs w:val="21"/>
        </w:rPr>
        <w:t>m3/</w:t>
      </w:r>
      <w:r>
        <w:rPr>
          <w:rFonts w:hint="eastAsia" w:ascii="宋体" w:hAnsi="宋体" w:cs="宋体"/>
          <w:color w:val="auto"/>
          <w:szCs w:val="21"/>
        </w:rPr>
        <w:t>d规模设计，原料采用罐车输送至料仓的一体化投加装置。设于室外露天安装，并对相应的电气设备、料仓做遮雨防水设计。</w:t>
      </w:r>
    </w:p>
    <w:p w14:paraId="473E3065">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1.</w:t>
      </w:r>
      <w:r>
        <w:rPr>
          <w:rFonts w:hint="eastAsia" w:ascii="宋体" w:hAnsi="宋体" w:cs="宋体"/>
          <w:b/>
          <w:color w:val="auto"/>
          <w:szCs w:val="21"/>
        </w:rPr>
        <w:t>系统描述</w:t>
      </w:r>
    </w:p>
    <w:p w14:paraId="1DF47EB5">
      <w:pPr>
        <w:spacing w:line="500" w:lineRule="exact"/>
        <w:ind w:left="420" w:leftChars="200" w:firstLine="480"/>
        <w:rPr>
          <w:rFonts w:ascii="宋体" w:hAnsi="宋体" w:cs="宋体"/>
          <w:color w:val="auto"/>
          <w:szCs w:val="21"/>
        </w:rPr>
      </w:pPr>
      <w:r>
        <w:rPr>
          <w:rFonts w:hint="eastAsia" w:ascii="宋体" w:hAnsi="宋体" w:cs="宋体"/>
          <w:color w:val="auto"/>
          <w:szCs w:val="21"/>
        </w:rPr>
        <w:t>本次招标的一体化投加系统具有连续计量、输送、溶解及投加活性炭与水的混合溶液，活性炭吸附水中杂质、异味等有害物质，设计规模为</w:t>
      </w:r>
      <w:r>
        <w:rPr>
          <w:rFonts w:ascii="宋体" w:hAnsi="宋体" w:cs="宋体"/>
          <w:color w:val="auto"/>
          <w:szCs w:val="21"/>
        </w:rPr>
        <w:t>15</w:t>
      </w:r>
      <w:r>
        <w:rPr>
          <w:rFonts w:hint="eastAsia" w:ascii="宋体" w:hAnsi="宋体" w:cs="宋体"/>
          <w:color w:val="auto"/>
          <w:szCs w:val="21"/>
        </w:rPr>
        <w:t>万</w:t>
      </w:r>
      <w:r>
        <w:rPr>
          <w:rFonts w:ascii="宋体" w:hAnsi="宋体" w:cs="宋体"/>
          <w:color w:val="auto"/>
          <w:szCs w:val="21"/>
        </w:rPr>
        <w:t>m3/d。</w:t>
      </w:r>
    </w:p>
    <w:p w14:paraId="439259D7">
      <w:pPr>
        <w:spacing w:line="500" w:lineRule="exact"/>
        <w:ind w:left="420" w:leftChars="200" w:firstLine="480"/>
        <w:rPr>
          <w:rFonts w:ascii="宋体" w:hAnsi="宋体" w:cs="宋体"/>
          <w:color w:val="auto"/>
          <w:szCs w:val="21"/>
        </w:rPr>
      </w:pPr>
      <w:r>
        <w:rPr>
          <w:rFonts w:hint="eastAsia" w:ascii="宋体" w:hAnsi="宋体" w:cs="宋体"/>
          <w:color w:val="auto"/>
          <w:szCs w:val="21"/>
        </w:rPr>
        <w:t>活性炭粉末罐车来料时，通过车载风机将活性炭粉末送入室外料仓，经输送、给料至溶液制备罐，溶液从制备罐重力自流至储罐，再由储罐经泵投至投加点。</w:t>
      </w:r>
    </w:p>
    <w:p w14:paraId="3198C176">
      <w:pPr>
        <w:spacing w:line="500" w:lineRule="exact"/>
        <w:ind w:left="420" w:leftChars="200" w:firstLine="480"/>
        <w:rPr>
          <w:rFonts w:ascii="宋体" w:hAnsi="宋体" w:cs="宋体"/>
          <w:color w:val="auto"/>
          <w:szCs w:val="21"/>
        </w:rPr>
      </w:pPr>
      <w:r>
        <w:rPr>
          <w:rFonts w:hint="eastAsia" w:ascii="宋体" w:hAnsi="宋体" w:cs="宋体"/>
          <w:color w:val="auto"/>
          <w:szCs w:val="21"/>
        </w:rPr>
        <w:t>活性炭与水的混合液投加点在配水井进水管设置一个投加点(以二次设计为准)，共1个。</w:t>
      </w:r>
    </w:p>
    <w:p w14:paraId="134B7807">
      <w:pPr>
        <w:spacing w:line="500" w:lineRule="exact"/>
        <w:ind w:left="420" w:leftChars="200" w:firstLine="480"/>
        <w:rPr>
          <w:rFonts w:ascii="宋体" w:hAnsi="宋体" w:cs="宋体"/>
          <w:color w:val="auto"/>
          <w:szCs w:val="21"/>
        </w:rPr>
      </w:pPr>
      <w:r>
        <w:rPr>
          <w:rFonts w:hint="eastAsia" w:ascii="宋体" w:hAnsi="宋体" w:cs="宋体"/>
          <w:color w:val="auto"/>
          <w:szCs w:val="21"/>
        </w:rPr>
        <w:t>招标人提供本系统所需的总电源及清洁自来水源，接至系统处的管、线均由招标方负责。系统的外形尺寸应满足现场空间要求。投标人应提供系统流程图，设备外形布置图，从设备至各投加点管道安装布置图以及其它结构图，并应标注相关部件的接口尺寸。</w:t>
      </w:r>
    </w:p>
    <w:p w14:paraId="5E4D0F5B">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2.</w:t>
      </w:r>
      <w:r>
        <w:rPr>
          <w:rFonts w:hint="eastAsia" w:ascii="宋体" w:hAnsi="宋体" w:cs="宋体"/>
          <w:b/>
          <w:color w:val="auto"/>
          <w:szCs w:val="21"/>
        </w:rPr>
        <w:t>系统集成设计及施工范围</w:t>
      </w:r>
    </w:p>
    <w:p w14:paraId="39E092AB">
      <w:pPr>
        <w:spacing w:line="500" w:lineRule="exact"/>
        <w:ind w:left="420" w:leftChars="200" w:firstLine="480"/>
        <w:rPr>
          <w:rFonts w:ascii="宋体" w:hAnsi="宋体" w:cs="宋体"/>
          <w:color w:val="auto"/>
          <w:szCs w:val="21"/>
        </w:rPr>
      </w:pPr>
      <w:r>
        <w:rPr>
          <w:rFonts w:hint="eastAsia" w:ascii="宋体" w:hAnsi="宋体" w:cs="宋体"/>
          <w:color w:val="auto"/>
          <w:szCs w:val="21"/>
        </w:rPr>
        <w:t>本次滁州三水厂粉炭一体化投加设施招标范围包括从原料进料到投加点之间所有投加系统（含配水、配电、自控、各类管沟、场地硬化、绿化、冲洗喷淋装置等）的设计、相应设备的供货、安装及预留通讯与监控接口、完成上位机中控界面及相应的技术培训和售后服务等工作。</w:t>
      </w:r>
    </w:p>
    <w:p w14:paraId="45A57BE7">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3.</w:t>
      </w:r>
      <w:r>
        <w:rPr>
          <w:rFonts w:hint="eastAsia" w:ascii="宋体" w:hAnsi="宋体" w:cs="宋体"/>
          <w:b/>
          <w:color w:val="auto"/>
          <w:szCs w:val="21"/>
        </w:rPr>
        <w:t>设计要求</w:t>
      </w:r>
    </w:p>
    <w:p w14:paraId="6E85B36F">
      <w:pPr>
        <w:spacing w:line="500" w:lineRule="exact"/>
        <w:ind w:left="420" w:leftChars="200" w:firstLine="480"/>
        <w:rPr>
          <w:rFonts w:ascii="宋体" w:hAnsi="宋体" w:cs="宋体"/>
          <w:color w:val="auto"/>
          <w:szCs w:val="21"/>
        </w:rPr>
      </w:pPr>
      <w:r>
        <w:rPr>
          <w:rFonts w:hint="eastAsia" w:ascii="宋体" w:hAnsi="宋体" w:cs="宋体"/>
          <w:color w:val="auto"/>
          <w:szCs w:val="21"/>
        </w:rPr>
        <w:t>投标人需根据项目情况对全套系统进行相关计算及详细设计，以保证药剂投加管路的适当流速及背压，同时还应采取措施保证投加泵的最大使用寿命。投标人应提供设计范围内全套储存、计量、输送、溶解装置及投加药剂粉末的相关设备。包括除尘装置、开关阀、给料机、螺旋输送器、药剂粉末溶解罐，投加泵及控制系统等。供货商还应供应投加系统运行所必需的一些附件，以保证整个投药系统安全、有效、可靠的运行。</w:t>
      </w:r>
    </w:p>
    <w:p w14:paraId="4CDFC0B3">
      <w:pPr>
        <w:numPr>
          <w:ilvl w:val="255"/>
          <w:numId w:val="0"/>
        </w:numPr>
        <w:spacing w:line="360" w:lineRule="auto"/>
        <w:ind w:left="420" w:leftChars="200"/>
        <w:rPr>
          <w:rFonts w:ascii="宋体" w:hAnsi="宋体" w:cs="宋体"/>
          <w:b/>
          <w:color w:val="auto"/>
          <w:sz w:val="24"/>
        </w:rPr>
      </w:pPr>
      <w:r>
        <w:rPr>
          <w:rFonts w:hint="eastAsia" w:ascii="宋体" w:hAnsi="宋体" w:cs="宋体"/>
          <w:color w:val="auto"/>
          <w:szCs w:val="21"/>
          <w:lang w:val="en-US" w:eastAsia="zh-CN"/>
        </w:rPr>
        <w:t>4.</w:t>
      </w:r>
      <w:r>
        <w:rPr>
          <w:rFonts w:hint="eastAsia" w:ascii="宋体" w:hAnsi="宋体" w:cs="宋体"/>
          <w:b/>
          <w:color w:val="auto"/>
          <w:sz w:val="24"/>
        </w:rPr>
        <w:t>主要设备材料表</w:t>
      </w:r>
    </w:p>
    <w:tbl>
      <w:tblPr>
        <w:tblStyle w:val="23"/>
        <w:tblW w:w="0" w:type="auto"/>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55"/>
        <w:gridCol w:w="1590"/>
        <w:gridCol w:w="780"/>
        <w:gridCol w:w="1380"/>
        <w:gridCol w:w="4725"/>
      </w:tblGrid>
      <w:tr w14:paraId="293F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690" w:type="dxa"/>
            <w:vAlign w:val="center"/>
          </w:tcPr>
          <w:p w14:paraId="48C002ED">
            <w:pPr>
              <w:spacing w:line="500" w:lineRule="exact"/>
              <w:rPr>
                <w:rFonts w:ascii="宋体" w:hAnsi="宋体" w:cs="宋体"/>
                <w:b/>
                <w:color w:val="auto"/>
                <w:szCs w:val="21"/>
              </w:rPr>
            </w:pPr>
            <w:r>
              <w:rPr>
                <w:rFonts w:hint="eastAsia" w:ascii="宋体" w:hAnsi="宋体" w:cs="宋体"/>
                <w:b/>
                <w:color w:val="auto"/>
                <w:szCs w:val="21"/>
              </w:rPr>
              <w:t>序号</w:t>
            </w:r>
          </w:p>
        </w:tc>
        <w:tc>
          <w:tcPr>
            <w:tcW w:w="1155" w:type="dxa"/>
            <w:vAlign w:val="center"/>
          </w:tcPr>
          <w:p w14:paraId="179B9E8E">
            <w:pPr>
              <w:spacing w:line="500" w:lineRule="exact"/>
              <w:rPr>
                <w:rFonts w:ascii="宋体" w:hAnsi="宋体" w:cs="宋体"/>
                <w:b/>
                <w:color w:val="auto"/>
                <w:szCs w:val="21"/>
              </w:rPr>
            </w:pPr>
            <w:r>
              <w:rPr>
                <w:rFonts w:hint="eastAsia" w:ascii="宋体" w:hAnsi="宋体" w:cs="宋体"/>
                <w:b/>
                <w:color w:val="auto"/>
                <w:szCs w:val="21"/>
              </w:rPr>
              <w:t>名称</w:t>
            </w:r>
          </w:p>
        </w:tc>
        <w:tc>
          <w:tcPr>
            <w:tcW w:w="1590" w:type="dxa"/>
            <w:vAlign w:val="center"/>
          </w:tcPr>
          <w:p w14:paraId="22D2A8A2">
            <w:pPr>
              <w:spacing w:line="500" w:lineRule="exact"/>
              <w:rPr>
                <w:rFonts w:ascii="宋体" w:hAnsi="宋体" w:cs="宋体"/>
                <w:b/>
                <w:color w:val="auto"/>
                <w:szCs w:val="21"/>
              </w:rPr>
            </w:pPr>
            <w:r>
              <w:rPr>
                <w:rFonts w:hint="eastAsia" w:ascii="宋体" w:hAnsi="宋体" w:cs="宋体"/>
                <w:b/>
                <w:color w:val="auto"/>
                <w:szCs w:val="21"/>
              </w:rPr>
              <w:t>型号及规格</w:t>
            </w:r>
          </w:p>
        </w:tc>
        <w:tc>
          <w:tcPr>
            <w:tcW w:w="780" w:type="dxa"/>
            <w:vAlign w:val="center"/>
          </w:tcPr>
          <w:p w14:paraId="6C4CAF29">
            <w:pPr>
              <w:spacing w:line="500" w:lineRule="exact"/>
              <w:rPr>
                <w:rFonts w:ascii="宋体" w:hAnsi="宋体" w:cs="宋体"/>
                <w:b/>
                <w:color w:val="auto"/>
                <w:szCs w:val="21"/>
              </w:rPr>
            </w:pPr>
            <w:r>
              <w:rPr>
                <w:rFonts w:hint="eastAsia" w:ascii="宋体" w:hAnsi="宋体" w:cs="宋体"/>
                <w:b/>
                <w:color w:val="auto"/>
                <w:szCs w:val="21"/>
              </w:rPr>
              <w:t>数量</w:t>
            </w:r>
          </w:p>
        </w:tc>
        <w:tc>
          <w:tcPr>
            <w:tcW w:w="1380" w:type="dxa"/>
            <w:vAlign w:val="center"/>
          </w:tcPr>
          <w:p w14:paraId="0B6EE544">
            <w:pPr>
              <w:spacing w:line="500" w:lineRule="exact"/>
              <w:rPr>
                <w:rFonts w:ascii="宋体" w:hAnsi="宋体" w:cs="宋体"/>
                <w:b/>
                <w:color w:val="auto"/>
                <w:szCs w:val="21"/>
              </w:rPr>
            </w:pPr>
            <w:r>
              <w:rPr>
                <w:rFonts w:hint="eastAsia" w:ascii="宋体" w:hAnsi="宋体" w:cs="宋体"/>
                <w:b/>
                <w:color w:val="auto"/>
                <w:szCs w:val="21"/>
              </w:rPr>
              <w:t>材质</w:t>
            </w:r>
          </w:p>
        </w:tc>
        <w:tc>
          <w:tcPr>
            <w:tcW w:w="4725" w:type="dxa"/>
            <w:vAlign w:val="center"/>
          </w:tcPr>
          <w:p w14:paraId="520E6277">
            <w:pPr>
              <w:spacing w:line="500" w:lineRule="exact"/>
              <w:ind w:left="420" w:leftChars="200"/>
              <w:jc w:val="center"/>
              <w:rPr>
                <w:rFonts w:ascii="宋体" w:hAnsi="宋体" w:cs="宋体"/>
                <w:b/>
                <w:color w:val="auto"/>
                <w:szCs w:val="21"/>
              </w:rPr>
            </w:pPr>
            <w:r>
              <w:rPr>
                <w:rFonts w:hint="eastAsia" w:ascii="宋体" w:hAnsi="宋体" w:cs="宋体"/>
                <w:b/>
                <w:color w:val="auto"/>
                <w:szCs w:val="21"/>
              </w:rPr>
              <w:t>备注</w:t>
            </w:r>
          </w:p>
        </w:tc>
      </w:tr>
      <w:tr w14:paraId="2038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90" w:type="dxa"/>
            <w:vAlign w:val="center"/>
          </w:tcPr>
          <w:p w14:paraId="29A498E8">
            <w:pPr>
              <w:spacing w:line="500" w:lineRule="exact"/>
              <w:rPr>
                <w:rFonts w:ascii="宋体" w:hAnsi="宋体" w:cs="宋体"/>
                <w:color w:val="auto"/>
                <w:szCs w:val="21"/>
              </w:rPr>
            </w:pPr>
            <w:r>
              <w:rPr>
                <w:rFonts w:hint="eastAsia" w:ascii="宋体" w:hAnsi="宋体" w:cs="宋体"/>
                <w:color w:val="auto"/>
                <w:szCs w:val="21"/>
              </w:rPr>
              <w:t>1</w:t>
            </w:r>
          </w:p>
        </w:tc>
        <w:tc>
          <w:tcPr>
            <w:tcW w:w="1155" w:type="dxa"/>
            <w:vAlign w:val="center"/>
          </w:tcPr>
          <w:p w14:paraId="09C0DBA2">
            <w:pPr>
              <w:spacing w:line="500" w:lineRule="exact"/>
              <w:rPr>
                <w:rFonts w:ascii="宋体" w:hAnsi="宋体" w:cs="宋体"/>
                <w:color w:val="auto"/>
                <w:szCs w:val="21"/>
              </w:rPr>
            </w:pPr>
            <w:r>
              <w:rPr>
                <w:rFonts w:hint="eastAsia" w:ascii="宋体" w:hAnsi="宋体" w:cs="宋体"/>
                <w:color w:val="auto"/>
                <w:szCs w:val="21"/>
              </w:rPr>
              <w:t>户外料仓</w:t>
            </w:r>
          </w:p>
        </w:tc>
        <w:tc>
          <w:tcPr>
            <w:tcW w:w="1590" w:type="dxa"/>
            <w:vAlign w:val="center"/>
          </w:tcPr>
          <w:p w14:paraId="048E8CE0">
            <w:pPr>
              <w:spacing w:line="500" w:lineRule="exact"/>
              <w:rPr>
                <w:rFonts w:ascii="宋体" w:hAnsi="宋体" w:cs="宋体"/>
                <w:color w:val="auto"/>
                <w:szCs w:val="21"/>
              </w:rPr>
            </w:pPr>
            <w:r>
              <w:rPr>
                <w:rFonts w:hint="eastAsia" w:ascii="宋体" w:hAnsi="宋体" w:cs="宋体"/>
                <w:color w:val="auto"/>
                <w:szCs w:val="21"/>
              </w:rPr>
              <w:t>容积40m</w:t>
            </w:r>
            <w:r>
              <w:rPr>
                <w:rFonts w:hint="eastAsia" w:ascii="宋体" w:hAnsi="宋体" w:cs="宋体"/>
                <w:color w:val="auto"/>
                <w:szCs w:val="21"/>
                <w:vertAlign w:val="superscript"/>
              </w:rPr>
              <w:t>3</w:t>
            </w:r>
          </w:p>
        </w:tc>
        <w:tc>
          <w:tcPr>
            <w:tcW w:w="780" w:type="dxa"/>
            <w:vAlign w:val="center"/>
          </w:tcPr>
          <w:p w14:paraId="0F8ED132">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21E592C9">
            <w:pPr>
              <w:spacing w:line="500" w:lineRule="exact"/>
              <w:ind w:left="420" w:leftChars="200"/>
              <w:rPr>
                <w:rFonts w:ascii="宋体" w:hAnsi="宋体" w:cs="宋体"/>
                <w:color w:val="auto"/>
                <w:szCs w:val="21"/>
              </w:rPr>
            </w:pPr>
            <w:r>
              <w:rPr>
                <w:rFonts w:hint="eastAsia" w:ascii="宋体" w:hAnsi="宋体" w:cs="宋体"/>
                <w:color w:val="auto"/>
                <w:szCs w:val="21"/>
              </w:rPr>
              <w:t>碳钢</w:t>
            </w:r>
          </w:p>
        </w:tc>
        <w:tc>
          <w:tcPr>
            <w:tcW w:w="4725" w:type="dxa"/>
            <w:vAlign w:val="center"/>
          </w:tcPr>
          <w:p w14:paraId="0123371C">
            <w:pPr>
              <w:spacing w:line="500" w:lineRule="exact"/>
              <w:jc w:val="left"/>
              <w:rPr>
                <w:rFonts w:ascii="宋体" w:hAnsi="宋体" w:cs="宋体"/>
                <w:color w:val="auto"/>
                <w:szCs w:val="21"/>
              </w:rPr>
            </w:pPr>
            <w:r>
              <w:rPr>
                <w:rFonts w:hint="eastAsia" w:ascii="宋体" w:hAnsi="宋体" w:cs="宋体"/>
                <w:color w:val="auto"/>
                <w:szCs w:val="21"/>
              </w:rPr>
              <w:t>要求壁厚不小于8mm，关键受力部分不小于10mm，符合粉炭使用国家相关防爆要求。配套楼梯应采取分段式，中间设置停留休息平台。</w:t>
            </w:r>
          </w:p>
        </w:tc>
      </w:tr>
      <w:tr w14:paraId="2E18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vAlign w:val="center"/>
          </w:tcPr>
          <w:p w14:paraId="1424888D">
            <w:pPr>
              <w:spacing w:line="500" w:lineRule="exact"/>
              <w:rPr>
                <w:rFonts w:ascii="宋体" w:hAnsi="宋体" w:cs="宋体"/>
                <w:color w:val="auto"/>
                <w:szCs w:val="21"/>
              </w:rPr>
            </w:pPr>
            <w:r>
              <w:rPr>
                <w:rFonts w:hint="eastAsia" w:ascii="宋体" w:hAnsi="宋体" w:cs="宋体"/>
                <w:color w:val="auto"/>
                <w:szCs w:val="21"/>
              </w:rPr>
              <w:t>2</w:t>
            </w:r>
          </w:p>
        </w:tc>
        <w:tc>
          <w:tcPr>
            <w:tcW w:w="1155" w:type="dxa"/>
            <w:vAlign w:val="center"/>
          </w:tcPr>
          <w:p w14:paraId="4FA691DA">
            <w:pPr>
              <w:spacing w:line="500" w:lineRule="exact"/>
              <w:rPr>
                <w:rFonts w:ascii="宋体" w:hAnsi="宋体" w:cs="宋体"/>
                <w:color w:val="auto"/>
                <w:szCs w:val="21"/>
              </w:rPr>
            </w:pPr>
            <w:r>
              <w:rPr>
                <w:rFonts w:hint="eastAsia" w:ascii="宋体" w:hAnsi="宋体" w:cs="宋体"/>
                <w:color w:val="auto"/>
                <w:szCs w:val="21"/>
              </w:rPr>
              <w:t>料位及空穴报警计</w:t>
            </w:r>
          </w:p>
        </w:tc>
        <w:tc>
          <w:tcPr>
            <w:tcW w:w="1590" w:type="dxa"/>
            <w:vAlign w:val="center"/>
          </w:tcPr>
          <w:p w14:paraId="75AF7EF4">
            <w:pPr>
              <w:spacing w:line="500" w:lineRule="exact"/>
              <w:rPr>
                <w:rFonts w:ascii="宋体" w:hAnsi="宋体" w:cs="宋体"/>
                <w:color w:val="auto"/>
                <w:szCs w:val="21"/>
              </w:rPr>
            </w:pPr>
            <w:r>
              <w:rPr>
                <w:rFonts w:hint="eastAsia" w:ascii="宋体" w:hAnsi="宋体" w:cs="宋体"/>
                <w:color w:val="auto"/>
                <w:spacing w:val="8"/>
                <w:szCs w:val="21"/>
              </w:rPr>
              <w:t>桨板式</w:t>
            </w:r>
          </w:p>
        </w:tc>
        <w:tc>
          <w:tcPr>
            <w:tcW w:w="780" w:type="dxa"/>
            <w:vAlign w:val="center"/>
          </w:tcPr>
          <w:p w14:paraId="11880323">
            <w:pPr>
              <w:spacing w:line="500" w:lineRule="exact"/>
              <w:rPr>
                <w:rFonts w:ascii="宋体" w:hAnsi="宋体" w:cs="宋体"/>
                <w:color w:val="auto"/>
                <w:szCs w:val="21"/>
              </w:rPr>
            </w:pPr>
            <w:r>
              <w:rPr>
                <w:rFonts w:hint="eastAsia" w:ascii="宋体" w:hAnsi="宋体" w:cs="宋体"/>
                <w:color w:val="auto"/>
                <w:szCs w:val="21"/>
              </w:rPr>
              <w:t>3个</w:t>
            </w:r>
          </w:p>
        </w:tc>
        <w:tc>
          <w:tcPr>
            <w:tcW w:w="1380" w:type="dxa"/>
            <w:vAlign w:val="center"/>
          </w:tcPr>
          <w:p w14:paraId="59FE2546">
            <w:pPr>
              <w:spacing w:line="500" w:lineRule="exact"/>
              <w:rPr>
                <w:rFonts w:ascii="宋体" w:hAnsi="宋体" w:cs="宋体"/>
                <w:color w:val="auto"/>
                <w:szCs w:val="21"/>
              </w:rPr>
            </w:pPr>
            <w:r>
              <w:rPr>
                <w:rFonts w:hint="eastAsia" w:ascii="宋体" w:hAnsi="宋体" w:cs="宋体"/>
                <w:color w:val="auto"/>
                <w:szCs w:val="21"/>
              </w:rPr>
              <w:t>不锈钢</w:t>
            </w:r>
          </w:p>
        </w:tc>
        <w:tc>
          <w:tcPr>
            <w:tcW w:w="4725" w:type="dxa"/>
            <w:vAlign w:val="center"/>
          </w:tcPr>
          <w:p w14:paraId="43F2A635">
            <w:pPr>
              <w:spacing w:line="500" w:lineRule="exact"/>
              <w:jc w:val="left"/>
              <w:rPr>
                <w:rFonts w:ascii="宋体" w:hAnsi="宋体" w:cs="宋体"/>
                <w:color w:val="auto"/>
                <w:szCs w:val="21"/>
              </w:rPr>
            </w:pPr>
            <w:r>
              <w:rPr>
                <w:rFonts w:hint="eastAsia" w:ascii="宋体" w:hAnsi="宋体" w:cs="宋体"/>
                <w:color w:val="auto"/>
                <w:szCs w:val="21"/>
              </w:rPr>
              <w:t>UWT、E+H、WAM或同档次及以上品牌设备，料仓外适当位置有报警装置警示，符合粉炭使用国家相关防爆要求。</w:t>
            </w:r>
          </w:p>
        </w:tc>
      </w:tr>
      <w:tr w14:paraId="42BC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90" w:type="dxa"/>
            <w:vAlign w:val="center"/>
          </w:tcPr>
          <w:p w14:paraId="521A8C0E">
            <w:pPr>
              <w:spacing w:line="500" w:lineRule="exact"/>
              <w:rPr>
                <w:rFonts w:ascii="宋体" w:hAnsi="宋体" w:cs="宋体"/>
                <w:color w:val="auto"/>
                <w:szCs w:val="21"/>
              </w:rPr>
            </w:pPr>
            <w:r>
              <w:rPr>
                <w:rFonts w:hint="eastAsia" w:ascii="宋体" w:hAnsi="宋体" w:cs="宋体"/>
                <w:color w:val="auto"/>
                <w:szCs w:val="21"/>
              </w:rPr>
              <w:t>3</w:t>
            </w:r>
          </w:p>
        </w:tc>
        <w:tc>
          <w:tcPr>
            <w:tcW w:w="1155" w:type="dxa"/>
            <w:vAlign w:val="center"/>
          </w:tcPr>
          <w:p w14:paraId="0B2B07BC">
            <w:pPr>
              <w:spacing w:line="500" w:lineRule="exact"/>
              <w:rPr>
                <w:rFonts w:ascii="宋体" w:hAnsi="宋体" w:cs="宋体"/>
                <w:color w:val="auto"/>
                <w:szCs w:val="21"/>
              </w:rPr>
            </w:pPr>
            <w:r>
              <w:rPr>
                <w:rFonts w:hint="eastAsia" w:ascii="宋体" w:hAnsi="宋体" w:cs="宋体"/>
                <w:color w:val="auto"/>
                <w:szCs w:val="21"/>
              </w:rPr>
              <w:t>除尘器（料仓）</w:t>
            </w:r>
          </w:p>
        </w:tc>
        <w:tc>
          <w:tcPr>
            <w:tcW w:w="1590" w:type="dxa"/>
            <w:vAlign w:val="center"/>
          </w:tcPr>
          <w:p w14:paraId="1FD45F56">
            <w:pPr>
              <w:spacing w:line="500" w:lineRule="exact"/>
              <w:jc w:val="left"/>
              <w:rPr>
                <w:rFonts w:ascii="宋体" w:hAnsi="宋体" w:cs="宋体"/>
                <w:color w:val="auto"/>
                <w:szCs w:val="21"/>
              </w:rPr>
            </w:pPr>
            <w:r>
              <w:rPr>
                <w:rFonts w:hint="eastAsia" w:ascii="宋体" w:hAnsi="宋体" w:cs="宋体"/>
                <w:color w:val="auto"/>
                <w:szCs w:val="21"/>
              </w:rPr>
              <w:t>气动清灰，过滤面积22m</w:t>
            </w:r>
            <w:r>
              <w:rPr>
                <w:rFonts w:hint="eastAsia" w:ascii="宋体" w:hAnsi="宋体" w:cs="宋体"/>
                <w:color w:val="auto"/>
                <w:szCs w:val="21"/>
                <w:vertAlign w:val="superscript"/>
              </w:rPr>
              <w:t>2.</w:t>
            </w:r>
          </w:p>
        </w:tc>
        <w:tc>
          <w:tcPr>
            <w:tcW w:w="780" w:type="dxa"/>
            <w:vAlign w:val="center"/>
          </w:tcPr>
          <w:p w14:paraId="0FE4F36A">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5CE73A52">
            <w:pPr>
              <w:spacing w:line="500" w:lineRule="exact"/>
              <w:rPr>
                <w:rFonts w:ascii="宋体" w:hAnsi="宋体" w:cs="宋体"/>
                <w:color w:val="auto"/>
                <w:szCs w:val="21"/>
              </w:rPr>
            </w:pPr>
            <w:r>
              <w:rPr>
                <w:rFonts w:hint="eastAsia" w:ascii="宋体" w:hAnsi="宋体" w:cs="宋体"/>
                <w:color w:val="auto"/>
                <w:szCs w:val="21"/>
              </w:rPr>
              <w:t>不锈钢</w:t>
            </w:r>
          </w:p>
        </w:tc>
        <w:tc>
          <w:tcPr>
            <w:tcW w:w="4725" w:type="dxa"/>
            <w:vAlign w:val="center"/>
          </w:tcPr>
          <w:p w14:paraId="44ECE376">
            <w:pPr>
              <w:spacing w:line="500" w:lineRule="exact"/>
              <w:rPr>
                <w:rFonts w:ascii="宋体" w:hAnsi="宋体" w:cs="宋体"/>
                <w:color w:val="auto"/>
                <w:szCs w:val="21"/>
              </w:rPr>
            </w:pPr>
            <w:r>
              <w:rPr>
                <w:rFonts w:hint="eastAsia" w:ascii="宋体" w:hAnsi="宋体" w:cs="宋体"/>
                <w:color w:val="auto"/>
                <w:szCs w:val="21"/>
              </w:rPr>
              <w:t>曼威立、WAM、Sodimate、或同档次及以上品牌设备，符合粉炭使用国家相关防爆要求。</w:t>
            </w:r>
          </w:p>
        </w:tc>
      </w:tr>
      <w:tr w14:paraId="5421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0" w:type="dxa"/>
            <w:vAlign w:val="center"/>
          </w:tcPr>
          <w:p w14:paraId="4BD20528">
            <w:pPr>
              <w:spacing w:line="500" w:lineRule="exact"/>
              <w:rPr>
                <w:rFonts w:ascii="宋体" w:hAnsi="宋体" w:cs="宋体"/>
                <w:color w:val="auto"/>
                <w:szCs w:val="21"/>
              </w:rPr>
            </w:pPr>
            <w:r>
              <w:rPr>
                <w:rFonts w:hint="eastAsia" w:ascii="宋体" w:hAnsi="宋体" w:cs="宋体"/>
                <w:color w:val="auto"/>
                <w:szCs w:val="21"/>
              </w:rPr>
              <w:t>4</w:t>
            </w:r>
          </w:p>
        </w:tc>
        <w:tc>
          <w:tcPr>
            <w:tcW w:w="1155" w:type="dxa"/>
            <w:vAlign w:val="center"/>
          </w:tcPr>
          <w:p w14:paraId="127D9792">
            <w:pPr>
              <w:spacing w:line="500" w:lineRule="exact"/>
              <w:rPr>
                <w:rFonts w:ascii="宋体" w:hAnsi="宋体" w:cs="宋体"/>
                <w:color w:val="auto"/>
                <w:szCs w:val="21"/>
              </w:rPr>
            </w:pPr>
            <w:r>
              <w:rPr>
                <w:rFonts w:hint="eastAsia" w:ascii="宋体" w:hAnsi="宋体" w:cs="宋体"/>
                <w:color w:val="auto"/>
                <w:szCs w:val="21"/>
              </w:rPr>
              <w:t>安全阀</w:t>
            </w:r>
          </w:p>
        </w:tc>
        <w:tc>
          <w:tcPr>
            <w:tcW w:w="1590" w:type="dxa"/>
            <w:vAlign w:val="center"/>
          </w:tcPr>
          <w:p w14:paraId="4814BB58">
            <w:pPr>
              <w:spacing w:line="500" w:lineRule="exact"/>
              <w:rPr>
                <w:rFonts w:ascii="宋体" w:hAnsi="宋体" w:cs="宋体"/>
                <w:color w:val="auto"/>
                <w:szCs w:val="21"/>
              </w:rPr>
            </w:pPr>
            <w:r>
              <w:rPr>
                <w:rFonts w:hint="eastAsia" w:ascii="宋体" w:hAnsi="宋体" w:cs="宋体"/>
                <w:color w:val="auto"/>
                <w:szCs w:val="21"/>
              </w:rPr>
              <w:t>正负压</w:t>
            </w:r>
          </w:p>
        </w:tc>
        <w:tc>
          <w:tcPr>
            <w:tcW w:w="780" w:type="dxa"/>
            <w:vAlign w:val="center"/>
          </w:tcPr>
          <w:p w14:paraId="639AD326">
            <w:pPr>
              <w:spacing w:line="500" w:lineRule="exact"/>
              <w:rPr>
                <w:rFonts w:ascii="宋体" w:hAnsi="宋体" w:cs="宋体"/>
                <w:color w:val="auto"/>
                <w:szCs w:val="21"/>
              </w:rPr>
            </w:pPr>
            <w:r>
              <w:rPr>
                <w:rFonts w:hint="eastAsia" w:ascii="宋体" w:hAnsi="宋体" w:cs="宋体"/>
                <w:color w:val="auto"/>
                <w:szCs w:val="21"/>
              </w:rPr>
              <w:t>2只</w:t>
            </w:r>
          </w:p>
        </w:tc>
        <w:tc>
          <w:tcPr>
            <w:tcW w:w="1380" w:type="dxa"/>
            <w:vAlign w:val="center"/>
          </w:tcPr>
          <w:p w14:paraId="2BBA5483">
            <w:pPr>
              <w:spacing w:line="500" w:lineRule="exact"/>
              <w:rPr>
                <w:rFonts w:ascii="宋体" w:hAnsi="宋体" w:cs="宋体"/>
                <w:color w:val="auto"/>
                <w:szCs w:val="21"/>
              </w:rPr>
            </w:pPr>
            <w:r>
              <w:rPr>
                <w:rFonts w:hint="eastAsia" w:ascii="宋体" w:hAnsi="宋体" w:cs="宋体"/>
                <w:color w:val="auto"/>
                <w:szCs w:val="21"/>
              </w:rPr>
              <w:t>碳钢</w:t>
            </w:r>
          </w:p>
        </w:tc>
        <w:tc>
          <w:tcPr>
            <w:tcW w:w="4725" w:type="dxa"/>
            <w:vAlign w:val="center"/>
          </w:tcPr>
          <w:p w14:paraId="13BB1529">
            <w:pPr>
              <w:spacing w:line="500" w:lineRule="exact"/>
              <w:rPr>
                <w:rFonts w:ascii="宋体" w:hAnsi="宋体" w:cs="宋体"/>
                <w:color w:val="auto"/>
                <w:szCs w:val="21"/>
              </w:rPr>
            </w:pPr>
            <w:r>
              <w:rPr>
                <w:rFonts w:hint="eastAsia" w:ascii="宋体" w:hAnsi="宋体" w:cs="宋体"/>
                <w:color w:val="auto"/>
                <w:szCs w:val="21"/>
              </w:rPr>
              <w:t>安装于料仓顶部,符合粉炭使用国家相关防爆要求。</w:t>
            </w:r>
          </w:p>
        </w:tc>
      </w:tr>
      <w:tr w14:paraId="082B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90" w:type="dxa"/>
            <w:vAlign w:val="center"/>
          </w:tcPr>
          <w:p w14:paraId="0EAE2621">
            <w:pPr>
              <w:spacing w:line="500" w:lineRule="exact"/>
              <w:rPr>
                <w:rFonts w:ascii="宋体" w:hAnsi="宋体" w:cs="宋体"/>
                <w:color w:val="auto"/>
                <w:szCs w:val="21"/>
              </w:rPr>
            </w:pPr>
            <w:r>
              <w:rPr>
                <w:rFonts w:hint="eastAsia" w:ascii="宋体" w:hAnsi="宋体" w:cs="宋体"/>
                <w:color w:val="auto"/>
                <w:szCs w:val="21"/>
              </w:rPr>
              <w:t>5</w:t>
            </w:r>
          </w:p>
        </w:tc>
        <w:tc>
          <w:tcPr>
            <w:tcW w:w="1155" w:type="dxa"/>
            <w:vAlign w:val="center"/>
          </w:tcPr>
          <w:p w14:paraId="4B9C95D2">
            <w:pPr>
              <w:spacing w:line="500" w:lineRule="exact"/>
              <w:rPr>
                <w:rFonts w:ascii="宋体" w:hAnsi="宋体" w:cs="宋体"/>
                <w:color w:val="auto"/>
                <w:szCs w:val="21"/>
              </w:rPr>
            </w:pPr>
            <w:r>
              <w:rPr>
                <w:rFonts w:hint="eastAsia" w:ascii="宋体" w:hAnsi="宋体" w:cs="宋体"/>
                <w:color w:val="auto"/>
                <w:szCs w:val="21"/>
              </w:rPr>
              <w:t>称重系统</w:t>
            </w:r>
          </w:p>
        </w:tc>
        <w:tc>
          <w:tcPr>
            <w:tcW w:w="1590" w:type="dxa"/>
            <w:vAlign w:val="center"/>
          </w:tcPr>
          <w:p w14:paraId="32DACB12">
            <w:pPr>
              <w:spacing w:line="500" w:lineRule="exact"/>
              <w:ind w:left="0" w:leftChars="0"/>
              <w:jc w:val="left"/>
              <w:rPr>
                <w:rFonts w:ascii="宋体" w:hAnsi="宋体" w:cs="宋体"/>
                <w:color w:val="auto"/>
                <w:szCs w:val="21"/>
              </w:rPr>
            </w:pPr>
            <w:r>
              <w:rPr>
                <w:rFonts w:hint="eastAsia" w:ascii="宋体" w:hAnsi="宋体" w:cs="宋体"/>
                <w:color w:val="auto"/>
                <w:szCs w:val="21"/>
              </w:rPr>
              <w:t>4-20mA输出配显示仪表，带通讯接口。</w:t>
            </w:r>
          </w:p>
        </w:tc>
        <w:tc>
          <w:tcPr>
            <w:tcW w:w="780" w:type="dxa"/>
            <w:vAlign w:val="center"/>
          </w:tcPr>
          <w:p w14:paraId="708D3C3C">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703011ED">
            <w:pPr>
              <w:spacing w:line="500" w:lineRule="exact"/>
              <w:rPr>
                <w:rFonts w:ascii="宋体" w:hAnsi="宋体" w:cs="宋体"/>
                <w:color w:val="auto"/>
                <w:szCs w:val="21"/>
              </w:rPr>
            </w:pPr>
            <w:r>
              <w:rPr>
                <w:rFonts w:hint="eastAsia" w:ascii="宋体" w:hAnsi="宋体" w:cs="宋体"/>
                <w:color w:val="auto"/>
                <w:szCs w:val="21"/>
              </w:rPr>
              <w:t>不锈钢304</w:t>
            </w:r>
          </w:p>
        </w:tc>
        <w:tc>
          <w:tcPr>
            <w:tcW w:w="4725" w:type="dxa"/>
            <w:vAlign w:val="center"/>
          </w:tcPr>
          <w:p w14:paraId="2BD0881F">
            <w:pPr>
              <w:spacing w:line="500" w:lineRule="exact"/>
              <w:ind w:left="0" w:leftChars="0"/>
              <w:rPr>
                <w:rFonts w:ascii="宋体" w:hAnsi="宋体" w:cs="宋体"/>
                <w:color w:val="auto"/>
                <w:szCs w:val="21"/>
              </w:rPr>
            </w:pPr>
            <w:r>
              <w:rPr>
                <w:rFonts w:hint="eastAsia" w:ascii="宋体" w:hAnsi="宋体" w:cs="宋体"/>
                <w:color w:val="auto"/>
                <w:szCs w:val="21"/>
              </w:rPr>
              <w:t>梅特勒-托利多、HBM、尤梯赛尔或同档次及以上品牌。</w:t>
            </w:r>
          </w:p>
        </w:tc>
      </w:tr>
      <w:tr w14:paraId="1507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90" w:type="dxa"/>
            <w:vAlign w:val="center"/>
          </w:tcPr>
          <w:p w14:paraId="3575D6B6">
            <w:pPr>
              <w:spacing w:line="500" w:lineRule="exact"/>
              <w:rPr>
                <w:rFonts w:ascii="宋体" w:hAnsi="宋体" w:cs="宋体"/>
                <w:color w:val="auto"/>
                <w:szCs w:val="21"/>
              </w:rPr>
            </w:pPr>
            <w:r>
              <w:rPr>
                <w:rFonts w:hint="eastAsia" w:ascii="宋体" w:hAnsi="宋体" w:cs="宋体"/>
                <w:color w:val="auto"/>
                <w:szCs w:val="21"/>
              </w:rPr>
              <w:t>6</w:t>
            </w:r>
          </w:p>
        </w:tc>
        <w:tc>
          <w:tcPr>
            <w:tcW w:w="1155" w:type="dxa"/>
            <w:vAlign w:val="center"/>
          </w:tcPr>
          <w:p w14:paraId="4F5EA22F">
            <w:pPr>
              <w:spacing w:line="500" w:lineRule="exact"/>
              <w:rPr>
                <w:rFonts w:ascii="宋体" w:hAnsi="宋体" w:cs="宋体"/>
                <w:color w:val="auto"/>
                <w:szCs w:val="21"/>
              </w:rPr>
            </w:pPr>
            <w:r>
              <w:rPr>
                <w:rFonts w:hint="eastAsia" w:ascii="宋体" w:hAnsi="宋体" w:cs="宋体"/>
                <w:color w:val="auto"/>
                <w:szCs w:val="21"/>
              </w:rPr>
              <w:t>料仓空穴处理装置</w:t>
            </w:r>
          </w:p>
        </w:tc>
        <w:tc>
          <w:tcPr>
            <w:tcW w:w="1590" w:type="dxa"/>
            <w:vAlign w:val="center"/>
          </w:tcPr>
          <w:p w14:paraId="7594924A">
            <w:pPr>
              <w:spacing w:line="500" w:lineRule="exact"/>
              <w:rPr>
                <w:rFonts w:ascii="宋体" w:hAnsi="宋体" w:cs="宋体"/>
                <w:color w:val="auto"/>
                <w:szCs w:val="21"/>
              </w:rPr>
            </w:pPr>
            <w:r>
              <w:rPr>
                <w:rFonts w:hint="eastAsia" w:ascii="宋体" w:hAnsi="宋体" w:cs="宋体"/>
                <w:color w:val="auto"/>
                <w:szCs w:val="21"/>
              </w:rPr>
              <w:t>气动或机械式防空穴装置</w:t>
            </w:r>
          </w:p>
        </w:tc>
        <w:tc>
          <w:tcPr>
            <w:tcW w:w="780" w:type="dxa"/>
            <w:vAlign w:val="center"/>
          </w:tcPr>
          <w:p w14:paraId="0387C14D">
            <w:pPr>
              <w:spacing w:line="500" w:lineRule="exact"/>
              <w:ind w:left="0" w:leftChars="0"/>
              <w:rPr>
                <w:rFonts w:ascii="宋体" w:hAnsi="宋体" w:cs="宋体"/>
                <w:color w:val="auto"/>
                <w:szCs w:val="21"/>
              </w:rPr>
            </w:pPr>
            <w:r>
              <w:rPr>
                <w:rFonts w:hint="eastAsia" w:ascii="宋体" w:hAnsi="宋体" w:cs="宋体"/>
                <w:color w:val="auto"/>
                <w:szCs w:val="21"/>
              </w:rPr>
              <w:t>1套</w:t>
            </w:r>
          </w:p>
        </w:tc>
        <w:tc>
          <w:tcPr>
            <w:tcW w:w="1380" w:type="dxa"/>
            <w:vAlign w:val="center"/>
          </w:tcPr>
          <w:p w14:paraId="444F1782">
            <w:pPr>
              <w:spacing w:line="500" w:lineRule="exact"/>
              <w:rPr>
                <w:rFonts w:ascii="宋体" w:hAnsi="宋体" w:cs="宋体"/>
                <w:color w:val="auto"/>
                <w:szCs w:val="21"/>
              </w:rPr>
            </w:pPr>
          </w:p>
        </w:tc>
        <w:tc>
          <w:tcPr>
            <w:tcW w:w="4725" w:type="dxa"/>
            <w:vAlign w:val="center"/>
          </w:tcPr>
          <w:p w14:paraId="6CA21662">
            <w:pPr>
              <w:spacing w:line="500" w:lineRule="exact"/>
              <w:rPr>
                <w:rFonts w:ascii="宋体" w:hAnsi="宋体" w:cs="宋体"/>
                <w:color w:val="auto"/>
                <w:szCs w:val="21"/>
              </w:rPr>
            </w:pPr>
            <w:r>
              <w:rPr>
                <w:rFonts w:hint="eastAsia" w:ascii="宋体" w:hAnsi="宋体" w:cs="宋体"/>
                <w:color w:val="auto"/>
                <w:szCs w:val="21"/>
              </w:rPr>
              <w:t>曼威立、WAM、Sodimate、固莱或同档次及以上品牌，符合粉炭使用国家相关防爆要求。</w:t>
            </w:r>
          </w:p>
        </w:tc>
      </w:tr>
      <w:tr w14:paraId="77F6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0" w:type="dxa"/>
            <w:vAlign w:val="center"/>
          </w:tcPr>
          <w:p w14:paraId="6647538B">
            <w:pPr>
              <w:spacing w:line="500" w:lineRule="exact"/>
              <w:rPr>
                <w:rFonts w:ascii="宋体" w:hAnsi="宋体" w:cs="宋体"/>
                <w:color w:val="auto"/>
                <w:szCs w:val="21"/>
              </w:rPr>
            </w:pPr>
            <w:r>
              <w:rPr>
                <w:rFonts w:hint="eastAsia" w:ascii="宋体" w:hAnsi="宋体" w:cs="宋体"/>
                <w:color w:val="auto"/>
                <w:szCs w:val="21"/>
              </w:rPr>
              <w:t>7</w:t>
            </w:r>
          </w:p>
        </w:tc>
        <w:tc>
          <w:tcPr>
            <w:tcW w:w="1155" w:type="dxa"/>
            <w:vAlign w:val="center"/>
          </w:tcPr>
          <w:p w14:paraId="6B1BB871">
            <w:pPr>
              <w:spacing w:line="500" w:lineRule="exact"/>
              <w:rPr>
                <w:rFonts w:ascii="宋体" w:hAnsi="宋体" w:cs="宋体"/>
                <w:color w:val="auto"/>
                <w:szCs w:val="21"/>
              </w:rPr>
            </w:pPr>
            <w:r>
              <w:rPr>
                <w:rFonts w:hint="eastAsia" w:ascii="宋体" w:hAnsi="宋体" w:cs="宋体"/>
                <w:color w:val="auto"/>
                <w:szCs w:val="21"/>
              </w:rPr>
              <w:t>料仓出口阀</w:t>
            </w:r>
          </w:p>
        </w:tc>
        <w:tc>
          <w:tcPr>
            <w:tcW w:w="1590" w:type="dxa"/>
            <w:vAlign w:val="center"/>
          </w:tcPr>
          <w:p w14:paraId="664496D8">
            <w:pPr>
              <w:spacing w:line="500" w:lineRule="exact"/>
              <w:rPr>
                <w:rFonts w:ascii="宋体" w:hAnsi="宋体" w:cs="宋体"/>
                <w:color w:val="auto"/>
                <w:szCs w:val="21"/>
              </w:rPr>
            </w:pPr>
            <w:r>
              <w:rPr>
                <w:rFonts w:hint="eastAsia" w:ascii="宋体" w:hAnsi="宋体" w:cs="宋体"/>
                <w:color w:val="auto"/>
                <w:szCs w:val="21"/>
              </w:rPr>
              <w:t>DN200</w:t>
            </w:r>
          </w:p>
        </w:tc>
        <w:tc>
          <w:tcPr>
            <w:tcW w:w="780" w:type="dxa"/>
            <w:vAlign w:val="center"/>
          </w:tcPr>
          <w:p w14:paraId="28E420AA">
            <w:pPr>
              <w:spacing w:line="500" w:lineRule="exact"/>
              <w:rPr>
                <w:rFonts w:ascii="宋体" w:hAnsi="宋体" w:cs="宋体"/>
                <w:color w:val="auto"/>
                <w:szCs w:val="21"/>
              </w:rPr>
            </w:pPr>
            <w:r>
              <w:rPr>
                <w:rFonts w:hint="eastAsia" w:ascii="宋体" w:hAnsi="宋体" w:cs="宋体"/>
                <w:color w:val="auto"/>
                <w:szCs w:val="21"/>
              </w:rPr>
              <w:t>1个</w:t>
            </w:r>
          </w:p>
        </w:tc>
        <w:tc>
          <w:tcPr>
            <w:tcW w:w="1380" w:type="dxa"/>
            <w:vAlign w:val="center"/>
          </w:tcPr>
          <w:p w14:paraId="4C0E1F17">
            <w:pPr>
              <w:spacing w:line="500" w:lineRule="exact"/>
              <w:jc w:val="left"/>
              <w:rPr>
                <w:rFonts w:ascii="宋体" w:hAnsi="宋体" w:cs="宋体"/>
                <w:color w:val="auto"/>
                <w:szCs w:val="21"/>
              </w:rPr>
            </w:pPr>
            <w:r>
              <w:rPr>
                <w:rFonts w:hint="eastAsia" w:ascii="宋体" w:hAnsi="宋体" w:cs="宋体"/>
                <w:color w:val="auto"/>
                <w:szCs w:val="21"/>
              </w:rPr>
              <w:t>不锈钢AISI302阀板</w:t>
            </w:r>
          </w:p>
        </w:tc>
        <w:tc>
          <w:tcPr>
            <w:tcW w:w="4725" w:type="dxa"/>
            <w:vAlign w:val="center"/>
          </w:tcPr>
          <w:p w14:paraId="5508FF00">
            <w:pPr>
              <w:spacing w:line="500" w:lineRule="exact"/>
              <w:rPr>
                <w:rFonts w:ascii="宋体" w:hAnsi="宋体" w:cs="宋体"/>
                <w:color w:val="auto"/>
                <w:szCs w:val="21"/>
              </w:rPr>
            </w:pPr>
            <w:r>
              <w:rPr>
                <w:rFonts w:hint="eastAsia" w:ascii="宋体" w:hAnsi="宋体" w:cs="宋体"/>
                <w:color w:val="auto"/>
                <w:szCs w:val="21"/>
              </w:rPr>
              <w:t>法国Sodimate、英国GREAT LOVE、法国PARIMIX或同档次及以上品牌。</w:t>
            </w:r>
          </w:p>
        </w:tc>
      </w:tr>
      <w:tr w14:paraId="5518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90" w:type="dxa"/>
            <w:vAlign w:val="center"/>
          </w:tcPr>
          <w:p w14:paraId="5559C6C0">
            <w:pPr>
              <w:spacing w:line="500" w:lineRule="exact"/>
              <w:rPr>
                <w:rFonts w:ascii="宋体" w:hAnsi="宋体" w:cs="宋体"/>
                <w:color w:val="auto"/>
                <w:szCs w:val="21"/>
              </w:rPr>
            </w:pPr>
            <w:r>
              <w:rPr>
                <w:rFonts w:hint="eastAsia" w:ascii="宋体" w:hAnsi="宋体" w:cs="宋体"/>
                <w:color w:val="auto"/>
                <w:szCs w:val="21"/>
              </w:rPr>
              <w:t>8</w:t>
            </w:r>
          </w:p>
        </w:tc>
        <w:tc>
          <w:tcPr>
            <w:tcW w:w="1155" w:type="dxa"/>
            <w:vAlign w:val="center"/>
          </w:tcPr>
          <w:p w14:paraId="06D7952A">
            <w:pPr>
              <w:spacing w:line="500" w:lineRule="exact"/>
              <w:rPr>
                <w:rFonts w:ascii="宋体" w:hAnsi="宋体" w:cs="宋体"/>
                <w:color w:val="auto"/>
                <w:szCs w:val="21"/>
              </w:rPr>
            </w:pPr>
            <w:r>
              <w:rPr>
                <w:rFonts w:hint="eastAsia" w:ascii="宋体" w:hAnsi="宋体" w:cs="宋体"/>
                <w:color w:val="auto"/>
                <w:szCs w:val="21"/>
              </w:rPr>
              <w:t>螺旋给料机</w:t>
            </w:r>
          </w:p>
        </w:tc>
        <w:tc>
          <w:tcPr>
            <w:tcW w:w="1590" w:type="dxa"/>
            <w:vAlign w:val="center"/>
          </w:tcPr>
          <w:p w14:paraId="6E988F7A">
            <w:pPr>
              <w:spacing w:line="500" w:lineRule="exact"/>
              <w:rPr>
                <w:rFonts w:ascii="宋体" w:hAnsi="宋体" w:cs="宋体"/>
                <w:color w:val="auto"/>
                <w:szCs w:val="21"/>
              </w:rPr>
            </w:pPr>
            <w:r>
              <w:rPr>
                <w:rFonts w:hint="eastAsia" w:ascii="宋体" w:hAnsi="宋体" w:cs="宋体"/>
                <w:color w:val="auto"/>
                <w:szCs w:val="21"/>
              </w:rPr>
              <w:t>400型</w:t>
            </w:r>
          </w:p>
        </w:tc>
        <w:tc>
          <w:tcPr>
            <w:tcW w:w="780" w:type="dxa"/>
            <w:vAlign w:val="center"/>
          </w:tcPr>
          <w:p w14:paraId="31F1EC33">
            <w:pPr>
              <w:spacing w:line="500" w:lineRule="exact"/>
              <w:rPr>
                <w:rFonts w:ascii="宋体" w:hAnsi="宋体" w:cs="宋体"/>
                <w:color w:val="auto"/>
                <w:szCs w:val="21"/>
              </w:rPr>
            </w:pPr>
            <w:r>
              <w:rPr>
                <w:rFonts w:hint="eastAsia" w:ascii="宋体" w:hAnsi="宋体" w:cs="宋体"/>
                <w:color w:val="auto"/>
                <w:szCs w:val="21"/>
              </w:rPr>
              <w:t>1台</w:t>
            </w:r>
          </w:p>
        </w:tc>
        <w:tc>
          <w:tcPr>
            <w:tcW w:w="1380" w:type="dxa"/>
            <w:vAlign w:val="center"/>
          </w:tcPr>
          <w:p w14:paraId="334549DC">
            <w:pPr>
              <w:spacing w:line="500" w:lineRule="exact"/>
              <w:rPr>
                <w:rFonts w:ascii="宋体" w:hAnsi="宋体" w:cs="宋体"/>
                <w:color w:val="auto"/>
                <w:szCs w:val="21"/>
              </w:rPr>
            </w:pPr>
            <w:r>
              <w:rPr>
                <w:rFonts w:hint="eastAsia" w:ascii="宋体" w:hAnsi="宋体" w:cs="宋体"/>
                <w:color w:val="auto"/>
                <w:szCs w:val="21"/>
              </w:rPr>
              <w:t>碳钢</w:t>
            </w:r>
          </w:p>
        </w:tc>
        <w:tc>
          <w:tcPr>
            <w:tcW w:w="4725" w:type="dxa"/>
            <w:vAlign w:val="center"/>
          </w:tcPr>
          <w:p w14:paraId="0A156B6B">
            <w:pPr>
              <w:spacing w:line="500" w:lineRule="exact"/>
              <w:jc w:val="left"/>
              <w:rPr>
                <w:rFonts w:ascii="宋体" w:hAnsi="宋体" w:cs="宋体"/>
                <w:color w:val="auto"/>
                <w:szCs w:val="21"/>
              </w:rPr>
            </w:pPr>
            <w:r>
              <w:rPr>
                <w:rFonts w:hint="eastAsia" w:ascii="宋体" w:hAnsi="宋体" w:cs="宋体"/>
                <w:color w:val="auto"/>
                <w:szCs w:val="21"/>
              </w:rPr>
              <w:t>法国Sodimate、英国GREAT LOVE、法国PARIMIX或同档次及以上品牌。符合粉炭使用国家相关防爆要求。</w:t>
            </w:r>
          </w:p>
        </w:tc>
      </w:tr>
      <w:tr w14:paraId="3D6F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90" w:type="dxa"/>
            <w:vAlign w:val="center"/>
          </w:tcPr>
          <w:p w14:paraId="54216C7D">
            <w:pPr>
              <w:spacing w:line="500" w:lineRule="exact"/>
              <w:rPr>
                <w:rFonts w:ascii="宋体" w:hAnsi="宋体" w:cs="宋体"/>
                <w:color w:val="auto"/>
                <w:szCs w:val="21"/>
              </w:rPr>
            </w:pPr>
            <w:r>
              <w:rPr>
                <w:rFonts w:hint="eastAsia" w:ascii="宋体" w:hAnsi="宋体" w:cs="宋体"/>
                <w:color w:val="auto"/>
                <w:szCs w:val="21"/>
              </w:rPr>
              <w:t>9</w:t>
            </w:r>
          </w:p>
        </w:tc>
        <w:tc>
          <w:tcPr>
            <w:tcW w:w="1155" w:type="dxa"/>
            <w:vAlign w:val="center"/>
          </w:tcPr>
          <w:p w14:paraId="1F4BCC03">
            <w:pPr>
              <w:spacing w:line="500" w:lineRule="exact"/>
              <w:rPr>
                <w:rFonts w:ascii="宋体" w:hAnsi="宋体" w:cs="宋体"/>
                <w:color w:val="auto"/>
                <w:szCs w:val="21"/>
              </w:rPr>
            </w:pPr>
            <w:r>
              <w:rPr>
                <w:rFonts w:hint="eastAsia" w:ascii="宋体" w:hAnsi="宋体" w:cs="宋体"/>
                <w:color w:val="auto"/>
                <w:szCs w:val="21"/>
              </w:rPr>
              <w:t>螺旋输送机</w:t>
            </w:r>
          </w:p>
        </w:tc>
        <w:tc>
          <w:tcPr>
            <w:tcW w:w="1590" w:type="dxa"/>
            <w:vAlign w:val="center"/>
          </w:tcPr>
          <w:p w14:paraId="4526E25A">
            <w:pPr>
              <w:spacing w:line="500" w:lineRule="exact"/>
              <w:rPr>
                <w:rFonts w:ascii="宋体" w:hAnsi="宋体" w:cs="宋体"/>
                <w:color w:val="auto"/>
                <w:szCs w:val="21"/>
              </w:rPr>
            </w:pPr>
            <w:r>
              <w:rPr>
                <w:rFonts w:hint="eastAsia" w:ascii="宋体" w:hAnsi="宋体" w:cs="宋体"/>
                <w:color w:val="auto"/>
                <w:szCs w:val="21"/>
              </w:rPr>
              <w:t xml:space="preserve">水平或倾角输送量为350kg/H </w:t>
            </w:r>
          </w:p>
        </w:tc>
        <w:tc>
          <w:tcPr>
            <w:tcW w:w="780" w:type="dxa"/>
            <w:vAlign w:val="center"/>
          </w:tcPr>
          <w:p w14:paraId="7CE6FA16">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5A581EB5">
            <w:pPr>
              <w:spacing w:line="500" w:lineRule="exact"/>
              <w:rPr>
                <w:rFonts w:ascii="宋体" w:hAnsi="宋体" w:cs="宋体"/>
                <w:color w:val="auto"/>
                <w:szCs w:val="21"/>
              </w:rPr>
            </w:pPr>
            <w:r>
              <w:rPr>
                <w:rFonts w:hint="eastAsia" w:ascii="宋体" w:hAnsi="宋体" w:cs="宋体"/>
                <w:color w:val="auto"/>
                <w:szCs w:val="21"/>
              </w:rPr>
              <w:t>碳钢</w:t>
            </w:r>
          </w:p>
        </w:tc>
        <w:tc>
          <w:tcPr>
            <w:tcW w:w="4725" w:type="dxa"/>
            <w:vAlign w:val="center"/>
          </w:tcPr>
          <w:p w14:paraId="524D944D">
            <w:pPr>
              <w:spacing w:line="500" w:lineRule="exact"/>
              <w:rPr>
                <w:rFonts w:ascii="宋体" w:hAnsi="宋体" w:cs="宋体"/>
                <w:color w:val="auto"/>
                <w:szCs w:val="21"/>
              </w:rPr>
            </w:pPr>
            <w:r>
              <w:rPr>
                <w:rFonts w:hint="eastAsia" w:ascii="宋体" w:hAnsi="宋体" w:cs="宋体"/>
                <w:color w:val="auto"/>
                <w:szCs w:val="21"/>
              </w:rPr>
              <w:t>法国Sodimate、英国GREAT LOVE、法国PARIMIX或同档次及以上品牌，符合粉炭使用国家相关防爆要求，符合粉炭使用国家相关防爆要。</w:t>
            </w:r>
          </w:p>
        </w:tc>
      </w:tr>
      <w:tr w14:paraId="2B2E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0" w:type="dxa"/>
            <w:vAlign w:val="center"/>
          </w:tcPr>
          <w:p w14:paraId="345ACBFA">
            <w:pPr>
              <w:spacing w:line="500" w:lineRule="exact"/>
              <w:rPr>
                <w:rFonts w:ascii="宋体" w:hAnsi="宋体" w:cs="宋体"/>
                <w:color w:val="auto"/>
                <w:szCs w:val="21"/>
              </w:rPr>
            </w:pPr>
            <w:r>
              <w:rPr>
                <w:rFonts w:hint="eastAsia" w:ascii="宋体" w:hAnsi="宋体" w:cs="宋体"/>
                <w:color w:val="auto"/>
                <w:szCs w:val="21"/>
              </w:rPr>
              <w:t>10</w:t>
            </w:r>
          </w:p>
        </w:tc>
        <w:tc>
          <w:tcPr>
            <w:tcW w:w="1155" w:type="dxa"/>
            <w:vAlign w:val="center"/>
          </w:tcPr>
          <w:p w14:paraId="143CB436">
            <w:pPr>
              <w:spacing w:line="500" w:lineRule="exact"/>
              <w:rPr>
                <w:rFonts w:ascii="宋体" w:hAnsi="宋体" w:cs="宋体"/>
                <w:color w:val="auto"/>
                <w:szCs w:val="21"/>
              </w:rPr>
            </w:pPr>
            <w:r>
              <w:rPr>
                <w:rFonts w:hint="eastAsia" w:ascii="宋体" w:hAnsi="宋体" w:cs="宋体"/>
                <w:color w:val="auto"/>
                <w:szCs w:val="21"/>
              </w:rPr>
              <w:t>制备溶解罐</w:t>
            </w:r>
          </w:p>
        </w:tc>
        <w:tc>
          <w:tcPr>
            <w:tcW w:w="1590" w:type="dxa"/>
            <w:vAlign w:val="center"/>
          </w:tcPr>
          <w:p w14:paraId="159EA7F8">
            <w:pPr>
              <w:spacing w:line="500" w:lineRule="exact"/>
              <w:rPr>
                <w:rFonts w:ascii="宋体" w:hAnsi="宋体" w:cs="宋体"/>
                <w:color w:val="auto"/>
                <w:szCs w:val="21"/>
              </w:rPr>
            </w:pPr>
            <w:r>
              <w:rPr>
                <w:rFonts w:hint="eastAsia" w:ascii="宋体" w:hAnsi="宋体" w:cs="宋体"/>
                <w:color w:val="auto"/>
                <w:szCs w:val="21"/>
              </w:rPr>
              <w:t>V≥3.5 m</w:t>
            </w:r>
            <w:r>
              <w:rPr>
                <w:rFonts w:hint="eastAsia" w:ascii="宋体" w:hAnsi="宋体" w:cs="宋体"/>
                <w:color w:val="auto"/>
                <w:szCs w:val="21"/>
                <w:vertAlign w:val="superscript"/>
              </w:rPr>
              <w:t>3</w:t>
            </w:r>
            <w:r>
              <w:rPr>
                <w:rFonts w:hint="eastAsia" w:ascii="宋体" w:hAnsi="宋体" w:cs="宋体"/>
                <w:color w:val="auto"/>
                <w:kern w:val="0"/>
                <w:szCs w:val="21"/>
              </w:rPr>
              <w:t>，δ=4mm</w:t>
            </w:r>
          </w:p>
        </w:tc>
        <w:tc>
          <w:tcPr>
            <w:tcW w:w="780" w:type="dxa"/>
            <w:vAlign w:val="center"/>
          </w:tcPr>
          <w:p w14:paraId="290F8C47">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45CDBF15">
            <w:pPr>
              <w:spacing w:line="500" w:lineRule="exact"/>
              <w:rPr>
                <w:rFonts w:ascii="宋体" w:hAnsi="宋体" w:cs="宋体"/>
                <w:color w:val="auto"/>
                <w:szCs w:val="21"/>
              </w:rPr>
            </w:pPr>
            <w:r>
              <w:rPr>
                <w:rFonts w:hint="eastAsia" w:ascii="宋体" w:hAnsi="宋体" w:cs="宋体"/>
                <w:color w:val="auto"/>
                <w:szCs w:val="21"/>
              </w:rPr>
              <w:t>不锈钢AISI304</w:t>
            </w:r>
          </w:p>
        </w:tc>
        <w:tc>
          <w:tcPr>
            <w:tcW w:w="4725" w:type="dxa"/>
            <w:vAlign w:val="center"/>
          </w:tcPr>
          <w:p w14:paraId="73CD84E0">
            <w:pPr>
              <w:spacing w:line="500" w:lineRule="exact"/>
              <w:rPr>
                <w:rFonts w:ascii="宋体" w:hAnsi="宋体" w:cs="宋体"/>
                <w:color w:val="auto"/>
                <w:szCs w:val="21"/>
              </w:rPr>
            </w:pPr>
            <w:r>
              <w:rPr>
                <w:rFonts w:hint="eastAsia" w:ascii="宋体" w:hAnsi="宋体" w:cs="宋体"/>
                <w:color w:val="auto"/>
                <w:szCs w:val="21"/>
              </w:rPr>
              <w:t>含制备水及相关阀门、排渣口、除尘、液位计等配套件，其中排渣口口径DN50，安装手动不锈钢法兰球阀。手自动排渣，符合粉炭使用国家相关防爆要求。</w:t>
            </w:r>
          </w:p>
        </w:tc>
      </w:tr>
      <w:tr w14:paraId="1BA1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0" w:type="dxa"/>
            <w:vAlign w:val="center"/>
          </w:tcPr>
          <w:p w14:paraId="456D5892">
            <w:pPr>
              <w:spacing w:line="500" w:lineRule="exact"/>
              <w:rPr>
                <w:rFonts w:ascii="宋体" w:hAnsi="宋体" w:cs="宋体"/>
                <w:color w:val="auto"/>
                <w:szCs w:val="21"/>
              </w:rPr>
            </w:pPr>
            <w:r>
              <w:rPr>
                <w:rFonts w:hint="eastAsia" w:ascii="宋体" w:hAnsi="宋体" w:cs="宋体"/>
                <w:color w:val="auto"/>
                <w:szCs w:val="21"/>
              </w:rPr>
              <w:t>11</w:t>
            </w:r>
          </w:p>
        </w:tc>
        <w:tc>
          <w:tcPr>
            <w:tcW w:w="1155" w:type="dxa"/>
            <w:vAlign w:val="center"/>
          </w:tcPr>
          <w:p w14:paraId="556193FC">
            <w:pPr>
              <w:spacing w:line="500" w:lineRule="exact"/>
              <w:rPr>
                <w:rFonts w:ascii="宋体" w:hAnsi="宋体" w:cs="宋体"/>
                <w:color w:val="auto"/>
                <w:szCs w:val="21"/>
              </w:rPr>
            </w:pPr>
            <w:r>
              <w:rPr>
                <w:rFonts w:hint="eastAsia" w:ascii="宋体" w:hAnsi="宋体" w:cs="宋体"/>
                <w:color w:val="auto"/>
                <w:szCs w:val="21"/>
              </w:rPr>
              <w:t>储存罐</w:t>
            </w:r>
          </w:p>
        </w:tc>
        <w:tc>
          <w:tcPr>
            <w:tcW w:w="1590" w:type="dxa"/>
            <w:vAlign w:val="center"/>
          </w:tcPr>
          <w:p w14:paraId="71569E98">
            <w:pPr>
              <w:spacing w:line="500" w:lineRule="exact"/>
              <w:rPr>
                <w:rFonts w:ascii="宋体" w:hAnsi="宋体" w:cs="宋体"/>
                <w:color w:val="auto"/>
                <w:szCs w:val="21"/>
              </w:rPr>
            </w:pPr>
            <w:r>
              <w:rPr>
                <w:rFonts w:hint="eastAsia" w:ascii="宋体" w:hAnsi="宋体" w:cs="宋体"/>
                <w:color w:val="auto"/>
                <w:szCs w:val="21"/>
              </w:rPr>
              <w:t>V≥3.5 m</w:t>
            </w:r>
            <w:r>
              <w:rPr>
                <w:rFonts w:hint="eastAsia" w:ascii="宋体" w:hAnsi="宋体" w:cs="宋体"/>
                <w:color w:val="auto"/>
                <w:szCs w:val="21"/>
                <w:vertAlign w:val="superscript"/>
              </w:rPr>
              <w:t>3</w:t>
            </w:r>
            <w:r>
              <w:rPr>
                <w:rFonts w:hint="eastAsia" w:ascii="宋体" w:hAnsi="宋体" w:cs="宋体"/>
                <w:color w:val="auto"/>
                <w:kern w:val="0"/>
                <w:szCs w:val="21"/>
              </w:rPr>
              <w:t>，δ=4mm</w:t>
            </w:r>
          </w:p>
        </w:tc>
        <w:tc>
          <w:tcPr>
            <w:tcW w:w="780" w:type="dxa"/>
            <w:vAlign w:val="center"/>
          </w:tcPr>
          <w:p w14:paraId="503D38BA">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7C28AB65">
            <w:pPr>
              <w:spacing w:line="500" w:lineRule="exact"/>
              <w:rPr>
                <w:rFonts w:ascii="宋体" w:hAnsi="宋体" w:cs="宋体"/>
                <w:color w:val="auto"/>
                <w:szCs w:val="21"/>
              </w:rPr>
            </w:pPr>
            <w:r>
              <w:rPr>
                <w:rFonts w:hint="eastAsia" w:ascii="宋体" w:hAnsi="宋体" w:cs="宋体"/>
                <w:color w:val="auto"/>
                <w:szCs w:val="21"/>
              </w:rPr>
              <w:t>不锈钢AISI304</w:t>
            </w:r>
          </w:p>
        </w:tc>
        <w:tc>
          <w:tcPr>
            <w:tcW w:w="4725" w:type="dxa"/>
            <w:vAlign w:val="center"/>
          </w:tcPr>
          <w:p w14:paraId="76AE4F68">
            <w:pPr>
              <w:spacing w:line="500" w:lineRule="exact"/>
              <w:rPr>
                <w:rFonts w:ascii="宋体" w:hAnsi="宋体" w:cs="宋体"/>
                <w:color w:val="auto"/>
                <w:szCs w:val="21"/>
              </w:rPr>
            </w:pPr>
            <w:r>
              <w:rPr>
                <w:rFonts w:hint="eastAsia" w:ascii="宋体" w:hAnsi="宋体" w:cs="宋体"/>
                <w:color w:val="auto"/>
                <w:szCs w:val="21"/>
              </w:rPr>
              <w:t>含制备水及相关阀门、排渣口、压力变送器，溢流管，人孔等配套件。</w:t>
            </w:r>
          </w:p>
        </w:tc>
      </w:tr>
      <w:tr w14:paraId="1A56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0" w:type="dxa"/>
            <w:vAlign w:val="center"/>
          </w:tcPr>
          <w:p w14:paraId="1474F9A7">
            <w:pPr>
              <w:spacing w:line="500" w:lineRule="exact"/>
              <w:rPr>
                <w:rFonts w:ascii="宋体" w:hAnsi="宋体" w:cs="宋体"/>
                <w:color w:val="auto"/>
                <w:szCs w:val="21"/>
              </w:rPr>
            </w:pPr>
            <w:r>
              <w:rPr>
                <w:rFonts w:hint="eastAsia" w:ascii="宋体" w:hAnsi="宋体" w:cs="宋体"/>
                <w:color w:val="auto"/>
                <w:szCs w:val="21"/>
              </w:rPr>
              <w:t>12</w:t>
            </w:r>
          </w:p>
        </w:tc>
        <w:tc>
          <w:tcPr>
            <w:tcW w:w="1155" w:type="dxa"/>
            <w:vAlign w:val="center"/>
          </w:tcPr>
          <w:p w14:paraId="2D7E56F5">
            <w:pPr>
              <w:spacing w:line="500" w:lineRule="exact"/>
              <w:rPr>
                <w:rFonts w:ascii="宋体" w:hAnsi="宋体" w:cs="宋体"/>
                <w:color w:val="auto"/>
                <w:szCs w:val="21"/>
              </w:rPr>
            </w:pPr>
            <w:r>
              <w:rPr>
                <w:rFonts w:hint="eastAsia" w:ascii="宋体" w:hAnsi="宋体" w:cs="宋体"/>
                <w:color w:val="auto"/>
                <w:szCs w:val="21"/>
              </w:rPr>
              <w:t>搅拌机</w:t>
            </w:r>
          </w:p>
        </w:tc>
        <w:tc>
          <w:tcPr>
            <w:tcW w:w="1590" w:type="dxa"/>
            <w:vAlign w:val="center"/>
          </w:tcPr>
          <w:p w14:paraId="6A7D5DE0">
            <w:pPr>
              <w:spacing w:line="500" w:lineRule="exact"/>
              <w:rPr>
                <w:rFonts w:ascii="宋体" w:hAnsi="宋体" w:cs="宋体"/>
                <w:color w:val="auto"/>
                <w:szCs w:val="21"/>
              </w:rPr>
            </w:pPr>
            <w:r>
              <w:rPr>
                <w:rFonts w:hint="eastAsia" w:ascii="宋体" w:hAnsi="宋体" w:cs="宋体"/>
                <w:color w:val="auto"/>
                <w:szCs w:val="21"/>
              </w:rPr>
              <w:t>1.1KW</w:t>
            </w:r>
          </w:p>
        </w:tc>
        <w:tc>
          <w:tcPr>
            <w:tcW w:w="780" w:type="dxa"/>
            <w:vAlign w:val="center"/>
          </w:tcPr>
          <w:p w14:paraId="4147C744">
            <w:pPr>
              <w:spacing w:line="500" w:lineRule="exact"/>
              <w:rPr>
                <w:rFonts w:ascii="宋体" w:hAnsi="宋体" w:cs="宋体"/>
                <w:color w:val="auto"/>
                <w:szCs w:val="21"/>
              </w:rPr>
            </w:pPr>
            <w:r>
              <w:rPr>
                <w:rFonts w:hint="eastAsia" w:ascii="宋体" w:hAnsi="宋体" w:cs="宋体"/>
                <w:color w:val="auto"/>
                <w:szCs w:val="21"/>
              </w:rPr>
              <w:t>2台</w:t>
            </w:r>
          </w:p>
        </w:tc>
        <w:tc>
          <w:tcPr>
            <w:tcW w:w="1380" w:type="dxa"/>
            <w:vAlign w:val="center"/>
          </w:tcPr>
          <w:p w14:paraId="2AADBD68">
            <w:pPr>
              <w:spacing w:line="500" w:lineRule="exact"/>
              <w:rPr>
                <w:rFonts w:ascii="宋体" w:hAnsi="宋体" w:cs="宋体"/>
                <w:color w:val="auto"/>
                <w:szCs w:val="21"/>
              </w:rPr>
            </w:pPr>
            <w:r>
              <w:rPr>
                <w:rFonts w:hint="eastAsia" w:ascii="宋体" w:hAnsi="宋体" w:cs="宋体"/>
                <w:color w:val="auto"/>
                <w:szCs w:val="21"/>
              </w:rPr>
              <w:t>不锈钢AISI304</w:t>
            </w:r>
          </w:p>
        </w:tc>
        <w:tc>
          <w:tcPr>
            <w:tcW w:w="4725" w:type="dxa"/>
            <w:vAlign w:val="center"/>
          </w:tcPr>
          <w:p w14:paraId="49350C5D">
            <w:pPr>
              <w:spacing w:line="500" w:lineRule="exact"/>
              <w:rPr>
                <w:rFonts w:ascii="宋体" w:hAnsi="宋体" w:cs="宋体"/>
                <w:color w:val="auto"/>
                <w:szCs w:val="21"/>
              </w:rPr>
            </w:pPr>
            <w:r>
              <w:rPr>
                <w:rFonts w:hint="eastAsia" w:ascii="宋体" w:hAnsi="宋体" w:cs="宋体"/>
                <w:color w:val="auto"/>
                <w:szCs w:val="21"/>
              </w:rPr>
              <w:t>采用SEW、Nord、</w:t>
            </w:r>
            <w:r>
              <w:rPr>
                <w:rFonts w:hint="eastAsia" w:ascii="宋体" w:hAnsi="宋体" w:cs="宋体"/>
                <w:color w:val="auto"/>
                <w:spacing w:val="8"/>
                <w:szCs w:val="21"/>
              </w:rPr>
              <w:t>Flender</w:t>
            </w:r>
            <w:r>
              <w:rPr>
                <w:rFonts w:hint="eastAsia" w:ascii="宋体" w:hAnsi="宋体" w:cs="宋体"/>
                <w:color w:val="auto"/>
                <w:szCs w:val="21"/>
              </w:rPr>
              <w:t>或同档次及以上品牌减速机，其中2台安装在制备罐上。</w:t>
            </w:r>
          </w:p>
        </w:tc>
      </w:tr>
      <w:tr w14:paraId="4DBA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0" w:type="dxa"/>
            <w:vAlign w:val="center"/>
          </w:tcPr>
          <w:p w14:paraId="0509A507">
            <w:pPr>
              <w:spacing w:line="500" w:lineRule="exact"/>
              <w:rPr>
                <w:rFonts w:ascii="宋体" w:hAnsi="宋体" w:cs="宋体"/>
                <w:color w:val="auto"/>
                <w:szCs w:val="21"/>
              </w:rPr>
            </w:pPr>
            <w:r>
              <w:rPr>
                <w:rFonts w:hint="eastAsia" w:ascii="宋体" w:hAnsi="宋体" w:cs="宋体"/>
                <w:color w:val="auto"/>
                <w:szCs w:val="21"/>
              </w:rPr>
              <w:t>13</w:t>
            </w:r>
          </w:p>
        </w:tc>
        <w:tc>
          <w:tcPr>
            <w:tcW w:w="1155" w:type="dxa"/>
            <w:vAlign w:val="center"/>
          </w:tcPr>
          <w:p w14:paraId="652BA478">
            <w:pPr>
              <w:spacing w:line="500" w:lineRule="exact"/>
              <w:rPr>
                <w:rFonts w:ascii="宋体" w:hAnsi="宋体" w:cs="宋体"/>
                <w:color w:val="auto"/>
                <w:szCs w:val="21"/>
              </w:rPr>
            </w:pPr>
            <w:r>
              <w:rPr>
                <w:rFonts w:hint="eastAsia" w:ascii="宋体" w:hAnsi="宋体" w:cs="宋体"/>
                <w:color w:val="auto"/>
                <w:szCs w:val="21"/>
              </w:rPr>
              <w:t>制备溶解罐负压除尘器</w:t>
            </w:r>
          </w:p>
        </w:tc>
        <w:tc>
          <w:tcPr>
            <w:tcW w:w="1590" w:type="dxa"/>
            <w:vAlign w:val="center"/>
          </w:tcPr>
          <w:p w14:paraId="70BCCD62">
            <w:pPr>
              <w:spacing w:line="500" w:lineRule="exact"/>
              <w:rPr>
                <w:rFonts w:ascii="宋体" w:hAnsi="宋体" w:cs="宋体"/>
                <w:color w:val="auto"/>
                <w:szCs w:val="21"/>
              </w:rPr>
            </w:pPr>
            <w:r>
              <w:rPr>
                <w:rFonts w:hint="eastAsia" w:ascii="宋体" w:hAnsi="宋体" w:cs="宋体"/>
                <w:color w:val="auto"/>
                <w:szCs w:val="21"/>
              </w:rPr>
              <w:t>水控，双级除尘</w:t>
            </w:r>
          </w:p>
        </w:tc>
        <w:tc>
          <w:tcPr>
            <w:tcW w:w="780" w:type="dxa"/>
            <w:vAlign w:val="center"/>
          </w:tcPr>
          <w:p w14:paraId="42D7264C">
            <w:pPr>
              <w:spacing w:line="500" w:lineRule="exact"/>
              <w:rPr>
                <w:rFonts w:ascii="宋体" w:hAnsi="宋体" w:cs="宋体"/>
                <w:color w:val="auto"/>
                <w:szCs w:val="21"/>
              </w:rPr>
            </w:pPr>
            <w:r>
              <w:rPr>
                <w:rFonts w:hint="eastAsia" w:ascii="宋体" w:hAnsi="宋体" w:cs="宋体"/>
                <w:color w:val="auto"/>
                <w:szCs w:val="21"/>
              </w:rPr>
              <w:t>1台</w:t>
            </w:r>
          </w:p>
        </w:tc>
        <w:tc>
          <w:tcPr>
            <w:tcW w:w="1380" w:type="dxa"/>
            <w:vAlign w:val="center"/>
          </w:tcPr>
          <w:p w14:paraId="24F74F31">
            <w:pPr>
              <w:spacing w:line="500" w:lineRule="exact"/>
              <w:rPr>
                <w:rFonts w:ascii="宋体" w:hAnsi="宋体" w:cs="宋体"/>
                <w:color w:val="auto"/>
                <w:szCs w:val="21"/>
              </w:rPr>
            </w:pPr>
            <w:r>
              <w:rPr>
                <w:rFonts w:hint="eastAsia" w:ascii="宋体" w:hAnsi="宋体" w:cs="宋体"/>
                <w:color w:val="auto"/>
                <w:szCs w:val="21"/>
              </w:rPr>
              <w:t>不锈钢AISI304</w:t>
            </w:r>
          </w:p>
        </w:tc>
        <w:tc>
          <w:tcPr>
            <w:tcW w:w="4725" w:type="dxa"/>
            <w:vAlign w:val="center"/>
          </w:tcPr>
          <w:p w14:paraId="0410AEA3">
            <w:pPr>
              <w:spacing w:line="500" w:lineRule="exact"/>
              <w:rPr>
                <w:rFonts w:ascii="宋体" w:hAnsi="宋体" w:cs="宋体"/>
                <w:color w:val="auto"/>
                <w:szCs w:val="21"/>
              </w:rPr>
            </w:pPr>
            <w:r>
              <w:rPr>
                <w:rFonts w:hint="eastAsia" w:ascii="宋体" w:hAnsi="宋体" w:cs="宋体"/>
                <w:color w:val="auto"/>
                <w:szCs w:val="21"/>
              </w:rPr>
              <w:t>法国Sodimate、英国GREAT LOVE、法国PARIMIX或同档次及以上品牌。</w:t>
            </w:r>
          </w:p>
        </w:tc>
      </w:tr>
      <w:tr w14:paraId="6ECA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90" w:type="dxa"/>
            <w:vAlign w:val="center"/>
          </w:tcPr>
          <w:p w14:paraId="4A696922">
            <w:pPr>
              <w:spacing w:line="500" w:lineRule="exact"/>
              <w:rPr>
                <w:rFonts w:ascii="宋体" w:hAnsi="宋体" w:cs="宋体"/>
                <w:color w:val="auto"/>
                <w:szCs w:val="21"/>
              </w:rPr>
            </w:pPr>
            <w:r>
              <w:rPr>
                <w:rFonts w:hint="eastAsia" w:ascii="宋体" w:hAnsi="宋体" w:cs="宋体"/>
                <w:color w:val="auto"/>
                <w:szCs w:val="21"/>
              </w:rPr>
              <w:t>14</w:t>
            </w:r>
          </w:p>
        </w:tc>
        <w:tc>
          <w:tcPr>
            <w:tcW w:w="1155" w:type="dxa"/>
            <w:vAlign w:val="center"/>
          </w:tcPr>
          <w:p w14:paraId="26CBDA68">
            <w:pPr>
              <w:spacing w:line="500" w:lineRule="exact"/>
              <w:rPr>
                <w:rFonts w:ascii="宋体" w:hAnsi="宋体" w:cs="宋体"/>
                <w:color w:val="auto"/>
                <w:szCs w:val="21"/>
              </w:rPr>
            </w:pPr>
            <w:r>
              <w:rPr>
                <w:rFonts w:hint="eastAsia" w:ascii="宋体" w:hAnsi="宋体" w:cs="宋体"/>
                <w:color w:val="auto"/>
                <w:szCs w:val="21"/>
              </w:rPr>
              <w:t>电磁流量计</w:t>
            </w:r>
          </w:p>
        </w:tc>
        <w:tc>
          <w:tcPr>
            <w:tcW w:w="1590" w:type="dxa"/>
            <w:vAlign w:val="center"/>
          </w:tcPr>
          <w:p w14:paraId="3B31D9AF">
            <w:pPr>
              <w:spacing w:line="500" w:lineRule="exact"/>
              <w:rPr>
                <w:rFonts w:ascii="宋体" w:hAnsi="宋体" w:cs="宋体"/>
                <w:color w:val="auto"/>
                <w:szCs w:val="21"/>
              </w:rPr>
            </w:pPr>
            <w:r>
              <w:rPr>
                <w:rFonts w:hint="eastAsia" w:ascii="宋体" w:hAnsi="宋体" w:cs="宋体"/>
                <w:color w:val="auto"/>
                <w:szCs w:val="21"/>
              </w:rPr>
              <w:t>DN40</w:t>
            </w:r>
          </w:p>
        </w:tc>
        <w:tc>
          <w:tcPr>
            <w:tcW w:w="780" w:type="dxa"/>
            <w:vAlign w:val="center"/>
          </w:tcPr>
          <w:p w14:paraId="45DF0179">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2F458761">
            <w:pPr>
              <w:spacing w:line="500" w:lineRule="exact"/>
              <w:rPr>
                <w:rFonts w:ascii="宋体" w:hAnsi="宋体" w:cs="宋体"/>
                <w:color w:val="auto"/>
                <w:szCs w:val="21"/>
              </w:rPr>
            </w:pPr>
          </w:p>
        </w:tc>
        <w:tc>
          <w:tcPr>
            <w:tcW w:w="4725" w:type="dxa"/>
            <w:vAlign w:val="center"/>
          </w:tcPr>
          <w:p w14:paraId="3952AF28">
            <w:pPr>
              <w:pStyle w:val="9"/>
              <w:spacing w:line="500" w:lineRule="exact"/>
              <w:rPr>
                <w:rFonts w:ascii="宋体" w:hAnsi="宋体" w:cs="宋体"/>
                <w:color w:val="auto"/>
                <w:szCs w:val="21"/>
              </w:rPr>
            </w:pPr>
            <w:r>
              <w:rPr>
                <w:rFonts w:hint="eastAsia" w:ascii="宋体" w:hAnsi="宋体" w:cs="宋体"/>
                <w:color w:val="auto"/>
                <w:szCs w:val="21"/>
              </w:rPr>
              <w:t>用于溶液配置用自来水计量，需满足溶液罐在出药情况下配水的时间不宜过长,需配备稳压阀、压力表电动阀门等附件。E+H、科隆、西门子或同档次及以上品牌。</w:t>
            </w:r>
          </w:p>
        </w:tc>
      </w:tr>
      <w:tr w14:paraId="19A2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0" w:type="dxa"/>
            <w:vAlign w:val="center"/>
          </w:tcPr>
          <w:p w14:paraId="5AE24451">
            <w:pPr>
              <w:spacing w:line="500" w:lineRule="exact"/>
              <w:rPr>
                <w:rFonts w:ascii="宋体" w:hAnsi="宋体" w:cs="宋体"/>
                <w:color w:val="auto"/>
                <w:szCs w:val="21"/>
              </w:rPr>
            </w:pPr>
            <w:r>
              <w:rPr>
                <w:rFonts w:hint="eastAsia" w:ascii="宋体" w:hAnsi="宋体" w:cs="宋体"/>
                <w:color w:val="auto"/>
                <w:szCs w:val="21"/>
              </w:rPr>
              <w:t>15</w:t>
            </w:r>
          </w:p>
        </w:tc>
        <w:tc>
          <w:tcPr>
            <w:tcW w:w="1155" w:type="dxa"/>
            <w:vAlign w:val="center"/>
          </w:tcPr>
          <w:p w14:paraId="66C58A0C">
            <w:pPr>
              <w:spacing w:line="500" w:lineRule="exact"/>
              <w:rPr>
                <w:rFonts w:ascii="宋体" w:hAnsi="宋体" w:cs="宋体"/>
                <w:color w:val="auto"/>
                <w:szCs w:val="21"/>
              </w:rPr>
            </w:pPr>
            <w:r>
              <w:rPr>
                <w:rFonts w:hint="eastAsia" w:ascii="宋体" w:hAnsi="宋体" w:cs="宋体"/>
                <w:color w:val="auto"/>
                <w:szCs w:val="21"/>
              </w:rPr>
              <w:t>耐磨离心泵</w:t>
            </w:r>
          </w:p>
        </w:tc>
        <w:tc>
          <w:tcPr>
            <w:tcW w:w="1590" w:type="dxa"/>
            <w:vAlign w:val="center"/>
          </w:tcPr>
          <w:p w14:paraId="6AC3B19A">
            <w:pPr>
              <w:spacing w:line="500" w:lineRule="exact"/>
              <w:jc w:val="left"/>
              <w:rPr>
                <w:rFonts w:ascii="宋体" w:hAnsi="宋体" w:cs="宋体"/>
                <w:color w:val="auto"/>
                <w:szCs w:val="21"/>
              </w:rPr>
            </w:pPr>
            <w:r>
              <w:rPr>
                <w:rFonts w:hint="eastAsia" w:ascii="宋体" w:hAnsi="宋体" w:cs="宋体"/>
                <w:color w:val="auto"/>
                <w:szCs w:val="21"/>
              </w:rPr>
              <w:t>Q=4.5m³，H=3bar</w:t>
            </w:r>
          </w:p>
        </w:tc>
        <w:tc>
          <w:tcPr>
            <w:tcW w:w="780" w:type="dxa"/>
            <w:vAlign w:val="center"/>
          </w:tcPr>
          <w:p w14:paraId="03314B4C">
            <w:pPr>
              <w:spacing w:line="500" w:lineRule="exact"/>
              <w:rPr>
                <w:rFonts w:ascii="宋体" w:hAnsi="宋体" w:cs="宋体"/>
                <w:color w:val="auto"/>
                <w:szCs w:val="21"/>
              </w:rPr>
            </w:pPr>
            <w:r>
              <w:rPr>
                <w:rFonts w:hint="eastAsia" w:ascii="宋体" w:hAnsi="宋体" w:cs="宋体"/>
                <w:color w:val="auto"/>
                <w:szCs w:val="21"/>
              </w:rPr>
              <w:t>2台</w:t>
            </w:r>
          </w:p>
        </w:tc>
        <w:tc>
          <w:tcPr>
            <w:tcW w:w="1380" w:type="dxa"/>
            <w:vAlign w:val="center"/>
          </w:tcPr>
          <w:p w14:paraId="59413146">
            <w:pPr>
              <w:spacing w:line="500" w:lineRule="exact"/>
              <w:rPr>
                <w:rFonts w:ascii="宋体" w:hAnsi="宋体" w:cs="宋体"/>
                <w:color w:val="auto"/>
                <w:szCs w:val="21"/>
              </w:rPr>
            </w:pPr>
          </w:p>
        </w:tc>
        <w:tc>
          <w:tcPr>
            <w:tcW w:w="4725" w:type="dxa"/>
            <w:vAlign w:val="center"/>
          </w:tcPr>
          <w:p w14:paraId="386ADE1D">
            <w:pPr>
              <w:spacing w:line="500" w:lineRule="exact"/>
              <w:rPr>
                <w:rFonts w:ascii="宋体" w:hAnsi="宋体" w:cs="宋体"/>
                <w:color w:val="auto"/>
                <w:szCs w:val="21"/>
              </w:rPr>
            </w:pPr>
            <w:r>
              <w:rPr>
                <w:rFonts w:hint="eastAsia" w:ascii="宋体" w:hAnsi="宋体" w:cs="宋体"/>
                <w:color w:val="auto"/>
                <w:szCs w:val="21"/>
              </w:rPr>
              <w:t>南方、东方、凯泉或同档次品牌，变频调节，包括密封冲洗及管路冲洗装置。其中配套电机必须为变频专用电机。</w:t>
            </w:r>
          </w:p>
        </w:tc>
      </w:tr>
      <w:tr w14:paraId="605E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90" w:type="dxa"/>
            <w:vAlign w:val="center"/>
          </w:tcPr>
          <w:p w14:paraId="5219C5FA">
            <w:pPr>
              <w:spacing w:line="500" w:lineRule="exact"/>
              <w:rPr>
                <w:rFonts w:ascii="宋体" w:hAnsi="宋体" w:cs="宋体"/>
                <w:color w:val="auto"/>
                <w:szCs w:val="21"/>
              </w:rPr>
            </w:pPr>
            <w:r>
              <w:rPr>
                <w:rFonts w:hint="eastAsia" w:ascii="宋体" w:hAnsi="宋体" w:cs="宋体"/>
                <w:color w:val="auto"/>
                <w:szCs w:val="21"/>
              </w:rPr>
              <w:t>16</w:t>
            </w:r>
          </w:p>
        </w:tc>
        <w:tc>
          <w:tcPr>
            <w:tcW w:w="1155" w:type="dxa"/>
            <w:vAlign w:val="center"/>
          </w:tcPr>
          <w:p w14:paraId="3B35FFAE">
            <w:pPr>
              <w:spacing w:line="500" w:lineRule="exact"/>
              <w:rPr>
                <w:rFonts w:ascii="宋体" w:hAnsi="宋体" w:cs="宋体"/>
                <w:color w:val="auto"/>
                <w:szCs w:val="21"/>
              </w:rPr>
            </w:pPr>
            <w:r>
              <w:rPr>
                <w:rFonts w:hint="eastAsia" w:ascii="宋体" w:hAnsi="宋体" w:cs="宋体"/>
                <w:color w:val="auto"/>
                <w:szCs w:val="21"/>
              </w:rPr>
              <w:t>电接点压力表</w:t>
            </w:r>
          </w:p>
        </w:tc>
        <w:tc>
          <w:tcPr>
            <w:tcW w:w="1590" w:type="dxa"/>
            <w:vAlign w:val="center"/>
          </w:tcPr>
          <w:p w14:paraId="1B968F51">
            <w:pPr>
              <w:spacing w:line="500" w:lineRule="exact"/>
              <w:rPr>
                <w:rFonts w:ascii="宋体" w:hAnsi="宋体" w:cs="宋体"/>
                <w:color w:val="auto"/>
                <w:szCs w:val="21"/>
              </w:rPr>
            </w:pPr>
            <w:r>
              <w:rPr>
                <w:rFonts w:hint="eastAsia" w:ascii="宋体" w:hAnsi="宋体" w:cs="宋体"/>
                <w:color w:val="auto"/>
                <w:szCs w:val="21"/>
              </w:rPr>
              <w:t>0-1.0Mpa</w:t>
            </w:r>
          </w:p>
        </w:tc>
        <w:tc>
          <w:tcPr>
            <w:tcW w:w="780" w:type="dxa"/>
            <w:vAlign w:val="center"/>
          </w:tcPr>
          <w:p w14:paraId="24545B16">
            <w:pPr>
              <w:spacing w:line="500" w:lineRule="exact"/>
              <w:rPr>
                <w:rFonts w:ascii="宋体" w:hAnsi="宋体" w:cs="宋体"/>
                <w:color w:val="auto"/>
                <w:szCs w:val="21"/>
              </w:rPr>
            </w:pPr>
            <w:r>
              <w:rPr>
                <w:rFonts w:hint="eastAsia" w:ascii="宋体" w:hAnsi="宋体" w:cs="宋体"/>
                <w:color w:val="auto"/>
                <w:szCs w:val="21"/>
              </w:rPr>
              <w:t>2台</w:t>
            </w:r>
          </w:p>
        </w:tc>
        <w:tc>
          <w:tcPr>
            <w:tcW w:w="1380" w:type="dxa"/>
            <w:vAlign w:val="center"/>
          </w:tcPr>
          <w:p w14:paraId="1B7F64D0">
            <w:pPr>
              <w:spacing w:line="500" w:lineRule="exact"/>
              <w:rPr>
                <w:rFonts w:ascii="宋体" w:hAnsi="宋体" w:cs="宋体"/>
                <w:color w:val="auto"/>
                <w:szCs w:val="21"/>
              </w:rPr>
            </w:pPr>
          </w:p>
        </w:tc>
        <w:tc>
          <w:tcPr>
            <w:tcW w:w="4725" w:type="dxa"/>
            <w:vAlign w:val="center"/>
          </w:tcPr>
          <w:p w14:paraId="108EC92F">
            <w:pPr>
              <w:spacing w:line="500" w:lineRule="exact"/>
              <w:rPr>
                <w:rFonts w:ascii="宋体" w:hAnsi="宋体" w:cs="宋体"/>
                <w:color w:val="auto"/>
                <w:szCs w:val="21"/>
              </w:rPr>
            </w:pPr>
            <w:r>
              <w:rPr>
                <w:rFonts w:hint="eastAsia" w:ascii="宋体" w:hAnsi="宋体" w:cs="宋体"/>
                <w:color w:val="auto"/>
                <w:szCs w:val="21"/>
              </w:rPr>
              <w:t>用于泵出口高压停泵，要求每个投加泵后配备一套。</w:t>
            </w:r>
          </w:p>
        </w:tc>
      </w:tr>
      <w:tr w14:paraId="0B85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0" w:type="dxa"/>
            <w:vAlign w:val="center"/>
          </w:tcPr>
          <w:p w14:paraId="5271CFD9">
            <w:pPr>
              <w:spacing w:line="500" w:lineRule="exact"/>
              <w:rPr>
                <w:rFonts w:ascii="宋体" w:hAnsi="宋体" w:cs="宋体"/>
                <w:color w:val="auto"/>
                <w:szCs w:val="21"/>
              </w:rPr>
            </w:pPr>
            <w:r>
              <w:rPr>
                <w:rFonts w:hint="eastAsia" w:ascii="宋体" w:hAnsi="宋体" w:cs="宋体"/>
                <w:color w:val="auto"/>
                <w:szCs w:val="21"/>
              </w:rPr>
              <w:t>17</w:t>
            </w:r>
          </w:p>
        </w:tc>
        <w:tc>
          <w:tcPr>
            <w:tcW w:w="1155" w:type="dxa"/>
            <w:vAlign w:val="center"/>
          </w:tcPr>
          <w:p w14:paraId="61FEFB0F">
            <w:pPr>
              <w:spacing w:line="500" w:lineRule="exact"/>
              <w:rPr>
                <w:rFonts w:ascii="宋体" w:hAnsi="宋体" w:cs="宋体"/>
                <w:color w:val="auto"/>
                <w:szCs w:val="21"/>
              </w:rPr>
            </w:pPr>
            <w:r>
              <w:rPr>
                <w:rFonts w:hint="eastAsia" w:ascii="宋体" w:hAnsi="宋体" w:cs="宋体"/>
                <w:color w:val="auto"/>
                <w:szCs w:val="21"/>
              </w:rPr>
              <w:t>电磁流量计</w:t>
            </w:r>
          </w:p>
        </w:tc>
        <w:tc>
          <w:tcPr>
            <w:tcW w:w="1590" w:type="dxa"/>
            <w:vAlign w:val="center"/>
          </w:tcPr>
          <w:p w14:paraId="78552B2C">
            <w:pPr>
              <w:spacing w:line="500" w:lineRule="exact"/>
              <w:rPr>
                <w:rFonts w:ascii="宋体" w:hAnsi="宋体" w:cs="宋体"/>
                <w:color w:val="auto"/>
                <w:szCs w:val="21"/>
              </w:rPr>
            </w:pPr>
            <w:r>
              <w:rPr>
                <w:rFonts w:hint="eastAsia" w:ascii="宋体" w:hAnsi="宋体" w:cs="宋体"/>
                <w:color w:val="auto"/>
                <w:szCs w:val="21"/>
              </w:rPr>
              <w:t>DN40</w:t>
            </w:r>
          </w:p>
        </w:tc>
        <w:tc>
          <w:tcPr>
            <w:tcW w:w="780" w:type="dxa"/>
            <w:vAlign w:val="center"/>
          </w:tcPr>
          <w:p w14:paraId="02E351D8">
            <w:pPr>
              <w:spacing w:line="500" w:lineRule="exact"/>
              <w:rPr>
                <w:rFonts w:ascii="宋体" w:hAnsi="宋体" w:cs="宋体"/>
                <w:color w:val="auto"/>
                <w:szCs w:val="21"/>
              </w:rPr>
            </w:pPr>
            <w:r>
              <w:rPr>
                <w:rFonts w:hint="eastAsia" w:ascii="宋体" w:hAnsi="宋体" w:cs="宋体"/>
                <w:color w:val="auto"/>
                <w:szCs w:val="21"/>
              </w:rPr>
              <w:t>1台</w:t>
            </w:r>
          </w:p>
        </w:tc>
        <w:tc>
          <w:tcPr>
            <w:tcW w:w="1380" w:type="dxa"/>
            <w:vAlign w:val="center"/>
          </w:tcPr>
          <w:p w14:paraId="18EB512C">
            <w:pPr>
              <w:spacing w:line="500" w:lineRule="exact"/>
              <w:ind w:left="420" w:leftChars="200"/>
              <w:jc w:val="center"/>
              <w:rPr>
                <w:rFonts w:ascii="宋体" w:hAnsi="宋体" w:cs="宋体"/>
                <w:color w:val="auto"/>
                <w:szCs w:val="21"/>
              </w:rPr>
            </w:pPr>
          </w:p>
        </w:tc>
        <w:tc>
          <w:tcPr>
            <w:tcW w:w="4725" w:type="dxa"/>
            <w:vAlign w:val="center"/>
          </w:tcPr>
          <w:p w14:paraId="04911E4A">
            <w:pPr>
              <w:spacing w:line="500" w:lineRule="exact"/>
              <w:rPr>
                <w:rFonts w:ascii="宋体" w:hAnsi="宋体" w:cs="宋体"/>
                <w:color w:val="auto"/>
                <w:szCs w:val="21"/>
              </w:rPr>
            </w:pPr>
            <w:r>
              <w:rPr>
                <w:rFonts w:hint="eastAsia" w:ascii="宋体" w:hAnsi="宋体" w:cs="宋体"/>
                <w:color w:val="auto"/>
                <w:szCs w:val="21"/>
              </w:rPr>
              <w:t>用于投加泵投加管路， E+H、科隆、西门子或同档次及以上品牌。</w:t>
            </w:r>
          </w:p>
        </w:tc>
      </w:tr>
      <w:tr w14:paraId="3F4F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90" w:type="dxa"/>
            <w:vAlign w:val="center"/>
          </w:tcPr>
          <w:p w14:paraId="2EAF1735">
            <w:pPr>
              <w:spacing w:line="500" w:lineRule="exact"/>
              <w:rPr>
                <w:rFonts w:ascii="宋体" w:hAnsi="宋体" w:cs="宋体"/>
                <w:color w:val="auto"/>
                <w:szCs w:val="21"/>
              </w:rPr>
            </w:pPr>
            <w:r>
              <w:rPr>
                <w:rFonts w:hint="eastAsia" w:ascii="宋体" w:hAnsi="宋体" w:cs="宋体"/>
                <w:color w:val="auto"/>
                <w:szCs w:val="21"/>
              </w:rPr>
              <w:t>18</w:t>
            </w:r>
          </w:p>
        </w:tc>
        <w:tc>
          <w:tcPr>
            <w:tcW w:w="1155" w:type="dxa"/>
            <w:vAlign w:val="center"/>
          </w:tcPr>
          <w:p w14:paraId="6A0AB952">
            <w:pPr>
              <w:spacing w:line="500" w:lineRule="exact"/>
              <w:rPr>
                <w:rFonts w:ascii="宋体" w:hAnsi="宋体" w:cs="宋体"/>
                <w:color w:val="auto"/>
                <w:szCs w:val="21"/>
              </w:rPr>
            </w:pPr>
            <w:r>
              <w:rPr>
                <w:rFonts w:hint="eastAsia" w:ascii="宋体" w:hAnsi="宋体" w:cs="宋体"/>
                <w:color w:val="auto"/>
                <w:szCs w:val="21"/>
              </w:rPr>
              <w:t>管路及阀门</w:t>
            </w:r>
          </w:p>
        </w:tc>
        <w:tc>
          <w:tcPr>
            <w:tcW w:w="1590" w:type="dxa"/>
            <w:vAlign w:val="center"/>
          </w:tcPr>
          <w:p w14:paraId="037304AF">
            <w:pPr>
              <w:spacing w:line="500" w:lineRule="exact"/>
              <w:rPr>
                <w:rFonts w:ascii="宋体" w:hAnsi="宋体" w:cs="宋体"/>
                <w:color w:val="auto"/>
                <w:szCs w:val="21"/>
              </w:rPr>
            </w:pPr>
            <w:r>
              <w:rPr>
                <w:rFonts w:hint="eastAsia" w:ascii="宋体" w:hAnsi="宋体" w:cs="宋体"/>
                <w:color w:val="auto"/>
                <w:szCs w:val="21"/>
              </w:rPr>
              <w:t>DN25-DN100</w:t>
            </w:r>
          </w:p>
        </w:tc>
        <w:tc>
          <w:tcPr>
            <w:tcW w:w="780" w:type="dxa"/>
            <w:vAlign w:val="center"/>
          </w:tcPr>
          <w:p w14:paraId="52F551CE">
            <w:pPr>
              <w:spacing w:line="500" w:lineRule="exact"/>
              <w:rPr>
                <w:rFonts w:ascii="宋体" w:hAnsi="宋体" w:cs="宋体"/>
                <w:color w:val="auto"/>
                <w:szCs w:val="21"/>
              </w:rPr>
            </w:pPr>
            <w:r>
              <w:rPr>
                <w:rFonts w:hint="eastAsia" w:ascii="宋体" w:hAnsi="宋体" w:cs="宋体"/>
                <w:color w:val="auto"/>
                <w:szCs w:val="21"/>
              </w:rPr>
              <w:t>1批</w:t>
            </w:r>
          </w:p>
        </w:tc>
        <w:tc>
          <w:tcPr>
            <w:tcW w:w="1380" w:type="dxa"/>
            <w:vAlign w:val="center"/>
          </w:tcPr>
          <w:p w14:paraId="278249B6">
            <w:pPr>
              <w:spacing w:line="500" w:lineRule="exact"/>
              <w:rPr>
                <w:rFonts w:ascii="宋体" w:hAnsi="宋体" w:cs="宋体"/>
                <w:color w:val="auto"/>
                <w:szCs w:val="21"/>
              </w:rPr>
            </w:pPr>
            <w:r>
              <w:rPr>
                <w:rFonts w:hint="eastAsia" w:ascii="宋体" w:hAnsi="宋体" w:cs="宋体"/>
                <w:color w:val="auto"/>
                <w:szCs w:val="21"/>
              </w:rPr>
              <w:t>UPVC</w:t>
            </w:r>
          </w:p>
        </w:tc>
        <w:tc>
          <w:tcPr>
            <w:tcW w:w="4725" w:type="dxa"/>
            <w:vAlign w:val="center"/>
          </w:tcPr>
          <w:p w14:paraId="34EC99DC">
            <w:pPr>
              <w:spacing w:line="500" w:lineRule="exact"/>
              <w:rPr>
                <w:rFonts w:ascii="宋体" w:hAnsi="宋体" w:cs="宋体"/>
                <w:color w:val="auto"/>
                <w:szCs w:val="21"/>
              </w:rPr>
            </w:pPr>
            <w:r>
              <w:rPr>
                <w:rFonts w:hint="eastAsia" w:ascii="宋体" w:hAnsi="宋体" w:cs="宋体"/>
                <w:color w:val="auto"/>
                <w:szCs w:val="21"/>
              </w:rPr>
              <w:t>投加泵出口阀门后至投加点的管材采用内UPVC材质</w:t>
            </w:r>
          </w:p>
        </w:tc>
      </w:tr>
      <w:tr w14:paraId="19E0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0" w:type="dxa"/>
            <w:vAlign w:val="center"/>
          </w:tcPr>
          <w:p w14:paraId="331A4ECE">
            <w:pPr>
              <w:spacing w:line="500" w:lineRule="exact"/>
              <w:rPr>
                <w:rFonts w:ascii="宋体" w:hAnsi="宋体" w:cs="宋体"/>
                <w:color w:val="auto"/>
                <w:szCs w:val="21"/>
              </w:rPr>
            </w:pPr>
            <w:r>
              <w:rPr>
                <w:rFonts w:hint="eastAsia" w:ascii="宋体" w:hAnsi="宋体" w:cs="宋体"/>
                <w:color w:val="auto"/>
                <w:szCs w:val="21"/>
              </w:rPr>
              <w:t>19</w:t>
            </w:r>
          </w:p>
        </w:tc>
        <w:tc>
          <w:tcPr>
            <w:tcW w:w="1155" w:type="dxa"/>
            <w:vAlign w:val="center"/>
          </w:tcPr>
          <w:p w14:paraId="741BD58A">
            <w:pPr>
              <w:spacing w:line="500" w:lineRule="exact"/>
              <w:rPr>
                <w:rFonts w:ascii="宋体" w:hAnsi="宋体" w:cs="宋体"/>
                <w:color w:val="auto"/>
                <w:szCs w:val="21"/>
              </w:rPr>
            </w:pPr>
            <w:r>
              <w:rPr>
                <w:rFonts w:hint="eastAsia" w:ascii="宋体" w:hAnsi="宋体" w:cs="宋体"/>
                <w:color w:val="auto"/>
                <w:szCs w:val="21"/>
              </w:rPr>
              <w:t>空压机系统</w:t>
            </w:r>
          </w:p>
        </w:tc>
        <w:tc>
          <w:tcPr>
            <w:tcW w:w="1590" w:type="dxa"/>
            <w:vAlign w:val="center"/>
          </w:tcPr>
          <w:p w14:paraId="0AEE85D6">
            <w:pPr>
              <w:spacing w:line="500" w:lineRule="exact"/>
              <w:jc w:val="left"/>
              <w:rPr>
                <w:rFonts w:ascii="宋体" w:hAnsi="宋体" w:cs="宋体"/>
                <w:color w:val="auto"/>
                <w:szCs w:val="21"/>
              </w:rPr>
            </w:pPr>
            <w:r>
              <w:rPr>
                <w:rFonts w:hint="eastAsia" w:ascii="宋体" w:hAnsi="宋体" w:cs="宋体"/>
                <w:color w:val="auto"/>
                <w:spacing w:val="8"/>
                <w:szCs w:val="21"/>
              </w:rPr>
              <w:t>排气量&gt;0.67m</w:t>
            </w:r>
            <w:r>
              <w:rPr>
                <w:rFonts w:hint="eastAsia" w:ascii="宋体" w:hAnsi="宋体" w:cs="宋体"/>
                <w:color w:val="auto"/>
                <w:spacing w:val="8"/>
                <w:szCs w:val="21"/>
                <w:vertAlign w:val="superscript"/>
              </w:rPr>
              <w:t>3</w:t>
            </w:r>
            <w:r>
              <w:rPr>
                <w:rFonts w:hint="eastAsia" w:ascii="宋体" w:hAnsi="宋体" w:cs="宋体"/>
                <w:color w:val="auto"/>
                <w:spacing w:val="8"/>
                <w:szCs w:val="21"/>
              </w:rPr>
              <w:t>/min     最高工作压力 8bar。</w:t>
            </w:r>
          </w:p>
        </w:tc>
        <w:tc>
          <w:tcPr>
            <w:tcW w:w="780" w:type="dxa"/>
            <w:vAlign w:val="center"/>
          </w:tcPr>
          <w:p w14:paraId="3934FD4D">
            <w:pPr>
              <w:spacing w:line="500" w:lineRule="exact"/>
              <w:ind w:left="420" w:leftChars="200"/>
              <w:jc w:val="center"/>
              <w:rPr>
                <w:rFonts w:ascii="宋体" w:hAnsi="宋体" w:cs="宋体"/>
                <w:color w:val="auto"/>
                <w:szCs w:val="21"/>
              </w:rPr>
            </w:pPr>
            <w:r>
              <w:rPr>
                <w:rFonts w:hint="eastAsia" w:ascii="宋体" w:hAnsi="宋体" w:cs="宋体"/>
                <w:color w:val="auto"/>
                <w:szCs w:val="21"/>
              </w:rPr>
              <w:t>1套</w:t>
            </w:r>
          </w:p>
        </w:tc>
        <w:tc>
          <w:tcPr>
            <w:tcW w:w="1380" w:type="dxa"/>
            <w:vAlign w:val="center"/>
          </w:tcPr>
          <w:p w14:paraId="3022EE99">
            <w:pPr>
              <w:spacing w:line="500" w:lineRule="exact"/>
              <w:ind w:left="420" w:leftChars="200" w:firstLine="420"/>
              <w:jc w:val="center"/>
              <w:rPr>
                <w:rFonts w:ascii="宋体" w:hAnsi="宋体" w:cs="宋体"/>
                <w:color w:val="auto"/>
                <w:szCs w:val="21"/>
              </w:rPr>
            </w:pPr>
          </w:p>
        </w:tc>
        <w:tc>
          <w:tcPr>
            <w:tcW w:w="4725" w:type="dxa"/>
            <w:vAlign w:val="center"/>
          </w:tcPr>
          <w:p w14:paraId="6E0D4422">
            <w:pPr>
              <w:spacing w:line="500" w:lineRule="exact"/>
              <w:rPr>
                <w:rFonts w:ascii="宋体" w:hAnsi="宋体" w:cs="宋体"/>
                <w:color w:val="auto"/>
                <w:szCs w:val="21"/>
              </w:rPr>
            </w:pPr>
            <w:r>
              <w:rPr>
                <w:rFonts w:hint="eastAsia" w:ascii="宋体" w:hAnsi="宋体" w:cs="宋体"/>
                <w:color w:val="auto"/>
                <w:szCs w:val="21"/>
              </w:rPr>
              <w:t xml:space="preserve">空压机采用活塞结构形式，推荐寿力、复盛、阿特拉斯或同档次及以上品牌；管路要求配套冷冻式干燥机、相应2级过滤器、储气罐1个、，配套自动排水器；室外配套气路管道必须采用不锈钢或铜管。 </w:t>
            </w:r>
          </w:p>
        </w:tc>
      </w:tr>
      <w:tr w14:paraId="2A6E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0" w:type="dxa"/>
            <w:vAlign w:val="center"/>
          </w:tcPr>
          <w:p w14:paraId="11D15B53">
            <w:pPr>
              <w:spacing w:line="500" w:lineRule="exact"/>
              <w:rPr>
                <w:rFonts w:ascii="宋体" w:hAnsi="宋体" w:cs="宋体"/>
                <w:color w:val="auto"/>
                <w:szCs w:val="21"/>
              </w:rPr>
            </w:pPr>
            <w:r>
              <w:rPr>
                <w:rFonts w:hint="eastAsia" w:ascii="宋体" w:hAnsi="宋体" w:cs="宋体"/>
                <w:color w:val="auto"/>
                <w:szCs w:val="21"/>
              </w:rPr>
              <w:t>20</w:t>
            </w:r>
          </w:p>
        </w:tc>
        <w:tc>
          <w:tcPr>
            <w:tcW w:w="1155" w:type="dxa"/>
            <w:vAlign w:val="center"/>
          </w:tcPr>
          <w:p w14:paraId="3A0D9219">
            <w:pPr>
              <w:spacing w:line="500" w:lineRule="exact"/>
              <w:rPr>
                <w:rFonts w:ascii="宋体" w:hAnsi="宋体" w:cs="宋体"/>
                <w:color w:val="auto"/>
                <w:szCs w:val="21"/>
              </w:rPr>
            </w:pPr>
            <w:r>
              <w:rPr>
                <w:rFonts w:hint="eastAsia" w:ascii="宋体" w:hAnsi="宋体" w:cs="宋体"/>
                <w:color w:val="auto"/>
                <w:szCs w:val="21"/>
              </w:rPr>
              <w:t>增压泵</w:t>
            </w:r>
          </w:p>
        </w:tc>
        <w:tc>
          <w:tcPr>
            <w:tcW w:w="1590" w:type="dxa"/>
            <w:vAlign w:val="center"/>
          </w:tcPr>
          <w:p w14:paraId="52F1E8F0">
            <w:pPr>
              <w:spacing w:line="500" w:lineRule="exact"/>
              <w:rPr>
                <w:rFonts w:ascii="宋体" w:hAnsi="宋体" w:cs="宋体"/>
                <w:color w:val="auto"/>
                <w:szCs w:val="21"/>
              </w:rPr>
            </w:pPr>
            <w:r>
              <w:rPr>
                <w:rFonts w:hint="eastAsia" w:ascii="宋体" w:hAnsi="宋体" w:cs="宋体"/>
                <w:color w:val="auto"/>
                <w:szCs w:val="21"/>
              </w:rPr>
              <w:t>Q=12m³，H=3bar</w:t>
            </w:r>
          </w:p>
        </w:tc>
        <w:tc>
          <w:tcPr>
            <w:tcW w:w="780" w:type="dxa"/>
            <w:vAlign w:val="center"/>
          </w:tcPr>
          <w:p w14:paraId="7A6C4BD7">
            <w:pPr>
              <w:spacing w:line="500" w:lineRule="exact"/>
              <w:rPr>
                <w:rFonts w:ascii="宋体" w:hAnsi="宋体" w:cs="宋体"/>
                <w:color w:val="auto"/>
                <w:szCs w:val="21"/>
              </w:rPr>
            </w:pPr>
            <w:r>
              <w:rPr>
                <w:rFonts w:hint="eastAsia" w:ascii="宋体" w:hAnsi="宋体" w:cs="宋体"/>
                <w:color w:val="auto"/>
                <w:szCs w:val="21"/>
              </w:rPr>
              <w:t>2台</w:t>
            </w:r>
          </w:p>
        </w:tc>
        <w:tc>
          <w:tcPr>
            <w:tcW w:w="1380" w:type="dxa"/>
            <w:vAlign w:val="center"/>
          </w:tcPr>
          <w:p w14:paraId="1E75B8A0">
            <w:pPr>
              <w:spacing w:line="500" w:lineRule="exact"/>
              <w:ind w:left="420" w:leftChars="200" w:firstLine="420"/>
              <w:jc w:val="center"/>
              <w:rPr>
                <w:rFonts w:ascii="宋体" w:hAnsi="宋体" w:cs="宋体"/>
                <w:color w:val="auto"/>
                <w:szCs w:val="21"/>
              </w:rPr>
            </w:pPr>
          </w:p>
        </w:tc>
        <w:tc>
          <w:tcPr>
            <w:tcW w:w="4725" w:type="dxa"/>
            <w:vAlign w:val="center"/>
          </w:tcPr>
          <w:p w14:paraId="247003C0">
            <w:pPr>
              <w:spacing w:line="500" w:lineRule="exact"/>
              <w:rPr>
                <w:rFonts w:ascii="宋体" w:hAnsi="宋体" w:cs="宋体"/>
                <w:color w:val="auto"/>
                <w:szCs w:val="21"/>
              </w:rPr>
            </w:pPr>
            <w:r>
              <w:rPr>
                <w:rFonts w:hint="eastAsia" w:ascii="宋体" w:hAnsi="宋体" w:cs="宋体"/>
                <w:color w:val="auto"/>
                <w:szCs w:val="21"/>
              </w:rPr>
              <w:t>用于冲洗管路、配水，采用立式离心泵形式，推荐格兰富、东方、南方同档次及以上品牌，包括相关配套手动切换阀门，压力表等。</w:t>
            </w:r>
          </w:p>
        </w:tc>
      </w:tr>
      <w:tr w14:paraId="737E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90" w:type="dxa"/>
            <w:vAlign w:val="center"/>
          </w:tcPr>
          <w:p w14:paraId="5EA75ABF">
            <w:pPr>
              <w:spacing w:line="500" w:lineRule="exact"/>
              <w:rPr>
                <w:rFonts w:ascii="宋体" w:hAnsi="宋体" w:cs="宋体"/>
                <w:color w:val="auto"/>
                <w:szCs w:val="21"/>
              </w:rPr>
            </w:pPr>
            <w:r>
              <w:rPr>
                <w:rFonts w:hint="eastAsia" w:ascii="宋体" w:hAnsi="宋体" w:cs="宋体"/>
                <w:color w:val="auto"/>
                <w:szCs w:val="21"/>
              </w:rPr>
              <w:t>21</w:t>
            </w:r>
          </w:p>
        </w:tc>
        <w:tc>
          <w:tcPr>
            <w:tcW w:w="1155" w:type="dxa"/>
            <w:vAlign w:val="center"/>
          </w:tcPr>
          <w:p w14:paraId="2251FC29">
            <w:pPr>
              <w:spacing w:line="500" w:lineRule="exact"/>
              <w:rPr>
                <w:rFonts w:ascii="宋体" w:hAnsi="宋体" w:cs="宋体"/>
                <w:color w:val="auto"/>
                <w:szCs w:val="21"/>
              </w:rPr>
            </w:pPr>
            <w:r>
              <w:rPr>
                <w:rFonts w:hint="eastAsia" w:ascii="宋体" w:hAnsi="宋体" w:cs="宋体"/>
                <w:color w:val="auto"/>
                <w:szCs w:val="21"/>
              </w:rPr>
              <w:t>控制系统</w:t>
            </w:r>
          </w:p>
        </w:tc>
        <w:tc>
          <w:tcPr>
            <w:tcW w:w="1590" w:type="dxa"/>
            <w:vAlign w:val="center"/>
          </w:tcPr>
          <w:p w14:paraId="35EA3E03">
            <w:pPr>
              <w:spacing w:line="500" w:lineRule="exact"/>
              <w:rPr>
                <w:rFonts w:ascii="宋体" w:hAnsi="宋体" w:cs="宋体"/>
                <w:color w:val="auto"/>
                <w:szCs w:val="21"/>
              </w:rPr>
            </w:pPr>
          </w:p>
        </w:tc>
        <w:tc>
          <w:tcPr>
            <w:tcW w:w="780" w:type="dxa"/>
            <w:vAlign w:val="center"/>
          </w:tcPr>
          <w:p w14:paraId="4BC2E4D3">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14D83E5F">
            <w:pPr>
              <w:spacing w:line="500" w:lineRule="exact"/>
              <w:ind w:left="420" w:leftChars="200"/>
              <w:jc w:val="center"/>
              <w:rPr>
                <w:rFonts w:ascii="宋体" w:hAnsi="宋体" w:cs="宋体"/>
                <w:color w:val="auto"/>
                <w:szCs w:val="21"/>
              </w:rPr>
            </w:pPr>
          </w:p>
        </w:tc>
        <w:tc>
          <w:tcPr>
            <w:tcW w:w="4725" w:type="dxa"/>
            <w:vAlign w:val="center"/>
          </w:tcPr>
          <w:p w14:paraId="0F5288CA">
            <w:pPr>
              <w:spacing w:line="500" w:lineRule="exact"/>
              <w:rPr>
                <w:rFonts w:ascii="宋体" w:hAnsi="宋体" w:cs="宋体"/>
                <w:color w:val="auto"/>
                <w:szCs w:val="21"/>
              </w:rPr>
            </w:pPr>
            <w:r>
              <w:rPr>
                <w:rFonts w:hint="eastAsia" w:ascii="宋体" w:hAnsi="宋体" w:cs="宋体"/>
                <w:color w:val="auto"/>
                <w:szCs w:val="21"/>
              </w:rPr>
              <w:t>PLC选用罗克韦尔、西门子、施耐德或同档次及以上品牌，含变频器、PLC模块及各元气件等，主要各元器件必须为罗克韦尔、施耐德、ABB、西门子或同档次及以上产品</w:t>
            </w:r>
          </w:p>
        </w:tc>
      </w:tr>
      <w:tr w14:paraId="5D39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0" w:type="dxa"/>
            <w:vAlign w:val="center"/>
          </w:tcPr>
          <w:p w14:paraId="67E8B6B2">
            <w:pPr>
              <w:spacing w:line="500" w:lineRule="exact"/>
              <w:rPr>
                <w:rFonts w:ascii="宋体" w:hAnsi="宋体" w:cs="宋体"/>
                <w:color w:val="auto"/>
                <w:szCs w:val="21"/>
              </w:rPr>
            </w:pPr>
            <w:r>
              <w:rPr>
                <w:rFonts w:hint="eastAsia" w:ascii="宋体" w:hAnsi="宋体" w:cs="宋体"/>
                <w:color w:val="auto"/>
                <w:szCs w:val="21"/>
              </w:rPr>
              <w:t>22</w:t>
            </w:r>
          </w:p>
        </w:tc>
        <w:tc>
          <w:tcPr>
            <w:tcW w:w="1155" w:type="dxa"/>
            <w:vAlign w:val="center"/>
          </w:tcPr>
          <w:p w14:paraId="71356CC2">
            <w:pPr>
              <w:spacing w:line="500" w:lineRule="exact"/>
              <w:rPr>
                <w:rFonts w:ascii="宋体" w:hAnsi="宋体" w:cs="宋体"/>
                <w:color w:val="auto"/>
                <w:szCs w:val="21"/>
              </w:rPr>
            </w:pPr>
            <w:r>
              <w:rPr>
                <w:rFonts w:hint="eastAsia" w:ascii="宋体" w:hAnsi="宋体" w:cs="宋体"/>
                <w:color w:val="auto"/>
                <w:szCs w:val="21"/>
              </w:rPr>
              <w:t>触摸屏</w:t>
            </w:r>
          </w:p>
        </w:tc>
        <w:tc>
          <w:tcPr>
            <w:tcW w:w="1590" w:type="dxa"/>
            <w:vAlign w:val="center"/>
          </w:tcPr>
          <w:p w14:paraId="647F2CC9">
            <w:pPr>
              <w:spacing w:line="500" w:lineRule="exact"/>
              <w:rPr>
                <w:rFonts w:ascii="宋体" w:hAnsi="宋体" w:cs="宋体"/>
                <w:color w:val="auto"/>
                <w:spacing w:val="8"/>
                <w:szCs w:val="21"/>
              </w:rPr>
            </w:pPr>
            <w:r>
              <w:rPr>
                <w:rFonts w:hint="eastAsia" w:ascii="宋体" w:hAnsi="宋体" w:cs="宋体"/>
                <w:color w:val="auto"/>
                <w:spacing w:val="8"/>
                <w:szCs w:val="21"/>
              </w:rPr>
              <w:t>不小于10寸显示屏</w:t>
            </w:r>
          </w:p>
        </w:tc>
        <w:tc>
          <w:tcPr>
            <w:tcW w:w="780" w:type="dxa"/>
            <w:vAlign w:val="center"/>
          </w:tcPr>
          <w:p w14:paraId="5C5CCB8C">
            <w:pPr>
              <w:spacing w:line="500" w:lineRule="exact"/>
              <w:rPr>
                <w:rFonts w:ascii="宋体" w:hAnsi="宋体" w:cs="宋体"/>
                <w:color w:val="auto"/>
                <w:szCs w:val="21"/>
              </w:rPr>
            </w:pPr>
            <w:r>
              <w:rPr>
                <w:rFonts w:hint="eastAsia" w:ascii="宋体" w:hAnsi="宋体" w:cs="宋体"/>
                <w:color w:val="auto"/>
                <w:szCs w:val="21"/>
              </w:rPr>
              <w:t>1台</w:t>
            </w:r>
          </w:p>
        </w:tc>
        <w:tc>
          <w:tcPr>
            <w:tcW w:w="1380" w:type="dxa"/>
            <w:vAlign w:val="center"/>
          </w:tcPr>
          <w:p w14:paraId="6A39EECF">
            <w:pPr>
              <w:spacing w:line="500" w:lineRule="exact"/>
              <w:ind w:left="420" w:leftChars="200" w:firstLine="420"/>
              <w:jc w:val="center"/>
              <w:rPr>
                <w:rFonts w:ascii="宋体" w:hAnsi="宋体" w:cs="宋体"/>
                <w:color w:val="auto"/>
                <w:szCs w:val="21"/>
              </w:rPr>
            </w:pPr>
          </w:p>
        </w:tc>
        <w:tc>
          <w:tcPr>
            <w:tcW w:w="4725" w:type="dxa"/>
            <w:vAlign w:val="center"/>
          </w:tcPr>
          <w:p w14:paraId="2106E92E">
            <w:pPr>
              <w:spacing w:line="500" w:lineRule="exact"/>
              <w:rPr>
                <w:rFonts w:ascii="宋体" w:hAnsi="宋体" w:cs="宋体"/>
                <w:color w:val="auto"/>
                <w:szCs w:val="21"/>
              </w:rPr>
            </w:pPr>
            <w:r>
              <w:rPr>
                <w:rFonts w:hint="eastAsia" w:ascii="宋体" w:hAnsi="宋体" w:cs="宋体"/>
                <w:color w:val="auto"/>
                <w:szCs w:val="21"/>
              </w:rPr>
              <w:t>含人机中文界面制作调试。</w:t>
            </w:r>
          </w:p>
        </w:tc>
      </w:tr>
      <w:tr w14:paraId="68F7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90" w:type="dxa"/>
            <w:vAlign w:val="center"/>
          </w:tcPr>
          <w:p w14:paraId="3517A430">
            <w:pPr>
              <w:spacing w:line="500" w:lineRule="exact"/>
              <w:rPr>
                <w:rFonts w:ascii="宋体" w:hAnsi="宋体" w:cs="宋体"/>
                <w:color w:val="auto"/>
                <w:szCs w:val="21"/>
              </w:rPr>
            </w:pPr>
            <w:r>
              <w:rPr>
                <w:rFonts w:hint="eastAsia" w:ascii="宋体" w:hAnsi="宋体" w:cs="宋体"/>
                <w:color w:val="auto"/>
                <w:szCs w:val="21"/>
              </w:rPr>
              <w:t>23</w:t>
            </w:r>
          </w:p>
        </w:tc>
        <w:tc>
          <w:tcPr>
            <w:tcW w:w="1155" w:type="dxa"/>
            <w:vAlign w:val="center"/>
          </w:tcPr>
          <w:p w14:paraId="4AB47FE4">
            <w:pPr>
              <w:spacing w:line="500" w:lineRule="exact"/>
              <w:rPr>
                <w:rFonts w:ascii="宋体" w:hAnsi="宋体" w:cs="宋体"/>
                <w:color w:val="auto"/>
                <w:szCs w:val="21"/>
              </w:rPr>
            </w:pPr>
            <w:r>
              <w:rPr>
                <w:rFonts w:hint="eastAsia" w:ascii="宋体" w:hAnsi="宋体" w:cs="宋体"/>
                <w:color w:val="auto"/>
                <w:szCs w:val="21"/>
              </w:rPr>
              <w:t>动力电缆、控制电缆、信号电缆</w:t>
            </w:r>
          </w:p>
        </w:tc>
        <w:tc>
          <w:tcPr>
            <w:tcW w:w="1590" w:type="dxa"/>
            <w:vAlign w:val="center"/>
          </w:tcPr>
          <w:p w14:paraId="1608AF54">
            <w:pPr>
              <w:spacing w:line="500" w:lineRule="exact"/>
              <w:rPr>
                <w:rFonts w:ascii="宋体" w:hAnsi="宋体" w:cs="宋体"/>
                <w:color w:val="auto"/>
                <w:spacing w:val="8"/>
                <w:szCs w:val="21"/>
              </w:rPr>
            </w:pPr>
            <w:r>
              <w:rPr>
                <w:rFonts w:hint="eastAsia" w:ascii="宋体" w:hAnsi="宋体" w:cs="宋体"/>
                <w:color w:val="auto"/>
                <w:szCs w:val="21"/>
              </w:rPr>
              <w:t>规格大小厂家自定，满足系统使用需求</w:t>
            </w:r>
          </w:p>
        </w:tc>
        <w:tc>
          <w:tcPr>
            <w:tcW w:w="780" w:type="dxa"/>
            <w:vAlign w:val="center"/>
          </w:tcPr>
          <w:p w14:paraId="101DBCC1">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04185D8D">
            <w:pPr>
              <w:spacing w:line="500" w:lineRule="exact"/>
              <w:rPr>
                <w:rFonts w:ascii="宋体" w:hAnsi="宋体" w:cs="宋体"/>
                <w:color w:val="auto"/>
                <w:szCs w:val="21"/>
              </w:rPr>
            </w:pPr>
          </w:p>
        </w:tc>
        <w:tc>
          <w:tcPr>
            <w:tcW w:w="4725" w:type="dxa"/>
            <w:vAlign w:val="center"/>
          </w:tcPr>
          <w:p w14:paraId="4FC1334F">
            <w:pPr>
              <w:spacing w:line="500" w:lineRule="exact"/>
              <w:rPr>
                <w:rFonts w:ascii="宋体" w:hAnsi="宋体" w:cs="宋体"/>
                <w:color w:val="auto"/>
                <w:szCs w:val="21"/>
              </w:rPr>
            </w:pPr>
            <w:r>
              <w:rPr>
                <w:rFonts w:hint="eastAsia" w:ascii="宋体" w:hAnsi="宋体" w:cs="宋体"/>
                <w:color w:val="auto"/>
                <w:szCs w:val="21"/>
              </w:rPr>
              <w:t>推荐金龙羽、深缆、起帆或同档次及以上国内知名品牌。</w:t>
            </w:r>
          </w:p>
        </w:tc>
      </w:tr>
      <w:tr w14:paraId="710D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90" w:type="dxa"/>
            <w:vAlign w:val="center"/>
          </w:tcPr>
          <w:p w14:paraId="618EEBAE">
            <w:pPr>
              <w:spacing w:line="500" w:lineRule="exact"/>
              <w:rPr>
                <w:rFonts w:ascii="宋体" w:hAnsi="宋体" w:cs="宋体"/>
                <w:color w:val="auto"/>
                <w:szCs w:val="21"/>
              </w:rPr>
            </w:pPr>
            <w:r>
              <w:rPr>
                <w:rFonts w:hint="eastAsia" w:ascii="宋体" w:hAnsi="宋体" w:cs="宋体"/>
                <w:color w:val="auto"/>
                <w:szCs w:val="21"/>
              </w:rPr>
              <w:t>24</w:t>
            </w:r>
          </w:p>
        </w:tc>
        <w:tc>
          <w:tcPr>
            <w:tcW w:w="1155" w:type="dxa"/>
            <w:vAlign w:val="center"/>
          </w:tcPr>
          <w:p w14:paraId="18FE103D">
            <w:pPr>
              <w:spacing w:line="500" w:lineRule="exact"/>
              <w:rPr>
                <w:rFonts w:ascii="宋体" w:hAnsi="宋体" w:cs="宋体"/>
                <w:color w:val="auto"/>
                <w:szCs w:val="21"/>
              </w:rPr>
            </w:pPr>
            <w:r>
              <w:rPr>
                <w:rFonts w:hint="eastAsia" w:ascii="宋体" w:hAnsi="宋体" w:cs="宋体"/>
                <w:color w:val="auto"/>
                <w:szCs w:val="21"/>
              </w:rPr>
              <w:t>集装箱</w:t>
            </w:r>
          </w:p>
        </w:tc>
        <w:tc>
          <w:tcPr>
            <w:tcW w:w="1590" w:type="dxa"/>
            <w:vAlign w:val="center"/>
          </w:tcPr>
          <w:p w14:paraId="14AA6C2C">
            <w:pPr>
              <w:spacing w:line="500" w:lineRule="exact"/>
              <w:rPr>
                <w:rFonts w:ascii="宋体" w:hAnsi="宋体" w:cs="宋体"/>
                <w:color w:val="auto"/>
                <w:szCs w:val="21"/>
              </w:rPr>
            </w:pPr>
            <w:r>
              <w:rPr>
                <w:rFonts w:hint="eastAsia" w:ascii="宋体" w:hAnsi="宋体" w:cs="宋体"/>
                <w:color w:val="auto"/>
                <w:szCs w:val="21"/>
              </w:rPr>
              <w:t>20尺标箱</w:t>
            </w:r>
          </w:p>
        </w:tc>
        <w:tc>
          <w:tcPr>
            <w:tcW w:w="780" w:type="dxa"/>
            <w:vAlign w:val="center"/>
          </w:tcPr>
          <w:p w14:paraId="48975A75">
            <w:pPr>
              <w:spacing w:line="500" w:lineRule="exact"/>
              <w:rPr>
                <w:rFonts w:ascii="宋体" w:hAnsi="宋体" w:cs="宋体"/>
                <w:color w:val="auto"/>
                <w:szCs w:val="21"/>
              </w:rPr>
            </w:pPr>
            <w:r>
              <w:rPr>
                <w:rFonts w:hint="eastAsia" w:ascii="宋体" w:hAnsi="宋体" w:cs="宋体"/>
                <w:color w:val="auto"/>
                <w:szCs w:val="21"/>
              </w:rPr>
              <w:t>1台</w:t>
            </w:r>
          </w:p>
        </w:tc>
        <w:tc>
          <w:tcPr>
            <w:tcW w:w="1380" w:type="dxa"/>
            <w:vAlign w:val="center"/>
          </w:tcPr>
          <w:p w14:paraId="5A927389">
            <w:pPr>
              <w:spacing w:line="500" w:lineRule="exact"/>
              <w:ind w:left="420" w:leftChars="200" w:firstLine="420"/>
              <w:jc w:val="center"/>
              <w:rPr>
                <w:rFonts w:ascii="宋体" w:hAnsi="宋体" w:cs="宋体"/>
                <w:color w:val="auto"/>
                <w:szCs w:val="21"/>
              </w:rPr>
            </w:pPr>
          </w:p>
        </w:tc>
        <w:tc>
          <w:tcPr>
            <w:tcW w:w="4725" w:type="dxa"/>
            <w:vAlign w:val="center"/>
          </w:tcPr>
          <w:p w14:paraId="4609766C">
            <w:pPr>
              <w:spacing w:line="500" w:lineRule="exact"/>
              <w:ind w:left="420" w:leftChars="200"/>
              <w:rPr>
                <w:rFonts w:ascii="宋体" w:hAnsi="宋体" w:cs="宋体"/>
                <w:color w:val="auto"/>
                <w:szCs w:val="21"/>
              </w:rPr>
            </w:pPr>
          </w:p>
        </w:tc>
      </w:tr>
    </w:tbl>
    <w:p w14:paraId="77E14664">
      <w:pPr>
        <w:spacing w:line="500" w:lineRule="exact"/>
        <w:ind w:left="420" w:leftChars="200"/>
        <w:rPr>
          <w:rFonts w:ascii="宋体" w:hAnsi="宋体" w:cs="宋体"/>
          <w:b/>
          <w:color w:val="auto"/>
          <w:szCs w:val="21"/>
        </w:rPr>
      </w:pPr>
      <w:r>
        <w:rPr>
          <w:rFonts w:hint="eastAsia" w:ascii="宋体" w:hAnsi="宋体" w:cs="宋体"/>
          <w:b/>
          <w:color w:val="auto"/>
          <w:szCs w:val="21"/>
        </w:rPr>
        <w:t>备注：</w:t>
      </w:r>
    </w:p>
    <w:p w14:paraId="54E90A8D">
      <w:pPr>
        <w:spacing w:line="500" w:lineRule="exact"/>
        <w:ind w:left="420" w:leftChars="200"/>
        <w:rPr>
          <w:rFonts w:ascii="宋体" w:hAnsi="宋体" w:cs="宋体"/>
          <w:color w:val="auto"/>
          <w:szCs w:val="21"/>
        </w:rPr>
      </w:pPr>
      <w:r>
        <w:rPr>
          <w:rFonts w:hint="eastAsia" w:ascii="宋体" w:hAnsi="宋体" w:cs="宋体"/>
          <w:color w:val="auto"/>
          <w:szCs w:val="21"/>
        </w:rPr>
        <w:t>1、设备粉炭使用防爆要求不限于上表所列，中标人须提供整套符合国家粉炭使用防爆要求的设备。 料仓储罐应有抗滁州地区台风，防倾覆设计，其中防倾覆拉杆螺栓必须使用高强度螺栓（大于等于7级，规格大于M20以上。）（中标方设计校核）。</w:t>
      </w:r>
    </w:p>
    <w:p w14:paraId="2A22BE1F">
      <w:pPr>
        <w:spacing w:line="500" w:lineRule="exact"/>
        <w:ind w:left="420" w:leftChars="200"/>
        <w:rPr>
          <w:rFonts w:ascii="宋体" w:hAnsi="宋体" w:cs="宋体"/>
          <w:color w:val="auto"/>
          <w:szCs w:val="21"/>
        </w:rPr>
      </w:pPr>
      <w:r>
        <w:rPr>
          <w:rFonts w:hint="eastAsia" w:ascii="宋体" w:hAnsi="宋体" w:cs="宋体"/>
          <w:color w:val="auto"/>
          <w:szCs w:val="21"/>
        </w:rPr>
        <w:t>2、本“采购设备清单”不得被认为是详尽无遗的，无论规定与否，中标人应提供满足该项目工艺技术要求的设备及所有业主未提及的必要的元件、器材、附件、配套设备和相应材料等，并在投标文件报价中一一列明。包括但不限于数量、规格型号、材质及生产厂家等。设备数量以二次设计为准，满足使用要求。</w:t>
      </w:r>
    </w:p>
    <w:p w14:paraId="0664BE9A">
      <w:pPr>
        <w:spacing w:line="500" w:lineRule="exact"/>
        <w:ind w:left="420" w:leftChars="200"/>
        <w:rPr>
          <w:rFonts w:ascii="宋体" w:hAnsi="宋体" w:cs="宋体"/>
          <w:color w:val="auto"/>
          <w:szCs w:val="21"/>
        </w:rPr>
      </w:pPr>
      <w:r>
        <w:rPr>
          <w:rFonts w:hint="eastAsia" w:ascii="宋体" w:hAnsi="宋体" w:cs="宋体"/>
          <w:color w:val="auto"/>
          <w:szCs w:val="21"/>
        </w:rPr>
        <w:t>3、以上货物清单需由供货商一一列出，表明产地。若为原装产品交货时如需提供报关单或当地商会、厂家提供的原产地证明。</w:t>
      </w:r>
    </w:p>
    <w:p w14:paraId="491CE130">
      <w:pPr>
        <w:spacing w:line="500" w:lineRule="exact"/>
        <w:ind w:left="420" w:leftChars="200"/>
        <w:rPr>
          <w:rFonts w:ascii="宋体" w:hAnsi="宋体" w:cs="宋体"/>
          <w:color w:val="auto"/>
          <w:szCs w:val="21"/>
        </w:rPr>
      </w:pPr>
      <w:r>
        <w:rPr>
          <w:rFonts w:hint="eastAsia" w:ascii="宋体" w:hAnsi="宋体" w:cs="宋体"/>
          <w:color w:val="auto"/>
          <w:szCs w:val="21"/>
        </w:rPr>
        <w:t>4、本项目系统设备为交钥匙工程，中标人应将功能完整，运行良好的系统交给采购人，包括设备供货、卸货、设备管线施工以及设备安装调试、使用培训等。</w:t>
      </w:r>
    </w:p>
    <w:p w14:paraId="72F172E2">
      <w:pPr>
        <w:spacing w:line="500" w:lineRule="exact"/>
        <w:ind w:left="420" w:leftChars="200"/>
        <w:jc w:val="left"/>
        <w:rPr>
          <w:rFonts w:ascii="宋体" w:hAnsi="宋体" w:cs="宋体"/>
          <w:color w:val="auto"/>
          <w:szCs w:val="21"/>
        </w:rPr>
      </w:pPr>
      <w:r>
        <w:rPr>
          <w:rFonts w:hint="eastAsia" w:ascii="宋体" w:hAnsi="宋体" w:cs="宋体"/>
          <w:color w:val="auto"/>
          <w:szCs w:val="21"/>
        </w:rPr>
        <w:t>5、中标人应就设备基础施工、安装布局以及管路走向进行二次设计并得到甲方认可方可施工。</w:t>
      </w:r>
    </w:p>
    <w:p w14:paraId="3004A261">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货物技术要求：</w:t>
      </w:r>
    </w:p>
    <w:p w14:paraId="12943AB7">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（一）料仓（1套）</w:t>
      </w:r>
    </w:p>
    <w:p w14:paraId="5F356715">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 xml:space="preserve">容积不小于40m³， 碳钢Q235B材质，厚度8mm以上。料仓整体室外安装； </w:t>
      </w:r>
    </w:p>
    <w:p w14:paraId="437AADC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料仓、锥斗及支架；</w:t>
      </w:r>
    </w:p>
    <w:p w14:paraId="395AFBF3">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人孔600mm；</w:t>
      </w:r>
    </w:p>
    <w:p w14:paraId="0E56A9E1">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送料管100，包括接口、旋风分离器及盖子；</w:t>
      </w:r>
    </w:p>
    <w:p w14:paraId="5FE9F3AD">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进料入口旋风分离器处安装格栅；</w:t>
      </w:r>
    </w:p>
    <w:p w14:paraId="376A244D">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料仓顶部护栏高度1.2m；</w:t>
      </w:r>
    </w:p>
    <w:p w14:paraId="527A02D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带背部护圈的爬梯；</w:t>
      </w:r>
    </w:p>
    <w:p w14:paraId="7B8A680D">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为避免料仓过压及滤布被粉尘堵塞，每个料仓应配置2个安全阀（1用1备）；</w:t>
      </w:r>
    </w:p>
    <w:p w14:paraId="4A99F78F">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料仓配套具有自动清灰功能的除尘装置，清灰应采用气动清灰（脉冲式）；</w:t>
      </w:r>
    </w:p>
    <w:p w14:paraId="1424AEB5">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料仓应配有空穴位及满位报警器及现场紧急按钮箱，该报警器于室外可发声光报警；</w:t>
      </w:r>
    </w:p>
    <w:p w14:paraId="0C01E3B7">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料仓放室外，料仓内外表面防腐处理,应考虑防雨、防雷、防潮及防尘等；</w:t>
      </w:r>
    </w:p>
    <w:p w14:paraId="4C964327">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设计时底部倾斜角度应确保物料不产生堆积，同时无论料仓处于何种状态均确保不倾覆而引发安全事故。</w:t>
      </w:r>
    </w:p>
    <w:p w14:paraId="62FD341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要求符合《GB 50011-2010建筑抗震设计规范》、《GB 50191-2012 构筑物抗震设计规范》以及防风等国家法律法规及行业标准。其中料仓储罐应有抗滁州地区台风，防倾覆设计，其中防倾覆拉杆螺栓必须使用高强度螺栓（大于等于7级，规格大于M20以上。）（中标方设计校核）。</w:t>
      </w:r>
    </w:p>
    <w:p w14:paraId="359FCC05">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（二）料位及空穴报警</w:t>
      </w:r>
    </w:p>
    <w:p w14:paraId="2D4AA7B3">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为控制物料自动输送过程，料仓内应配有高、低料位报警及空穴显示料位计；</w:t>
      </w:r>
    </w:p>
    <w:p w14:paraId="23B5E25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当料斗内粉料出现空穴、架桥情况时，系统应启动相应处理系统，实现安全排放；</w:t>
      </w:r>
    </w:p>
    <w:p w14:paraId="57445EC4">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用于显示满、低及空位。并提供相关报警信号；</w:t>
      </w:r>
    </w:p>
    <w:p w14:paraId="76B50CAE">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型号：桨板式，220V。</w:t>
      </w:r>
    </w:p>
    <w:p w14:paraId="7FAAC600">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（三）料仓除尘器</w:t>
      </w:r>
    </w:p>
    <w:p w14:paraId="3B55E26D">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为保护操作环境，与料仓配套应包括顶部粉尘过滤系统，以在向料仓中输送物料时收集粉尘，气动清灰；</w:t>
      </w:r>
    </w:p>
    <w:p w14:paraId="3323E33F">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配置手动按钮盒，包括定时脉冲式清灰；</w:t>
      </w:r>
    </w:p>
    <w:p w14:paraId="1262AE6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材质：低碳钢，表面防腐处理。包括与罐相连的连接管路；</w:t>
      </w:r>
    </w:p>
    <w:p w14:paraId="530D7A6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气源要求：4.5Nm3/h, 5.5bar；</w:t>
      </w:r>
    </w:p>
    <w:p w14:paraId="47BE2AB4">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材质：不锈钢304。</w:t>
      </w:r>
    </w:p>
    <w:p w14:paraId="4E4DC8A5">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（四）安全阀</w:t>
      </w:r>
    </w:p>
    <w:p w14:paraId="33D810D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膜片式，正负压开启，压差为0.05bar时，风量不小于100m3/min；</w:t>
      </w:r>
    </w:p>
    <w:p w14:paraId="32F98605">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阀门开启时，空气由阀门进出，无粉尘泄漏；</w:t>
      </w:r>
    </w:p>
    <w:p w14:paraId="0F2A6AA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碳钢材质。</w:t>
      </w:r>
    </w:p>
    <w:p w14:paraId="4D372A08">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（五）称重系统：</w:t>
      </w:r>
    </w:p>
    <w:p w14:paraId="1397CE63">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在料仓的底部支架下部安装4只称重传感器，精确计量料仓内已有粉料的余量，以控制料仓内物料进出。提供接线盒及称重显示器，可以现场直接显示，4-20mA信号输出到整个控制系统的PLC系统中，实现系统的远程监控。传感器材质为AISI304,防护等级IP65以上。称重显示器外壳选用不锈钢，品牌设备，防护等级IP65或以上。</w:t>
      </w:r>
    </w:p>
    <w:p w14:paraId="09F6B198">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（六）料仓出口阀：</w:t>
      </w:r>
    </w:p>
    <w:p w14:paraId="216B36CF">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手动操作，与给料机配套，安装于料仓及给料机之间，以控制物料进出；</w:t>
      </w:r>
    </w:p>
    <w:p w14:paraId="385464B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阀板为不锈钢AISI304，采用三层填料密封。当安装高度较高时，应配套链条手动装置在地面操作该阀。</w:t>
      </w:r>
    </w:p>
    <w:p w14:paraId="3BA89D69">
      <w:pPr>
        <w:pStyle w:val="11"/>
        <w:spacing w:line="500" w:lineRule="exact"/>
        <w:ind w:firstLine="422" w:firstLineChars="200"/>
        <w:rPr>
          <w:rFonts w:ascii="宋体" w:hAnsi="宋体" w:cs="宋体"/>
          <w:b/>
          <w:bCs/>
          <w:color w:val="auto"/>
          <w:szCs w:val="21"/>
        </w:rPr>
      </w:pPr>
      <w:r>
        <w:rPr>
          <w:rFonts w:hint="eastAsia" w:ascii="宋体" w:hAnsi="宋体" w:cs="宋体"/>
          <w:b/>
          <w:bCs/>
          <w:color w:val="auto"/>
          <w:szCs w:val="21"/>
        </w:rPr>
        <w:t>推荐品牌：索得曼、GREAT LOVE、PARIMIX等</w:t>
      </w:r>
    </w:p>
    <w:p w14:paraId="5F745199">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（七）螺旋给料机：</w:t>
      </w:r>
    </w:p>
    <w:p w14:paraId="4A07D0A1">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给料机由机身、进料口、出料口、螺旋、观察口及驱动系统等组成。给料机应保证干粉计量精度。给料机流量稳定、连续，流量与转速应有线性关系，螺旋应具有自洁功能；</w:t>
      </w:r>
    </w:p>
    <w:p w14:paraId="2DDD7B04">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材质：碳钢；</w:t>
      </w:r>
    </w:p>
    <w:p w14:paraId="073F68C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计量能力：不小于350kg/h；</w:t>
      </w:r>
    </w:p>
    <w:p w14:paraId="5CD1D67E">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精度：±1%；</w:t>
      </w:r>
    </w:p>
    <w:p w14:paraId="0D81182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电压：380 V，防护等级不低于IP55；</w:t>
      </w:r>
    </w:p>
    <w:p w14:paraId="57569B29">
      <w:pPr>
        <w:pStyle w:val="11"/>
        <w:spacing w:line="500" w:lineRule="exact"/>
        <w:ind w:firstLine="420" w:firstLineChars="200"/>
        <w:rPr>
          <w:rFonts w:ascii="宋体" w:hAnsi="宋体" w:cs="宋体"/>
          <w:color w:val="auto"/>
          <w:szCs w:val="21"/>
        </w:rPr>
      </w:pPr>
      <w:r>
        <w:rPr>
          <w:rFonts w:hint="eastAsia" w:ascii="宋体" w:hAnsi="宋体" w:cs="宋体"/>
          <w:color w:val="auto"/>
          <w:szCs w:val="21"/>
        </w:rPr>
        <w:t>绝缘等级：F级。</w:t>
      </w:r>
    </w:p>
    <w:p w14:paraId="1630713A">
      <w:pPr>
        <w:pStyle w:val="11"/>
        <w:spacing w:line="500" w:lineRule="exact"/>
        <w:ind w:firstLine="211" w:firstLineChars="100"/>
        <w:rPr>
          <w:rFonts w:ascii="宋体" w:hAnsi="宋体" w:cs="宋体"/>
          <w:b/>
          <w:bCs/>
          <w:color w:val="auto"/>
          <w:szCs w:val="21"/>
        </w:rPr>
      </w:pPr>
      <w:r>
        <w:rPr>
          <w:rFonts w:hint="eastAsia" w:ascii="宋体" w:hAnsi="宋体" w:cs="宋体"/>
          <w:b/>
          <w:bCs/>
          <w:color w:val="auto"/>
          <w:szCs w:val="21"/>
        </w:rPr>
        <w:t>推荐品牌：索得曼、GREAT LOVE、PARIMIX等</w:t>
      </w:r>
    </w:p>
    <w:p w14:paraId="78F43B8C">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（八）螺旋输送机</w:t>
      </w:r>
    </w:p>
    <w:p w14:paraId="4F411160">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材质：碳钢及以上材质；</w:t>
      </w:r>
    </w:p>
    <w:p w14:paraId="62D45134">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轴承：SKF、FAG、NTN，减速机采用SEW、Nord、Flender或同档次及以上品牌；</w:t>
      </w:r>
    </w:p>
    <w:p w14:paraId="0488A2C8">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与给料机出口相连，输送计量后的活性炭至溶解罐。螺旋输送器由进口、出口、取样点、检查孔、紧急卸料口及驱动电机等组成；</w:t>
      </w:r>
    </w:p>
    <w:p w14:paraId="0C06894B">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螺旋输送机与溶解罐连接出料口需配套气动阀门以及除湿装置，确保在不配药时防止溶解罐内水汽对螺杆侵润而产生结块造成堵塞。</w:t>
      </w:r>
    </w:p>
    <w:p w14:paraId="707B47C4">
      <w:pPr>
        <w:tabs>
          <w:tab w:val="left" w:pos="907"/>
        </w:tabs>
        <w:spacing w:line="500" w:lineRule="exact"/>
        <w:ind w:left="420" w:leftChars="200"/>
        <w:rPr>
          <w:rFonts w:ascii="宋体" w:hAnsi="宋体" w:cs="宋体"/>
          <w:b/>
          <w:bCs/>
          <w:color w:val="auto"/>
          <w:szCs w:val="21"/>
        </w:rPr>
      </w:pPr>
      <w:r>
        <w:rPr>
          <w:rFonts w:hint="eastAsia" w:ascii="宋体" w:hAnsi="宋体" w:cs="宋体"/>
          <w:b/>
          <w:bCs/>
          <w:color w:val="auto"/>
          <w:szCs w:val="21"/>
        </w:rPr>
        <w:t>推荐品牌：索得曼、GREAT LOVE、PARIMIX等</w:t>
      </w:r>
    </w:p>
    <w:p w14:paraId="5ED60153">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（九）制备溶解罐：</w:t>
      </w:r>
    </w:p>
    <w:p w14:paraId="576BF20D">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材质：不锈钢AISI304，厚4mm或4mm以上；</w:t>
      </w:r>
    </w:p>
    <w:p w14:paraId="5610D5F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溶液罐容积不小于3.5m3，罐体强度须满足相关技术规范，罐体形式不限；底部排渣口口径DN50，安装自动法兰不锈钢球阀；</w:t>
      </w:r>
    </w:p>
    <w:p w14:paraId="416BCECB">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功能实现：（1）1.0-5%左右的活性碳乳液。包括排空阀、不锈钢AISI304搅拌器、溶解水系统等附件。溶解水应包括过滤器、调节阀、电动阀、电磁流量计等，溶解水部件应为UVPC材质。溶解罐应配套除尘器，不锈钢材质，包括管路冲洗除尘管线以清除除尘器内的收集的粉尘；溶解罐应配备排渣系统。</w:t>
      </w:r>
    </w:p>
    <w:p w14:paraId="4F7C5AA0">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（十）溶液罐：</w:t>
      </w:r>
    </w:p>
    <w:p w14:paraId="1013A95D">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材质：不锈钢AISI304，厚4mm或4mm以上；</w:t>
      </w:r>
    </w:p>
    <w:p w14:paraId="5D9C38E8">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罐体强度须满足相关技术规范，罐体形式不限；</w:t>
      </w:r>
    </w:p>
    <w:p w14:paraId="1D0C4873">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储存制备罐的乳液。包括排空阀、超声波液位计，不锈钢AISI304搅拌机等附件。罐底配有排渣口。溶解罐包括溢流口；</w:t>
      </w:r>
    </w:p>
    <w:p w14:paraId="6011C39B">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溶液罐配有自动排渣系统装置，实现自动排渣。</w:t>
      </w:r>
    </w:p>
    <w:p w14:paraId="7F15F417">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（十一）搅拌机：</w:t>
      </w:r>
    </w:p>
    <w:p w14:paraId="1FC6C8E0">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减速机采用SEW、Nord、Flender或同档次及以上品牌减速机；</w:t>
      </w:r>
    </w:p>
    <w:p w14:paraId="08F5868B">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所有的螺母、螺钉和垫圈为AISI304以上不锈钢材质；</w:t>
      </w:r>
    </w:p>
    <w:p w14:paraId="0572482C">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搅拌轴及搅拌叶材料选定应采用防腐AISI304以上不锈钢材质。</w:t>
      </w:r>
    </w:p>
    <w:p w14:paraId="0C458529">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（十二）投加泵成套装置：</w:t>
      </w:r>
      <w:r>
        <w:rPr>
          <w:rFonts w:hint="eastAsia" w:ascii="宋体" w:hAnsi="宋体" w:cs="宋体"/>
          <w:color w:val="auto"/>
          <w:sz w:val="21"/>
          <w:szCs w:val="21"/>
        </w:rPr>
        <w:tab/>
      </w:r>
    </w:p>
    <w:p w14:paraId="1E77613D">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泵流量可以通过变频器实现现场及远程调节，泵密封配套自动冲洗装置；</w:t>
      </w:r>
    </w:p>
    <w:p w14:paraId="60B87A24">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每台泵出口配套隔膜压力表及压力开关，可以实现现场显示及远程传输，同时具有过压保护；</w:t>
      </w:r>
    </w:p>
    <w:p w14:paraId="709C2EA7">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每个投加点须配备独立的电磁流量计, 计量精度不低于0.5%，流量信号可以现场显示，也可以远传。不锈钢电极，PTFE衬里，防护等级IP67,包括瞬时及累积量显示，一体式，4-20mA输出。设计压力4MPa；</w:t>
      </w:r>
    </w:p>
    <w:p w14:paraId="060FD08F">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管路自动冲洗，一旦停泵立即注水冲洗。也可以根据设定时间自动冲洗，包括相关自动冲洗电动阀；</w:t>
      </w:r>
    </w:p>
    <w:p w14:paraId="205F703B">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（十三）空气压缩机系统：</w:t>
      </w:r>
    </w:p>
    <w:p w14:paraId="287C8B0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每套投加系统配备一套空压机系统。空压机系统包括空压机一台及相关附件；</w:t>
      </w:r>
    </w:p>
    <w:p w14:paraId="39E33804">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排气量&gt;0.67</w:t>
      </w:r>
      <w:r>
        <w:rPr>
          <w:rFonts w:hint="eastAsia" w:ascii="宋体" w:hAnsi="宋体" w:cs="宋体"/>
          <w:color w:val="auto"/>
          <w:szCs w:val="21"/>
          <w:vertAlign w:val="superscript"/>
        </w:rPr>
        <w:t>m3</w:t>
      </w:r>
      <w:r>
        <w:rPr>
          <w:rFonts w:hint="eastAsia" w:ascii="宋体" w:hAnsi="宋体" w:cs="宋体"/>
          <w:color w:val="auto"/>
          <w:szCs w:val="21"/>
        </w:rPr>
        <w:t>/min，最高工作压力8bar；</w:t>
      </w:r>
    </w:p>
    <w:p w14:paraId="6B62BA6F">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冷却方式:风冷；</w:t>
      </w:r>
    </w:p>
    <w:p w14:paraId="21E3B8CA">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附件包括：冷干机，前后2级过滤器，其中冷干机不允许集成在空压机内部，必须单独配套。</w:t>
      </w:r>
    </w:p>
    <w:p w14:paraId="0A1DB074">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（十四）增压系统：</w:t>
      </w:r>
    </w:p>
    <w:p w14:paraId="22F9D027">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两台增压泵，4只手动切换阀，2只止回阀，1只压力表，压力表带信号输出；</w:t>
      </w:r>
    </w:p>
    <w:p w14:paraId="44AAA8C0">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泵流量：12m</w:t>
      </w:r>
      <w:r>
        <w:rPr>
          <w:rFonts w:hint="eastAsia" w:ascii="宋体" w:hAnsi="宋体" w:cs="宋体"/>
          <w:color w:val="auto"/>
          <w:szCs w:val="21"/>
          <w:vertAlign w:val="superscript"/>
        </w:rPr>
        <w:t>3</w:t>
      </w:r>
      <w:r>
        <w:rPr>
          <w:rFonts w:hint="eastAsia" w:ascii="宋体" w:hAnsi="宋体" w:cs="宋体"/>
          <w:color w:val="auto"/>
          <w:szCs w:val="21"/>
        </w:rPr>
        <w:t>/h（参考）, 扬程：30m,系统1用1备，为活性炭系统供水；</w:t>
      </w:r>
    </w:p>
    <w:p w14:paraId="37160B3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包括电极点压力表可以实现低压启动，高压停止。</w:t>
      </w:r>
    </w:p>
    <w:p w14:paraId="2A6F8CD9">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（十五）控制柜：</w:t>
      </w:r>
    </w:p>
    <w:p w14:paraId="0CA8E8F8">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随机应包括一套完整控制柜，控制柜本身防护等级IP55以上，环境腐蚀类别0类。采用标准机柜，双层柜门，柜体不小于2mm厚的喷塑碳钢, 采用折叠式的焊接结构, 前开门，门上配有手柄、锁及铭牌，所有的门或出入口都用氯丁橡胶密封。控制柜内提供门控30W 荧光灯，安装在柜的顶部，并且要具有更换灯管的操作空间。柜体设有防小动物进入的通风装置。</w:t>
      </w:r>
    </w:p>
    <w:p w14:paraId="66CCA02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整套活性炭投加系统采用PLC自动控制，PLC采用罗克韦尔/西门子/施耐德或同等档次以上系统，能与水厂中控系统（含上位机及组态软件）兼容。现场控制柜包括触摸屏，能显示、设置、修改工艺参数，控制制备及投加。泵的流量可以通过4-20mA信号调节。控制柜内的变频器须采用施耐德、ABB、丹佛斯或同档次及以上品牌，其他元器件须采用“默勒”、“ABB”、“施耐德”、“西门子”品牌或同档次以上品牌。控制柜放在设备现场，现场设置转换开关。</w:t>
      </w:r>
    </w:p>
    <w:p w14:paraId="0FD157E8">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系统至少需具备以下功能：</w:t>
      </w:r>
    </w:p>
    <w:p w14:paraId="70B8CEA4">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全套系统PLC控制；</w:t>
      </w:r>
    </w:p>
    <w:p w14:paraId="1D801A0F">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系统各设备的运行及报警显示（中文人机界面）；</w:t>
      </w:r>
    </w:p>
    <w:p w14:paraId="47D8B0DA">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相关信号的远程输出；</w:t>
      </w:r>
    </w:p>
    <w:p w14:paraId="2F720C06">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配备标准通讯接口及与接入的加药间主站PLC所需的相关通讯设备（如加药间主站通讯卡、T接线头等），与水厂现有控制系统兼容（系统接入立新水厂主站PLC）并负责完善上位机监控画面；</w:t>
      </w:r>
    </w:p>
    <w:p w14:paraId="64D72FB0">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按设定浓度自动配料；</w:t>
      </w:r>
    </w:p>
    <w:p w14:paraId="00DF5D25">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投加点根据原水流量自动投加；</w:t>
      </w:r>
    </w:p>
    <w:p w14:paraId="1F27F870">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可供电源：3x380/220V，50Hz；</w:t>
      </w:r>
    </w:p>
    <w:p w14:paraId="1E9AE24A">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在投加系统自动运行过程中可以对设备进行手动控制，方便检修维护；</w:t>
      </w:r>
    </w:p>
    <w:p w14:paraId="008CD1A9">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具有自动排放渣水的功能。</w:t>
      </w:r>
    </w:p>
    <w:p w14:paraId="63030839">
      <w:pPr>
        <w:pStyle w:val="6"/>
        <w:spacing w:before="0" w:after="0" w:line="500" w:lineRule="exact"/>
        <w:ind w:left="420" w:leftChars="200"/>
        <w:rPr>
          <w:rFonts w:ascii="宋体" w:hAnsi="宋体" w:cs="宋体"/>
          <w:color w:val="auto"/>
          <w:sz w:val="21"/>
          <w:szCs w:val="21"/>
        </w:rPr>
      </w:pPr>
      <w:bookmarkStart w:id="743" w:name="_Toc260068911"/>
      <w:r>
        <w:rPr>
          <w:rFonts w:hint="eastAsia" w:ascii="宋体" w:hAnsi="宋体" w:cs="宋体"/>
          <w:color w:val="auto"/>
          <w:sz w:val="21"/>
          <w:szCs w:val="21"/>
        </w:rPr>
        <w:t>（十六）表面处理</w:t>
      </w:r>
      <w:bookmarkEnd w:id="743"/>
      <w:r>
        <w:rPr>
          <w:rFonts w:hint="eastAsia" w:ascii="宋体" w:hAnsi="宋体" w:cs="宋体"/>
          <w:color w:val="auto"/>
          <w:sz w:val="21"/>
          <w:szCs w:val="21"/>
        </w:rPr>
        <w:t>：</w:t>
      </w:r>
    </w:p>
    <w:p w14:paraId="1526086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所有碳钢材质表面均需多层防腐处理，除锈达到Sa2.5级，完全除去金属表面的油脂、氧化皮、锈蚀物等一些杂物，外壁采用经喷砂处理到SA 2 ½后，2层100µm环氧底漆，外涂同一颜色50µm丙烯酸面层。</w:t>
      </w:r>
    </w:p>
    <w:p w14:paraId="5033CD3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不锈钢表面喷砂处理。</w:t>
      </w:r>
    </w:p>
    <w:p w14:paraId="5C4B31E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料仓表面喷砂除锈SA2 ½，料仓内外表面均须喷涂环氧漆，内表面涂食品级环氧漆2层；外表面2层环氧底漆100μm，外涂同一颜色50μm丙烯酸/聚氨酯面层。</w:t>
      </w:r>
    </w:p>
    <w:p w14:paraId="2B9DB07B">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电机、齿轮箱等按照相应供应商的标准表面处理。</w:t>
      </w:r>
    </w:p>
    <w:p w14:paraId="3F1789F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现场安装时，对于已经损坏的涂漆表面、由承包人和供货商负责修复并完成最终涂装。</w:t>
      </w:r>
    </w:p>
    <w:p w14:paraId="04F1BAF4">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（十七）备品备件及专用工具（包含在投标总价中）</w:t>
      </w:r>
    </w:p>
    <w:p w14:paraId="62D2729F">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备品备件以保证设备正常运行为目标，可以以模件为单位，每一模件至少需要一个备品。如果使用单只继电器则按每一类继电器一个备品考虑，对于易损坏的或经常更换的小型元件应适当增加备件数量。</w:t>
      </w:r>
    </w:p>
    <w:p w14:paraId="222283ED">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卖方应提供投标产品的备品备件清单及单价。</w:t>
      </w:r>
    </w:p>
    <w:p w14:paraId="456251CA">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卖方应按标准提供1年的易损备品备件。列出易损备品备件明细。</w:t>
      </w:r>
    </w:p>
    <w:p w14:paraId="412A6467">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卖方应提供随机专用工具清单。</w:t>
      </w:r>
    </w:p>
    <w:p w14:paraId="591C44C5">
      <w:pPr>
        <w:pStyle w:val="6"/>
        <w:spacing w:before="93" w:beforeLines="30" w:after="93" w:afterLines="30" w:line="500" w:lineRule="exact"/>
        <w:jc w:val="left"/>
        <w:rPr>
          <w:rFonts w:ascii="宋体" w:hAnsi="宋体" w:cs="宋体"/>
          <w:color w:val="auto"/>
          <w:sz w:val="21"/>
          <w:szCs w:val="21"/>
        </w:rPr>
      </w:pPr>
      <w:r>
        <w:rPr>
          <w:rFonts w:hint="eastAsia" w:ascii="宋体" w:hAnsi="宋体" w:cs="宋体"/>
          <w:color w:val="auto"/>
          <w:sz w:val="21"/>
          <w:szCs w:val="21"/>
        </w:rPr>
        <w:t>4.2.4 三水厂原水端增加高锰酸钾复合盐及粉炭投加系统</w:t>
      </w:r>
    </w:p>
    <w:p w14:paraId="729F157E">
      <w:pPr>
        <w:pStyle w:val="11"/>
        <w:spacing w:line="360" w:lineRule="auto"/>
        <w:ind w:firstLine="241" w:firstLineChars="100"/>
        <w:rPr>
          <w:rFonts w:ascii="宋体" w:hAnsi="宋体" w:cs="宋体"/>
          <w:color w:val="auto"/>
          <w:sz w:val="24"/>
        </w:rPr>
      </w:pPr>
      <w:r>
        <w:rPr>
          <w:rFonts w:hint="eastAsia" w:ascii="宋体" w:hAnsi="宋体" w:cs="宋体"/>
          <w:b/>
          <w:color w:val="auto"/>
          <w:sz w:val="24"/>
        </w:rPr>
        <w:t>一体化</w:t>
      </w:r>
      <w:r>
        <w:rPr>
          <w:rFonts w:hint="eastAsia" w:ascii="宋体" w:hAnsi="宋体" w:cs="宋体"/>
          <w:b/>
          <w:color w:val="auto"/>
          <w:sz w:val="24"/>
          <w:lang w:val="en-US" w:eastAsia="zh-CN"/>
        </w:rPr>
        <w:t>成套系统</w:t>
      </w:r>
      <w:r>
        <w:rPr>
          <w:rFonts w:hint="eastAsia" w:ascii="宋体" w:hAnsi="宋体" w:cs="宋体"/>
          <w:b/>
          <w:bCs/>
          <w:color w:val="auto"/>
          <w:sz w:val="24"/>
        </w:rPr>
        <w:t>推荐品牌：上海轩浦、固莱环保、净化控股等</w:t>
      </w:r>
    </w:p>
    <w:p w14:paraId="1BD34B3D">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1.</w:t>
      </w:r>
      <w:r>
        <w:rPr>
          <w:rFonts w:hint="eastAsia" w:ascii="宋体" w:hAnsi="宋体" w:cs="宋体"/>
          <w:b/>
          <w:color w:val="auto"/>
          <w:szCs w:val="21"/>
        </w:rPr>
        <w:t>项目概况</w:t>
      </w:r>
    </w:p>
    <w:p w14:paraId="6948EDD8">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滁州三水厂取水泵站粉炭一体化投加设施和高锰酸钾复合盐建设地点位于黄栗树水库取水泵站预留空地内。建设内容主要包括：新增粉炭投加设备和高锰酸钾复合盐以15万m3/d规模设计，粉碳原料采用罐车输送至料仓的一体化投加装置。设于室外露天安装，并对相应的电气设备、料仓做遮雨防水设计。</w:t>
      </w:r>
      <w:bookmarkStart w:id="744" w:name="OLE_LINK30"/>
      <w:r>
        <w:rPr>
          <w:rFonts w:hint="eastAsia" w:ascii="宋体" w:hAnsi="宋体" w:cs="宋体"/>
          <w:color w:val="auto"/>
          <w:szCs w:val="21"/>
        </w:rPr>
        <w:t>高锰酸钾复合盐</w:t>
      </w:r>
      <w:bookmarkEnd w:id="744"/>
      <w:r>
        <w:rPr>
          <w:rFonts w:hint="eastAsia" w:ascii="宋体" w:hAnsi="宋体" w:cs="宋体"/>
          <w:color w:val="auto"/>
          <w:szCs w:val="21"/>
        </w:rPr>
        <w:t>采用25KG袋装，现场制备。</w:t>
      </w:r>
    </w:p>
    <w:p w14:paraId="5FAA353A">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2.</w:t>
      </w:r>
      <w:r>
        <w:rPr>
          <w:rFonts w:hint="eastAsia" w:ascii="宋体" w:hAnsi="宋体" w:cs="宋体"/>
          <w:b/>
          <w:color w:val="auto"/>
          <w:szCs w:val="21"/>
        </w:rPr>
        <w:t>系统描述</w:t>
      </w:r>
    </w:p>
    <w:p w14:paraId="4463505D">
      <w:pPr>
        <w:tabs>
          <w:tab w:val="left" w:pos="907"/>
        </w:tabs>
        <w:spacing w:line="500" w:lineRule="exact"/>
        <w:ind w:left="420" w:leftChars="200" w:firstLine="630" w:firstLineChars="300"/>
        <w:rPr>
          <w:rFonts w:ascii="宋体" w:hAnsi="宋体" w:cs="宋体"/>
          <w:color w:val="auto"/>
          <w:szCs w:val="21"/>
        </w:rPr>
      </w:pPr>
      <w:r>
        <w:rPr>
          <w:rFonts w:hint="eastAsia" w:ascii="宋体" w:hAnsi="宋体" w:cs="宋体"/>
          <w:color w:val="auto"/>
          <w:szCs w:val="21"/>
        </w:rPr>
        <w:t>本次招标的一体化投加系统具有连续计量、输送、溶解及投加活性炭与水的混合溶液，活性炭吸附水中杂质、异味等有害物质，高锰酸钾复合盐用于杀藻，除铁锰。</w:t>
      </w:r>
    </w:p>
    <w:p w14:paraId="44176A52">
      <w:pPr>
        <w:numPr>
          <w:ilvl w:val="255"/>
          <w:numId w:val="0"/>
        </w:numPr>
        <w:tabs>
          <w:tab w:val="left" w:pos="907"/>
        </w:tabs>
        <w:spacing w:line="500" w:lineRule="exact"/>
        <w:ind w:left="420" w:leftChars="200" w:firstLine="630" w:firstLineChars="300"/>
        <w:rPr>
          <w:rFonts w:ascii="宋体" w:hAnsi="宋体" w:cs="宋体"/>
          <w:color w:val="auto"/>
          <w:szCs w:val="21"/>
        </w:rPr>
      </w:pPr>
      <w:r>
        <w:rPr>
          <w:rFonts w:hint="eastAsia" w:ascii="宋体" w:hAnsi="宋体" w:cs="宋体"/>
          <w:color w:val="auto"/>
          <w:szCs w:val="21"/>
        </w:rPr>
        <w:t>活性炭粉末罐车来料时，通过车载风机将活性炭粉末送入室外料仓，经输送、给料至溶液制备罐，溶液从制备罐重力自流至储罐，再由储罐经泵投至投加点。</w:t>
      </w:r>
    </w:p>
    <w:p w14:paraId="4E5A6137">
      <w:pPr>
        <w:numPr>
          <w:ilvl w:val="255"/>
          <w:numId w:val="0"/>
        </w:numPr>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高锰酸钾复合盐采用采用25KG袋装，人工破包投入投料站，射流进料到制备罐内搅拌制备，一天制备一次，制备好的溶液，通过计量泵投加至投加点。</w:t>
      </w:r>
    </w:p>
    <w:p w14:paraId="4CBEAFDA">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招标人提供本系统所需的总电源及清洁自来水源，接至系统处的管、线均由招标方负责。系统的外形尺寸应满足现场空间要求。投标人应提供系统流程图，设备外形布置图，从设备至各投加点管道安装布置图以及其它结构图，并应标注相关部件的接口尺寸。</w:t>
      </w:r>
    </w:p>
    <w:p w14:paraId="31EE3C6E">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3.</w:t>
      </w:r>
      <w:r>
        <w:rPr>
          <w:rFonts w:hint="eastAsia" w:ascii="宋体" w:hAnsi="宋体" w:cs="宋体"/>
          <w:b/>
          <w:color w:val="auto"/>
          <w:szCs w:val="21"/>
        </w:rPr>
        <w:t>系统集成设计及施工范围</w:t>
      </w:r>
    </w:p>
    <w:p w14:paraId="28A3DC7F">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本次滁州三水厂取水泵站粉炭和高锰酸钾复合盐一体化投加设施招标范围包从原料进料到投加点之间所有投加系统（含配水、配电、自控、各类管沟、场地硬化、绿化、冲洗喷淋装置等）的设计、相应设备的供货、安装及预留通讯与监控接口、完成上位机中控界面及相应的技术培训和售后服务等工作。</w:t>
      </w:r>
    </w:p>
    <w:p w14:paraId="6E9165EB">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4.</w:t>
      </w:r>
      <w:r>
        <w:rPr>
          <w:rFonts w:hint="eastAsia" w:ascii="宋体" w:hAnsi="宋体" w:cs="宋体"/>
          <w:b/>
          <w:color w:val="auto"/>
          <w:szCs w:val="21"/>
        </w:rPr>
        <w:t>设计要求</w:t>
      </w:r>
    </w:p>
    <w:p w14:paraId="303391EB">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投标人需根据项目情况对全套系统进行相关计算及详细设计，以保证药剂投加管路的适当流速及背压，同时还应采取措施保证投加泵的最大使用寿命。投标人应提供设计范围内全套储存、计量、输送、溶解装置及投加药剂粉末的相关设备。包括除尘装置、开关阀、给料机、螺旋输送器、药剂粉末溶解罐，投加泵及控制系统等。供货商还应供应投加系统运行所必需的一些附件，以保证整个投药系统安全、有效、可靠的运行。</w:t>
      </w:r>
    </w:p>
    <w:p w14:paraId="6FB7CE7F">
      <w:pPr>
        <w:numPr>
          <w:ilvl w:val="255"/>
          <w:numId w:val="0"/>
        </w:numPr>
        <w:spacing w:line="360" w:lineRule="auto"/>
        <w:ind w:left="420" w:leftChars="200"/>
        <w:rPr>
          <w:rFonts w:ascii="宋体" w:hAnsi="宋体" w:cs="宋体"/>
          <w:b/>
          <w:color w:val="auto"/>
          <w:sz w:val="24"/>
        </w:rPr>
      </w:pPr>
      <w:r>
        <w:rPr>
          <w:rFonts w:hint="eastAsia" w:ascii="宋体" w:hAnsi="宋体" w:cs="宋体"/>
          <w:b/>
          <w:color w:val="auto"/>
          <w:sz w:val="24"/>
          <w:lang w:val="en-US" w:eastAsia="zh-CN"/>
        </w:rPr>
        <w:t>5.</w:t>
      </w:r>
      <w:r>
        <w:rPr>
          <w:rFonts w:hint="eastAsia" w:ascii="宋体" w:hAnsi="宋体" w:cs="宋体"/>
          <w:b/>
          <w:color w:val="auto"/>
          <w:sz w:val="24"/>
        </w:rPr>
        <w:t>主要设备材料表</w:t>
      </w:r>
    </w:p>
    <w:tbl>
      <w:tblPr>
        <w:tblStyle w:val="23"/>
        <w:tblW w:w="0" w:type="auto"/>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650"/>
        <w:gridCol w:w="2085"/>
        <w:gridCol w:w="720"/>
        <w:gridCol w:w="1245"/>
        <w:gridCol w:w="4005"/>
      </w:tblGrid>
      <w:tr w14:paraId="1253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615" w:type="dxa"/>
            <w:vAlign w:val="center"/>
          </w:tcPr>
          <w:p w14:paraId="36CD6FE7">
            <w:pPr>
              <w:spacing w:line="500" w:lineRule="exact"/>
              <w:rPr>
                <w:rFonts w:ascii="宋体" w:hAnsi="宋体" w:cs="宋体"/>
                <w:b/>
                <w:color w:val="auto"/>
                <w:szCs w:val="21"/>
              </w:rPr>
            </w:pPr>
            <w:r>
              <w:rPr>
                <w:rFonts w:hint="eastAsia" w:ascii="宋体" w:hAnsi="宋体" w:cs="宋体"/>
                <w:b/>
                <w:color w:val="auto"/>
                <w:szCs w:val="21"/>
              </w:rPr>
              <w:t>序号</w:t>
            </w:r>
          </w:p>
        </w:tc>
        <w:tc>
          <w:tcPr>
            <w:tcW w:w="1650" w:type="dxa"/>
            <w:vAlign w:val="center"/>
          </w:tcPr>
          <w:p w14:paraId="4EA0CEC4">
            <w:pPr>
              <w:spacing w:line="500" w:lineRule="exact"/>
              <w:rPr>
                <w:rFonts w:ascii="宋体" w:hAnsi="宋体" w:cs="宋体"/>
                <w:b/>
                <w:color w:val="auto"/>
                <w:szCs w:val="21"/>
              </w:rPr>
            </w:pPr>
            <w:r>
              <w:rPr>
                <w:rFonts w:hint="eastAsia" w:ascii="宋体" w:hAnsi="宋体" w:cs="宋体"/>
                <w:b/>
                <w:color w:val="auto"/>
                <w:szCs w:val="21"/>
              </w:rPr>
              <w:t>名称</w:t>
            </w:r>
          </w:p>
        </w:tc>
        <w:tc>
          <w:tcPr>
            <w:tcW w:w="2085" w:type="dxa"/>
            <w:vAlign w:val="center"/>
          </w:tcPr>
          <w:p w14:paraId="5928BEFE">
            <w:pPr>
              <w:spacing w:line="500" w:lineRule="exact"/>
              <w:rPr>
                <w:rFonts w:ascii="宋体" w:hAnsi="宋体" w:cs="宋体"/>
                <w:b/>
                <w:color w:val="auto"/>
                <w:szCs w:val="21"/>
              </w:rPr>
            </w:pPr>
            <w:r>
              <w:rPr>
                <w:rFonts w:hint="eastAsia" w:ascii="宋体" w:hAnsi="宋体" w:cs="宋体"/>
                <w:b/>
                <w:color w:val="auto"/>
                <w:szCs w:val="21"/>
              </w:rPr>
              <w:t>型号及规格</w:t>
            </w:r>
          </w:p>
        </w:tc>
        <w:tc>
          <w:tcPr>
            <w:tcW w:w="720" w:type="dxa"/>
            <w:vAlign w:val="center"/>
          </w:tcPr>
          <w:p w14:paraId="72680E86">
            <w:pPr>
              <w:spacing w:line="500" w:lineRule="exact"/>
              <w:rPr>
                <w:rFonts w:ascii="宋体" w:hAnsi="宋体" w:cs="宋体"/>
                <w:b/>
                <w:color w:val="auto"/>
                <w:szCs w:val="21"/>
              </w:rPr>
            </w:pPr>
            <w:r>
              <w:rPr>
                <w:rFonts w:hint="eastAsia" w:ascii="宋体" w:hAnsi="宋体" w:cs="宋体"/>
                <w:b/>
                <w:color w:val="auto"/>
                <w:szCs w:val="21"/>
              </w:rPr>
              <w:t>数量</w:t>
            </w:r>
          </w:p>
        </w:tc>
        <w:tc>
          <w:tcPr>
            <w:tcW w:w="1245" w:type="dxa"/>
            <w:vAlign w:val="center"/>
          </w:tcPr>
          <w:p w14:paraId="487399A7">
            <w:pPr>
              <w:spacing w:line="500" w:lineRule="exact"/>
              <w:rPr>
                <w:rFonts w:ascii="宋体" w:hAnsi="宋体" w:cs="宋体"/>
                <w:b/>
                <w:color w:val="auto"/>
                <w:szCs w:val="21"/>
              </w:rPr>
            </w:pPr>
            <w:r>
              <w:rPr>
                <w:rFonts w:hint="eastAsia" w:ascii="宋体" w:hAnsi="宋体" w:cs="宋体"/>
                <w:b/>
                <w:color w:val="auto"/>
                <w:szCs w:val="21"/>
              </w:rPr>
              <w:t>材质</w:t>
            </w:r>
          </w:p>
        </w:tc>
        <w:tc>
          <w:tcPr>
            <w:tcW w:w="4005" w:type="dxa"/>
            <w:vAlign w:val="center"/>
          </w:tcPr>
          <w:p w14:paraId="48372781">
            <w:pPr>
              <w:spacing w:line="500" w:lineRule="exact"/>
              <w:rPr>
                <w:rFonts w:ascii="宋体" w:hAnsi="宋体" w:cs="宋体"/>
                <w:b/>
                <w:color w:val="auto"/>
                <w:szCs w:val="21"/>
              </w:rPr>
            </w:pPr>
            <w:r>
              <w:rPr>
                <w:rFonts w:hint="eastAsia" w:ascii="宋体" w:hAnsi="宋体" w:cs="宋体"/>
                <w:b/>
                <w:color w:val="auto"/>
                <w:szCs w:val="21"/>
              </w:rPr>
              <w:t>备注</w:t>
            </w:r>
          </w:p>
        </w:tc>
      </w:tr>
      <w:tr w14:paraId="58DD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10320" w:type="dxa"/>
            <w:gridSpan w:val="6"/>
            <w:vAlign w:val="center"/>
          </w:tcPr>
          <w:p w14:paraId="40438477">
            <w:pPr>
              <w:spacing w:line="500" w:lineRule="exact"/>
              <w:ind w:left="420" w:leftChars="200"/>
              <w:jc w:val="left"/>
              <w:rPr>
                <w:rFonts w:ascii="宋体" w:hAnsi="宋体" w:cs="宋体"/>
                <w:b/>
                <w:color w:val="auto"/>
                <w:szCs w:val="21"/>
              </w:rPr>
            </w:pPr>
            <w:r>
              <w:rPr>
                <w:rFonts w:hint="eastAsia" w:ascii="宋体" w:hAnsi="宋体" w:cs="宋体"/>
                <w:b/>
                <w:color w:val="auto"/>
                <w:szCs w:val="21"/>
              </w:rPr>
              <w:t>活性炭投加系统</w:t>
            </w:r>
          </w:p>
        </w:tc>
      </w:tr>
      <w:tr w14:paraId="4608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15" w:type="dxa"/>
            <w:vAlign w:val="center"/>
          </w:tcPr>
          <w:p w14:paraId="605BC5C0">
            <w:pPr>
              <w:spacing w:line="500" w:lineRule="exact"/>
              <w:rPr>
                <w:rFonts w:ascii="宋体" w:hAnsi="宋体" w:cs="宋体"/>
                <w:color w:val="auto"/>
                <w:szCs w:val="21"/>
              </w:rPr>
            </w:pPr>
            <w:r>
              <w:rPr>
                <w:rFonts w:hint="eastAsia" w:ascii="宋体" w:hAnsi="宋体" w:cs="宋体"/>
                <w:color w:val="auto"/>
                <w:szCs w:val="21"/>
              </w:rPr>
              <w:t>1</w:t>
            </w:r>
          </w:p>
        </w:tc>
        <w:tc>
          <w:tcPr>
            <w:tcW w:w="1650" w:type="dxa"/>
            <w:vAlign w:val="center"/>
          </w:tcPr>
          <w:p w14:paraId="099822C5">
            <w:pPr>
              <w:spacing w:line="500" w:lineRule="exact"/>
              <w:rPr>
                <w:rFonts w:ascii="宋体" w:hAnsi="宋体" w:cs="宋体"/>
                <w:color w:val="auto"/>
                <w:szCs w:val="21"/>
              </w:rPr>
            </w:pPr>
            <w:r>
              <w:rPr>
                <w:rFonts w:hint="eastAsia" w:ascii="宋体" w:hAnsi="宋体" w:cs="宋体"/>
                <w:color w:val="auto"/>
                <w:szCs w:val="21"/>
              </w:rPr>
              <w:t>户外料仓</w:t>
            </w:r>
          </w:p>
        </w:tc>
        <w:tc>
          <w:tcPr>
            <w:tcW w:w="2085" w:type="dxa"/>
            <w:vAlign w:val="center"/>
          </w:tcPr>
          <w:p w14:paraId="20782D51">
            <w:pPr>
              <w:spacing w:line="500" w:lineRule="exact"/>
              <w:rPr>
                <w:rFonts w:ascii="宋体" w:hAnsi="宋体" w:cs="宋体"/>
                <w:color w:val="auto"/>
                <w:szCs w:val="21"/>
              </w:rPr>
            </w:pPr>
            <w:r>
              <w:rPr>
                <w:rFonts w:hint="eastAsia" w:ascii="宋体" w:hAnsi="宋体" w:cs="宋体"/>
                <w:color w:val="auto"/>
                <w:szCs w:val="21"/>
              </w:rPr>
              <w:t>容积40m</w:t>
            </w:r>
            <w:r>
              <w:rPr>
                <w:rFonts w:hint="eastAsia" w:ascii="宋体" w:hAnsi="宋体" w:cs="宋体"/>
                <w:color w:val="auto"/>
                <w:szCs w:val="21"/>
                <w:vertAlign w:val="superscript"/>
              </w:rPr>
              <w:t>3</w:t>
            </w:r>
          </w:p>
        </w:tc>
        <w:tc>
          <w:tcPr>
            <w:tcW w:w="720" w:type="dxa"/>
            <w:vAlign w:val="center"/>
          </w:tcPr>
          <w:p w14:paraId="50EBF2F5">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62213A35">
            <w:pPr>
              <w:spacing w:line="500" w:lineRule="exact"/>
              <w:rPr>
                <w:rFonts w:ascii="宋体" w:hAnsi="宋体" w:cs="宋体"/>
                <w:color w:val="auto"/>
                <w:szCs w:val="21"/>
              </w:rPr>
            </w:pPr>
            <w:r>
              <w:rPr>
                <w:rFonts w:hint="eastAsia" w:ascii="宋体" w:hAnsi="宋体" w:cs="宋体"/>
                <w:color w:val="auto"/>
                <w:szCs w:val="21"/>
              </w:rPr>
              <w:t>碳钢</w:t>
            </w:r>
          </w:p>
        </w:tc>
        <w:tc>
          <w:tcPr>
            <w:tcW w:w="4005" w:type="dxa"/>
            <w:vAlign w:val="center"/>
          </w:tcPr>
          <w:p w14:paraId="3C12FF4F">
            <w:pPr>
              <w:spacing w:line="500" w:lineRule="exact"/>
              <w:jc w:val="left"/>
              <w:rPr>
                <w:rFonts w:ascii="宋体" w:hAnsi="宋体" w:cs="宋体"/>
                <w:color w:val="auto"/>
                <w:szCs w:val="21"/>
              </w:rPr>
            </w:pPr>
            <w:r>
              <w:rPr>
                <w:rFonts w:hint="eastAsia" w:ascii="宋体" w:hAnsi="宋体" w:cs="宋体"/>
                <w:color w:val="auto"/>
                <w:szCs w:val="21"/>
              </w:rPr>
              <w:t>要求壁厚不小于8mm，关键受力部分不小于10mm，符合粉炭使用国家相关防爆要求。配套楼梯应采取分段式，中间设置停留休息平台。</w:t>
            </w:r>
          </w:p>
        </w:tc>
      </w:tr>
      <w:tr w14:paraId="5F19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15" w:type="dxa"/>
            <w:vAlign w:val="center"/>
          </w:tcPr>
          <w:p w14:paraId="3CAC25A5">
            <w:pPr>
              <w:spacing w:line="500" w:lineRule="exact"/>
              <w:rPr>
                <w:rFonts w:ascii="宋体" w:hAnsi="宋体" w:cs="宋体"/>
                <w:color w:val="auto"/>
                <w:szCs w:val="21"/>
              </w:rPr>
            </w:pPr>
            <w:r>
              <w:rPr>
                <w:rFonts w:hint="eastAsia" w:ascii="宋体" w:hAnsi="宋体" w:cs="宋体"/>
                <w:color w:val="auto"/>
                <w:szCs w:val="21"/>
              </w:rPr>
              <w:t>2</w:t>
            </w:r>
          </w:p>
        </w:tc>
        <w:tc>
          <w:tcPr>
            <w:tcW w:w="1650" w:type="dxa"/>
            <w:vAlign w:val="center"/>
          </w:tcPr>
          <w:p w14:paraId="32E27959">
            <w:pPr>
              <w:spacing w:line="500" w:lineRule="exact"/>
              <w:rPr>
                <w:rFonts w:ascii="宋体" w:hAnsi="宋体" w:cs="宋体"/>
                <w:color w:val="auto"/>
                <w:szCs w:val="21"/>
              </w:rPr>
            </w:pPr>
            <w:r>
              <w:rPr>
                <w:rFonts w:hint="eastAsia" w:ascii="宋体" w:hAnsi="宋体" w:cs="宋体"/>
                <w:color w:val="auto"/>
                <w:szCs w:val="21"/>
              </w:rPr>
              <w:t>料位及空穴报警计</w:t>
            </w:r>
          </w:p>
        </w:tc>
        <w:tc>
          <w:tcPr>
            <w:tcW w:w="2085" w:type="dxa"/>
            <w:vAlign w:val="center"/>
          </w:tcPr>
          <w:p w14:paraId="6380EC2F">
            <w:pPr>
              <w:spacing w:line="500" w:lineRule="exact"/>
              <w:rPr>
                <w:rFonts w:ascii="宋体" w:hAnsi="宋体" w:cs="宋体"/>
                <w:color w:val="auto"/>
                <w:szCs w:val="21"/>
              </w:rPr>
            </w:pPr>
            <w:r>
              <w:rPr>
                <w:rFonts w:hint="eastAsia" w:ascii="宋体" w:hAnsi="宋体" w:cs="宋体"/>
                <w:color w:val="auto"/>
                <w:spacing w:val="8"/>
                <w:szCs w:val="21"/>
              </w:rPr>
              <w:t>桨板式</w:t>
            </w:r>
          </w:p>
        </w:tc>
        <w:tc>
          <w:tcPr>
            <w:tcW w:w="720" w:type="dxa"/>
            <w:vAlign w:val="center"/>
          </w:tcPr>
          <w:p w14:paraId="7435FB22">
            <w:pPr>
              <w:spacing w:line="500" w:lineRule="exact"/>
              <w:rPr>
                <w:rFonts w:ascii="宋体" w:hAnsi="宋体" w:cs="宋体"/>
                <w:color w:val="auto"/>
                <w:szCs w:val="21"/>
              </w:rPr>
            </w:pPr>
            <w:r>
              <w:rPr>
                <w:rFonts w:hint="eastAsia" w:ascii="宋体" w:hAnsi="宋体" w:cs="宋体"/>
                <w:color w:val="auto"/>
                <w:szCs w:val="21"/>
              </w:rPr>
              <w:t>3个</w:t>
            </w:r>
          </w:p>
        </w:tc>
        <w:tc>
          <w:tcPr>
            <w:tcW w:w="1245" w:type="dxa"/>
            <w:vAlign w:val="center"/>
          </w:tcPr>
          <w:p w14:paraId="744B6FD5">
            <w:pPr>
              <w:spacing w:line="500" w:lineRule="exact"/>
              <w:rPr>
                <w:rFonts w:ascii="宋体" w:hAnsi="宋体" w:cs="宋体"/>
                <w:color w:val="auto"/>
                <w:szCs w:val="21"/>
              </w:rPr>
            </w:pPr>
            <w:r>
              <w:rPr>
                <w:rFonts w:hint="eastAsia" w:ascii="宋体" w:hAnsi="宋体" w:cs="宋体"/>
                <w:color w:val="auto"/>
                <w:szCs w:val="21"/>
              </w:rPr>
              <w:t>不锈钢</w:t>
            </w:r>
          </w:p>
        </w:tc>
        <w:tc>
          <w:tcPr>
            <w:tcW w:w="4005" w:type="dxa"/>
            <w:vAlign w:val="center"/>
          </w:tcPr>
          <w:p w14:paraId="1805F23E">
            <w:pPr>
              <w:spacing w:line="500" w:lineRule="exact"/>
              <w:jc w:val="left"/>
              <w:rPr>
                <w:rFonts w:ascii="宋体" w:hAnsi="宋体" w:cs="宋体"/>
                <w:color w:val="auto"/>
                <w:szCs w:val="21"/>
              </w:rPr>
            </w:pPr>
            <w:r>
              <w:rPr>
                <w:rFonts w:hint="eastAsia" w:ascii="宋体" w:hAnsi="宋体" w:cs="宋体"/>
                <w:color w:val="auto"/>
                <w:szCs w:val="21"/>
              </w:rPr>
              <w:t>UWT、E+H、WAM或同档次及以上品牌设备，料仓外适当位置有报警装置警示，符合粉炭使用国家相关防爆要求。</w:t>
            </w:r>
          </w:p>
        </w:tc>
      </w:tr>
      <w:tr w14:paraId="4DFE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5" w:type="dxa"/>
            <w:vAlign w:val="center"/>
          </w:tcPr>
          <w:p w14:paraId="0F73CF48">
            <w:pPr>
              <w:spacing w:line="500" w:lineRule="exact"/>
              <w:rPr>
                <w:rFonts w:ascii="宋体" w:hAnsi="宋体" w:cs="宋体"/>
                <w:color w:val="auto"/>
                <w:szCs w:val="21"/>
              </w:rPr>
            </w:pPr>
            <w:r>
              <w:rPr>
                <w:rFonts w:hint="eastAsia" w:ascii="宋体" w:hAnsi="宋体" w:cs="宋体"/>
                <w:color w:val="auto"/>
                <w:szCs w:val="21"/>
              </w:rPr>
              <w:t>3</w:t>
            </w:r>
          </w:p>
        </w:tc>
        <w:tc>
          <w:tcPr>
            <w:tcW w:w="1650" w:type="dxa"/>
            <w:vAlign w:val="center"/>
          </w:tcPr>
          <w:p w14:paraId="2A850211">
            <w:pPr>
              <w:spacing w:line="500" w:lineRule="exact"/>
              <w:rPr>
                <w:rFonts w:ascii="宋体" w:hAnsi="宋体" w:cs="宋体"/>
                <w:color w:val="auto"/>
                <w:szCs w:val="21"/>
              </w:rPr>
            </w:pPr>
            <w:r>
              <w:rPr>
                <w:rFonts w:hint="eastAsia" w:ascii="宋体" w:hAnsi="宋体" w:cs="宋体"/>
                <w:color w:val="auto"/>
                <w:szCs w:val="21"/>
              </w:rPr>
              <w:t>除尘器（料仓）</w:t>
            </w:r>
          </w:p>
        </w:tc>
        <w:tc>
          <w:tcPr>
            <w:tcW w:w="2085" w:type="dxa"/>
            <w:vAlign w:val="center"/>
          </w:tcPr>
          <w:p w14:paraId="313E1E83">
            <w:pPr>
              <w:spacing w:line="500" w:lineRule="exact"/>
              <w:jc w:val="left"/>
              <w:rPr>
                <w:rFonts w:ascii="宋体" w:hAnsi="宋体" w:cs="宋体"/>
                <w:color w:val="auto"/>
                <w:szCs w:val="21"/>
              </w:rPr>
            </w:pPr>
            <w:r>
              <w:rPr>
                <w:rFonts w:hint="eastAsia" w:ascii="宋体" w:hAnsi="宋体" w:cs="宋体"/>
                <w:color w:val="auto"/>
                <w:szCs w:val="21"/>
              </w:rPr>
              <w:t>气动清灰，过滤面积22m</w:t>
            </w:r>
            <w:r>
              <w:rPr>
                <w:rFonts w:hint="eastAsia" w:ascii="宋体" w:hAnsi="宋体" w:cs="宋体"/>
                <w:color w:val="auto"/>
                <w:szCs w:val="21"/>
                <w:vertAlign w:val="superscript"/>
              </w:rPr>
              <w:t>2.</w:t>
            </w:r>
          </w:p>
        </w:tc>
        <w:tc>
          <w:tcPr>
            <w:tcW w:w="720" w:type="dxa"/>
            <w:vAlign w:val="center"/>
          </w:tcPr>
          <w:p w14:paraId="3FE36E41">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15001F56">
            <w:pPr>
              <w:spacing w:line="500" w:lineRule="exact"/>
              <w:rPr>
                <w:rFonts w:ascii="宋体" w:hAnsi="宋体" w:cs="宋体"/>
                <w:color w:val="auto"/>
                <w:szCs w:val="21"/>
              </w:rPr>
            </w:pPr>
            <w:r>
              <w:rPr>
                <w:rFonts w:hint="eastAsia" w:ascii="宋体" w:hAnsi="宋体" w:cs="宋体"/>
                <w:color w:val="auto"/>
                <w:szCs w:val="21"/>
              </w:rPr>
              <w:t>不锈钢</w:t>
            </w:r>
          </w:p>
        </w:tc>
        <w:tc>
          <w:tcPr>
            <w:tcW w:w="4005" w:type="dxa"/>
            <w:vAlign w:val="center"/>
          </w:tcPr>
          <w:p w14:paraId="3EBD42CE">
            <w:pPr>
              <w:spacing w:line="500" w:lineRule="exact"/>
              <w:rPr>
                <w:rFonts w:ascii="宋体" w:hAnsi="宋体" w:cs="宋体"/>
                <w:color w:val="auto"/>
                <w:szCs w:val="21"/>
              </w:rPr>
            </w:pPr>
            <w:r>
              <w:rPr>
                <w:rFonts w:hint="eastAsia" w:ascii="宋体" w:hAnsi="宋体" w:cs="宋体"/>
                <w:color w:val="auto"/>
                <w:szCs w:val="21"/>
              </w:rPr>
              <w:t>曼威立、WAM、Sodimate、或同档次及以上品牌设备，符合粉炭使用国家相关防爆要求。</w:t>
            </w:r>
          </w:p>
        </w:tc>
      </w:tr>
      <w:tr w14:paraId="4ACB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5" w:type="dxa"/>
            <w:vAlign w:val="center"/>
          </w:tcPr>
          <w:p w14:paraId="234FE784">
            <w:pPr>
              <w:spacing w:line="500" w:lineRule="exact"/>
              <w:rPr>
                <w:rFonts w:ascii="宋体" w:hAnsi="宋体" w:cs="宋体"/>
                <w:color w:val="auto"/>
                <w:szCs w:val="21"/>
              </w:rPr>
            </w:pPr>
            <w:r>
              <w:rPr>
                <w:rFonts w:hint="eastAsia" w:ascii="宋体" w:hAnsi="宋体" w:cs="宋体"/>
                <w:color w:val="auto"/>
                <w:szCs w:val="21"/>
              </w:rPr>
              <w:t>4</w:t>
            </w:r>
          </w:p>
        </w:tc>
        <w:tc>
          <w:tcPr>
            <w:tcW w:w="1650" w:type="dxa"/>
            <w:vAlign w:val="center"/>
          </w:tcPr>
          <w:p w14:paraId="31E7B1C7">
            <w:pPr>
              <w:spacing w:line="500" w:lineRule="exact"/>
              <w:rPr>
                <w:rFonts w:ascii="宋体" w:hAnsi="宋体" w:cs="宋体"/>
                <w:color w:val="auto"/>
                <w:szCs w:val="21"/>
              </w:rPr>
            </w:pPr>
            <w:r>
              <w:rPr>
                <w:rFonts w:hint="eastAsia" w:ascii="宋体" w:hAnsi="宋体" w:cs="宋体"/>
                <w:color w:val="auto"/>
                <w:szCs w:val="21"/>
              </w:rPr>
              <w:t>安全阀</w:t>
            </w:r>
          </w:p>
        </w:tc>
        <w:tc>
          <w:tcPr>
            <w:tcW w:w="2085" w:type="dxa"/>
            <w:vAlign w:val="center"/>
          </w:tcPr>
          <w:p w14:paraId="4C157B06">
            <w:pPr>
              <w:spacing w:line="500" w:lineRule="exact"/>
              <w:rPr>
                <w:rFonts w:ascii="宋体" w:hAnsi="宋体" w:cs="宋体"/>
                <w:color w:val="auto"/>
                <w:szCs w:val="21"/>
              </w:rPr>
            </w:pPr>
            <w:r>
              <w:rPr>
                <w:rFonts w:hint="eastAsia" w:ascii="宋体" w:hAnsi="宋体" w:cs="宋体"/>
                <w:color w:val="auto"/>
                <w:szCs w:val="21"/>
              </w:rPr>
              <w:t>正负压</w:t>
            </w:r>
          </w:p>
        </w:tc>
        <w:tc>
          <w:tcPr>
            <w:tcW w:w="720" w:type="dxa"/>
            <w:vAlign w:val="center"/>
          </w:tcPr>
          <w:p w14:paraId="3AEB711E">
            <w:pPr>
              <w:spacing w:line="500" w:lineRule="exact"/>
              <w:rPr>
                <w:rFonts w:ascii="宋体" w:hAnsi="宋体" w:cs="宋体"/>
                <w:color w:val="auto"/>
                <w:szCs w:val="21"/>
              </w:rPr>
            </w:pPr>
            <w:r>
              <w:rPr>
                <w:rFonts w:hint="eastAsia" w:ascii="宋体" w:hAnsi="宋体" w:cs="宋体"/>
                <w:color w:val="auto"/>
                <w:szCs w:val="21"/>
              </w:rPr>
              <w:t>2只</w:t>
            </w:r>
          </w:p>
        </w:tc>
        <w:tc>
          <w:tcPr>
            <w:tcW w:w="1245" w:type="dxa"/>
            <w:vAlign w:val="center"/>
          </w:tcPr>
          <w:p w14:paraId="06CBE180">
            <w:pPr>
              <w:spacing w:line="500" w:lineRule="exact"/>
              <w:rPr>
                <w:rFonts w:ascii="宋体" w:hAnsi="宋体" w:cs="宋体"/>
                <w:color w:val="auto"/>
                <w:szCs w:val="21"/>
              </w:rPr>
            </w:pPr>
            <w:r>
              <w:rPr>
                <w:rFonts w:hint="eastAsia" w:ascii="宋体" w:hAnsi="宋体" w:cs="宋体"/>
                <w:color w:val="auto"/>
                <w:szCs w:val="21"/>
              </w:rPr>
              <w:t>碳钢</w:t>
            </w:r>
          </w:p>
        </w:tc>
        <w:tc>
          <w:tcPr>
            <w:tcW w:w="4005" w:type="dxa"/>
            <w:vAlign w:val="center"/>
          </w:tcPr>
          <w:p w14:paraId="6A917139">
            <w:pPr>
              <w:spacing w:line="500" w:lineRule="exact"/>
              <w:rPr>
                <w:rFonts w:ascii="宋体" w:hAnsi="宋体" w:cs="宋体"/>
                <w:color w:val="auto"/>
                <w:szCs w:val="21"/>
              </w:rPr>
            </w:pPr>
            <w:r>
              <w:rPr>
                <w:rFonts w:hint="eastAsia" w:ascii="宋体" w:hAnsi="宋体" w:cs="宋体"/>
                <w:color w:val="auto"/>
                <w:szCs w:val="21"/>
              </w:rPr>
              <w:t>安装于料仓顶部,符合粉炭使用国家相关防爆要求。</w:t>
            </w:r>
          </w:p>
        </w:tc>
      </w:tr>
      <w:tr w14:paraId="3953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5" w:type="dxa"/>
            <w:vAlign w:val="center"/>
          </w:tcPr>
          <w:p w14:paraId="73DB70E9">
            <w:pPr>
              <w:spacing w:line="500" w:lineRule="exact"/>
              <w:rPr>
                <w:rFonts w:ascii="宋体" w:hAnsi="宋体" w:cs="宋体"/>
                <w:color w:val="auto"/>
                <w:szCs w:val="21"/>
              </w:rPr>
            </w:pPr>
            <w:r>
              <w:rPr>
                <w:rFonts w:hint="eastAsia" w:ascii="宋体" w:hAnsi="宋体" w:cs="宋体"/>
                <w:color w:val="auto"/>
                <w:szCs w:val="21"/>
              </w:rPr>
              <w:t>5</w:t>
            </w:r>
          </w:p>
        </w:tc>
        <w:tc>
          <w:tcPr>
            <w:tcW w:w="1650" w:type="dxa"/>
            <w:vAlign w:val="center"/>
          </w:tcPr>
          <w:p w14:paraId="79954FFF">
            <w:pPr>
              <w:spacing w:line="500" w:lineRule="exact"/>
              <w:rPr>
                <w:rFonts w:ascii="宋体" w:hAnsi="宋体" w:cs="宋体"/>
                <w:color w:val="auto"/>
                <w:szCs w:val="21"/>
              </w:rPr>
            </w:pPr>
            <w:r>
              <w:rPr>
                <w:rFonts w:hint="eastAsia" w:ascii="宋体" w:hAnsi="宋体" w:cs="宋体"/>
                <w:color w:val="auto"/>
                <w:szCs w:val="21"/>
              </w:rPr>
              <w:t>称重系统</w:t>
            </w:r>
          </w:p>
        </w:tc>
        <w:tc>
          <w:tcPr>
            <w:tcW w:w="2085" w:type="dxa"/>
            <w:vAlign w:val="center"/>
          </w:tcPr>
          <w:p w14:paraId="2B014E1B">
            <w:pPr>
              <w:spacing w:line="500" w:lineRule="exact"/>
              <w:rPr>
                <w:rFonts w:ascii="宋体" w:hAnsi="宋体" w:cs="宋体"/>
                <w:color w:val="auto"/>
                <w:szCs w:val="21"/>
              </w:rPr>
            </w:pPr>
            <w:r>
              <w:rPr>
                <w:rFonts w:hint="eastAsia" w:ascii="宋体" w:hAnsi="宋体" w:cs="宋体"/>
                <w:color w:val="auto"/>
                <w:szCs w:val="21"/>
              </w:rPr>
              <w:t>4-20mA输出</w:t>
            </w:r>
          </w:p>
          <w:p w14:paraId="1C97609A">
            <w:pPr>
              <w:spacing w:line="500" w:lineRule="exact"/>
              <w:rPr>
                <w:rFonts w:ascii="宋体" w:hAnsi="宋体" w:cs="宋体"/>
                <w:color w:val="auto"/>
                <w:szCs w:val="21"/>
              </w:rPr>
            </w:pPr>
            <w:r>
              <w:rPr>
                <w:rFonts w:hint="eastAsia" w:ascii="宋体" w:hAnsi="宋体" w:cs="宋体"/>
                <w:color w:val="auto"/>
                <w:szCs w:val="21"/>
              </w:rPr>
              <w:t>配显示仪表，带通讯接口。</w:t>
            </w:r>
          </w:p>
        </w:tc>
        <w:tc>
          <w:tcPr>
            <w:tcW w:w="720" w:type="dxa"/>
            <w:vAlign w:val="center"/>
          </w:tcPr>
          <w:p w14:paraId="179FFD4A">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4CD5A901">
            <w:pPr>
              <w:spacing w:line="500" w:lineRule="exact"/>
              <w:rPr>
                <w:rFonts w:ascii="宋体" w:hAnsi="宋体" w:cs="宋体"/>
                <w:color w:val="auto"/>
                <w:szCs w:val="21"/>
              </w:rPr>
            </w:pPr>
            <w:r>
              <w:rPr>
                <w:rFonts w:hint="eastAsia" w:ascii="宋体" w:hAnsi="宋体" w:cs="宋体"/>
                <w:color w:val="auto"/>
                <w:szCs w:val="21"/>
              </w:rPr>
              <w:t>不锈钢304</w:t>
            </w:r>
          </w:p>
        </w:tc>
        <w:tc>
          <w:tcPr>
            <w:tcW w:w="4005" w:type="dxa"/>
            <w:vAlign w:val="center"/>
          </w:tcPr>
          <w:p w14:paraId="770E5C91">
            <w:pPr>
              <w:spacing w:line="500" w:lineRule="exact"/>
              <w:rPr>
                <w:rFonts w:ascii="宋体" w:hAnsi="宋体" w:cs="宋体"/>
                <w:color w:val="auto"/>
                <w:szCs w:val="21"/>
              </w:rPr>
            </w:pPr>
            <w:r>
              <w:rPr>
                <w:rFonts w:hint="eastAsia" w:ascii="宋体" w:hAnsi="宋体" w:cs="宋体"/>
                <w:color w:val="auto"/>
                <w:szCs w:val="21"/>
              </w:rPr>
              <w:t>梅特勒-托利多、HBM、尤梯赛尔或同档次及以上品牌。</w:t>
            </w:r>
          </w:p>
        </w:tc>
      </w:tr>
      <w:tr w14:paraId="3FF6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5" w:type="dxa"/>
            <w:vAlign w:val="center"/>
          </w:tcPr>
          <w:p w14:paraId="7DE3F72B">
            <w:pPr>
              <w:spacing w:line="500" w:lineRule="exact"/>
              <w:rPr>
                <w:rFonts w:ascii="宋体" w:hAnsi="宋体" w:cs="宋体"/>
                <w:color w:val="auto"/>
                <w:szCs w:val="21"/>
              </w:rPr>
            </w:pPr>
            <w:r>
              <w:rPr>
                <w:rFonts w:hint="eastAsia" w:ascii="宋体" w:hAnsi="宋体" w:cs="宋体"/>
                <w:color w:val="auto"/>
                <w:szCs w:val="21"/>
              </w:rPr>
              <w:t>6</w:t>
            </w:r>
          </w:p>
        </w:tc>
        <w:tc>
          <w:tcPr>
            <w:tcW w:w="1650" w:type="dxa"/>
            <w:vAlign w:val="center"/>
          </w:tcPr>
          <w:p w14:paraId="37245595">
            <w:pPr>
              <w:spacing w:line="500" w:lineRule="exact"/>
              <w:rPr>
                <w:rFonts w:ascii="宋体" w:hAnsi="宋体" w:cs="宋体"/>
                <w:color w:val="auto"/>
                <w:szCs w:val="21"/>
              </w:rPr>
            </w:pPr>
            <w:r>
              <w:rPr>
                <w:rFonts w:hint="eastAsia" w:ascii="宋体" w:hAnsi="宋体" w:cs="宋体"/>
                <w:color w:val="auto"/>
                <w:szCs w:val="21"/>
              </w:rPr>
              <w:t>料仓空穴处理装置</w:t>
            </w:r>
          </w:p>
        </w:tc>
        <w:tc>
          <w:tcPr>
            <w:tcW w:w="2085" w:type="dxa"/>
            <w:vAlign w:val="center"/>
          </w:tcPr>
          <w:p w14:paraId="33A21CCD">
            <w:pPr>
              <w:spacing w:line="500" w:lineRule="exact"/>
              <w:rPr>
                <w:rFonts w:ascii="宋体" w:hAnsi="宋体" w:cs="宋体"/>
                <w:color w:val="auto"/>
                <w:szCs w:val="21"/>
              </w:rPr>
            </w:pPr>
            <w:r>
              <w:rPr>
                <w:rFonts w:hint="eastAsia" w:ascii="宋体" w:hAnsi="宋体" w:cs="宋体"/>
                <w:color w:val="auto"/>
                <w:szCs w:val="21"/>
              </w:rPr>
              <w:t>气动或机械式防空穴装置</w:t>
            </w:r>
          </w:p>
        </w:tc>
        <w:tc>
          <w:tcPr>
            <w:tcW w:w="720" w:type="dxa"/>
            <w:vAlign w:val="center"/>
          </w:tcPr>
          <w:p w14:paraId="5BDF411D">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0B32C819">
            <w:pPr>
              <w:spacing w:line="500" w:lineRule="exact"/>
              <w:ind w:left="420" w:leftChars="200" w:firstLine="420"/>
              <w:jc w:val="center"/>
              <w:rPr>
                <w:rFonts w:ascii="宋体" w:hAnsi="宋体" w:cs="宋体"/>
                <w:color w:val="auto"/>
                <w:szCs w:val="21"/>
              </w:rPr>
            </w:pPr>
          </w:p>
        </w:tc>
        <w:tc>
          <w:tcPr>
            <w:tcW w:w="4005" w:type="dxa"/>
            <w:vAlign w:val="center"/>
          </w:tcPr>
          <w:p w14:paraId="134B1125">
            <w:pPr>
              <w:spacing w:line="500" w:lineRule="exact"/>
              <w:rPr>
                <w:rFonts w:ascii="宋体" w:hAnsi="宋体" w:cs="宋体"/>
                <w:color w:val="auto"/>
                <w:szCs w:val="21"/>
              </w:rPr>
            </w:pPr>
            <w:r>
              <w:rPr>
                <w:rFonts w:hint="eastAsia" w:ascii="宋体" w:hAnsi="宋体" w:cs="宋体"/>
                <w:color w:val="auto"/>
                <w:szCs w:val="21"/>
              </w:rPr>
              <w:t>曼威立、WAM、Sodimate、固莱或同档次及以上品牌，符合粉炭使用国家相关防爆要求。</w:t>
            </w:r>
          </w:p>
        </w:tc>
      </w:tr>
      <w:tr w14:paraId="3448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Align w:val="center"/>
          </w:tcPr>
          <w:p w14:paraId="292B8E38">
            <w:pPr>
              <w:spacing w:line="500" w:lineRule="exact"/>
              <w:rPr>
                <w:rFonts w:ascii="宋体" w:hAnsi="宋体" w:cs="宋体"/>
                <w:color w:val="auto"/>
                <w:szCs w:val="21"/>
              </w:rPr>
            </w:pPr>
            <w:r>
              <w:rPr>
                <w:rFonts w:hint="eastAsia" w:ascii="宋体" w:hAnsi="宋体" w:cs="宋体"/>
                <w:color w:val="auto"/>
                <w:szCs w:val="21"/>
              </w:rPr>
              <w:t>7</w:t>
            </w:r>
          </w:p>
        </w:tc>
        <w:tc>
          <w:tcPr>
            <w:tcW w:w="1650" w:type="dxa"/>
            <w:vAlign w:val="center"/>
          </w:tcPr>
          <w:p w14:paraId="6E8C15EA">
            <w:pPr>
              <w:spacing w:line="500" w:lineRule="exact"/>
              <w:rPr>
                <w:rFonts w:ascii="宋体" w:hAnsi="宋体" w:cs="宋体"/>
                <w:color w:val="auto"/>
                <w:szCs w:val="21"/>
              </w:rPr>
            </w:pPr>
            <w:r>
              <w:rPr>
                <w:rFonts w:hint="eastAsia" w:ascii="宋体" w:hAnsi="宋体" w:cs="宋体"/>
                <w:color w:val="auto"/>
                <w:szCs w:val="21"/>
              </w:rPr>
              <w:t>料仓出口阀</w:t>
            </w:r>
          </w:p>
        </w:tc>
        <w:tc>
          <w:tcPr>
            <w:tcW w:w="2085" w:type="dxa"/>
            <w:vAlign w:val="center"/>
          </w:tcPr>
          <w:p w14:paraId="72E2A873">
            <w:pPr>
              <w:spacing w:line="500" w:lineRule="exact"/>
              <w:rPr>
                <w:rFonts w:ascii="宋体" w:hAnsi="宋体" w:cs="宋体"/>
                <w:color w:val="auto"/>
                <w:szCs w:val="21"/>
              </w:rPr>
            </w:pPr>
            <w:r>
              <w:rPr>
                <w:rFonts w:hint="eastAsia" w:ascii="宋体" w:hAnsi="宋体" w:cs="宋体"/>
                <w:color w:val="auto"/>
                <w:szCs w:val="21"/>
              </w:rPr>
              <w:t>DN200</w:t>
            </w:r>
          </w:p>
        </w:tc>
        <w:tc>
          <w:tcPr>
            <w:tcW w:w="720" w:type="dxa"/>
            <w:vAlign w:val="center"/>
          </w:tcPr>
          <w:p w14:paraId="1FCA3DA9">
            <w:pPr>
              <w:spacing w:line="500" w:lineRule="exact"/>
              <w:rPr>
                <w:rFonts w:ascii="宋体" w:hAnsi="宋体" w:cs="宋体"/>
                <w:color w:val="auto"/>
                <w:szCs w:val="21"/>
              </w:rPr>
            </w:pPr>
            <w:r>
              <w:rPr>
                <w:rFonts w:hint="eastAsia" w:ascii="宋体" w:hAnsi="宋体" w:cs="宋体"/>
                <w:color w:val="auto"/>
                <w:szCs w:val="21"/>
              </w:rPr>
              <w:t>1个</w:t>
            </w:r>
          </w:p>
        </w:tc>
        <w:tc>
          <w:tcPr>
            <w:tcW w:w="1245" w:type="dxa"/>
            <w:vAlign w:val="center"/>
          </w:tcPr>
          <w:p w14:paraId="13B89176">
            <w:pPr>
              <w:spacing w:line="500" w:lineRule="exact"/>
              <w:rPr>
                <w:rFonts w:ascii="宋体" w:hAnsi="宋体" w:cs="宋体"/>
                <w:color w:val="auto"/>
                <w:szCs w:val="21"/>
              </w:rPr>
            </w:pPr>
            <w:r>
              <w:rPr>
                <w:rFonts w:hint="eastAsia" w:ascii="宋体" w:hAnsi="宋体" w:cs="宋体"/>
                <w:color w:val="auto"/>
                <w:szCs w:val="21"/>
              </w:rPr>
              <w:t>不锈钢AISI302阀板</w:t>
            </w:r>
          </w:p>
        </w:tc>
        <w:tc>
          <w:tcPr>
            <w:tcW w:w="4005" w:type="dxa"/>
            <w:vAlign w:val="center"/>
          </w:tcPr>
          <w:p w14:paraId="4FB9728B">
            <w:pPr>
              <w:spacing w:line="500" w:lineRule="exact"/>
              <w:rPr>
                <w:rFonts w:ascii="宋体" w:hAnsi="宋体" w:cs="宋体"/>
                <w:color w:val="auto"/>
                <w:szCs w:val="21"/>
              </w:rPr>
            </w:pPr>
            <w:r>
              <w:rPr>
                <w:rFonts w:hint="eastAsia" w:ascii="宋体" w:hAnsi="宋体" w:cs="宋体"/>
                <w:color w:val="auto"/>
                <w:szCs w:val="21"/>
              </w:rPr>
              <w:t>法国Sodimate、英国GREAT LOVE、法国PARIMIX或同档次及以上品牌。</w:t>
            </w:r>
          </w:p>
        </w:tc>
      </w:tr>
      <w:tr w14:paraId="6AEB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15" w:type="dxa"/>
            <w:vAlign w:val="center"/>
          </w:tcPr>
          <w:p w14:paraId="11BF4277">
            <w:pPr>
              <w:spacing w:line="500" w:lineRule="exact"/>
              <w:rPr>
                <w:rFonts w:ascii="宋体" w:hAnsi="宋体" w:cs="宋体"/>
                <w:color w:val="auto"/>
                <w:szCs w:val="21"/>
              </w:rPr>
            </w:pPr>
            <w:r>
              <w:rPr>
                <w:rFonts w:hint="eastAsia" w:ascii="宋体" w:hAnsi="宋体" w:cs="宋体"/>
                <w:color w:val="auto"/>
                <w:szCs w:val="21"/>
              </w:rPr>
              <w:t>8</w:t>
            </w:r>
          </w:p>
        </w:tc>
        <w:tc>
          <w:tcPr>
            <w:tcW w:w="1650" w:type="dxa"/>
            <w:vAlign w:val="center"/>
          </w:tcPr>
          <w:p w14:paraId="6058DB77">
            <w:pPr>
              <w:spacing w:line="500" w:lineRule="exact"/>
              <w:rPr>
                <w:rFonts w:ascii="宋体" w:hAnsi="宋体" w:cs="宋体"/>
                <w:color w:val="auto"/>
                <w:szCs w:val="21"/>
              </w:rPr>
            </w:pPr>
            <w:r>
              <w:rPr>
                <w:rFonts w:hint="eastAsia" w:ascii="宋体" w:hAnsi="宋体" w:cs="宋体"/>
                <w:color w:val="auto"/>
                <w:szCs w:val="21"/>
              </w:rPr>
              <w:t>螺旋给料机</w:t>
            </w:r>
          </w:p>
        </w:tc>
        <w:tc>
          <w:tcPr>
            <w:tcW w:w="2085" w:type="dxa"/>
            <w:vAlign w:val="center"/>
          </w:tcPr>
          <w:p w14:paraId="6A1E6ADB">
            <w:pPr>
              <w:spacing w:line="500" w:lineRule="exact"/>
              <w:rPr>
                <w:rFonts w:ascii="宋体" w:hAnsi="宋体" w:cs="宋体"/>
                <w:color w:val="auto"/>
                <w:szCs w:val="21"/>
              </w:rPr>
            </w:pPr>
            <w:r>
              <w:rPr>
                <w:rFonts w:hint="eastAsia" w:ascii="宋体" w:hAnsi="宋体" w:cs="宋体"/>
                <w:color w:val="auto"/>
                <w:szCs w:val="21"/>
              </w:rPr>
              <w:t>400型</w:t>
            </w:r>
          </w:p>
        </w:tc>
        <w:tc>
          <w:tcPr>
            <w:tcW w:w="720" w:type="dxa"/>
            <w:vAlign w:val="center"/>
          </w:tcPr>
          <w:p w14:paraId="17AEF43D">
            <w:pPr>
              <w:spacing w:line="500" w:lineRule="exact"/>
              <w:rPr>
                <w:rFonts w:ascii="宋体" w:hAnsi="宋体" w:cs="宋体"/>
                <w:color w:val="auto"/>
                <w:szCs w:val="21"/>
              </w:rPr>
            </w:pPr>
            <w:r>
              <w:rPr>
                <w:rFonts w:hint="eastAsia" w:ascii="宋体" w:hAnsi="宋体" w:cs="宋体"/>
                <w:color w:val="auto"/>
                <w:szCs w:val="21"/>
              </w:rPr>
              <w:t>1台</w:t>
            </w:r>
          </w:p>
        </w:tc>
        <w:tc>
          <w:tcPr>
            <w:tcW w:w="1245" w:type="dxa"/>
            <w:vAlign w:val="center"/>
          </w:tcPr>
          <w:p w14:paraId="442EB4C7">
            <w:pPr>
              <w:spacing w:line="500" w:lineRule="exact"/>
              <w:rPr>
                <w:rFonts w:ascii="宋体" w:hAnsi="宋体" w:cs="宋体"/>
                <w:color w:val="auto"/>
                <w:szCs w:val="21"/>
              </w:rPr>
            </w:pPr>
            <w:r>
              <w:rPr>
                <w:rFonts w:hint="eastAsia" w:ascii="宋体" w:hAnsi="宋体" w:cs="宋体"/>
                <w:color w:val="auto"/>
                <w:szCs w:val="21"/>
              </w:rPr>
              <w:t>碳钢</w:t>
            </w:r>
          </w:p>
        </w:tc>
        <w:tc>
          <w:tcPr>
            <w:tcW w:w="4005" w:type="dxa"/>
            <w:vAlign w:val="center"/>
          </w:tcPr>
          <w:p w14:paraId="06285CC1">
            <w:pPr>
              <w:spacing w:line="500" w:lineRule="exact"/>
              <w:jc w:val="left"/>
              <w:rPr>
                <w:rFonts w:ascii="宋体" w:hAnsi="宋体" w:cs="宋体"/>
                <w:color w:val="auto"/>
                <w:szCs w:val="21"/>
              </w:rPr>
            </w:pPr>
            <w:r>
              <w:rPr>
                <w:rFonts w:hint="eastAsia" w:ascii="宋体" w:hAnsi="宋体" w:cs="宋体"/>
                <w:color w:val="auto"/>
                <w:szCs w:val="21"/>
              </w:rPr>
              <w:t>法国Sodimate、英国GREAT LOVE、法国PARIMIX或同档次及以上品牌。符合粉炭使用国家相关防爆要求。</w:t>
            </w:r>
          </w:p>
        </w:tc>
      </w:tr>
      <w:tr w14:paraId="39B2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15" w:type="dxa"/>
            <w:vAlign w:val="center"/>
          </w:tcPr>
          <w:p w14:paraId="42C8BB36">
            <w:pPr>
              <w:spacing w:line="500" w:lineRule="exact"/>
              <w:rPr>
                <w:rFonts w:ascii="宋体" w:hAnsi="宋体" w:cs="宋体"/>
                <w:color w:val="auto"/>
                <w:szCs w:val="21"/>
              </w:rPr>
            </w:pPr>
            <w:r>
              <w:rPr>
                <w:rFonts w:hint="eastAsia" w:ascii="宋体" w:hAnsi="宋体" w:cs="宋体"/>
                <w:color w:val="auto"/>
                <w:szCs w:val="21"/>
              </w:rPr>
              <w:t>9</w:t>
            </w:r>
          </w:p>
        </w:tc>
        <w:tc>
          <w:tcPr>
            <w:tcW w:w="1650" w:type="dxa"/>
            <w:vAlign w:val="center"/>
          </w:tcPr>
          <w:p w14:paraId="33168107">
            <w:pPr>
              <w:spacing w:line="500" w:lineRule="exact"/>
              <w:rPr>
                <w:rFonts w:ascii="宋体" w:hAnsi="宋体" w:cs="宋体"/>
                <w:color w:val="auto"/>
                <w:szCs w:val="21"/>
              </w:rPr>
            </w:pPr>
            <w:r>
              <w:rPr>
                <w:rFonts w:hint="eastAsia" w:ascii="宋体" w:hAnsi="宋体" w:cs="宋体"/>
                <w:color w:val="auto"/>
                <w:szCs w:val="21"/>
              </w:rPr>
              <w:t>螺旋输送机</w:t>
            </w:r>
          </w:p>
        </w:tc>
        <w:tc>
          <w:tcPr>
            <w:tcW w:w="2085" w:type="dxa"/>
            <w:vAlign w:val="center"/>
          </w:tcPr>
          <w:p w14:paraId="73D9FEE4">
            <w:pPr>
              <w:spacing w:line="500" w:lineRule="exact"/>
              <w:rPr>
                <w:rFonts w:ascii="宋体" w:hAnsi="宋体" w:cs="宋体"/>
                <w:color w:val="auto"/>
                <w:szCs w:val="21"/>
              </w:rPr>
            </w:pPr>
            <w:r>
              <w:rPr>
                <w:rFonts w:hint="eastAsia" w:ascii="宋体" w:hAnsi="宋体" w:cs="宋体"/>
                <w:color w:val="auto"/>
                <w:szCs w:val="21"/>
              </w:rPr>
              <w:t xml:space="preserve">水平或倾角输送量为350kg/H </w:t>
            </w:r>
          </w:p>
        </w:tc>
        <w:tc>
          <w:tcPr>
            <w:tcW w:w="720" w:type="dxa"/>
            <w:vAlign w:val="center"/>
          </w:tcPr>
          <w:p w14:paraId="65DEAFA0">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53C39F9E">
            <w:pPr>
              <w:spacing w:line="500" w:lineRule="exact"/>
              <w:rPr>
                <w:rFonts w:ascii="宋体" w:hAnsi="宋体" w:cs="宋体"/>
                <w:color w:val="auto"/>
                <w:szCs w:val="21"/>
              </w:rPr>
            </w:pPr>
            <w:r>
              <w:rPr>
                <w:rFonts w:hint="eastAsia" w:ascii="宋体" w:hAnsi="宋体" w:cs="宋体"/>
                <w:color w:val="auto"/>
                <w:szCs w:val="21"/>
              </w:rPr>
              <w:t>碳钢</w:t>
            </w:r>
          </w:p>
        </w:tc>
        <w:tc>
          <w:tcPr>
            <w:tcW w:w="4005" w:type="dxa"/>
            <w:vAlign w:val="center"/>
          </w:tcPr>
          <w:p w14:paraId="3950735E">
            <w:pPr>
              <w:spacing w:line="500" w:lineRule="exact"/>
              <w:rPr>
                <w:rFonts w:ascii="宋体" w:hAnsi="宋体" w:cs="宋体"/>
                <w:color w:val="auto"/>
                <w:szCs w:val="21"/>
              </w:rPr>
            </w:pPr>
            <w:r>
              <w:rPr>
                <w:rFonts w:hint="eastAsia" w:ascii="宋体" w:hAnsi="宋体" w:cs="宋体"/>
                <w:color w:val="auto"/>
                <w:szCs w:val="21"/>
              </w:rPr>
              <w:t>法国Sodimate、英国GREAT LOVE、法国PARIMIX或同档次及以上品牌，符合粉炭使用国家相关防爆要求，符合粉炭使用国家相关防爆要</w:t>
            </w:r>
            <w:r>
              <w:rPr>
                <w:rFonts w:hint="eastAsia" w:ascii="宋体" w:hAnsi="宋体" w:cs="宋体"/>
                <w:color w:val="auto"/>
                <w:szCs w:val="21"/>
                <w:lang w:val="en-US" w:eastAsia="zh-CN"/>
              </w:rPr>
              <w:t>求</w:t>
            </w:r>
            <w:r>
              <w:rPr>
                <w:rFonts w:hint="eastAsia" w:ascii="宋体" w:hAnsi="宋体" w:cs="宋体"/>
                <w:color w:val="auto"/>
                <w:szCs w:val="21"/>
              </w:rPr>
              <w:t>。</w:t>
            </w:r>
          </w:p>
        </w:tc>
      </w:tr>
      <w:tr w14:paraId="7B45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Align w:val="center"/>
          </w:tcPr>
          <w:p w14:paraId="18559C3D">
            <w:pPr>
              <w:spacing w:line="500" w:lineRule="exact"/>
              <w:rPr>
                <w:rFonts w:ascii="宋体" w:hAnsi="宋体" w:cs="宋体"/>
                <w:color w:val="auto"/>
                <w:szCs w:val="21"/>
              </w:rPr>
            </w:pPr>
            <w:r>
              <w:rPr>
                <w:rFonts w:hint="eastAsia" w:ascii="宋体" w:hAnsi="宋体" w:cs="宋体"/>
                <w:color w:val="auto"/>
                <w:szCs w:val="21"/>
              </w:rPr>
              <w:t>10</w:t>
            </w:r>
          </w:p>
        </w:tc>
        <w:tc>
          <w:tcPr>
            <w:tcW w:w="1650" w:type="dxa"/>
            <w:vAlign w:val="center"/>
          </w:tcPr>
          <w:p w14:paraId="3FE4DA91">
            <w:pPr>
              <w:spacing w:line="500" w:lineRule="exact"/>
              <w:rPr>
                <w:rFonts w:ascii="宋体" w:hAnsi="宋体" w:cs="宋体"/>
                <w:color w:val="auto"/>
                <w:szCs w:val="21"/>
              </w:rPr>
            </w:pPr>
            <w:r>
              <w:rPr>
                <w:rFonts w:hint="eastAsia" w:ascii="宋体" w:hAnsi="宋体" w:cs="宋体"/>
                <w:color w:val="auto"/>
                <w:szCs w:val="21"/>
              </w:rPr>
              <w:t>制备溶解罐</w:t>
            </w:r>
          </w:p>
        </w:tc>
        <w:tc>
          <w:tcPr>
            <w:tcW w:w="2085" w:type="dxa"/>
            <w:vAlign w:val="center"/>
          </w:tcPr>
          <w:p w14:paraId="0D3835C9">
            <w:pPr>
              <w:spacing w:line="500" w:lineRule="exact"/>
              <w:rPr>
                <w:rFonts w:ascii="宋体" w:hAnsi="宋体" w:cs="宋体"/>
                <w:color w:val="auto"/>
                <w:szCs w:val="21"/>
              </w:rPr>
            </w:pPr>
            <w:r>
              <w:rPr>
                <w:rFonts w:hint="eastAsia" w:ascii="宋体" w:hAnsi="宋体" w:cs="宋体"/>
                <w:color w:val="auto"/>
                <w:szCs w:val="21"/>
              </w:rPr>
              <w:t>V≥3.5 m</w:t>
            </w:r>
            <w:r>
              <w:rPr>
                <w:rFonts w:hint="eastAsia" w:ascii="宋体" w:hAnsi="宋体" w:cs="宋体"/>
                <w:color w:val="auto"/>
                <w:szCs w:val="21"/>
                <w:vertAlign w:val="superscript"/>
              </w:rPr>
              <w:t>3</w:t>
            </w:r>
            <w:r>
              <w:rPr>
                <w:rFonts w:hint="eastAsia" w:ascii="宋体" w:hAnsi="宋体" w:cs="宋体"/>
                <w:color w:val="auto"/>
                <w:kern w:val="0"/>
                <w:szCs w:val="21"/>
              </w:rPr>
              <w:t>，δ=4mm</w:t>
            </w:r>
          </w:p>
        </w:tc>
        <w:tc>
          <w:tcPr>
            <w:tcW w:w="720" w:type="dxa"/>
            <w:vAlign w:val="center"/>
          </w:tcPr>
          <w:p w14:paraId="523FF106">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1F93B204">
            <w:pPr>
              <w:spacing w:line="500" w:lineRule="exact"/>
              <w:rPr>
                <w:rFonts w:ascii="宋体" w:hAnsi="宋体" w:cs="宋体"/>
                <w:color w:val="auto"/>
                <w:szCs w:val="21"/>
              </w:rPr>
            </w:pPr>
            <w:r>
              <w:rPr>
                <w:rFonts w:hint="eastAsia" w:ascii="宋体" w:hAnsi="宋体" w:cs="宋体"/>
                <w:color w:val="auto"/>
                <w:szCs w:val="21"/>
              </w:rPr>
              <w:t>不锈钢AISI304</w:t>
            </w:r>
          </w:p>
        </w:tc>
        <w:tc>
          <w:tcPr>
            <w:tcW w:w="4005" w:type="dxa"/>
            <w:vAlign w:val="center"/>
          </w:tcPr>
          <w:p w14:paraId="4EEDA13B">
            <w:pPr>
              <w:spacing w:line="500" w:lineRule="exact"/>
              <w:rPr>
                <w:rFonts w:ascii="宋体" w:hAnsi="宋体" w:cs="宋体"/>
                <w:color w:val="auto"/>
                <w:szCs w:val="21"/>
              </w:rPr>
            </w:pPr>
            <w:r>
              <w:rPr>
                <w:rFonts w:hint="eastAsia" w:ascii="宋体" w:hAnsi="宋体" w:cs="宋体"/>
                <w:color w:val="auto"/>
                <w:szCs w:val="21"/>
              </w:rPr>
              <w:t>含制备水及相关阀门、排渣口、除尘、液位计等配套件，其中排渣口口径DN50，安装手动不锈钢法兰球阀。手自动排渣，符合粉炭使用国家相关防爆要求。</w:t>
            </w:r>
          </w:p>
        </w:tc>
      </w:tr>
      <w:tr w14:paraId="6DA9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Align w:val="center"/>
          </w:tcPr>
          <w:p w14:paraId="5D298205">
            <w:pPr>
              <w:spacing w:line="500" w:lineRule="exact"/>
              <w:rPr>
                <w:rFonts w:ascii="宋体" w:hAnsi="宋体" w:cs="宋体"/>
                <w:color w:val="auto"/>
                <w:szCs w:val="21"/>
              </w:rPr>
            </w:pPr>
            <w:r>
              <w:rPr>
                <w:rFonts w:hint="eastAsia" w:ascii="宋体" w:hAnsi="宋体" w:cs="宋体"/>
                <w:color w:val="auto"/>
                <w:szCs w:val="21"/>
              </w:rPr>
              <w:t>11</w:t>
            </w:r>
          </w:p>
        </w:tc>
        <w:tc>
          <w:tcPr>
            <w:tcW w:w="1650" w:type="dxa"/>
            <w:vAlign w:val="center"/>
          </w:tcPr>
          <w:p w14:paraId="2EB4636E">
            <w:pPr>
              <w:spacing w:line="500" w:lineRule="exact"/>
              <w:rPr>
                <w:rFonts w:ascii="宋体" w:hAnsi="宋体" w:cs="宋体"/>
                <w:color w:val="auto"/>
                <w:szCs w:val="21"/>
              </w:rPr>
            </w:pPr>
            <w:r>
              <w:rPr>
                <w:rFonts w:hint="eastAsia" w:ascii="宋体" w:hAnsi="宋体" w:cs="宋体"/>
                <w:color w:val="auto"/>
                <w:szCs w:val="21"/>
              </w:rPr>
              <w:t>储存罐</w:t>
            </w:r>
          </w:p>
        </w:tc>
        <w:tc>
          <w:tcPr>
            <w:tcW w:w="2085" w:type="dxa"/>
            <w:vAlign w:val="center"/>
          </w:tcPr>
          <w:p w14:paraId="34D972B8">
            <w:pPr>
              <w:spacing w:line="500" w:lineRule="exact"/>
              <w:rPr>
                <w:rFonts w:ascii="宋体" w:hAnsi="宋体" w:cs="宋体"/>
                <w:color w:val="auto"/>
                <w:szCs w:val="21"/>
              </w:rPr>
            </w:pPr>
            <w:r>
              <w:rPr>
                <w:rFonts w:hint="eastAsia" w:ascii="宋体" w:hAnsi="宋体" w:cs="宋体"/>
                <w:color w:val="auto"/>
                <w:szCs w:val="21"/>
              </w:rPr>
              <w:t>V≥3.5 m</w:t>
            </w:r>
            <w:r>
              <w:rPr>
                <w:rFonts w:hint="eastAsia" w:ascii="宋体" w:hAnsi="宋体" w:cs="宋体"/>
                <w:color w:val="auto"/>
                <w:szCs w:val="21"/>
                <w:vertAlign w:val="superscript"/>
              </w:rPr>
              <w:t>3</w:t>
            </w:r>
            <w:r>
              <w:rPr>
                <w:rFonts w:hint="eastAsia" w:ascii="宋体" w:hAnsi="宋体" w:cs="宋体"/>
                <w:color w:val="auto"/>
                <w:kern w:val="0"/>
                <w:szCs w:val="21"/>
              </w:rPr>
              <w:t>，δ=4mm</w:t>
            </w:r>
          </w:p>
        </w:tc>
        <w:tc>
          <w:tcPr>
            <w:tcW w:w="720" w:type="dxa"/>
            <w:vAlign w:val="center"/>
          </w:tcPr>
          <w:p w14:paraId="2BFE0BE4">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66FF0E8F">
            <w:pPr>
              <w:spacing w:line="500" w:lineRule="exact"/>
              <w:rPr>
                <w:rFonts w:ascii="宋体" w:hAnsi="宋体" w:cs="宋体"/>
                <w:color w:val="auto"/>
                <w:szCs w:val="21"/>
              </w:rPr>
            </w:pPr>
            <w:r>
              <w:rPr>
                <w:rFonts w:hint="eastAsia" w:ascii="宋体" w:hAnsi="宋体" w:cs="宋体"/>
                <w:color w:val="auto"/>
                <w:szCs w:val="21"/>
              </w:rPr>
              <w:t>不锈钢AISI304</w:t>
            </w:r>
          </w:p>
        </w:tc>
        <w:tc>
          <w:tcPr>
            <w:tcW w:w="4005" w:type="dxa"/>
            <w:vAlign w:val="center"/>
          </w:tcPr>
          <w:p w14:paraId="57E77B9A">
            <w:pPr>
              <w:spacing w:line="500" w:lineRule="exact"/>
              <w:rPr>
                <w:rFonts w:ascii="宋体" w:hAnsi="宋体" w:cs="宋体"/>
                <w:color w:val="auto"/>
                <w:szCs w:val="21"/>
              </w:rPr>
            </w:pPr>
            <w:r>
              <w:rPr>
                <w:rFonts w:hint="eastAsia" w:ascii="宋体" w:hAnsi="宋体" w:cs="宋体"/>
                <w:color w:val="auto"/>
                <w:szCs w:val="21"/>
              </w:rPr>
              <w:t>含制备水及相关阀门、排渣口、压力变送器，溢流管，人孔等配套件。</w:t>
            </w:r>
          </w:p>
        </w:tc>
      </w:tr>
      <w:tr w14:paraId="2459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Align w:val="center"/>
          </w:tcPr>
          <w:p w14:paraId="3E4E8D16">
            <w:pPr>
              <w:spacing w:line="500" w:lineRule="exact"/>
              <w:rPr>
                <w:rFonts w:ascii="宋体" w:hAnsi="宋体" w:cs="宋体"/>
                <w:color w:val="auto"/>
                <w:szCs w:val="21"/>
              </w:rPr>
            </w:pPr>
            <w:r>
              <w:rPr>
                <w:rFonts w:hint="eastAsia" w:ascii="宋体" w:hAnsi="宋体" w:cs="宋体"/>
                <w:color w:val="auto"/>
                <w:szCs w:val="21"/>
              </w:rPr>
              <w:t>12</w:t>
            </w:r>
          </w:p>
        </w:tc>
        <w:tc>
          <w:tcPr>
            <w:tcW w:w="1650" w:type="dxa"/>
            <w:vAlign w:val="center"/>
          </w:tcPr>
          <w:p w14:paraId="64E53E18">
            <w:pPr>
              <w:spacing w:line="500" w:lineRule="exact"/>
              <w:rPr>
                <w:rFonts w:ascii="宋体" w:hAnsi="宋体" w:cs="宋体"/>
                <w:color w:val="auto"/>
                <w:szCs w:val="21"/>
              </w:rPr>
            </w:pPr>
            <w:r>
              <w:rPr>
                <w:rFonts w:hint="eastAsia" w:ascii="宋体" w:hAnsi="宋体" w:cs="宋体"/>
                <w:color w:val="auto"/>
                <w:szCs w:val="21"/>
              </w:rPr>
              <w:t>搅拌机</w:t>
            </w:r>
          </w:p>
        </w:tc>
        <w:tc>
          <w:tcPr>
            <w:tcW w:w="2085" w:type="dxa"/>
            <w:vAlign w:val="center"/>
          </w:tcPr>
          <w:p w14:paraId="689627EA">
            <w:pPr>
              <w:spacing w:line="500" w:lineRule="exact"/>
              <w:rPr>
                <w:rFonts w:ascii="宋体" w:hAnsi="宋体" w:cs="宋体"/>
                <w:color w:val="auto"/>
                <w:szCs w:val="21"/>
              </w:rPr>
            </w:pPr>
            <w:r>
              <w:rPr>
                <w:rFonts w:hint="eastAsia" w:ascii="宋体" w:hAnsi="宋体" w:cs="宋体"/>
                <w:color w:val="auto"/>
                <w:szCs w:val="21"/>
              </w:rPr>
              <w:t>1.1KW</w:t>
            </w:r>
          </w:p>
        </w:tc>
        <w:tc>
          <w:tcPr>
            <w:tcW w:w="720" w:type="dxa"/>
            <w:vAlign w:val="center"/>
          </w:tcPr>
          <w:p w14:paraId="54F41A12">
            <w:pPr>
              <w:spacing w:line="500" w:lineRule="exact"/>
              <w:rPr>
                <w:rFonts w:ascii="宋体" w:hAnsi="宋体" w:cs="宋体"/>
                <w:color w:val="auto"/>
                <w:szCs w:val="21"/>
              </w:rPr>
            </w:pPr>
            <w:r>
              <w:rPr>
                <w:rFonts w:hint="eastAsia" w:ascii="宋体" w:hAnsi="宋体" w:cs="宋体"/>
                <w:color w:val="auto"/>
                <w:szCs w:val="21"/>
              </w:rPr>
              <w:t>2台</w:t>
            </w:r>
          </w:p>
        </w:tc>
        <w:tc>
          <w:tcPr>
            <w:tcW w:w="1245" w:type="dxa"/>
            <w:vAlign w:val="center"/>
          </w:tcPr>
          <w:p w14:paraId="7896E562">
            <w:pPr>
              <w:spacing w:line="500" w:lineRule="exact"/>
              <w:rPr>
                <w:rFonts w:ascii="宋体" w:hAnsi="宋体" w:cs="宋体"/>
                <w:color w:val="auto"/>
                <w:szCs w:val="21"/>
              </w:rPr>
            </w:pPr>
            <w:r>
              <w:rPr>
                <w:rFonts w:hint="eastAsia" w:ascii="宋体" w:hAnsi="宋体" w:cs="宋体"/>
                <w:color w:val="auto"/>
                <w:szCs w:val="21"/>
              </w:rPr>
              <w:t>不锈钢AISI304</w:t>
            </w:r>
          </w:p>
        </w:tc>
        <w:tc>
          <w:tcPr>
            <w:tcW w:w="4005" w:type="dxa"/>
            <w:vAlign w:val="center"/>
          </w:tcPr>
          <w:p w14:paraId="5D5F8FA4">
            <w:pPr>
              <w:spacing w:line="500" w:lineRule="exact"/>
              <w:rPr>
                <w:rFonts w:ascii="宋体" w:hAnsi="宋体" w:cs="宋体"/>
                <w:color w:val="auto"/>
                <w:szCs w:val="21"/>
              </w:rPr>
            </w:pPr>
            <w:r>
              <w:rPr>
                <w:rFonts w:hint="eastAsia" w:ascii="宋体" w:hAnsi="宋体" w:cs="宋体"/>
                <w:color w:val="auto"/>
                <w:szCs w:val="21"/>
              </w:rPr>
              <w:t>采用SEW、Nord、</w:t>
            </w:r>
            <w:r>
              <w:rPr>
                <w:rFonts w:hint="eastAsia" w:ascii="宋体" w:hAnsi="宋体" w:cs="宋体"/>
                <w:color w:val="auto"/>
                <w:spacing w:val="8"/>
                <w:szCs w:val="21"/>
              </w:rPr>
              <w:t>Flender</w:t>
            </w:r>
            <w:r>
              <w:rPr>
                <w:rFonts w:hint="eastAsia" w:ascii="宋体" w:hAnsi="宋体" w:cs="宋体"/>
                <w:color w:val="auto"/>
                <w:szCs w:val="21"/>
              </w:rPr>
              <w:t>或同档次及以上品牌减速机，其中2台安装在制备罐上。</w:t>
            </w:r>
          </w:p>
        </w:tc>
      </w:tr>
      <w:tr w14:paraId="0105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Align w:val="center"/>
          </w:tcPr>
          <w:p w14:paraId="36010D04">
            <w:pPr>
              <w:spacing w:line="500" w:lineRule="exact"/>
              <w:rPr>
                <w:rFonts w:ascii="宋体" w:hAnsi="宋体" w:cs="宋体"/>
                <w:color w:val="auto"/>
                <w:szCs w:val="21"/>
              </w:rPr>
            </w:pPr>
            <w:r>
              <w:rPr>
                <w:rFonts w:hint="eastAsia" w:ascii="宋体" w:hAnsi="宋体" w:cs="宋体"/>
                <w:color w:val="auto"/>
                <w:szCs w:val="21"/>
              </w:rPr>
              <w:t>13</w:t>
            </w:r>
          </w:p>
        </w:tc>
        <w:tc>
          <w:tcPr>
            <w:tcW w:w="1650" w:type="dxa"/>
            <w:vAlign w:val="center"/>
          </w:tcPr>
          <w:p w14:paraId="59633AF8">
            <w:pPr>
              <w:spacing w:line="500" w:lineRule="exact"/>
              <w:rPr>
                <w:rFonts w:ascii="宋体" w:hAnsi="宋体" w:cs="宋体"/>
                <w:color w:val="auto"/>
                <w:szCs w:val="21"/>
              </w:rPr>
            </w:pPr>
            <w:r>
              <w:rPr>
                <w:rFonts w:hint="eastAsia" w:ascii="宋体" w:hAnsi="宋体" w:cs="宋体"/>
                <w:color w:val="auto"/>
                <w:szCs w:val="21"/>
              </w:rPr>
              <w:t>制备溶解罐负压除尘器</w:t>
            </w:r>
          </w:p>
        </w:tc>
        <w:tc>
          <w:tcPr>
            <w:tcW w:w="2085" w:type="dxa"/>
            <w:vAlign w:val="center"/>
          </w:tcPr>
          <w:p w14:paraId="4D00CAC6">
            <w:pPr>
              <w:spacing w:line="500" w:lineRule="exact"/>
              <w:rPr>
                <w:rFonts w:ascii="宋体" w:hAnsi="宋体" w:cs="宋体"/>
                <w:color w:val="auto"/>
                <w:szCs w:val="21"/>
              </w:rPr>
            </w:pPr>
            <w:r>
              <w:rPr>
                <w:rFonts w:hint="eastAsia" w:ascii="宋体" w:hAnsi="宋体" w:cs="宋体"/>
                <w:color w:val="auto"/>
                <w:szCs w:val="21"/>
              </w:rPr>
              <w:t>水控，双级除尘</w:t>
            </w:r>
          </w:p>
        </w:tc>
        <w:tc>
          <w:tcPr>
            <w:tcW w:w="720" w:type="dxa"/>
            <w:vAlign w:val="center"/>
          </w:tcPr>
          <w:p w14:paraId="2F5C6F26">
            <w:pPr>
              <w:spacing w:line="500" w:lineRule="exact"/>
              <w:rPr>
                <w:rFonts w:ascii="宋体" w:hAnsi="宋体" w:cs="宋体"/>
                <w:color w:val="auto"/>
                <w:szCs w:val="21"/>
              </w:rPr>
            </w:pPr>
            <w:r>
              <w:rPr>
                <w:rFonts w:hint="eastAsia" w:ascii="宋体" w:hAnsi="宋体" w:cs="宋体"/>
                <w:color w:val="auto"/>
                <w:szCs w:val="21"/>
              </w:rPr>
              <w:t>1台</w:t>
            </w:r>
          </w:p>
        </w:tc>
        <w:tc>
          <w:tcPr>
            <w:tcW w:w="1245" w:type="dxa"/>
            <w:vAlign w:val="center"/>
          </w:tcPr>
          <w:p w14:paraId="28D35780">
            <w:pPr>
              <w:spacing w:line="500" w:lineRule="exact"/>
              <w:rPr>
                <w:rFonts w:ascii="宋体" w:hAnsi="宋体" w:cs="宋体"/>
                <w:color w:val="auto"/>
                <w:szCs w:val="21"/>
              </w:rPr>
            </w:pPr>
            <w:r>
              <w:rPr>
                <w:rFonts w:hint="eastAsia" w:ascii="宋体" w:hAnsi="宋体" w:cs="宋体"/>
                <w:color w:val="auto"/>
                <w:szCs w:val="21"/>
              </w:rPr>
              <w:t>不锈钢AISI304</w:t>
            </w:r>
          </w:p>
        </w:tc>
        <w:tc>
          <w:tcPr>
            <w:tcW w:w="4005" w:type="dxa"/>
            <w:vAlign w:val="center"/>
          </w:tcPr>
          <w:p w14:paraId="761AF9BC">
            <w:pPr>
              <w:spacing w:line="500" w:lineRule="exact"/>
              <w:rPr>
                <w:rFonts w:ascii="宋体" w:hAnsi="宋体" w:cs="宋体"/>
                <w:color w:val="auto"/>
                <w:szCs w:val="21"/>
              </w:rPr>
            </w:pPr>
            <w:r>
              <w:rPr>
                <w:rFonts w:hint="eastAsia" w:ascii="宋体" w:hAnsi="宋体" w:cs="宋体"/>
                <w:color w:val="auto"/>
                <w:szCs w:val="21"/>
              </w:rPr>
              <w:t>法国Sodimate、英国GREAT LOVE、法国PARIMIX或同档次及以上品牌。</w:t>
            </w:r>
          </w:p>
        </w:tc>
      </w:tr>
      <w:tr w14:paraId="11FE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15" w:type="dxa"/>
            <w:vAlign w:val="center"/>
          </w:tcPr>
          <w:p w14:paraId="043805AA">
            <w:pPr>
              <w:spacing w:line="500" w:lineRule="exact"/>
              <w:rPr>
                <w:rFonts w:ascii="宋体" w:hAnsi="宋体" w:cs="宋体"/>
                <w:color w:val="auto"/>
                <w:szCs w:val="21"/>
              </w:rPr>
            </w:pPr>
            <w:r>
              <w:rPr>
                <w:rFonts w:hint="eastAsia" w:ascii="宋体" w:hAnsi="宋体" w:cs="宋体"/>
                <w:color w:val="auto"/>
                <w:szCs w:val="21"/>
              </w:rPr>
              <w:t>14</w:t>
            </w:r>
          </w:p>
        </w:tc>
        <w:tc>
          <w:tcPr>
            <w:tcW w:w="1650" w:type="dxa"/>
            <w:vAlign w:val="center"/>
          </w:tcPr>
          <w:p w14:paraId="217CC3E8">
            <w:pPr>
              <w:spacing w:line="500" w:lineRule="exact"/>
              <w:rPr>
                <w:rFonts w:ascii="宋体" w:hAnsi="宋体" w:cs="宋体"/>
                <w:color w:val="auto"/>
                <w:szCs w:val="21"/>
              </w:rPr>
            </w:pPr>
            <w:r>
              <w:rPr>
                <w:rFonts w:hint="eastAsia" w:ascii="宋体" w:hAnsi="宋体" w:cs="宋体"/>
                <w:color w:val="auto"/>
                <w:szCs w:val="21"/>
              </w:rPr>
              <w:t>电磁流量计</w:t>
            </w:r>
          </w:p>
        </w:tc>
        <w:tc>
          <w:tcPr>
            <w:tcW w:w="2085" w:type="dxa"/>
            <w:vAlign w:val="center"/>
          </w:tcPr>
          <w:p w14:paraId="33D3B3A0">
            <w:pPr>
              <w:spacing w:line="500" w:lineRule="exact"/>
              <w:rPr>
                <w:rFonts w:ascii="宋体" w:hAnsi="宋体" w:cs="宋体"/>
                <w:color w:val="auto"/>
                <w:szCs w:val="21"/>
              </w:rPr>
            </w:pPr>
            <w:r>
              <w:rPr>
                <w:rFonts w:hint="eastAsia" w:ascii="宋体" w:hAnsi="宋体" w:cs="宋体"/>
                <w:color w:val="auto"/>
                <w:szCs w:val="21"/>
              </w:rPr>
              <w:t>DN40</w:t>
            </w:r>
          </w:p>
        </w:tc>
        <w:tc>
          <w:tcPr>
            <w:tcW w:w="720" w:type="dxa"/>
            <w:vAlign w:val="center"/>
          </w:tcPr>
          <w:p w14:paraId="71A3A56E">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4147A509">
            <w:pPr>
              <w:spacing w:line="500" w:lineRule="exact"/>
              <w:ind w:left="420" w:leftChars="200" w:firstLine="420"/>
              <w:jc w:val="center"/>
              <w:rPr>
                <w:rFonts w:ascii="宋体" w:hAnsi="宋体" w:cs="宋体"/>
                <w:color w:val="auto"/>
                <w:szCs w:val="21"/>
              </w:rPr>
            </w:pPr>
          </w:p>
        </w:tc>
        <w:tc>
          <w:tcPr>
            <w:tcW w:w="4005" w:type="dxa"/>
            <w:vAlign w:val="center"/>
          </w:tcPr>
          <w:p w14:paraId="233C4F19">
            <w:pPr>
              <w:pStyle w:val="9"/>
              <w:spacing w:line="500" w:lineRule="exact"/>
              <w:rPr>
                <w:rFonts w:ascii="宋体" w:hAnsi="宋体" w:cs="宋体"/>
                <w:color w:val="auto"/>
                <w:szCs w:val="21"/>
              </w:rPr>
            </w:pPr>
            <w:r>
              <w:rPr>
                <w:rFonts w:hint="eastAsia" w:ascii="宋体" w:hAnsi="宋体" w:cs="宋体"/>
                <w:color w:val="auto"/>
                <w:szCs w:val="21"/>
              </w:rPr>
              <w:t>用于溶液配置用自来水计量，需满足溶液罐在出药情况下配水的时间不宜过长,需配备稳压阀、压力表电动阀门等附件。E+H、科隆、西门子或同档次及以上品牌。</w:t>
            </w:r>
          </w:p>
        </w:tc>
      </w:tr>
      <w:tr w14:paraId="36AC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Align w:val="center"/>
          </w:tcPr>
          <w:p w14:paraId="6F01EDE2">
            <w:pPr>
              <w:spacing w:line="500" w:lineRule="exact"/>
              <w:rPr>
                <w:rFonts w:ascii="宋体" w:hAnsi="宋体" w:cs="宋体"/>
                <w:color w:val="auto"/>
                <w:szCs w:val="21"/>
              </w:rPr>
            </w:pPr>
            <w:r>
              <w:rPr>
                <w:rFonts w:hint="eastAsia" w:ascii="宋体" w:hAnsi="宋体" w:cs="宋体"/>
                <w:color w:val="auto"/>
                <w:szCs w:val="21"/>
              </w:rPr>
              <w:t>15</w:t>
            </w:r>
          </w:p>
        </w:tc>
        <w:tc>
          <w:tcPr>
            <w:tcW w:w="1650" w:type="dxa"/>
            <w:vAlign w:val="center"/>
          </w:tcPr>
          <w:p w14:paraId="1A5F3FA1">
            <w:pPr>
              <w:spacing w:line="500" w:lineRule="exact"/>
              <w:rPr>
                <w:rFonts w:ascii="宋体" w:hAnsi="宋体" w:cs="宋体"/>
                <w:color w:val="auto"/>
                <w:szCs w:val="21"/>
              </w:rPr>
            </w:pPr>
            <w:r>
              <w:rPr>
                <w:rFonts w:hint="eastAsia" w:ascii="宋体" w:hAnsi="宋体" w:cs="宋体"/>
                <w:color w:val="auto"/>
                <w:szCs w:val="21"/>
              </w:rPr>
              <w:t>耐磨离心泵</w:t>
            </w:r>
          </w:p>
        </w:tc>
        <w:tc>
          <w:tcPr>
            <w:tcW w:w="2085" w:type="dxa"/>
            <w:vAlign w:val="center"/>
          </w:tcPr>
          <w:p w14:paraId="545DF76E">
            <w:pPr>
              <w:spacing w:line="500" w:lineRule="exact"/>
              <w:rPr>
                <w:rFonts w:ascii="宋体" w:hAnsi="宋体" w:cs="宋体"/>
                <w:color w:val="auto"/>
                <w:szCs w:val="21"/>
              </w:rPr>
            </w:pPr>
            <w:r>
              <w:rPr>
                <w:rFonts w:hint="eastAsia" w:ascii="宋体" w:hAnsi="宋体" w:cs="宋体"/>
                <w:color w:val="auto"/>
                <w:szCs w:val="21"/>
              </w:rPr>
              <w:t>Q=4.5m³，H=3bar</w:t>
            </w:r>
          </w:p>
        </w:tc>
        <w:tc>
          <w:tcPr>
            <w:tcW w:w="720" w:type="dxa"/>
            <w:vAlign w:val="center"/>
          </w:tcPr>
          <w:p w14:paraId="1F4B590F">
            <w:pPr>
              <w:spacing w:line="500" w:lineRule="exact"/>
              <w:rPr>
                <w:rFonts w:ascii="宋体" w:hAnsi="宋体" w:cs="宋体"/>
                <w:color w:val="auto"/>
                <w:szCs w:val="21"/>
              </w:rPr>
            </w:pPr>
            <w:r>
              <w:rPr>
                <w:rFonts w:hint="eastAsia" w:ascii="宋体" w:hAnsi="宋体" w:cs="宋体"/>
                <w:color w:val="auto"/>
                <w:szCs w:val="21"/>
              </w:rPr>
              <w:t>2台</w:t>
            </w:r>
          </w:p>
        </w:tc>
        <w:tc>
          <w:tcPr>
            <w:tcW w:w="1245" w:type="dxa"/>
            <w:vAlign w:val="center"/>
          </w:tcPr>
          <w:p w14:paraId="59EE6ED8">
            <w:pPr>
              <w:spacing w:line="500" w:lineRule="exact"/>
              <w:ind w:left="420" w:leftChars="200" w:firstLine="420"/>
              <w:jc w:val="center"/>
              <w:rPr>
                <w:rFonts w:ascii="宋体" w:hAnsi="宋体" w:cs="宋体"/>
                <w:color w:val="auto"/>
                <w:szCs w:val="21"/>
              </w:rPr>
            </w:pPr>
          </w:p>
        </w:tc>
        <w:tc>
          <w:tcPr>
            <w:tcW w:w="4005" w:type="dxa"/>
            <w:vAlign w:val="center"/>
          </w:tcPr>
          <w:p w14:paraId="67C4A443">
            <w:pPr>
              <w:spacing w:line="500" w:lineRule="exact"/>
              <w:rPr>
                <w:rFonts w:ascii="宋体" w:hAnsi="宋体" w:cs="宋体"/>
                <w:color w:val="auto"/>
                <w:szCs w:val="21"/>
              </w:rPr>
            </w:pPr>
            <w:r>
              <w:rPr>
                <w:rFonts w:hint="eastAsia" w:ascii="宋体" w:hAnsi="宋体" w:cs="宋体"/>
                <w:color w:val="auto"/>
                <w:szCs w:val="21"/>
              </w:rPr>
              <w:t>南方、东方、凯泉或同档次品牌，变频调节，包括密封冲洗及管路冲洗装置。其中配套电机必须为变频专用电机。</w:t>
            </w:r>
          </w:p>
        </w:tc>
      </w:tr>
      <w:tr w14:paraId="1D1A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15" w:type="dxa"/>
            <w:vAlign w:val="center"/>
          </w:tcPr>
          <w:p w14:paraId="7863AA4D">
            <w:pPr>
              <w:spacing w:line="500" w:lineRule="exact"/>
              <w:rPr>
                <w:rFonts w:ascii="宋体" w:hAnsi="宋体" w:cs="宋体"/>
                <w:color w:val="auto"/>
                <w:szCs w:val="21"/>
              </w:rPr>
            </w:pPr>
            <w:r>
              <w:rPr>
                <w:rFonts w:hint="eastAsia" w:ascii="宋体" w:hAnsi="宋体" w:cs="宋体"/>
                <w:color w:val="auto"/>
                <w:szCs w:val="21"/>
              </w:rPr>
              <w:t>16</w:t>
            </w:r>
          </w:p>
        </w:tc>
        <w:tc>
          <w:tcPr>
            <w:tcW w:w="1650" w:type="dxa"/>
            <w:vAlign w:val="center"/>
          </w:tcPr>
          <w:p w14:paraId="4E5AD198">
            <w:pPr>
              <w:spacing w:line="500" w:lineRule="exact"/>
              <w:rPr>
                <w:rFonts w:ascii="宋体" w:hAnsi="宋体" w:cs="宋体"/>
                <w:color w:val="auto"/>
                <w:szCs w:val="21"/>
              </w:rPr>
            </w:pPr>
            <w:r>
              <w:rPr>
                <w:rFonts w:hint="eastAsia" w:ascii="宋体" w:hAnsi="宋体" w:cs="宋体"/>
                <w:color w:val="auto"/>
                <w:szCs w:val="21"/>
              </w:rPr>
              <w:t>电接点压力表</w:t>
            </w:r>
          </w:p>
        </w:tc>
        <w:tc>
          <w:tcPr>
            <w:tcW w:w="2085" w:type="dxa"/>
            <w:vAlign w:val="center"/>
          </w:tcPr>
          <w:p w14:paraId="1581A6F4">
            <w:pPr>
              <w:spacing w:line="500" w:lineRule="exact"/>
              <w:rPr>
                <w:rFonts w:ascii="宋体" w:hAnsi="宋体" w:cs="宋体"/>
                <w:color w:val="auto"/>
                <w:szCs w:val="21"/>
              </w:rPr>
            </w:pPr>
            <w:r>
              <w:rPr>
                <w:rFonts w:hint="eastAsia" w:ascii="宋体" w:hAnsi="宋体" w:cs="宋体"/>
                <w:color w:val="auto"/>
                <w:szCs w:val="21"/>
              </w:rPr>
              <w:t>0-1.0Mpa</w:t>
            </w:r>
          </w:p>
        </w:tc>
        <w:tc>
          <w:tcPr>
            <w:tcW w:w="720" w:type="dxa"/>
            <w:vAlign w:val="center"/>
          </w:tcPr>
          <w:p w14:paraId="1B6E6250">
            <w:pPr>
              <w:spacing w:line="500" w:lineRule="exact"/>
              <w:rPr>
                <w:rFonts w:ascii="宋体" w:hAnsi="宋体" w:cs="宋体"/>
                <w:color w:val="auto"/>
                <w:szCs w:val="21"/>
              </w:rPr>
            </w:pPr>
            <w:r>
              <w:rPr>
                <w:rFonts w:hint="eastAsia" w:ascii="宋体" w:hAnsi="宋体" w:cs="宋体"/>
                <w:color w:val="auto"/>
                <w:szCs w:val="21"/>
              </w:rPr>
              <w:t>2台</w:t>
            </w:r>
          </w:p>
        </w:tc>
        <w:tc>
          <w:tcPr>
            <w:tcW w:w="1245" w:type="dxa"/>
            <w:vAlign w:val="center"/>
          </w:tcPr>
          <w:p w14:paraId="4AD43535">
            <w:pPr>
              <w:spacing w:line="500" w:lineRule="exact"/>
              <w:ind w:left="420" w:leftChars="200" w:firstLine="420"/>
              <w:jc w:val="center"/>
              <w:rPr>
                <w:rFonts w:ascii="宋体" w:hAnsi="宋体" w:cs="宋体"/>
                <w:color w:val="auto"/>
                <w:szCs w:val="21"/>
              </w:rPr>
            </w:pPr>
          </w:p>
        </w:tc>
        <w:tc>
          <w:tcPr>
            <w:tcW w:w="4005" w:type="dxa"/>
            <w:vAlign w:val="center"/>
          </w:tcPr>
          <w:p w14:paraId="72E11745">
            <w:pPr>
              <w:spacing w:line="500" w:lineRule="exact"/>
              <w:rPr>
                <w:rFonts w:ascii="宋体" w:hAnsi="宋体" w:cs="宋体"/>
                <w:color w:val="auto"/>
                <w:szCs w:val="21"/>
              </w:rPr>
            </w:pPr>
            <w:r>
              <w:rPr>
                <w:rFonts w:hint="eastAsia" w:ascii="宋体" w:hAnsi="宋体" w:cs="宋体"/>
                <w:color w:val="auto"/>
                <w:szCs w:val="21"/>
              </w:rPr>
              <w:t>用于泵出口高压停泵，要求每个投加泵后配备一套。</w:t>
            </w:r>
          </w:p>
        </w:tc>
      </w:tr>
      <w:tr w14:paraId="4C8E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15" w:type="dxa"/>
            <w:vAlign w:val="center"/>
          </w:tcPr>
          <w:p w14:paraId="033352A5">
            <w:pPr>
              <w:spacing w:line="500" w:lineRule="exact"/>
              <w:rPr>
                <w:rFonts w:ascii="宋体" w:hAnsi="宋体" w:cs="宋体"/>
                <w:color w:val="auto"/>
                <w:szCs w:val="21"/>
              </w:rPr>
            </w:pPr>
            <w:r>
              <w:rPr>
                <w:rFonts w:hint="eastAsia" w:ascii="宋体" w:hAnsi="宋体" w:cs="宋体"/>
                <w:color w:val="auto"/>
                <w:szCs w:val="21"/>
              </w:rPr>
              <w:t>17</w:t>
            </w:r>
          </w:p>
        </w:tc>
        <w:tc>
          <w:tcPr>
            <w:tcW w:w="1650" w:type="dxa"/>
            <w:vAlign w:val="center"/>
          </w:tcPr>
          <w:p w14:paraId="4FFB93F1">
            <w:pPr>
              <w:spacing w:line="500" w:lineRule="exact"/>
              <w:rPr>
                <w:rFonts w:ascii="宋体" w:hAnsi="宋体" w:cs="宋体"/>
                <w:color w:val="auto"/>
                <w:szCs w:val="21"/>
              </w:rPr>
            </w:pPr>
            <w:r>
              <w:rPr>
                <w:rFonts w:hint="eastAsia" w:ascii="宋体" w:hAnsi="宋体" w:cs="宋体"/>
                <w:color w:val="auto"/>
                <w:szCs w:val="21"/>
              </w:rPr>
              <w:t>电磁流量计</w:t>
            </w:r>
          </w:p>
        </w:tc>
        <w:tc>
          <w:tcPr>
            <w:tcW w:w="2085" w:type="dxa"/>
            <w:vAlign w:val="center"/>
          </w:tcPr>
          <w:p w14:paraId="49B13F3F">
            <w:pPr>
              <w:spacing w:line="500" w:lineRule="exact"/>
              <w:rPr>
                <w:rFonts w:ascii="宋体" w:hAnsi="宋体" w:cs="宋体"/>
                <w:color w:val="auto"/>
                <w:szCs w:val="21"/>
              </w:rPr>
            </w:pPr>
            <w:r>
              <w:rPr>
                <w:rFonts w:hint="eastAsia" w:ascii="宋体" w:hAnsi="宋体" w:cs="宋体"/>
                <w:color w:val="auto"/>
                <w:szCs w:val="21"/>
              </w:rPr>
              <w:t>DN40</w:t>
            </w:r>
          </w:p>
        </w:tc>
        <w:tc>
          <w:tcPr>
            <w:tcW w:w="720" w:type="dxa"/>
            <w:vAlign w:val="center"/>
          </w:tcPr>
          <w:p w14:paraId="7AF85619">
            <w:pPr>
              <w:spacing w:line="500" w:lineRule="exact"/>
              <w:rPr>
                <w:rFonts w:ascii="宋体" w:hAnsi="宋体" w:cs="宋体"/>
                <w:color w:val="auto"/>
                <w:szCs w:val="21"/>
              </w:rPr>
            </w:pPr>
            <w:r>
              <w:rPr>
                <w:rFonts w:hint="eastAsia" w:ascii="宋体" w:hAnsi="宋体" w:cs="宋体"/>
                <w:color w:val="auto"/>
                <w:szCs w:val="21"/>
              </w:rPr>
              <w:t>1台</w:t>
            </w:r>
          </w:p>
        </w:tc>
        <w:tc>
          <w:tcPr>
            <w:tcW w:w="1245" w:type="dxa"/>
            <w:vAlign w:val="center"/>
          </w:tcPr>
          <w:p w14:paraId="5EB8F64B">
            <w:pPr>
              <w:spacing w:line="500" w:lineRule="exact"/>
              <w:ind w:left="420" w:leftChars="200"/>
              <w:jc w:val="center"/>
              <w:rPr>
                <w:rFonts w:ascii="宋体" w:hAnsi="宋体" w:cs="宋体"/>
                <w:color w:val="auto"/>
                <w:szCs w:val="21"/>
              </w:rPr>
            </w:pPr>
          </w:p>
        </w:tc>
        <w:tc>
          <w:tcPr>
            <w:tcW w:w="4005" w:type="dxa"/>
            <w:vAlign w:val="center"/>
          </w:tcPr>
          <w:p w14:paraId="24094239">
            <w:pPr>
              <w:spacing w:line="500" w:lineRule="exact"/>
              <w:rPr>
                <w:rFonts w:ascii="宋体" w:hAnsi="宋体" w:cs="宋体"/>
                <w:color w:val="auto"/>
                <w:szCs w:val="21"/>
              </w:rPr>
            </w:pPr>
            <w:r>
              <w:rPr>
                <w:rFonts w:hint="eastAsia" w:ascii="宋体" w:hAnsi="宋体" w:cs="宋体"/>
                <w:color w:val="auto"/>
                <w:szCs w:val="21"/>
              </w:rPr>
              <w:t>用于投加泵投加管路， E+H、科隆、西门子或同档次及以上品牌。</w:t>
            </w:r>
          </w:p>
        </w:tc>
      </w:tr>
      <w:tr w14:paraId="2544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15" w:type="dxa"/>
            <w:vAlign w:val="center"/>
          </w:tcPr>
          <w:p w14:paraId="2738FF99">
            <w:pPr>
              <w:spacing w:line="500" w:lineRule="exact"/>
              <w:rPr>
                <w:rFonts w:ascii="宋体" w:hAnsi="宋体" w:cs="宋体"/>
                <w:color w:val="auto"/>
                <w:szCs w:val="21"/>
              </w:rPr>
            </w:pPr>
            <w:r>
              <w:rPr>
                <w:rFonts w:hint="eastAsia" w:ascii="宋体" w:hAnsi="宋体" w:cs="宋体"/>
                <w:color w:val="auto"/>
                <w:szCs w:val="21"/>
              </w:rPr>
              <w:t>18</w:t>
            </w:r>
          </w:p>
        </w:tc>
        <w:tc>
          <w:tcPr>
            <w:tcW w:w="1650" w:type="dxa"/>
            <w:vAlign w:val="center"/>
          </w:tcPr>
          <w:p w14:paraId="6315B301">
            <w:pPr>
              <w:spacing w:line="500" w:lineRule="exact"/>
              <w:rPr>
                <w:rFonts w:ascii="宋体" w:hAnsi="宋体" w:cs="宋体"/>
                <w:color w:val="auto"/>
                <w:szCs w:val="21"/>
              </w:rPr>
            </w:pPr>
            <w:r>
              <w:rPr>
                <w:rFonts w:hint="eastAsia" w:ascii="宋体" w:hAnsi="宋体" w:cs="宋体"/>
                <w:color w:val="auto"/>
                <w:szCs w:val="21"/>
              </w:rPr>
              <w:t>管路及阀门</w:t>
            </w:r>
          </w:p>
        </w:tc>
        <w:tc>
          <w:tcPr>
            <w:tcW w:w="2085" w:type="dxa"/>
            <w:vAlign w:val="center"/>
          </w:tcPr>
          <w:p w14:paraId="4EF7CE56">
            <w:pPr>
              <w:spacing w:line="500" w:lineRule="exact"/>
              <w:rPr>
                <w:rFonts w:ascii="宋体" w:hAnsi="宋体" w:cs="宋体"/>
                <w:color w:val="auto"/>
                <w:szCs w:val="21"/>
              </w:rPr>
            </w:pPr>
            <w:r>
              <w:rPr>
                <w:rFonts w:hint="eastAsia" w:ascii="宋体" w:hAnsi="宋体" w:cs="宋体"/>
                <w:color w:val="auto"/>
                <w:szCs w:val="21"/>
              </w:rPr>
              <w:t>DN25-DN100</w:t>
            </w:r>
          </w:p>
        </w:tc>
        <w:tc>
          <w:tcPr>
            <w:tcW w:w="720" w:type="dxa"/>
            <w:vAlign w:val="center"/>
          </w:tcPr>
          <w:p w14:paraId="3DCC9A88">
            <w:pPr>
              <w:spacing w:line="500" w:lineRule="exact"/>
              <w:rPr>
                <w:rFonts w:ascii="宋体" w:hAnsi="宋体" w:cs="宋体"/>
                <w:color w:val="auto"/>
                <w:szCs w:val="21"/>
              </w:rPr>
            </w:pPr>
            <w:r>
              <w:rPr>
                <w:rFonts w:hint="eastAsia" w:ascii="宋体" w:hAnsi="宋体" w:cs="宋体"/>
                <w:color w:val="auto"/>
                <w:szCs w:val="21"/>
              </w:rPr>
              <w:t>1批</w:t>
            </w:r>
          </w:p>
        </w:tc>
        <w:tc>
          <w:tcPr>
            <w:tcW w:w="1245" w:type="dxa"/>
            <w:vAlign w:val="center"/>
          </w:tcPr>
          <w:p w14:paraId="5E26EF81">
            <w:pPr>
              <w:spacing w:line="500" w:lineRule="exact"/>
              <w:ind w:left="420" w:leftChars="200"/>
              <w:rPr>
                <w:rFonts w:ascii="宋体" w:hAnsi="宋体" w:cs="宋体"/>
                <w:color w:val="auto"/>
                <w:szCs w:val="21"/>
              </w:rPr>
            </w:pPr>
            <w:r>
              <w:rPr>
                <w:rFonts w:hint="eastAsia" w:ascii="宋体" w:hAnsi="宋体" w:cs="宋体"/>
                <w:color w:val="auto"/>
                <w:szCs w:val="21"/>
              </w:rPr>
              <w:t>UPVC</w:t>
            </w:r>
          </w:p>
        </w:tc>
        <w:tc>
          <w:tcPr>
            <w:tcW w:w="4005" w:type="dxa"/>
            <w:vAlign w:val="center"/>
          </w:tcPr>
          <w:p w14:paraId="0A502C08">
            <w:pPr>
              <w:spacing w:line="500" w:lineRule="exact"/>
              <w:rPr>
                <w:rFonts w:ascii="宋体" w:hAnsi="宋体" w:cs="宋体"/>
                <w:color w:val="auto"/>
                <w:szCs w:val="21"/>
              </w:rPr>
            </w:pPr>
            <w:r>
              <w:rPr>
                <w:rFonts w:hint="eastAsia" w:ascii="宋体" w:hAnsi="宋体" w:cs="宋体"/>
                <w:color w:val="auto"/>
                <w:szCs w:val="21"/>
              </w:rPr>
              <w:t>投加泵出口阀门后至投加点的管材采用内UPVC材质</w:t>
            </w:r>
          </w:p>
        </w:tc>
      </w:tr>
      <w:tr w14:paraId="0535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615" w:type="dxa"/>
            <w:vAlign w:val="center"/>
          </w:tcPr>
          <w:p w14:paraId="6A21AB95">
            <w:pPr>
              <w:spacing w:line="500" w:lineRule="exact"/>
              <w:rPr>
                <w:rFonts w:ascii="宋体" w:hAnsi="宋体" w:cs="宋体"/>
                <w:color w:val="auto"/>
                <w:szCs w:val="21"/>
              </w:rPr>
            </w:pPr>
            <w:r>
              <w:rPr>
                <w:rFonts w:hint="eastAsia" w:ascii="宋体" w:hAnsi="宋体" w:cs="宋体"/>
                <w:color w:val="auto"/>
                <w:szCs w:val="21"/>
              </w:rPr>
              <w:t>19</w:t>
            </w:r>
          </w:p>
        </w:tc>
        <w:tc>
          <w:tcPr>
            <w:tcW w:w="1650" w:type="dxa"/>
            <w:vAlign w:val="center"/>
          </w:tcPr>
          <w:p w14:paraId="62FEF7A7">
            <w:pPr>
              <w:spacing w:line="500" w:lineRule="exact"/>
              <w:rPr>
                <w:rFonts w:ascii="宋体" w:hAnsi="宋体" w:cs="宋体"/>
                <w:color w:val="auto"/>
                <w:szCs w:val="21"/>
              </w:rPr>
            </w:pPr>
            <w:r>
              <w:rPr>
                <w:rFonts w:hint="eastAsia" w:ascii="宋体" w:hAnsi="宋体" w:cs="宋体"/>
                <w:color w:val="auto"/>
                <w:szCs w:val="21"/>
              </w:rPr>
              <w:t>空压机系统</w:t>
            </w:r>
          </w:p>
        </w:tc>
        <w:tc>
          <w:tcPr>
            <w:tcW w:w="2085" w:type="dxa"/>
            <w:vAlign w:val="center"/>
          </w:tcPr>
          <w:p w14:paraId="02F56792">
            <w:pPr>
              <w:spacing w:line="500" w:lineRule="exact"/>
              <w:rPr>
                <w:rFonts w:ascii="宋体" w:hAnsi="宋体" w:cs="宋体"/>
                <w:color w:val="auto"/>
                <w:szCs w:val="21"/>
              </w:rPr>
            </w:pPr>
            <w:r>
              <w:rPr>
                <w:rFonts w:hint="eastAsia" w:ascii="宋体" w:hAnsi="宋体" w:cs="宋体"/>
                <w:color w:val="auto"/>
                <w:spacing w:val="8"/>
                <w:szCs w:val="21"/>
              </w:rPr>
              <w:t>排气量&gt;0.67m</w:t>
            </w:r>
            <w:r>
              <w:rPr>
                <w:rFonts w:hint="eastAsia" w:ascii="宋体" w:hAnsi="宋体" w:cs="宋体"/>
                <w:color w:val="auto"/>
                <w:spacing w:val="8"/>
                <w:szCs w:val="21"/>
                <w:vertAlign w:val="superscript"/>
              </w:rPr>
              <w:t>3</w:t>
            </w:r>
            <w:r>
              <w:rPr>
                <w:rFonts w:hint="eastAsia" w:ascii="宋体" w:hAnsi="宋体" w:cs="宋体"/>
                <w:color w:val="auto"/>
                <w:spacing w:val="8"/>
                <w:szCs w:val="21"/>
              </w:rPr>
              <w:t>/min     最高工作压力 8bar。</w:t>
            </w:r>
          </w:p>
        </w:tc>
        <w:tc>
          <w:tcPr>
            <w:tcW w:w="720" w:type="dxa"/>
            <w:vAlign w:val="center"/>
          </w:tcPr>
          <w:p w14:paraId="79F52A69">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66BEB7A6">
            <w:pPr>
              <w:spacing w:line="500" w:lineRule="exact"/>
              <w:ind w:left="420" w:leftChars="200" w:firstLine="420"/>
              <w:jc w:val="center"/>
              <w:rPr>
                <w:rFonts w:ascii="宋体" w:hAnsi="宋体" w:cs="宋体"/>
                <w:color w:val="auto"/>
                <w:szCs w:val="21"/>
              </w:rPr>
            </w:pPr>
          </w:p>
        </w:tc>
        <w:tc>
          <w:tcPr>
            <w:tcW w:w="4005" w:type="dxa"/>
            <w:vAlign w:val="center"/>
          </w:tcPr>
          <w:p w14:paraId="1AEABC62">
            <w:pPr>
              <w:spacing w:line="500" w:lineRule="exact"/>
              <w:rPr>
                <w:rFonts w:ascii="宋体" w:hAnsi="宋体" w:cs="宋体"/>
                <w:color w:val="auto"/>
                <w:szCs w:val="21"/>
              </w:rPr>
            </w:pPr>
            <w:r>
              <w:rPr>
                <w:rFonts w:hint="eastAsia" w:ascii="宋体" w:hAnsi="宋体" w:cs="宋体"/>
                <w:color w:val="auto"/>
                <w:szCs w:val="21"/>
              </w:rPr>
              <w:t xml:space="preserve">空压机采用活塞结构形式，推荐寿力、复盛、阿特拉斯或同档次及以上品牌；管路要求配套冷冻式干燥机、相应2级过滤器、储气罐1个、，配套自动排水器；室外配套气路管道必须采用不锈钢或铜管。 </w:t>
            </w:r>
          </w:p>
        </w:tc>
      </w:tr>
      <w:tr w14:paraId="2FF6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Align w:val="center"/>
          </w:tcPr>
          <w:p w14:paraId="15993951">
            <w:pPr>
              <w:spacing w:line="500" w:lineRule="exact"/>
              <w:rPr>
                <w:rFonts w:ascii="宋体" w:hAnsi="宋体" w:cs="宋体"/>
                <w:color w:val="auto"/>
                <w:szCs w:val="21"/>
              </w:rPr>
            </w:pPr>
            <w:r>
              <w:rPr>
                <w:rFonts w:hint="eastAsia" w:ascii="宋体" w:hAnsi="宋体" w:cs="宋体"/>
                <w:color w:val="auto"/>
                <w:szCs w:val="21"/>
              </w:rPr>
              <w:t>20</w:t>
            </w:r>
          </w:p>
        </w:tc>
        <w:tc>
          <w:tcPr>
            <w:tcW w:w="1650" w:type="dxa"/>
            <w:vAlign w:val="center"/>
          </w:tcPr>
          <w:p w14:paraId="093D9AAB">
            <w:pPr>
              <w:spacing w:line="500" w:lineRule="exact"/>
              <w:rPr>
                <w:rFonts w:ascii="宋体" w:hAnsi="宋体" w:cs="宋体"/>
                <w:color w:val="auto"/>
                <w:szCs w:val="21"/>
              </w:rPr>
            </w:pPr>
            <w:r>
              <w:rPr>
                <w:rFonts w:hint="eastAsia" w:ascii="宋体" w:hAnsi="宋体" w:cs="宋体"/>
                <w:color w:val="auto"/>
                <w:szCs w:val="21"/>
              </w:rPr>
              <w:t>增压泵</w:t>
            </w:r>
          </w:p>
        </w:tc>
        <w:tc>
          <w:tcPr>
            <w:tcW w:w="2085" w:type="dxa"/>
            <w:vAlign w:val="center"/>
          </w:tcPr>
          <w:p w14:paraId="7667B6D3">
            <w:pPr>
              <w:spacing w:line="500" w:lineRule="exact"/>
              <w:rPr>
                <w:rFonts w:ascii="宋体" w:hAnsi="宋体" w:cs="宋体"/>
                <w:color w:val="auto"/>
                <w:szCs w:val="21"/>
              </w:rPr>
            </w:pPr>
            <w:r>
              <w:rPr>
                <w:rFonts w:hint="eastAsia" w:ascii="宋体" w:hAnsi="宋体" w:cs="宋体"/>
                <w:color w:val="auto"/>
                <w:szCs w:val="21"/>
              </w:rPr>
              <w:t>Q=12m³，H=3bar</w:t>
            </w:r>
          </w:p>
        </w:tc>
        <w:tc>
          <w:tcPr>
            <w:tcW w:w="720" w:type="dxa"/>
            <w:vAlign w:val="center"/>
          </w:tcPr>
          <w:p w14:paraId="0DBEB835">
            <w:pPr>
              <w:spacing w:line="500" w:lineRule="exact"/>
              <w:rPr>
                <w:rFonts w:ascii="宋体" w:hAnsi="宋体" w:cs="宋体"/>
                <w:color w:val="auto"/>
                <w:szCs w:val="21"/>
              </w:rPr>
            </w:pPr>
            <w:r>
              <w:rPr>
                <w:rFonts w:hint="eastAsia" w:ascii="宋体" w:hAnsi="宋体" w:cs="宋体"/>
                <w:color w:val="auto"/>
                <w:szCs w:val="21"/>
              </w:rPr>
              <w:t>2台</w:t>
            </w:r>
          </w:p>
        </w:tc>
        <w:tc>
          <w:tcPr>
            <w:tcW w:w="1245" w:type="dxa"/>
            <w:vAlign w:val="center"/>
          </w:tcPr>
          <w:p w14:paraId="22F9DA2E">
            <w:pPr>
              <w:spacing w:line="500" w:lineRule="exact"/>
              <w:ind w:left="420" w:leftChars="200" w:firstLine="420"/>
              <w:jc w:val="center"/>
              <w:rPr>
                <w:rFonts w:ascii="宋体" w:hAnsi="宋体" w:cs="宋体"/>
                <w:color w:val="auto"/>
                <w:szCs w:val="21"/>
              </w:rPr>
            </w:pPr>
          </w:p>
        </w:tc>
        <w:tc>
          <w:tcPr>
            <w:tcW w:w="4005" w:type="dxa"/>
            <w:vAlign w:val="center"/>
          </w:tcPr>
          <w:p w14:paraId="45B7BEB5">
            <w:pPr>
              <w:spacing w:line="500" w:lineRule="exact"/>
              <w:rPr>
                <w:rFonts w:ascii="宋体" w:hAnsi="宋体" w:cs="宋体"/>
                <w:color w:val="auto"/>
                <w:szCs w:val="21"/>
              </w:rPr>
            </w:pPr>
            <w:r>
              <w:rPr>
                <w:rFonts w:hint="eastAsia" w:ascii="宋体" w:hAnsi="宋体" w:cs="宋体"/>
                <w:color w:val="auto"/>
                <w:szCs w:val="21"/>
              </w:rPr>
              <w:t>用于冲洗管路、配水，采用立式离心泵形式，推荐格兰富、东方、南方同档次及以上品牌，包括相关配套手动切换阀门，压力表等。</w:t>
            </w:r>
          </w:p>
        </w:tc>
      </w:tr>
      <w:tr w14:paraId="08BD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5801E7DF">
            <w:pPr>
              <w:spacing w:line="500" w:lineRule="exact"/>
              <w:rPr>
                <w:rFonts w:ascii="宋体" w:hAnsi="宋体" w:cs="宋体"/>
                <w:color w:val="auto"/>
                <w:szCs w:val="21"/>
              </w:rPr>
            </w:pPr>
            <w:r>
              <w:rPr>
                <w:rFonts w:hint="eastAsia" w:ascii="宋体" w:hAnsi="宋体" w:cs="宋体"/>
                <w:color w:val="auto"/>
                <w:szCs w:val="21"/>
              </w:rPr>
              <w:t>21</w:t>
            </w:r>
          </w:p>
        </w:tc>
        <w:tc>
          <w:tcPr>
            <w:tcW w:w="1650" w:type="dxa"/>
            <w:vAlign w:val="center"/>
          </w:tcPr>
          <w:p w14:paraId="591781D6">
            <w:pPr>
              <w:spacing w:line="500" w:lineRule="exact"/>
              <w:rPr>
                <w:rFonts w:ascii="宋体" w:hAnsi="宋体" w:cs="宋体"/>
                <w:color w:val="auto"/>
                <w:szCs w:val="21"/>
              </w:rPr>
            </w:pPr>
            <w:r>
              <w:rPr>
                <w:rFonts w:hint="eastAsia" w:ascii="宋体" w:hAnsi="宋体" w:cs="宋体"/>
                <w:color w:val="auto"/>
                <w:szCs w:val="21"/>
              </w:rPr>
              <w:t>控制系统</w:t>
            </w:r>
          </w:p>
        </w:tc>
        <w:tc>
          <w:tcPr>
            <w:tcW w:w="2085" w:type="dxa"/>
            <w:vAlign w:val="center"/>
          </w:tcPr>
          <w:p w14:paraId="554D8425">
            <w:pPr>
              <w:spacing w:line="500" w:lineRule="exact"/>
              <w:ind w:left="420" w:leftChars="200"/>
              <w:jc w:val="center"/>
              <w:rPr>
                <w:rFonts w:ascii="宋体" w:hAnsi="宋体" w:cs="宋体"/>
                <w:color w:val="auto"/>
                <w:szCs w:val="21"/>
              </w:rPr>
            </w:pPr>
          </w:p>
        </w:tc>
        <w:tc>
          <w:tcPr>
            <w:tcW w:w="720" w:type="dxa"/>
            <w:vAlign w:val="center"/>
          </w:tcPr>
          <w:p w14:paraId="07696537">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1C187701">
            <w:pPr>
              <w:spacing w:line="500" w:lineRule="exact"/>
              <w:ind w:left="420" w:leftChars="200"/>
              <w:jc w:val="center"/>
              <w:rPr>
                <w:rFonts w:ascii="宋体" w:hAnsi="宋体" w:cs="宋体"/>
                <w:color w:val="auto"/>
                <w:szCs w:val="21"/>
              </w:rPr>
            </w:pPr>
          </w:p>
        </w:tc>
        <w:tc>
          <w:tcPr>
            <w:tcW w:w="4005" w:type="dxa"/>
            <w:vAlign w:val="center"/>
          </w:tcPr>
          <w:p w14:paraId="0278236A">
            <w:pPr>
              <w:spacing w:line="500" w:lineRule="exact"/>
              <w:rPr>
                <w:rFonts w:ascii="宋体" w:hAnsi="宋体" w:cs="宋体"/>
                <w:color w:val="auto"/>
                <w:szCs w:val="21"/>
              </w:rPr>
            </w:pPr>
            <w:r>
              <w:rPr>
                <w:rFonts w:hint="eastAsia" w:ascii="宋体" w:hAnsi="宋体" w:cs="宋体"/>
                <w:color w:val="auto"/>
                <w:szCs w:val="21"/>
              </w:rPr>
              <w:t>PLC选用罗克韦尔、西门子、施耐德或同档次及以上品牌，含变频器、PLC模块及各元气件等，主要各元器件必须为罗克韦尔、施耐德、ABB、西门子或同档次及以上产品</w:t>
            </w:r>
          </w:p>
        </w:tc>
      </w:tr>
      <w:tr w14:paraId="6247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15" w:type="dxa"/>
            <w:vAlign w:val="center"/>
          </w:tcPr>
          <w:p w14:paraId="74634516">
            <w:pPr>
              <w:spacing w:line="500" w:lineRule="exact"/>
              <w:rPr>
                <w:rFonts w:ascii="宋体" w:hAnsi="宋体" w:cs="宋体"/>
                <w:color w:val="auto"/>
                <w:szCs w:val="21"/>
              </w:rPr>
            </w:pPr>
            <w:r>
              <w:rPr>
                <w:rFonts w:hint="eastAsia" w:ascii="宋体" w:hAnsi="宋体" w:cs="宋体"/>
                <w:color w:val="auto"/>
                <w:szCs w:val="21"/>
              </w:rPr>
              <w:t>22</w:t>
            </w:r>
          </w:p>
        </w:tc>
        <w:tc>
          <w:tcPr>
            <w:tcW w:w="1650" w:type="dxa"/>
            <w:vAlign w:val="center"/>
          </w:tcPr>
          <w:p w14:paraId="6B6A41F0">
            <w:pPr>
              <w:spacing w:line="500" w:lineRule="exact"/>
              <w:rPr>
                <w:rFonts w:ascii="宋体" w:hAnsi="宋体" w:cs="宋体"/>
                <w:color w:val="auto"/>
                <w:szCs w:val="21"/>
              </w:rPr>
            </w:pPr>
            <w:r>
              <w:rPr>
                <w:rFonts w:hint="eastAsia" w:ascii="宋体" w:hAnsi="宋体" w:cs="宋体"/>
                <w:color w:val="auto"/>
                <w:szCs w:val="21"/>
              </w:rPr>
              <w:t>触摸屏</w:t>
            </w:r>
          </w:p>
        </w:tc>
        <w:tc>
          <w:tcPr>
            <w:tcW w:w="2085" w:type="dxa"/>
            <w:vAlign w:val="center"/>
          </w:tcPr>
          <w:p w14:paraId="42745D09">
            <w:pPr>
              <w:spacing w:line="500" w:lineRule="exact"/>
              <w:rPr>
                <w:rFonts w:ascii="宋体" w:hAnsi="宋体" w:cs="宋体"/>
                <w:color w:val="auto"/>
                <w:spacing w:val="8"/>
                <w:szCs w:val="21"/>
              </w:rPr>
            </w:pPr>
            <w:r>
              <w:rPr>
                <w:rFonts w:hint="eastAsia" w:ascii="宋体" w:hAnsi="宋体" w:cs="宋体"/>
                <w:color w:val="auto"/>
                <w:spacing w:val="8"/>
                <w:szCs w:val="21"/>
              </w:rPr>
              <w:t>不小于10寸显示屏</w:t>
            </w:r>
          </w:p>
        </w:tc>
        <w:tc>
          <w:tcPr>
            <w:tcW w:w="720" w:type="dxa"/>
            <w:vAlign w:val="center"/>
          </w:tcPr>
          <w:p w14:paraId="7602B2ED">
            <w:pPr>
              <w:spacing w:line="500" w:lineRule="exact"/>
              <w:rPr>
                <w:rFonts w:ascii="宋体" w:hAnsi="宋体" w:cs="宋体"/>
                <w:color w:val="auto"/>
                <w:szCs w:val="21"/>
              </w:rPr>
            </w:pPr>
            <w:r>
              <w:rPr>
                <w:rFonts w:hint="eastAsia" w:ascii="宋体" w:hAnsi="宋体" w:cs="宋体"/>
                <w:color w:val="auto"/>
                <w:szCs w:val="21"/>
              </w:rPr>
              <w:t>1台</w:t>
            </w:r>
          </w:p>
        </w:tc>
        <w:tc>
          <w:tcPr>
            <w:tcW w:w="1245" w:type="dxa"/>
            <w:vAlign w:val="center"/>
          </w:tcPr>
          <w:p w14:paraId="60627F15">
            <w:pPr>
              <w:spacing w:line="500" w:lineRule="exact"/>
              <w:ind w:left="420" w:leftChars="200" w:firstLine="420"/>
              <w:jc w:val="center"/>
              <w:rPr>
                <w:rFonts w:ascii="宋体" w:hAnsi="宋体" w:cs="宋体"/>
                <w:color w:val="auto"/>
                <w:szCs w:val="21"/>
              </w:rPr>
            </w:pPr>
          </w:p>
        </w:tc>
        <w:tc>
          <w:tcPr>
            <w:tcW w:w="4005" w:type="dxa"/>
            <w:vAlign w:val="center"/>
          </w:tcPr>
          <w:p w14:paraId="1516D3C6">
            <w:pPr>
              <w:spacing w:line="500" w:lineRule="exact"/>
              <w:rPr>
                <w:rFonts w:ascii="宋体" w:hAnsi="宋体" w:cs="宋体"/>
                <w:color w:val="auto"/>
                <w:szCs w:val="21"/>
              </w:rPr>
            </w:pPr>
            <w:r>
              <w:rPr>
                <w:rFonts w:hint="eastAsia" w:ascii="宋体" w:hAnsi="宋体" w:cs="宋体"/>
                <w:color w:val="auto"/>
                <w:szCs w:val="21"/>
              </w:rPr>
              <w:t>含人机中文界面制作调试。</w:t>
            </w:r>
          </w:p>
        </w:tc>
      </w:tr>
      <w:tr w14:paraId="743B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24B9EDDE">
            <w:pPr>
              <w:spacing w:line="500" w:lineRule="exact"/>
              <w:rPr>
                <w:rFonts w:ascii="宋体" w:hAnsi="宋体" w:cs="宋体"/>
                <w:color w:val="auto"/>
                <w:szCs w:val="21"/>
              </w:rPr>
            </w:pPr>
            <w:r>
              <w:rPr>
                <w:rFonts w:hint="eastAsia" w:ascii="宋体" w:hAnsi="宋体" w:cs="宋体"/>
                <w:color w:val="auto"/>
                <w:szCs w:val="21"/>
              </w:rPr>
              <w:t>23</w:t>
            </w:r>
          </w:p>
        </w:tc>
        <w:tc>
          <w:tcPr>
            <w:tcW w:w="1650" w:type="dxa"/>
            <w:vAlign w:val="center"/>
          </w:tcPr>
          <w:p w14:paraId="265360B1">
            <w:pPr>
              <w:spacing w:line="500" w:lineRule="exact"/>
              <w:rPr>
                <w:rFonts w:ascii="宋体" w:hAnsi="宋体" w:cs="宋体"/>
                <w:color w:val="auto"/>
                <w:szCs w:val="21"/>
              </w:rPr>
            </w:pPr>
            <w:r>
              <w:rPr>
                <w:rFonts w:hint="eastAsia" w:ascii="宋体" w:hAnsi="宋体" w:cs="宋体"/>
                <w:color w:val="auto"/>
                <w:szCs w:val="21"/>
              </w:rPr>
              <w:t>动力电缆、控制电缆、信号电缆</w:t>
            </w:r>
          </w:p>
        </w:tc>
        <w:tc>
          <w:tcPr>
            <w:tcW w:w="2085" w:type="dxa"/>
            <w:vAlign w:val="center"/>
          </w:tcPr>
          <w:p w14:paraId="49A7C769">
            <w:pPr>
              <w:spacing w:line="500" w:lineRule="exact"/>
              <w:rPr>
                <w:rFonts w:ascii="宋体" w:hAnsi="宋体" w:cs="宋体"/>
                <w:color w:val="auto"/>
                <w:spacing w:val="8"/>
                <w:szCs w:val="21"/>
              </w:rPr>
            </w:pPr>
            <w:r>
              <w:rPr>
                <w:rFonts w:hint="eastAsia" w:ascii="宋体" w:hAnsi="宋体" w:cs="宋体"/>
                <w:color w:val="auto"/>
                <w:szCs w:val="21"/>
              </w:rPr>
              <w:t>规格大小厂家自定，满足系统使用需求</w:t>
            </w:r>
          </w:p>
        </w:tc>
        <w:tc>
          <w:tcPr>
            <w:tcW w:w="720" w:type="dxa"/>
            <w:vAlign w:val="center"/>
          </w:tcPr>
          <w:p w14:paraId="41800B79">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6BB7E2D8">
            <w:pPr>
              <w:spacing w:line="500" w:lineRule="exact"/>
              <w:ind w:left="420" w:leftChars="200" w:firstLine="420"/>
              <w:jc w:val="center"/>
              <w:rPr>
                <w:rFonts w:ascii="宋体" w:hAnsi="宋体" w:cs="宋体"/>
                <w:color w:val="auto"/>
                <w:szCs w:val="21"/>
              </w:rPr>
            </w:pPr>
          </w:p>
        </w:tc>
        <w:tc>
          <w:tcPr>
            <w:tcW w:w="4005" w:type="dxa"/>
            <w:vAlign w:val="center"/>
          </w:tcPr>
          <w:p w14:paraId="77F34357">
            <w:pPr>
              <w:spacing w:line="500" w:lineRule="exact"/>
              <w:ind w:left="0" w:leftChars="0"/>
              <w:rPr>
                <w:rFonts w:ascii="宋体" w:hAnsi="宋体" w:cs="宋体"/>
                <w:color w:val="auto"/>
                <w:szCs w:val="21"/>
              </w:rPr>
            </w:pPr>
            <w:r>
              <w:rPr>
                <w:rFonts w:hint="eastAsia" w:ascii="宋体" w:hAnsi="宋体" w:cs="宋体"/>
                <w:color w:val="auto"/>
                <w:szCs w:val="21"/>
              </w:rPr>
              <w:t>推荐金龙羽、深缆、起凡或同档次及以上国内知名品牌。</w:t>
            </w:r>
          </w:p>
        </w:tc>
      </w:tr>
      <w:tr w14:paraId="1D4D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320" w:type="dxa"/>
            <w:gridSpan w:val="6"/>
            <w:vAlign w:val="center"/>
          </w:tcPr>
          <w:p w14:paraId="4AA63C7D">
            <w:pPr>
              <w:spacing w:line="500" w:lineRule="exact"/>
              <w:ind w:left="420" w:leftChars="200"/>
              <w:rPr>
                <w:rFonts w:ascii="宋体" w:hAnsi="宋体" w:cs="宋体"/>
                <w:color w:val="auto"/>
                <w:szCs w:val="21"/>
              </w:rPr>
            </w:pPr>
            <w:r>
              <w:rPr>
                <w:rFonts w:hint="eastAsia" w:ascii="宋体" w:hAnsi="宋体" w:cs="宋体"/>
                <w:color w:val="auto"/>
                <w:szCs w:val="21"/>
              </w:rPr>
              <w:t>复合高锰酸盐投加系统</w:t>
            </w:r>
          </w:p>
        </w:tc>
      </w:tr>
      <w:tr w14:paraId="1BA9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2FE20F22">
            <w:pPr>
              <w:spacing w:line="500" w:lineRule="exact"/>
              <w:rPr>
                <w:rFonts w:ascii="宋体" w:hAnsi="宋体" w:cs="宋体"/>
                <w:color w:val="auto"/>
                <w:szCs w:val="21"/>
              </w:rPr>
            </w:pPr>
            <w:r>
              <w:rPr>
                <w:rFonts w:hint="eastAsia" w:ascii="宋体" w:hAnsi="宋体" w:cs="宋体"/>
                <w:color w:val="auto"/>
                <w:szCs w:val="21"/>
              </w:rPr>
              <w:t>1</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158B0F0B">
            <w:pPr>
              <w:spacing w:line="500" w:lineRule="exact"/>
              <w:rPr>
                <w:rFonts w:ascii="宋体" w:hAnsi="宋体" w:cs="宋体"/>
                <w:color w:val="auto"/>
                <w:szCs w:val="21"/>
              </w:rPr>
            </w:pPr>
            <w:r>
              <w:rPr>
                <w:rFonts w:hint="eastAsia" w:ascii="宋体" w:hAnsi="宋体" w:cs="宋体"/>
                <w:color w:val="auto"/>
                <w:szCs w:val="21"/>
              </w:rPr>
              <w:t>加药数字隔膜计量泵</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14:paraId="336094FA">
            <w:pPr>
              <w:spacing w:line="500" w:lineRule="exact"/>
              <w:rPr>
                <w:rFonts w:ascii="宋体" w:hAnsi="宋体" w:cs="宋体"/>
                <w:color w:val="auto"/>
                <w:szCs w:val="21"/>
              </w:rPr>
            </w:pPr>
            <w:r>
              <w:rPr>
                <w:rFonts w:hint="eastAsia" w:ascii="宋体" w:hAnsi="宋体" w:cs="宋体"/>
                <w:color w:val="auto"/>
                <w:szCs w:val="21"/>
              </w:rPr>
              <w:t xml:space="preserve">Q=375L/h, H=40m </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9520013">
            <w:pPr>
              <w:spacing w:line="500" w:lineRule="exact"/>
              <w:rPr>
                <w:rFonts w:ascii="宋体" w:hAnsi="宋体" w:cs="宋体"/>
                <w:color w:val="auto"/>
                <w:szCs w:val="21"/>
              </w:rPr>
            </w:pPr>
            <w:r>
              <w:rPr>
                <w:rFonts w:hint="eastAsia" w:ascii="宋体" w:hAnsi="宋体" w:cs="宋体"/>
                <w:color w:val="auto"/>
                <w:szCs w:val="21"/>
              </w:rPr>
              <w:t>2台</w:t>
            </w:r>
          </w:p>
        </w:tc>
        <w:tc>
          <w:tcPr>
            <w:tcW w:w="1245" w:type="dxa"/>
            <w:vAlign w:val="center"/>
          </w:tcPr>
          <w:p w14:paraId="3F5D15AD">
            <w:pPr>
              <w:spacing w:line="500" w:lineRule="exact"/>
              <w:ind w:left="420" w:leftChars="200" w:firstLine="420"/>
              <w:jc w:val="center"/>
              <w:rPr>
                <w:rFonts w:ascii="宋体" w:hAnsi="宋体" w:cs="宋体"/>
                <w:color w:val="auto"/>
                <w:szCs w:val="21"/>
              </w:rPr>
            </w:pPr>
          </w:p>
        </w:tc>
        <w:tc>
          <w:tcPr>
            <w:tcW w:w="4005" w:type="dxa"/>
            <w:vAlign w:val="center"/>
          </w:tcPr>
          <w:p w14:paraId="0BF70526">
            <w:pPr>
              <w:spacing w:line="500" w:lineRule="exact"/>
              <w:rPr>
                <w:rFonts w:ascii="宋体" w:hAnsi="宋体" w:cs="宋体"/>
                <w:color w:val="auto"/>
                <w:szCs w:val="21"/>
              </w:rPr>
            </w:pPr>
            <w:r>
              <w:rPr>
                <w:rFonts w:hint="eastAsia" w:ascii="宋体" w:hAnsi="宋体" w:cs="宋体"/>
                <w:color w:val="auto"/>
                <w:szCs w:val="21"/>
              </w:rPr>
              <w:t>格兰富、普罗名特、米顿罗等或同档次及以上品牌，</w:t>
            </w:r>
          </w:p>
        </w:tc>
      </w:tr>
      <w:tr w14:paraId="24FA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77F4AE9C">
            <w:pPr>
              <w:spacing w:line="500" w:lineRule="exact"/>
              <w:rPr>
                <w:rFonts w:ascii="宋体" w:hAnsi="宋体" w:cs="宋体"/>
                <w:color w:val="auto"/>
                <w:szCs w:val="21"/>
              </w:rPr>
            </w:pPr>
            <w:r>
              <w:rPr>
                <w:rFonts w:hint="eastAsia" w:ascii="宋体" w:hAnsi="宋体" w:cs="宋体"/>
                <w:color w:val="auto"/>
                <w:szCs w:val="21"/>
              </w:rPr>
              <w:t>2</w:t>
            </w:r>
          </w:p>
        </w:tc>
        <w:tc>
          <w:tcPr>
            <w:tcW w:w="1650" w:type="dxa"/>
            <w:tcBorders>
              <w:top w:val="nil"/>
              <w:left w:val="single" w:color="auto" w:sz="4" w:space="0"/>
              <w:bottom w:val="single" w:color="auto" w:sz="4" w:space="0"/>
              <w:right w:val="single" w:color="auto" w:sz="4" w:space="0"/>
            </w:tcBorders>
            <w:shd w:val="clear" w:color="auto" w:fill="auto"/>
            <w:vAlign w:val="center"/>
          </w:tcPr>
          <w:p w14:paraId="75F8BA38">
            <w:pPr>
              <w:spacing w:line="500" w:lineRule="exact"/>
              <w:rPr>
                <w:rFonts w:ascii="宋体" w:hAnsi="宋体" w:cs="宋体"/>
                <w:color w:val="auto"/>
                <w:szCs w:val="21"/>
              </w:rPr>
            </w:pPr>
            <w:r>
              <w:rPr>
                <w:rFonts w:hint="eastAsia" w:ascii="宋体" w:hAnsi="宋体" w:cs="宋体"/>
                <w:color w:val="auto"/>
                <w:szCs w:val="21"/>
              </w:rPr>
              <w:t>PE搅拌罐</w:t>
            </w:r>
          </w:p>
        </w:tc>
        <w:tc>
          <w:tcPr>
            <w:tcW w:w="2085" w:type="dxa"/>
            <w:tcBorders>
              <w:top w:val="nil"/>
              <w:left w:val="single" w:color="auto" w:sz="4" w:space="0"/>
              <w:bottom w:val="single" w:color="auto" w:sz="4" w:space="0"/>
              <w:right w:val="single" w:color="auto" w:sz="4" w:space="0"/>
            </w:tcBorders>
            <w:shd w:val="clear" w:color="auto" w:fill="auto"/>
            <w:vAlign w:val="center"/>
          </w:tcPr>
          <w:p w14:paraId="73F4CAA9">
            <w:pPr>
              <w:spacing w:line="500" w:lineRule="exact"/>
              <w:rPr>
                <w:rFonts w:ascii="宋体" w:hAnsi="宋体" w:cs="宋体"/>
                <w:color w:val="auto"/>
                <w:szCs w:val="21"/>
              </w:rPr>
            </w:pPr>
            <w:r>
              <w:rPr>
                <w:rFonts w:hint="eastAsia" w:ascii="宋体" w:hAnsi="宋体" w:cs="宋体"/>
                <w:color w:val="auto"/>
                <w:szCs w:val="21"/>
              </w:rPr>
              <w:t>V=8m3</w:t>
            </w:r>
          </w:p>
        </w:tc>
        <w:tc>
          <w:tcPr>
            <w:tcW w:w="720" w:type="dxa"/>
            <w:tcBorders>
              <w:top w:val="nil"/>
              <w:left w:val="single" w:color="auto" w:sz="4" w:space="0"/>
              <w:bottom w:val="single" w:color="auto" w:sz="4" w:space="0"/>
              <w:right w:val="single" w:color="auto" w:sz="4" w:space="0"/>
            </w:tcBorders>
            <w:shd w:val="clear" w:color="auto" w:fill="auto"/>
            <w:vAlign w:val="center"/>
          </w:tcPr>
          <w:p w14:paraId="3AEDC806">
            <w:pPr>
              <w:spacing w:line="500" w:lineRule="exact"/>
              <w:rPr>
                <w:rFonts w:ascii="宋体" w:hAnsi="宋体" w:cs="宋体"/>
                <w:color w:val="auto"/>
                <w:szCs w:val="21"/>
              </w:rPr>
            </w:pPr>
            <w:r>
              <w:rPr>
                <w:rFonts w:hint="eastAsia" w:ascii="宋体" w:hAnsi="宋体" w:cs="宋体"/>
                <w:color w:val="auto"/>
                <w:szCs w:val="21"/>
              </w:rPr>
              <w:t>2只</w:t>
            </w:r>
          </w:p>
        </w:tc>
        <w:tc>
          <w:tcPr>
            <w:tcW w:w="1245" w:type="dxa"/>
            <w:vAlign w:val="center"/>
          </w:tcPr>
          <w:p w14:paraId="0DB70CBB">
            <w:pPr>
              <w:spacing w:line="500" w:lineRule="exact"/>
              <w:rPr>
                <w:rFonts w:ascii="宋体" w:hAnsi="宋体" w:cs="宋体"/>
                <w:color w:val="auto"/>
                <w:szCs w:val="21"/>
              </w:rPr>
            </w:pPr>
            <w:r>
              <w:rPr>
                <w:rFonts w:hint="eastAsia" w:ascii="宋体" w:hAnsi="宋体" w:cs="宋体"/>
                <w:color w:val="auto"/>
                <w:szCs w:val="21"/>
              </w:rPr>
              <w:t>PE</w:t>
            </w:r>
          </w:p>
        </w:tc>
        <w:tc>
          <w:tcPr>
            <w:tcW w:w="4005" w:type="dxa"/>
            <w:vAlign w:val="center"/>
          </w:tcPr>
          <w:p w14:paraId="4B4FB57E">
            <w:pPr>
              <w:spacing w:line="500" w:lineRule="exact"/>
              <w:rPr>
                <w:rFonts w:ascii="宋体" w:hAnsi="宋体" w:cs="宋体"/>
                <w:color w:val="auto"/>
                <w:szCs w:val="21"/>
              </w:rPr>
            </w:pPr>
            <w:r>
              <w:rPr>
                <w:rFonts w:hint="eastAsia" w:ascii="宋体" w:hAnsi="宋体" w:cs="宋体"/>
                <w:color w:val="auto"/>
                <w:szCs w:val="21"/>
              </w:rPr>
              <w:t>配套液位管，一体成型法兰</w:t>
            </w:r>
          </w:p>
        </w:tc>
      </w:tr>
      <w:tr w14:paraId="12BC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049A7733">
            <w:pPr>
              <w:spacing w:line="500" w:lineRule="exact"/>
              <w:rPr>
                <w:rFonts w:ascii="宋体" w:hAnsi="宋体" w:cs="宋体"/>
                <w:color w:val="auto"/>
                <w:szCs w:val="21"/>
              </w:rPr>
            </w:pPr>
            <w:r>
              <w:rPr>
                <w:rFonts w:hint="eastAsia" w:ascii="宋体" w:hAnsi="宋体" w:cs="宋体"/>
                <w:color w:val="auto"/>
                <w:szCs w:val="21"/>
              </w:rPr>
              <w:t>3</w:t>
            </w:r>
          </w:p>
        </w:tc>
        <w:tc>
          <w:tcPr>
            <w:tcW w:w="1650" w:type="dxa"/>
            <w:tcBorders>
              <w:top w:val="nil"/>
              <w:left w:val="single" w:color="auto" w:sz="4" w:space="0"/>
              <w:bottom w:val="single" w:color="auto" w:sz="4" w:space="0"/>
              <w:right w:val="single" w:color="auto" w:sz="4" w:space="0"/>
            </w:tcBorders>
            <w:shd w:val="clear" w:color="auto" w:fill="auto"/>
            <w:vAlign w:val="center"/>
          </w:tcPr>
          <w:p w14:paraId="5EF752DC">
            <w:pPr>
              <w:spacing w:line="500" w:lineRule="exact"/>
              <w:rPr>
                <w:rFonts w:ascii="宋体" w:hAnsi="宋体" w:cs="宋体"/>
                <w:color w:val="auto"/>
                <w:szCs w:val="21"/>
              </w:rPr>
            </w:pPr>
            <w:r>
              <w:rPr>
                <w:rFonts w:hint="eastAsia" w:ascii="宋体" w:hAnsi="宋体" w:cs="宋体"/>
                <w:color w:val="auto"/>
                <w:szCs w:val="21"/>
              </w:rPr>
              <w:t>搅拌器</w:t>
            </w:r>
          </w:p>
        </w:tc>
        <w:tc>
          <w:tcPr>
            <w:tcW w:w="2085" w:type="dxa"/>
            <w:tcBorders>
              <w:top w:val="nil"/>
              <w:left w:val="single" w:color="auto" w:sz="4" w:space="0"/>
              <w:bottom w:val="single" w:color="auto" w:sz="4" w:space="0"/>
              <w:right w:val="single" w:color="auto" w:sz="4" w:space="0"/>
            </w:tcBorders>
            <w:shd w:val="clear" w:color="auto" w:fill="auto"/>
            <w:vAlign w:val="center"/>
          </w:tcPr>
          <w:p w14:paraId="39E42A63">
            <w:pPr>
              <w:spacing w:line="500" w:lineRule="exact"/>
              <w:rPr>
                <w:rFonts w:ascii="宋体" w:hAnsi="宋体" w:cs="宋体"/>
                <w:color w:val="auto"/>
                <w:szCs w:val="21"/>
              </w:rPr>
            </w:pPr>
            <w:r>
              <w:rPr>
                <w:rFonts w:hint="eastAsia" w:ascii="宋体" w:hAnsi="宋体" w:cs="宋体"/>
                <w:color w:val="auto"/>
                <w:szCs w:val="21"/>
              </w:rPr>
              <w:t>P=2.2KW</w:t>
            </w:r>
          </w:p>
        </w:tc>
        <w:tc>
          <w:tcPr>
            <w:tcW w:w="720" w:type="dxa"/>
            <w:tcBorders>
              <w:top w:val="nil"/>
              <w:left w:val="single" w:color="auto" w:sz="4" w:space="0"/>
              <w:bottom w:val="single" w:color="auto" w:sz="4" w:space="0"/>
              <w:right w:val="single" w:color="auto" w:sz="4" w:space="0"/>
            </w:tcBorders>
            <w:shd w:val="clear" w:color="auto" w:fill="auto"/>
            <w:vAlign w:val="center"/>
          </w:tcPr>
          <w:p w14:paraId="0296AA65">
            <w:pPr>
              <w:spacing w:line="500" w:lineRule="exact"/>
              <w:rPr>
                <w:rFonts w:ascii="宋体" w:hAnsi="宋体" w:cs="宋体"/>
                <w:color w:val="auto"/>
                <w:szCs w:val="21"/>
              </w:rPr>
            </w:pPr>
            <w:r>
              <w:rPr>
                <w:rFonts w:hint="eastAsia" w:ascii="宋体" w:hAnsi="宋体" w:cs="宋体"/>
                <w:color w:val="auto"/>
                <w:szCs w:val="21"/>
              </w:rPr>
              <w:t>2台</w:t>
            </w:r>
          </w:p>
        </w:tc>
        <w:tc>
          <w:tcPr>
            <w:tcW w:w="1245" w:type="dxa"/>
            <w:vAlign w:val="center"/>
          </w:tcPr>
          <w:p w14:paraId="2B90243D">
            <w:pPr>
              <w:spacing w:line="500" w:lineRule="exact"/>
              <w:rPr>
                <w:rFonts w:ascii="宋体" w:hAnsi="宋体" w:cs="宋体"/>
                <w:color w:val="auto"/>
                <w:szCs w:val="21"/>
              </w:rPr>
            </w:pPr>
            <w:r>
              <w:rPr>
                <w:rFonts w:hint="eastAsia" w:ascii="宋体" w:hAnsi="宋体" w:cs="宋体"/>
                <w:color w:val="auto"/>
                <w:szCs w:val="21"/>
              </w:rPr>
              <w:t>钢衬塑</w:t>
            </w:r>
          </w:p>
        </w:tc>
        <w:tc>
          <w:tcPr>
            <w:tcW w:w="4005" w:type="dxa"/>
            <w:vAlign w:val="center"/>
          </w:tcPr>
          <w:p w14:paraId="6CE77E35">
            <w:pPr>
              <w:spacing w:line="500" w:lineRule="exact"/>
              <w:rPr>
                <w:rFonts w:ascii="宋体" w:hAnsi="宋体" w:cs="宋体"/>
                <w:color w:val="auto"/>
                <w:szCs w:val="21"/>
              </w:rPr>
            </w:pPr>
            <w:r>
              <w:rPr>
                <w:rFonts w:hint="eastAsia" w:ascii="宋体" w:hAnsi="宋体" w:cs="宋体"/>
                <w:color w:val="auto"/>
                <w:szCs w:val="21"/>
              </w:rPr>
              <w:t>桨叶采用钢衬塑防腐处理，附带安装支架</w:t>
            </w:r>
          </w:p>
        </w:tc>
      </w:tr>
      <w:tr w14:paraId="489B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30994A6C">
            <w:pPr>
              <w:spacing w:line="500" w:lineRule="exact"/>
              <w:rPr>
                <w:rFonts w:ascii="宋体" w:hAnsi="宋体" w:cs="宋体"/>
                <w:color w:val="auto"/>
                <w:szCs w:val="21"/>
              </w:rPr>
            </w:pPr>
            <w:r>
              <w:rPr>
                <w:rFonts w:hint="eastAsia" w:ascii="宋体" w:hAnsi="宋体" w:cs="宋体"/>
                <w:color w:val="auto"/>
                <w:szCs w:val="21"/>
              </w:rPr>
              <w:t>4</w:t>
            </w:r>
          </w:p>
        </w:tc>
        <w:tc>
          <w:tcPr>
            <w:tcW w:w="1650" w:type="dxa"/>
            <w:tcBorders>
              <w:top w:val="nil"/>
              <w:left w:val="single" w:color="auto" w:sz="4" w:space="0"/>
              <w:bottom w:val="single" w:color="auto" w:sz="4" w:space="0"/>
              <w:right w:val="single" w:color="auto" w:sz="4" w:space="0"/>
            </w:tcBorders>
            <w:shd w:val="clear" w:color="auto" w:fill="auto"/>
            <w:vAlign w:val="center"/>
          </w:tcPr>
          <w:p w14:paraId="7679BFC4">
            <w:pPr>
              <w:spacing w:line="500" w:lineRule="exact"/>
              <w:rPr>
                <w:rFonts w:ascii="宋体" w:hAnsi="宋体" w:cs="宋体"/>
                <w:color w:val="auto"/>
                <w:szCs w:val="21"/>
              </w:rPr>
            </w:pPr>
            <w:r>
              <w:rPr>
                <w:rFonts w:hint="eastAsia" w:ascii="宋体" w:hAnsi="宋体" w:cs="宋体"/>
                <w:color w:val="auto"/>
                <w:szCs w:val="21"/>
              </w:rPr>
              <w:t>液位计</w:t>
            </w:r>
          </w:p>
        </w:tc>
        <w:tc>
          <w:tcPr>
            <w:tcW w:w="2085" w:type="dxa"/>
            <w:tcBorders>
              <w:top w:val="nil"/>
              <w:left w:val="single" w:color="auto" w:sz="4" w:space="0"/>
              <w:bottom w:val="single" w:color="auto" w:sz="4" w:space="0"/>
              <w:right w:val="single" w:color="auto" w:sz="4" w:space="0"/>
            </w:tcBorders>
            <w:shd w:val="clear" w:color="auto" w:fill="auto"/>
            <w:vAlign w:val="center"/>
          </w:tcPr>
          <w:p w14:paraId="7DA19859">
            <w:pPr>
              <w:spacing w:line="500" w:lineRule="exact"/>
              <w:rPr>
                <w:rFonts w:ascii="宋体" w:hAnsi="宋体" w:cs="宋体"/>
                <w:color w:val="auto"/>
                <w:szCs w:val="21"/>
              </w:rPr>
            </w:pPr>
            <w:r>
              <w:rPr>
                <w:rFonts w:hint="eastAsia" w:ascii="宋体" w:hAnsi="宋体" w:cs="宋体"/>
                <w:color w:val="auto"/>
                <w:szCs w:val="21"/>
              </w:rPr>
              <w:t>0-5m,4-20mA</w:t>
            </w:r>
          </w:p>
        </w:tc>
        <w:tc>
          <w:tcPr>
            <w:tcW w:w="720" w:type="dxa"/>
            <w:tcBorders>
              <w:top w:val="nil"/>
              <w:left w:val="single" w:color="auto" w:sz="4" w:space="0"/>
              <w:bottom w:val="single" w:color="auto" w:sz="4" w:space="0"/>
              <w:right w:val="single" w:color="auto" w:sz="4" w:space="0"/>
            </w:tcBorders>
            <w:shd w:val="clear" w:color="auto" w:fill="auto"/>
            <w:vAlign w:val="center"/>
          </w:tcPr>
          <w:p w14:paraId="1F601415">
            <w:pPr>
              <w:spacing w:line="500" w:lineRule="exact"/>
              <w:rPr>
                <w:rFonts w:ascii="宋体" w:hAnsi="宋体" w:cs="宋体"/>
                <w:color w:val="auto"/>
                <w:szCs w:val="21"/>
              </w:rPr>
            </w:pPr>
            <w:r>
              <w:rPr>
                <w:rFonts w:hint="eastAsia" w:ascii="宋体" w:hAnsi="宋体" w:cs="宋体"/>
                <w:color w:val="auto"/>
                <w:szCs w:val="21"/>
              </w:rPr>
              <w:t>2只</w:t>
            </w:r>
          </w:p>
        </w:tc>
        <w:tc>
          <w:tcPr>
            <w:tcW w:w="1245" w:type="dxa"/>
            <w:vAlign w:val="center"/>
          </w:tcPr>
          <w:p w14:paraId="497C80F5">
            <w:pPr>
              <w:spacing w:line="500" w:lineRule="exact"/>
              <w:ind w:left="420" w:leftChars="200" w:firstLine="420"/>
              <w:jc w:val="center"/>
              <w:rPr>
                <w:rFonts w:ascii="宋体" w:hAnsi="宋体" w:cs="宋体"/>
                <w:color w:val="auto"/>
                <w:szCs w:val="21"/>
              </w:rPr>
            </w:pPr>
          </w:p>
        </w:tc>
        <w:tc>
          <w:tcPr>
            <w:tcW w:w="4005" w:type="dxa"/>
            <w:vAlign w:val="center"/>
          </w:tcPr>
          <w:p w14:paraId="4FEB6E6C">
            <w:pPr>
              <w:spacing w:line="500" w:lineRule="exact"/>
              <w:rPr>
                <w:rFonts w:ascii="宋体" w:hAnsi="宋体" w:cs="宋体"/>
                <w:color w:val="auto"/>
                <w:szCs w:val="21"/>
              </w:rPr>
            </w:pPr>
            <w:r>
              <w:rPr>
                <w:rFonts w:hint="eastAsia" w:ascii="宋体" w:hAnsi="宋体" w:cs="宋体"/>
                <w:color w:val="auto"/>
                <w:szCs w:val="21"/>
              </w:rPr>
              <w:t>E+H、西门子、科隆等或同档次及以上品牌，</w:t>
            </w:r>
          </w:p>
        </w:tc>
      </w:tr>
      <w:tr w14:paraId="465D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2C235F2C">
            <w:pPr>
              <w:spacing w:line="500" w:lineRule="exact"/>
              <w:rPr>
                <w:rFonts w:ascii="宋体" w:hAnsi="宋体" w:cs="宋体"/>
                <w:color w:val="auto"/>
                <w:szCs w:val="21"/>
              </w:rPr>
            </w:pPr>
            <w:r>
              <w:rPr>
                <w:rFonts w:hint="eastAsia" w:ascii="宋体" w:hAnsi="宋体" w:cs="宋体"/>
                <w:color w:val="auto"/>
                <w:szCs w:val="21"/>
              </w:rPr>
              <w:t>5</w:t>
            </w:r>
          </w:p>
        </w:tc>
        <w:tc>
          <w:tcPr>
            <w:tcW w:w="1650" w:type="dxa"/>
            <w:tcBorders>
              <w:top w:val="nil"/>
              <w:left w:val="single" w:color="auto" w:sz="4" w:space="0"/>
              <w:bottom w:val="single" w:color="auto" w:sz="4" w:space="0"/>
              <w:right w:val="single" w:color="auto" w:sz="4" w:space="0"/>
            </w:tcBorders>
            <w:shd w:val="clear" w:color="auto" w:fill="auto"/>
            <w:vAlign w:val="center"/>
          </w:tcPr>
          <w:p w14:paraId="5B540B30">
            <w:pPr>
              <w:spacing w:line="500" w:lineRule="exact"/>
              <w:rPr>
                <w:rFonts w:ascii="宋体" w:hAnsi="宋体" w:cs="宋体"/>
                <w:color w:val="auto"/>
                <w:szCs w:val="21"/>
              </w:rPr>
            </w:pPr>
            <w:r>
              <w:rPr>
                <w:rFonts w:hint="eastAsia" w:ascii="宋体" w:hAnsi="宋体" w:cs="宋体"/>
                <w:color w:val="auto"/>
                <w:szCs w:val="21"/>
              </w:rPr>
              <w:t>电动球阀</w:t>
            </w:r>
          </w:p>
        </w:tc>
        <w:tc>
          <w:tcPr>
            <w:tcW w:w="2085" w:type="dxa"/>
            <w:tcBorders>
              <w:top w:val="nil"/>
              <w:left w:val="single" w:color="auto" w:sz="4" w:space="0"/>
              <w:bottom w:val="single" w:color="auto" w:sz="4" w:space="0"/>
              <w:right w:val="single" w:color="auto" w:sz="4" w:space="0"/>
            </w:tcBorders>
            <w:shd w:val="clear" w:color="auto" w:fill="auto"/>
            <w:vAlign w:val="center"/>
          </w:tcPr>
          <w:p w14:paraId="60B51217">
            <w:pPr>
              <w:spacing w:line="500" w:lineRule="exact"/>
              <w:rPr>
                <w:rFonts w:ascii="宋体" w:hAnsi="宋体" w:cs="宋体"/>
                <w:color w:val="auto"/>
                <w:szCs w:val="21"/>
              </w:rPr>
            </w:pPr>
            <w:r>
              <w:rPr>
                <w:rFonts w:hint="eastAsia" w:ascii="宋体" w:hAnsi="宋体" w:cs="宋体"/>
                <w:color w:val="auto"/>
                <w:szCs w:val="21"/>
              </w:rPr>
              <w:t>DN50</w:t>
            </w:r>
          </w:p>
        </w:tc>
        <w:tc>
          <w:tcPr>
            <w:tcW w:w="720" w:type="dxa"/>
            <w:tcBorders>
              <w:top w:val="nil"/>
              <w:left w:val="single" w:color="auto" w:sz="4" w:space="0"/>
              <w:bottom w:val="single" w:color="auto" w:sz="4" w:space="0"/>
              <w:right w:val="single" w:color="auto" w:sz="4" w:space="0"/>
            </w:tcBorders>
            <w:shd w:val="clear" w:color="auto" w:fill="auto"/>
            <w:vAlign w:val="center"/>
          </w:tcPr>
          <w:p w14:paraId="535219A7">
            <w:pPr>
              <w:spacing w:line="500" w:lineRule="exact"/>
              <w:rPr>
                <w:rFonts w:ascii="宋体" w:hAnsi="宋体" w:cs="宋体"/>
                <w:color w:val="auto"/>
                <w:szCs w:val="21"/>
              </w:rPr>
            </w:pPr>
            <w:r>
              <w:rPr>
                <w:rFonts w:hint="eastAsia" w:ascii="宋体" w:hAnsi="宋体" w:cs="宋体"/>
                <w:color w:val="auto"/>
                <w:szCs w:val="21"/>
              </w:rPr>
              <w:t>5只</w:t>
            </w:r>
          </w:p>
        </w:tc>
        <w:tc>
          <w:tcPr>
            <w:tcW w:w="1245" w:type="dxa"/>
            <w:vAlign w:val="center"/>
          </w:tcPr>
          <w:p w14:paraId="3A43E132">
            <w:pPr>
              <w:spacing w:line="500" w:lineRule="exact"/>
              <w:rPr>
                <w:rFonts w:ascii="宋体" w:hAnsi="宋体" w:cs="宋体"/>
                <w:color w:val="auto"/>
                <w:szCs w:val="21"/>
              </w:rPr>
            </w:pPr>
            <w:r>
              <w:rPr>
                <w:rFonts w:hint="eastAsia" w:ascii="宋体" w:hAnsi="宋体" w:cs="宋体"/>
                <w:color w:val="auto"/>
                <w:szCs w:val="21"/>
              </w:rPr>
              <w:t>UPVC</w:t>
            </w:r>
          </w:p>
        </w:tc>
        <w:tc>
          <w:tcPr>
            <w:tcW w:w="4005" w:type="dxa"/>
            <w:vAlign w:val="center"/>
          </w:tcPr>
          <w:p w14:paraId="0FA3903A">
            <w:pPr>
              <w:spacing w:line="500" w:lineRule="exact"/>
              <w:ind w:left="420" w:leftChars="200"/>
              <w:rPr>
                <w:rFonts w:ascii="宋体" w:hAnsi="宋体" w:cs="宋体"/>
                <w:color w:val="auto"/>
                <w:szCs w:val="21"/>
              </w:rPr>
            </w:pPr>
          </w:p>
        </w:tc>
      </w:tr>
      <w:tr w14:paraId="21F9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131FC91E">
            <w:pPr>
              <w:spacing w:line="500" w:lineRule="exact"/>
              <w:rPr>
                <w:rFonts w:ascii="宋体" w:hAnsi="宋体" w:cs="宋体"/>
                <w:color w:val="auto"/>
                <w:szCs w:val="21"/>
              </w:rPr>
            </w:pPr>
            <w:r>
              <w:rPr>
                <w:rFonts w:hint="eastAsia" w:ascii="宋体" w:hAnsi="宋体" w:cs="宋体"/>
                <w:color w:val="auto"/>
                <w:szCs w:val="21"/>
              </w:rPr>
              <w:t>6</w:t>
            </w:r>
          </w:p>
        </w:tc>
        <w:tc>
          <w:tcPr>
            <w:tcW w:w="1650" w:type="dxa"/>
            <w:tcBorders>
              <w:top w:val="nil"/>
              <w:left w:val="single" w:color="auto" w:sz="4" w:space="0"/>
              <w:bottom w:val="single" w:color="auto" w:sz="4" w:space="0"/>
              <w:right w:val="single" w:color="auto" w:sz="4" w:space="0"/>
            </w:tcBorders>
            <w:shd w:val="clear" w:color="auto" w:fill="auto"/>
            <w:vAlign w:val="center"/>
          </w:tcPr>
          <w:p w14:paraId="6EEACB4D">
            <w:pPr>
              <w:spacing w:line="500" w:lineRule="exact"/>
              <w:rPr>
                <w:rFonts w:ascii="宋体" w:hAnsi="宋体" w:cs="宋体"/>
                <w:color w:val="auto"/>
                <w:szCs w:val="21"/>
              </w:rPr>
            </w:pPr>
            <w:r>
              <w:rPr>
                <w:rFonts w:hint="eastAsia" w:ascii="宋体" w:hAnsi="宋体" w:cs="宋体"/>
                <w:color w:val="auto"/>
                <w:szCs w:val="21"/>
              </w:rPr>
              <w:t>投料站</w:t>
            </w:r>
          </w:p>
        </w:tc>
        <w:tc>
          <w:tcPr>
            <w:tcW w:w="2085" w:type="dxa"/>
            <w:tcBorders>
              <w:top w:val="nil"/>
              <w:left w:val="single" w:color="auto" w:sz="4" w:space="0"/>
              <w:bottom w:val="single" w:color="auto" w:sz="4" w:space="0"/>
              <w:right w:val="single" w:color="auto" w:sz="4" w:space="0"/>
            </w:tcBorders>
            <w:shd w:val="clear" w:color="auto" w:fill="auto"/>
            <w:vAlign w:val="center"/>
          </w:tcPr>
          <w:p w14:paraId="1E4D45BE">
            <w:pPr>
              <w:spacing w:line="500" w:lineRule="exact"/>
              <w:rPr>
                <w:rFonts w:ascii="宋体" w:hAnsi="宋体" w:cs="宋体"/>
                <w:color w:val="auto"/>
                <w:szCs w:val="21"/>
              </w:rPr>
            </w:pPr>
            <w:r>
              <w:rPr>
                <w:rFonts w:hint="eastAsia" w:ascii="宋体" w:hAnsi="宋体" w:cs="宋体"/>
                <w:color w:val="auto"/>
                <w:szCs w:val="21"/>
              </w:rPr>
              <w:t>500型</w:t>
            </w:r>
          </w:p>
        </w:tc>
        <w:tc>
          <w:tcPr>
            <w:tcW w:w="720" w:type="dxa"/>
            <w:tcBorders>
              <w:top w:val="nil"/>
              <w:left w:val="single" w:color="auto" w:sz="4" w:space="0"/>
              <w:bottom w:val="single" w:color="auto" w:sz="4" w:space="0"/>
              <w:right w:val="single" w:color="auto" w:sz="4" w:space="0"/>
            </w:tcBorders>
            <w:shd w:val="clear" w:color="auto" w:fill="auto"/>
            <w:vAlign w:val="center"/>
          </w:tcPr>
          <w:p w14:paraId="30B3711E">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695F0754">
            <w:pPr>
              <w:spacing w:line="500" w:lineRule="exact"/>
              <w:rPr>
                <w:rFonts w:ascii="宋体" w:hAnsi="宋体" w:cs="宋体"/>
                <w:color w:val="auto"/>
                <w:szCs w:val="21"/>
              </w:rPr>
            </w:pPr>
            <w:r>
              <w:rPr>
                <w:rFonts w:hint="eastAsia" w:ascii="宋体" w:hAnsi="宋体" w:cs="宋体"/>
                <w:color w:val="auto"/>
                <w:szCs w:val="21"/>
              </w:rPr>
              <w:t>316材质</w:t>
            </w:r>
          </w:p>
        </w:tc>
        <w:tc>
          <w:tcPr>
            <w:tcW w:w="4005" w:type="dxa"/>
            <w:vAlign w:val="center"/>
          </w:tcPr>
          <w:p w14:paraId="7CA956FF">
            <w:pPr>
              <w:spacing w:line="500" w:lineRule="exact"/>
              <w:rPr>
                <w:rFonts w:ascii="宋体" w:hAnsi="宋体" w:cs="宋体"/>
                <w:color w:val="auto"/>
                <w:szCs w:val="21"/>
              </w:rPr>
            </w:pPr>
            <w:r>
              <w:rPr>
                <w:rFonts w:hint="eastAsia" w:ascii="宋体" w:hAnsi="宋体" w:cs="宋体"/>
                <w:color w:val="auto"/>
                <w:szCs w:val="21"/>
              </w:rPr>
              <w:t>包括射流器，不锈钢下料阀</w:t>
            </w:r>
          </w:p>
        </w:tc>
      </w:tr>
      <w:tr w14:paraId="3DC2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2C60F79F">
            <w:pPr>
              <w:spacing w:line="500" w:lineRule="exact"/>
              <w:rPr>
                <w:rFonts w:ascii="宋体" w:hAnsi="宋体" w:cs="宋体"/>
                <w:color w:val="auto"/>
                <w:szCs w:val="21"/>
              </w:rPr>
            </w:pPr>
            <w:r>
              <w:rPr>
                <w:rFonts w:hint="eastAsia" w:ascii="宋体" w:hAnsi="宋体" w:cs="宋体"/>
                <w:color w:val="auto"/>
                <w:szCs w:val="21"/>
              </w:rPr>
              <w:t>7</w:t>
            </w:r>
          </w:p>
        </w:tc>
        <w:tc>
          <w:tcPr>
            <w:tcW w:w="1650" w:type="dxa"/>
            <w:tcBorders>
              <w:top w:val="nil"/>
              <w:left w:val="single" w:color="auto" w:sz="4" w:space="0"/>
              <w:bottom w:val="single" w:color="auto" w:sz="4" w:space="0"/>
              <w:right w:val="single" w:color="auto" w:sz="4" w:space="0"/>
            </w:tcBorders>
            <w:shd w:val="clear" w:color="auto" w:fill="auto"/>
            <w:vAlign w:val="center"/>
          </w:tcPr>
          <w:p w14:paraId="78000728">
            <w:pPr>
              <w:spacing w:line="500" w:lineRule="exact"/>
              <w:rPr>
                <w:rFonts w:ascii="宋体" w:hAnsi="宋体" w:cs="宋体"/>
                <w:color w:val="auto"/>
                <w:szCs w:val="21"/>
              </w:rPr>
            </w:pPr>
            <w:r>
              <w:rPr>
                <w:rFonts w:hint="eastAsia" w:ascii="宋体" w:hAnsi="宋体" w:cs="宋体"/>
                <w:color w:val="auto"/>
                <w:szCs w:val="21"/>
              </w:rPr>
              <w:t>电磁阀</w:t>
            </w:r>
          </w:p>
        </w:tc>
        <w:tc>
          <w:tcPr>
            <w:tcW w:w="2085" w:type="dxa"/>
            <w:tcBorders>
              <w:top w:val="nil"/>
              <w:left w:val="single" w:color="auto" w:sz="4" w:space="0"/>
              <w:bottom w:val="single" w:color="auto" w:sz="4" w:space="0"/>
              <w:right w:val="single" w:color="auto" w:sz="4" w:space="0"/>
            </w:tcBorders>
            <w:shd w:val="clear" w:color="auto" w:fill="auto"/>
            <w:vAlign w:val="center"/>
          </w:tcPr>
          <w:p w14:paraId="509D2383">
            <w:pPr>
              <w:spacing w:line="500" w:lineRule="exact"/>
              <w:rPr>
                <w:rFonts w:ascii="宋体" w:hAnsi="宋体" w:cs="宋体"/>
                <w:color w:val="auto"/>
                <w:szCs w:val="21"/>
              </w:rPr>
            </w:pPr>
            <w:r>
              <w:rPr>
                <w:rFonts w:hint="eastAsia" w:ascii="宋体" w:hAnsi="宋体" w:cs="宋体"/>
                <w:color w:val="auto"/>
                <w:szCs w:val="21"/>
              </w:rPr>
              <w:t>DN25</w:t>
            </w:r>
          </w:p>
        </w:tc>
        <w:tc>
          <w:tcPr>
            <w:tcW w:w="720" w:type="dxa"/>
            <w:tcBorders>
              <w:top w:val="nil"/>
              <w:left w:val="single" w:color="auto" w:sz="4" w:space="0"/>
              <w:bottom w:val="single" w:color="auto" w:sz="4" w:space="0"/>
              <w:right w:val="single" w:color="auto" w:sz="4" w:space="0"/>
            </w:tcBorders>
            <w:shd w:val="clear" w:color="auto" w:fill="auto"/>
            <w:vAlign w:val="center"/>
          </w:tcPr>
          <w:p w14:paraId="67B336F2">
            <w:pPr>
              <w:spacing w:line="500" w:lineRule="exact"/>
              <w:rPr>
                <w:rFonts w:ascii="宋体" w:hAnsi="宋体" w:cs="宋体"/>
                <w:color w:val="auto"/>
                <w:szCs w:val="21"/>
              </w:rPr>
            </w:pPr>
            <w:r>
              <w:rPr>
                <w:rFonts w:hint="eastAsia" w:ascii="宋体" w:hAnsi="宋体" w:cs="宋体"/>
                <w:color w:val="auto"/>
                <w:szCs w:val="21"/>
              </w:rPr>
              <w:t>1只</w:t>
            </w:r>
          </w:p>
        </w:tc>
        <w:tc>
          <w:tcPr>
            <w:tcW w:w="1245" w:type="dxa"/>
            <w:vAlign w:val="center"/>
          </w:tcPr>
          <w:p w14:paraId="0CD2F012">
            <w:pPr>
              <w:spacing w:line="500" w:lineRule="exact"/>
              <w:ind w:left="420" w:leftChars="200" w:firstLine="420"/>
              <w:jc w:val="left"/>
              <w:rPr>
                <w:rFonts w:ascii="宋体" w:hAnsi="宋体" w:cs="宋体"/>
                <w:color w:val="auto"/>
                <w:szCs w:val="21"/>
              </w:rPr>
            </w:pPr>
          </w:p>
        </w:tc>
        <w:tc>
          <w:tcPr>
            <w:tcW w:w="4005" w:type="dxa"/>
            <w:vAlign w:val="center"/>
          </w:tcPr>
          <w:p w14:paraId="4F4121D5">
            <w:pPr>
              <w:spacing w:line="500" w:lineRule="exact"/>
              <w:ind w:left="420" w:leftChars="200"/>
              <w:jc w:val="left"/>
              <w:rPr>
                <w:rFonts w:ascii="宋体" w:hAnsi="宋体" w:cs="宋体"/>
                <w:color w:val="auto"/>
                <w:szCs w:val="21"/>
              </w:rPr>
            </w:pPr>
          </w:p>
        </w:tc>
      </w:tr>
      <w:tr w14:paraId="2DF8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2F31A330">
            <w:pPr>
              <w:spacing w:line="500" w:lineRule="exact"/>
              <w:rPr>
                <w:rFonts w:ascii="宋体" w:hAnsi="宋体" w:cs="宋体"/>
                <w:color w:val="auto"/>
                <w:szCs w:val="21"/>
              </w:rPr>
            </w:pPr>
            <w:r>
              <w:rPr>
                <w:rFonts w:hint="eastAsia" w:ascii="宋体" w:hAnsi="宋体" w:cs="宋体"/>
                <w:color w:val="auto"/>
                <w:szCs w:val="21"/>
              </w:rPr>
              <w:t>8</w:t>
            </w:r>
          </w:p>
        </w:tc>
        <w:tc>
          <w:tcPr>
            <w:tcW w:w="1650" w:type="dxa"/>
            <w:tcBorders>
              <w:top w:val="nil"/>
              <w:left w:val="single" w:color="auto" w:sz="4" w:space="0"/>
              <w:bottom w:val="single" w:color="auto" w:sz="4" w:space="0"/>
              <w:right w:val="single" w:color="auto" w:sz="4" w:space="0"/>
            </w:tcBorders>
            <w:shd w:val="clear" w:color="auto" w:fill="auto"/>
            <w:vAlign w:val="center"/>
          </w:tcPr>
          <w:p w14:paraId="2B1442E8">
            <w:pPr>
              <w:spacing w:line="500" w:lineRule="exact"/>
              <w:rPr>
                <w:rFonts w:ascii="宋体" w:hAnsi="宋体" w:cs="宋体"/>
                <w:color w:val="auto"/>
                <w:szCs w:val="21"/>
              </w:rPr>
            </w:pPr>
            <w:r>
              <w:rPr>
                <w:rFonts w:hint="eastAsia" w:ascii="宋体" w:hAnsi="宋体" w:cs="宋体"/>
                <w:color w:val="auto"/>
                <w:szCs w:val="21"/>
              </w:rPr>
              <w:t>Y型过滤器</w:t>
            </w:r>
          </w:p>
        </w:tc>
        <w:tc>
          <w:tcPr>
            <w:tcW w:w="2085" w:type="dxa"/>
            <w:tcBorders>
              <w:top w:val="nil"/>
              <w:left w:val="single" w:color="auto" w:sz="4" w:space="0"/>
              <w:bottom w:val="single" w:color="auto" w:sz="4" w:space="0"/>
              <w:right w:val="single" w:color="auto" w:sz="4" w:space="0"/>
            </w:tcBorders>
            <w:shd w:val="clear" w:color="auto" w:fill="auto"/>
            <w:vAlign w:val="center"/>
          </w:tcPr>
          <w:p w14:paraId="2360297C">
            <w:pPr>
              <w:spacing w:line="500" w:lineRule="exact"/>
              <w:rPr>
                <w:rFonts w:ascii="宋体" w:hAnsi="宋体" w:cs="宋体"/>
                <w:color w:val="auto"/>
                <w:szCs w:val="21"/>
              </w:rPr>
            </w:pPr>
            <w:r>
              <w:rPr>
                <w:rFonts w:hint="eastAsia" w:ascii="宋体" w:hAnsi="宋体" w:cs="宋体"/>
                <w:color w:val="auto"/>
                <w:szCs w:val="21"/>
              </w:rPr>
              <w:t>DN32</w:t>
            </w:r>
          </w:p>
        </w:tc>
        <w:tc>
          <w:tcPr>
            <w:tcW w:w="720" w:type="dxa"/>
            <w:tcBorders>
              <w:top w:val="nil"/>
              <w:left w:val="single" w:color="auto" w:sz="4" w:space="0"/>
              <w:bottom w:val="single" w:color="auto" w:sz="4" w:space="0"/>
              <w:right w:val="single" w:color="auto" w:sz="4" w:space="0"/>
            </w:tcBorders>
            <w:shd w:val="clear" w:color="auto" w:fill="auto"/>
            <w:vAlign w:val="center"/>
          </w:tcPr>
          <w:p w14:paraId="0EF3F95F">
            <w:pPr>
              <w:spacing w:line="500" w:lineRule="exact"/>
              <w:rPr>
                <w:rFonts w:ascii="宋体" w:hAnsi="宋体" w:cs="宋体"/>
                <w:color w:val="auto"/>
                <w:szCs w:val="21"/>
              </w:rPr>
            </w:pPr>
            <w:r>
              <w:rPr>
                <w:rFonts w:hint="eastAsia" w:ascii="宋体" w:hAnsi="宋体" w:cs="宋体"/>
                <w:color w:val="auto"/>
                <w:szCs w:val="21"/>
              </w:rPr>
              <w:t>2只</w:t>
            </w:r>
          </w:p>
        </w:tc>
        <w:tc>
          <w:tcPr>
            <w:tcW w:w="1245" w:type="dxa"/>
            <w:vAlign w:val="center"/>
          </w:tcPr>
          <w:p w14:paraId="0E8AD7A3">
            <w:pPr>
              <w:spacing w:line="500" w:lineRule="exact"/>
              <w:jc w:val="left"/>
              <w:rPr>
                <w:rFonts w:ascii="宋体" w:hAnsi="宋体" w:cs="宋体"/>
                <w:color w:val="auto"/>
                <w:szCs w:val="21"/>
              </w:rPr>
            </w:pPr>
            <w:r>
              <w:rPr>
                <w:rFonts w:hint="eastAsia" w:ascii="宋体" w:hAnsi="宋体" w:cs="宋体"/>
                <w:color w:val="auto"/>
                <w:szCs w:val="21"/>
              </w:rPr>
              <w:t>UPVC</w:t>
            </w:r>
          </w:p>
        </w:tc>
        <w:tc>
          <w:tcPr>
            <w:tcW w:w="4005" w:type="dxa"/>
            <w:vAlign w:val="center"/>
          </w:tcPr>
          <w:p w14:paraId="14AA809F">
            <w:pPr>
              <w:spacing w:line="500" w:lineRule="exact"/>
              <w:ind w:left="420" w:leftChars="200"/>
              <w:jc w:val="left"/>
              <w:rPr>
                <w:rFonts w:ascii="宋体" w:hAnsi="宋体" w:cs="宋体"/>
                <w:color w:val="auto"/>
                <w:szCs w:val="21"/>
              </w:rPr>
            </w:pPr>
          </w:p>
        </w:tc>
      </w:tr>
      <w:tr w14:paraId="4B78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25D0D1AB">
            <w:pPr>
              <w:spacing w:line="500" w:lineRule="exact"/>
              <w:rPr>
                <w:rFonts w:ascii="宋体" w:hAnsi="宋体" w:cs="宋体"/>
                <w:color w:val="auto"/>
                <w:szCs w:val="21"/>
              </w:rPr>
            </w:pPr>
            <w:r>
              <w:rPr>
                <w:rFonts w:hint="eastAsia" w:ascii="宋体" w:hAnsi="宋体" w:cs="宋体"/>
                <w:color w:val="auto"/>
                <w:szCs w:val="21"/>
              </w:rPr>
              <w:t>9</w:t>
            </w:r>
          </w:p>
        </w:tc>
        <w:tc>
          <w:tcPr>
            <w:tcW w:w="1650" w:type="dxa"/>
            <w:tcBorders>
              <w:top w:val="nil"/>
              <w:left w:val="single" w:color="auto" w:sz="4" w:space="0"/>
              <w:bottom w:val="single" w:color="auto" w:sz="4" w:space="0"/>
              <w:right w:val="single" w:color="auto" w:sz="4" w:space="0"/>
            </w:tcBorders>
            <w:shd w:val="clear" w:color="auto" w:fill="auto"/>
            <w:vAlign w:val="center"/>
          </w:tcPr>
          <w:p w14:paraId="36F02E71">
            <w:pPr>
              <w:spacing w:line="500" w:lineRule="exact"/>
              <w:rPr>
                <w:rFonts w:ascii="宋体" w:hAnsi="宋体" w:cs="宋体"/>
                <w:color w:val="auto"/>
                <w:szCs w:val="21"/>
              </w:rPr>
            </w:pPr>
            <w:r>
              <w:rPr>
                <w:rFonts w:hint="eastAsia" w:ascii="宋体" w:hAnsi="宋体" w:cs="宋体"/>
                <w:color w:val="auto"/>
                <w:szCs w:val="21"/>
              </w:rPr>
              <w:t>标定柱</w:t>
            </w:r>
          </w:p>
        </w:tc>
        <w:tc>
          <w:tcPr>
            <w:tcW w:w="2085" w:type="dxa"/>
            <w:tcBorders>
              <w:top w:val="nil"/>
              <w:left w:val="single" w:color="auto" w:sz="4" w:space="0"/>
              <w:bottom w:val="single" w:color="auto" w:sz="4" w:space="0"/>
              <w:right w:val="single" w:color="auto" w:sz="4" w:space="0"/>
            </w:tcBorders>
            <w:shd w:val="clear" w:color="auto" w:fill="auto"/>
            <w:vAlign w:val="center"/>
          </w:tcPr>
          <w:p w14:paraId="199C5F48">
            <w:pPr>
              <w:spacing w:line="500" w:lineRule="exact"/>
              <w:rPr>
                <w:rFonts w:ascii="宋体" w:hAnsi="宋体" w:cs="宋体"/>
                <w:color w:val="auto"/>
                <w:szCs w:val="21"/>
              </w:rPr>
            </w:pPr>
            <w:r>
              <w:rPr>
                <w:rFonts w:hint="eastAsia" w:ascii="宋体" w:hAnsi="宋体" w:cs="宋体"/>
                <w:color w:val="auto"/>
                <w:szCs w:val="21"/>
              </w:rPr>
              <w:t>1L</w:t>
            </w:r>
          </w:p>
        </w:tc>
        <w:tc>
          <w:tcPr>
            <w:tcW w:w="720" w:type="dxa"/>
            <w:tcBorders>
              <w:top w:val="nil"/>
              <w:left w:val="single" w:color="auto" w:sz="4" w:space="0"/>
              <w:bottom w:val="single" w:color="auto" w:sz="4" w:space="0"/>
              <w:right w:val="single" w:color="auto" w:sz="4" w:space="0"/>
            </w:tcBorders>
            <w:shd w:val="clear" w:color="auto" w:fill="auto"/>
            <w:vAlign w:val="center"/>
          </w:tcPr>
          <w:p w14:paraId="1935B8ED">
            <w:pPr>
              <w:spacing w:line="500" w:lineRule="exact"/>
              <w:rPr>
                <w:rFonts w:ascii="宋体" w:hAnsi="宋体" w:cs="宋体"/>
                <w:color w:val="auto"/>
                <w:szCs w:val="21"/>
              </w:rPr>
            </w:pPr>
            <w:r>
              <w:rPr>
                <w:rFonts w:hint="eastAsia" w:ascii="宋体" w:hAnsi="宋体" w:cs="宋体"/>
                <w:color w:val="auto"/>
                <w:szCs w:val="21"/>
              </w:rPr>
              <w:t>2只</w:t>
            </w:r>
          </w:p>
        </w:tc>
        <w:tc>
          <w:tcPr>
            <w:tcW w:w="1245" w:type="dxa"/>
            <w:vAlign w:val="center"/>
          </w:tcPr>
          <w:p w14:paraId="030E7D7D">
            <w:pPr>
              <w:spacing w:line="500" w:lineRule="exact"/>
              <w:jc w:val="left"/>
              <w:rPr>
                <w:rFonts w:ascii="宋体" w:hAnsi="宋体" w:cs="宋体"/>
                <w:color w:val="auto"/>
                <w:szCs w:val="21"/>
              </w:rPr>
            </w:pPr>
            <w:r>
              <w:rPr>
                <w:rFonts w:hint="eastAsia" w:ascii="宋体" w:hAnsi="宋体" w:cs="宋体"/>
                <w:color w:val="auto"/>
                <w:szCs w:val="21"/>
              </w:rPr>
              <w:t>UPVC</w:t>
            </w:r>
          </w:p>
        </w:tc>
        <w:tc>
          <w:tcPr>
            <w:tcW w:w="4005" w:type="dxa"/>
            <w:vAlign w:val="center"/>
          </w:tcPr>
          <w:p w14:paraId="5E3F630F">
            <w:pPr>
              <w:spacing w:line="500" w:lineRule="exact"/>
              <w:ind w:left="420" w:leftChars="200"/>
              <w:jc w:val="left"/>
              <w:rPr>
                <w:rFonts w:ascii="宋体" w:hAnsi="宋体" w:cs="宋体"/>
                <w:color w:val="auto"/>
                <w:szCs w:val="21"/>
              </w:rPr>
            </w:pPr>
          </w:p>
        </w:tc>
      </w:tr>
      <w:tr w14:paraId="24B6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302C10F9">
            <w:pPr>
              <w:spacing w:line="500" w:lineRule="exact"/>
              <w:rPr>
                <w:rFonts w:ascii="宋体" w:hAnsi="宋体" w:cs="宋体"/>
                <w:color w:val="auto"/>
                <w:szCs w:val="21"/>
              </w:rPr>
            </w:pPr>
            <w:r>
              <w:rPr>
                <w:rFonts w:hint="eastAsia" w:ascii="宋体" w:hAnsi="宋体" w:cs="宋体"/>
                <w:color w:val="auto"/>
                <w:szCs w:val="21"/>
              </w:rPr>
              <w:t>10</w:t>
            </w:r>
          </w:p>
        </w:tc>
        <w:tc>
          <w:tcPr>
            <w:tcW w:w="1650" w:type="dxa"/>
            <w:tcBorders>
              <w:top w:val="nil"/>
              <w:left w:val="single" w:color="auto" w:sz="4" w:space="0"/>
              <w:bottom w:val="single" w:color="auto" w:sz="4" w:space="0"/>
              <w:right w:val="single" w:color="auto" w:sz="4" w:space="0"/>
            </w:tcBorders>
            <w:shd w:val="clear" w:color="auto" w:fill="auto"/>
            <w:vAlign w:val="center"/>
          </w:tcPr>
          <w:p w14:paraId="4A4B173F">
            <w:pPr>
              <w:spacing w:line="500" w:lineRule="exact"/>
              <w:rPr>
                <w:rFonts w:ascii="宋体" w:hAnsi="宋体" w:cs="宋体"/>
                <w:color w:val="auto"/>
                <w:szCs w:val="21"/>
              </w:rPr>
            </w:pPr>
            <w:r>
              <w:rPr>
                <w:rFonts w:hint="eastAsia" w:ascii="宋体" w:hAnsi="宋体" w:cs="宋体"/>
                <w:color w:val="auto"/>
                <w:szCs w:val="21"/>
              </w:rPr>
              <w:t>流量计</w:t>
            </w:r>
          </w:p>
        </w:tc>
        <w:tc>
          <w:tcPr>
            <w:tcW w:w="2085" w:type="dxa"/>
            <w:tcBorders>
              <w:top w:val="nil"/>
              <w:left w:val="single" w:color="auto" w:sz="4" w:space="0"/>
              <w:bottom w:val="single" w:color="auto" w:sz="4" w:space="0"/>
              <w:right w:val="single" w:color="auto" w:sz="4" w:space="0"/>
            </w:tcBorders>
            <w:shd w:val="clear" w:color="auto" w:fill="auto"/>
            <w:vAlign w:val="center"/>
          </w:tcPr>
          <w:p w14:paraId="548922FF">
            <w:pPr>
              <w:spacing w:line="500" w:lineRule="exact"/>
              <w:rPr>
                <w:rFonts w:ascii="宋体" w:hAnsi="宋体" w:cs="宋体"/>
                <w:color w:val="auto"/>
                <w:szCs w:val="21"/>
              </w:rPr>
            </w:pPr>
            <w:r>
              <w:rPr>
                <w:rFonts w:hint="eastAsia" w:ascii="宋体" w:hAnsi="宋体" w:cs="宋体"/>
                <w:color w:val="auto"/>
                <w:szCs w:val="21"/>
              </w:rPr>
              <w:t>DN15</w:t>
            </w:r>
          </w:p>
        </w:tc>
        <w:tc>
          <w:tcPr>
            <w:tcW w:w="720" w:type="dxa"/>
            <w:tcBorders>
              <w:top w:val="nil"/>
              <w:left w:val="single" w:color="auto" w:sz="4" w:space="0"/>
              <w:bottom w:val="single" w:color="auto" w:sz="4" w:space="0"/>
              <w:right w:val="single" w:color="auto" w:sz="4" w:space="0"/>
            </w:tcBorders>
            <w:shd w:val="clear" w:color="auto" w:fill="auto"/>
            <w:vAlign w:val="center"/>
          </w:tcPr>
          <w:p w14:paraId="55FCA6FA">
            <w:pPr>
              <w:spacing w:line="500" w:lineRule="exact"/>
              <w:rPr>
                <w:rFonts w:ascii="宋体" w:hAnsi="宋体" w:cs="宋体"/>
                <w:color w:val="auto"/>
                <w:szCs w:val="21"/>
              </w:rPr>
            </w:pPr>
            <w:r>
              <w:rPr>
                <w:rFonts w:hint="eastAsia" w:ascii="宋体" w:hAnsi="宋体" w:cs="宋体"/>
                <w:color w:val="auto"/>
                <w:szCs w:val="21"/>
              </w:rPr>
              <w:t>1台</w:t>
            </w:r>
          </w:p>
        </w:tc>
        <w:tc>
          <w:tcPr>
            <w:tcW w:w="1245" w:type="dxa"/>
            <w:vAlign w:val="center"/>
          </w:tcPr>
          <w:p w14:paraId="1B02A65C">
            <w:pPr>
              <w:spacing w:line="500" w:lineRule="exact"/>
              <w:jc w:val="left"/>
              <w:rPr>
                <w:rFonts w:ascii="宋体" w:hAnsi="宋体" w:cs="宋体"/>
                <w:color w:val="auto"/>
                <w:szCs w:val="21"/>
              </w:rPr>
            </w:pPr>
            <w:r>
              <w:rPr>
                <w:rFonts w:hint="eastAsia" w:ascii="宋体" w:hAnsi="宋体" w:cs="宋体"/>
                <w:color w:val="auto"/>
                <w:szCs w:val="21"/>
              </w:rPr>
              <w:t>UPVC</w:t>
            </w:r>
          </w:p>
        </w:tc>
        <w:tc>
          <w:tcPr>
            <w:tcW w:w="4005" w:type="dxa"/>
            <w:vAlign w:val="center"/>
          </w:tcPr>
          <w:p w14:paraId="2132D6CC">
            <w:pPr>
              <w:spacing w:line="500" w:lineRule="exact"/>
              <w:jc w:val="left"/>
              <w:rPr>
                <w:rFonts w:ascii="宋体" w:hAnsi="宋体" w:cs="宋体"/>
                <w:color w:val="auto"/>
                <w:szCs w:val="21"/>
              </w:rPr>
            </w:pPr>
            <w:r>
              <w:rPr>
                <w:rFonts w:hint="eastAsia" w:ascii="宋体" w:hAnsi="宋体" w:cs="宋体"/>
                <w:color w:val="auto"/>
                <w:szCs w:val="21"/>
              </w:rPr>
              <w:t>用于投加泵投加管路， E+H、科隆、西门子或同档次及以上品牌。</w:t>
            </w:r>
          </w:p>
        </w:tc>
      </w:tr>
      <w:tr w14:paraId="01C4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4E44BD81">
            <w:pPr>
              <w:spacing w:line="500" w:lineRule="exact"/>
              <w:rPr>
                <w:rFonts w:ascii="宋体" w:hAnsi="宋体" w:cs="宋体"/>
                <w:color w:val="auto"/>
                <w:szCs w:val="21"/>
              </w:rPr>
            </w:pPr>
            <w:bookmarkStart w:id="745" w:name="_Hlk196388868"/>
            <w:r>
              <w:rPr>
                <w:rFonts w:hint="eastAsia" w:ascii="宋体" w:hAnsi="宋体" w:cs="宋体"/>
                <w:color w:val="auto"/>
                <w:szCs w:val="21"/>
              </w:rPr>
              <w:t>11</w:t>
            </w:r>
          </w:p>
        </w:tc>
        <w:tc>
          <w:tcPr>
            <w:tcW w:w="1650" w:type="dxa"/>
            <w:tcBorders>
              <w:top w:val="nil"/>
              <w:left w:val="single" w:color="auto" w:sz="4" w:space="0"/>
              <w:bottom w:val="single" w:color="auto" w:sz="4" w:space="0"/>
              <w:right w:val="single" w:color="auto" w:sz="4" w:space="0"/>
            </w:tcBorders>
            <w:shd w:val="clear" w:color="auto" w:fill="auto"/>
            <w:vAlign w:val="center"/>
          </w:tcPr>
          <w:p w14:paraId="4622CDE4">
            <w:pPr>
              <w:spacing w:line="500" w:lineRule="exact"/>
              <w:rPr>
                <w:rFonts w:ascii="宋体" w:hAnsi="宋体" w:cs="宋体"/>
                <w:color w:val="auto"/>
                <w:szCs w:val="21"/>
              </w:rPr>
            </w:pPr>
            <w:r>
              <w:rPr>
                <w:rFonts w:hint="eastAsia" w:ascii="宋体" w:hAnsi="宋体" w:cs="宋体"/>
                <w:color w:val="auto"/>
                <w:szCs w:val="21"/>
              </w:rPr>
              <w:t>安全阀</w:t>
            </w:r>
          </w:p>
        </w:tc>
        <w:tc>
          <w:tcPr>
            <w:tcW w:w="2085" w:type="dxa"/>
            <w:tcBorders>
              <w:top w:val="nil"/>
              <w:left w:val="single" w:color="auto" w:sz="4" w:space="0"/>
              <w:bottom w:val="single" w:color="auto" w:sz="4" w:space="0"/>
              <w:right w:val="single" w:color="auto" w:sz="4" w:space="0"/>
            </w:tcBorders>
            <w:shd w:val="clear" w:color="auto" w:fill="auto"/>
            <w:vAlign w:val="center"/>
          </w:tcPr>
          <w:p w14:paraId="5E8E6E0C">
            <w:pPr>
              <w:spacing w:line="500" w:lineRule="exact"/>
              <w:rPr>
                <w:rFonts w:ascii="宋体" w:hAnsi="宋体" w:cs="宋体"/>
                <w:color w:val="auto"/>
                <w:szCs w:val="21"/>
              </w:rPr>
            </w:pPr>
            <w:r>
              <w:rPr>
                <w:rFonts w:hint="eastAsia" w:ascii="宋体" w:hAnsi="宋体" w:cs="宋体"/>
                <w:color w:val="auto"/>
                <w:szCs w:val="21"/>
              </w:rPr>
              <w:t>DN20</w:t>
            </w:r>
          </w:p>
        </w:tc>
        <w:tc>
          <w:tcPr>
            <w:tcW w:w="720" w:type="dxa"/>
            <w:tcBorders>
              <w:top w:val="nil"/>
              <w:left w:val="single" w:color="auto" w:sz="4" w:space="0"/>
              <w:bottom w:val="single" w:color="auto" w:sz="4" w:space="0"/>
              <w:right w:val="single" w:color="auto" w:sz="4" w:space="0"/>
            </w:tcBorders>
            <w:shd w:val="clear" w:color="auto" w:fill="auto"/>
            <w:vAlign w:val="center"/>
          </w:tcPr>
          <w:p w14:paraId="5100FD4A">
            <w:pPr>
              <w:spacing w:line="500" w:lineRule="exact"/>
              <w:rPr>
                <w:rFonts w:ascii="宋体" w:hAnsi="宋体" w:cs="宋体"/>
                <w:color w:val="auto"/>
                <w:szCs w:val="21"/>
              </w:rPr>
            </w:pPr>
            <w:r>
              <w:rPr>
                <w:rFonts w:hint="eastAsia" w:ascii="宋体" w:hAnsi="宋体" w:cs="宋体"/>
                <w:color w:val="auto"/>
                <w:szCs w:val="21"/>
              </w:rPr>
              <w:t>2只</w:t>
            </w:r>
          </w:p>
        </w:tc>
        <w:tc>
          <w:tcPr>
            <w:tcW w:w="1245" w:type="dxa"/>
            <w:vAlign w:val="center"/>
          </w:tcPr>
          <w:p w14:paraId="65C06CDF">
            <w:pPr>
              <w:spacing w:line="500" w:lineRule="exact"/>
              <w:jc w:val="left"/>
              <w:rPr>
                <w:rFonts w:ascii="宋体" w:hAnsi="宋体" w:cs="宋体"/>
                <w:color w:val="auto"/>
                <w:szCs w:val="21"/>
              </w:rPr>
            </w:pPr>
            <w:r>
              <w:rPr>
                <w:rFonts w:hint="eastAsia" w:ascii="宋体" w:hAnsi="宋体" w:cs="宋体"/>
                <w:color w:val="auto"/>
                <w:szCs w:val="21"/>
              </w:rPr>
              <w:t>UPVC</w:t>
            </w:r>
          </w:p>
        </w:tc>
        <w:tc>
          <w:tcPr>
            <w:tcW w:w="4005" w:type="dxa"/>
            <w:vAlign w:val="center"/>
          </w:tcPr>
          <w:p w14:paraId="45C3DC22">
            <w:pPr>
              <w:spacing w:line="500" w:lineRule="exact"/>
              <w:jc w:val="left"/>
              <w:rPr>
                <w:rFonts w:ascii="宋体" w:hAnsi="宋体" w:cs="宋体"/>
                <w:color w:val="auto"/>
                <w:szCs w:val="21"/>
              </w:rPr>
            </w:pPr>
            <w:r>
              <w:rPr>
                <w:rFonts w:hint="eastAsia" w:ascii="宋体" w:hAnsi="宋体" w:cs="宋体"/>
                <w:color w:val="auto"/>
                <w:szCs w:val="21"/>
              </w:rPr>
              <w:t>推荐格兰富、普罗名特、米顿罗等或同档次及以上知名品牌。</w:t>
            </w:r>
          </w:p>
        </w:tc>
      </w:tr>
      <w:bookmarkEnd w:id="745"/>
      <w:tr w14:paraId="4C6D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1A3623DE">
            <w:pPr>
              <w:spacing w:line="500" w:lineRule="exact"/>
              <w:rPr>
                <w:rFonts w:ascii="宋体" w:hAnsi="宋体" w:cs="宋体"/>
                <w:color w:val="auto"/>
                <w:szCs w:val="21"/>
              </w:rPr>
            </w:pPr>
            <w:r>
              <w:rPr>
                <w:rFonts w:hint="eastAsia" w:ascii="宋体" w:hAnsi="宋体" w:cs="宋体"/>
                <w:color w:val="auto"/>
                <w:szCs w:val="21"/>
              </w:rPr>
              <w:t>12</w:t>
            </w:r>
          </w:p>
        </w:tc>
        <w:tc>
          <w:tcPr>
            <w:tcW w:w="1650" w:type="dxa"/>
            <w:tcBorders>
              <w:top w:val="nil"/>
              <w:left w:val="single" w:color="auto" w:sz="4" w:space="0"/>
              <w:bottom w:val="single" w:color="auto" w:sz="4" w:space="0"/>
              <w:right w:val="single" w:color="auto" w:sz="4" w:space="0"/>
            </w:tcBorders>
            <w:shd w:val="clear" w:color="auto" w:fill="auto"/>
            <w:vAlign w:val="center"/>
          </w:tcPr>
          <w:p w14:paraId="558FCD0E">
            <w:pPr>
              <w:spacing w:line="500" w:lineRule="exact"/>
              <w:rPr>
                <w:rFonts w:ascii="宋体" w:hAnsi="宋体" w:cs="宋体"/>
                <w:color w:val="auto"/>
                <w:szCs w:val="21"/>
              </w:rPr>
            </w:pPr>
            <w:r>
              <w:rPr>
                <w:rFonts w:hint="eastAsia" w:ascii="宋体" w:hAnsi="宋体" w:cs="宋体"/>
                <w:color w:val="auto"/>
                <w:szCs w:val="21"/>
              </w:rPr>
              <w:t>背压阀</w:t>
            </w:r>
          </w:p>
        </w:tc>
        <w:tc>
          <w:tcPr>
            <w:tcW w:w="2085" w:type="dxa"/>
            <w:tcBorders>
              <w:top w:val="nil"/>
              <w:left w:val="single" w:color="auto" w:sz="4" w:space="0"/>
              <w:bottom w:val="single" w:color="auto" w:sz="4" w:space="0"/>
              <w:right w:val="single" w:color="auto" w:sz="4" w:space="0"/>
            </w:tcBorders>
            <w:shd w:val="clear" w:color="auto" w:fill="auto"/>
            <w:vAlign w:val="center"/>
          </w:tcPr>
          <w:p w14:paraId="5377E383">
            <w:pPr>
              <w:spacing w:line="500" w:lineRule="exact"/>
              <w:rPr>
                <w:rFonts w:ascii="宋体" w:hAnsi="宋体" w:cs="宋体"/>
                <w:color w:val="auto"/>
                <w:szCs w:val="21"/>
              </w:rPr>
            </w:pPr>
            <w:r>
              <w:rPr>
                <w:rFonts w:hint="eastAsia" w:ascii="宋体" w:hAnsi="宋体" w:cs="宋体"/>
                <w:color w:val="auto"/>
                <w:szCs w:val="21"/>
              </w:rPr>
              <w:t>DN20</w:t>
            </w:r>
          </w:p>
        </w:tc>
        <w:tc>
          <w:tcPr>
            <w:tcW w:w="720" w:type="dxa"/>
            <w:tcBorders>
              <w:top w:val="nil"/>
              <w:left w:val="single" w:color="auto" w:sz="4" w:space="0"/>
              <w:bottom w:val="single" w:color="auto" w:sz="4" w:space="0"/>
              <w:right w:val="single" w:color="auto" w:sz="4" w:space="0"/>
            </w:tcBorders>
            <w:shd w:val="clear" w:color="auto" w:fill="auto"/>
            <w:vAlign w:val="center"/>
          </w:tcPr>
          <w:p w14:paraId="6F28B151">
            <w:pPr>
              <w:spacing w:line="500" w:lineRule="exact"/>
              <w:rPr>
                <w:rFonts w:ascii="宋体" w:hAnsi="宋体" w:cs="宋体"/>
                <w:color w:val="auto"/>
                <w:szCs w:val="21"/>
              </w:rPr>
            </w:pPr>
            <w:r>
              <w:rPr>
                <w:rFonts w:hint="eastAsia" w:ascii="宋体" w:hAnsi="宋体" w:cs="宋体"/>
                <w:color w:val="auto"/>
                <w:szCs w:val="21"/>
              </w:rPr>
              <w:t>1只</w:t>
            </w:r>
          </w:p>
        </w:tc>
        <w:tc>
          <w:tcPr>
            <w:tcW w:w="1245" w:type="dxa"/>
            <w:vAlign w:val="center"/>
          </w:tcPr>
          <w:p w14:paraId="7A0819B5">
            <w:pPr>
              <w:spacing w:line="500" w:lineRule="exact"/>
              <w:jc w:val="left"/>
              <w:rPr>
                <w:rFonts w:ascii="宋体" w:hAnsi="宋体" w:cs="宋体"/>
                <w:color w:val="auto"/>
                <w:szCs w:val="21"/>
              </w:rPr>
            </w:pPr>
            <w:r>
              <w:rPr>
                <w:rFonts w:hint="eastAsia" w:ascii="宋体" w:hAnsi="宋体" w:cs="宋体"/>
                <w:color w:val="auto"/>
                <w:szCs w:val="21"/>
              </w:rPr>
              <w:t>UPVC</w:t>
            </w:r>
          </w:p>
        </w:tc>
        <w:tc>
          <w:tcPr>
            <w:tcW w:w="4005" w:type="dxa"/>
            <w:vAlign w:val="center"/>
          </w:tcPr>
          <w:p w14:paraId="1B175F89">
            <w:pPr>
              <w:spacing w:line="500" w:lineRule="exact"/>
              <w:jc w:val="left"/>
              <w:rPr>
                <w:rFonts w:ascii="宋体" w:hAnsi="宋体" w:cs="宋体"/>
                <w:color w:val="auto"/>
                <w:szCs w:val="21"/>
              </w:rPr>
            </w:pPr>
            <w:r>
              <w:rPr>
                <w:rFonts w:hint="eastAsia" w:ascii="宋体" w:hAnsi="宋体" w:cs="宋体"/>
                <w:color w:val="auto"/>
                <w:szCs w:val="21"/>
              </w:rPr>
              <w:t>推荐格兰富、普罗名特、米顿罗等或同档次及以上知名品牌。</w:t>
            </w:r>
          </w:p>
        </w:tc>
      </w:tr>
      <w:tr w14:paraId="1812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2956CAC6">
            <w:pPr>
              <w:spacing w:line="500" w:lineRule="exact"/>
              <w:rPr>
                <w:rFonts w:ascii="宋体" w:hAnsi="宋体" w:cs="宋体"/>
                <w:color w:val="auto"/>
                <w:szCs w:val="21"/>
              </w:rPr>
            </w:pPr>
            <w:r>
              <w:rPr>
                <w:rFonts w:hint="eastAsia" w:ascii="宋体" w:hAnsi="宋体" w:cs="宋体"/>
                <w:color w:val="auto"/>
                <w:szCs w:val="21"/>
              </w:rPr>
              <w:t>13</w:t>
            </w:r>
          </w:p>
        </w:tc>
        <w:tc>
          <w:tcPr>
            <w:tcW w:w="1650" w:type="dxa"/>
            <w:tcBorders>
              <w:top w:val="nil"/>
              <w:left w:val="single" w:color="auto" w:sz="4" w:space="0"/>
              <w:bottom w:val="single" w:color="auto" w:sz="4" w:space="0"/>
              <w:right w:val="single" w:color="auto" w:sz="4" w:space="0"/>
            </w:tcBorders>
            <w:shd w:val="clear" w:color="auto" w:fill="auto"/>
            <w:vAlign w:val="center"/>
          </w:tcPr>
          <w:p w14:paraId="5A030447">
            <w:pPr>
              <w:spacing w:line="500" w:lineRule="exact"/>
              <w:rPr>
                <w:rFonts w:ascii="宋体" w:hAnsi="宋体" w:cs="宋体"/>
                <w:color w:val="auto"/>
                <w:szCs w:val="21"/>
              </w:rPr>
            </w:pPr>
            <w:r>
              <w:rPr>
                <w:rFonts w:hint="eastAsia" w:ascii="宋体" w:hAnsi="宋体" w:cs="宋体"/>
                <w:color w:val="auto"/>
                <w:szCs w:val="21"/>
              </w:rPr>
              <w:t>阻尼器</w:t>
            </w:r>
          </w:p>
        </w:tc>
        <w:tc>
          <w:tcPr>
            <w:tcW w:w="2085" w:type="dxa"/>
            <w:tcBorders>
              <w:top w:val="nil"/>
              <w:left w:val="single" w:color="auto" w:sz="4" w:space="0"/>
              <w:bottom w:val="single" w:color="auto" w:sz="4" w:space="0"/>
              <w:right w:val="single" w:color="auto" w:sz="4" w:space="0"/>
            </w:tcBorders>
            <w:shd w:val="clear" w:color="auto" w:fill="auto"/>
            <w:vAlign w:val="center"/>
          </w:tcPr>
          <w:p w14:paraId="277071B3">
            <w:pPr>
              <w:spacing w:line="500" w:lineRule="exact"/>
              <w:rPr>
                <w:rFonts w:ascii="宋体" w:hAnsi="宋体" w:cs="宋体"/>
                <w:color w:val="auto"/>
                <w:szCs w:val="21"/>
              </w:rPr>
            </w:pPr>
            <w:r>
              <w:rPr>
                <w:rFonts w:hint="eastAsia" w:ascii="宋体" w:hAnsi="宋体" w:cs="宋体"/>
                <w:color w:val="auto"/>
                <w:szCs w:val="21"/>
              </w:rPr>
              <w:t>0.5L</w:t>
            </w:r>
          </w:p>
        </w:tc>
        <w:tc>
          <w:tcPr>
            <w:tcW w:w="720" w:type="dxa"/>
            <w:tcBorders>
              <w:top w:val="nil"/>
              <w:left w:val="single" w:color="auto" w:sz="4" w:space="0"/>
              <w:bottom w:val="single" w:color="auto" w:sz="4" w:space="0"/>
              <w:right w:val="single" w:color="auto" w:sz="4" w:space="0"/>
            </w:tcBorders>
            <w:shd w:val="clear" w:color="auto" w:fill="auto"/>
            <w:vAlign w:val="center"/>
          </w:tcPr>
          <w:p w14:paraId="0C3B6320">
            <w:pPr>
              <w:spacing w:line="500" w:lineRule="exact"/>
              <w:rPr>
                <w:rFonts w:ascii="宋体" w:hAnsi="宋体" w:cs="宋体"/>
                <w:color w:val="auto"/>
                <w:szCs w:val="21"/>
              </w:rPr>
            </w:pPr>
            <w:r>
              <w:rPr>
                <w:rFonts w:hint="eastAsia" w:ascii="宋体" w:hAnsi="宋体" w:cs="宋体"/>
                <w:color w:val="auto"/>
                <w:szCs w:val="21"/>
              </w:rPr>
              <w:t>2只</w:t>
            </w:r>
          </w:p>
        </w:tc>
        <w:tc>
          <w:tcPr>
            <w:tcW w:w="1245" w:type="dxa"/>
            <w:vAlign w:val="center"/>
          </w:tcPr>
          <w:p w14:paraId="0D08C431">
            <w:pPr>
              <w:spacing w:line="500" w:lineRule="exact"/>
              <w:jc w:val="left"/>
              <w:rPr>
                <w:rFonts w:ascii="宋体" w:hAnsi="宋体" w:cs="宋体"/>
                <w:color w:val="auto"/>
                <w:szCs w:val="21"/>
              </w:rPr>
            </w:pPr>
            <w:r>
              <w:rPr>
                <w:rFonts w:hint="eastAsia" w:ascii="宋体" w:hAnsi="宋体" w:cs="宋体"/>
                <w:color w:val="auto"/>
                <w:szCs w:val="21"/>
              </w:rPr>
              <w:t>UPVC</w:t>
            </w:r>
          </w:p>
        </w:tc>
        <w:tc>
          <w:tcPr>
            <w:tcW w:w="4005" w:type="dxa"/>
            <w:vAlign w:val="center"/>
          </w:tcPr>
          <w:p w14:paraId="471A6627">
            <w:pPr>
              <w:spacing w:line="500" w:lineRule="exact"/>
              <w:jc w:val="left"/>
              <w:rPr>
                <w:rFonts w:ascii="宋体" w:hAnsi="宋体" w:cs="宋体"/>
                <w:color w:val="auto"/>
                <w:szCs w:val="21"/>
              </w:rPr>
            </w:pPr>
            <w:r>
              <w:rPr>
                <w:rFonts w:hint="eastAsia" w:ascii="宋体" w:hAnsi="宋体" w:cs="宋体"/>
                <w:color w:val="auto"/>
                <w:szCs w:val="21"/>
              </w:rPr>
              <w:t>推荐格兰富、普罗名特、米顿罗等或同档次及以上知名品牌。</w:t>
            </w:r>
          </w:p>
        </w:tc>
      </w:tr>
      <w:tr w14:paraId="3311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01C120D2">
            <w:pPr>
              <w:spacing w:line="500" w:lineRule="exact"/>
              <w:rPr>
                <w:rFonts w:ascii="宋体" w:hAnsi="宋体" w:cs="宋体"/>
                <w:color w:val="auto"/>
                <w:szCs w:val="21"/>
              </w:rPr>
            </w:pPr>
            <w:r>
              <w:rPr>
                <w:rFonts w:hint="eastAsia" w:ascii="宋体" w:hAnsi="宋体" w:cs="宋体"/>
                <w:color w:val="auto"/>
                <w:szCs w:val="21"/>
              </w:rPr>
              <w:t>14</w:t>
            </w:r>
          </w:p>
        </w:tc>
        <w:tc>
          <w:tcPr>
            <w:tcW w:w="1650" w:type="dxa"/>
            <w:vAlign w:val="center"/>
          </w:tcPr>
          <w:p w14:paraId="61B900A3">
            <w:pPr>
              <w:spacing w:line="500" w:lineRule="exact"/>
              <w:rPr>
                <w:rFonts w:ascii="宋体" w:hAnsi="宋体" w:cs="宋体"/>
                <w:color w:val="auto"/>
                <w:szCs w:val="21"/>
              </w:rPr>
            </w:pPr>
            <w:r>
              <w:rPr>
                <w:rFonts w:hint="eastAsia" w:ascii="宋体" w:hAnsi="宋体" w:cs="宋体"/>
                <w:color w:val="auto"/>
                <w:szCs w:val="21"/>
              </w:rPr>
              <w:t>压力表</w:t>
            </w:r>
          </w:p>
        </w:tc>
        <w:tc>
          <w:tcPr>
            <w:tcW w:w="2085" w:type="dxa"/>
            <w:vAlign w:val="center"/>
          </w:tcPr>
          <w:p w14:paraId="116090E9">
            <w:pPr>
              <w:spacing w:line="500" w:lineRule="exact"/>
              <w:ind w:left="420" w:leftChars="200" w:firstLine="452"/>
              <w:jc w:val="center"/>
              <w:rPr>
                <w:rFonts w:ascii="宋体" w:hAnsi="宋体" w:cs="宋体"/>
                <w:color w:val="auto"/>
                <w:szCs w:val="21"/>
              </w:rPr>
            </w:pPr>
          </w:p>
        </w:tc>
        <w:tc>
          <w:tcPr>
            <w:tcW w:w="720" w:type="dxa"/>
            <w:vAlign w:val="center"/>
          </w:tcPr>
          <w:p w14:paraId="10A32E37">
            <w:pPr>
              <w:spacing w:line="500" w:lineRule="exact"/>
              <w:rPr>
                <w:rFonts w:ascii="宋体" w:hAnsi="宋体" w:cs="宋体"/>
                <w:color w:val="auto"/>
                <w:szCs w:val="21"/>
              </w:rPr>
            </w:pPr>
            <w:r>
              <w:rPr>
                <w:rFonts w:hint="eastAsia" w:ascii="宋体" w:hAnsi="宋体" w:cs="宋体"/>
                <w:color w:val="auto"/>
                <w:szCs w:val="21"/>
              </w:rPr>
              <w:t>2只</w:t>
            </w:r>
          </w:p>
        </w:tc>
        <w:tc>
          <w:tcPr>
            <w:tcW w:w="1245" w:type="dxa"/>
            <w:vAlign w:val="center"/>
          </w:tcPr>
          <w:p w14:paraId="16CB838A">
            <w:pPr>
              <w:spacing w:line="500" w:lineRule="exact"/>
              <w:jc w:val="left"/>
              <w:rPr>
                <w:rFonts w:ascii="宋体" w:hAnsi="宋体" w:cs="宋体"/>
                <w:color w:val="auto"/>
                <w:szCs w:val="21"/>
              </w:rPr>
            </w:pPr>
            <w:r>
              <w:rPr>
                <w:rFonts w:hint="eastAsia" w:ascii="宋体" w:hAnsi="宋体" w:cs="宋体"/>
                <w:color w:val="auto"/>
                <w:szCs w:val="21"/>
              </w:rPr>
              <w:t>PP</w:t>
            </w:r>
          </w:p>
        </w:tc>
        <w:tc>
          <w:tcPr>
            <w:tcW w:w="4005" w:type="dxa"/>
            <w:vAlign w:val="center"/>
          </w:tcPr>
          <w:p w14:paraId="04FD1749">
            <w:pPr>
              <w:spacing w:line="500" w:lineRule="exact"/>
              <w:ind w:left="420" w:leftChars="200"/>
              <w:jc w:val="left"/>
              <w:rPr>
                <w:rFonts w:ascii="宋体" w:hAnsi="宋体" w:cs="宋体"/>
                <w:color w:val="auto"/>
                <w:szCs w:val="21"/>
              </w:rPr>
            </w:pPr>
          </w:p>
        </w:tc>
      </w:tr>
      <w:tr w14:paraId="3877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11C35B76">
            <w:pPr>
              <w:spacing w:line="500" w:lineRule="exact"/>
              <w:rPr>
                <w:rFonts w:ascii="宋体" w:hAnsi="宋体" w:cs="宋体"/>
                <w:color w:val="auto"/>
                <w:szCs w:val="21"/>
              </w:rPr>
            </w:pPr>
            <w:r>
              <w:rPr>
                <w:rFonts w:hint="eastAsia" w:ascii="宋体" w:hAnsi="宋体" w:cs="宋体"/>
                <w:color w:val="auto"/>
                <w:szCs w:val="21"/>
              </w:rPr>
              <w:t>15</w:t>
            </w:r>
          </w:p>
        </w:tc>
        <w:tc>
          <w:tcPr>
            <w:tcW w:w="1650" w:type="dxa"/>
            <w:vAlign w:val="center"/>
          </w:tcPr>
          <w:p w14:paraId="0E7A4C4F">
            <w:pPr>
              <w:spacing w:line="500" w:lineRule="exact"/>
              <w:rPr>
                <w:rFonts w:ascii="宋体" w:hAnsi="宋体" w:cs="宋体"/>
                <w:color w:val="auto"/>
                <w:szCs w:val="21"/>
              </w:rPr>
            </w:pPr>
            <w:r>
              <w:rPr>
                <w:rFonts w:hint="eastAsia" w:ascii="宋体" w:hAnsi="宋体" w:cs="宋体"/>
                <w:color w:val="auto"/>
                <w:szCs w:val="21"/>
              </w:rPr>
              <w:t>管路阀门</w:t>
            </w:r>
          </w:p>
        </w:tc>
        <w:tc>
          <w:tcPr>
            <w:tcW w:w="2085" w:type="dxa"/>
            <w:vAlign w:val="center"/>
          </w:tcPr>
          <w:p w14:paraId="51A3E192">
            <w:pPr>
              <w:spacing w:line="500" w:lineRule="exact"/>
              <w:rPr>
                <w:rFonts w:ascii="宋体" w:hAnsi="宋体" w:cs="宋体"/>
                <w:color w:val="auto"/>
                <w:szCs w:val="21"/>
              </w:rPr>
            </w:pPr>
            <w:r>
              <w:rPr>
                <w:rFonts w:hint="eastAsia" w:ascii="宋体" w:hAnsi="宋体" w:cs="宋体"/>
                <w:color w:val="auto"/>
                <w:szCs w:val="21"/>
              </w:rPr>
              <w:t>DN15-DN80</w:t>
            </w:r>
          </w:p>
        </w:tc>
        <w:tc>
          <w:tcPr>
            <w:tcW w:w="720" w:type="dxa"/>
            <w:vAlign w:val="center"/>
          </w:tcPr>
          <w:p w14:paraId="6105C5A4">
            <w:pPr>
              <w:spacing w:line="500" w:lineRule="exact"/>
              <w:rPr>
                <w:rFonts w:ascii="宋体" w:hAnsi="宋体" w:cs="宋体"/>
                <w:color w:val="auto"/>
                <w:szCs w:val="21"/>
              </w:rPr>
            </w:pPr>
            <w:r>
              <w:rPr>
                <w:rFonts w:hint="eastAsia" w:ascii="宋体" w:hAnsi="宋体" w:cs="宋体"/>
                <w:color w:val="auto"/>
                <w:szCs w:val="21"/>
              </w:rPr>
              <w:t>1批</w:t>
            </w:r>
          </w:p>
        </w:tc>
        <w:tc>
          <w:tcPr>
            <w:tcW w:w="1245" w:type="dxa"/>
            <w:vAlign w:val="center"/>
          </w:tcPr>
          <w:p w14:paraId="4DA105F6">
            <w:pPr>
              <w:spacing w:line="500" w:lineRule="exact"/>
              <w:rPr>
                <w:rFonts w:ascii="宋体" w:hAnsi="宋体" w:cs="宋体"/>
                <w:color w:val="auto"/>
                <w:szCs w:val="21"/>
              </w:rPr>
            </w:pPr>
            <w:r>
              <w:rPr>
                <w:rFonts w:hint="eastAsia" w:ascii="宋体" w:hAnsi="宋体" w:cs="宋体"/>
                <w:color w:val="auto"/>
                <w:szCs w:val="21"/>
              </w:rPr>
              <w:t>UPVC</w:t>
            </w:r>
          </w:p>
        </w:tc>
        <w:tc>
          <w:tcPr>
            <w:tcW w:w="4005" w:type="dxa"/>
            <w:vAlign w:val="center"/>
          </w:tcPr>
          <w:p w14:paraId="5E6B3DCD">
            <w:pPr>
              <w:spacing w:line="500" w:lineRule="exact"/>
              <w:ind w:left="420" w:leftChars="200"/>
              <w:rPr>
                <w:rFonts w:ascii="宋体" w:hAnsi="宋体" w:cs="宋体"/>
                <w:color w:val="auto"/>
                <w:szCs w:val="21"/>
              </w:rPr>
            </w:pPr>
          </w:p>
        </w:tc>
      </w:tr>
      <w:tr w14:paraId="378E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66F19EB9">
            <w:pPr>
              <w:spacing w:line="500" w:lineRule="exact"/>
              <w:rPr>
                <w:rFonts w:ascii="宋体" w:hAnsi="宋体" w:cs="宋体"/>
                <w:color w:val="auto"/>
                <w:szCs w:val="21"/>
              </w:rPr>
            </w:pPr>
            <w:r>
              <w:rPr>
                <w:rFonts w:hint="eastAsia" w:ascii="宋体" w:hAnsi="宋体" w:cs="宋体"/>
                <w:color w:val="auto"/>
                <w:szCs w:val="21"/>
              </w:rPr>
              <w:t>16</w:t>
            </w:r>
          </w:p>
        </w:tc>
        <w:tc>
          <w:tcPr>
            <w:tcW w:w="1650" w:type="dxa"/>
            <w:vAlign w:val="center"/>
          </w:tcPr>
          <w:p w14:paraId="450E19B0">
            <w:pPr>
              <w:spacing w:line="500" w:lineRule="exact"/>
              <w:rPr>
                <w:rFonts w:ascii="宋体" w:hAnsi="宋体" w:cs="宋体"/>
                <w:color w:val="auto"/>
                <w:szCs w:val="21"/>
              </w:rPr>
            </w:pPr>
            <w:r>
              <w:rPr>
                <w:rFonts w:hint="eastAsia" w:ascii="宋体" w:hAnsi="宋体" w:cs="宋体"/>
                <w:color w:val="auto"/>
                <w:szCs w:val="21"/>
              </w:rPr>
              <w:t>动力电缆、控制电缆、信号电缆</w:t>
            </w:r>
          </w:p>
        </w:tc>
        <w:tc>
          <w:tcPr>
            <w:tcW w:w="2085" w:type="dxa"/>
            <w:vAlign w:val="center"/>
          </w:tcPr>
          <w:p w14:paraId="4AAEFE43">
            <w:pPr>
              <w:spacing w:line="500" w:lineRule="exact"/>
              <w:rPr>
                <w:rFonts w:ascii="宋体" w:hAnsi="宋体" w:cs="宋体"/>
                <w:color w:val="auto"/>
                <w:szCs w:val="21"/>
              </w:rPr>
            </w:pPr>
            <w:r>
              <w:rPr>
                <w:rFonts w:hint="eastAsia" w:ascii="宋体" w:hAnsi="宋体" w:cs="宋体"/>
                <w:color w:val="auto"/>
                <w:szCs w:val="21"/>
              </w:rPr>
              <w:t>规格大小厂家自定，满足系统使用需求</w:t>
            </w:r>
          </w:p>
        </w:tc>
        <w:tc>
          <w:tcPr>
            <w:tcW w:w="720" w:type="dxa"/>
            <w:vAlign w:val="center"/>
          </w:tcPr>
          <w:p w14:paraId="3EF970F6">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02283910">
            <w:pPr>
              <w:spacing w:line="500" w:lineRule="exact"/>
              <w:ind w:left="420" w:leftChars="200" w:firstLine="420"/>
              <w:jc w:val="center"/>
              <w:rPr>
                <w:rFonts w:ascii="宋体" w:hAnsi="宋体" w:cs="宋体"/>
                <w:color w:val="auto"/>
                <w:szCs w:val="21"/>
              </w:rPr>
            </w:pPr>
          </w:p>
        </w:tc>
        <w:tc>
          <w:tcPr>
            <w:tcW w:w="4005" w:type="dxa"/>
            <w:vAlign w:val="center"/>
          </w:tcPr>
          <w:p w14:paraId="5B74B049">
            <w:pPr>
              <w:spacing w:line="500" w:lineRule="exact"/>
              <w:rPr>
                <w:rFonts w:ascii="宋体" w:hAnsi="宋体" w:cs="宋体"/>
                <w:color w:val="auto"/>
                <w:szCs w:val="21"/>
              </w:rPr>
            </w:pPr>
            <w:r>
              <w:rPr>
                <w:rFonts w:hint="eastAsia" w:ascii="宋体" w:hAnsi="宋体" w:cs="宋体"/>
                <w:color w:val="auto"/>
                <w:szCs w:val="21"/>
              </w:rPr>
              <w:t>推荐金龙羽、深缆、起凡或同档次及以上知名品牌。</w:t>
            </w:r>
          </w:p>
        </w:tc>
      </w:tr>
      <w:tr w14:paraId="08D9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5A94C061">
            <w:pPr>
              <w:spacing w:line="500" w:lineRule="exact"/>
              <w:rPr>
                <w:rFonts w:ascii="宋体" w:hAnsi="宋体" w:cs="宋体"/>
                <w:color w:val="auto"/>
                <w:szCs w:val="21"/>
              </w:rPr>
            </w:pPr>
            <w:r>
              <w:rPr>
                <w:rFonts w:hint="eastAsia" w:ascii="宋体" w:hAnsi="宋体" w:cs="宋体"/>
                <w:color w:val="auto"/>
                <w:szCs w:val="21"/>
              </w:rPr>
              <w:t>17</w:t>
            </w:r>
          </w:p>
        </w:tc>
        <w:tc>
          <w:tcPr>
            <w:tcW w:w="1650" w:type="dxa"/>
            <w:vAlign w:val="center"/>
          </w:tcPr>
          <w:p w14:paraId="57053A82">
            <w:pPr>
              <w:spacing w:line="500" w:lineRule="exact"/>
              <w:rPr>
                <w:rFonts w:ascii="宋体" w:hAnsi="宋体" w:cs="宋体"/>
                <w:color w:val="auto"/>
                <w:szCs w:val="21"/>
              </w:rPr>
            </w:pPr>
            <w:r>
              <w:rPr>
                <w:rFonts w:hint="eastAsia" w:ascii="宋体" w:hAnsi="宋体" w:cs="宋体"/>
                <w:color w:val="auto"/>
                <w:szCs w:val="21"/>
              </w:rPr>
              <w:t>撬装泵架</w:t>
            </w:r>
          </w:p>
        </w:tc>
        <w:tc>
          <w:tcPr>
            <w:tcW w:w="2085" w:type="dxa"/>
            <w:vAlign w:val="center"/>
          </w:tcPr>
          <w:p w14:paraId="63466DC9">
            <w:pPr>
              <w:spacing w:line="500" w:lineRule="exact"/>
              <w:ind w:left="420" w:leftChars="200" w:firstLine="452"/>
              <w:jc w:val="center"/>
              <w:rPr>
                <w:rFonts w:ascii="宋体" w:hAnsi="宋体" w:cs="宋体"/>
                <w:color w:val="auto"/>
                <w:szCs w:val="21"/>
              </w:rPr>
            </w:pPr>
          </w:p>
        </w:tc>
        <w:tc>
          <w:tcPr>
            <w:tcW w:w="720" w:type="dxa"/>
            <w:vAlign w:val="center"/>
          </w:tcPr>
          <w:p w14:paraId="2E126A60">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381432CD">
            <w:pPr>
              <w:spacing w:line="500" w:lineRule="exact"/>
              <w:rPr>
                <w:rFonts w:ascii="宋体" w:hAnsi="宋体" w:cs="宋体"/>
                <w:color w:val="auto"/>
                <w:szCs w:val="21"/>
              </w:rPr>
            </w:pPr>
            <w:r>
              <w:rPr>
                <w:rFonts w:hint="eastAsia" w:ascii="宋体" w:hAnsi="宋体" w:cs="宋体"/>
                <w:color w:val="auto"/>
                <w:szCs w:val="21"/>
              </w:rPr>
              <w:t>铝合金</w:t>
            </w:r>
          </w:p>
        </w:tc>
        <w:tc>
          <w:tcPr>
            <w:tcW w:w="4005" w:type="dxa"/>
            <w:vAlign w:val="center"/>
          </w:tcPr>
          <w:p w14:paraId="5B8FD118">
            <w:pPr>
              <w:spacing w:line="500" w:lineRule="exact"/>
              <w:rPr>
                <w:rFonts w:ascii="宋体" w:hAnsi="宋体" w:cs="宋体"/>
                <w:color w:val="auto"/>
                <w:szCs w:val="21"/>
              </w:rPr>
            </w:pPr>
            <w:r>
              <w:rPr>
                <w:rFonts w:hint="eastAsia" w:ascii="宋体" w:hAnsi="宋体" w:cs="宋体"/>
                <w:color w:val="auto"/>
                <w:szCs w:val="21"/>
              </w:rPr>
              <w:t>推荐上海轩浦、固莱环保、净化控股等同档次及以上知名品牌。</w:t>
            </w:r>
          </w:p>
        </w:tc>
      </w:tr>
      <w:tr w14:paraId="7959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75388FA2">
            <w:pPr>
              <w:spacing w:line="500" w:lineRule="exact"/>
              <w:rPr>
                <w:rFonts w:ascii="宋体" w:hAnsi="宋体" w:cs="宋体"/>
                <w:color w:val="auto"/>
                <w:szCs w:val="21"/>
              </w:rPr>
            </w:pPr>
            <w:r>
              <w:rPr>
                <w:rFonts w:hint="eastAsia" w:ascii="宋体" w:hAnsi="宋体" w:cs="宋体"/>
                <w:color w:val="auto"/>
                <w:szCs w:val="21"/>
              </w:rPr>
              <w:t>18</w:t>
            </w:r>
          </w:p>
        </w:tc>
        <w:tc>
          <w:tcPr>
            <w:tcW w:w="1650" w:type="dxa"/>
            <w:vAlign w:val="center"/>
          </w:tcPr>
          <w:p w14:paraId="70B8A2C9">
            <w:pPr>
              <w:spacing w:line="500" w:lineRule="exact"/>
              <w:rPr>
                <w:rFonts w:ascii="宋体" w:hAnsi="宋体" w:cs="宋体"/>
                <w:color w:val="auto"/>
                <w:szCs w:val="21"/>
              </w:rPr>
            </w:pPr>
            <w:r>
              <w:rPr>
                <w:rFonts w:hint="eastAsia" w:ascii="宋体" w:hAnsi="宋体" w:cs="宋体"/>
                <w:color w:val="auto"/>
                <w:szCs w:val="21"/>
              </w:rPr>
              <w:t>控制柜</w:t>
            </w:r>
          </w:p>
        </w:tc>
        <w:tc>
          <w:tcPr>
            <w:tcW w:w="2085" w:type="dxa"/>
            <w:vAlign w:val="center"/>
          </w:tcPr>
          <w:p w14:paraId="68442C41">
            <w:pPr>
              <w:spacing w:line="500" w:lineRule="exact"/>
              <w:rPr>
                <w:rFonts w:ascii="宋体" w:hAnsi="宋体" w:cs="宋体"/>
                <w:color w:val="auto"/>
                <w:szCs w:val="21"/>
              </w:rPr>
            </w:pPr>
            <w:r>
              <w:rPr>
                <w:rFonts w:hint="eastAsia" w:ascii="宋体" w:hAnsi="宋体" w:cs="宋体"/>
                <w:color w:val="auto"/>
                <w:szCs w:val="21"/>
              </w:rPr>
              <w:t>规格：800*600*2000</w:t>
            </w:r>
          </w:p>
        </w:tc>
        <w:tc>
          <w:tcPr>
            <w:tcW w:w="720" w:type="dxa"/>
            <w:vAlign w:val="center"/>
          </w:tcPr>
          <w:p w14:paraId="7732ACCD">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00A472CD">
            <w:pPr>
              <w:spacing w:line="500" w:lineRule="exact"/>
              <w:ind w:left="420" w:leftChars="200" w:firstLine="420"/>
              <w:jc w:val="center"/>
              <w:rPr>
                <w:rFonts w:ascii="宋体" w:hAnsi="宋体" w:cs="宋体"/>
                <w:color w:val="auto"/>
                <w:szCs w:val="21"/>
              </w:rPr>
            </w:pPr>
          </w:p>
        </w:tc>
        <w:tc>
          <w:tcPr>
            <w:tcW w:w="4005" w:type="dxa"/>
            <w:vAlign w:val="center"/>
          </w:tcPr>
          <w:p w14:paraId="07BAAF9A">
            <w:pPr>
              <w:spacing w:line="500" w:lineRule="exact"/>
              <w:rPr>
                <w:rFonts w:ascii="宋体" w:hAnsi="宋体" w:cs="宋体"/>
                <w:color w:val="auto"/>
                <w:szCs w:val="21"/>
              </w:rPr>
            </w:pPr>
            <w:r>
              <w:rPr>
                <w:rFonts w:hint="eastAsia" w:ascii="宋体" w:hAnsi="宋体" w:cs="宋体"/>
                <w:color w:val="auto"/>
                <w:szCs w:val="21"/>
              </w:rPr>
              <w:t>PLC选用罗克韦尔、西门子、施耐德或同档次及以上品牌，含变频器、PLC模块及各元气件等，主要各元器件必须为罗克韦尔、施耐德、ABB、西门子或同档次及以上产品</w:t>
            </w:r>
          </w:p>
        </w:tc>
      </w:tr>
    </w:tbl>
    <w:p w14:paraId="4AE8FA53">
      <w:pPr>
        <w:spacing w:line="500" w:lineRule="exact"/>
        <w:ind w:left="420" w:leftChars="200"/>
        <w:rPr>
          <w:rFonts w:ascii="宋体" w:hAnsi="宋体" w:cs="宋体"/>
          <w:b/>
          <w:color w:val="auto"/>
          <w:szCs w:val="21"/>
        </w:rPr>
      </w:pPr>
      <w:r>
        <w:rPr>
          <w:rFonts w:hint="eastAsia" w:ascii="宋体" w:hAnsi="宋体" w:cs="宋体"/>
          <w:b/>
          <w:color w:val="auto"/>
          <w:szCs w:val="21"/>
        </w:rPr>
        <w:t>备注：</w:t>
      </w:r>
    </w:p>
    <w:p w14:paraId="582777C8">
      <w:pPr>
        <w:spacing w:line="500" w:lineRule="exact"/>
        <w:ind w:left="420" w:leftChars="200"/>
        <w:rPr>
          <w:rFonts w:ascii="宋体" w:hAnsi="宋体" w:cs="宋体"/>
          <w:color w:val="auto"/>
          <w:szCs w:val="21"/>
        </w:rPr>
      </w:pPr>
      <w:r>
        <w:rPr>
          <w:rFonts w:hint="eastAsia" w:ascii="宋体" w:hAnsi="宋体" w:cs="宋体"/>
          <w:color w:val="auto"/>
          <w:szCs w:val="21"/>
        </w:rPr>
        <w:t>1、设备粉炭使用防爆要求不限于上表所列，中标人须提供整套符合国家粉炭使用防爆要求的设备。 料仓储罐应有抗滁州地区台风，防倾覆设计，其中防倾覆拉杆螺栓必须使用高强度螺栓（大于等于7级，规格大于M20以上。）（中标方设计校核）。</w:t>
      </w:r>
    </w:p>
    <w:p w14:paraId="41B3537C">
      <w:pPr>
        <w:spacing w:line="500" w:lineRule="exact"/>
        <w:ind w:left="420" w:leftChars="200"/>
        <w:rPr>
          <w:rFonts w:ascii="宋体" w:hAnsi="宋体" w:cs="宋体"/>
          <w:color w:val="auto"/>
          <w:szCs w:val="21"/>
        </w:rPr>
      </w:pPr>
      <w:r>
        <w:rPr>
          <w:rFonts w:hint="eastAsia" w:ascii="宋体" w:hAnsi="宋体" w:cs="宋体"/>
          <w:color w:val="auto"/>
          <w:szCs w:val="21"/>
        </w:rPr>
        <w:t>2、本“采购设备清单”不得被认为是详尽无遗的，无论规定与否，中标人应提供满足该项目工艺技术要求的设备及所有业主未提及的必要的元件、器材、附件、配套设备和相应材料等，并在投标文件报价中一一列明。包括但不限于数量、规格型号、材质及生产厂家等。设备数量以最终设计为准，满足使用要求。</w:t>
      </w:r>
    </w:p>
    <w:p w14:paraId="56431818">
      <w:pPr>
        <w:spacing w:line="500" w:lineRule="exact"/>
        <w:ind w:left="420" w:leftChars="200"/>
        <w:rPr>
          <w:rFonts w:ascii="宋体" w:hAnsi="宋体" w:cs="宋体"/>
          <w:color w:val="auto"/>
          <w:szCs w:val="21"/>
        </w:rPr>
      </w:pPr>
      <w:r>
        <w:rPr>
          <w:rFonts w:hint="eastAsia" w:ascii="宋体" w:hAnsi="宋体" w:cs="宋体"/>
          <w:color w:val="auto"/>
          <w:szCs w:val="21"/>
        </w:rPr>
        <w:t>3、以上货物清单需由供货商一一列出，表明产地。若为原装产品交货时如需提供报关单或当地商会、厂家提供的原产地证明。</w:t>
      </w:r>
    </w:p>
    <w:p w14:paraId="239F6E22">
      <w:pPr>
        <w:spacing w:line="500" w:lineRule="exact"/>
        <w:ind w:left="420" w:leftChars="200"/>
        <w:rPr>
          <w:rFonts w:ascii="宋体" w:hAnsi="宋体" w:cs="宋体"/>
          <w:color w:val="auto"/>
          <w:szCs w:val="21"/>
        </w:rPr>
      </w:pPr>
      <w:r>
        <w:rPr>
          <w:rFonts w:hint="eastAsia" w:ascii="宋体" w:hAnsi="宋体" w:cs="宋体"/>
          <w:color w:val="auto"/>
          <w:szCs w:val="21"/>
        </w:rPr>
        <w:t>4、本项目系统设备为交钥匙工程，中标人应将功能完整，运行良好的系统交给采购人，包括设备供货、卸货、设备管线施工以及设备安装调试、使用培训等。</w:t>
      </w:r>
    </w:p>
    <w:p w14:paraId="66A1D464">
      <w:pPr>
        <w:spacing w:line="500" w:lineRule="exact"/>
        <w:ind w:left="420" w:leftChars="200"/>
        <w:jc w:val="left"/>
        <w:rPr>
          <w:rFonts w:ascii="宋体" w:hAnsi="宋体" w:cs="宋体"/>
          <w:color w:val="auto"/>
          <w:szCs w:val="21"/>
        </w:rPr>
      </w:pPr>
      <w:r>
        <w:rPr>
          <w:rFonts w:hint="eastAsia" w:ascii="宋体" w:hAnsi="宋体" w:cs="宋体"/>
          <w:color w:val="auto"/>
          <w:szCs w:val="21"/>
        </w:rPr>
        <w:t>5、中标人应就设备基础施工、安装布局以及管路走向进行最终设计并得到甲方认可方可施工。</w:t>
      </w:r>
    </w:p>
    <w:p w14:paraId="3D31AA42">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6.</w:t>
      </w:r>
      <w:r>
        <w:rPr>
          <w:rFonts w:hint="eastAsia" w:ascii="宋体" w:hAnsi="宋体" w:cs="宋体"/>
          <w:b/>
          <w:color w:val="auto"/>
          <w:szCs w:val="21"/>
        </w:rPr>
        <w:t>货物技术要求</w:t>
      </w:r>
    </w:p>
    <w:p w14:paraId="325788E4">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（一）料仓</w:t>
      </w:r>
    </w:p>
    <w:p w14:paraId="5FBE57F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 xml:space="preserve">容积不小于40m³， 碳钢Q235B材质，厚度8mm以上。料仓整体室外安装； </w:t>
      </w:r>
    </w:p>
    <w:p w14:paraId="43257AE1">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料仓、锥斗及支架；</w:t>
      </w:r>
    </w:p>
    <w:p w14:paraId="399B0207">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人孔600mm；</w:t>
      </w:r>
    </w:p>
    <w:p w14:paraId="3E90CDA7">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送料管100，包括接口、旋风分离器及盖子；</w:t>
      </w:r>
    </w:p>
    <w:p w14:paraId="5F4FF12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进料入口旋风分离器处安装格栅；</w:t>
      </w:r>
    </w:p>
    <w:p w14:paraId="1F4DB164">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料仓顶部护栏高度1.2m；</w:t>
      </w:r>
    </w:p>
    <w:p w14:paraId="14BDC57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带背部护圈的爬梯；</w:t>
      </w:r>
    </w:p>
    <w:p w14:paraId="39A3415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为避免料仓过压及滤布被粉尘堵塞，每个料仓应配置2个安全阀（1用1备）；</w:t>
      </w:r>
    </w:p>
    <w:p w14:paraId="7BE5793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料仓配套具有自动清灰功能的除尘装置，清灰应采用气动清灰（脉冲式）；</w:t>
      </w:r>
    </w:p>
    <w:p w14:paraId="577697E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料仓应配有空穴位及满位报警器及现场紧急按钮箱，该报警器于室外可发声光报警；</w:t>
      </w:r>
    </w:p>
    <w:p w14:paraId="4DCAA1CB">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料仓放室外，料仓内外表面防腐处理,应考虑防雨、防雷、防潮及防尘等；</w:t>
      </w:r>
    </w:p>
    <w:p w14:paraId="5D897DFA">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设计时底部倾斜角度应确保物料不产生堆积，同时无论料仓处于何种态均确保不倾覆而引发安全事故。</w:t>
      </w:r>
    </w:p>
    <w:p w14:paraId="6302B575">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要求符合《GB 50011-2010建筑抗震设计规范》、《GB 50191-2012 构筑物抗震设计规范》以及防风等国家法律法规及行业标准。其中料仓储罐应有抗滁州地区台风，防倾覆设计，其中防倾覆拉杆螺栓必须使用高强度螺栓（大于等于7级，规格大于M20以上。）（中标方设计校核）。</w:t>
      </w:r>
    </w:p>
    <w:p w14:paraId="7FE2AC73">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（二）料位及空穴报警：</w:t>
      </w:r>
    </w:p>
    <w:p w14:paraId="6A06DE08">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为控制物料自动输送过程，料仓内应配有高、低料位报警及空穴显示料位计；</w:t>
      </w:r>
    </w:p>
    <w:p w14:paraId="13EED00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当料斗内粉料出现空穴、架桥情况时，系统应启动相应处理系统，实现安全排放；</w:t>
      </w:r>
    </w:p>
    <w:p w14:paraId="5FCCE375">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用于显示满、低及空位。并提供相关报警信号；</w:t>
      </w:r>
    </w:p>
    <w:p w14:paraId="3DC6852E">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型号：桨板式，220V。</w:t>
      </w:r>
    </w:p>
    <w:p w14:paraId="13B88409">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（三）料仓除尘器</w:t>
      </w:r>
    </w:p>
    <w:p w14:paraId="493A040E">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为保护操作环境，与料仓配套应包括顶部粉尘过滤系统，以在向料仓中输送物料时收集粉尘，气动清灰；</w:t>
      </w:r>
    </w:p>
    <w:p w14:paraId="23F7FA2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配置手动按钮盒，包括定时脉冲式清灰；</w:t>
      </w:r>
    </w:p>
    <w:p w14:paraId="51AEB1B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材质：低碳钢，表面防腐处理。包括与罐相连的连接管路；</w:t>
      </w:r>
    </w:p>
    <w:p w14:paraId="6D30B0A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气源要求：4.5Nm3/h, 5.5bar；</w:t>
      </w:r>
    </w:p>
    <w:p w14:paraId="2A01454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材质：不锈钢304。</w:t>
      </w:r>
    </w:p>
    <w:p w14:paraId="07230881">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（四）安全阀</w:t>
      </w:r>
    </w:p>
    <w:p w14:paraId="3443D01B">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膜片式，正负压开启，压差为0.05bar时，风量不小于100m3/min；</w:t>
      </w:r>
    </w:p>
    <w:p w14:paraId="1CD8B67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阀门开启时，空气由阀门进出，无粉尘泄漏；</w:t>
      </w:r>
    </w:p>
    <w:p w14:paraId="49FBF064">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碳钢材质。</w:t>
      </w:r>
    </w:p>
    <w:p w14:paraId="562C374C">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（五）称重系统</w:t>
      </w:r>
    </w:p>
    <w:p w14:paraId="4140660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在料仓的底部支架下部安装4只称重传感器，精确计量料仓内已有粉的余量，以控制料仓内物料进出。提供接线盒及称重显示器，可以现场直接显示，4-20mA信号输出到整个控制系统的PLC系统中，实现系统的远程监控。传感器材质为AISI304,防护等级IP65以上。称重显示器外壳选用不锈钢，品牌设备，防护等级IP65或以上。</w:t>
      </w:r>
    </w:p>
    <w:p w14:paraId="264DC662">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（六）料仓出口阀</w:t>
      </w:r>
    </w:p>
    <w:p w14:paraId="58244088">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手动操作，与给料机配套，安装于料仓及给料机之间，以控制物料进出；</w:t>
      </w:r>
    </w:p>
    <w:p w14:paraId="4B19E937">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阀板为不锈钢AISI304，采用三层填料密封。当安装高度较高时，应配套链条手动装置在地面操作该阀。</w:t>
      </w:r>
    </w:p>
    <w:p w14:paraId="6D08EA24">
      <w:pPr>
        <w:pStyle w:val="11"/>
        <w:spacing w:line="500" w:lineRule="exact"/>
        <w:ind w:left="0" w:leftChars="0" w:firstLine="422" w:firstLineChars="200"/>
        <w:rPr>
          <w:rFonts w:ascii="宋体" w:hAnsi="宋体" w:cs="宋体"/>
          <w:b/>
          <w:bCs/>
          <w:color w:val="auto"/>
          <w:szCs w:val="21"/>
        </w:rPr>
      </w:pPr>
      <w:r>
        <w:rPr>
          <w:rFonts w:hint="eastAsia" w:ascii="宋体" w:hAnsi="宋体" w:cs="宋体"/>
          <w:b/>
          <w:bCs/>
          <w:color w:val="auto"/>
          <w:szCs w:val="21"/>
        </w:rPr>
        <w:t>推荐品牌：索得曼、GREAT LOVE、PARIMIX等</w:t>
      </w:r>
    </w:p>
    <w:p w14:paraId="381E9FD2">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（七）螺旋给料机</w:t>
      </w:r>
    </w:p>
    <w:p w14:paraId="0406DB6B">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给料机由机身、进料口、出料口、螺旋、观察口及驱动系统等组成。给料机应保证干粉计量精度。给料机流量稳定、连续，流量与转速应有线性关系，螺旋应具有自洁功能；</w:t>
      </w:r>
    </w:p>
    <w:p w14:paraId="3C8D4E5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材质：碳钢；</w:t>
      </w:r>
    </w:p>
    <w:p w14:paraId="5E1DC1E1">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计量能力：不小于350kg/h；</w:t>
      </w:r>
    </w:p>
    <w:p w14:paraId="4E7428E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精度：±1%；</w:t>
      </w:r>
    </w:p>
    <w:p w14:paraId="5338C863">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电压：380 V，防护等级不低于IP55；</w:t>
      </w:r>
    </w:p>
    <w:p w14:paraId="401010E8">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绝缘等级：F级。</w:t>
      </w:r>
    </w:p>
    <w:p w14:paraId="4F4C43E6">
      <w:pPr>
        <w:pStyle w:val="11"/>
        <w:spacing w:line="500" w:lineRule="exact"/>
        <w:ind w:left="0" w:leftChars="0" w:firstLine="422" w:firstLineChars="200"/>
        <w:rPr>
          <w:rFonts w:ascii="宋体" w:hAnsi="宋体" w:cs="宋体"/>
          <w:b/>
          <w:bCs/>
          <w:color w:val="auto"/>
          <w:szCs w:val="21"/>
        </w:rPr>
      </w:pPr>
      <w:r>
        <w:rPr>
          <w:rFonts w:hint="eastAsia" w:ascii="宋体" w:hAnsi="宋体" w:cs="宋体"/>
          <w:b/>
          <w:bCs/>
          <w:color w:val="auto"/>
          <w:szCs w:val="21"/>
        </w:rPr>
        <w:t>推荐品牌：索得曼、GREAT LOVE、PARIMIX等</w:t>
      </w:r>
    </w:p>
    <w:p w14:paraId="18C94B58">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（八）螺旋输送机</w:t>
      </w:r>
    </w:p>
    <w:p w14:paraId="47305B9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材质：碳钢及以上材质；</w:t>
      </w:r>
    </w:p>
    <w:p w14:paraId="677CF1C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轴承：SKF、FAG、NTN，减速机采用SEW、Nord、Flender或同档次及以上品牌；</w:t>
      </w:r>
    </w:p>
    <w:p w14:paraId="0466653D">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与给料机出口相连，输送计量后的活性炭至溶解罐。螺旋输送器由进口、出口、取样点、检查孔、紧急卸料口及驱动电机等组成；</w:t>
      </w:r>
    </w:p>
    <w:p w14:paraId="110FB0FE">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螺旋输送机与溶解罐连接出料口需配套气动阀门以及除湿装置，确保在不配药时防止溶解罐内水汽对螺杆侵润而产生结块造成堵塞。</w:t>
      </w:r>
    </w:p>
    <w:p w14:paraId="350F7182">
      <w:pPr>
        <w:pStyle w:val="11"/>
        <w:spacing w:line="500" w:lineRule="exact"/>
        <w:ind w:left="0" w:leftChars="0" w:firstLine="422" w:firstLineChars="200"/>
        <w:rPr>
          <w:rFonts w:ascii="宋体" w:hAnsi="宋体" w:cs="宋体"/>
          <w:b/>
          <w:bCs/>
          <w:color w:val="auto"/>
          <w:szCs w:val="21"/>
        </w:rPr>
      </w:pPr>
      <w:r>
        <w:rPr>
          <w:rFonts w:hint="eastAsia" w:ascii="宋体" w:hAnsi="宋体" w:cs="宋体"/>
          <w:b/>
          <w:bCs/>
          <w:color w:val="auto"/>
          <w:szCs w:val="21"/>
        </w:rPr>
        <w:t>推荐品牌：索得曼、GREAT LOVE、PARIMIX等</w:t>
      </w:r>
    </w:p>
    <w:p w14:paraId="4286698C">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（九）制备溶解罐</w:t>
      </w:r>
    </w:p>
    <w:p w14:paraId="5441984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材质：不锈钢AISI304，厚4mm或4mm以上；</w:t>
      </w:r>
    </w:p>
    <w:p w14:paraId="19B4C5E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溶液罐容积不小于3.5m3，罐体强度须满足相关技术规范，罐体形式不限；底部排渣口口径DN50，安装自动法兰不锈钢球阀；</w:t>
      </w:r>
    </w:p>
    <w:p w14:paraId="0F89EFD8">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功能实现：（1）1.0-5%左右的活性碳乳液。包括排空阀、不锈钢AISI304搅拌器、溶解水系统等附件。溶解水应包括过滤器、调节阀、电动阀、电磁流量计等，溶解水部件应为UVPC材质。溶解罐应配套除尘器，不锈钢材质，包括管路冲洗除尘管线以清除除尘器内的收集的粉尘；溶解罐应配备排渣系统。</w:t>
      </w:r>
    </w:p>
    <w:p w14:paraId="39934483">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（十）溶液罐</w:t>
      </w:r>
    </w:p>
    <w:p w14:paraId="2931667E">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材质：不锈钢AISI304，厚4mm或4mm以上；</w:t>
      </w:r>
    </w:p>
    <w:p w14:paraId="4C809ADE">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罐体强度须满足相关技术规范，罐体形式不限；</w:t>
      </w:r>
    </w:p>
    <w:p w14:paraId="16A7CDE0">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储存制备罐的乳液。包括排空阀、超声波液位计，不锈钢AISI304搅拌机等附件。罐底配有排渣口。溶解罐包括溢流口；</w:t>
      </w:r>
    </w:p>
    <w:p w14:paraId="57F2B6C2">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溶液罐配有自动排渣系统装置，实现自动排渣。</w:t>
      </w:r>
    </w:p>
    <w:p w14:paraId="7D98D335">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（十一）搅拌机</w:t>
      </w:r>
    </w:p>
    <w:p w14:paraId="6A82B311">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减速机采用SEW、Nord、Flender或同档次及以上品牌减速机；</w:t>
      </w:r>
    </w:p>
    <w:p w14:paraId="0A5DE168">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所有的螺母、螺钉和垫圈为AISI304以上不锈钢材质；</w:t>
      </w:r>
    </w:p>
    <w:p w14:paraId="71F5D6C5">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搅拌轴及搅拌叶材料选定应采用防腐AISI304以上不锈钢材质。</w:t>
      </w:r>
    </w:p>
    <w:p w14:paraId="59B5D13A">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（十二）投加泵成套装置</w:t>
      </w:r>
    </w:p>
    <w:p w14:paraId="073FCB27">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泵流量可以通过变频器实现现场及远程调节，泵密封配套自动冲洗装置；</w:t>
      </w:r>
    </w:p>
    <w:p w14:paraId="0149DF4B">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每台泵出口配套隔膜压力表及压力开关，可以实现现场显示及远程传输，同时具有过压保护；</w:t>
      </w:r>
    </w:p>
    <w:p w14:paraId="4388FA7F">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每个投加点须配备独立的电磁流量计, 计量精度不低于0.5%，流量信号可以现场显示，也可以远传。不锈钢电极，PTFE衬里，防护等级IP67,包括瞬时及累积量显示，一体式，4-20mA输出。设计压力4MPa；</w:t>
      </w:r>
    </w:p>
    <w:p w14:paraId="22A1D364">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管路自动冲洗，一旦停泵立即注水冲洗。也可以根据设定时间自动冲洗，包括相关自动冲洗电动阀；</w:t>
      </w:r>
    </w:p>
    <w:p w14:paraId="651A9B25">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（十三）空气压缩机系统</w:t>
      </w:r>
    </w:p>
    <w:p w14:paraId="6E4C263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每套投加系统配备一套空压机系统。空压机系统包括空压机一台及相关附件；</w:t>
      </w:r>
    </w:p>
    <w:p w14:paraId="381497BE">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排气量&gt;0.67m</w:t>
      </w:r>
      <w:r>
        <w:rPr>
          <w:rFonts w:hint="eastAsia" w:ascii="宋体" w:hAnsi="宋体" w:cs="宋体"/>
          <w:color w:val="auto"/>
          <w:szCs w:val="21"/>
          <w:vertAlign w:val="superscript"/>
        </w:rPr>
        <w:t>3</w:t>
      </w:r>
      <w:r>
        <w:rPr>
          <w:rFonts w:hint="eastAsia" w:ascii="宋体" w:hAnsi="宋体" w:cs="宋体"/>
          <w:color w:val="auto"/>
          <w:szCs w:val="21"/>
        </w:rPr>
        <w:t>/min，最高工作压力8bar；</w:t>
      </w:r>
    </w:p>
    <w:p w14:paraId="00369F9E">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冷却方式:风冷；</w:t>
      </w:r>
    </w:p>
    <w:p w14:paraId="2AE33861">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附件包括：冷干机，前后2级过滤器，其中冷干机不允许集成在空压机内部，必须单独配套。</w:t>
      </w:r>
    </w:p>
    <w:p w14:paraId="66B09ED2">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（十四）增压系统</w:t>
      </w:r>
    </w:p>
    <w:p w14:paraId="1D2F15B3">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两台增压泵，4只手动切换阀，2只止回阀，1只压力表，压力表带信号输出；</w:t>
      </w:r>
    </w:p>
    <w:p w14:paraId="5345F114">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泵流量：12m</w:t>
      </w:r>
      <w:r>
        <w:rPr>
          <w:rFonts w:hint="eastAsia" w:ascii="宋体" w:hAnsi="宋体" w:cs="宋体"/>
          <w:color w:val="auto"/>
          <w:szCs w:val="21"/>
          <w:vertAlign w:val="superscript"/>
        </w:rPr>
        <w:t>3</w:t>
      </w:r>
      <w:r>
        <w:rPr>
          <w:rFonts w:hint="eastAsia" w:ascii="宋体" w:hAnsi="宋体" w:cs="宋体"/>
          <w:color w:val="auto"/>
          <w:szCs w:val="21"/>
        </w:rPr>
        <w:t>/h（参考）, 扬程：30m,系统1用1备，为活性炭系统供水；</w:t>
      </w:r>
    </w:p>
    <w:p w14:paraId="2293F15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包括电极点压力表可以实现低压启动，高压停止。</w:t>
      </w:r>
    </w:p>
    <w:p w14:paraId="516C37A8">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（十五）数字计量泵系统</w:t>
      </w:r>
    </w:p>
    <w:p w14:paraId="7436939E">
      <w:pPr>
        <w:spacing w:line="500" w:lineRule="exact"/>
        <w:ind w:left="420" w:leftChars="200"/>
        <w:rPr>
          <w:rFonts w:ascii="宋体" w:hAnsi="宋体" w:cs="宋体"/>
          <w:b/>
          <w:bCs/>
          <w:color w:val="auto"/>
          <w:szCs w:val="21"/>
          <w:u w:val="wave"/>
        </w:rPr>
      </w:pPr>
      <w:r>
        <w:rPr>
          <w:rFonts w:hint="eastAsia" w:ascii="宋体" w:hAnsi="宋体" w:cs="宋体"/>
          <w:b/>
          <w:bCs/>
          <w:color w:val="auto"/>
          <w:szCs w:val="21"/>
          <w:u w:val="wave"/>
        </w:rPr>
        <w:t>计量泵为原装产品</w:t>
      </w:r>
      <w:r>
        <w:rPr>
          <w:rFonts w:hint="eastAsia" w:ascii="宋体" w:hAnsi="宋体" w:cs="宋体"/>
          <w:b/>
          <w:color w:val="auto"/>
          <w:szCs w:val="21"/>
          <w:u w:val="wave"/>
        </w:rPr>
        <w:t>。</w:t>
      </w:r>
    </w:p>
    <w:p w14:paraId="735C4FD7">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隔膜计量泵采用原装采用数字隔膜式计量泵，计量泵采用直流无刷电机驱动，本身设有可读的液晶显示屏，通过显示屏可以直接读取显示的流量（ml/h或者l/h），通过按钮设定投加量。</w:t>
      </w:r>
    </w:p>
    <w:p w14:paraId="35637439">
      <w:pPr>
        <w:pStyle w:val="48"/>
        <w:tabs>
          <w:tab w:val="left" w:pos="907"/>
        </w:tabs>
        <w:spacing w:line="500" w:lineRule="exact"/>
        <w:ind w:left="420" w:leftChars="200"/>
        <w:rPr>
          <w:rFonts w:ascii="宋体" w:hAnsi="宋体" w:cs="宋体"/>
          <w:b/>
          <w:bCs/>
          <w:color w:val="auto"/>
          <w:szCs w:val="21"/>
          <w:u w:val="wave"/>
        </w:rPr>
      </w:pPr>
      <w:r>
        <w:rPr>
          <w:rFonts w:hint="eastAsia" w:ascii="宋体" w:hAnsi="宋体" w:cs="宋体"/>
          <w:b/>
          <w:bCs/>
          <w:color w:val="auto"/>
          <w:szCs w:val="21"/>
          <w:u w:val="wave"/>
        </w:rPr>
        <w:t>不得采用普通三相电机配置控制器的形式的替代驱动方案。</w:t>
      </w:r>
    </w:p>
    <w:p w14:paraId="3596DE43">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计量泵满足在不外接变频器或电动冲程长度调节装置的情况下实现流量自动调节。通过接受外部的控制信号，计量泵能够通过自动调节直流无刷电机的转速来调节排出速度，实现自动调节投加过程，确保最佳和充分的调节效果。</w:t>
      </w:r>
    </w:p>
    <w:p w14:paraId="47F03A62">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数字隔膜计量泵的投加精度必须达到±1%以上。</w:t>
      </w:r>
    </w:p>
    <w:p w14:paraId="3B8B1CC2">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加药计量泵采用数字式隔膜计量泵，计量泵本身设有可读的液晶面板，通过显示屏可以直接读取显示的流量（ml/h或者l/h），脉冲或者批量投加。</w:t>
      </w:r>
    </w:p>
    <w:p w14:paraId="0CF5F7FC">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友好的界面显示能让每一个人可以容易地操作泵。仅仅用几个按钮，你就能通过菜单来使用标准控制功能，包括脉冲、模拟量、定时、批投加和排气控制，以及标定和更多的功能。</w:t>
      </w:r>
    </w:p>
    <w:p w14:paraId="48F230B3">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计量泵采用可显示的控制面板，所有的手动操作仅通过设置在计量泵上的控制面板实现。同时要求面板采用友好的界面显示，简洁的菜单设置，能让每一个人可以容易地操作泵。流量的调节仅需通过按钮实现，并可显示需要设置的目标流量。</w:t>
      </w:r>
    </w:p>
    <w:p w14:paraId="36119451">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计量泵需自带以4-20ma模拟量信号的形式输出泵的实际工作流量的功能，同时计量泵的控制面板能够接受包括脉冲、模拟量4—20mA调节、定时、批投。</w:t>
      </w:r>
    </w:p>
    <w:p w14:paraId="3AF08127">
      <w:pPr>
        <w:pStyle w:val="48"/>
        <w:tabs>
          <w:tab w:val="left" w:pos="907"/>
        </w:tabs>
        <w:spacing w:line="500" w:lineRule="exact"/>
        <w:ind w:left="420" w:leftChars="200"/>
        <w:rPr>
          <w:rFonts w:ascii="宋体" w:hAnsi="宋体" w:cs="宋体"/>
          <w:color w:val="auto"/>
          <w:szCs w:val="21"/>
        </w:rPr>
      </w:pPr>
      <w:bookmarkStart w:id="746" w:name="OLE_LINK21"/>
      <w:bookmarkStart w:id="747" w:name="OLE_LINK22"/>
      <w:r>
        <w:rPr>
          <w:rFonts w:hint="eastAsia" w:ascii="宋体" w:hAnsi="宋体" w:cs="宋体"/>
          <w:color w:val="auto"/>
          <w:szCs w:val="21"/>
        </w:rPr>
        <w:t>在不同背压和吸水水头编号的情况下，加注泵的精度都应优于额定能力的1%。</w:t>
      </w:r>
      <w:bookmarkEnd w:id="746"/>
      <w:bookmarkEnd w:id="747"/>
      <w:r>
        <w:rPr>
          <w:rFonts w:hint="eastAsia" w:ascii="宋体" w:hAnsi="宋体" w:cs="宋体"/>
          <w:color w:val="auto"/>
          <w:szCs w:val="21"/>
        </w:rPr>
        <w:t>在该调节比范围内，计量泵的投加精度不会受到任何影响，达到精确投加、节省原料的目的。</w:t>
      </w:r>
    </w:p>
    <w:p w14:paraId="70069517">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泵具备面板锁定的功能，通过设置密码的方式，保证该泵在调试完成后，设置的参数在现场不会遭受其他不相干人员的误操作。</w:t>
      </w:r>
    </w:p>
    <w:p w14:paraId="21F4BEBF">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在220V，50Hz的电压能够满足使用的情况下，不接受380V，50Hz的三相电机。</w:t>
      </w:r>
    </w:p>
    <w:p w14:paraId="7A2EF3D5">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数字隔膜计量泵由PVC或者PVDF泵头、齿轮箱组成，使隔膜内的空气及时排出，保证泵的运行精度。</w:t>
      </w:r>
    </w:p>
    <w:p w14:paraId="00CBBAA0">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数字隔膜计量泵的液力端部分包括隔膜、单向阀及泵头外壳等组成。单向止回球阀采用PVC 的阀体、阀座，聚四氟密封件和垫片，加工精度高，强固耐腐蚀，以保证计量泵的精度和运行稳定。泵头外壳材质为PVC。</w:t>
      </w:r>
    </w:p>
    <w:p w14:paraId="1652B0C5">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数字隔膜计量泵运行时，泵的噪音不高于60 dB(A)，轴承温度不高于65oC，无异常振动，各密封处没有泄漏，隔膜采用PTFE材料</w:t>
      </w:r>
    </w:p>
    <w:p w14:paraId="34CFA326">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随机备件清单：各隔膜1个；单向阀1个。</w:t>
      </w:r>
    </w:p>
    <w:p w14:paraId="723FCA03">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数字投加泵精度： ±1%</w:t>
      </w:r>
    </w:p>
    <w:p w14:paraId="4827D8A9">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出口：PVC承插接口</w:t>
      </w:r>
    </w:p>
    <w:p w14:paraId="3DC8CDE4">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泵头材质：PVDF</w:t>
      </w:r>
    </w:p>
    <w:p w14:paraId="30108CC8">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密封材质：PTFE或FKM</w:t>
      </w:r>
    </w:p>
    <w:p w14:paraId="087AE5C8">
      <w:pPr>
        <w:pStyle w:val="48"/>
        <w:tabs>
          <w:tab w:val="left" w:pos="907"/>
        </w:tabs>
        <w:spacing w:line="500" w:lineRule="exact"/>
        <w:ind w:left="420" w:leftChars="200"/>
        <w:rPr>
          <w:rFonts w:ascii="宋体" w:hAnsi="宋体" w:cs="宋体"/>
          <w:b/>
          <w:color w:val="auto"/>
          <w:szCs w:val="21"/>
          <w:u w:val="wave"/>
        </w:rPr>
      </w:pPr>
      <w:r>
        <w:rPr>
          <w:rFonts w:hint="eastAsia" w:ascii="宋体" w:hAnsi="宋体" w:cs="宋体"/>
          <w:b/>
          <w:color w:val="auto"/>
          <w:szCs w:val="21"/>
          <w:u w:val="wave"/>
        </w:rPr>
        <w:t>计量泵加药系统应该一体化撬装设计，包含计量泵组，电气接线盒，安装管路附件（背压阀、脉冲阻尼器、安全阀、Y型过滤器）等，形成一个完整的系统。为避免堵塞，计量泵加药系统应配合理的管路冲洗设计。一体化撬装支架应采用铝合金型材，单个计量泵撬装最大尺寸2080*1820*720，最多3台计量泵设一个支架。</w:t>
      </w:r>
    </w:p>
    <w:p w14:paraId="4FD77A9A">
      <w:pPr>
        <w:pStyle w:val="11"/>
        <w:spacing w:line="500" w:lineRule="exact"/>
        <w:ind w:left="0" w:leftChars="0" w:firstLine="632" w:firstLineChars="300"/>
        <w:rPr>
          <w:rFonts w:ascii="宋体" w:hAnsi="宋体" w:cs="宋体"/>
          <w:b/>
          <w:bCs/>
          <w:color w:val="auto"/>
          <w:szCs w:val="21"/>
        </w:rPr>
      </w:pPr>
      <w:r>
        <w:rPr>
          <w:rFonts w:hint="eastAsia" w:ascii="宋体" w:hAnsi="宋体" w:cs="宋体"/>
          <w:b/>
          <w:bCs/>
          <w:color w:val="auto"/>
          <w:szCs w:val="21"/>
        </w:rPr>
        <w:t>一体化集成商推荐品牌：上海轩浦、固莱环保、净化控股等</w:t>
      </w:r>
    </w:p>
    <w:p w14:paraId="7644292B">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（十六）PE罐</w:t>
      </w:r>
    </w:p>
    <w:p w14:paraId="415ED244">
      <w:pPr>
        <w:pStyle w:val="48"/>
        <w:tabs>
          <w:tab w:val="left" w:pos="540"/>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容积：8m³</w:t>
      </w:r>
    </w:p>
    <w:p w14:paraId="01365078">
      <w:pPr>
        <w:pStyle w:val="48"/>
        <w:tabs>
          <w:tab w:val="left" w:pos="540"/>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材质：食品级，PE，加强筋</w:t>
      </w:r>
    </w:p>
    <w:p w14:paraId="24525482">
      <w:pPr>
        <w:pStyle w:val="48"/>
        <w:tabs>
          <w:tab w:val="left" w:pos="540"/>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盖直径：600mm；</w:t>
      </w:r>
    </w:p>
    <w:p w14:paraId="22FB9B6E">
      <w:pPr>
        <w:pStyle w:val="48"/>
        <w:tabs>
          <w:tab w:val="left" w:pos="540"/>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标准进出接口： DN65法兰；</w:t>
      </w:r>
    </w:p>
    <w:p w14:paraId="74B8A106">
      <w:pPr>
        <w:pStyle w:val="48"/>
        <w:tabs>
          <w:tab w:val="left" w:pos="540"/>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其他参数：储罐上预留排气口。</w:t>
      </w:r>
    </w:p>
    <w:p w14:paraId="5D338A3C">
      <w:pPr>
        <w:pStyle w:val="48"/>
        <w:tabs>
          <w:tab w:val="left" w:pos="907"/>
        </w:tabs>
        <w:spacing w:line="500" w:lineRule="exact"/>
        <w:ind w:left="420" w:leftChars="200"/>
        <w:rPr>
          <w:rFonts w:ascii="宋体" w:hAnsi="宋体" w:cs="宋体"/>
          <w:b/>
          <w:color w:val="auto"/>
          <w:szCs w:val="21"/>
          <w:u w:val="wave"/>
        </w:rPr>
      </w:pPr>
      <w:r>
        <w:rPr>
          <w:rFonts w:hint="eastAsia" w:ascii="宋体" w:hAnsi="宋体" w:cs="宋体"/>
          <w:b/>
          <w:color w:val="auto"/>
          <w:szCs w:val="21"/>
          <w:u w:val="wave"/>
        </w:rPr>
        <w:t>壁厚：≥18mm；</w:t>
      </w:r>
    </w:p>
    <w:p w14:paraId="07794760">
      <w:pPr>
        <w:pStyle w:val="48"/>
        <w:tabs>
          <w:tab w:val="left" w:pos="907"/>
        </w:tabs>
        <w:overflowPunct w:val="0"/>
        <w:autoSpaceDE w:val="0"/>
        <w:autoSpaceDN w:val="0"/>
        <w:adjustRightInd w:val="0"/>
        <w:spacing w:line="500" w:lineRule="exact"/>
        <w:ind w:left="420" w:leftChars="200"/>
        <w:textAlignment w:val="baseline"/>
        <w:rPr>
          <w:rFonts w:ascii="宋体" w:hAnsi="宋体" w:cs="宋体"/>
          <w:b/>
          <w:color w:val="auto"/>
          <w:szCs w:val="21"/>
          <w:highlight w:val="none"/>
          <w:u w:val="wave"/>
        </w:rPr>
      </w:pPr>
      <w:r>
        <w:rPr>
          <w:rFonts w:hint="eastAsia" w:ascii="宋体" w:hAnsi="宋体" w:cs="宋体"/>
          <w:b/>
          <w:bCs/>
          <w:color w:val="auto"/>
          <w:szCs w:val="21"/>
          <w:u w:val="wave"/>
        </w:rPr>
        <w:t>立式储罐生产原料为食品级，储液桶须有省级卫</w:t>
      </w:r>
      <w:r>
        <w:rPr>
          <w:rFonts w:hint="eastAsia" w:ascii="宋体" w:hAnsi="宋体" w:cs="宋体"/>
          <w:b/>
          <w:bCs/>
          <w:color w:val="auto"/>
          <w:szCs w:val="21"/>
          <w:highlight w:val="none"/>
          <w:u w:val="wave"/>
        </w:rPr>
        <w:t>生部门颁发的涉水产品卫生许可证（</w:t>
      </w:r>
      <w:r>
        <w:rPr>
          <w:rFonts w:hint="eastAsia" w:ascii="宋体" w:hAnsi="宋体" w:cs="宋体"/>
          <w:b/>
          <w:color w:val="auto"/>
          <w:szCs w:val="21"/>
          <w:highlight w:val="none"/>
          <w:u w:val="wave"/>
        </w:rPr>
        <w:t>供货时提供相关证书复印件及制造商加盖公章）</w:t>
      </w:r>
    </w:p>
    <w:p w14:paraId="38772085">
      <w:pPr>
        <w:pStyle w:val="6"/>
        <w:spacing w:before="0" w:after="0" w:line="5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（十七）计量泵附件</w:t>
      </w:r>
    </w:p>
    <w:p w14:paraId="06F7F692">
      <w:pPr>
        <w:spacing w:line="500" w:lineRule="exact"/>
        <w:ind w:left="420" w:leftChars="200"/>
        <w:rPr>
          <w:rFonts w:ascii="宋体" w:hAnsi="宋体" w:cs="宋体"/>
          <w:b/>
          <w:bCs/>
          <w:color w:val="auto"/>
          <w:szCs w:val="21"/>
        </w:rPr>
      </w:pPr>
      <w:r>
        <w:rPr>
          <w:rFonts w:hint="eastAsia" w:ascii="宋体" w:hAnsi="宋体" w:cs="宋体"/>
          <w:b/>
          <w:bCs/>
          <w:color w:val="auto"/>
          <w:szCs w:val="21"/>
        </w:rPr>
        <w:t>安全阀（内密封圈、接口O型圈必须耐腐蚀）</w:t>
      </w:r>
    </w:p>
    <w:p w14:paraId="45B3AAE9">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安装在计量泵的压力端，可以防止管路出现过高的压力。</w:t>
      </w:r>
    </w:p>
    <w:p w14:paraId="0A1B210B">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连接口径：根据设备清单</w:t>
      </w:r>
    </w:p>
    <w:p w14:paraId="62F60287">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阀体材质：UPVC</w:t>
      </w:r>
    </w:p>
    <w:p w14:paraId="41BF66B3">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O型圈：Viton</w:t>
      </w:r>
    </w:p>
    <w:p w14:paraId="354A1A66">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隔膜：PTFE</w:t>
      </w:r>
    </w:p>
    <w:p w14:paraId="7046FCED">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出厂调节至3bar</w:t>
      </w:r>
    </w:p>
    <w:p w14:paraId="76A8B197">
      <w:pPr>
        <w:spacing w:line="500" w:lineRule="exact"/>
        <w:ind w:left="420" w:leftChars="200"/>
        <w:rPr>
          <w:rFonts w:ascii="宋体" w:hAnsi="宋体" w:cs="宋体"/>
          <w:b/>
          <w:bCs/>
          <w:color w:val="auto"/>
          <w:szCs w:val="21"/>
        </w:rPr>
      </w:pPr>
      <w:r>
        <w:rPr>
          <w:rFonts w:hint="eastAsia" w:ascii="宋体" w:hAnsi="宋体" w:cs="宋体"/>
          <w:b/>
          <w:bCs/>
          <w:color w:val="auto"/>
          <w:szCs w:val="21"/>
        </w:rPr>
        <w:t>背压阀（压力保持阀）</w:t>
      </w:r>
    </w:p>
    <w:p w14:paraId="771992C5">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在投加系统没有背压、背压不稳定或者投加点位置比泵低时，用于维持计量泵投加流量的稳定。通过一个带弹簧的调节螺帽可以调节背压阀的压力。PVC材质，PTFE隔膜，出厂调节至2bar。</w:t>
      </w:r>
    </w:p>
    <w:p w14:paraId="073C44C7">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连接口径：根据设备清单</w:t>
      </w:r>
    </w:p>
    <w:p w14:paraId="403FD5CE">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阀体材质：UPVC</w:t>
      </w:r>
    </w:p>
    <w:p w14:paraId="7C075447">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O型圈：Viton</w:t>
      </w:r>
    </w:p>
    <w:p w14:paraId="36565203">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隔膜：PTFE</w:t>
      </w:r>
    </w:p>
    <w:p w14:paraId="52C51EA8">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出厂调节至2bar</w:t>
      </w:r>
    </w:p>
    <w:p w14:paraId="3EAF6C91">
      <w:pPr>
        <w:spacing w:line="500" w:lineRule="exact"/>
        <w:ind w:left="420" w:leftChars="200"/>
        <w:rPr>
          <w:rFonts w:ascii="宋体" w:hAnsi="宋体" w:cs="宋体"/>
          <w:b/>
          <w:bCs/>
          <w:color w:val="auto"/>
          <w:szCs w:val="21"/>
        </w:rPr>
      </w:pPr>
      <w:r>
        <w:rPr>
          <w:rFonts w:hint="eastAsia" w:ascii="宋体" w:hAnsi="宋体" w:cs="宋体"/>
          <w:b/>
          <w:bCs/>
          <w:color w:val="auto"/>
          <w:szCs w:val="21"/>
        </w:rPr>
        <w:t>脉动阻尼器</w:t>
      </w:r>
    </w:p>
    <w:p w14:paraId="3FDD292C">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通过能量平衡的方式减少精密计量泵药液输出的脉冲，使精密计量泵药液输出均匀，形成近似线性的流体特性，增加进料的平稳性，并消除因脉冲可能引起的振动对计量泵和系统造成的伤害。脉冲阻尼器隔膜材质为PTFE。</w:t>
      </w:r>
    </w:p>
    <w:p w14:paraId="6D54CD9D">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连接口径：根据设备清单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5062"/>
      </w:tblGrid>
      <w:tr w14:paraId="5EB1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9" w:type="dxa"/>
            <w:tcBorders>
              <w:top w:val="single" w:color="auto" w:sz="4" w:space="0"/>
              <w:left w:val="single" w:color="auto" w:sz="4" w:space="0"/>
              <w:bottom w:val="single" w:color="auto" w:sz="4" w:space="0"/>
              <w:right w:val="single" w:color="auto" w:sz="4" w:space="0"/>
            </w:tcBorders>
            <w:noWrap/>
            <w:vAlign w:val="center"/>
          </w:tcPr>
          <w:p w14:paraId="291CE932">
            <w:pPr>
              <w:spacing w:line="500" w:lineRule="exact"/>
              <w:rPr>
                <w:rFonts w:ascii="宋体" w:hAnsi="宋体" w:cs="宋体"/>
                <w:color w:val="auto"/>
                <w:szCs w:val="21"/>
              </w:rPr>
            </w:pPr>
            <w:r>
              <w:rPr>
                <w:rFonts w:hint="eastAsia" w:ascii="宋体" w:hAnsi="宋体" w:cs="宋体"/>
                <w:color w:val="auto"/>
                <w:szCs w:val="21"/>
              </w:rPr>
              <w:t>材质：</w:t>
            </w:r>
          </w:p>
        </w:tc>
        <w:tc>
          <w:tcPr>
            <w:tcW w:w="5062" w:type="dxa"/>
            <w:tcBorders>
              <w:top w:val="single" w:color="auto" w:sz="4" w:space="0"/>
              <w:left w:val="single" w:color="auto" w:sz="4" w:space="0"/>
              <w:bottom w:val="single" w:color="auto" w:sz="4" w:space="0"/>
              <w:right w:val="single" w:color="auto" w:sz="4" w:space="0"/>
            </w:tcBorders>
            <w:noWrap/>
            <w:vAlign w:val="center"/>
          </w:tcPr>
          <w:p w14:paraId="75DDCACC">
            <w:pPr>
              <w:spacing w:line="500" w:lineRule="exact"/>
              <w:ind w:left="420" w:leftChars="200" w:firstLine="420"/>
              <w:rPr>
                <w:rFonts w:ascii="宋体" w:hAnsi="宋体" w:cs="宋体"/>
                <w:color w:val="auto"/>
                <w:szCs w:val="21"/>
              </w:rPr>
            </w:pPr>
            <w:r>
              <w:rPr>
                <w:rFonts w:hint="eastAsia" w:ascii="宋体" w:hAnsi="宋体" w:cs="宋体"/>
                <w:color w:val="auto"/>
                <w:szCs w:val="21"/>
              </w:rPr>
              <w:t>壳体：UPVC，密封垫：Viton</w:t>
            </w:r>
          </w:p>
        </w:tc>
      </w:tr>
      <w:tr w14:paraId="6704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tcBorders>
              <w:top w:val="single" w:color="auto" w:sz="4" w:space="0"/>
              <w:left w:val="single" w:color="auto" w:sz="4" w:space="0"/>
              <w:bottom w:val="single" w:color="auto" w:sz="4" w:space="0"/>
              <w:right w:val="single" w:color="auto" w:sz="4" w:space="0"/>
            </w:tcBorders>
            <w:noWrap/>
            <w:vAlign w:val="center"/>
          </w:tcPr>
          <w:p w14:paraId="216C7060">
            <w:pPr>
              <w:spacing w:line="500" w:lineRule="exact"/>
              <w:rPr>
                <w:rFonts w:ascii="宋体" w:hAnsi="宋体" w:cs="宋体"/>
                <w:color w:val="auto"/>
                <w:szCs w:val="21"/>
              </w:rPr>
            </w:pPr>
            <w:r>
              <w:rPr>
                <w:rFonts w:hint="eastAsia" w:ascii="宋体" w:hAnsi="宋体" w:cs="宋体"/>
                <w:color w:val="auto"/>
                <w:szCs w:val="21"/>
              </w:rPr>
              <w:t>连接：</w:t>
            </w:r>
          </w:p>
        </w:tc>
        <w:tc>
          <w:tcPr>
            <w:tcW w:w="5062" w:type="dxa"/>
            <w:tcBorders>
              <w:top w:val="single" w:color="auto" w:sz="4" w:space="0"/>
              <w:left w:val="single" w:color="auto" w:sz="4" w:space="0"/>
              <w:bottom w:val="single" w:color="auto" w:sz="4" w:space="0"/>
              <w:right w:val="single" w:color="auto" w:sz="4" w:space="0"/>
            </w:tcBorders>
            <w:noWrap/>
            <w:vAlign w:val="center"/>
          </w:tcPr>
          <w:p w14:paraId="536825C2">
            <w:pPr>
              <w:spacing w:line="500" w:lineRule="exact"/>
              <w:ind w:left="420" w:leftChars="200" w:firstLine="420"/>
              <w:rPr>
                <w:rFonts w:ascii="宋体" w:hAnsi="宋体" w:cs="宋体"/>
                <w:color w:val="auto"/>
                <w:szCs w:val="21"/>
              </w:rPr>
            </w:pPr>
            <w:r>
              <w:rPr>
                <w:rFonts w:hint="eastAsia" w:ascii="宋体" w:hAnsi="宋体" w:cs="宋体"/>
                <w:color w:val="auto"/>
                <w:szCs w:val="21"/>
              </w:rPr>
              <w:t>准备UPVC承插连接</w:t>
            </w:r>
          </w:p>
        </w:tc>
      </w:tr>
      <w:tr w14:paraId="6CE0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tcBorders>
              <w:top w:val="single" w:color="auto" w:sz="4" w:space="0"/>
              <w:left w:val="single" w:color="auto" w:sz="4" w:space="0"/>
              <w:bottom w:val="single" w:color="auto" w:sz="4" w:space="0"/>
              <w:right w:val="single" w:color="auto" w:sz="4" w:space="0"/>
            </w:tcBorders>
            <w:noWrap/>
            <w:vAlign w:val="center"/>
          </w:tcPr>
          <w:p w14:paraId="61C45249">
            <w:pPr>
              <w:spacing w:line="500" w:lineRule="exact"/>
              <w:rPr>
                <w:rFonts w:ascii="宋体" w:hAnsi="宋体" w:cs="宋体"/>
                <w:color w:val="auto"/>
                <w:szCs w:val="21"/>
              </w:rPr>
            </w:pPr>
            <w:r>
              <w:rPr>
                <w:rFonts w:hint="eastAsia" w:ascii="宋体" w:hAnsi="宋体" w:cs="宋体"/>
                <w:color w:val="auto"/>
                <w:szCs w:val="21"/>
              </w:rPr>
              <w:t>容积：</w:t>
            </w:r>
          </w:p>
        </w:tc>
        <w:tc>
          <w:tcPr>
            <w:tcW w:w="5062" w:type="dxa"/>
            <w:tcBorders>
              <w:top w:val="single" w:color="auto" w:sz="4" w:space="0"/>
              <w:left w:val="single" w:color="auto" w:sz="4" w:space="0"/>
              <w:bottom w:val="single" w:color="auto" w:sz="4" w:space="0"/>
              <w:right w:val="single" w:color="auto" w:sz="4" w:space="0"/>
            </w:tcBorders>
            <w:noWrap/>
            <w:vAlign w:val="center"/>
          </w:tcPr>
          <w:p w14:paraId="6DA9CAD5">
            <w:pPr>
              <w:spacing w:line="500" w:lineRule="exact"/>
              <w:ind w:left="420" w:leftChars="200" w:firstLine="420"/>
              <w:rPr>
                <w:rFonts w:ascii="宋体" w:hAnsi="宋体" w:cs="宋体"/>
                <w:color w:val="auto"/>
                <w:szCs w:val="21"/>
              </w:rPr>
            </w:pPr>
            <w:r>
              <w:rPr>
                <w:rFonts w:hint="eastAsia" w:ascii="宋体" w:hAnsi="宋体" w:cs="宋体"/>
                <w:color w:val="auto"/>
                <w:szCs w:val="21"/>
              </w:rPr>
              <w:t>1.0L/2.5L</w:t>
            </w:r>
          </w:p>
        </w:tc>
      </w:tr>
      <w:tr w14:paraId="1EC6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tcBorders>
              <w:top w:val="single" w:color="auto" w:sz="4" w:space="0"/>
              <w:left w:val="single" w:color="auto" w:sz="4" w:space="0"/>
              <w:bottom w:val="single" w:color="auto" w:sz="4" w:space="0"/>
              <w:right w:val="single" w:color="auto" w:sz="4" w:space="0"/>
            </w:tcBorders>
            <w:noWrap/>
            <w:vAlign w:val="center"/>
          </w:tcPr>
          <w:p w14:paraId="7DE92132">
            <w:pPr>
              <w:spacing w:line="500" w:lineRule="exact"/>
              <w:rPr>
                <w:rFonts w:ascii="宋体" w:hAnsi="宋体" w:cs="宋体"/>
                <w:color w:val="auto"/>
                <w:szCs w:val="21"/>
              </w:rPr>
            </w:pPr>
            <w:r>
              <w:rPr>
                <w:rFonts w:hint="eastAsia" w:ascii="宋体" w:hAnsi="宋体" w:cs="宋体"/>
                <w:color w:val="auto"/>
                <w:szCs w:val="21"/>
              </w:rPr>
              <w:t>最大压力：</w:t>
            </w:r>
          </w:p>
        </w:tc>
        <w:tc>
          <w:tcPr>
            <w:tcW w:w="5062" w:type="dxa"/>
            <w:tcBorders>
              <w:top w:val="single" w:color="auto" w:sz="4" w:space="0"/>
              <w:left w:val="single" w:color="auto" w:sz="4" w:space="0"/>
              <w:bottom w:val="single" w:color="auto" w:sz="4" w:space="0"/>
              <w:right w:val="single" w:color="auto" w:sz="4" w:space="0"/>
            </w:tcBorders>
            <w:noWrap/>
            <w:vAlign w:val="center"/>
          </w:tcPr>
          <w:p w14:paraId="1861F885">
            <w:pPr>
              <w:spacing w:line="500" w:lineRule="exact"/>
              <w:ind w:left="420" w:leftChars="200" w:firstLine="420"/>
              <w:rPr>
                <w:rFonts w:ascii="宋体" w:hAnsi="宋体" w:cs="宋体"/>
                <w:color w:val="auto"/>
                <w:szCs w:val="21"/>
              </w:rPr>
            </w:pPr>
            <w:r>
              <w:rPr>
                <w:rFonts w:hint="eastAsia" w:ascii="宋体" w:hAnsi="宋体" w:cs="宋体"/>
                <w:color w:val="auto"/>
                <w:szCs w:val="21"/>
              </w:rPr>
              <w:t>5bar</w:t>
            </w:r>
          </w:p>
        </w:tc>
      </w:tr>
    </w:tbl>
    <w:p w14:paraId="5BA59D3F">
      <w:pPr>
        <w:spacing w:line="500" w:lineRule="exact"/>
        <w:ind w:left="420" w:leftChars="200"/>
        <w:rPr>
          <w:rFonts w:ascii="宋体" w:hAnsi="宋体" w:cs="宋体"/>
          <w:b/>
          <w:bCs/>
          <w:color w:val="auto"/>
          <w:szCs w:val="21"/>
        </w:rPr>
      </w:pPr>
      <w:r>
        <w:rPr>
          <w:rFonts w:hint="eastAsia" w:ascii="宋体" w:hAnsi="宋体" w:cs="宋体"/>
          <w:b/>
          <w:bCs/>
          <w:color w:val="auto"/>
          <w:szCs w:val="21"/>
        </w:rPr>
        <w:t>Y型过滤器</w:t>
      </w:r>
    </w:p>
    <w:p w14:paraId="6CE88BAD">
      <w:pPr>
        <w:pStyle w:val="48"/>
        <w:tabs>
          <w:tab w:val="left" w:pos="907"/>
        </w:tabs>
        <w:spacing w:line="500" w:lineRule="exact"/>
        <w:ind w:left="218" w:leftChars="104" w:firstLine="480"/>
        <w:rPr>
          <w:rFonts w:ascii="宋体" w:hAnsi="宋体" w:cs="宋体"/>
          <w:color w:val="auto"/>
          <w:szCs w:val="21"/>
        </w:rPr>
      </w:pPr>
      <w:r>
        <w:rPr>
          <w:rFonts w:hint="eastAsia" w:ascii="宋体" w:hAnsi="宋体" w:cs="宋体"/>
          <w:color w:val="auto"/>
          <w:szCs w:val="21"/>
        </w:rPr>
        <w:t>是输送介质的管道系统不可缺少的一种过滤装置，Y型过滤器通常安装在减压阀、泄压阀、定水位阀或其他设备的进口端，用来清除介质中的杂质，以保护阀门及设备的正常使用。Y型过滤器应具有结构先进，阻力小，排污方便等特点。</w:t>
      </w:r>
    </w:p>
    <w:p w14:paraId="31C91FC7">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材质：UPVC，滤芯应易于检查和拆卸清除杂质。</w:t>
      </w:r>
    </w:p>
    <w:p w14:paraId="3E9681C7">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公称压力：0.6MPa</w:t>
      </w:r>
    </w:p>
    <w:p w14:paraId="725CB6AD">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连接口径：根据设备清单</w:t>
      </w:r>
    </w:p>
    <w:p w14:paraId="73EE0452">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（十八）控制柜</w:t>
      </w:r>
    </w:p>
    <w:p w14:paraId="1F405D0E">
      <w:pPr>
        <w:numPr>
          <w:ilvl w:val="2"/>
          <w:numId w:val="0"/>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随机应包括一套完整控制柜，控制柜本身防护等级IP55以上，环境腐蚀类别0类。采用标准机柜，双层柜门，柜体不小于2mm厚的喷塑碳钢, 采用折叠式的焊接结构, 前开门，门上配有手柄、锁及铭牌，所有的门或出入口都用氯丁橡胶密封。控制柜内提供门控30W 荧光灯，安装在柜的顶部，并且要具有更换灯管的操作空间。柜体设有防小动物进入的通风装置。</w:t>
      </w:r>
    </w:p>
    <w:p w14:paraId="11F2E185">
      <w:pPr>
        <w:numPr>
          <w:ilvl w:val="2"/>
          <w:numId w:val="0"/>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整套活性炭投加系统采用PLC自动控制， PLC采用罗克韦尔/西门子/施耐德或同等档次以上系统，能与水厂中控系统（含上位机及组态软件）兼容。现场控制柜包括触摸屏，能显示、设置、修改工艺参数，控制</w:t>
      </w:r>
    </w:p>
    <w:p w14:paraId="1784B446">
      <w:pPr>
        <w:numPr>
          <w:ilvl w:val="2"/>
          <w:numId w:val="0"/>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制备及投加。泵的流量可以通过4-20mA信号调节。控制柜内的变频器须采用施耐德、ABB、丹佛斯或同档次及以上品牌，其他元器件须采用“默勒”、“ABB”、“施耐德”、“西门子”品牌或同档次以上品牌。控制柜放在设备现场，现场设置转换开关。</w:t>
      </w:r>
    </w:p>
    <w:p w14:paraId="016696C6">
      <w:pPr>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系统至少需具备以下功能：</w:t>
      </w:r>
    </w:p>
    <w:p w14:paraId="761CD98C">
      <w:pPr>
        <w:tabs>
          <w:tab w:val="left" w:pos="425"/>
          <w:tab w:val="left" w:pos="907"/>
        </w:tabs>
        <w:spacing w:line="500" w:lineRule="exact"/>
        <w:ind w:left="420" w:leftChars="200" w:firstLine="452" w:firstLineChars="200"/>
        <w:jc w:val="left"/>
        <w:rPr>
          <w:rFonts w:ascii="宋体" w:hAnsi="宋体" w:cs="宋体"/>
          <w:color w:val="auto"/>
          <w:spacing w:val="8"/>
          <w:szCs w:val="21"/>
        </w:rPr>
      </w:pPr>
      <w:r>
        <w:rPr>
          <w:rFonts w:hint="eastAsia" w:ascii="宋体" w:hAnsi="宋体" w:cs="宋体"/>
          <w:color w:val="auto"/>
          <w:spacing w:val="8"/>
          <w:szCs w:val="21"/>
        </w:rPr>
        <w:t>全套系统PLC控制；</w:t>
      </w:r>
    </w:p>
    <w:p w14:paraId="3E4E5A36">
      <w:pPr>
        <w:tabs>
          <w:tab w:val="left" w:pos="425"/>
          <w:tab w:val="left" w:pos="907"/>
        </w:tabs>
        <w:spacing w:line="500" w:lineRule="exact"/>
        <w:ind w:left="420" w:leftChars="200" w:firstLine="452" w:firstLineChars="200"/>
        <w:rPr>
          <w:rFonts w:ascii="宋体" w:hAnsi="宋体" w:cs="宋体"/>
          <w:color w:val="auto"/>
          <w:spacing w:val="8"/>
          <w:szCs w:val="21"/>
        </w:rPr>
      </w:pPr>
      <w:r>
        <w:rPr>
          <w:rFonts w:hint="eastAsia" w:ascii="宋体" w:hAnsi="宋体" w:cs="宋体"/>
          <w:color w:val="auto"/>
          <w:spacing w:val="8"/>
          <w:szCs w:val="21"/>
        </w:rPr>
        <w:t>系统各设备的运行及报警显示（中文人机界面）；</w:t>
      </w:r>
    </w:p>
    <w:p w14:paraId="0250E4EB">
      <w:pPr>
        <w:tabs>
          <w:tab w:val="left" w:pos="425"/>
          <w:tab w:val="left" w:pos="907"/>
        </w:tabs>
        <w:spacing w:line="500" w:lineRule="exact"/>
        <w:ind w:left="420" w:leftChars="200" w:firstLine="452" w:firstLineChars="200"/>
        <w:rPr>
          <w:rFonts w:ascii="宋体" w:hAnsi="宋体" w:cs="宋体"/>
          <w:color w:val="auto"/>
          <w:spacing w:val="8"/>
          <w:szCs w:val="21"/>
        </w:rPr>
      </w:pPr>
      <w:r>
        <w:rPr>
          <w:rFonts w:hint="eastAsia" w:ascii="宋体" w:hAnsi="宋体" w:cs="宋体"/>
          <w:color w:val="auto"/>
          <w:spacing w:val="8"/>
          <w:szCs w:val="21"/>
        </w:rPr>
        <w:t>相关信号的远程输出；</w:t>
      </w:r>
    </w:p>
    <w:p w14:paraId="3AFA2D47">
      <w:pPr>
        <w:tabs>
          <w:tab w:val="left" w:pos="425"/>
          <w:tab w:val="left" w:pos="907"/>
        </w:tabs>
        <w:spacing w:line="500" w:lineRule="exact"/>
        <w:ind w:left="420" w:leftChars="200" w:firstLine="452" w:firstLineChars="200"/>
        <w:rPr>
          <w:rFonts w:ascii="宋体" w:hAnsi="宋体" w:cs="宋体"/>
          <w:color w:val="auto"/>
          <w:spacing w:val="8"/>
          <w:szCs w:val="21"/>
        </w:rPr>
      </w:pPr>
      <w:r>
        <w:rPr>
          <w:rFonts w:hint="eastAsia" w:ascii="宋体" w:hAnsi="宋体" w:cs="宋体"/>
          <w:color w:val="auto"/>
          <w:spacing w:val="8"/>
          <w:szCs w:val="21"/>
        </w:rPr>
        <w:t>配备标准通讯接口及与接入的加药间主站PLC所需的相关通讯设备（如加药间主站通讯卡、T接线头等），与水厂现有控制系统兼容（系统接入立新水厂主站PLC）并负责完善上位机监控画面；</w:t>
      </w:r>
    </w:p>
    <w:p w14:paraId="60BC8126">
      <w:pPr>
        <w:tabs>
          <w:tab w:val="left" w:pos="425"/>
          <w:tab w:val="left" w:pos="907"/>
        </w:tabs>
        <w:spacing w:line="500" w:lineRule="exact"/>
        <w:ind w:left="420" w:leftChars="200" w:firstLine="452" w:firstLineChars="200"/>
        <w:rPr>
          <w:rFonts w:ascii="宋体" w:hAnsi="宋体" w:cs="宋体"/>
          <w:color w:val="auto"/>
          <w:spacing w:val="8"/>
          <w:szCs w:val="21"/>
        </w:rPr>
      </w:pPr>
      <w:r>
        <w:rPr>
          <w:rFonts w:hint="eastAsia" w:ascii="宋体" w:hAnsi="宋体" w:cs="宋体"/>
          <w:color w:val="auto"/>
          <w:spacing w:val="8"/>
          <w:szCs w:val="21"/>
        </w:rPr>
        <w:t>按设定浓度自动配料；</w:t>
      </w:r>
    </w:p>
    <w:p w14:paraId="6EB6D045">
      <w:pPr>
        <w:tabs>
          <w:tab w:val="left" w:pos="425"/>
          <w:tab w:val="left" w:pos="907"/>
        </w:tabs>
        <w:spacing w:line="500" w:lineRule="exact"/>
        <w:ind w:left="420" w:leftChars="200" w:firstLine="452" w:firstLineChars="200"/>
        <w:rPr>
          <w:rFonts w:ascii="宋体" w:hAnsi="宋体" w:cs="宋体"/>
          <w:color w:val="auto"/>
          <w:spacing w:val="8"/>
          <w:szCs w:val="21"/>
        </w:rPr>
      </w:pPr>
      <w:r>
        <w:rPr>
          <w:rFonts w:hint="eastAsia" w:ascii="宋体" w:hAnsi="宋体" w:cs="宋体"/>
          <w:color w:val="auto"/>
          <w:spacing w:val="8"/>
          <w:szCs w:val="21"/>
        </w:rPr>
        <w:t>投加点根据原水流量自动投加；</w:t>
      </w:r>
    </w:p>
    <w:p w14:paraId="5E5E4F86">
      <w:pPr>
        <w:tabs>
          <w:tab w:val="left" w:pos="425"/>
          <w:tab w:val="left" w:pos="907"/>
        </w:tabs>
        <w:spacing w:line="500" w:lineRule="exact"/>
        <w:ind w:left="420" w:leftChars="200" w:firstLine="452" w:firstLineChars="200"/>
        <w:rPr>
          <w:rFonts w:ascii="宋体" w:hAnsi="宋体" w:cs="宋体"/>
          <w:color w:val="auto"/>
          <w:spacing w:val="8"/>
          <w:szCs w:val="21"/>
        </w:rPr>
      </w:pPr>
      <w:r>
        <w:rPr>
          <w:rFonts w:hint="eastAsia" w:ascii="宋体" w:hAnsi="宋体" w:cs="宋体"/>
          <w:color w:val="auto"/>
          <w:spacing w:val="8"/>
          <w:szCs w:val="21"/>
        </w:rPr>
        <w:t>可供电源：3x380/220V，50Hz；</w:t>
      </w:r>
    </w:p>
    <w:p w14:paraId="46353627">
      <w:pPr>
        <w:tabs>
          <w:tab w:val="left" w:pos="425"/>
          <w:tab w:val="left" w:pos="907"/>
        </w:tabs>
        <w:spacing w:line="500" w:lineRule="exact"/>
        <w:ind w:left="420" w:leftChars="200" w:firstLine="452" w:firstLineChars="200"/>
        <w:rPr>
          <w:rFonts w:ascii="宋体" w:hAnsi="宋体" w:cs="宋体"/>
          <w:color w:val="auto"/>
          <w:spacing w:val="8"/>
          <w:szCs w:val="21"/>
        </w:rPr>
      </w:pPr>
      <w:r>
        <w:rPr>
          <w:rFonts w:hint="eastAsia" w:ascii="宋体" w:hAnsi="宋体" w:cs="宋体"/>
          <w:color w:val="auto"/>
          <w:spacing w:val="8"/>
          <w:szCs w:val="21"/>
        </w:rPr>
        <w:t>在投加系统自动运行过程中可以对设备进行手动控制，方便检修维护；</w:t>
      </w:r>
    </w:p>
    <w:p w14:paraId="6518435E">
      <w:pPr>
        <w:tabs>
          <w:tab w:val="left" w:pos="425"/>
          <w:tab w:val="left" w:pos="907"/>
        </w:tabs>
        <w:spacing w:line="500" w:lineRule="exact"/>
        <w:ind w:left="420" w:leftChars="200" w:firstLine="452" w:firstLineChars="200"/>
        <w:rPr>
          <w:rFonts w:ascii="宋体" w:hAnsi="宋体" w:cs="宋体"/>
          <w:color w:val="auto"/>
          <w:spacing w:val="8"/>
          <w:szCs w:val="21"/>
        </w:rPr>
      </w:pPr>
      <w:r>
        <w:rPr>
          <w:rFonts w:hint="eastAsia" w:ascii="宋体" w:hAnsi="宋体" w:cs="宋体"/>
          <w:color w:val="auto"/>
          <w:spacing w:val="8"/>
          <w:szCs w:val="21"/>
        </w:rPr>
        <w:t>具有自动排放渣水的功能。</w:t>
      </w:r>
    </w:p>
    <w:p w14:paraId="32FC9C95">
      <w:pPr>
        <w:numPr>
          <w:ilvl w:val="1"/>
          <w:numId w:val="0"/>
        </w:numPr>
        <w:spacing w:line="500" w:lineRule="exact"/>
        <w:ind w:left="420" w:leftChars="200" w:firstLine="422" w:firstLineChars="200"/>
        <w:rPr>
          <w:rFonts w:ascii="宋体" w:hAnsi="宋体" w:cs="宋体"/>
          <w:b/>
          <w:color w:val="auto"/>
          <w:szCs w:val="21"/>
        </w:rPr>
      </w:pPr>
      <w:r>
        <w:rPr>
          <w:rFonts w:hint="eastAsia" w:ascii="宋体" w:hAnsi="宋体" w:cs="宋体"/>
          <w:b/>
          <w:color w:val="auto"/>
          <w:szCs w:val="21"/>
        </w:rPr>
        <w:t>表面处理：</w:t>
      </w:r>
    </w:p>
    <w:p w14:paraId="782E3516">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所有碳钢材质表面均需多层防腐处理，除锈达到Sa2.5级，完全除去金属表面的油脂、氧化皮、锈蚀物等一些杂物，外壁采用经喷砂处理到SA 2 ½后，2层100µm环氧底漆，外涂同一颜色50µm丙烯酸面层。</w:t>
      </w:r>
    </w:p>
    <w:p w14:paraId="35E751E1">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不锈钢表面喷砂处理。</w:t>
      </w:r>
    </w:p>
    <w:p w14:paraId="02B3A89F">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料仓表面喷砂除锈SA2 ½，料仓内外表面均须喷涂环氧漆，内表面涂食品级环氧漆2层；外表面2层环氧底漆100μm，外涂同一颜色50μm丙烯酸/聚氨酯面层。</w:t>
      </w:r>
    </w:p>
    <w:p w14:paraId="2B4CF87C">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电机、齿轮箱等按照相应供应商的标准表面处理。</w:t>
      </w:r>
    </w:p>
    <w:p w14:paraId="39BC9C0E">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现场安装时，对于已经损坏的涂漆表面、由承包人和供货商负责修复并完成最终涂装。</w:t>
      </w:r>
    </w:p>
    <w:p w14:paraId="0F6BD63A">
      <w:pPr>
        <w:spacing w:line="500" w:lineRule="exact"/>
        <w:ind w:left="420" w:leftChars="200" w:firstLine="422" w:firstLineChars="200"/>
        <w:rPr>
          <w:rFonts w:ascii="宋体" w:hAnsi="宋体" w:cs="宋体"/>
          <w:b/>
          <w:color w:val="auto"/>
          <w:szCs w:val="21"/>
        </w:rPr>
      </w:pPr>
      <w:r>
        <w:rPr>
          <w:rFonts w:hint="eastAsia" w:ascii="宋体" w:hAnsi="宋体" w:cs="宋体"/>
          <w:b/>
          <w:color w:val="auto"/>
          <w:szCs w:val="21"/>
        </w:rPr>
        <w:t>（十九）备品备件及专用工具（含在投标总价中）</w:t>
      </w:r>
    </w:p>
    <w:p w14:paraId="2CFB200C">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备品备件以保证设备正常运行为目标，可以以模件为单位，每一模件至少需要一个备品。如果使用单只继电器则按每一类继电器一个备品考虑，对于易损坏的或经常更换的小型元件应适当增加备件数量。</w:t>
      </w:r>
    </w:p>
    <w:p w14:paraId="5648C61E">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卖方应提供投标产品的备品备件清单及单价。</w:t>
      </w:r>
    </w:p>
    <w:p w14:paraId="6D339C55">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卖方应按标准提供1年的易损备品备件。列出易损备品备件明细。</w:t>
      </w:r>
    </w:p>
    <w:p w14:paraId="7A386324">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卖方应提供随机专用工具清单。</w:t>
      </w:r>
    </w:p>
    <w:p w14:paraId="0E9C49BB">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卖方应承诺在保修期外以不高于第二章九条第3款的价格向买方提供备品备件，并在寿命期内保证零配件供应。</w:t>
      </w:r>
    </w:p>
    <w:p w14:paraId="14795A98">
      <w:pPr>
        <w:pStyle w:val="6"/>
        <w:spacing w:before="93" w:beforeLines="30" w:after="93" w:afterLines="30" w:line="500" w:lineRule="exact"/>
        <w:jc w:val="left"/>
        <w:rPr>
          <w:rFonts w:ascii="宋体" w:hAnsi="宋体" w:cs="宋体"/>
          <w:color w:val="auto"/>
          <w:sz w:val="21"/>
          <w:szCs w:val="21"/>
        </w:rPr>
      </w:pPr>
      <w:bookmarkStart w:id="748" w:name="_Toc132546123"/>
      <w:bookmarkStart w:id="749" w:name="_Toc132564825"/>
      <w:bookmarkStart w:id="750" w:name="_Toc132547684"/>
      <w:bookmarkStart w:id="751" w:name="_Toc132633459"/>
      <w:r>
        <w:rPr>
          <w:rFonts w:hint="eastAsia" w:ascii="宋体" w:hAnsi="宋体" w:cs="宋体"/>
          <w:color w:val="auto"/>
          <w:sz w:val="21"/>
          <w:szCs w:val="21"/>
        </w:rPr>
        <w:t>4.2.5 滤池气浮工艺改造</w:t>
      </w:r>
    </w:p>
    <w:p w14:paraId="15A674D6">
      <w:pPr>
        <w:numPr>
          <w:ilvl w:val="255"/>
          <w:numId w:val="0"/>
        </w:numPr>
        <w:spacing w:line="360" w:lineRule="auto"/>
        <w:ind w:left="420" w:leftChars="200"/>
        <w:rPr>
          <w:rFonts w:ascii="宋体" w:hAnsi="宋体" w:cs="宋体"/>
          <w:b/>
          <w:color w:val="auto"/>
          <w:sz w:val="24"/>
        </w:rPr>
      </w:pPr>
      <w:r>
        <w:rPr>
          <w:rFonts w:hint="eastAsia" w:ascii="宋体" w:hAnsi="宋体" w:cs="宋体"/>
          <w:b/>
          <w:color w:val="auto"/>
          <w:sz w:val="24"/>
        </w:rPr>
        <w:t>★主要设备材料表</w:t>
      </w:r>
    </w:p>
    <w:p w14:paraId="76221460">
      <w:pPr>
        <w:pStyle w:val="53"/>
        <w:spacing w:before="120" w:line="360" w:lineRule="auto"/>
        <w:rPr>
          <w:color w:val="auto"/>
        </w:rPr>
      </w:pPr>
      <w:r>
        <w:rPr>
          <w:color w:val="auto"/>
        </w:rPr>
        <w:t>表4-4 主要工程量表</w:t>
      </w:r>
    </w:p>
    <w:tbl>
      <w:tblPr>
        <w:tblStyle w:val="23"/>
        <w:tblW w:w="0" w:type="auto"/>
        <w:tblInd w:w="-313" w:type="dxa"/>
        <w:tblLayout w:type="fixed"/>
        <w:tblCellMar>
          <w:top w:w="0" w:type="dxa"/>
          <w:left w:w="108" w:type="dxa"/>
          <w:bottom w:w="0" w:type="dxa"/>
          <w:right w:w="108" w:type="dxa"/>
        </w:tblCellMar>
      </w:tblPr>
      <w:tblGrid>
        <w:gridCol w:w="899"/>
        <w:gridCol w:w="967"/>
        <w:gridCol w:w="886"/>
        <w:gridCol w:w="2597"/>
        <w:gridCol w:w="672"/>
        <w:gridCol w:w="579"/>
        <w:gridCol w:w="915"/>
        <w:gridCol w:w="780"/>
        <w:gridCol w:w="1950"/>
      </w:tblGrid>
      <w:tr w14:paraId="68578735">
        <w:tblPrEx>
          <w:tblCellMar>
            <w:top w:w="0" w:type="dxa"/>
            <w:left w:w="108" w:type="dxa"/>
            <w:bottom w:w="0" w:type="dxa"/>
            <w:right w:w="108" w:type="dxa"/>
          </w:tblCellMar>
        </w:tblPrEx>
        <w:trPr>
          <w:trHeight w:val="570" w:hRule="atLeast"/>
          <w:tblHead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30A22465">
            <w:pPr>
              <w:pStyle w:val="52"/>
              <w:spacing w:line="500" w:lineRule="exact"/>
              <w:rPr>
                <w:rFonts w:ascii="宋体" w:hAnsi="宋体" w:cs="宋体"/>
                <w:color w:val="auto"/>
                <w:szCs w:val="21"/>
              </w:rPr>
            </w:pPr>
            <w:r>
              <w:rPr>
                <w:rFonts w:hint="eastAsia" w:ascii="宋体" w:hAnsi="宋体" w:cs="宋体"/>
                <w:color w:val="auto"/>
                <w:szCs w:val="21"/>
              </w:rPr>
              <w:t>序号</w:t>
            </w:r>
          </w:p>
        </w:tc>
        <w:tc>
          <w:tcPr>
            <w:tcW w:w="967" w:type="dxa"/>
            <w:tcBorders>
              <w:top w:val="single" w:color="auto" w:sz="4" w:space="0"/>
              <w:left w:val="nil"/>
              <w:bottom w:val="single" w:color="auto" w:sz="4" w:space="0"/>
              <w:right w:val="single" w:color="auto" w:sz="4" w:space="0"/>
            </w:tcBorders>
            <w:shd w:val="clear" w:color="auto" w:fill="auto"/>
            <w:vAlign w:val="center"/>
          </w:tcPr>
          <w:p w14:paraId="646C51C8">
            <w:pPr>
              <w:pStyle w:val="52"/>
              <w:spacing w:line="500" w:lineRule="exact"/>
              <w:rPr>
                <w:rFonts w:ascii="宋体" w:hAnsi="宋体" w:cs="宋体"/>
                <w:color w:val="auto"/>
                <w:szCs w:val="21"/>
              </w:rPr>
            </w:pPr>
            <w:r>
              <w:rPr>
                <w:rFonts w:hint="eastAsia" w:ascii="宋体" w:hAnsi="宋体" w:cs="宋体"/>
                <w:color w:val="auto"/>
                <w:szCs w:val="21"/>
              </w:rPr>
              <w:t>标准或图号</w:t>
            </w:r>
          </w:p>
        </w:tc>
        <w:tc>
          <w:tcPr>
            <w:tcW w:w="886" w:type="dxa"/>
            <w:tcBorders>
              <w:top w:val="single" w:color="auto" w:sz="4" w:space="0"/>
              <w:left w:val="nil"/>
              <w:bottom w:val="single" w:color="auto" w:sz="4" w:space="0"/>
              <w:right w:val="single" w:color="auto" w:sz="4" w:space="0"/>
            </w:tcBorders>
            <w:shd w:val="clear" w:color="auto" w:fill="auto"/>
            <w:vAlign w:val="center"/>
          </w:tcPr>
          <w:p w14:paraId="13584288">
            <w:pPr>
              <w:pStyle w:val="52"/>
              <w:spacing w:line="500" w:lineRule="exact"/>
              <w:rPr>
                <w:rFonts w:ascii="宋体" w:hAnsi="宋体" w:cs="宋体"/>
                <w:color w:val="auto"/>
                <w:szCs w:val="21"/>
              </w:rPr>
            </w:pPr>
            <w:r>
              <w:rPr>
                <w:rFonts w:hint="eastAsia" w:ascii="宋体" w:hAnsi="宋体" w:cs="宋体"/>
                <w:color w:val="auto"/>
                <w:szCs w:val="21"/>
              </w:rPr>
              <w:t>名称</w:t>
            </w:r>
          </w:p>
        </w:tc>
        <w:tc>
          <w:tcPr>
            <w:tcW w:w="2597" w:type="dxa"/>
            <w:tcBorders>
              <w:top w:val="single" w:color="auto" w:sz="4" w:space="0"/>
              <w:left w:val="nil"/>
              <w:bottom w:val="single" w:color="auto" w:sz="4" w:space="0"/>
              <w:right w:val="single" w:color="auto" w:sz="4" w:space="0"/>
            </w:tcBorders>
            <w:shd w:val="clear" w:color="auto" w:fill="auto"/>
            <w:vAlign w:val="center"/>
          </w:tcPr>
          <w:p w14:paraId="64EBF37E">
            <w:pPr>
              <w:pStyle w:val="52"/>
              <w:spacing w:line="500" w:lineRule="exact"/>
              <w:rPr>
                <w:rFonts w:ascii="宋体" w:hAnsi="宋体" w:cs="宋体"/>
                <w:color w:val="auto"/>
                <w:szCs w:val="21"/>
              </w:rPr>
            </w:pPr>
            <w:r>
              <w:rPr>
                <w:rFonts w:hint="eastAsia" w:ascii="宋体" w:hAnsi="宋体" w:cs="宋体"/>
                <w:color w:val="auto"/>
                <w:szCs w:val="21"/>
              </w:rPr>
              <w:t>规格</w:t>
            </w:r>
          </w:p>
        </w:tc>
        <w:tc>
          <w:tcPr>
            <w:tcW w:w="672" w:type="dxa"/>
            <w:tcBorders>
              <w:top w:val="single" w:color="auto" w:sz="4" w:space="0"/>
              <w:left w:val="nil"/>
              <w:bottom w:val="single" w:color="auto" w:sz="4" w:space="0"/>
              <w:right w:val="single" w:color="auto" w:sz="4" w:space="0"/>
            </w:tcBorders>
            <w:shd w:val="clear" w:color="auto" w:fill="auto"/>
            <w:vAlign w:val="center"/>
          </w:tcPr>
          <w:p w14:paraId="3BABCB26">
            <w:pPr>
              <w:pStyle w:val="52"/>
              <w:spacing w:line="500" w:lineRule="exact"/>
              <w:rPr>
                <w:rFonts w:ascii="宋体" w:hAnsi="宋体" w:cs="宋体"/>
                <w:color w:val="auto"/>
                <w:szCs w:val="21"/>
              </w:rPr>
            </w:pPr>
            <w:r>
              <w:rPr>
                <w:rFonts w:hint="eastAsia" w:ascii="宋体" w:hAnsi="宋体" w:cs="宋体"/>
                <w:color w:val="auto"/>
                <w:szCs w:val="21"/>
              </w:rPr>
              <w:t>材料</w:t>
            </w:r>
          </w:p>
        </w:tc>
        <w:tc>
          <w:tcPr>
            <w:tcW w:w="579" w:type="dxa"/>
            <w:tcBorders>
              <w:top w:val="single" w:color="auto" w:sz="4" w:space="0"/>
              <w:left w:val="nil"/>
              <w:bottom w:val="single" w:color="auto" w:sz="4" w:space="0"/>
              <w:right w:val="single" w:color="auto" w:sz="4" w:space="0"/>
            </w:tcBorders>
            <w:shd w:val="clear" w:color="auto" w:fill="auto"/>
            <w:vAlign w:val="center"/>
          </w:tcPr>
          <w:p w14:paraId="286B8D1A">
            <w:pPr>
              <w:pStyle w:val="52"/>
              <w:spacing w:line="500" w:lineRule="exact"/>
              <w:rPr>
                <w:rFonts w:ascii="宋体" w:hAnsi="宋体" w:cs="宋体"/>
                <w:color w:val="auto"/>
                <w:szCs w:val="21"/>
              </w:rPr>
            </w:pPr>
            <w:r>
              <w:rPr>
                <w:rFonts w:hint="eastAsia" w:ascii="宋体" w:hAnsi="宋体" w:cs="宋体"/>
                <w:color w:val="auto"/>
                <w:szCs w:val="21"/>
              </w:rPr>
              <w:t>单位</w:t>
            </w:r>
          </w:p>
        </w:tc>
        <w:tc>
          <w:tcPr>
            <w:tcW w:w="915" w:type="dxa"/>
            <w:tcBorders>
              <w:top w:val="single" w:color="auto" w:sz="4" w:space="0"/>
              <w:left w:val="nil"/>
              <w:bottom w:val="single" w:color="auto" w:sz="4" w:space="0"/>
              <w:right w:val="single" w:color="auto" w:sz="4" w:space="0"/>
            </w:tcBorders>
            <w:shd w:val="clear" w:color="auto" w:fill="auto"/>
            <w:vAlign w:val="center"/>
          </w:tcPr>
          <w:p w14:paraId="5B52FE19">
            <w:pPr>
              <w:pStyle w:val="52"/>
              <w:spacing w:line="500" w:lineRule="exact"/>
              <w:rPr>
                <w:rFonts w:ascii="宋体" w:hAnsi="宋体" w:cs="宋体"/>
                <w:color w:val="auto"/>
                <w:szCs w:val="21"/>
              </w:rPr>
            </w:pPr>
            <w:r>
              <w:rPr>
                <w:rFonts w:hint="eastAsia" w:ascii="宋体" w:hAnsi="宋体" w:cs="宋体"/>
                <w:color w:val="auto"/>
                <w:szCs w:val="21"/>
              </w:rPr>
              <w:t>单套设备数量</w:t>
            </w:r>
          </w:p>
        </w:tc>
        <w:tc>
          <w:tcPr>
            <w:tcW w:w="780" w:type="dxa"/>
            <w:tcBorders>
              <w:top w:val="single" w:color="auto" w:sz="4" w:space="0"/>
              <w:left w:val="nil"/>
              <w:bottom w:val="single" w:color="auto" w:sz="4" w:space="0"/>
              <w:right w:val="single" w:color="auto" w:sz="4" w:space="0"/>
            </w:tcBorders>
            <w:shd w:val="clear" w:color="auto" w:fill="auto"/>
            <w:vAlign w:val="center"/>
          </w:tcPr>
          <w:p w14:paraId="4D334C62">
            <w:pPr>
              <w:pStyle w:val="52"/>
              <w:spacing w:line="500" w:lineRule="exact"/>
              <w:rPr>
                <w:rFonts w:ascii="宋体" w:hAnsi="宋体" w:cs="宋体"/>
                <w:color w:val="auto"/>
                <w:szCs w:val="21"/>
              </w:rPr>
            </w:pPr>
            <w:r>
              <w:rPr>
                <w:rFonts w:hint="eastAsia" w:ascii="宋体" w:hAnsi="宋体" w:cs="宋体"/>
                <w:color w:val="auto"/>
                <w:szCs w:val="21"/>
              </w:rPr>
              <w:t>总数量</w:t>
            </w:r>
          </w:p>
        </w:tc>
        <w:tc>
          <w:tcPr>
            <w:tcW w:w="1950" w:type="dxa"/>
            <w:tcBorders>
              <w:top w:val="single" w:color="auto" w:sz="4" w:space="0"/>
              <w:left w:val="nil"/>
              <w:bottom w:val="single" w:color="auto" w:sz="4" w:space="0"/>
              <w:right w:val="single" w:color="auto" w:sz="4" w:space="0"/>
            </w:tcBorders>
            <w:shd w:val="clear" w:color="auto" w:fill="auto"/>
            <w:vAlign w:val="center"/>
          </w:tcPr>
          <w:p w14:paraId="2D1AA0CB">
            <w:pPr>
              <w:pStyle w:val="52"/>
              <w:spacing w:line="500" w:lineRule="exact"/>
              <w:rPr>
                <w:rFonts w:ascii="宋体" w:hAnsi="宋体" w:cs="宋体"/>
                <w:color w:val="auto"/>
                <w:szCs w:val="21"/>
              </w:rPr>
            </w:pPr>
            <w:r>
              <w:rPr>
                <w:rFonts w:hint="eastAsia" w:ascii="宋体" w:hAnsi="宋体" w:cs="宋体"/>
                <w:color w:val="auto"/>
                <w:szCs w:val="21"/>
              </w:rPr>
              <w:t>备注</w:t>
            </w:r>
          </w:p>
        </w:tc>
      </w:tr>
      <w:tr w14:paraId="1C1CBF66">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62EE6D1">
            <w:pPr>
              <w:pStyle w:val="52"/>
              <w:spacing w:line="500" w:lineRule="exact"/>
              <w:rPr>
                <w:rFonts w:ascii="宋体" w:hAnsi="宋体" w:cs="宋体"/>
                <w:color w:val="auto"/>
                <w:szCs w:val="21"/>
              </w:rPr>
            </w:pPr>
            <w:r>
              <w:rPr>
                <w:rFonts w:hint="eastAsia" w:ascii="宋体" w:hAnsi="宋体" w:cs="宋体"/>
                <w:color w:val="auto"/>
                <w:szCs w:val="21"/>
              </w:rPr>
              <w:t>第二水厂</w:t>
            </w:r>
          </w:p>
        </w:tc>
        <w:tc>
          <w:tcPr>
            <w:tcW w:w="967" w:type="dxa"/>
            <w:tcBorders>
              <w:top w:val="nil"/>
              <w:left w:val="nil"/>
              <w:bottom w:val="single" w:color="auto" w:sz="4" w:space="0"/>
              <w:right w:val="single" w:color="auto" w:sz="4" w:space="0"/>
            </w:tcBorders>
            <w:shd w:val="clear" w:color="auto" w:fill="auto"/>
            <w:vAlign w:val="center"/>
          </w:tcPr>
          <w:p w14:paraId="09423DE0">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1D25581">
            <w:pPr>
              <w:pStyle w:val="52"/>
              <w:spacing w:line="500" w:lineRule="exact"/>
              <w:rPr>
                <w:rFonts w:ascii="宋体" w:hAnsi="宋体" w:cs="宋体"/>
                <w:color w:val="auto"/>
                <w:szCs w:val="21"/>
              </w:rPr>
            </w:pPr>
            <w:r>
              <w:rPr>
                <w:rFonts w:hint="eastAsia" w:ascii="宋体" w:hAnsi="宋体" w:cs="宋体"/>
                <w:color w:val="auto"/>
                <w:szCs w:val="21"/>
              </w:rPr>
              <w:t>　</w:t>
            </w:r>
          </w:p>
        </w:tc>
        <w:tc>
          <w:tcPr>
            <w:tcW w:w="2597" w:type="dxa"/>
            <w:tcBorders>
              <w:top w:val="nil"/>
              <w:left w:val="nil"/>
              <w:bottom w:val="single" w:color="auto" w:sz="4" w:space="0"/>
              <w:right w:val="single" w:color="auto" w:sz="4" w:space="0"/>
            </w:tcBorders>
            <w:shd w:val="clear" w:color="auto" w:fill="auto"/>
            <w:vAlign w:val="center"/>
          </w:tcPr>
          <w:p w14:paraId="3A724F83">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0C659CE9">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1E70F7D1">
            <w:pPr>
              <w:pStyle w:val="52"/>
              <w:spacing w:line="500" w:lineRule="exact"/>
              <w:rPr>
                <w:rFonts w:ascii="宋体" w:hAnsi="宋体" w:cs="宋体"/>
                <w:color w:val="auto"/>
                <w:szCs w:val="21"/>
              </w:rPr>
            </w:pPr>
            <w:r>
              <w:rPr>
                <w:rFonts w:hint="eastAsia" w:ascii="宋体" w:hAnsi="宋体" w:cs="宋体"/>
                <w:color w:val="auto"/>
                <w:szCs w:val="21"/>
              </w:rPr>
              <w:t>　</w:t>
            </w:r>
          </w:p>
        </w:tc>
        <w:tc>
          <w:tcPr>
            <w:tcW w:w="915" w:type="dxa"/>
            <w:tcBorders>
              <w:top w:val="nil"/>
              <w:left w:val="nil"/>
              <w:bottom w:val="single" w:color="auto" w:sz="4" w:space="0"/>
              <w:right w:val="single" w:color="auto" w:sz="4" w:space="0"/>
            </w:tcBorders>
            <w:shd w:val="clear" w:color="auto" w:fill="auto"/>
            <w:vAlign w:val="center"/>
          </w:tcPr>
          <w:p w14:paraId="59821531">
            <w:pPr>
              <w:pStyle w:val="52"/>
              <w:spacing w:line="500" w:lineRule="exact"/>
              <w:rPr>
                <w:rFonts w:ascii="宋体" w:hAnsi="宋体" w:cs="宋体"/>
                <w:color w:val="auto"/>
                <w:szCs w:val="21"/>
              </w:rPr>
            </w:pPr>
            <w:r>
              <w:rPr>
                <w:rFonts w:hint="eastAsia" w:ascii="宋体" w:hAnsi="宋体" w:cs="宋体"/>
                <w:color w:val="auto"/>
                <w:szCs w:val="21"/>
              </w:rPr>
              <w:t>　</w:t>
            </w:r>
          </w:p>
        </w:tc>
        <w:tc>
          <w:tcPr>
            <w:tcW w:w="780" w:type="dxa"/>
            <w:tcBorders>
              <w:top w:val="nil"/>
              <w:left w:val="nil"/>
              <w:bottom w:val="single" w:color="auto" w:sz="4" w:space="0"/>
              <w:right w:val="single" w:color="auto" w:sz="4" w:space="0"/>
            </w:tcBorders>
            <w:shd w:val="clear" w:color="auto" w:fill="auto"/>
            <w:vAlign w:val="center"/>
          </w:tcPr>
          <w:p w14:paraId="709069E2">
            <w:pPr>
              <w:pStyle w:val="52"/>
              <w:spacing w:line="500" w:lineRule="exact"/>
              <w:rPr>
                <w:rFonts w:ascii="宋体" w:hAnsi="宋体" w:cs="宋体"/>
                <w:color w:val="auto"/>
                <w:szCs w:val="21"/>
              </w:rPr>
            </w:pPr>
            <w:r>
              <w:rPr>
                <w:rFonts w:hint="eastAsia" w:ascii="宋体" w:hAnsi="宋体" w:cs="宋体"/>
                <w:color w:val="auto"/>
                <w:szCs w:val="21"/>
              </w:rPr>
              <w:t>　</w:t>
            </w:r>
          </w:p>
        </w:tc>
        <w:tc>
          <w:tcPr>
            <w:tcW w:w="1950" w:type="dxa"/>
            <w:tcBorders>
              <w:top w:val="nil"/>
              <w:left w:val="nil"/>
              <w:bottom w:val="single" w:color="auto" w:sz="4" w:space="0"/>
              <w:right w:val="single" w:color="auto" w:sz="4" w:space="0"/>
            </w:tcBorders>
            <w:shd w:val="clear" w:color="auto" w:fill="auto"/>
            <w:vAlign w:val="center"/>
          </w:tcPr>
          <w:p w14:paraId="4E3618F9">
            <w:pPr>
              <w:pStyle w:val="52"/>
              <w:spacing w:line="500" w:lineRule="exact"/>
              <w:rPr>
                <w:rFonts w:ascii="宋体" w:hAnsi="宋体" w:cs="宋体"/>
                <w:color w:val="auto"/>
                <w:szCs w:val="21"/>
              </w:rPr>
            </w:pPr>
            <w:r>
              <w:rPr>
                <w:rFonts w:hint="eastAsia" w:ascii="宋体" w:hAnsi="宋体" w:cs="宋体"/>
                <w:color w:val="auto"/>
                <w:szCs w:val="21"/>
              </w:rPr>
              <w:t>　</w:t>
            </w:r>
          </w:p>
        </w:tc>
      </w:tr>
      <w:tr w14:paraId="056BEBBF">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CB297CB">
            <w:pPr>
              <w:pStyle w:val="52"/>
              <w:spacing w:line="500" w:lineRule="exact"/>
              <w:rPr>
                <w:rFonts w:ascii="宋体" w:hAnsi="宋体" w:cs="宋体"/>
                <w:color w:val="auto"/>
                <w:szCs w:val="21"/>
              </w:rPr>
            </w:pPr>
            <w:r>
              <w:rPr>
                <w:rFonts w:hint="eastAsia" w:ascii="宋体" w:hAnsi="宋体" w:cs="宋体"/>
                <w:color w:val="auto"/>
                <w:szCs w:val="21"/>
              </w:rPr>
              <w:t>1</w:t>
            </w:r>
          </w:p>
        </w:tc>
        <w:tc>
          <w:tcPr>
            <w:tcW w:w="967" w:type="dxa"/>
            <w:tcBorders>
              <w:top w:val="nil"/>
              <w:left w:val="nil"/>
              <w:bottom w:val="single" w:color="auto" w:sz="4" w:space="0"/>
              <w:right w:val="single" w:color="auto" w:sz="4" w:space="0"/>
            </w:tcBorders>
            <w:shd w:val="clear" w:color="auto" w:fill="auto"/>
            <w:noWrap/>
            <w:vAlign w:val="bottom"/>
          </w:tcPr>
          <w:p w14:paraId="1822817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8F29B94">
            <w:pPr>
              <w:pStyle w:val="52"/>
              <w:spacing w:line="500" w:lineRule="exact"/>
              <w:rPr>
                <w:rFonts w:ascii="宋体" w:hAnsi="宋体" w:cs="宋体"/>
                <w:color w:val="auto"/>
                <w:szCs w:val="21"/>
              </w:rPr>
            </w:pPr>
            <w:r>
              <w:rPr>
                <w:rFonts w:hint="eastAsia" w:ascii="宋体" w:hAnsi="宋体" w:cs="宋体"/>
                <w:color w:val="auto"/>
                <w:szCs w:val="21"/>
              </w:rPr>
              <w:t>不停水开口</w:t>
            </w:r>
          </w:p>
        </w:tc>
        <w:tc>
          <w:tcPr>
            <w:tcW w:w="2597" w:type="dxa"/>
            <w:tcBorders>
              <w:top w:val="nil"/>
              <w:left w:val="nil"/>
              <w:bottom w:val="single" w:color="auto" w:sz="4" w:space="0"/>
              <w:right w:val="single" w:color="auto" w:sz="4" w:space="0"/>
            </w:tcBorders>
            <w:shd w:val="clear" w:color="auto" w:fill="auto"/>
            <w:vAlign w:val="center"/>
          </w:tcPr>
          <w:p w14:paraId="0674C2DC">
            <w:pPr>
              <w:pStyle w:val="52"/>
              <w:spacing w:line="500" w:lineRule="exact"/>
              <w:rPr>
                <w:rFonts w:ascii="宋体" w:hAnsi="宋体" w:cs="宋体"/>
                <w:color w:val="auto"/>
                <w:szCs w:val="21"/>
              </w:rPr>
            </w:pPr>
            <w:r>
              <w:rPr>
                <w:rFonts w:hint="eastAsia" w:ascii="宋体" w:hAnsi="宋体" w:cs="宋体"/>
                <w:color w:val="auto"/>
                <w:szCs w:val="21"/>
              </w:rPr>
              <w:t>DN900xDN200</w:t>
            </w:r>
          </w:p>
        </w:tc>
        <w:tc>
          <w:tcPr>
            <w:tcW w:w="672" w:type="dxa"/>
            <w:tcBorders>
              <w:top w:val="nil"/>
              <w:left w:val="nil"/>
              <w:bottom w:val="single" w:color="auto" w:sz="4" w:space="0"/>
              <w:right w:val="single" w:color="auto" w:sz="4" w:space="0"/>
            </w:tcBorders>
            <w:shd w:val="clear" w:color="auto" w:fill="auto"/>
            <w:vAlign w:val="center"/>
          </w:tcPr>
          <w:p w14:paraId="7B188338">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760D3978">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21B3589A">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71DBFEC2">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3920DE22">
            <w:pPr>
              <w:pStyle w:val="52"/>
              <w:spacing w:line="500" w:lineRule="exact"/>
              <w:rPr>
                <w:rFonts w:ascii="宋体" w:hAnsi="宋体" w:cs="宋体"/>
                <w:color w:val="auto"/>
                <w:szCs w:val="21"/>
              </w:rPr>
            </w:pPr>
            <w:r>
              <w:rPr>
                <w:rFonts w:hint="eastAsia" w:ascii="宋体" w:hAnsi="宋体" w:cs="宋体"/>
                <w:color w:val="auto"/>
                <w:szCs w:val="21"/>
              </w:rPr>
              <w:t>　</w:t>
            </w:r>
          </w:p>
        </w:tc>
      </w:tr>
      <w:tr w14:paraId="52BA6563">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32FF721">
            <w:pPr>
              <w:pStyle w:val="52"/>
              <w:spacing w:line="500" w:lineRule="exact"/>
              <w:rPr>
                <w:rFonts w:ascii="宋体" w:hAnsi="宋体" w:cs="宋体"/>
                <w:color w:val="auto"/>
                <w:szCs w:val="21"/>
              </w:rPr>
            </w:pPr>
            <w:r>
              <w:rPr>
                <w:rFonts w:hint="eastAsia" w:ascii="宋体" w:hAnsi="宋体" w:cs="宋体"/>
                <w:color w:val="auto"/>
                <w:szCs w:val="21"/>
              </w:rPr>
              <w:t>2</w:t>
            </w:r>
          </w:p>
        </w:tc>
        <w:tc>
          <w:tcPr>
            <w:tcW w:w="967" w:type="dxa"/>
            <w:tcBorders>
              <w:top w:val="nil"/>
              <w:left w:val="nil"/>
              <w:bottom w:val="single" w:color="auto" w:sz="4" w:space="0"/>
              <w:right w:val="single" w:color="auto" w:sz="4" w:space="0"/>
            </w:tcBorders>
            <w:shd w:val="clear" w:color="auto" w:fill="auto"/>
            <w:vAlign w:val="center"/>
          </w:tcPr>
          <w:p w14:paraId="7AC6B68E">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D0C776B">
            <w:pPr>
              <w:pStyle w:val="52"/>
              <w:spacing w:line="500" w:lineRule="exact"/>
              <w:rPr>
                <w:rFonts w:ascii="宋体" w:hAnsi="宋体" w:cs="宋体"/>
                <w:color w:val="auto"/>
                <w:szCs w:val="21"/>
              </w:rPr>
            </w:pPr>
            <w:r>
              <w:rPr>
                <w:rFonts w:hint="eastAsia" w:ascii="宋体" w:hAnsi="宋体" w:cs="宋体"/>
                <w:color w:val="auto"/>
                <w:szCs w:val="21"/>
              </w:rPr>
              <w:t>焊接钢管</w:t>
            </w:r>
          </w:p>
        </w:tc>
        <w:tc>
          <w:tcPr>
            <w:tcW w:w="2597" w:type="dxa"/>
            <w:tcBorders>
              <w:top w:val="nil"/>
              <w:left w:val="nil"/>
              <w:bottom w:val="single" w:color="auto" w:sz="4" w:space="0"/>
              <w:right w:val="single" w:color="auto" w:sz="4" w:space="0"/>
            </w:tcBorders>
            <w:shd w:val="clear" w:color="auto" w:fill="auto"/>
            <w:vAlign w:val="center"/>
          </w:tcPr>
          <w:p w14:paraId="100914D6">
            <w:pPr>
              <w:pStyle w:val="52"/>
              <w:spacing w:line="500" w:lineRule="exact"/>
              <w:rPr>
                <w:rFonts w:ascii="宋体" w:hAnsi="宋体" w:cs="宋体"/>
                <w:color w:val="auto"/>
                <w:szCs w:val="21"/>
              </w:rPr>
            </w:pPr>
            <w:r>
              <w:rPr>
                <w:rFonts w:hint="eastAsia" w:ascii="宋体" w:hAnsi="宋体" w:cs="宋体"/>
                <w:color w:val="auto"/>
                <w:szCs w:val="21"/>
              </w:rPr>
              <w:t>DN200，δ=6mm</w:t>
            </w:r>
          </w:p>
        </w:tc>
        <w:tc>
          <w:tcPr>
            <w:tcW w:w="672" w:type="dxa"/>
            <w:tcBorders>
              <w:top w:val="nil"/>
              <w:left w:val="nil"/>
              <w:bottom w:val="single" w:color="auto" w:sz="4" w:space="0"/>
              <w:right w:val="single" w:color="auto" w:sz="4" w:space="0"/>
            </w:tcBorders>
            <w:shd w:val="clear" w:color="auto" w:fill="auto"/>
            <w:vAlign w:val="center"/>
          </w:tcPr>
          <w:p w14:paraId="2F1F83F2">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69AE7138">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3AFC892E">
            <w:pPr>
              <w:pStyle w:val="52"/>
              <w:spacing w:line="500" w:lineRule="exact"/>
              <w:rPr>
                <w:rFonts w:ascii="宋体" w:hAnsi="宋体" w:cs="宋体"/>
                <w:color w:val="auto"/>
                <w:szCs w:val="21"/>
              </w:rPr>
            </w:pPr>
            <w:r>
              <w:rPr>
                <w:rFonts w:hint="eastAsia" w:ascii="宋体" w:hAnsi="宋体" w:cs="宋体"/>
                <w:color w:val="auto"/>
                <w:szCs w:val="21"/>
              </w:rPr>
              <w:t>23</w:t>
            </w:r>
          </w:p>
        </w:tc>
        <w:tc>
          <w:tcPr>
            <w:tcW w:w="780" w:type="dxa"/>
            <w:tcBorders>
              <w:top w:val="nil"/>
              <w:left w:val="nil"/>
              <w:bottom w:val="single" w:color="auto" w:sz="4" w:space="0"/>
              <w:right w:val="single" w:color="auto" w:sz="4" w:space="0"/>
            </w:tcBorders>
            <w:shd w:val="clear" w:color="auto" w:fill="auto"/>
            <w:vAlign w:val="center"/>
          </w:tcPr>
          <w:p w14:paraId="1CAA898C">
            <w:pPr>
              <w:pStyle w:val="52"/>
              <w:spacing w:line="500" w:lineRule="exact"/>
              <w:rPr>
                <w:rFonts w:ascii="宋体" w:hAnsi="宋体" w:cs="宋体"/>
                <w:color w:val="auto"/>
                <w:szCs w:val="21"/>
              </w:rPr>
            </w:pPr>
            <w:r>
              <w:rPr>
                <w:rFonts w:hint="eastAsia" w:ascii="宋体" w:hAnsi="宋体" w:cs="宋体"/>
                <w:color w:val="auto"/>
                <w:szCs w:val="21"/>
              </w:rPr>
              <w:t>46</w:t>
            </w:r>
          </w:p>
        </w:tc>
        <w:tc>
          <w:tcPr>
            <w:tcW w:w="1950" w:type="dxa"/>
            <w:tcBorders>
              <w:top w:val="nil"/>
              <w:left w:val="nil"/>
              <w:bottom w:val="single" w:color="auto" w:sz="4" w:space="0"/>
              <w:right w:val="single" w:color="auto" w:sz="4" w:space="0"/>
            </w:tcBorders>
            <w:shd w:val="clear" w:color="auto" w:fill="auto"/>
            <w:vAlign w:val="center"/>
          </w:tcPr>
          <w:p w14:paraId="3871DE52">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241C19C3">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4548394">
            <w:pPr>
              <w:pStyle w:val="52"/>
              <w:spacing w:line="500" w:lineRule="exact"/>
              <w:rPr>
                <w:rFonts w:ascii="宋体" w:hAnsi="宋体" w:cs="宋体"/>
                <w:color w:val="auto"/>
                <w:szCs w:val="21"/>
              </w:rPr>
            </w:pPr>
            <w:r>
              <w:rPr>
                <w:rFonts w:hint="eastAsia" w:ascii="宋体" w:hAnsi="宋体" w:cs="宋体"/>
                <w:color w:val="auto"/>
                <w:szCs w:val="21"/>
              </w:rPr>
              <w:t>3</w:t>
            </w:r>
          </w:p>
        </w:tc>
        <w:tc>
          <w:tcPr>
            <w:tcW w:w="967" w:type="dxa"/>
            <w:tcBorders>
              <w:top w:val="nil"/>
              <w:left w:val="nil"/>
              <w:bottom w:val="single" w:color="auto" w:sz="4" w:space="0"/>
              <w:right w:val="single" w:color="auto" w:sz="4" w:space="0"/>
            </w:tcBorders>
            <w:shd w:val="clear" w:color="auto" w:fill="auto"/>
            <w:vAlign w:val="center"/>
          </w:tcPr>
          <w:p w14:paraId="06665C62">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C62265E">
            <w:pPr>
              <w:pStyle w:val="52"/>
              <w:spacing w:line="500" w:lineRule="exact"/>
              <w:rPr>
                <w:rFonts w:ascii="宋体" w:hAnsi="宋体" w:cs="宋体"/>
                <w:color w:val="auto"/>
                <w:szCs w:val="21"/>
              </w:rPr>
            </w:pPr>
            <w:r>
              <w:rPr>
                <w:rFonts w:hint="eastAsia" w:ascii="宋体" w:hAnsi="宋体" w:cs="宋体"/>
                <w:color w:val="auto"/>
                <w:szCs w:val="21"/>
              </w:rPr>
              <w:t>分流变频泵</w:t>
            </w:r>
          </w:p>
        </w:tc>
        <w:tc>
          <w:tcPr>
            <w:tcW w:w="2597" w:type="dxa"/>
            <w:tcBorders>
              <w:top w:val="nil"/>
              <w:left w:val="nil"/>
              <w:bottom w:val="single" w:color="auto" w:sz="4" w:space="0"/>
              <w:right w:val="single" w:color="auto" w:sz="4" w:space="0"/>
            </w:tcBorders>
            <w:shd w:val="clear" w:color="auto" w:fill="auto"/>
            <w:vAlign w:val="center"/>
          </w:tcPr>
          <w:p w14:paraId="7808483B">
            <w:pPr>
              <w:pStyle w:val="52"/>
              <w:spacing w:line="500" w:lineRule="exact"/>
              <w:rPr>
                <w:rFonts w:ascii="宋体" w:hAnsi="宋体" w:cs="宋体"/>
                <w:color w:val="auto"/>
                <w:szCs w:val="21"/>
              </w:rPr>
            </w:pPr>
            <w:r>
              <w:rPr>
                <w:rFonts w:hint="eastAsia" w:ascii="宋体" w:hAnsi="宋体" w:cs="宋体"/>
                <w:color w:val="auto"/>
                <w:szCs w:val="21"/>
              </w:rPr>
              <w:t>Q=150m3/h,H=50m,P=37kw</w:t>
            </w:r>
          </w:p>
        </w:tc>
        <w:tc>
          <w:tcPr>
            <w:tcW w:w="672" w:type="dxa"/>
            <w:tcBorders>
              <w:top w:val="nil"/>
              <w:left w:val="nil"/>
              <w:bottom w:val="single" w:color="auto" w:sz="4" w:space="0"/>
              <w:right w:val="single" w:color="auto" w:sz="4" w:space="0"/>
            </w:tcBorders>
            <w:shd w:val="clear" w:color="auto" w:fill="auto"/>
            <w:vAlign w:val="center"/>
          </w:tcPr>
          <w:p w14:paraId="40121EAD">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2730BB8B">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2C098A55">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5485784C">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1A802AD0">
            <w:pPr>
              <w:pStyle w:val="52"/>
              <w:spacing w:line="500" w:lineRule="exact"/>
              <w:rPr>
                <w:rFonts w:ascii="宋体" w:hAnsi="宋体" w:cs="宋体"/>
                <w:color w:val="auto"/>
                <w:szCs w:val="21"/>
              </w:rPr>
            </w:pPr>
            <w:r>
              <w:rPr>
                <w:rFonts w:hint="eastAsia" w:ascii="宋体" w:hAnsi="宋体" w:cs="宋体"/>
                <w:color w:val="auto"/>
                <w:szCs w:val="21"/>
              </w:rPr>
              <w:t>溶气系统设备</w:t>
            </w:r>
          </w:p>
        </w:tc>
      </w:tr>
      <w:tr w14:paraId="0B4CCD95">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7B4F68B">
            <w:pPr>
              <w:pStyle w:val="52"/>
              <w:spacing w:line="500" w:lineRule="exact"/>
              <w:rPr>
                <w:rFonts w:ascii="宋体" w:hAnsi="宋体" w:cs="宋体"/>
                <w:color w:val="auto"/>
                <w:szCs w:val="21"/>
              </w:rPr>
            </w:pPr>
            <w:r>
              <w:rPr>
                <w:rFonts w:hint="eastAsia" w:ascii="宋体" w:hAnsi="宋体" w:cs="宋体"/>
                <w:color w:val="auto"/>
                <w:szCs w:val="21"/>
              </w:rPr>
              <w:t>4</w:t>
            </w:r>
          </w:p>
        </w:tc>
        <w:tc>
          <w:tcPr>
            <w:tcW w:w="967" w:type="dxa"/>
            <w:tcBorders>
              <w:top w:val="nil"/>
              <w:left w:val="nil"/>
              <w:bottom w:val="single" w:color="auto" w:sz="4" w:space="0"/>
              <w:right w:val="single" w:color="auto" w:sz="4" w:space="0"/>
            </w:tcBorders>
            <w:shd w:val="clear" w:color="auto" w:fill="auto"/>
            <w:vAlign w:val="center"/>
          </w:tcPr>
          <w:p w14:paraId="0E053D7A">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0C2D390">
            <w:pPr>
              <w:pStyle w:val="52"/>
              <w:spacing w:line="500" w:lineRule="exact"/>
              <w:rPr>
                <w:rFonts w:ascii="宋体" w:hAnsi="宋体" w:cs="宋体"/>
                <w:color w:val="auto"/>
                <w:szCs w:val="21"/>
              </w:rPr>
            </w:pPr>
            <w:r>
              <w:rPr>
                <w:rFonts w:hint="eastAsia" w:ascii="宋体" w:hAnsi="宋体" w:cs="宋体"/>
                <w:color w:val="auto"/>
                <w:szCs w:val="21"/>
              </w:rPr>
              <w:t>无油螺杆空压机</w:t>
            </w:r>
          </w:p>
        </w:tc>
        <w:tc>
          <w:tcPr>
            <w:tcW w:w="2597" w:type="dxa"/>
            <w:tcBorders>
              <w:top w:val="nil"/>
              <w:left w:val="nil"/>
              <w:bottom w:val="single" w:color="auto" w:sz="4" w:space="0"/>
              <w:right w:val="single" w:color="auto" w:sz="4" w:space="0"/>
            </w:tcBorders>
            <w:shd w:val="clear" w:color="auto" w:fill="auto"/>
            <w:vAlign w:val="center"/>
          </w:tcPr>
          <w:p w14:paraId="585C65A6">
            <w:pPr>
              <w:pStyle w:val="52"/>
              <w:spacing w:line="500" w:lineRule="exact"/>
              <w:rPr>
                <w:rFonts w:ascii="宋体" w:hAnsi="宋体" w:cs="宋体"/>
                <w:color w:val="auto"/>
                <w:szCs w:val="21"/>
              </w:rPr>
            </w:pPr>
            <w:r>
              <w:rPr>
                <w:rFonts w:hint="eastAsia" w:ascii="宋体" w:hAnsi="宋体" w:cs="宋体"/>
                <w:color w:val="auto"/>
                <w:szCs w:val="21"/>
              </w:rPr>
              <w:t>Q=60m3/h，0.8mpa,P=7.5kw</w:t>
            </w:r>
          </w:p>
        </w:tc>
        <w:tc>
          <w:tcPr>
            <w:tcW w:w="672" w:type="dxa"/>
            <w:tcBorders>
              <w:top w:val="nil"/>
              <w:left w:val="nil"/>
              <w:bottom w:val="single" w:color="auto" w:sz="4" w:space="0"/>
              <w:right w:val="single" w:color="auto" w:sz="4" w:space="0"/>
            </w:tcBorders>
            <w:shd w:val="clear" w:color="auto" w:fill="auto"/>
            <w:vAlign w:val="center"/>
          </w:tcPr>
          <w:p w14:paraId="7E631A20">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4D47E563">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2A26A790">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5F15BCDC">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59E3763A">
            <w:pPr>
              <w:pStyle w:val="52"/>
              <w:spacing w:line="500" w:lineRule="exact"/>
              <w:rPr>
                <w:rFonts w:ascii="宋体" w:hAnsi="宋体" w:cs="宋体"/>
                <w:color w:val="auto"/>
                <w:szCs w:val="21"/>
              </w:rPr>
            </w:pPr>
            <w:r>
              <w:rPr>
                <w:rFonts w:hint="eastAsia" w:ascii="宋体" w:hAnsi="宋体" w:cs="宋体"/>
                <w:color w:val="auto"/>
                <w:szCs w:val="21"/>
              </w:rPr>
              <w:t>溶气系统设备</w:t>
            </w:r>
          </w:p>
        </w:tc>
      </w:tr>
      <w:tr w14:paraId="3943BDCA">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5AF0766">
            <w:pPr>
              <w:pStyle w:val="52"/>
              <w:spacing w:line="500" w:lineRule="exact"/>
              <w:rPr>
                <w:rFonts w:ascii="宋体" w:hAnsi="宋体" w:cs="宋体"/>
                <w:color w:val="auto"/>
                <w:szCs w:val="21"/>
              </w:rPr>
            </w:pPr>
            <w:r>
              <w:rPr>
                <w:rFonts w:hint="eastAsia" w:ascii="宋体" w:hAnsi="宋体" w:cs="宋体"/>
                <w:color w:val="auto"/>
                <w:szCs w:val="21"/>
              </w:rPr>
              <w:t>5</w:t>
            </w:r>
          </w:p>
        </w:tc>
        <w:tc>
          <w:tcPr>
            <w:tcW w:w="967" w:type="dxa"/>
            <w:tcBorders>
              <w:top w:val="nil"/>
              <w:left w:val="nil"/>
              <w:bottom w:val="single" w:color="auto" w:sz="4" w:space="0"/>
              <w:right w:val="single" w:color="auto" w:sz="4" w:space="0"/>
            </w:tcBorders>
            <w:shd w:val="clear" w:color="auto" w:fill="auto"/>
            <w:vAlign w:val="center"/>
          </w:tcPr>
          <w:p w14:paraId="527AB58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461E814">
            <w:pPr>
              <w:pStyle w:val="52"/>
              <w:spacing w:line="500" w:lineRule="exact"/>
              <w:rPr>
                <w:rFonts w:ascii="宋体" w:hAnsi="宋体" w:cs="宋体"/>
                <w:color w:val="auto"/>
                <w:szCs w:val="21"/>
              </w:rPr>
            </w:pPr>
            <w:r>
              <w:rPr>
                <w:rFonts w:hint="eastAsia" w:ascii="宋体" w:hAnsi="宋体" w:cs="宋体"/>
                <w:color w:val="auto"/>
                <w:szCs w:val="21"/>
              </w:rPr>
              <w:t>溶气罐</w:t>
            </w:r>
          </w:p>
        </w:tc>
        <w:tc>
          <w:tcPr>
            <w:tcW w:w="2597" w:type="dxa"/>
            <w:tcBorders>
              <w:top w:val="nil"/>
              <w:left w:val="nil"/>
              <w:bottom w:val="single" w:color="auto" w:sz="4" w:space="0"/>
              <w:right w:val="single" w:color="auto" w:sz="4" w:space="0"/>
            </w:tcBorders>
            <w:shd w:val="clear" w:color="auto" w:fill="auto"/>
            <w:vAlign w:val="center"/>
          </w:tcPr>
          <w:p w14:paraId="67BA9F2B">
            <w:pPr>
              <w:pStyle w:val="52"/>
              <w:spacing w:line="500" w:lineRule="exact"/>
              <w:rPr>
                <w:rFonts w:ascii="宋体" w:hAnsi="宋体" w:cs="宋体"/>
                <w:color w:val="auto"/>
                <w:szCs w:val="21"/>
              </w:rPr>
            </w:pPr>
            <w:r>
              <w:rPr>
                <w:rFonts w:hint="eastAsia" w:ascii="宋体" w:hAnsi="宋体" w:cs="宋体"/>
                <w:color w:val="auto"/>
                <w:szCs w:val="21"/>
              </w:rPr>
              <w:t>V=6m3</w:t>
            </w:r>
          </w:p>
        </w:tc>
        <w:tc>
          <w:tcPr>
            <w:tcW w:w="672" w:type="dxa"/>
            <w:tcBorders>
              <w:top w:val="nil"/>
              <w:left w:val="nil"/>
              <w:bottom w:val="single" w:color="auto" w:sz="4" w:space="0"/>
              <w:right w:val="single" w:color="auto" w:sz="4" w:space="0"/>
            </w:tcBorders>
            <w:shd w:val="clear" w:color="auto" w:fill="auto"/>
            <w:vAlign w:val="center"/>
          </w:tcPr>
          <w:p w14:paraId="614890B4">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0896503B">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41499A62">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2FC9194B">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2D3FFB50">
            <w:pPr>
              <w:pStyle w:val="52"/>
              <w:spacing w:line="500" w:lineRule="exact"/>
              <w:rPr>
                <w:rFonts w:ascii="宋体" w:hAnsi="宋体" w:cs="宋体"/>
                <w:color w:val="auto"/>
                <w:szCs w:val="21"/>
              </w:rPr>
            </w:pPr>
            <w:r>
              <w:rPr>
                <w:rFonts w:hint="eastAsia" w:ascii="宋体" w:hAnsi="宋体" w:cs="宋体"/>
                <w:color w:val="auto"/>
                <w:szCs w:val="21"/>
              </w:rPr>
              <w:t>溶气系统设备，含压力表等附件</w:t>
            </w:r>
          </w:p>
        </w:tc>
      </w:tr>
      <w:tr w14:paraId="02C624DC">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78713F9">
            <w:pPr>
              <w:pStyle w:val="52"/>
              <w:spacing w:line="500" w:lineRule="exact"/>
              <w:rPr>
                <w:rFonts w:ascii="宋体" w:hAnsi="宋体" w:cs="宋体"/>
                <w:color w:val="auto"/>
                <w:szCs w:val="21"/>
              </w:rPr>
            </w:pPr>
            <w:r>
              <w:rPr>
                <w:rFonts w:hint="eastAsia" w:ascii="宋体" w:hAnsi="宋体" w:cs="宋体"/>
                <w:color w:val="auto"/>
                <w:szCs w:val="21"/>
              </w:rPr>
              <w:t>6</w:t>
            </w:r>
          </w:p>
        </w:tc>
        <w:tc>
          <w:tcPr>
            <w:tcW w:w="967" w:type="dxa"/>
            <w:tcBorders>
              <w:top w:val="nil"/>
              <w:left w:val="nil"/>
              <w:bottom w:val="single" w:color="auto" w:sz="4" w:space="0"/>
              <w:right w:val="single" w:color="auto" w:sz="4" w:space="0"/>
            </w:tcBorders>
            <w:shd w:val="clear" w:color="auto" w:fill="auto"/>
            <w:vAlign w:val="center"/>
          </w:tcPr>
          <w:p w14:paraId="5906180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C9375AE">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2C669F91">
            <w:pPr>
              <w:pStyle w:val="52"/>
              <w:spacing w:line="500" w:lineRule="exact"/>
              <w:rPr>
                <w:rFonts w:ascii="宋体" w:hAnsi="宋体" w:cs="宋体"/>
                <w:color w:val="auto"/>
                <w:szCs w:val="21"/>
              </w:rPr>
            </w:pPr>
            <w:r>
              <w:rPr>
                <w:rFonts w:hint="eastAsia" w:ascii="宋体" w:hAnsi="宋体" w:cs="宋体"/>
                <w:color w:val="auto"/>
                <w:szCs w:val="21"/>
              </w:rPr>
              <w:t>De200，PN10</w:t>
            </w:r>
          </w:p>
        </w:tc>
        <w:tc>
          <w:tcPr>
            <w:tcW w:w="672" w:type="dxa"/>
            <w:tcBorders>
              <w:top w:val="nil"/>
              <w:left w:val="nil"/>
              <w:bottom w:val="single" w:color="auto" w:sz="4" w:space="0"/>
              <w:right w:val="single" w:color="auto" w:sz="4" w:space="0"/>
            </w:tcBorders>
            <w:shd w:val="clear" w:color="auto" w:fill="auto"/>
            <w:vAlign w:val="center"/>
          </w:tcPr>
          <w:p w14:paraId="39AF8286">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02811D31">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5E2F8C19">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6E53FDB7">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vAlign w:val="center"/>
          </w:tcPr>
          <w:p w14:paraId="507849D1">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5EC16154">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C6B9B15">
            <w:pPr>
              <w:pStyle w:val="52"/>
              <w:spacing w:line="500" w:lineRule="exact"/>
              <w:rPr>
                <w:rFonts w:ascii="宋体" w:hAnsi="宋体" w:cs="宋体"/>
                <w:color w:val="auto"/>
                <w:szCs w:val="21"/>
              </w:rPr>
            </w:pPr>
            <w:r>
              <w:rPr>
                <w:rFonts w:hint="eastAsia" w:ascii="宋体" w:hAnsi="宋体" w:cs="宋体"/>
                <w:color w:val="auto"/>
                <w:szCs w:val="21"/>
              </w:rPr>
              <w:t>7</w:t>
            </w:r>
          </w:p>
        </w:tc>
        <w:tc>
          <w:tcPr>
            <w:tcW w:w="967" w:type="dxa"/>
            <w:tcBorders>
              <w:top w:val="nil"/>
              <w:left w:val="nil"/>
              <w:bottom w:val="single" w:color="auto" w:sz="4" w:space="0"/>
              <w:right w:val="single" w:color="auto" w:sz="4" w:space="0"/>
            </w:tcBorders>
            <w:shd w:val="clear" w:color="auto" w:fill="auto"/>
            <w:vAlign w:val="center"/>
          </w:tcPr>
          <w:p w14:paraId="58F529E7">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EEA1224">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04287345">
            <w:pPr>
              <w:pStyle w:val="52"/>
              <w:spacing w:line="500" w:lineRule="exact"/>
              <w:rPr>
                <w:rFonts w:ascii="宋体" w:hAnsi="宋体" w:cs="宋体"/>
                <w:color w:val="auto"/>
                <w:szCs w:val="21"/>
              </w:rPr>
            </w:pPr>
            <w:r>
              <w:rPr>
                <w:rFonts w:hint="eastAsia" w:ascii="宋体" w:hAnsi="宋体" w:cs="宋体"/>
                <w:color w:val="auto"/>
                <w:szCs w:val="21"/>
              </w:rPr>
              <w:t>De150，PN10</w:t>
            </w:r>
          </w:p>
        </w:tc>
        <w:tc>
          <w:tcPr>
            <w:tcW w:w="672" w:type="dxa"/>
            <w:tcBorders>
              <w:top w:val="nil"/>
              <w:left w:val="nil"/>
              <w:bottom w:val="single" w:color="auto" w:sz="4" w:space="0"/>
              <w:right w:val="single" w:color="auto" w:sz="4" w:space="0"/>
            </w:tcBorders>
            <w:shd w:val="clear" w:color="auto" w:fill="auto"/>
            <w:vAlign w:val="center"/>
          </w:tcPr>
          <w:p w14:paraId="58C2C55E">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47A998AF">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2A48E730">
            <w:pPr>
              <w:pStyle w:val="52"/>
              <w:spacing w:line="500" w:lineRule="exact"/>
              <w:rPr>
                <w:rFonts w:ascii="宋体" w:hAnsi="宋体" w:cs="宋体"/>
                <w:color w:val="auto"/>
                <w:szCs w:val="21"/>
              </w:rPr>
            </w:pPr>
            <w:r>
              <w:rPr>
                <w:rFonts w:hint="eastAsia" w:ascii="宋体" w:hAnsi="宋体" w:cs="宋体"/>
                <w:color w:val="auto"/>
                <w:szCs w:val="21"/>
              </w:rPr>
              <w:t>90</w:t>
            </w:r>
          </w:p>
        </w:tc>
        <w:tc>
          <w:tcPr>
            <w:tcW w:w="780" w:type="dxa"/>
            <w:tcBorders>
              <w:top w:val="nil"/>
              <w:left w:val="nil"/>
              <w:bottom w:val="single" w:color="auto" w:sz="4" w:space="0"/>
              <w:right w:val="single" w:color="auto" w:sz="4" w:space="0"/>
            </w:tcBorders>
            <w:shd w:val="clear" w:color="auto" w:fill="auto"/>
            <w:vAlign w:val="center"/>
          </w:tcPr>
          <w:p w14:paraId="2272AD7D">
            <w:pPr>
              <w:pStyle w:val="52"/>
              <w:spacing w:line="500" w:lineRule="exact"/>
              <w:rPr>
                <w:rFonts w:ascii="宋体" w:hAnsi="宋体" w:cs="宋体"/>
                <w:color w:val="auto"/>
                <w:szCs w:val="21"/>
              </w:rPr>
            </w:pPr>
            <w:r>
              <w:rPr>
                <w:rFonts w:hint="eastAsia" w:ascii="宋体" w:hAnsi="宋体" w:cs="宋体"/>
                <w:color w:val="auto"/>
                <w:szCs w:val="21"/>
              </w:rPr>
              <w:t>180</w:t>
            </w:r>
          </w:p>
        </w:tc>
        <w:tc>
          <w:tcPr>
            <w:tcW w:w="1950" w:type="dxa"/>
            <w:tcBorders>
              <w:top w:val="nil"/>
              <w:left w:val="nil"/>
              <w:bottom w:val="single" w:color="auto" w:sz="4" w:space="0"/>
              <w:right w:val="single" w:color="auto" w:sz="4" w:space="0"/>
            </w:tcBorders>
            <w:shd w:val="clear" w:color="auto" w:fill="auto"/>
            <w:vAlign w:val="center"/>
          </w:tcPr>
          <w:p w14:paraId="0219B558">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34AC1E9B">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4685008">
            <w:pPr>
              <w:pStyle w:val="52"/>
              <w:spacing w:line="500" w:lineRule="exact"/>
              <w:rPr>
                <w:rFonts w:ascii="宋体" w:hAnsi="宋体" w:cs="宋体"/>
                <w:color w:val="auto"/>
                <w:szCs w:val="21"/>
              </w:rPr>
            </w:pPr>
            <w:r>
              <w:rPr>
                <w:rFonts w:hint="eastAsia" w:ascii="宋体" w:hAnsi="宋体" w:cs="宋体"/>
                <w:color w:val="auto"/>
                <w:szCs w:val="21"/>
              </w:rPr>
              <w:t>8</w:t>
            </w:r>
          </w:p>
        </w:tc>
        <w:tc>
          <w:tcPr>
            <w:tcW w:w="967" w:type="dxa"/>
            <w:tcBorders>
              <w:top w:val="nil"/>
              <w:left w:val="nil"/>
              <w:bottom w:val="single" w:color="auto" w:sz="4" w:space="0"/>
              <w:right w:val="single" w:color="auto" w:sz="4" w:space="0"/>
            </w:tcBorders>
            <w:shd w:val="clear" w:color="auto" w:fill="auto"/>
            <w:vAlign w:val="center"/>
          </w:tcPr>
          <w:p w14:paraId="27273FA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5F9D6FF">
            <w:pPr>
              <w:pStyle w:val="52"/>
              <w:spacing w:line="500" w:lineRule="exact"/>
              <w:rPr>
                <w:rFonts w:ascii="宋体" w:hAnsi="宋体" w:cs="宋体"/>
                <w:color w:val="auto"/>
                <w:szCs w:val="21"/>
              </w:rPr>
            </w:pPr>
            <w:r>
              <w:rPr>
                <w:rFonts w:hint="eastAsia" w:ascii="宋体" w:hAnsi="宋体" w:cs="宋体"/>
                <w:color w:val="auto"/>
                <w:szCs w:val="21"/>
              </w:rPr>
              <w:t>现状侧壁开孔</w:t>
            </w:r>
          </w:p>
        </w:tc>
        <w:tc>
          <w:tcPr>
            <w:tcW w:w="2597" w:type="dxa"/>
            <w:tcBorders>
              <w:top w:val="nil"/>
              <w:left w:val="nil"/>
              <w:bottom w:val="single" w:color="auto" w:sz="4" w:space="0"/>
              <w:right w:val="single" w:color="auto" w:sz="4" w:space="0"/>
            </w:tcBorders>
            <w:shd w:val="clear" w:color="auto" w:fill="auto"/>
            <w:vAlign w:val="center"/>
          </w:tcPr>
          <w:p w14:paraId="716C214C">
            <w:pPr>
              <w:pStyle w:val="52"/>
              <w:spacing w:line="500" w:lineRule="exact"/>
              <w:rPr>
                <w:rFonts w:ascii="宋体" w:hAnsi="宋体" w:cs="宋体"/>
                <w:color w:val="auto"/>
                <w:szCs w:val="21"/>
              </w:rPr>
            </w:pPr>
            <w:r>
              <w:rPr>
                <w:rFonts w:hint="eastAsia" w:ascii="宋体" w:hAnsi="宋体" w:cs="宋体"/>
                <w:color w:val="auto"/>
                <w:szCs w:val="21"/>
              </w:rPr>
              <w:t>DN250</w:t>
            </w:r>
          </w:p>
        </w:tc>
        <w:tc>
          <w:tcPr>
            <w:tcW w:w="672" w:type="dxa"/>
            <w:tcBorders>
              <w:top w:val="nil"/>
              <w:left w:val="nil"/>
              <w:bottom w:val="single" w:color="auto" w:sz="4" w:space="0"/>
              <w:right w:val="single" w:color="auto" w:sz="4" w:space="0"/>
            </w:tcBorders>
            <w:shd w:val="clear" w:color="auto" w:fill="auto"/>
            <w:vAlign w:val="center"/>
          </w:tcPr>
          <w:p w14:paraId="2C56D430">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566EAFE6">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0CE2D700">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58864BBA">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noWrap/>
            <w:vAlign w:val="center"/>
          </w:tcPr>
          <w:p w14:paraId="1B9B3463">
            <w:pPr>
              <w:pStyle w:val="52"/>
              <w:spacing w:line="500" w:lineRule="exact"/>
              <w:rPr>
                <w:rFonts w:ascii="宋体" w:hAnsi="宋体" w:cs="宋体"/>
                <w:color w:val="auto"/>
                <w:szCs w:val="21"/>
              </w:rPr>
            </w:pPr>
            <w:r>
              <w:rPr>
                <w:rFonts w:hint="eastAsia" w:ascii="宋体" w:hAnsi="宋体" w:cs="宋体"/>
                <w:color w:val="auto"/>
                <w:szCs w:val="21"/>
              </w:rPr>
              <w:t>　</w:t>
            </w:r>
          </w:p>
        </w:tc>
      </w:tr>
      <w:tr w14:paraId="4349B7D0">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4376028">
            <w:pPr>
              <w:pStyle w:val="52"/>
              <w:spacing w:line="500" w:lineRule="exact"/>
              <w:rPr>
                <w:rFonts w:ascii="宋体" w:hAnsi="宋体" w:cs="宋体"/>
                <w:color w:val="auto"/>
                <w:szCs w:val="21"/>
              </w:rPr>
            </w:pPr>
            <w:r>
              <w:rPr>
                <w:rFonts w:hint="eastAsia" w:ascii="宋体" w:hAnsi="宋体" w:cs="宋体"/>
                <w:color w:val="auto"/>
                <w:szCs w:val="21"/>
              </w:rPr>
              <w:t>9</w:t>
            </w:r>
          </w:p>
        </w:tc>
        <w:tc>
          <w:tcPr>
            <w:tcW w:w="967" w:type="dxa"/>
            <w:tcBorders>
              <w:top w:val="nil"/>
              <w:left w:val="nil"/>
              <w:bottom w:val="single" w:color="auto" w:sz="4" w:space="0"/>
              <w:right w:val="single" w:color="auto" w:sz="4" w:space="0"/>
            </w:tcBorders>
            <w:shd w:val="clear" w:color="auto" w:fill="auto"/>
            <w:vAlign w:val="center"/>
          </w:tcPr>
          <w:p w14:paraId="6506FCDD">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5FDFFB6">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3468DE44">
            <w:pPr>
              <w:pStyle w:val="52"/>
              <w:spacing w:line="500" w:lineRule="exact"/>
              <w:rPr>
                <w:rFonts w:ascii="宋体" w:hAnsi="宋体" w:cs="宋体"/>
                <w:color w:val="auto"/>
                <w:szCs w:val="21"/>
              </w:rPr>
            </w:pPr>
            <w:r>
              <w:rPr>
                <w:rFonts w:hint="eastAsia" w:ascii="宋体" w:hAnsi="宋体" w:cs="宋体"/>
                <w:color w:val="auto"/>
                <w:szCs w:val="21"/>
              </w:rPr>
              <w:t>De110，PN10</w:t>
            </w:r>
          </w:p>
        </w:tc>
        <w:tc>
          <w:tcPr>
            <w:tcW w:w="672" w:type="dxa"/>
            <w:tcBorders>
              <w:top w:val="nil"/>
              <w:left w:val="nil"/>
              <w:bottom w:val="single" w:color="auto" w:sz="4" w:space="0"/>
              <w:right w:val="single" w:color="auto" w:sz="4" w:space="0"/>
            </w:tcBorders>
            <w:shd w:val="clear" w:color="auto" w:fill="auto"/>
            <w:vAlign w:val="center"/>
          </w:tcPr>
          <w:p w14:paraId="23B50C52">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018E77D4">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1F1F1054">
            <w:pPr>
              <w:pStyle w:val="52"/>
              <w:spacing w:line="500" w:lineRule="exact"/>
              <w:rPr>
                <w:rFonts w:ascii="宋体" w:hAnsi="宋体" w:cs="宋体"/>
                <w:color w:val="auto"/>
                <w:szCs w:val="21"/>
              </w:rPr>
            </w:pPr>
            <w:r>
              <w:rPr>
                <w:rFonts w:hint="eastAsia" w:ascii="宋体" w:hAnsi="宋体" w:cs="宋体"/>
                <w:color w:val="auto"/>
                <w:szCs w:val="21"/>
              </w:rPr>
              <w:t>10</w:t>
            </w:r>
          </w:p>
        </w:tc>
        <w:tc>
          <w:tcPr>
            <w:tcW w:w="780" w:type="dxa"/>
            <w:tcBorders>
              <w:top w:val="nil"/>
              <w:left w:val="nil"/>
              <w:bottom w:val="single" w:color="auto" w:sz="4" w:space="0"/>
              <w:right w:val="single" w:color="auto" w:sz="4" w:space="0"/>
            </w:tcBorders>
            <w:shd w:val="clear" w:color="auto" w:fill="auto"/>
            <w:vAlign w:val="center"/>
          </w:tcPr>
          <w:p w14:paraId="017A1399">
            <w:pPr>
              <w:pStyle w:val="52"/>
              <w:spacing w:line="500" w:lineRule="exact"/>
              <w:rPr>
                <w:rFonts w:ascii="宋体" w:hAnsi="宋体" w:cs="宋体"/>
                <w:color w:val="auto"/>
                <w:szCs w:val="21"/>
              </w:rPr>
            </w:pPr>
            <w:r>
              <w:rPr>
                <w:rFonts w:hint="eastAsia" w:ascii="宋体" w:hAnsi="宋体" w:cs="宋体"/>
                <w:color w:val="auto"/>
                <w:szCs w:val="21"/>
              </w:rPr>
              <w:t>20</w:t>
            </w:r>
          </w:p>
        </w:tc>
        <w:tc>
          <w:tcPr>
            <w:tcW w:w="1950" w:type="dxa"/>
            <w:tcBorders>
              <w:top w:val="nil"/>
              <w:left w:val="nil"/>
              <w:bottom w:val="single" w:color="auto" w:sz="4" w:space="0"/>
              <w:right w:val="single" w:color="auto" w:sz="4" w:space="0"/>
            </w:tcBorders>
            <w:shd w:val="clear" w:color="auto" w:fill="auto"/>
            <w:vAlign w:val="center"/>
          </w:tcPr>
          <w:p w14:paraId="442DBE8A">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4C21E0DB">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C2D53E8">
            <w:pPr>
              <w:pStyle w:val="52"/>
              <w:spacing w:line="500" w:lineRule="exact"/>
              <w:rPr>
                <w:rFonts w:ascii="宋体" w:hAnsi="宋体" w:cs="宋体"/>
                <w:color w:val="auto"/>
                <w:szCs w:val="21"/>
              </w:rPr>
            </w:pPr>
            <w:r>
              <w:rPr>
                <w:rFonts w:hint="eastAsia" w:ascii="宋体" w:hAnsi="宋体" w:cs="宋体"/>
                <w:color w:val="auto"/>
                <w:szCs w:val="21"/>
              </w:rPr>
              <w:t>10</w:t>
            </w:r>
          </w:p>
        </w:tc>
        <w:tc>
          <w:tcPr>
            <w:tcW w:w="967" w:type="dxa"/>
            <w:tcBorders>
              <w:top w:val="nil"/>
              <w:left w:val="nil"/>
              <w:bottom w:val="single" w:color="auto" w:sz="4" w:space="0"/>
              <w:right w:val="single" w:color="auto" w:sz="4" w:space="0"/>
            </w:tcBorders>
            <w:shd w:val="clear" w:color="auto" w:fill="auto"/>
            <w:vAlign w:val="center"/>
          </w:tcPr>
          <w:p w14:paraId="1CC5532A">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8C82933">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5DC5DBCA">
            <w:pPr>
              <w:pStyle w:val="52"/>
              <w:spacing w:line="500" w:lineRule="exact"/>
              <w:rPr>
                <w:rFonts w:ascii="宋体" w:hAnsi="宋体" w:cs="宋体"/>
                <w:color w:val="auto"/>
                <w:szCs w:val="21"/>
              </w:rPr>
            </w:pPr>
            <w:r>
              <w:rPr>
                <w:rFonts w:hint="eastAsia" w:ascii="宋体" w:hAnsi="宋体" w:cs="宋体"/>
                <w:color w:val="auto"/>
                <w:szCs w:val="21"/>
              </w:rPr>
              <w:t>De90，PN10</w:t>
            </w:r>
          </w:p>
        </w:tc>
        <w:tc>
          <w:tcPr>
            <w:tcW w:w="672" w:type="dxa"/>
            <w:tcBorders>
              <w:top w:val="nil"/>
              <w:left w:val="nil"/>
              <w:bottom w:val="single" w:color="auto" w:sz="4" w:space="0"/>
              <w:right w:val="single" w:color="auto" w:sz="4" w:space="0"/>
            </w:tcBorders>
            <w:shd w:val="clear" w:color="auto" w:fill="auto"/>
            <w:vAlign w:val="center"/>
          </w:tcPr>
          <w:p w14:paraId="2B59A741">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4799FB63">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016EB9D0">
            <w:pPr>
              <w:pStyle w:val="52"/>
              <w:spacing w:line="500" w:lineRule="exact"/>
              <w:rPr>
                <w:rFonts w:ascii="宋体" w:hAnsi="宋体" w:cs="宋体"/>
                <w:color w:val="auto"/>
                <w:szCs w:val="21"/>
              </w:rPr>
            </w:pPr>
            <w:r>
              <w:rPr>
                <w:rFonts w:hint="eastAsia" w:ascii="宋体" w:hAnsi="宋体" w:cs="宋体"/>
                <w:color w:val="auto"/>
                <w:szCs w:val="21"/>
              </w:rPr>
              <w:t>32</w:t>
            </w:r>
          </w:p>
        </w:tc>
        <w:tc>
          <w:tcPr>
            <w:tcW w:w="780" w:type="dxa"/>
            <w:tcBorders>
              <w:top w:val="nil"/>
              <w:left w:val="nil"/>
              <w:bottom w:val="single" w:color="auto" w:sz="4" w:space="0"/>
              <w:right w:val="single" w:color="auto" w:sz="4" w:space="0"/>
            </w:tcBorders>
            <w:shd w:val="clear" w:color="auto" w:fill="auto"/>
            <w:vAlign w:val="center"/>
          </w:tcPr>
          <w:p w14:paraId="1CE706B9">
            <w:pPr>
              <w:pStyle w:val="52"/>
              <w:spacing w:line="500" w:lineRule="exact"/>
              <w:rPr>
                <w:rFonts w:ascii="宋体" w:hAnsi="宋体" w:cs="宋体"/>
                <w:color w:val="auto"/>
                <w:szCs w:val="21"/>
              </w:rPr>
            </w:pPr>
            <w:r>
              <w:rPr>
                <w:rFonts w:hint="eastAsia" w:ascii="宋体" w:hAnsi="宋体" w:cs="宋体"/>
                <w:color w:val="auto"/>
                <w:szCs w:val="21"/>
              </w:rPr>
              <w:t>64</w:t>
            </w:r>
          </w:p>
        </w:tc>
        <w:tc>
          <w:tcPr>
            <w:tcW w:w="1950" w:type="dxa"/>
            <w:tcBorders>
              <w:top w:val="nil"/>
              <w:left w:val="nil"/>
              <w:bottom w:val="single" w:color="auto" w:sz="4" w:space="0"/>
              <w:right w:val="single" w:color="auto" w:sz="4" w:space="0"/>
            </w:tcBorders>
            <w:shd w:val="clear" w:color="auto" w:fill="auto"/>
            <w:vAlign w:val="center"/>
          </w:tcPr>
          <w:p w14:paraId="4A918136">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610E03DE">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A310033">
            <w:pPr>
              <w:pStyle w:val="52"/>
              <w:spacing w:line="500" w:lineRule="exact"/>
              <w:rPr>
                <w:rFonts w:ascii="宋体" w:hAnsi="宋体" w:cs="宋体"/>
                <w:color w:val="auto"/>
                <w:szCs w:val="21"/>
              </w:rPr>
            </w:pPr>
            <w:r>
              <w:rPr>
                <w:rFonts w:hint="eastAsia" w:ascii="宋体" w:hAnsi="宋体" w:cs="宋体"/>
                <w:color w:val="auto"/>
                <w:szCs w:val="21"/>
              </w:rPr>
              <w:t>11</w:t>
            </w:r>
          </w:p>
        </w:tc>
        <w:tc>
          <w:tcPr>
            <w:tcW w:w="967" w:type="dxa"/>
            <w:tcBorders>
              <w:top w:val="nil"/>
              <w:left w:val="nil"/>
              <w:bottom w:val="single" w:color="auto" w:sz="4" w:space="0"/>
              <w:right w:val="single" w:color="auto" w:sz="4" w:space="0"/>
            </w:tcBorders>
            <w:shd w:val="clear" w:color="auto" w:fill="auto"/>
            <w:vAlign w:val="center"/>
          </w:tcPr>
          <w:p w14:paraId="3BA8873F">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BCB0779">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59FC2E22">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2C9DCA64">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4112E755">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42B9370D">
            <w:pPr>
              <w:pStyle w:val="52"/>
              <w:spacing w:line="500" w:lineRule="exact"/>
              <w:rPr>
                <w:rFonts w:ascii="宋体" w:hAnsi="宋体" w:cs="宋体"/>
                <w:color w:val="auto"/>
                <w:szCs w:val="21"/>
              </w:rPr>
            </w:pPr>
            <w:r>
              <w:rPr>
                <w:rFonts w:hint="eastAsia" w:ascii="宋体" w:hAnsi="宋体" w:cs="宋体"/>
                <w:color w:val="auto"/>
                <w:szCs w:val="21"/>
              </w:rPr>
              <w:t>16</w:t>
            </w:r>
          </w:p>
        </w:tc>
        <w:tc>
          <w:tcPr>
            <w:tcW w:w="780" w:type="dxa"/>
            <w:tcBorders>
              <w:top w:val="nil"/>
              <w:left w:val="nil"/>
              <w:bottom w:val="single" w:color="auto" w:sz="4" w:space="0"/>
              <w:right w:val="single" w:color="auto" w:sz="4" w:space="0"/>
            </w:tcBorders>
            <w:shd w:val="clear" w:color="auto" w:fill="auto"/>
            <w:vAlign w:val="center"/>
          </w:tcPr>
          <w:p w14:paraId="6B771B7C">
            <w:pPr>
              <w:pStyle w:val="52"/>
              <w:spacing w:line="500" w:lineRule="exact"/>
              <w:rPr>
                <w:rFonts w:ascii="宋体" w:hAnsi="宋体" w:cs="宋体"/>
                <w:color w:val="auto"/>
                <w:szCs w:val="21"/>
              </w:rPr>
            </w:pPr>
            <w:r>
              <w:rPr>
                <w:rFonts w:hint="eastAsia" w:ascii="宋体" w:hAnsi="宋体" w:cs="宋体"/>
                <w:color w:val="auto"/>
                <w:szCs w:val="21"/>
              </w:rPr>
              <w:t>32</w:t>
            </w:r>
          </w:p>
        </w:tc>
        <w:tc>
          <w:tcPr>
            <w:tcW w:w="1950" w:type="dxa"/>
            <w:tcBorders>
              <w:top w:val="nil"/>
              <w:left w:val="nil"/>
              <w:bottom w:val="single" w:color="auto" w:sz="4" w:space="0"/>
              <w:right w:val="single" w:color="auto" w:sz="4" w:space="0"/>
            </w:tcBorders>
            <w:shd w:val="clear" w:color="auto" w:fill="auto"/>
            <w:vAlign w:val="center"/>
          </w:tcPr>
          <w:p w14:paraId="04A3F0C2">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399D1A0F">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137EAC2">
            <w:pPr>
              <w:pStyle w:val="52"/>
              <w:spacing w:line="500" w:lineRule="exact"/>
              <w:rPr>
                <w:rFonts w:ascii="宋体" w:hAnsi="宋体" w:cs="宋体"/>
                <w:color w:val="auto"/>
                <w:szCs w:val="21"/>
              </w:rPr>
            </w:pPr>
            <w:r>
              <w:rPr>
                <w:rFonts w:hint="eastAsia" w:ascii="宋体" w:hAnsi="宋体" w:cs="宋体"/>
                <w:color w:val="auto"/>
                <w:szCs w:val="21"/>
              </w:rPr>
              <w:t>12</w:t>
            </w:r>
          </w:p>
        </w:tc>
        <w:tc>
          <w:tcPr>
            <w:tcW w:w="967" w:type="dxa"/>
            <w:tcBorders>
              <w:top w:val="nil"/>
              <w:left w:val="nil"/>
              <w:bottom w:val="single" w:color="auto" w:sz="4" w:space="0"/>
              <w:right w:val="single" w:color="auto" w:sz="4" w:space="0"/>
            </w:tcBorders>
            <w:shd w:val="clear" w:color="auto" w:fill="auto"/>
            <w:vAlign w:val="center"/>
          </w:tcPr>
          <w:p w14:paraId="396BBC6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AC6BA7C">
            <w:pPr>
              <w:pStyle w:val="52"/>
              <w:spacing w:line="500" w:lineRule="exact"/>
              <w:rPr>
                <w:rFonts w:ascii="宋体" w:hAnsi="宋体" w:cs="宋体"/>
                <w:color w:val="auto"/>
                <w:szCs w:val="21"/>
              </w:rPr>
            </w:pPr>
            <w:r>
              <w:rPr>
                <w:rFonts w:hint="eastAsia" w:ascii="宋体" w:hAnsi="宋体" w:cs="宋体"/>
                <w:color w:val="auto"/>
                <w:szCs w:val="21"/>
              </w:rPr>
              <w:t>三通</w:t>
            </w:r>
          </w:p>
        </w:tc>
        <w:tc>
          <w:tcPr>
            <w:tcW w:w="2597" w:type="dxa"/>
            <w:tcBorders>
              <w:top w:val="nil"/>
              <w:left w:val="nil"/>
              <w:bottom w:val="single" w:color="auto" w:sz="4" w:space="0"/>
              <w:right w:val="single" w:color="auto" w:sz="4" w:space="0"/>
            </w:tcBorders>
            <w:shd w:val="clear" w:color="auto" w:fill="auto"/>
            <w:vAlign w:val="center"/>
          </w:tcPr>
          <w:p w14:paraId="594471C7">
            <w:pPr>
              <w:pStyle w:val="52"/>
              <w:spacing w:line="500" w:lineRule="exact"/>
              <w:rPr>
                <w:rFonts w:ascii="宋体" w:hAnsi="宋体" w:cs="宋体"/>
                <w:color w:val="auto"/>
                <w:szCs w:val="21"/>
              </w:rPr>
            </w:pPr>
            <w:r>
              <w:rPr>
                <w:rFonts w:hint="eastAsia" w:ascii="宋体" w:hAnsi="宋体" w:cs="宋体"/>
                <w:color w:val="auto"/>
                <w:szCs w:val="21"/>
              </w:rPr>
              <w:t>De200xDe150</w:t>
            </w:r>
          </w:p>
        </w:tc>
        <w:tc>
          <w:tcPr>
            <w:tcW w:w="672" w:type="dxa"/>
            <w:tcBorders>
              <w:top w:val="nil"/>
              <w:left w:val="nil"/>
              <w:bottom w:val="single" w:color="auto" w:sz="4" w:space="0"/>
              <w:right w:val="single" w:color="auto" w:sz="4" w:space="0"/>
            </w:tcBorders>
            <w:shd w:val="clear" w:color="auto" w:fill="auto"/>
            <w:vAlign w:val="center"/>
          </w:tcPr>
          <w:p w14:paraId="4B50F354">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640690BD">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6AFCF2D8">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1D71D11A">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30B84830">
            <w:pPr>
              <w:pStyle w:val="52"/>
              <w:spacing w:line="500" w:lineRule="exact"/>
              <w:rPr>
                <w:rFonts w:ascii="宋体" w:hAnsi="宋体" w:cs="宋体"/>
                <w:color w:val="auto"/>
                <w:szCs w:val="21"/>
              </w:rPr>
            </w:pPr>
            <w:r>
              <w:rPr>
                <w:rFonts w:hint="eastAsia" w:ascii="宋体" w:hAnsi="宋体" w:cs="宋体"/>
                <w:color w:val="auto"/>
                <w:szCs w:val="21"/>
              </w:rPr>
              <w:t>　</w:t>
            </w:r>
          </w:p>
        </w:tc>
      </w:tr>
      <w:tr w14:paraId="278F3E30">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A277305">
            <w:pPr>
              <w:pStyle w:val="52"/>
              <w:spacing w:line="500" w:lineRule="exact"/>
              <w:rPr>
                <w:rFonts w:ascii="宋体" w:hAnsi="宋体" w:cs="宋体"/>
                <w:color w:val="auto"/>
                <w:szCs w:val="21"/>
              </w:rPr>
            </w:pPr>
            <w:r>
              <w:rPr>
                <w:rFonts w:hint="eastAsia" w:ascii="宋体" w:hAnsi="宋体" w:cs="宋体"/>
                <w:color w:val="auto"/>
                <w:szCs w:val="21"/>
              </w:rPr>
              <w:t>13</w:t>
            </w:r>
          </w:p>
        </w:tc>
        <w:tc>
          <w:tcPr>
            <w:tcW w:w="967" w:type="dxa"/>
            <w:tcBorders>
              <w:top w:val="nil"/>
              <w:left w:val="nil"/>
              <w:bottom w:val="single" w:color="auto" w:sz="4" w:space="0"/>
              <w:right w:val="single" w:color="auto" w:sz="4" w:space="0"/>
            </w:tcBorders>
            <w:shd w:val="clear" w:color="auto" w:fill="auto"/>
            <w:vAlign w:val="center"/>
          </w:tcPr>
          <w:p w14:paraId="52C19190">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C03D499">
            <w:pPr>
              <w:pStyle w:val="52"/>
              <w:spacing w:line="500" w:lineRule="exact"/>
              <w:rPr>
                <w:rFonts w:ascii="宋体" w:hAnsi="宋体" w:cs="宋体"/>
                <w:color w:val="auto"/>
                <w:szCs w:val="21"/>
              </w:rPr>
            </w:pPr>
            <w:r>
              <w:rPr>
                <w:rFonts w:hint="eastAsia" w:ascii="宋体" w:hAnsi="宋体" w:cs="宋体"/>
                <w:color w:val="auto"/>
                <w:szCs w:val="21"/>
              </w:rPr>
              <w:t>三通</w:t>
            </w:r>
          </w:p>
        </w:tc>
        <w:tc>
          <w:tcPr>
            <w:tcW w:w="2597" w:type="dxa"/>
            <w:tcBorders>
              <w:top w:val="nil"/>
              <w:left w:val="nil"/>
              <w:bottom w:val="single" w:color="auto" w:sz="4" w:space="0"/>
              <w:right w:val="single" w:color="auto" w:sz="4" w:space="0"/>
            </w:tcBorders>
            <w:shd w:val="clear" w:color="auto" w:fill="auto"/>
            <w:vAlign w:val="center"/>
          </w:tcPr>
          <w:p w14:paraId="06CCAE8B">
            <w:pPr>
              <w:pStyle w:val="52"/>
              <w:spacing w:line="500" w:lineRule="exact"/>
              <w:rPr>
                <w:rFonts w:ascii="宋体" w:hAnsi="宋体" w:cs="宋体"/>
                <w:color w:val="auto"/>
                <w:szCs w:val="21"/>
              </w:rPr>
            </w:pPr>
            <w:r>
              <w:rPr>
                <w:rFonts w:hint="eastAsia" w:ascii="宋体" w:hAnsi="宋体" w:cs="宋体"/>
                <w:color w:val="auto"/>
                <w:szCs w:val="21"/>
              </w:rPr>
              <w:t>De150xDe90</w:t>
            </w:r>
          </w:p>
        </w:tc>
        <w:tc>
          <w:tcPr>
            <w:tcW w:w="672" w:type="dxa"/>
            <w:tcBorders>
              <w:top w:val="nil"/>
              <w:left w:val="nil"/>
              <w:bottom w:val="single" w:color="auto" w:sz="4" w:space="0"/>
              <w:right w:val="single" w:color="auto" w:sz="4" w:space="0"/>
            </w:tcBorders>
            <w:shd w:val="clear" w:color="auto" w:fill="auto"/>
            <w:vAlign w:val="center"/>
          </w:tcPr>
          <w:p w14:paraId="21B2DFFE">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4B375CEB">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0903AABF">
            <w:pPr>
              <w:pStyle w:val="52"/>
              <w:spacing w:line="500" w:lineRule="exact"/>
              <w:rPr>
                <w:rFonts w:ascii="宋体" w:hAnsi="宋体" w:cs="宋体"/>
                <w:color w:val="auto"/>
                <w:szCs w:val="21"/>
              </w:rPr>
            </w:pPr>
            <w:r>
              <w:rPr>
                <w:rFonts w:hint="eastAsia" w:ascii="宋体" w:hAnsi="宋体" w:cs="宋体"/>
                <w:color w:val="auto"/>
                <w:szCs w:val="21"/>
              </w:rPr>
              <w:t>8</w:t>
            </w:r>
          </w:p>
        </w:tc>
        <w:tc>
          <w:tcPr>
            <w:tcW w:w="780" w:type="dxa"/>
            <w:tcBorders>
              <w:top w:val="nil"/>
              <w:left w:val="nil"/>
              <w:bottom w:val="single" w:color="auto" w:sz="4" w:space="0"/>
              <w:right w:val="single" w:color="auto" w:sz="4" w:space="0"/>
            </w:tcBorders>
            <w:shd w:val="clear" w:color="auto" w:fill="auto"/>
            <w:vAlign w:val="center"/>
          </w:tcPr>
          <w:p w14:paraId="5A7230F7">
            <w:pPr>
              <w:pStyle w:val="52"/>
              <w:spacing w:line="500" w:lineRule="exact"/>
              <w:rPr>
                <w:rFonts w:ascii="宋体" w:hAnsi="宋体" w:cs="宋体"/>
                <w:color w:val="auto"/>
                <w:szCs w:val="21"/>
              </w:rPr>
            </w:pPr>
            <w:r>
              <w:rPr>
                <w:rFonts w:hint="eastAsia" w:ascii="宋体" w:hAnsi="宋体" w:cs="宋体"/>
                <w:color w:val="auto"/>
                <w:szCs w:val="21"/>
              </w:rPr>
              <w:t>16</w:t>
            </w:r>
          </w:p>
        </w:tc>
        <w:tc>
          <w:tcPr>
            <w:tcW w:w="1950" w:type="dxa"/>
            <w:tcBorders>
              <w:top w:val="nil"/>
              <w:left w:val="nil"/>
              <w:bottom w:val="single" w:color="auto" w:sz="4" w:space="0"/>
              <w:right w:val="single" w:color="auto" w:sz="4" w:space="0"/>
            </w:tcBorders>
            <w:shd w:val="clear" w:color="auto" w:fill="auto"/>
            <w:noWrap/>
            <w:vAlign w:val="center"/>
          </w:tcPr>
          <w:p w14:paraId="7FB47099">
            <w:pPr>
              <w:pStyle w:val="52"/>
              <w:spacing w:line="500" w:lineRule="exact"/>
              <w:rPr>
                <w:rFonts w:ascii="宋体" w:hAnsi="宋体" w:cs="宋体"/>
                <w:color w:val="auto"/>
                <w:szCs w:val="21"/>
              </w:rPr>
            </w:pPr>
            <w:r>
              <w:rPr>
                <w:rFonts w:hint="eastAsia" w:ascii="宋体" w:hAnsi="宋体" w:cs="宋体"/>
                <w:color w:val="auto"/>
                <w:szCs w:val="21"/>
              </w:rPr>
              <w:t>　</w:t>
            </w:r>
          </w:p>
        </w:tc>
      </w:tr>
      <w:tr w14:paraId="3E59B44E">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FDF2DF3">
            <w:pPr>
              <w:pStyle w:val="52"/>
              <w:spacing w:line="500" w:lineRule="exact"/>
              <w:rPr>
                <w:rFonts w:ascii="宋体" w:hAnsi="宋体" w:cs="宋体"/>
                <w:color w:val="auto"/>
                <w:szCs w:val="21"/>
              </w:rPr>
            </w:pPr>
            <w:r>
              <w:rPr>
                <w:rFonts w:hint="eastAsia" w:ascii="宋体" w:hAnsi="宋体" w:cs="宋体"/>
                <w:color w:val="auto"/>
                <w:szCs w:val="21"/>
              </w:rPr>
              <w:t>14</w:t>
            </w:r>
          </w:p>
        </w:tc>
        <w:tc>
          <w:tcPr>
            <w:tcW w:w="967" w:type="dxa"/>
            <w:tcBorders>
              <w:top w:val="nil"/>
              <w:left w:val="nil"/>
              <w:bottom w:val="single" w:color="auto" w:sz="4" w:space="0"/>
              <w:right w:val="single" w:color="auto" w:sz="4" w:space="0"/>
            </w:tcBorders>
            <w:shd w:val="clear" w:color="auto" w:fill="auto"/>
            <w:vAlign w:val="center"/>
          </w:tcPr>
          <w:p w14:paraId="3E4E23AA">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41D357B">
            <w:pPr>
              <w:pStyle w:val="52"/>
              <w:spacing w:line="500" w:lineRule="exact"/>
              <w:rPr>
                <w:rFonts w:ascii="宋体" w:hAnsi="宋体" w:cs="宋体"/>
                <w:color w:val="auto"/>
                <w:szCs w:val="21"/>
              </w:rPr>
            </w:pPr>
            <w:r>
              <w:rPr>
                <w:rFonts w:hint="eastAsia" w:ascii="宋体" w:hAnsi="宋体" w:cs="宋体"/>
                <w:color w:val="auto"/>
                <w:szCs w:val="21"/>
              </w:rPr>
              <w:t>异径管</w:t>
            </w:r>
          </w:p>
        </w:tc>
        <w:tc>
          <w:tcPr>
            <w:tcW w:w="2597" w:type="dxa"/>
            <w:tcBorders>
              <w:top w:val="nil"/>
              <w:left w:val="nil"/>
              <w:bottom w:val="single" w:color="auto" w:sz="4" w:space="0"/>
              <w:right w:val="single" w:color="auto" w:sz="4" w:space="0"/>
            </w:tcBorders>
            <w:shd w:val="clear" w:color="auto" w:fill="auto"/>
            <w:vAlign w:val="center"/>
          </w:tcPr>
          <w:p w14:paraId="177E1FCD">
            <w:pPr>
              <w:pStyle w:val="52"/>
              <w:spacing w:line="500" w:lineRule="exact"/>
              <w:rPr>
                <w:rFonts w:ascii="宋体" w:hAnsi="宋体" w:cs="宋体"/>
                <w:color w:val="auto"/>
                <w:szCs w:val="21"/>
              </w:rPr>
            </w:pPr>
            <w:r>
              <w:rPr>
                <w:rFonts w:hint="eastAsia" w:ascii="宋体" w:hAnsi="宋体" w:cs="宋体"/>
                <w:color w:val="auto"/>
                <w:szCs w:val="21"/>
              </w:rPr>
              <w:t>De200xDe150</w:t>
            </w:r>
          </w:p>
        </w:tc>
        <w:tc>
          <w:tcPr>
            <w:tcW w:w="672" w:type="dxa"/>
            <w:tcBorders>
              <w:top w:val="nil"/>
              <w:left w:val="nil"/>
              <w:bottom w:val="single" w:color="auto" w:sz="4" w:space="0"/>
              <w:right w:val="single" w:color="auto" w:sz="4" w:space="0"/>
            </w:tcBorders>
            <w:shd w:val="clear" w:color="auto" w:fill="auto"/>
            <w:vAlign w:val="center"/>
          </w:tcPr>
          <w:p w14:paraId="790DF9ED">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2A2B3F14">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6D6B074C">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71062A87">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noWrap/>
            <w:vAlign w:val="center"/>
          </w:tcPr>
          <w:p w14:paraId="3E5D79B0">
            <w:pPr>
              <w:pStyle w:val="52"/>
              <w:spacing w:line="500" w:lineRule="exact"/>
              <w:rPr>
                <w:rFonts w:ascii="宋体" w:hAnsi="宋体" w:cs="宋体"/>
                <w:color w:val="auto"/>
                <w:szCs w:val="21"/>
              </w:rPr>
            </w:pPr>
            <w:r>
              <w:rPr>
                <w:rFonts w:hint="eastAsia" w:ascii="宋体" w:hAnsi="宋体" w:cs="宋体"/>
                <w:color w:val="auto"/>
                <w:szCs w:val="21"/>
              </w:rPr>
              <w:t>　</w:t>
            </w:r>
          </w:p>
        </w:tc>
      </w:tr>
      <w:tr w14:paraId="2BE3012B">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4A83A4F">
            <w:pPr>
              <w:pStyle w:val="52"/>
              <w:spacing w:line="500" w:lineRule="exact"/>
              <w:rPr>
                <w:rFonts w:ascii="宋体" w:hAnsi="宋体" w:cs="宋体"/>
                <w:color w:val="auto"/>
                <w:szCs w:val="21"/>
              </w:rPr>
            </w:pPr>
            <w:r>
              <w:rPr>
                <w:rFonts w:hint="eastAsia" w:ascii="宋体" w:hAnsi="宋体" w:cs="宋体"/>
                <w:color w:val="auto"/>
                <w:szCs w:val="21"/>
              </w:rPr>
              <w:t>15</w:t>
            </w:r>
          </w:p>
        </w:tc>
        <w:tc>
          <w:tcPr>
            <w:tcW w:w="967" w:type="dxa"/>
            <w:tcBorders>
              <w:top w:val="nil"/>
              <w:left w:val="nil"/>
              <w:bottom w:val="single" w:color="auto" w:sz="4" w:space="0"/>
              <w:right w:val="single" w:color="auto" w:sz="4" w:space="0"/>
            </w:tcBorders>
            <w:shd w:val="clear" w:color="auto" w:fill="auto"/>
            <w:vAlign w:val="center"/>
          </w:tcPr>
          <w:p w14:paraId="295FD9BA">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77D4FA0A">
            <w:pPr>
              <w:pStyle w:val="52"/>
              <w:spacing w:line="500" w:lineRule="exact"/>
              <w:rPr>
                <w:rFonts w:ascii="宋体" w:hAnsi="宋体" w:cs="宋体"/>
                <w:color w:val="auto"/>
                <w:szCs w:val="21"/>
              </w:rPr>
            </w:pPr>
            <w:r>
              <w:rPr>
                <w:rFonts w:hint="eastAsia" w:ascii="宋体" w:hAnsi="宋体" w:cs="宋体"/>
                <w:color w:val="auto"/>
                <w:szCs w:val="21"/>
              </w:rPr>
              <w:t>弯头</w:t>
            </w:r>
          </w:p>
        </w:tc>
        <w:tc>
          <w:tcPr>
            <w:tcW w:w="2597" w:type="dxa"/>
            <w:tcBorders>
              <w:top w:val="nil"/>
              <w:left w:val="nil"/>
              <w:bottom w:val="single" w:color="auto" w:sz="4" w:space="0"/>
              <w:right w:val="single" w:color="auto" w:sz="4" w:space="0"/>
            </w:tcBorders>
            <w:shd w:val="clear" w:color="auto" w:fill="auto"/>
            <w:vAlign w:val="center"/>
          </w:tcPr>
          <w:p w14:paraId="14D0125C">
            <w:pPr>
              <w:pStyle w:val="52"/>
              <w:spacing w:line="500" w:lineRule="exact"/>
              <w:rPr>
                <w:rFonts w:ascii="宋体" w:hAnsi="宋体" w:cs="宋体"/>
                <w:color w:val="auto"/>
                <w:szCs w:val="21"/>
              </w:rPr>
            </w:pPr>
            <w:r>
              <w:rPr>
                <w:rFonts w:hint="eastAsia" w:ascii="宋体" w:hAnsi="宋体" w:cs="宋体"/>
                <w:color w:val="auto"/>
                <w:szCs w:val="21"/>
              </w:rPr>
              <w:t>De200x90°</w:t>
            </w:r>
          </w:p>
        </w:tc>
        <w:tc>
          <w:tcPr>
            <w:tcW w:w="672" w:type="dxa"/>
            <w:tcBorders>
              <w:top w:val="nil"/>
              <w:left w:val="nil"/>
              <w:bottom w:val="single" w:color="auto" w:sz="4" w:space="0"/>
              <w:right w:val="single" w:color="auto" w:sz="4" w:space="0"/>
            </w:tcBorders>
            <w:shd w:val="clear" w:color="auto" w:fill="auto"/>
            <w:vAlign w:val="center"/>
          </w:tcPr>
          <w:p w14:paraId="7715EE3E">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7CA53C7F">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0777B943">
            <w:pPr>
              <w:pStyle w:val="52"/>
              <w:spacing w:line="500" w:lineRule="exact"/>
              <w:rPr>
                <w:rFonts w:ascii="宋体" w:hAnsi="宋体" w:cs="宋体"/>
                <w:color w:val="auto"/>
                <w:szCs w:val="21"/>
              </w:rPr>
            </w:pPr>
            <w:r>
              <w:rPr>
                <w:rFonts w:hint="eastAsia" w:ascii="宋体" w:hAnsi="宋体" w:cs="宋体"/>
                <w:color w:val="auto"/>
                <w:szCs w:val="21"/>
              </w:rPr>
              <w:t>4</w:t>
            </w:r>
          </w:p>
        </w:tc>
        <w:tc>
          <w:tcPr>
            <w:tcW w:w="780" w:type="dxa"/>
            <w:tcBorders>
              <w:top w:val="nil"/>
              <w:left w:val="nil"/>
              <w:bottom w:val="single" w:color="auto" w:sz="4" w:space="0"/>
              <w:right w:val="single" w:color="auto" w:sz="4" w:space="0"/>
            </w:tcBorders>
            <w:shd w:val="clear" w:color="auto" w:fill="auto"/>
            <w:vAlign w:val="center"/>
          </w:tcPr>
          <w:p w14:paraId="54881928">
            <w:pPr>
              <w:pStyle w:val="52"/>
              <w:spacing w:line="500" w:lineRule="exact"/>
              <w:rPr>
                <w:rFonts w:ascii="宋体" w:hAnsi="宋体" w:cs="宋体"/>
                <w:color w:val="auto"/>
                <w:szCs w:val="21"/>
              </w:rPr>
            </w:pPr>
            <w:r>
              <w:rPr>
                <w:rFonts w:hint="eastAsia" w:ascii="宋体" w:hAnsi="宋体" w:cs="宋体"/>
                <w:color w:val="auto"/>
                <w:szCs w:val="21"/>
              </w:rPr>
              <w:t>8</w:t>
            </w:r>
          </w:p>
        </w:tc>
        <w:tc>
          <w:tcPr>
            <w:tcW w:w="1950" w:type="dxa"/>
            <w:tcBorders>
              <w:top w:val="nil"/>
              <w:left w:val="nil"/>
              <w:bottom w:val="single" w:color="auto" w:sz="4" w:space="0"/>
              <w:right w:val="single" w:color="auto" w:sz="4" w:space="0"/>
            </w:tcBorders>
            <w:shd w:val="clear" w:color="auto" w:fill="auto"/>
            <w:vAlign w:val="center"/>
          </w:tcPr>
          <w:p w14:paraId="4F47DE85">
            <w:pPr>
              <w:pStyle w:val="52"/>
              <w:spacing w:line="500" w:lineRule="exact"/>
              <w:rPr>
                <w:rFonts w:ascii="宋体" w:hAnsi="宋体" w:cs="宋体"/>
                <w:color w:val="auto"/>
                <w:szCs w:val="21"/>
              </w:rPr>
            </w:pPr>
            <w:r>
              <w:rPr>
                <w:rFonts w:hint="eastAsia" w:ascii="宋体" w:hAnsi="宋体" w:cs="宋体"/>
                <w:color w:val="auto"/>
                <w:szCs w:val="21"/>
              </w:rPr>
              <w:t>　</w:t>
            </w:r>
          </w:p>
        </w:tc>
      </w:tr>
      <w:tr w14:paraId="728CA977">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8C7BE15">
            <w:pPr>
              <w:pStyle w:val="52"/>
              <w:spacing w:line="500" w:lineRule="exact"/>
              <w:rPr>
                <w:rFonts w:ascii="宋体" w:hAnsi="宋体" w:cs="宋体"/>
                <w:color w:val="auto"/>
                <w:szCs w:val="21"/>
              </w:rPr>
            </w:pPr>
            <w:r>
              <w:rPr>
                <w:rFonts w:hint="eastAsia" w:ascii="宋体" w:hAnsi="宋体" w:cs="宋体"/>
                <w:color w:val="auto"/>
                <w:szCs w:val="21"/>
              </w:rPr>
              <w:t>16</w:t>
            </w:r>
          </w:p>
        </w:tc>
        <w:tc>
          <w:tcPr>
            <w:tcW w:w="967" w:type="dxa"/>
            <w:tcBorders>
              <w:top w:val="nil"/>
              <w:left w:val="nil"/>
              <w:bottom w:val="single" w:color="auto" w:sz="4" w:space="0"/>
              <w:right w:val="single" w:color="auto" w:sz="4" w:space="0"/>
            </w:tcBorders>
            <w:shd w:val="clear" w:color="auto" w:fill="auto"/>
            <w:vAlign w:val="center"/>
          </w:tcPr>
          <w:p w14:paraId="2E2329B2">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83F5003">
            <w:pPr>
              <w:pStyle w:val="52"/>
              <w:spacing w:line="500" w:lineRule="exact"/>
              <w:rPr>
                <w:rFonts w:ascii="宋体" w:hAnsi="宋体" w:cs="宋体"/>
                <w:color w:val="auto"/>
                <w:szCs w:val="21"/>
              </w:rPr>
            </w:pPr>
            <w:r>
              <w:rPr>
                <w:rFonts w:hint="eastAsia" w:ascii="宋体" w:hAnsi="宋体" w:cs="宋体"/>
                <w:color w:val="auto"/>
                <w:szCs w:val="21"/>
              </w:rPr>
              <w:t>弯头</w:t>
            </w:r>
          </w:p>
        </w:tc>
        <w:tc>
          <w:tcPr>
            <w:tcW w:w="2597" w:type="dxa"/>
            <w:tcBorders>
              <w:top w:val="nil"/>
              <w:left w:val="nil"/>
              <w:bottom w:val="single" w:color="auto" w:sz="4" w:space="0"/>
              <w:right w:val="single" w:color="auto" w:sz="4" w:space="0"/>
            </w:tcBorders>
            <w:shd w:val="clear" w:color="auto" w:fill="auto"/>
            <w:vAlign w:val="center"/>
          </w:tcPr>
          <w:p w14:paraId="0267B25B">
            <w:pPr>
              <w:pStyle w:val="52"/>
              <w:spacing w:line="500" w:lineRule="exact"/>
              <w:rPr>
                <w:rFonts w:ascii="宋体" w:hAnsi="宋体" w:cs="宋体"/>
                <w:color w:val="auto"/>
                <w:szCs w:val="21"/>
              </w:rPr>
            </w:pPr>
            <w:r>
              <w:rPr>
                <w:rFonts w:hint="eastAsia" w:ascii="宋体" w:hAnsi="宋体" w:cs="宋体"/>
                <w:color w:val="auto"/>
                <w:szCs w:val="21"/>
              </w:rPr>
              <w:t>De150x90°</w:t>
            </w:r>
          </w:p>
        </w:tc>
        <w:tc>
          <w:tcPr>
            <w:tcW w:w="672" w:type="dxa"/>
            <w:tcBorders>
              <w:top w:val="nil"/>
              <w:left w:val="nil"/>
              <w:bottom w:val="single" w:color="auto" w:sz="4" w:space="0"/>
              <w:right w:val="single" w:color="auto" w:sz="4" w:space="0"/>
            </w:tcBorders>
            <w:shd w:val="clear" w:color="auto" w:fill="auto"/>
            <w:vAlign w:val="center"/>
          </w:tcPr>
          <w:p w14:paraId="588596AE">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4EF3D8EF">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3B18FF07">
            <w:pPr>
              <w:pStyle w:val="52"/>
              <w:spacing w:line="500" w:lineRule="exact"/>
              <w:rPr>
                <w:rFonts w:ascii="宋体" w:hAnsi="宋体" w:cs="宋体"/>
                <w:color w:val="auto"/>
                <w:szCs w:val="21"/>
              </w:rPr>
            </w:pPr>
            <w:r>
              <w:rPr>
                <w:rFonts w:hint="eastAsia" w:ascii="宋体" w:hAnsi="宋体" w:cs="宋体"/>
                <w:color w:val="auto"/>
                <w:szCs w:val="21"/>
              </w:rPr>
              <w:t>6</w:t>
            </w:r>
          </w:p>
        </w:tc>
        <w:tc>
          <w:tcPr>
            <w:tcW w:w="780" w:type="dxa"/>
            <w:tcBorders>
              <w:top w:val="nil"/>
              <w:left w:val="nil"/>
              <w:bottom w:val="single" w:color="auto" w:sz="4" w:space="0"/>
              <w:right w:val="single" w:color="auto" w:sz="4" w:space="0"/>
            </w:tcBorders>
            <w:shd w:val="clear" w:color="auto" w:fill="auto"/>
            <w:vAlign w:val="center"/>
          </w:tcPr>
          <w:p w14:paraId="1528175F">
            <w:pPr>
              <w:pStyle w:val="52"/>
              <w:spacing w:line="500" w:lineRule="exact"/>
              <w:rPr>
                <w:rFonts w:ascii="宋体" w:hAnsi="宋体" w:cs="宋体"/>
                <w:color w:val="auto"/>
                <w:szCs w:val="21"/>
              </w:rPr>
            </w:pPr>
            <w:r>
              <w:rPr>
                <w:rFonts w:hint="eastAsia" w:ascii="宋体" w:hAnsi="宋体" w:cs="宋体"/>
                <w:color w:val="auto"/>
                <w:szCs w:val="21"/>
              </w:rPr>
              <w:t>12</w:t>
            </w:r>
          </w:p>
        </w:tc>
        <w:tc>
          <w:tcPr>
            <w:tcW w:w="1950" w:type="dxa"/>
            <w:tcBorders>
              <w:top w:val="nil"/>
              <w:left w:val="nil"/>
              <w:bottom w:val="single" w:color="auto" w:sz="4" w:space="0"/>
              <w:right w:val="single" w:color="auto" w:sz="4" w:space="0"/>
            </w:tcBorders>
            <w:shd w:val="clear" w:color="auto" w:fill="auto"/>
            <w:vAlign w:val="center"/>
          </w:tcPr>
          <w:p w14:paraId="1086AB40">
            <w:pPr>
              <w:pStyle w:val="52"/>
              <w:spacing w:line="500" w:lineRule="exact"/>
              <w:rPr>
                <w:rFonts w:ascii="宋体" w:hAnsi="宋体" w:cs="宋体"/>
                <w:color w:val="auto"/>
                <w:szCs w:val="21"/>
              </w:rPr>
            </w:pPr>
            <w:r>
              <w:rPr>
                <w:rFonts w:hint="eastAsia" w:ascii="宋体" w:hAnsi="宋体" w:cs="宋体"/>
                <w:color w:val="auto"/>
                <w:szCs w:val="21"/>
              </w:rPr>
              <w:t>　</w:t>
            </w:r>
          </w:p>
        </w:tc>
      </w:tr>
      <w:tr w14:paraId="250CE481">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A3F7063">
            <w:pPr>
              <w:pStyle w:val="52"/>
              <w:spacing w:line="500" w:lineRule="exact"/>
              <w:rPr>
                <w:rFonts w:ascii="宋体" w:hAnsi="宋体" w:cs="宋体"/>
                <w:color w:val="auto"/>
                <w:szCs w:val="21"/>
              </w:rPr>
            </w:pPr>
            <w:r>
              <w:rPr>
                <w:rFonts w:hint="eastAsia" w:ascii="宋体" w:hAnsi="宋体" w:cs="宋体"/>
                <w:color w:val="auto"/>
                <w:szCs w:val="21"/>
              </w:rPr>
              <w:t>17</w:t>
            </w:r>
          </w:p>
        </w:tc>
        <w:tc>
          <w:tcPr>
            <w:tcW w:w="967" w:type="dxa"/>
            <w:tcBorders>
              <w:top w:val="nil"/>
              <w:left w:val="nil"/>
              <w:bottom w:val="single" w:color="auto" w:sz="4" w:space="0"/>
              <w:right w:val="single" w:color="auto" w:sz="4" w:space="0"/>
            </w:tcBorders>
            <w:shd w:val="clear" w:color="auto" w:fill="auto"/>
            <w:vAlign w:val="center"/>
          </w:tcPr>
          <w:p w14:paraId="1197B695">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4039F5D">
            <w:pPr>
              <w:pStyle w:val="52"/>
              <w:spacing w:line="500" w:lineRule="exact"/>
              <w:rPr>
                <w:rFonts w:ascii="宋体" w:hAnsi="宋体" w:cs="宋体"/>
                <w:color w:val="auto"/>
                <w:szCs w:val="21"/>
              </w:rPr>
            </w:pPr>
            <w:r>
              <w:rPr>
                <w:rFonts w:hint="eastAsia" w:ascii="宋体" w:hAnsi="宋体" w:cs="宋体"/>
                <w:color w:val="auto"/>
                <w:szCs w:val="21"/>
              </w:rPr>
              <w:t>弯头</w:t>
            </w:r>
          </w:p>
        </w:tc>
        <w:tc>
          <w:tcPr>
            <w:tcW w:w="2597" w:type="dxa"/>
            <w:tcBorders>
              <w:top w:val="nil"/>
              <w:left w:val="nil"/>
              <w:bottom w:val="single" w:color="auto" w:sz="4" w:space="0"/>
              <w:right w:val="single" w:color="auto" w:sz="4" w:space="0"/>
            </w:tcBorders>
            <w:shd w:val="clear" w:color="auto" w:fill="auto"/>
            <w:vAlign w:val="center"/>
          </w:tcPr>
          <w:p w14:paraId="5AEA1387">
            <w:pPr>
              <w:pStyle w:val="52"/>
              <w:spacing w:line="500" w:lineRule="exact"/>
              <w:rPr>
                <w:rFonts w:ascii="宋体" w:hAnsi="宋体" w:cs="宋体"/>
                <w:color w:val="auto"/>
                <w:szCs w:val="21"/>
              </w:rPr>
            </w:pPr>
            <w:r>
              <w:rPr>
                <w:rFonts w:hint="eastAsia" w:ascii="宋体" w:hAnsi="宋体" w:cs="宋体"/>
                <w:color w:val="auto"/>
                <w:szCs w:val="21"/>
              </w:rPr>
              <w:t>De90x90°</w:t>
            </w:r>
          </w:p>
        </w:tc>
        <w:tc>
          <w:tcPr>
            <w:tcW w:w="672" w:type="dxa"/>
            <w:tcBorders>
              <w:top w:val="nil"/>
              <w:left w:val="nil"/>
              <w:bottom w:val="single" w:color="auto" w:sz="4" w:space="0"/>
              <w:right w:val="single" w:color="auto" w:sz="4" w:space="0"/>
            </w:tcBorders>
            <w:shd w:val="clear" w:color="auto" w:fill="auto"/>
            <w:vAlign w:val="center"/>
          </w:tcPr>
          <w:p w14:paraId="4297C269">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5B8CBFA2">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23976995">
            <w:pPr>
              <w:pStyle w:val="52"/>
              <w:spacing w:line="500" w:lineRule="exact"/>
              <w:rPr>
                <w:rFonts w:ascii="宋体" w:hAnsi="宋体" w:cs="宋体"/>
                <w:color w:val="auto"/>
                <w:szCs w:val="21"/>
              </w:rPr>
            </w:pPr>
            <w:r>
              <w:rPr>
                <w:rFonts w:hint="eastAsia" w:ascii="宋体" w:hAnsi="宋体" w:cs="宋体"/>
                <w:color w:val="auto"/>
                <w:szCs w:val="21"/>
              </w:rPr>
              <w:t>20</w:t>
            </w:r>
          </w:p>
        </w:tc>
        <w:tc>
          <w:tcPr>
            <w:tcW w:w="780" w:type="dxa"/>
            <w:tcBorders>
              <w:top w:val="nil"/>
              <w:left w:val="nil"/>
              <w:bottom w:val="single" w:color="auto" w:sz="4" w:space="0"/>
              <w:right w:val="single" w:color="auto" w:sz="4" w:space="0"/>
            </w:tcBorders>
            <w:shd w:val="clear" w:color="auto" w:fill="auto"/>
            <w:vAlign w:val="center"/>
          </w:tcPr>
          <w:p w14:paraId="48FDE6CD">
            <w:pPr>
              <w:pStyle w:val="52"/>
              <w:spacing w:line="500" w:lineRule="exact"/>
              <w:rPr>
                <w:rFonts w:ascii="宋体" w:hAnsi="宋体" w:cs="宋体"/>
                <w:color w:val="auto"/>
                <w:szCs w:val="21"/>
              </w:rPr>
            </w:pPr>
            <w:r>
              <w:rPr>
                <w:rFonts w:hint="eastAsia" w:ascii="宋体" w:hAnsi="宋体" w:cs="宋体"/>
                <w:color w:val="auto"/>
                <w:szCs w:val="21"/>
              </w:rPr>
              <w:t>40</w:t>
            </w:r>
          </w:p>
        </w:tc>
        <w:tc>
          <w:tcPr>
            <w:tcW w:w="1950" w:type="dxa"/>
            <w:tcBorders>
              <w:top w:val="nil"/>
              <w:left w:val="nil"/>
              <w:bottom w:val="single" w:color="auto" w:sz="4" w:space="0"/>
              <w:right w:val="single" w:color="auto" w:sz="4" w:space="0"/>
            </w:tcBorders>
            <w:shd w:val="clear" w:color="auto" w:fill="auto"/>
            <w:vAlign w:val="center"/>
          </w:tcPr>
          <w:p w14:paraId="4B89E735">
            <w:pPr>
              <w:pStyle w:val="52"/>
              <w:spacing w:line="500" w:lineRule="exact"/>
              <w:rPr>
                <w:rFonts w:ascii="宋体" w:hAnsi="宋体" w:cs="宋体"/>
                <w:color w:val="auto"/>
                <w:szCs w:val="21"/>
              </w:rPr>
            </w:pPr>
            <w:r>
              <w:rPr>
                <w:rFonts w:hint="eastAsia" w:ascii="宋体" w:hAnsi="宋体" w:cs="宋体"/>
                <w:color w:val="auto"/>
                <w:szCs w:val="21"/>
              </w:rPr>
              <w:t>　</w:t>
            </w:r>
          </w:p>
        </w:tc>
      </w:tr>
      <w:tr w14:paraId="48845555">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72DCA09">
            <w:pPr>
              <w:pStyle w:val="52"/>
              <w:spacing w:line="500" w:lineRule="exact"/>
              <w:rPr>
                <w:rFonts w:ascii="宋体" w:hAnsi="宋体" w:cs="宋体"/>
                <w:color w:val="auto"/>
                <w:szCs w:val="21"/>
              </w:rPr>
            </w:pPr>
            <w:r>
              <w:rPr>
                <w:rFonts w:hint="eastAsia" w:ascii="宋体" w:hAnsi="宋体" w:cs="宋体"/>
                <w:color w:val="auto"/>
                <w:szCs w:val="21"/>
              </w:rPr>
              <w:t>18</w:t>
            </w:r>
          </w:p>
        </w:tc>
        <w:tc>
          <w:tcPr>
            <w:tcW w:w="967" w:type="dxa"/>
            <w:tcBorders>
              <w:top w:val="nil"/>
              <w:left w:val="nil"/>
              <w:bottom w:val="single" w:color="auto" w:sz="4" w:space="0"/>
              <w:right w:val="single" w:color="auto" w:sz="4" w:space="0"/>
            </w:tcBorders>
            <w:shd w:val="clear" w:color="auto" w:fill="auto"/>
            <w:vAlign w:val="center"/>
          </w:tcPr>
          <w:p w14:paraId="31D3D080">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F7E77F8">
            <w:pPr>
              <w:pStyle w:val="52"/>
              <w:spacing w:line="500" w:lineRule="exact"/>
              <w:rPr>
                <w:rFonts w:ascii="宋体" w:hAnsi="宋体" w:cs="宋体"/>
                <w:color w:val="auto"/>
                <w:szCs w:val="21"/>
              </w:rPr>
            </w:pPr>
            <w:r>
              <w:rPr>
                <w:rFonts w:hint="eastAsia" w:ascii="宋体" w:hAnsi="宋体" w:cs="宋体"/>
                <w:color w:val="auto"/>
                <w:szCs w:val="21"/>
              </w:rPr>
              <w:t>三通</w:t>
            </w:r>
          </w:p>
        </w:tc>
        <w:tc>
          <w:tcPr>
            <w:tcW w:w="2597" w:type="dxa"/>
            <w:tcBorders>
              <w:top w:val="nil"/>
              <w:left w:val="nil"/>
              <w:bottom w:val="single" w:color="auto" w:sz="4" w:space="0"/>
              <w:right w:val="single" w:color="auto" w:sz="4" w:space="0"/>
            </w:tcBorders>
            <w:shd w:val="clear" w:color="auto" w:fill="auto"/>
            <w:vAlign w:val="center"/>
          </w:tcPr>
          <w:p w14:paraId="1F6646EF">
            <w:pPr>
              <w:pStyle w:val="52"/>
              <w:spacing w:line="500" w:lineRule="exact"/>
              <w:rPr>
                <w:rFonts w:ascii="宋体" w:hAnsi="宋体" w:cs="宋体"/>
                <w:color w:val="auto"/>
                <w:szCs w:val="21"/>
              </w:rPr>
            </w:pPr>
            <w:r>
              <w:rPr>
                <w:rFonts w:hint="eastAsia" w:ascii="宋体" w:hAnsi="宋体" w:cs="宋体"/>
                <w:color w:val="auto"/>
                <w:szCs w:val="21"/>
              </w:rPr>
              <w:t>De90xDe63</w:t>
            </w:r>
          </w:p>
        </w:tc>
        <w:tc>
          <w:tcPr>
            <w:tcW w:w="672" w:type="dxa"/>
            <w:tcBorders>
              <w:top w:val="nil"/>
              <w:left w:val="nil"/>
              <w:bottom w:val="single" w:color="auto" w:sz="4" w:space="0"/>
              <w:right w:val="single" w:color="auto" w:sz="4" w:space="0"/>
            </w:tcBorders>
            <w:shd w:val="clear" w:color="auto" w:fill="auto"/>
            <w:vAlign w:val="center"/>
          </w:tcPr>
          <w:p w14:paraId="0F4A0843">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1BA4809E">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146A486C">
            <w:pPr>
              <w:pStyle w:val="52"/>
              <w:spacing w:line="500" w:lineRule="exact"/>
              <w:rPr>
                <w:rFonts w:ascii="宋体" w:hAnsi="宋体" w:cs="宋体"/>
                <w:color w:val="auto"/>
                <w:szCs w:val="21"/>
              </w:rPr>
            </w:pPr>
            <w:r>
              <w:rPr>
                <w:rFonts w:hint="eastAsia" w:ascii="宋体" w:hAnsi="宋体" w:cs="宋体"/>
                <w:color w:val="auto"/>
                <w:szCs w:val="21"/>
              </w:rPr>
              <w:t>56</w:t>
            </w:r>
          </w:p>
        </w:tc>
        <w:tc>
          <w:tcPr>
            <w:tcW w:w="780" w:type="dxa"/>
            <w:tcBorders>
              <w:top w:val="nil"/>
              <w:left w:val="nil"/>
              <w:bottom w:val="single" w:color="auto" w:sz="4" w:space="0"/>
              <w:right w:val="single" w:color="auto" w:sz="4" w:space="0"/>
            </w:tcBorders>
            <w:shd w:val="clear" w:color="auto" w:fill="auto"/>
            <w:vAlign w:val="center"/>
          </w:tcPr>
          <w:p w14:paraId="4D39BAB9">
            <w:pPr>
              <w:pStyle w:val="52"/>
              <w:spacing w:line="500" w:lineRule="exact"/>
              <w:rPr>
                <w:rFonts w:ascii="宋体" w:hAnsi="宋体" w:cs="宋体"/>
                <w:color w:val="auto"/>
                <w:szCs w:val="21"/>
              </w:rPr>
            </w:pPr>
            <w:r>
              <w:rPr>
                <w:rFonts w:hint="eastAsia" w:ascii="宋体" w:hAnsi="宋体" w:cs="宋体"/>
                <w:color w:val="auto"/>
                <w:szCs w:val="21"/>
              </w:rPr>
              <w:t>112</w:t>
            </w:r>
          </w:p>
        </w:tc>
        <w:tc>
          <w:tcPr>
            <w:tcW w:w="1950" w:type="dxa"/>
            <w:tcBorders>
              <w:top w:val="nil"/>
              <w:left w:val="nil"/>
              <w:bottom w:val="single" w:color="auto" w:sz="4" w:space="0"/>
              <w:right w:val="single" w:color="auto" w:sz="4" w:space="0"/>
            </w:tcBorders>
            <w:shd w:val="clear" w:color="auto" w:fill="auto"/>
            <w:vAlign w:val="center"/>
          </w:tcPr>
          <w:p w14:paraId="65B12642">
            <w:pPr>
              <w:pStyle w:val="52"/>
              <w:spacing w:line="500" w:lineRule="exact"/>
              <w:rPr>
                <w:rFonts w:ascii="宋体" w:hAnsi="宋体" w:cs="宋体"/>
                <w:color w:val="auto"/>
                <w:szCs w:val="21"/>
              </w:rPr>
            </w:pPr>
            <w:r>
              <w:rPr>
                <w:rFonts w:hint="eastAsia" w:ascii="宋体" w:hAnsi="宋体" w:cs="宋体"/>
                <w:color w:val="auto"/>
                <w:szCs w:val="21"/>
              </w:rPr>
              <w:t>　</w:t>
            </w:r>
          </w:p>
        </w:tc>
      </w:tr>
      <w:tr w14:paraId="12C25D91">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29D55E0">
            <w:pPr>
              <w:pStyle w:val="52"/>
              <w:spacing w:line="500" w:lineRule="exact"/>
              <w:rPr>
                <w:rFonts w:ascii="宋体" w:hAnsi="宋体" w:cs="宋体"/>
                <w:color w:val="auto"/>
                <w:szCs w:val="21"/>
              </w:rPr>
            </w:pPr>
            <w:r>
              <w:rPr>
                <w:rFonts w:hint="eastAsia" w:ascii="宋体" w:hAnsi="宋体" w:cs="宋体"/>
                <w:color w:val="auto"/>
                <w:szCs w:val="21"/>
              </w:rPr>
              <w:t>19</w:t>
            </w:r>
          </w:p>
        </w:tc>
        <w:tc>
          <w:tcPr>
            <w:tcW w:w="967" w:type="dxa"/>
            <w:tcBorders>
              <w:top w:val="nil"/>
              <w:left w:val="nil"/>
              <w:bottom w:val="single" w:color="auto" w:sz="4" w:space="0"/>
              <w:right w:val="single" w:color="auto" w:sz="4" w:space="0"/>
            </w:tcBorders>
            <w:shd w:val="clear" w:color="auto" w:fill="auto"/>
            <w:vAlign w:val="center"/>
          </w:tcPr>
          <w:p w14:paraId="1541D745">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356EF23">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391C5AC7">
            <w:pPr>
              <w:pStyle w:val="52"/>
              <w:spacing w:line="500" w:lineRule="exact"/>
              <w:rPr>
                <w:rFonts w:ascii="宋体" w:hAnsi="宋体" w:cs="宋体"/>
                <w:color w:val="auto"/>
                <w:szCs w:val="21"/>
              </w:rPr>
            </w:pPr>
            <w:r>
              <w:rPr>
                <w:rFonts w:hint="eastAsia" w:ascii="宋体" w:hAnsi="宋体" w:cs="宋体"/>
                <w:color w:val="auto"/>
                <w:szCs w:val="21"/>
              </w:rPr>
              <w:t>De32，PN10</w:t>
            </w:r>
          </w:p>
        </w:tc>
        <w:tc>
          <w:tcPr>
            <w:tcW w:w="672" w:type="dxa"/>
            <w:tcBorders>
              <w:top w:val="nil"/>
              <w:left w:val="nil"/>
              <w:bottom w:val="single" w:color="auto" w:sz="4" w:space="0"/>
              <w:right w:val="single" w:color="auto" w:sz="4" w:space="0"/>
            </w:tcBorders>
            <w:shd w:val="clear" w:color="auto" w:fill="auto"/>
            <w:vAlign w:val="center"/>
          </w:tcPr>
          <w:p w14:paraId="671634EB">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743809D5">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46C5F3B4">
            <w:pPr>
              <w:pStyle w:val="52"/>
              <w:spacing w:line="500" w:lineRule="exact"/>
              <w:rPr>
                <w:rFonts w:ascii="宋体" w:hAnsi="宋体" w:cs="宋体"/>
                <w:color w:val="auto"/>
                <w:szCs w:val="21"/>
              </w:rPr>
            </w:pPr>
            <w:r>
              <w:rPr>
                <w:rFonts w:hint="eastAsia" w:ascii="宋体" w:hAnsi="宋体" w:cs="宋体"/>
                <w:color w:val="auto"/>
                <w:szCs w:val="21"/>
              </w:rPr>
              <w:t>30</w:t>
            </w:r>
          </w:p>
        </w:tc>
        <w:tc>
          <w:tcPr>
            <w:tcW w:w="780" w:type="dxa"/>
            <w:tcBorders>
              <w:top w:val="nil"/>
              <w:left w:val="nil"/>
              <w:bottom w:val="single" w:color="auto" w:sz="4" w:space="0"/>
              <w:right w:val="single" w:color="auto" w:sz="4" w:space="0"/>
            </w:tcBorders>
            <w:shd w:val="clear" w:color="auto" w:fill="auto"/>
            <w:vAlign w:val="center"/>
          </w:tcPr>
          <w:p w14:paraId="21FFEF53">
            <w:pPr>
              <w:pStyle w:val="52"/>
              <w:spacing w:line="500" w:lineRule="exact"/>
              <w:rPr>
                <w:rFonts w:ascii="宋体" w:hAnsi="宋体" w:cs="宋体"/>
                <w:color w:val="auto"/>
                <w:szCs w:val="21"/>
              </w:rPr>
            </w:pPr>
            <w:r>
              <w:rPr>
                <w:rFonts w:hint="eastAsia" w:ascii="宋体" w:hAnsi="宋体" w:cs="宋体"/>
                <w:color w:val="auto"/>
                <w:szCs w:val="21"/>
              </w:rPr>
              <w:t>60</w:t>
            </w:r>
          </w:p>
        </w:tc>
        <w:tc>
          <w:tcPr>
            <w:tcW w:w="1950" w:type="dxa"/>
            <w:tcBorders>
              <w:top w:val="nil"/>
              <w:left w:val="nil"/>
              <w:bottom w:val="single" w:color="auto" w:sz="4" w:space="0"/>
              <w:right w:val="single" w:color="auto" w:sz="4" w:space="0"/>
            </w:tcBorders>
            <w:shd w:val="clear" w:color="auto" w:fill="auto"/>
            <w:vAlign w:val="center"/>
          </w:tcPr>
          <w:p w14:paraId="1C3D582B">
            <w:pPr>
              <w:pStyle w:val="52"/>
              <w:spacing w:line="500" w:lineRule="exact"/>
              <w:rPr>
                <w:rFonts w:ascii="宋体" w:hAnsi="宋体" w:cs="宋体"/>
                <w:color w:val="auto"/>
                <w:szCs w:val="21"/>
              </w:rPr>
            </w:pPr>
            <w:r>
              <w:rPr>
                <w:rFonts w:hint="eastAsia" w:ascii="宋体" w:hAnsi="宋体" w:cs="宋体"/>
                <w:color w:val="auto"/>
                <w:szCs w:val="21"/>
              </w:rPr>
              <w:t>　</w:t>
            </w:r>
          </w:p>
        </w:tc>
      </w:tr>
      <w:tr w14:paraId="78A7B06C">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C42D923">
            <w:pPr>
              <w:pStyle w:val="52"/>
              <w:spacing w:line="500" w:lineRule="exact"/>
              <w:rPr>
                <w:rFonts w:ascii="宋体" w:hAnsi="宋体" w:cs="宋体"/>
                <w:color w:val="auto"/>
                <w:szCs w:val="21"/>
              </w:rPr>
            </w:pPr>
            <w:r>
              <w:rPr>
                <w:rFonts w:hint="eastAsia" w:ascii="宋体" w:hAnsi="宋体" w:cs="宋体"/>
                <w:color w:val="auto"/>
                <w:szCs w:val="21"/>
              </w:rPr>
              <w:t>20</w:t>
            </w:r>
          </w:p>
        </w:tc>
        <w:tc>
          <w:tcPr>
            <w:tcW w:w="967" w:type="dxa"/>
            <w:tcBorders>
              <w:top w:val="nil"/>
              <w:left w:val="nil"/>
              <w:bottom w:val="single" w:color="auto" w:sz="4" w:space="0"/>
              <w:right w:val="single" w:color="auto" w:sz="4" w:space="0"/>
            </w:tcBorders>
            <w:shd w:val="clear" w:color="auto" w:fill="auto"/>
            <w:vAlign w:val="center"/>
          </w:tcPr>
          <w:p w14:paraId="270810D2">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ED219BC">
            <w:pPr>
              <w:pStyle w:val="52"/>
              <w:spacing w:line="500" w:lineRule="exact"/>
              <w:rPr>
                <w:rFonts w:ascii="宋体" w:hAnsi="宋体" w:cs="宋体"/>
                <w:color w:val="auto"/>
                <w:szCs w:val="21"/>
              </w:rPr>
            </w:pPr>
            <w:r>
              <w:rPr>
                <w:rFonts w:hint="eastAsia" w:ascii="宋体" w:hAnsi="宋体" w:cs="宋体"/>
                <w:color w:val="auto"/>
                <w:szCs w:val="21"/>
              </w:rPr>
              <w:t>均匀分布器</w:t>
            </w:r>
          </w:p>
        </w:tc>
        <w:tc>
          <w:tcPr>
            <w:tcW w:w="2597" w:type="dxa"/>
            <w:tcBorders>
              <w:top w:val="nil"/>
              <w:left w:val="nil"/>
              <w:bottom w:val="single" w:color="auto" w:sz="4" w:space="0"/>
              <w:right w:val="single" w:color="auto" w:sz="4" w:space="0"/>
            </w:tcBorders>
            <w:shd w:val="clear" w:color="auto" w:fill="auto"/>
            <w:vAlign w:val="center"/>
          </w:tcPr>
          <w:p w14:paraId="3213F46E">
            <w:pPr>
              <w:pStyle w:val="52"/>
              <w:spacing w:line="500" w:lineRule="exact"/>
              <w:rPr>
                <w:rFonts w:ascii="宋体" w:hAnsi="宋体" w:cs="宋体"/>
                <w:color w:val="auto"/>
                <w:szCs w:val="21"/>
              </w:rPr>
            </w:pPr>
            <w:r>
              <w:rPr>
                <w:rFonts w:hint="eastAsia" w:ascii="宋体" w:hAnsi="宋体" w:cs="宋体"/>
                <w:color w:val="auto"/>
                <w:szCs w:val="21"/>
              </w:rPr>
              <w:t>TV-Ⅱ，Φ200，2.96m3/h</w:t>
            </w:r>
          </w:p>
        </w:tc>
        <w:tc>
          <w:tcPr>
            <w:tcW w:w="672" w:type="dxa"/>
            <w:tcBorders>
              <w:top w:val="nil"/>
              <w:left w:val="nil"/>
              <w:bottom w:val="single" w:color="auto" w:sz="4" w:space="0"/>
              <w:right w:val="single" w:color="auto" w:sz="4" w:space="0"/>
            </w:tcBorders>
            <w:shd w:val="clear" w:color="auto" w:fill="auto"/>
            <w:vAlign w:val="center"/>
          </w:tcPr>
          <w:p w14:paraId="2A72D189">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2C86F7DC">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257F4277">
            <w:pPr>
              <w:pStyle w:val="52"/>
              <w:spacing w:line="500" w:lineRule="exact"/>
              <w:rPr>
                <w:rFonts w:ascii="宋体" w:hAnsi="宋体" w:cs="宋体"/>
                <w:color w:val="auto"/>
                <w:szCs w:val="21"/>
              </w:rPr>
            </w:pPr>
            <w:r>
              <w:rPr>
                <w:rFonts w:hint="eastAsia" w:ascii="宋体" w:hAnsi="宋体" w:cs="宋体"/>
                <w:color w:val="auto"/>
                <w:szCs w:val="21"/>
              </w:rPr>
              <w:t>56</w:t>
            </w:r>
          </w:p>
        </w:tc>
        <w:tc>
          <w:tcPr>
            <w:tcW w:w="780" w:type="dxa"/>
            <w:tcBorders>
              <w:top w:val="nil"/>
              <w:left w:val="nil"/>
              <w:bottom w:val="single" w:color="auto" w:sz="4" w:space="0"/>
              <w:right w:val="single" w:color="auto" w:sz="4" w:space="0"/>
            </w:tcBorders>
            <w:shd w:val="clear" w:color="auto" w:fill="auto"/>
            <w:vAlign w:val="center"/>
          </w:tcPr>
          <w:p w14:paraId="2F9FAEE6">
            <w:pPr>
              <w:pStyle w:val="52"/>
              <w:spacing w:line="500" w:lineRule="exact"/>
              <w:rPr>
                <w:rFonts w:ascii="宋体" w:hAnsi="宋体" w:cs="宋体"/>
                <w:color w:val="auto"/>
                <w:szCs w:val="21"/>
              </w:rPr>
            </w:pPr>
            <w:r>
              <w:rPr>
                <w:rFonts w:hint="eastAsia" w:ascii="宋体" w:hAnsi="宋体" w:cs="宋体"/>
                <w:color w:val="auto"/>
                <w:szCs w:val="21"/>
              </w:rPr>
              <w:t>112</w:t>
            </w:r>
          </w:p>
        </w:tc>
        <w:tc>
          <w:tcPr>
            <w:tcW w:w="1950" w:type="dxa"/>
            <w:tcBorders>
              <w:top w:val="nil"/>
              <w:left w:val="nil"/>
              <w:bottom w:val="single" w:color="auto" w:sz="4" w:space="0"/>
              <w:right w:val="single" w:color="auto" w:sz="4" w:space="0"/>
            </w:tcBorders>
            <w:shd w:val="clear" w:color="auto" w:fill="auto"/>
            <w:vAlign w:val="center"/>
          </w:tcPr>
          <w:p w14:paraId="0082F2AC">
            <w:pPr>
              <w:pStyle w:val="52"/>
              <w:spacing w:line="500" w:lineRule="exact"/>
              <w:rPr>
                <w:rFonts w:ascii="宋体" w:hAnsi="宋体" w:cs="宋体"/>
                <w:color w:val="auto"/>
                <w:szCs w:val="21"/>
              </w:rPr>
            </w:pPr>
            <w:r>
              <w:rPr>
                <w:rFonts w:hint="eastAsia" w:ascii="宋体" w:hAnsi="宋体" w:cs="宋体"/>
                <w:color w:val="auto"/>
                <w:szCs w:val="21"/>
              </w:rPr>
              <w:t>　</w:t>
            </w:r>
          </w:p>
        </w:tc>
      </w:tr>
      <w:tr w14:paraId="0DDD70A1">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F2256C9">
            <w:pPr>
              <w:pStyle w:val="52"/>
              <w:spacing w:line="500" w:lineRule="exact"/>
              <w:rPr>
                <w:rFonts w:ascii="宋体" w:hAnsi="宋体" w:cs="宋体"/>
                <w:color w:val="auto"/>
                <w:szCs w:val="21"/>
              </w:rPr>
            </w:pPr>
            <w:r>
              <w:rPr>
                <w:rFonts w:hint="eastAsia" w:ascii="宋体" w:hAnsi="宋体" w:cs="宋体"/>
                <w:color w:val="auto"/>
                <w:szCs w:val="21"/>
              </w:rPr>
              <w:t>21</w:t>
            </w:r>
          </w:p>
        </w:tc>
        <w:tc>
          <w:tcPr>
            <w:tcW w:w="967" w:type="dxa"/>
            <w:tcBorders>
              <w:top w:val="nil"/>
              <w:left w:val="nil"/>
              <w:bottom w:val="single" w:color="auto" w:sz="4" w:space="0"/>
              <w:right w:val="single" w:color="auto" w:sz="4" w:space="0"/>
            </w:tcBorders>
            <w:shd w:val="clear" w:color="auto" w:fill="auto"/>
            <w:vAlign w:val="center"/>
          </w:tcPr>
          <w:p w14:paraId="6170B07A">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904BC9F">
            <w:pPr>
              <w:pStyle w:val="52"/>
              <w:spacing w:line="500" w:lineRule="exact"/>
              <w:rPr>
                <w:rFonts w:ascii="宋体" w:hAnsi="宋体" w:cs="宋体"/>
                <w:color w:val="auto"/>
                <w:szCs w:val="21"/>
              </w:rPr>
            </w:pPr>
            <w:r>
              <w:rPr>
                <w:rFonts w:hint="eastAsia" w:ascii="宋体" w:hAnsi="宋体" w:cs="宋体"/>
                <w:color w:val="auto"/>
                <w:szCs w:val="21"/>
              </w:rPr>
              <w:t>蝶阀</w:t>
            </w:r>
          </w:p>
        </w:tc>
        <w:tc>
          <w:tcPr>
            <w:tcW w:w="2597" w:type="dxa"/>
            <w:tcBorders>
              <w:top w:val="nil"/>
              <w:left w:val="nil"/>
              <w:bottom w:val="single" w:color="auto" w:sz="4" w:space="0"/>
              <w:right w:val="single" w:color="auto" w:sz="4" w:space="0"/>
            </w:tcBorders>
            <w:shd w:val="clear" w:color="auto" w:fill="auto"/>
            <w:vAlign w:val="center"/>
          </w:tcPr>
          <w:p w14:paraId="708B148D">
            <w:pPr>
              <w:pStyle w:val="52"/>
              <w:spacing w:line="500" w:lineRule="exact"/>
              <w:rPr>
                <w:rFonts w:ascii="宋体" w:hAnsi="宋体" w:cs="宋体"/>
                <w:color w:val="auto"/>
                <w:szCs w:val="21"/>
              </w:rPr>
            </w:pPr>
            <w:r>
              <w:rPr>
                <w:rFonts w:hint="eastAsia" w:ascii="宋体" w:hAnsi="宋体" w:cs="宋体"/>
                <w:color w:val="auto"/>
                <w:szCs w:val="21"/>
              </w:rPr>
              <w:t>DN200</w:t>
            </w:r>
          </w:p>
        </w:tc>
        <w:tc>
          <w:tcPr>
            <w:tcW w:w="672" w:type="dxa"/>
            <w:tcBorders>
              <w:top w:val="nil"/>
              <w:left w:val="nil"/>
              <w:bottom w:val="single" w:color="auto" w:sz="4" w:space="0"/>
              <w:right w:val="single" w:color="auto" w:sz="4" w:space="0"/>
            </w:tcBorders>
            <w:shd w:val="clear" w:color="auto" w:fill="auto"/>
            <w:vAlign w:val="center"/>
          </w:tcPr>
          <w:p w14:paraId="5524C6DB">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5144C1F8">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5D4BFA83">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078C542F">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vAlign w:val="center"/>
          </w:tcPr>
          <w:p w14:paraId="45626171">
            <w:pPr>
              <w:pStyle w:val="52"/>
              <w:spacing w:line="500" w:lineRule="exact"/>
              <w:rPr>
                <w:rFonts w:ascii="宋体" w:hAnsi="宋体" w:cs="宋体"/>
                <w:color w:val="auto"/>
                <w:szCs w:val="21"/>
              </w:rPr>
            </w:pPr>
            <w:r>
              <w:rPr>
                <w:rFonts w:hint="eastAsia" w:ascii="宋体" w:hAnsi="宋体" w:cs="宋体"/>
                <w:color w:val="auto"/>
                <w:szCs w:val="21"/>
              </w:rPr>
              <w:t>　</w:t>
            </w:r>
          </w:p>
        </w:tc>
      </w:tr>
      <w:tr w14:paraId="791F9E51">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F1DB9FC">
            <w:pPr>
              <w:pStyle w:val="52"/>
              <w:spacing w:line="500" w:lineRule="exact"/>
              <w:rPr>
                <w:rFonts w:ascii="宋体" w:hAnsi="宋体" w:cs="宋体"/>
                <w:color w:val="auto"/>
                <w:szCs w:val="21"/>
              </w:rPr>
            </w:pPr>
            <w:r>
              <w:rPr>
                <w:rFonts w:hint="eastAsia" w:ascii="宋体" w:hAnsi="宋体" w:cs="宋体"/>
                <w:color w:val="auto"/>
                <w:szCs w:val="21"/>
              </w:rPr>
              <w:t>22</w:t>
            </w:r>
          </w:p>
        </w:tc>
        <w:tc>
          <w:tcPr>
            <w:tcW w:w="967" w:type="dxa"/>
            <w:tcBorders>
              <w:top w:val="nil"/>
              <w:left w:val="nil"/>
              <w:bottom w:val="single" w:color="auto" w:sz="4" w:space="0"/>
              <w:right w:val="single" w:color="auto" w:sz="4" w:space="0"/>
            </w:tcBorders>
            <w:shd w:val="clear" w:color="auto" w:fill="auto"/>
            <w:vAlign w:val="center"/>
          </w:tcPr>
          <w:p w14:paraId="370CD1BE">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77042E7B">
            <w:pPr>
              <w:pStyle w:val="52"/>
              <w:spacing w:line="500" w:lineRule="exact"/>
              <w:rPr>
                <w:rFonts w:ascii="宋体" w:hAnsi="宋体" w:cs="宋体"/>
                <w:color w:val="auto"/>
                <w:szCs w:val="21"/>
              </w:rPr>
            </w:pPr>
            <w:r>
              <w:rPr>
                <w:rFonts w:hint="eastAsia" w:ascii="宋体" w:hAnsi="宋体" w:cs="宋体"/>
                <w:color w:val="auto"/>
                <w:szCs w:val="21"/>
              </w:rPr>
              <w:t>缓闭式止回阀</w:t>
            </w:r>
          </w:p>
        </w:tc>
        <w:tc>
          <w:tcPr>
            <w:tcW w:w="2597" w:type="dxa"/>
            <w:tcBorders>
              <w:top w:val="nil"/>
              <w:left w:val="nil"/>
              <w:bottom w:val="single" w:color="auto" w:sz="4" w:space="0"/>
              <w:right w:val="single" w:color="auto" w:sz="4" w:space="0"/>
            </w:tcBorders>
            <w:shd w:val="clear" w:color="auto" w:fill="auto"/>
            <w:vAlign w:val="center"/>
          </w:tcPr>
          <w:p w14:paraId="4AE1F4BA">
            <w:pPr>
              <w:pStyle w:val="52"/>
              <w:spacing w:line="500" w:lineRule="exact"/>
              <w:rPr>
                <w:rFonts w:ascii="宋体" w:hAnsi="宋体" w:cs="宋体"/>
                <w:color w:val="auto"/>
                <w:szCs w:val="21"/>
              </w:rPr>
            </w:pPr>
            <w:r>
              <w:rPr>
                <w:rFonts w:hint="eastAsia" w:ascii="宋体" w:hAnsi="宋体" w:cs="宋体"/>
                <w:color w:val="auto"/>
                <w:szCs w:val="21"/>
              </w:rPr>
              <w:t>DN200</w:t>
            </w:r>
          </w:p>
        </w:tc>
        <w:tc>
          <w:tcPr>
            <w:tcW w:w="672" w:type="dxa"/>
            <w:tcBorders>
              <w:top w:val="nil"/>
              <w:left w:val="nil"/>
              <w:bottom w:val="single" w:color="auto" w:sz="4" w:space="0"/>
              <w:right w:val="single" w:color="auto" w:sz="4" w:space="0"/>
            </w:tcBorders>
            <w:shd w:val="clear" w:color="auto" w:fill="auto"/>
            <w:vAlign w:val="center"/>
          </w:tcPr>
          <w:p w14:paraId="280B2712">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62FD8936">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608A806F">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125B4AE8">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62EC34A1">
            <w:pPr>
              <w:pStyle w:val="52"/>
              <w:spacing w:line="500" w:lineRule="exact"/>
              <w:rPr>
                <w:rFonts w:ascii="宋体" w:hAnsi="宋体" w:cs="宋体"/>
                <w:color w:val="auto"/>
                <w:szCs w:val="21"/>
              </w:rPr>
            </w:pPr>
            <w:r>
              <w:rPr>
                <w:rFonts w:hint="eastAsia" w:ascii="宋体" w:hAnsi="宋体" w:cs="宋体"/>
                <w:color w:val="auto"/>
                <w:szCs w:val="21"/>
              </w:rPr>
              <w:t>　</w:t>
            </w:r>
          </w:p>
        </w:tc>
      </w:tr>
      <w:tr w14:paraId="68FD72C9">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CFC8D1B">
            <w:pPr>
              <w:pStyle w:val="52"/>
              <w:spacing w:line="500" w:lineRule="exact"/>
              <w:rPr>
                <w:rFonts w:ascii="宋体" w:hAnsi="宋体" w:cs="宋体"/>
                <w:color w:val="auto"/>
                <w:szCs w:val="21"/>
              </w:rPr>
            </w:pPr>
            <w:r>
              <w:rPr>
                <w:rFonts w:hint="eastAsia" w:ascii="宋体" w:hAnsi="宋体" w:cs="宋体"/>
                <w:color w:val="auto"/>
                <w:szCs w:val="21"/>
              </w:rPr>
              <w:t>23</w:t>
            </w:r>
          </w:p>
        </w:tc>
        <w:tc>
          <w:tcPr>
            <w:tcW w:w="967" w:type="dxa"/>
            <w:tcBorders>
              <w:top w:val="nil"/>
              <w:left w:val="nil"/>
              <w:bottom w:val="single" w:color="auto" w:sz="4" w:space="0"/>
              <w:right w:val="single" w:color="auto" w:sz="4" w:space="0"/>
            </w:tcBorders>
            <w:shd w:val="clear" w:color="auto" w:fill="auto"/>
            <w:vAlign w:val="center"/>
          </w:tcPr>
          <w:p w14:paraId="7FEE381D">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DB2E165">
            <w:pPr>
              <w:pStyle w:val="52"/>
              <w:spacing w:line="500" w:lineRule="exact"/>
              <w:rPr>
                <w:rFonts w:ascii="宋体" w:hAnsi="宋体" w:cs="宋体"/>
                <w:color w:val="auto"/>
                <w:szCs w:val="21"/>
              </w:rPr>
            </w:pPr>
            <w:r>
              <w:rPr>
                <w:rFonts w:hint="eastAsia" w:ascii="宋体" w:hAnsi="宋体" w:cs="宋体"/>
                <w:color w:val="auto"/>
                <w:szCs w:val="21"/>
              </w:rPr>
              <w:t>可曲绕橡胶接头</w:t>
            </w:r>
          </w:p>
        </w:tc>
        <w:tc>
          <w:tcPr>
            <w:tcW w:w="2597" w:type="dxa"/>
            <w:tcBorders>
              <w:top w:val="nil"/>
              <w:left w:val="nil"/>
              <w:bottom w:val="single" w:color="auto" w:sz="4" w:space="0"/>
              <w:right w:val="single" w:color="auto" w:sz="4" w:space="0"/>
            </w:tcBorders>
            <w:shd w:val="clear" w:color="auto" w:fill="auto"/>
            <w:vAlign w:val="center"/>
          </w:tcPr>
          <w:p w14:paraId="39D15540">
            <w:pPr>
              <w:pStyle w:val="52"/>
              <w:spacing w:line="500" w:lineRule="exact"/>
              <w:rPr>
                <w:rFonts w:ascii="宋体" w:hAnsi="宋体" w:cs="宋体"/>
                <w:color w:val="auto"/>
                <w:szCs w:val="21"/>
              </w:rPr>
            </w:pPr>
            <w:r>
              <w:rPr>
                <w:rFonts w:hint="eastAsia" w:ascii="宋体" w:hAnsi="宋体" w:cs="宋体"/>
                <w:color w:val="auto"/>
                <w:szCs w:val="21"/>
              </w:rPr>
              <w:t>DN200</w:t>
            </w:r>
          </w:p>
        </w:tc>
        <w:tc>
          <w:tcPr>
            <w:tcW w:w="672" w:type="dxa"/>
            <w:tcBorders>
              <w:top w:val="nil"/>
              <w:left w:val="nil"/>
              <w:bottom w:val="single" w:color="auto" w:sz="4" w:space="0"/>
              <w:right w:val="single" w:color="auto" w:sz="4" w:space="0"/>
            </w:tcBorders>
            <w:shd w:val="clear" w:color="auto" w:fill="auto"/>
            <w:vAlign w:val="center"/>
          </w:tcPr>
          <w:p w14:paraId="31F5B141">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25B906E5">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2261F8CE">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5DFBF17C">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vAlign w:val="center"/>
          </w:tcPr>
          <w:p w14:paraId="514CCB16">
            <w:pPr>
              <w:pStyle w:val="52"/>
              <w:spacing w:line="500" w:lineRule="exact"/>
              <w:rPr>
                <w:rFonts w:ascii="宋体" w:hAnsi="宋体" w:cs="宋体"/>
                <w:color w:val="auto"/>
                <w:szCs w:val="21"/>
              </w:rPr>
            </w:pPr>
            <w:r>
              <w:rPr>
                <w:rFonts w:hint="eastAsia" w:ascii="宋体" w:hAnsi="宋体" w:cs="宋体"/>
                <w:color w:val="auto"/>
                <w:szCs w:val="21"/>
              </w:rPr>
              <w:t>　</w:t>
            </w:r>
          </w:p>
        </w:tc>
      </w:tr>
      <w:tr w14:paraId="3F0104D0">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645F8AE">
            <w:pPr>
              <w:pStyle w:val="52"/>
              <w:spacing w:line="500" w:lineRule="exact"/>
              <w:rPr>
                <w:rFonts w:ascii="宋体" w:hAnsi="宋体" w:cs="宋体"/>
                <w:color w:val="auto"/>
                <w:szCs w:val="21"/>
              </w:rPr>
            </w:pPr>
            <w:r>
              <w:rPr>
                <w:rFonts w:hint="eastAsia" w:ascii="宋体" w:hAnsi="宋体" w:cs="宋体"/>
                <w:color w:val="auto"/>
                <w:szCs w:val="21"/>
              </w:rPr>
              <w:t>24</w:t>
            </w:r>
          </w:p>
        </w:tc>
        <w:tc>
          <w:tcPr>
            <w:tcW w:w="967" w:type="dxa"/>
            <w:tcBorders>
              <w:top w:val="nil"/>
              <w:left w:val="nil"/>
              <w:bottom w:val="single" w:color="auto" w:sz="4" w:space="0"/>
              <w:right w:val="single" w:color="auto" w:sz="4" w:space="0"/>
            </w:tcBorders>
            <w:shd w:val="clear" w:color="auto" w:fill="auto"/>
            <w:vAlign w:val="center"/>
          </w:tcPr>
          <w:p w14:paraId="4803A5D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DC669A4">
            <w:pPr>
              <w:pStyle w:val="52"/>
              <w:spacing w:line="500" w:lineRule="exact"/>
              <w:rPr>
                <w:rFonts w:ascii="宋体" w:hAnsi="宋体" w:cs="宋体"/>
                <w:color w:val="auto"/>
                <w:szCs w:val="21"/>
              </w:rPr>
            </w:pPr>
            <w:r>
              <w:rPr>
                <w:rFonts w:hint="eastAsia" w:ascii="宋体" w:hAnsi="宋体" w:cs="宋体"/>
                <w:color w:val="auto"/>
                <w:szCs w:val="21"/>
              </w:rPr>
              <w:t>球阀</w:t>
            </w:r>
          </w:p>
        </w:tc>
        <w:tc>
          <w:tcPr>
            <w:tcW w:w="2597" w:type="dxa"/>
            <w:tcBorders>
              <w:top w:val="nil"/>
              <w:left w:val="nil"/>
              <w:bottom w:val="single" w:color="auto" w:sz="4" w:space="0"/>
              <w:right w:val="single" w:color="auto" w:sz="4" w:space="0"/>
            </w:tcBorders>
            <w:shd w:val="clear" w:color="auto" w:fill="auto"/>
            <w:vAlign w:val="center"/>
          </w:tcPr>
          <w:p w14:paraId="1AF21460">
            <w:pPr>
              <w:pStyle w:val="52"/>
              <w:spacing w:line="500" w:lineRule="exact"/>
              <w:rPr>
                <w:rFonts w:ascii="宋体" w:hAnsi="宋体" w:cs="宋体"/>
                <w:color w:val="auto"/>
                <w:szCs w:val="21"/>
              </w:rPr>
            </w:pPr>
            <w:r>
              <w:rPr>
                <w:rFonts w:hint="eastAsia" w:ascii="宋体" w:hAnsi="宋体" w:cs="宋体"/>
                <w:color w:val="auto"/>
                <w:szCs w:val="21"/>
              </w:rPr>
              <w:t>DN150</w:t>
            </w:r>
          </w:p>
        </w:tc>
        <w:tc>
          <w:tcPr>
            <w:tcW w:w="672" w:type="dxa"/>
            <w:tcBorders>
              <w:top w:val="nil"/>
              <w:left w:val="nil"/>
              <w:bottom w:val="single" w:color="auto" w:sz="4" w:space="0"/>
              <w:right w:val="single" w:color="auto" w:sz="4" w:space="0"/>
            </w:tcBorders>
            <w:shd w:val="clear" w:color="auto" w:fill="auto"/>
            <w:vAlign w:val="center"/>
          </w:tcPr>
          <w:p w14:paraId="394D5FC0">
            <w:pPr>
              <w:pStyle w:val="52"/>
              <w:spacing w:line="500" w:lineRule="exact"/>
              <w:rPr>
                <w:rFonts w:ascii="宋体" w:hAnsi="宋体" w:cs="宋体"/>
                <w:color w:val="auto"/>
                <w:szCs w:val="21"/>
              </w:rPr>
            </w:pPr>
            <w:r>
              <w:rPr>
                <w:rFonts w:hint="eastAsia" w:ascii="宋体" w:hAnsi="宋体" w:cs="宋体"/>
                <w:color w:val="auto"/>
                <w:szCs w:val="21"/>
              </w:rPr>
              <w:t>塑料</w:t>
            </w:r>
          </w:p>
        </w:tc>
        <w:tc>
          <w:tcPr>
            <w:tcW w:w="579" w:type="dxa"/>
            <w:tcBorders>
              <w:top w:val="nil"/>
              <w:left w:val="nil"/>
              <w:bottom w:val="single" w:color="auto" w:sz="4" w:space="0"/>
              <w:right w:val="single" w:color="auto" w:sz="4" w:space="0"/>
            </w:tcBorders>
            <w:shd w:val="clear" w:color="auto" w:fill="auto"/>
            <w:vAlign w:val="center"/>
          </w:tcPr>
          <w:p w14:paraId="6B9AB773">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7C718179">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46CBA234">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vAlign w:val="center"/>
          </w:tcPr>
          <w:p w14:paraId="03C5B5DA">
            <w:pPr>
              <w:pStyle w:val="52"/>
              <w:spacing w:line="500" w:lineRule="exact"/>
              <w:rPr>
                <w:rFonts w:ascii="宋体" w:hAnsi="宋体" w:cs="宋体"/>
                <w:color w:val="auto"/>
                <w:szCs w:val="21"/>
              </w:rPr>
            </w:pPr>
            <w:r>
              <w:rPr>
                <w:rFonts w:hint="eastAsia" w:ascii="宋体" w:hAnsi="宋体" w:cs="宋体"/>
                <w:color w:val="auto"/>
                <w:szCs w:val="21"/>
              </w:rPr>
              <w:t>　</w:t>
            </w:r>
          </w:p>
        </w:tc>
      </w:tr>
      <w:tr w14:paraId="591E2BD3">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DA43C9F">
            <w:pPr>
              <w:pStyle w:val="52"/>
              <w:spacing w:line="500" w:lineRule="exact"/>
              <w:rPr>
                <w:rFonts w:ascii="宋体" w:hAnsi="宋体" w:cs="宋体"/>
                <w:color w:val="auto"/>
                <w:szCs w:val="21"/>
              </w:rPr>
            </w:pPr>
            <w:r>
              <w:rPr>
                <w:rFonts w:hint="eastAsia" w:ascii="宋体" w:hAnsi="宋体" w:cs="宋体"/>
                <w:color w:val="auto"/>
                <w:szCs w:val="21"/>
              </w:rPr>
              <w:t>25</w:t>
            </w:r>
          </w:p>
        </w:tc>
        <w:tc>
          <w:tcPr>
            <w:tcW w:w="967" w:type="dxa"/>
            <w:tcBorders>
              <w:top w:val="nil"/>
              <w:left w:val="nil"/>
              <w:bottom w:val="single" w:color="auto" w:sz="4" w:space="0"/>
              <w:right w:val="single" w:color="auto" w:sz="4" w:space="0"/>
            </w:tcBorders>
            <w:shd w:val="clear" w:color="auto" w:fill="auto"/>
            <w:vAlign w:val="center"/>
          </w:tcPr>
          <w:p w14:paraId="1EC66E4D">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5E7A2DA2">
            <w:pPr>
              <w:pStyle w:val="52"/>
              <w:spacing w:line="500" w:lineRule="exact"/>
              <w:rPr>
                <w:rFonts w:ascii="宋体" w:hAnsi="宋体" w:cs="宋体"/>
                <w:color w:val="auto"/>
                <w:szCs w:val="21"/>
              </w:rPr>
            </w:pPr>
            <w:r>
              <w:rPr>
                <w:rFonts w:hint="eastAsia" w:ascii="宋体" w:hAnsi="宋体" w:cs="宋体"/>
                <w:color w:val="auto"/>
                <w:szCs w:val="21"/>
              </w:rPr>
              <w:t>电动球阀</w:t>
            </w:r>
          </w:p>
        </w:tc>
        <w:tc>
          <w:tcPr>
            <w:tcW w:w="2597" w:type="dxa"/>
            <w:tcBorders>
              <w:top w:val="nil"/>
              <w:left w:val="nil"/>
              <w:bottom w:val="single" w:color="auto" w:sz="4" w:space="0"/>
              <w:right w:val="single" w:color="auto" w:sz="4" w:space="0"/>
            </w:tcBorders>
            <w:shd w:val="clear" w:color="auto" w:fill="auto"/>
            <w:vAlign w:val="center"/>
          </w:tcPr>
          <w:p w14:paraId="0C899C54">
            <w:pPr>
              <w:pStyle w:val="52"/>
              <w:spacing w:line="500" w:lineRule="exact"/>
              <w:rPr>
                <w:rFonts w:ascii="宋体" w:hAnsi="宋体" w:cs="宋体"/>
                <w:color w:val="auto"/>
                <w:szCs w:val="21"/>
              </w:rPr>
            </w:pPr>
            <w:r>
              <w:rPr>
                <w:rFonts w:hint="eastAsia" w:ascii="宋体" w:hAnsi="宋体" w:cs="宋体"/>
                <w:color w:val="auto"/>
                <w:szCs w:val="21"/>
              </w:rPr>
              <w:t>DN150</w:t>
            </w:r>
          </w:p>
        </w:tc>
        <w:tc>
          <w:tcPr>
            <w:tcW w:w="672" w:type="dxa"/>
            <w:tcBorders>
              <w:top w:val="nil"/>
              <w:left w:val="nil"/>
              <w:bottom w:val="single" w:color="auto" w:sz="4" w:space="0"/>
              <w:right w:val="single" w:color="auto" w:sz="4" w:space="0"/>
            </w:tcBorders>
            <w:shd w:val="clear" w:color="auto" w:fill="auto"/>
            <w:vAlign w:val="center"/>
          </w:tcPr>
          <w:p w14:paraId="1B10C6E9">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3B9760FA">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66AAEB5D">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12A842DD">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vAlign w:val="center"/>
          </w:tcPr>
          <w:p w14:paraId="2A84A852">
            <w:pPr>
              <w:pStyle w:val="52"/>
              <w:spacing w:line="500" w:lineRule="exact"/>
              <w:rPr>
                <w:rFonts w:ascii="宋体" w:hAnsi="宋体" w:cs="宋体"/>
                <w:color w:val="auto"/>
                <w:szCs w:val="21"/>
              </w:rPr>
            </w:pPr>
            <w:r>
              <w:rPr>
                <w:rFonts w:hint="eastAsia" w:ascii="宋体" w:hAnsi="宋体" w:cs="宋体"/>
                <w:color w:val="auto"/>
                <w:szCs w:val="21"/>
              </w:rPr>
              <w:t>　</w:t>
            </w:r>
          </w:p>
        </w:tc>
      </w:tr>
      <w:tr w14:paraId="6E31A1C3">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D308DBD">
            <w:pPr>
              <w:pStyle w:val="52"/>
              <w:spacing w:line="500" w:lineRule="exact"/>
              <w:rPr>
                <w:rFonts w:ascii="宋体" w:hAnsi="宋体" w:cs="宋体"/>
                <w:color w:val="auto"/>
                <w:szCs w:val="21"/>
              </w:rPr>
            </w:pPr>
            <w:r>
              <w:rPr>
                <w:rFonts w:hint="eastAsia" w:ascii="宋体" w:hAnsi="宋体" w:cs="宋体"/>
                <w:color w:val="auto"/>
                <w:szCs w:val="21"/>
              </w:rPr>
              <w:t>26</w:t>
            </w:r>
          </w:p>
        </w:tc>
        <w:tc>
          <w:tcPr>
            <w:tcW w:w="967" w:type="dxa"/>
            <w:tcBorders>
              <w:top w:val="nil"/>
              <w:left w:val="nil"/>
              <w:bottom w:val="single" w:color="auto" w:sz="4" w:space="0"/>
              <w:right w:val="single" w:color="auto" w:sz="4" w:space="0"/>
            </w:tcBorders>
            <w:shd w:val="clear" w:color="auto" w:fill="auto"/>
            <w:vAlign w:val="center"/>
          </w:tcPr>
          <w:p w14:paraId="5DF3E8B4">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64EFFCC">
            <w:pPr>
              <w:pStyle w:val="52"/>
              <w:spacing w:line="500" w:lineRule="exact"/>
              <w:rPr>
                <w:rFonts w:ascii="宋体" w:hAnsi="宋体" w:cs="宋体"/>
                <w:color w:val="auto"/>
                <w:szCs w:val="21"/>
              </w:rPr>
            </w:pPr>
            <w:r>
              <w:rPr>
                <w:rFonts w:hint="eastAsia" w:ascii="宋体" w:hAnsi="宋体" w:cs="宋体"/>
                <w:color w:val="auto"/>
                <w:szCs w:val="21"/>
              </w:rPr>
              <w:t>新旧接驳口</w:t>
            </w:r>
          </w:p>
        </w:tc>
        <w:tc>
          <w:tcPr>
            <w:tcW w:w="2597" w:type="dxa"/>
            <w:tcBorders>
              <w:top w:val="nil"/>
              <w:left w:val="nil"/>
              <w:bottom w:val="single" w:color="auto" w:sz="4" w:space="0"/>
              <w:right w:val="single" w:color="auto" w:sz="4" w:space="0"/>
            </w:tcBorders>
            <w:shd w:val="clear" w:color="auto" w:fill="auto"/>
            <w:vAlign w:val="center"/>
          </w:tcPr>
          <w:p w14:paraId="67E4B958">
            <w:pPr>
              <w:pStyle w:val="52"/>
              <w:spacing w:line="500" w:lineRule="exact"/>
              <w:rPr>
                <w:rFonts w:ascii="宋体" w:hAnsi="宋体" w:cs="宋体"/>
                <w:color w:val="auto"/>
                <w:szCs w:val="21"/>
              </w:rPr>
            </w:pPr>
            <w:r>
              <w:rPr>
                <w:rFonts w:hint="eastAsia" w:ascii="宋体" w:hAnsi="宋体" w:cs="宋体"/>
                <w:color w:val="auto"/>
                <w:szCs w:val="21"/>
              </w:rPr>
              <w:t>DN150xDN100</w:t>
            </w:r>
          </w:p>
        </w:tc>
        <w:tc>
          <w:tcPr>
            <w:tcW w:w="672" w:type="dxa"/>
            <w:tcBorders>
              <w:top w:val="nil"/>
              <w:left w:val="nil"/>
              <w:bottom w:val="single" w:color="auto" w:sz="4" w:space="0"/>
              <w:right w:val="single" w:color="auto" w:sz="4" w:space="0"/>
            </w:tcBorders>
            <w:shd w:val="clear" w:color="auto" w:fill="auto"/>
            <w:noWrap/>
            <w:vAlign w:val="bottom"/>
          </w:tcPr>
          <w:p w14:paraId="120CF832">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1F059464">
            <w:pPr>
              <w:pStyle w:val="52"/>
              <w:spacing w:line="500" w:lineRule="exact"/>
              <w:rPr>
                <w:rFonts w:ascii="宋体" w:hAnsi="宋体" w:cs="宋体"/>
                <w:color w:val="auto"/>
                <w:szCs w:val="21"/>
              </w:rPr>
            </w:pPr>
            <w:r>
              <w:rPr>
                <w:rFonts w:hint="eastAsia" w:ascii="宋体" w:hAnsi="宋体" w:cs="宋体"/>
                <w:color w:val="auto"/>
                <w:szCs w:val="21"/>
              </w:rPr>
              <w:t>处</w:t>
            </w:r>
          </w:p>
        </w:tc>
        <w:tc>
          <w:tcPr>
            <w:tcW w:w="915" w:type="dxa"/>
            <w:tcBorders>
              <w:top w:val="nil"/>
              <w:left w:val="nil"/>
              <w:bottom w:val="single" w:color="auto" w:sz="4" w:space="0"/>
              <w:right w:val="single" w:color="auto" w:sz="4" w:space="0"/>
            </w:tcBorders>
            <w:shd w:val="clear" w:color="auto" w:fill="auto"/>
            <w:vAlign w:val="center"/>
          </w:tcPr>
          <w:p w14:paraId="340B9A09">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4FAC6987">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3CC70AFD">
            <w:pPr>
              <w:pStyle w:val="52"/>
              <w:spacing w:line="500" w:lineRule="exact"/>
              <w:rPr>
                <w:rFonts w:ascii="宋体" w:hAnsi="宋体" w:cs="宋体"/>
                <w:color w:val="auto"/>
                <w:szCs w:val="21"/>
              </w:rPr>
            </w:pPr>
            <w:r>
              <w:rPr>
                <w:rFonts w:hint="eastAsia" w:ascii="宋体" w:hAnsi="宋体" w:cs="宋体"/>
                <w:color w:val="auto"/>
                <w:szCs w:val="21"/>
              </w:rPr>
              <w:t>　</w:t>
            </w:r>
          </w:p>
        </w:tc>
      </w:tr>
      <w:tr w14:paraId="796E7880">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7DDC02B">
            <w:pPr>
              <w:pStyle w:val="52"/>
              <w:spacing w:line="500" w:lineRule="exact"/>
              <w:rPr>
                <w:rFonts w:ascii="宋体" w:hAnsi="宋体" w:cs="宋体"/>
                <w:color w:val="auto"/>
                <w:szCs w:val="21"/>
              </w:rPr>
            </w:pPr>
            <w:r>
              <w:rPr>
                <w:rFonts w:hint="eastAsia" w:ascii="宋体" w:hAnsi="宋体" w:cs="宋体"/>
                <w:color w:val="auto"/>
                <w:szCs w:val="21"/>
              </w:rPr>
              <w:t>27</w:t>
            </w:r>
          </w:p>
        </w:tc>
        <w:tc>
          <w:tcPr>
            <w:tcW w:w="967" w:type="dxa"/>
            <w:tcBorders>
              <w:top w:val="nil"/>
              <w:left w:val="nil"/>
              <w:bottom w:val="single" w:color="auto" w:sz="4" w:space="0"/>
              <w:right w:val="single" w:color="auto" w:sz="4" w:space="0"/>
            </w:tcBorders>
            <w:shd w:val="clear" w:color="auto" w:fill="auto"/>
            <w:vAlign w:val="center"/>
          </w:tcPr>
          <w:p w14:paraId="3377EB9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3A48890">
            <w:pPr>
              <w:pStyle w:val="52"/>
              <w:spacing w:line="500" w:lineRule="exact"/>
              <w:rPr>
                <w:rFonts w:ascii="宋体" w:hAnsi="宋体" w:cs="宋体"/>
                <w:color w:val="auto"/>
                <w:szCs w:val="21"/>
              </w:rPr>
            </w:pPr>
            <w:r>
              <w:rPr>
                <w:rFonts w:hint="eastAsia" w:ascii="宋体" w:hAnsi="宋体" w:cs="宋体"/>
                <w:color w:val="auto"/>
                <w:szCs w:val="21"/>
              </w:rPr>
              <w:t>焊接钢管</w:t>
            </w:r>
          </w:p>
        </w:tc>
        <w:tc>
          <w:tcPr>
            <w:tcW w:w="2597" w:type="dxa"/>
            <w:tcBorders>
              <w:top w:val="nil"/>
              <w:left w:val="nil"/>
              <w:bottom w:val="single" w:color="auto" w:sz="4" w:space="0"/>
              <w:right w:val="single" w:color="auto" w:sz="4" w:space="0"/>
            </w:tcBorders>
            <w:shd w:val="clear" w:color="auto" w:fill="auto"/>
            <w:vAlign w:val="center"/>
          </w:tcPr>
          <w:p w14:paraId="1116FAA5">
            <w:pPr>
              <w:pStyle w:val="52"/>
              <w:spacing w:line="500" w:lineRule="exact"/>
              <w:rPr>
                <w:rFonts w:ascii="宋体" w:hAnsi="宋体" w:cs="宋体"/>
                <w:color w:val="auto"/>
                <w:szCs w:val="21"/>
              </w:rPr>
            </w:pPr>
            <w:r>
              <w:rPr>
                <w:rFonts w:hint="eastAsia" w:ascii="宋体" w:hAnsi="宋体" w:cs="宋体"/>
                <w:color w:val="auto"/>
                <w:szCs w:val="21"/>
              </w:rPr>
              <w:t>DN100，δ=4mm</w:t>
            </w:r>
          </w:p>
        </w:tc>
        <w:tc>
          <w:tcPr>
            <w:tcW w:w="672" w:type="dxa"/>
            <w:tcBorders>
              <w:top w:val="nil"/>
              <w:left w:val="nil"/>
              <w:bottom w:val="single" w:color="auto" w:sz="4" w:space="0"/>
              <w:right w:val="single" w:color="auto" w:sz="4" w:space="0"/>
            </w:tcBorders>
            <w:shd w:val="clear" w:color="auto" w:fill="auto"/>
            <w:vAlign w:val="center"/>
          </w:tcPr>
          <w:p w14:paraId="321A1AA1">
            <w:pPr>
              <w:pStyle w:val="52"/>
              <w:spacing w:line="500" w:lineRule="exact"/>
              <w:rPr>
                <w:rFonts w:ascii="宋体" w:hAnsi="宋体" w:cs="宋体"/>
                <w:color w:val="auto"/>
                <w:szCs w:val="21"/>
              </w:rPr>
            </w:pPr>
            <w:r>
              <w:rPr>
                <w:rFonts w:hint="eastAsia" w:ascii="宋体" w:hAnsi="宋体" w:cs="宋体"/>
                <w:color w:val="auto"/>
                <w:szCs w:val="21"/>
              </w:rPr>
              <w:t>钢</w:t>
            </w:r>
          </w:p>
        </w:tc>
        <w:tc>
          <w:tcPr>
            <w:tcW w:w="579" w:type="dxa"/>
            <w:tcBorders>
              <w:top w:val="nil"/>
              <w:left w:val="nil"/>
              <w:bottom w:val="single" w:color="auto" w:sz="4" w:space="0"/>
              <w:right w:val="single" w:color="auto" w:sz="4" w:space="0"/>
            </w:tcBorders>
            <w:shd w:val="clear" w:color="auto" w:fill="auto"/>
            <w:vAlign w:val="center"/>
          </w:tcPr>
          <w:p w14:paraId="7F2E56AC">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0EFC3A59">
            <w:pPr>
              <w:pStyle w:val="52"/>
              <w:spacing w:line="500" w:lineRule="exact"/>
              <w:rPr>
                <w:rFonts w:ascii="宋体" w:hAnsi="宋体" w:cs="宋体"/>
                <w:color w:val="auto"/>
                <w:szCs w:val="21"/>
              </w:rPr>
            </w:pPr>
            <w:r>
              <w:rPr>
                <w:rFonts w:hint="eastAsia" w:ascii="宋体" w:hAnsi="宋体" w:cs="宋体"/>
                <w:color w:val="auto"/>
                <w:szCs w:val="21"/>
              </w:rPr>
              <w:t>10</w:t>
            </w:r>
          </w:p>
        </w:tc>
        <w:tc>
          <w:tcPr>
            <w:tcW w:w="780" w:type="dxa"/>
            <w:tcBorders>
              <w:top w:val="nil"/>
              <w:left w:val="nil"/>
              <w:bottom w:val="single" w:color="auto" w:sz="4" w:space="0"/>
              <w:right w:val="single" w:color="auto" w:sz="4" w:space="0"/>
            </w:tcBorders>
            <w:shd w:val="clear" w:color="auto" w:fill="auto"/>
            <w:vAlign w:val="center"/>
          </w:tcPr>
          <w:p w14:paraId="422392C6">
            <w:pPr>
              <w:pStyle w:val="52"/>
              <w:spacing w:line="500" w:lineRule="exact"/>
              <w:rPr>
                <w:rFonts w:ascii="宋体" w:hAnsi="宋体" w:cs="宋体"/>
                <w:color w:val="auto"/>
                <w:szCs w:val="21"/>
              </w:rPr>
            </w:pPr>
            <w:r>
              <w:rPr>
                <w:rFonts w:hint="eastAsia" w:ascii="宋体" w:hAnsi="宋体" w:cs="宋体"/>
                <w:color w:val="auto"/>
                <w:szCs w:val="21"/>
              </w:rPr>
              <w:t>20</w:t>
            </w:r>
          </w:p>
        </w:tc>
        <w:tc>
          <w:tcPr>
            <w:tcW w:w="1950" w:type="dxa"/>
            <w:tcBorders>
              <w:top w:val="nil"/>
              <w:left w:val="nil"/>
              <w:bottom w:val="single" w:color="auto" w:sz="4" w:space="0"/>
              <w:right w:val="single" w:color="auto" w:sz="4" w:space="0"/>
            </w:tcBorders>
            <w:shd w:val="clear" w:color="auto" w:fill="auto"/>
            <w:vAlign w:val="center"/>
          </w:tcPr>
          <w:p w14:paraId="7E45A6D0">
            <w:pPr>
              <w:pStyle w:val="52"/>
              <w:spacing w:line="500" w:lineRule="exact"/>
              <w:rPr>
                <w:rFonts w:ascii="宋体" w:hAnsi="宋体" w:cs="宋体"/>
                <w:color w:val="auto"/>
                <w:szCs w:val="21"/>
              </w:rPr>
            </w:pPr>
            <w:r>
              <w:rPr>
                <w:rFonts w:hint="eastAsia" w:ascii="宋体" w:hAnsi="宋体" w:cs="宋体"/>
                <w:color w:val="auto"/>
                <w:szCs w:val="21"/>
              </w:rPr>
              <w:t>　</w:t>
            </w:r>
          </w:p>
        </w:tc>
      </w:tr>
      <w:tr w14:paraId="22476F2B">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BECCEB0">
            <w:pPr>
              <w:pStyle w:val="52"/>
              <w:spacing w:line="500" w:lineRule="exact"/>
              <w:rPr>
                <w:rFonts w:ascii="宋体" w:hAnsi="宋体" w:cs="宋体"/>
                <w:color w:val="auto"/>
                <w:szCs w:val="21"/>
              </w:rPr>
            </w:pPr>
            <w:r>
              <w:rPr>
                <w:rFonts w:hint="eastAsia" w:ascii="宋体" w:hAnsi="宋体" w:cs="宋体"/>
                <w:color w:val="auto"/>
                <w:szCs w:val="21"/>
              </w:rPr>
              <w:t>28</w:t>
            </w:r>
          </w:p>
        </w:tc>
        <w:tc>
          <w:tcPr>
            <w:tcW w:w="967" w:type="dxa"/>
            <w:tcBorders>
              <w:top w:val="nil"/>
              <w:left w:val="nil"/>
              <w:bottom w:val="single" w:color="auto" w:sz="4" w:space="0"/>
              <w:right w:val="single" w:color="auto" w:sz="4" w:space="0"/>
            </w:tcBorders>
            <w:shd w:val="clear" w:color="auto" w:fill="auto"/>
            <w:vAlign w:val="center"/>
          </w:tcPr>
          <w:p w14:paraId="6537390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2AAE2D2">
            <w:pPr>
              <w:pStyle w:val="52"/>
              <w:spacing w:line="500" w:lineRule="exact"/>
              <w:rPr>
                <w:rFonts w:ascii="宋体" w:hAnsi="宋体" w:cs="宋体"/>
                <w:color w:val="auto"/>
                <w:szCs w:val="21"/>
              </w:rPr>
            </w:pPr>
            <w:r>
              <w:rPr>
                <w:rFonts w:hint="eastAsia" w:ascii="宋体" w:hAnsi="宋体" w:cs="宋体"/>
                <w:color w:val="auto"/>
                <w:szCs w:val="21"/>
              </w:rPr>
              <w:t>焊接法兰</w:t>
            </w:r>
          </w:p>
        </w:tc>
        <w:tc>
          <w:tcPr>
            <w:tcW w:w="2597" w:type="dxa"/>
            <w:tcBorders>
              <w:top w:val="nil"/>
              <w:left w:val="nil"/>
              <w:bottom w:val="single" w:color="auto" w:sz="4" w:space="0"/>
              <w:right w:val="single" w:color="auto" w:sz="4" w:space="0"/>
            </w:tcBorders>
            <w:shd w:val="clear" w:color="auto" w:fill="auto"/>
            <w:vAlign w:val="center"/>
          </w:tcPr>
          <w:p w14:paraId="0C989EE8">
            <w:pPr>
              <w:pStyle w:val="52"/>
              <w:spacing w:line="500" w:lineRule="exact"/>
              <w:rPr>
                <w:rFonts w:ascii="宋体" w:hAnsi="宋体" w:cs="宋体"/>
                <w:color w:val="auto"/>
                <w:szCs w:val="21"/>
              </w:rPr>
            </w:pPr>
            <w:r>
              <w:rPr>
                <w:rFonts w:hint="eastAsia" w:ascii="宋体" w:hAnsi="宋体" w:cs="宋体"/>
                <w:color w:val="auto"/>
                <w:szCs w:val="21"/>
              </w:rPr>
              <w:t>DN100，PN10</w:t>
            </w:r>
          </w:p>
        </w:tc>
        <w:tc>
          <w:tcPr>
            <w:tcW w:w="672" w:type="dxa"/>
            <w:tcBorders>
              <w:top w:val="nil"/>
              <w:left w:val="nil"/>
              <w:bottom w:val="single" w:color="auto" w:sz="4" w:space="0"/>
              <w:right w:val="single" w:color="auto" w:sz="4" w:space="0"/>
            </w:tcBorders>
            <w:shd w:val="clear" w:color="auto" w:fill="auto"/>
            <w:vAlign w:val="center"/>
          </w:tcPr>
          <w:p w14:paraId="0E4B7172">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231C6A15">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63585881">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0200FA6F">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7A5742AB">
            <w:pPr>
              <w:pStyle w:val="52"/>
              <w:spacing w:line="500" w:lineRule="exact"/>
              <w:rPr>
                <w:rFonts w:ascii="宋体" w:hAnsi="宋体" w:cs="宋体"/>
                <w:color w:val="auto"/>
                <w:szCs w:val="21"/>
              </w:rPr>
            </w:pPr>
            <w:r>
              <w:rPr>
                <w:rFonts w:hint="eastAsia" w:ascii="宋体" w:hAnsi="宋体" w:cs="宋体"/>
                <w:color w:val="auto"/>
                <w:szCs w:val="21"/>
              </w:rPr>
              <w:t>　</w:t>
            </w:r>
          </w:p>
        </w:tc>
      </w:tr>
      <w:tr w14:paraId="7C282B39">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8B091D4">
            <w:pPr>
              <w:pStyle w:val="52"/>
              <w:spacing w:line="500" w:lineRule="exact"/>
              <w:rPr>
                <w:rFonts w:ascii="宋体" w:hAnsi="宋体" w:cs="宋体"/>
                <w:color w:val="auto"/>
                <w:szCs w:val="21"/>
              </w:rPr>
            </w:pPr>
            <w:r>
              <w:rPr>
                <w:rFonts w:hint="eastAsia" w:ascii="宋体" w:hAnsi="宋体" w:cs="宋体"/>
                <w:color w:val="auto"/>
                <w:szCs w:val="21"/>
              </w:rPr>
              <w:t>29</w:t>
            </w:r>
          </w:p>
        </w:tc>
        <w:tc>
          <w:tcPr>
            <w:tcW w:w="967" w:type="dxa"/>
            <w:tcBorders>
              <w:top w:val="nil"/>
              <w:left w:val="nil"/>
              <w:bottom w:val="single" w:color="auto" w:sz="4" w:space="0"/>
              <w:right w:val="single" w:color="auto" w:sz="4" w:space="0"/>
            </w:tcBorders>
            <w:shd w:val="clear" w:color="auto" w:fill="auto"/>
            <w:vAlign w:val="center"/>
          </w:tcPr>
          <w:p w14:paraId="6506A62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774E916">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0A5F7A83">
            <w:pPr>
              <w:pStyle w:val="52"/>
              <w:spacing w:line="500" w:lineRule="exact"/>
              <w:rPr>
                <w:rFonts w:ascii="宋体" w:hAnsi="宋体" w:cs="宋体"/>
                <w:color w:val="auto"/>
                <w:szCs w:val="21"/>
              </w:rPr>
            </w:pPr>
            <w:r>
              <w:rPr>
                <w:rFonts w:hint="eastAsia" w:ascii="宋体" w:hAnsi="宋体" w:cs="宋体"/>
                <w:color w:val="auto"/>
                <w:szCs w:val="21"/>
              </w:rPr>
              <w:t>De90，PN10</w:t>
            </w:r>
          </w:p>
        </w:tc>
        <w:tc>
          <w:tcPr>
            <w:tcW w:w="672" w:type="dxa"/>
            <w:tcBorders>
              <w:top w:val="nil"/>
              <w:left w:val="nil"/>
              <w:bottom w:val="single" w:color="auto" w:sz="4" w:space="0"/>
              <w:right w:val="single" w:color="auto" w:sz="4" w:space="0"/>
            </w:tcBorders>
            <w:shd w:val="clear" w:color="auto" w:fill="auto"/>
            <w:vAlign w:val="center"/>
          </w:tcPr>
          <w:p w14:paraId="0B324A48">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1B1FC910">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6667ADCC">
            <w:pPr>
              <w:pStyle w:val="52"/>
              <w:spacing w:line="500" w:lineRule="exact"/>
              <w:rPr>
                <w:rFonts w:ascii="宋体" w:hAnsi="宋体" w:cs="宋体"/>
                <w:color w:val="auto"/>
                <w:szCs w:val="21"/>
              </w:rPr>
            </w:pPr>
            <w:r>
              <w:rPr>
                <w:rFonts w:hint="eastAsia" w:ascii="宋体" w:hAnsi="宋体" w:cs="宋体"/>
                <w:color w:val="auto"/>
                <w:szCs w:val="21"/>
              </w:rPr>
              <w:t>3</w:t>
            </w:r>
          </w:p>
        </w:tc>
        <w:tc>
          <w:tcPr>
            <w:tcW w:w="780" w:type="dxa"/>
            <w:tcBorders>
              <w:top w:val="nil"/>
              <w:left w:val="nil"/>
              <w:bottom w:val="single" w:color="auto" w:sz="4" w:space="0"/>
              <w:right w:val="single" w:color="auto" w:sz="4" w:space="0"/>
            </w:tcBorders>
            <w:shd w:val="clear" w:color="auto" w:fill="auto"/>
            <w:vAlign w:val="center"/>
          </w:tcPr>
          <w:p w14:paraId="7753493F">
            <w:pPr>
              <w:pStyle w:val="52"/>
              <w:spacing w:line="500" w:lineRule="exact"/>
              <w:rPr>
                <w:rFonts w:ascii="宋体" w:hAnsi="宋体" w:cs="宋体"/>
                <w:color w:val="auto"/>
                <w:szCs w:val="21"/>
              </w:rPr>
            </w:pPr>
            <w:r>
              <w:rPr>
                <w:rFonts w:hint="eastAsia" w:ascii="宋体" w:hAnsi="宋体" w:cs="宋体"/>
                <w:color w:val="auto"/>
                <w:szCs w:val="21"/>
              </w:rPr>
              <w:t>6</w:t>
            </w:r>
          </w:p>
        </w:tc>
        <w:tc>
          <w:tcPr>
            <w:tcW w:w="1950" w:type="dxa"/>
            <w:tcBorders>
              <w:top w:val="nil"/>
              <w:left w:val="nil"/>
              <w:bottom w:val="single" w:color="auto" w:sz="4" w:space="0"/>
              <w:right w:val="single" w:color="auto" w:sz="4" w:space="0"/>
            </w:tcBorders>
            <w:shd w:val="clear" w:color="auto" w:fill="auto"/>
            <w:vAlign w:val="center"/>
          </w:tcPr>
          <w:p w14:paraId="299097BB">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74130B5F">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1ECC92E">
            <w:pPr>
              <w:pStyle w:val="52"/>
              <w:spacing w:line="500" w:lineRule="exact"/>
              <w:rPr>
                <w:rFonts w:ascii="宋体" w:hAnsi="宋体" w:cs="宋体"/>
                <w:color w:val="auto"/>
                <w:szCs w:val="21"/>
              </w:rPr>
            </w:pPr>
            <w:r>
              <w:rPr>
                <w:rFonts w:hint="eastAsia" w:ascii="宋体" w:hAnsi="宋体" w:cs="宋体"/>
                <w:color w:val="auto"/>
                <w:szCs w:val="21"/>
              </w:rPr>
              <w:t>30</w:t>
            </w:r>
          </w:p>
        </w:tc>
        <w:tc>
          <w:tcPr>
            <w:tcW w:w="967" w:type="dxa"/>
            <w:tcBorders>
              <w:top w:val="nil"/>
              <w:left w:val="nil"/>
              <w:bottom w:val="single" w:color="auto" w:sz="4" w:space="0"/>
              <w:right w:val="single" w:color="auto" w:sz="4" w:space="0"/>
            </w:tcBorders>
            <w:shd w:val="clear" w:color="auto" w:fill="auto"/>
            <w:vAlign w:val="center"/>
          </w:tcPr>
          <w:p w14:paraId="27B0CDA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76CDAE7">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30BAE40E">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38EC2072">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069095D6">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6DAFA05C">
            <w:pPr>
              <w:pStyle w:val="52"/>
              <w:spacing w:line="500" w:lineRule="exact"/>
              <w:rPr>
                <w:rFonts w:ascii="宋体" w:hAnsi="宋体" w:cs="宋体"/>
                <w:color w:val="auto"/>
                <w:szCs w:val="21"/>
              </w:rPr>
            </w:pPr>
            <w:r>
              <w:rPr>
                <w:rFonts w:hint="eastAsia" w:ascii="宋体" w:hAnsi="宋体" w:cs="宋体"/>
                <w:color w:val="auto"/>
                <w:szCs w:val="21"/>
              </w:rPr>
              <w:t>173</w:t>
            </w:r>
          </w:p>
        </w:tc>
        <w:tc>
          <w:tcPr>
            <w:tcW w:w="780" w:type="dxa"/>
            <w:tcBorders>
              <w:top w:val="nil"/>
              <w:left w:val="nil"/>
              <w:bottom w:val="single" w:color="auto" w:sz="4" w:space="0"/>
              <w:right w:val="single" w:color="auto" w:sz="4" w:space="0"/>
            </w:tcBorders>
            <w:shd w:val="clear" w:color="auto" w:fill="auto"/>
            <w:vAlign w:val="center"/>
          </w:tcPr>
          <w:p w14:paraId="781E7781">
            <w:pPr>
              <w:pStyle w:val="52"/>
              <w:spacing w:line="500" w:lineRule="exact"/>
              <w:rPr>
                <w:rFonts w:ascii="宋体" w:hAnsi="宋体" w:cs="宋体"/>
                <w:color w:val="auto"/>
                <w:szCs w:val="21"/>
              </w:rPr>
            </w:pPr>
            <w:r>
              <w:rPr>
                <w:rFonts w:hint="eastAsia" w:ascii="宋体" w:hAnsi="宋体" w:cs="宋体"/>
                <w:color w:val="auto"/>
                <w:szCs w:val="21"/>
              </w:rPr>
              <w:t>346</w:t>
            </w:r>
          </w:p>
        </w:tc>
        <w:tc>
          <w:tcPr>
            <w:tcW w:w="1950" w:type="dxa"/>
            <w:tcBorders>
              <w:top w:val="nil"/>
              <w:left w:val="nil"/>
              <w:bottom w:val="single" w:color="auto" w:sz="4" w:space="0"/>
              <w:right w:val="single" w:color="auto" w:sz="4" w:space="0"/>
            </w:tcBorders>
            <w:shd w:val="clear" w:color="auto" w:fill="auto"/>
            <w:vAlign w:val="center"/>
          </w:tcPr>
          <w:p w14:paraId="287584EB">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7ED3C097">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91A91B0">
            <w:pPr>
              <w:pStyle w:val="52"/>
              <w:spacing w:line="500" w:lineRule="exact"/>
              <w:rPr>
                <w:rFonts w:ascii="宋体" w:hAnsi="宋体" w:cs="宋体"/>
                <w:color w:val="auto"/>
                <w:szCs w:val="21"/>
              </w:rPr>
            </w:pPr>
            <w:r>
              <w:rPr>
                <w:rFonts w:hint="eastAsia" w:ascii="宋体" w:hAnsi="宋体" w:cs="宋体"/>
                <w:color w:val="auto"/>
                <w:szCs w:val="21"/>
              </w:rPr>
              <w:t>31</w:t>
            </w:r>
          </w:p>
        </w:tc>
        <w:tc>
          <w:tcPr>
            <w:tcW w:w="967" w:type="dxa"/>
            <w:tcBorders>
              <w:top w:val="nil"/>
              <w:left w:val="nil"/>
              <w:bottom w:val="single" w:color="auto" w:sz="4" w:space="0"/>
              <w:right w:val="single" w:color="auto" w:sz="4" w:space="0"/>
            </w:tcBorders>
            <w:shd w:val="clear" w:color="auto" w:fill="auto"/>
            <w:vAlign w:val="center"/>
          </w:tcPr>
          <w:p w14:paraId="670F7FC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702CEF9">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20AC5BF5">
            <w:pPr>
              <w:pStyle w:val="52"/>
              <w:spacing w:line="500" w:lineRule="exact"/>
              <w:rPr>
                <w:rFonts w:ascii="宋体" w:hAnsi="宋体" w:cs="宋体"/>
                <w:color w:val="auto"/>
                <w:szCs w:val="21"/>
              </w:rPr>
            </w:pPr>
            <w:r>
              <w:rPr>
                <w:rFonts w:hint="eastAsia" w:ascii="宋体" w:hAnsi="宋体" w:cs="宋体"/>
                <w:color w:val="auto"/>
                <w:szCs w:val="21"/>
              </w:rPr>
              <w:t>De32，PN10</w:t>
            </w:r>
          </w:p>
        </w:tc>
        <w:tc>
          <w:tcPr>
            <w:tcW w:w="672" w:type="dxa"/>
            <w:tcBorders>
              <w:top w:val="nil"/>
              <w:left w:val="nil"/>
              <w:bottom w:val="single" w:color="auto" w:sz="4" w:space="0"/>
              <w:right w:val="single" w:color="auto" w:sz="4" w:space="0"/>
            </w:tcBorders>
            <w:shd w:val="clear" w:color="auto" w:fill="auto"/>
            <w:vAlign w:val="center"/>
          </w:tcPr>
          <w:p w14:paraId="090711E2">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1F8F75A8">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4E9A61AD">
            <w:pPr>
              <w:pStyle w:val="52"/>
              <w:spacing w:line="500" w:lineRule="exact"/>
              <w:rPr>
                <w:rFonts w:ascii="宋体" w:hAnsi="宋体" w:cs="宋体"/>
                <w:color w:val="auto"/>
                <w:szCs w:val="21"/>
              </w:rPr>
            </w:pPr>
            <w:r>
              <w:rPr>
                <w:rFonts w:hint="eastAsia" w:ascii="宋体" w:hAnsi="宋体" w:cs="宋体"/>
                <w:color w:val="auto"/>
                <w:szCs w:val="21"/>
              </w:rPr>
              <w:t>128</w:t>
            </w:r>
          </w:p>
        </w:tc>
        <w:tc>
          <w:tcPr>
            <w:tcW w:w="780" w:type="dxa"/>
            <w:tcBorders>
              <w:top w:val="nil"/>
              <w:left w:val="nil"/>
              <w:bottom w:val="single" w:color="auto" w:sz="4" w:space="0"/>
              <w:right w:val="single" w:color="auto" w:sz="4" w:space="0"/>
            </w:tcBorders>
            <w:shd w:val="clear" w:color="auto" w:fill="auto"/>
            <w:vAlign w:val="center"/>
          </w:tcPr>
          <w:p w14:paraId="4677C6D3">
            <w:pPr>
              <w:pStyle w:val="52"/>
              <w:spacing w:line="500" w:lineRule="exact"/>
              <w:rPr>
                <w:rFonts w:ascii="宋体" w:hAnsi="宋体" w:cs="宋体"/>
                <w:color w:val="auto"/>
                <w:szCs w:val="21"/>
              </w:rPr>
            </w:pPr>
            <w:r>
              <w:rPr>
                <w:rFonts w:hint="eastAsia" w:ascii="宋体" w:hAnsi="宋体" w:cs="宋体"/>
                <w:color w:val="auto"/>
                <w:szCs w:val="21"/>
              </w:rPr>
              <w:t>256</w:t>
            </w:r>
          </w:p>
        </w:tc>
        <w:tc>
          <w:tcPr>
            <w:tcW w:w="1950" w:type="dxa"/>
            <w:tcBorders>
              <w:top w:val="nil"/>
              <w:left w:val="nil"/>
              <w:bottom w:val="single" w:color="auto" w:sz="4" w:space="0"/>
              <w:right w:val="single" w:color="auto" w:sz="4" w:space="0"/>
            </w:tcBorders>
            <w:shd w:val="clear" w:color="auto" w:fill="auto"/>
            <w:vAlign w:val="center"/>
          </w:tcPr>
          <w:p w14:paraId="1AF0FB15">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52C29358">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AB31EC2">
            <w:pPr>
              <w:pStyle w:val="52"/>
              <w:spacing w:line="500" w:lineRule="exact"/>
              <w:rPr>
                <w:rFonts w:ascii="宋体" w:hAnsi="宋体" w:cs="宋体"/>
                <w:color w:val="auto"/>
                <w:szCs w:val="21"/>
              </w:rPr>
            </w:pPr>
            <w:r>
              <w:rPr>
                <w:rFonts w:hint="eastAsia" w:ascii="宋体" w:hAnsi="宋体" w:cs="宋体"/>
                <w:color w:val="auto"/>
                <w:szCs w:val="21"/>
              </w:rPr>
              <w:t>32</w:t>
            </w:r>
          </w:p>
        </w:tc>
        <w:tc>
          <w:tcPr>
            <w:tcW w:w="967" w:type="dxa"/>
            <w:tcBorders>
              <w:top w:val="nil"/>
              <w:left w:val="nil"/>
              <w:bottom w:val="single" w:color="auto" w:sz="4" w:space="0"/>
              <w:right w:val="single" w:color="auto" w:sz="4" w:space="0"/>
            </w:tcBorders>
            <w:shd w:val="clear" w:color="auto" w:fill="auto"/>
            <w:vAlign w:val="center"/>
          </w:tcPr>
          <w:p w14:paraId="6BFBA1B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BED45CE">
            <w:pPr>
              <w:pStyle w:val="52"/>
              <w:spacing w:line="500" w:lineRule="exact"/>
              <w:rPr>
                <w:rFonts w:ascii="宋体" w:hAnsi="宋体" w:cs="宋体"/>
                <w:color w:val="auto"/>
                <w:szCs w:val="21"/>
              </w:rPr>
            </w:pPr>
            <w:r>
              <w:rPr>
                <w:rFonts w:hint="eastAsia" w:ascii="宋体" w:hAnsi="宋体" w:cs="宋体"/>
                <w:color w:val="auto"/>
                <w:szCs w:val="21"/>
              </w:rPr>
              <w:t>聚渣喷头</w:t>
            </w:r>
          </w:p>
        </w:tc>
        <w:tc>
          <w:tcPr>
            <w:tcW w:w="2597" w:type="dxa"/>
            <w:tcBorders>
              <w:top w:val="nil"/>
              <w:left w:val="nil"/>
              <w:bottom w:val="single" w:color="auto" w:sz="4" w:space="0"/>
              <w:right w:val="single" w:color="auto" w:sz="4" w:space="0"/>
            </w:tcBorders>
            <w:shd w:val="clear" w:color="auto" w:fill="auto"/>
            <w:vAlign w:val="center"/>
          </w:tcPr>
          <w:p w14:paraId="4E9B9F06">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2CB45F4B">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65C3AD2B">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78C8FAA6">
            <w:pPr>
              <w:pStyle w:val="52"/>
              <w:spacing w:line="500" w:lineRule="exact"/>
              <w:rPr>
                <w:rFonts w:ascii="宋体" w:hAnsi="宋体" w:cs="宋体"/>
                <w:color w:val="auto"/>
                <w:szCs w:val="21"/>
              </w:rPr>
            </w:pPr>
            <w:r>
              <w:rPr>
                <w:rFonts w:hint="eastAsia" w:ascii="宋体" w:hAnsi="宋体" w:cs="宋体"/>
                <w:color w:val="auto"/>
                <w:szCs w:val="21"/>
              </w:rPr>
              <w:t>64</w:t>
            </w:r>
          </w:p>
        </w:tc>
        <w:tc>
          <w:tcPr>
            <w:tcW w:w="780" w:type="dxa"/>
            <w:tcBorders>
              <w:top w:val="nil"/>
              <w:left w:val="nil"/>
              <w:bottom w:val="single" w:color="auto" w:sz="4" w:space="0"/>
              <w:right w:val="single" w:color="auto" w:sz="4" w:space="0"/>
            </w:tcBorders>
            <w:shd w:val="clear" w:color="auto" w:fill="auto"/>
            <w:vAlign w:val="center"/>
          </w:tcPr>
          <w:p w14:paraId="0C4434F8">
            <w:pPr>
              <w:pStyle w:val="52"/>
              <w:spacing w:line="500" w:lineRule="exact"/>
              <w:rPr>
                <w:rFonts w:ascii="宋体" w:hAnsi="宋体" w:cs="宋体"/>
                <w:color w:val="auto"/>
                <w:szCs w:val="21"/>
              </w:rPr>
            </w:pPr>
            <w:r>
              <w:rPr>
                <w:rFonts w:hint="eastAsia" w:ascii="宋体" w:hAnsi="宋体" w:cs="宋体"/>
                <w:color w:val="auto"/>
                <w:szCs w:val="21"/>
              </w:rPr>
              <w:t>128</w:t>
            </w:r>
          </w:p>
        </w:tc>
        <w:tc>
          <w:tcPr>
            <w:tcW w:w="1950" w:type="dxa"/>
            <w:tcBorders>
              <w:top w:val="nil"/>
              <w:left w:val="nil"/>
              <w:bottom w:val="single" w:color="auto" w:sz="4" w:space="0"/>
              <w:right w:val="single" w:color="auto" w:sz="4" w:space="0"/>
            </w:tcBorders>
            <w:shd w:val="clear" w:color="auto" w:fill="auto"/>
            <w:vAlign w:val="center"/>
          </w:tcPr>
          <w:p w14:paraId="47B8BE5D">
            <w:pPr>
              <w:pStyle w:val="52"/>
              <w:spacing w:line="500" w:lineRule="exact"/>
              <w:rPr>
                <w:rFonts w:ascii="宋体" w:hAnsi="宋体" w:cs="宋体"/>
                <w:color w:val="auto"/>
                <w:szCs w:val="21"/>
              </w:rPr>
            </w:pPr>
            <w:r>
              <w:rPr>
                <w:rFonts w:hint="eastAsia" w:ascii="宋体" w:hAnsi="宋体" w:cs="宋体"/>
                <w:color w:val="auto"/>
                <w:szCs w:val="21"/>
              </w:rPr>
              <w:t>　</w:t>
            </w:r>
          </w:p>
        </w:tc>
      </w:tr>
      <w:tr w14:paraId="48072C1D">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FB35F3D">
            <w:pPr>
              <w:pStyle w:val="52"/>
              <w:spacing w:line="500" w:lineRule="exact"/>
              <w:rPr>
                <w:rFonts w:ascii="宋体" w:hAnsi="宋体" w:cs="宋体"/>
                <w:color w:val="auto"/>
                <w:szCs w:val="21"/>
              </w:rPr>
            </w:pPr>
            <w:r>
              <w:rPr>
                <w:rFonts w:hint="eastAsia" w:ascii="宋体" w:hAnsi="宋体" w:cs="宋体"/>
                <w:color w:val="auto"/>
                <w:szCs w:val="21"/>
              </w:rPr>
              <w:t>33</w:t>
            </w:r>
          </w:p>
        </w:tc>
        <w:tc>
          <w:tcPr>
            <w:tcW w:w="967" w:type="dxa"/>
            <w:tcBorders>
              <w:top w:val="nil"/>
              <w:left w:val="nil"/>
              <w:bottom w:val="single" w:color="auto" w:sz="4" w:space="0"/>
              <w:right w:val="single" w:color="auto" w:sz="4" w:space="0"/>
            </w:tcBorders>
            <w:shd w:val="clear" w:color="auto" w:fill="auto"/>
            <w:vAlign w:val="center"/>
          </w:tcPr>
          <w:p w14:paraId="060B98AD">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52ED3FF3">
            <w:pPr>
              <w:pStyle w:val="52"/>
              <w:spacing w:line="500" w:lineRule="exact"/>
              <w:rPr>
                <w:rFonts w:ascii="宋体" w:hAnsi="宋体" w:cs="宋体"/>
                <w:color w:val="auto"/>
                <w:szCs w:val="21"/>
              </w:rPr>
            </w:pPr>
            <w:r>
              <w:rPr>
                <w:rFonts w:hint="eastAsia" w:ascii="宋体" w:hAnsi="宋体" w:cs="宋体"/>
                <w:color w:val="auto"/>
                <w:szCs w:val="21"/>
              </w:rPr>
              <w:t>浮渣清除器</w:t>
            </w:r>
          </w:p>
        </w:tc>
        <w:tc>
          <w:tcPr>
            <w:tcW w:w="2597" w:type="dxa"/>
            <w:tcBorders>
              <w:top w:val="nil"/>
              <w:left w:val="nil"/>
              <w:bottom w:val="single" w:color="auto" w:sz="4" w:space="0"/>
              <w:right w:val="single" w:color="auto" w:sz="4" w:space="0"/>
            </w:tcBorders>
            <w:shd w:val="clear" w:color="auto" w:fill="auto"/>
            <w:vAlign w:val="center"/>
          </w:tcPr>
          <w:p w14:paraId="71BA7EB2">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06AA43AF">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22D7AACB">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34B6AAE8">
            <w:pPr>
              <w:pStyle w:val="52"/>
              <w:spacing w:line="500" w:lineRule="exact"/>
              <w:rPr>
                <w:rFonts w:ascii="宋体" w:hAnsi="宋体" w:cs="宋体"/>
                <w:color w:val="auto"/>
                <w:szCs w:val="21"/>
              </w:rPr>
            </w:pPr>
            <w:r>
              <w:rPr>
                <w:rFonts w:hint="eastAsia" w:ascii="宋体" w:hAnsi="宋体" w:cs="宋体"/>
                <w:color w:val="auto"/>
                <w:szCs w:val="21"/>
              </w:rPr>
              <w:t>16</w:t>
            </w:r>
          </w:p>
        </w:tc>
        <w:tc>
          <w:tcPr>
            <w:tcW w:w="780" w:type="dxa"/>
            <w:tcBorders>
              <w:top w:val="nil"/>
              <w:left w:val="nil"/>
              <w:bottom w:val="single" w:color="auto" w:sz="4" w:space="0"/>
              <w:right w:val="single" w:color="auto" w:sz="4" w:space="0"/>
            </w:tcBorders>
            <w:shd w:val="clear" w:color="auto" w:fill="auto"/>
            <w:vAlign w:val="center"/>
          </w:tcPr>
          <w:p w14:paraId="5C2A12A0">
            <w:pPr>
              <w:pStyle w:val="52"/>
              <w:spacing w:line="500" w:lineRule="exact"/>
              <w:rPr>
                <w:rFonts w:ascii="宋体" w:hAnsi="宋体" w:cs="宋体"/>
                <w:color w:val="auto"/>
                <w:szCs w:val="21"/>
              </w:rPr>
            </w:pPr>
            <w:r>
              <w:rPr>
                <w:rFonts w:hint="eastAsia" w:ascii="宋体" w:hAnsi="宋体" w:cs="宋体"/>
                <w:color w:val="auto"/>
                <w:szCs w:val="21"/>
              </w:rPr>
              <w:t>32</w:t>
            </w:r>
          </w:p>
        </w:tc>
        <w:tc>
          <w:tcPr>
            <w:tcW w:w="1950" w:type="dxa"/>
            <w:tcBorders>
              <w:top w:val="nil"/>
              <w:left w:val="nil"/>
              <w:bottom w:val="single" w:color="auto" w:sz="4" w:space="0"/>
              <w:right w:val="single" w:color="auto" w:sz="4" w:space="0"/>
            </w:tcBorders>
            <w:shd w:val="clear" w:color="auto" w:fill="auto"/>
            <w:vAlign w:val="center"/>
          </w:tcPr>
          <w:p w14:paraId="4FEC2500">
            <w:pPr>
              <w:pStyle w:val="52"/>
              <w:spacing w:line="500" w:lineRule="exact"/>
              <w:rPr>
                <w:rFonts w:ascii="宋体" w:hAnsi="宋体" w:cs="宋体"/>
                <w:color w:val="auto"/>
                <w:szCs w:val="21"/>
              </w:rPr>
            </w:pPr>
            <w:r>
              <w:rPr>
                <w:rFonts w:hint="eastAsia" w:ascii="宋体" w:hAnsi="宋体" w:cs="宋体"/>
                <w:color w:val="auto"/>
                <w:szCs w:val="21"/>
              </w:rPr>
              <w:t>　</w:t>
            </w:r>
          </w:p>
        </w:tc>
      </w:tr>
      <w:tr w14:paraId="2C64FABC">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5668F8B">
            <w:pPr>
              <w:pStyle w:val="52"/>
              <w:spacing w:line="500" w:lineRule="exact"/>
              <w:rPr>
                <w:rFonts w:ascii="宋体" w:hAnsi="宋体" w:cs="宋体"/>
                <w:color w:val="auto"/>
                <w:szCs w:val="21"/>
              </w:rPr>
            </w:pPr>
            <w:r>
              <w:rPr>
                <w:rFonts w:hint="eastAsia" w:ascii="宋体" w:hAnsi="宋体" w:cs="宋体"/>
                <w:color w:val="auto"/>
                <w:szCs w:val="21"/>
              </w:rPr>
              <w:t>34</w:t>
            </w:r>
          </w:p>
        </w:tc>
        <w:tc>
          <w:tcPr>
            <w:tcW w:w="967" w:type="dxa"/>
            <w:tcBorders>
              <w:top w:val="nil"/>
              <w:left w:val="nil"/>
              <w:bottom w:val="single" w:color="auto" w:sz="4" w:space="0"/>
              <w:right w:val="single" w:color="auto" w:sz="4" w:space="0"/>
            </w:tcBorders>
            <w:shd w:val="clear" w:color="auto" w:fill="auto"/>
            <w:vAlign w:val="center"/>
          </w:tcPr>
          <w:p w14:paraId="39C03D25">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D5E1084">
            <w:pPr>
              <w:pStyle w:val="52"/>
              <w:spacing w:line="500" w:lineRule="exact"/>
              <w:rPr>
                <w:rFonts w:ascii="宋体" w:hAnsi="宋体" w:cs="宋体"/>
                <w:color w:val="auto"/>
                <w:szCs w:val="21"/>
              </w:rPr>
            </w:pPr>
            <w:r>
              <w:rPr>
                <w:rFonts w:hint="eastAsia" w:ascii="宋体" w:hAnsi="宋体" w:cs="宋体"/>
                <w:color w:val="auto"/>
                <w:szCs w:val="21"/>
              </w:rPr>
              <w:t>金属软管</w:t>
            </w:r>
          </w:p>
        </w:tc>
        <w:tc>
          <w:tcPr>
            <w:tcW w:w="2597" w:type="dxa"/>
            <w:tcBorders>
              <w:top w:val="nil"/>
              <w:left w:val="nil"/>
              <w:bottom w:val="single" w:color="auto" w:sz="4" w:space="0"/>
              <w:right w:val="single" w:color="auto" w:sz="4" w:space="0"/>
            </w:tcBorders>
            <w:shd w:val="clear" w:color="auto" w:fill="auto"/>
            <w:vAlign w:val="center"/>
          </w:tcPr>
          <w:p w14:paraId="5D2D265A">
            <w:pPr>
              <w:pStyle w:val="52"/>
              <w:spacing w:line="500" w:lineRule="exact"/>
              <w:rPr>
                <w:rFonts w:ascii="宋体" w:hAnsi="宋体" w:cs="宋体"/>
                <w:color w:val="auto"/>
                <w:szCs w:val="21"/>
              </w:rPr>
            </w:pPr>
            <w:r>
              <w:rPr>
                <w:rFonts w:hint="eastAsia" w:ascii="宋体" w:hAnsi="宋体" w:cs="宋体"/>
                <w:color w:val="auto"/>
                <w:szCs w:val="21"/>
              </w:rPr>
              <w:t>De32</w:t>
            </w:r>
          </w:p>
        </w:tc>
        <w:tc>
          <w:tcPr>
            <w:tcW w:w="672" w:type="dxa"/>
            <w:tcBorders>
              <w:top w:val="nil"/>
              <w:left w:val="nil"/>
              <w:bottom w:val="single" w:color="auto" w:sz="4" w:space="0"/>
              <w:right w:val="single" w:color="auto" w:sz="4" w:space="0"/>
            </w:tcBorders>
            <w:shd w:val="clear" w:color="auto" w:fill="auto"/>
            <w:vAlign w:val="center"/>
          </w:tcPr>
          <w:p w14:paraId="4070F4F7">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5FCE28CE">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34AEBEB8">
            <w:pPr>
              <w:pStyle w:val="52"/>
              <w:spacing w:line="500" w:lineRule="exact"/>
              <w:rPr>
                <w:rFonts w:ascii="宋体" w:hAnsi="宋体" w:cs="宋体"/>
                <w:color w:val="auto"/>
                <w:szCs w:val="21"/>
              </w:rPr>
            </w:pPr>
            <w:r>
              <w:rPr>
                <w:rFonts w:hint="eastAsia" w:ascii="宋体" w:hAnsi="宋体" w:cs="宋体"/>
                <w:color w:val="auto"/>
                <w:szCs w:val="21"/>
              </w:rPr>
              <w:t>16</w:t>
            </w:r>
          </w:p>
        </w:tc>
        <w:tc>
          <w:tcPr>
            <w:tcW w:w="780" w:type="dxa"/>
            <w:tcBorders>
              <w:top w:val="nil"/>
              <w:left w:val="nil"/>
              <w:bottom w:val="single" w:color="auto" w:sz="4" w:space="0"/>
              <w:right w:val="single" w:color="auto" w:sz="4" w:space="0"/>
            </w:tcBorders>
            <w:shd w:val="clear" w:color="auto" w:fill="auto"/>
            <w:vAlign w:val="center"/>
          </w:tcPr>
          <w:p w14:paraId="486B5633">
            <w:pPr>
              <w:pStyle w:val="52"/>
              <w:spacing w:line="500" w:lineRule="exact"/>
              <w:rPr>
                <w:rFonts w:ascii="宋体" w:hAnsi="宋体" w:cs="宋体"/>
                <w:color w:val="auto"/>
                <w:szCs w:val="21"/>
              </w:rPr>
            </w:pPr>
            <w:r>
              <w:rPr>
                <w:rFonts w:hint="eastAsia" w:ascii="宋体" w:hAnsi="宋体" w:cs="宋体"/>
                <w:color w:val="auto"/>
                <w:szCs w:val="21"/>
              </w:rPr>
              <w:t>32</w:t>
            </w:r>
          </w:p>
        </w:tc>
        <w:tc>
          <w:tcPr>
            <w:tcW w:w="1950" w:type="dxa"/>
            <w:tcBorders>
              <w:top w:val="nil"/>
              <w:left w:val="nil"/>
              <w:bottom w:val="single" w:color="auto" w:sz="4" w:space="0"/>
              <w:right w:val="single" w:color="auto" w:sz="4" w:space="0"/>
            </w:tcBorders>
            <w:shd w:val="clear" w:color="auto" w:fill="auto"/>
            <w:vAlign w:val="center"/>
          </w:tcPr>
          <w:p w14:paraId="4D52D340">
            <w:pPr>
              <w:pStyle w:val="52"/>
              <w:spacing w:line="500" w:lineRule="exact"/>
              <w:rPr>
                <w:rFonts w:ascii="宋体" w:hAnsi="宋体" w:cs="宋体"/>
                <w:color w:val="auto"/>
                <w:szCs w:val="21"/>
              </w:rPr>
            </w:pPr>
            <w:r>
              <w:rPr>
                <w:rFonts w:hint="eastAsia" w:ascii="宋体" w:hAnsi="宋体" w:cs="宋体"/>
                <w:color w:val="auto"/>
                <w:szCs w:val="21"/>
              </w:rPr>
              <w:t>　</w:t>
            </w:r>
          </w:p>
        </w:tc>
      </w:tr>
      <w:tr w14:paraId="2701F415">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01260C6">
            <w:pPr>
              <w:pStyle w:val="52"/>
              <w:spacing w:line="500" w:lineRule="exact"/>
              <w:rPr>
                <w:rFonts w:ascii="宋体" w:hAnsi="宋体" w:cs="宋体"/>
                <w:color w:val="auto"/>
                <w:szCs w:val="21"/>
              </w:rPr>
            </w:pPr>
            <w:r>
              <w:rPr>
                <w:rFonts w:hint="eastAsia" w:ascii="宋体" w:hAnsi="宋体" w:cs="宋体"/>
                <w:color w:val="auto"/>
                <w:szCs w:val="21"/>
              </w:rPr>
              <w:t>35</w:t>
            </w:r>
          </w:p>
        </w:tc>
        <w:tc>
          <w:tcPr>
            <w:tcW w:w="967" w:type="dxa"/>
            <w:tcBorders>
              <w:top w:val="nil"/>
              <w:left w:val="nil"/>
              <w:bottom w:val="single" w:color="auto" w:sz="4" w:space="0"/>
              <w:right w:val="single" w:color="auto" w:sz="4" w:space="0"/>
            </w:tcBorders>
            <w:shd w:val="clear" w:color="auto" w:fill="auto"/>
            <w:vAlign w:val="center"/>
          </w:tcPr>
          <w:p w14:paraId="0EA9F01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2971774">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103E5210">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4655064F">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1DF52EDB">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41500FFA">
            <w:pPr>
              <w:pStyle w:val="52"/>
              <w:spacing w:line="500" w:lineRule="exact"/>
              <w:rPr>
                <w:rFonts w:ascii="宋体" w:hAnsi="宋体" w:cs="宋体"/>
                <w:color w:val="auto"/>
                <w:szCs w:val="21"/>
              </w:rPr>
            </w:pPr>
            <w:r>
              <w:rPr>
                <w:rFonts w:hint="eastAsia" w:ascii="宋体" w:hAnsi="宋体" w:cs="宋体"/>
                <w:color w:val="auto"/>
                <w:szCs w:val="21"/>
              </w:rPr>
              <w:t>85</w:t>
            </w:r>
          </w:p>
        </w:tc>
        <w:tc>
          <w:tcPr>
            <w:tcW w:w="780" w:type="dxa"/>
            <w:tcBorders>
              <w:top w:val="nil"/>
              <w:left w:val="nil"/>
              <w:bottom w:val="single" w:color="auto" w:sz="4" w:space="0"/>
              <w:right w:val="single" w:color="auto" w:sz="4" w:space="0"/>
            </w:tcBorders>
            <w:shd w:val="clear" w:color="auto" w:fill="auto"/>
            <w:vAlign w:val="center"/>
          </w:tcPr>
          <w:p w14:paraId="6B21C27D">
            <w:pPr>
              <w:pStyle w:val="52"/>
              <w:spacing w:line="500" w:lineRule="exact"/>
              <w:rPr>
                <w:rFonts w:ascii="宋体" w:hAnsi="宋体" w:cs="宋体"/>
                <w:color w:val="auto"/>
                <w:szCs w:val="21"/>
              </w:rPr>
            </w:pPr>
            <w:r>
              <w:rPr>
                <w:rFonts w:hint="eastAsia" w:ascii="宋体" w:hAnsi="宋体" w:cs="宋体"/>
                <w:color w:val="auto"/>
                <w:szCs w:val="21"/>
              </w:rPr>
              <w:t>170</w:t>
            </w:r>
          </w:p>
        </w:tc>
        <w:tc>
          <w:tcPr>
            <w:tcW w:w="1950" w:type="dxa"/>
            <w:tcBorders>
              <w:top w:val="nil"/>
              <w:left w:val="nil"/>
              <w:bottom w:val="single" w:color="auto" w:sz="4" w:space="0"/>
              <w:right w:val="single" w:color="auto" w:sz="4" w:space="0"/>
            </w:tcBorders>
            <w:shd w:val="clear" w:color="auto" w:fill="auto"/>
            <w:vAlign w:val="center"/>
          </w:tcPr>
          <w:p w14:paraId="37E983FB">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16BD08D7">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55348A1">
            <w:pPr>
              <w:pStyle w:val="52"/>
              <w:spacing w:line="500" w:lineRule="exact"/>
              <w:rPr>
                <w:rFonts w:ascii="宋体" w:hAnsi="宋体" w:cs="宋体"/>
                <w:color w:val="auto"/>
                <w:szCs w:val="21"/>
              </w:rPr>
            </w:pPr>
            <w:r>
              <w:rPr>
                <w:rFonts w:hint="eastAsia" w:ascii="宋体" w:hAnsi="宋体" w:cs="宋体"/>
                <w:color w:val="auto"/>
                <w:szCs w:val="21"/>
              </w:rPr>
              <w:t>36</w:t>
            </w:r>
          </w:p>
        </w:tc>
        <w:tc>
          <w:tcPr>
            <w:tcW w:w="967" w:type="dxa"/>
            <w:tcBorders>
              <w:top w:val="nil"/>
              <w:left w:val="nil"/>
              <w:bottom w:val="single" w:color="auto" w:sz="4" w:space="0"/>
              <w:right w:val="single" w:color="auto" w:sz="4" w:space="0"/>
            </w:tcBorders>
            <w:shd w:val="clear" w:color="auto" w:fill="auto"/>
            <w:vAlign w:val="center"/>
          </w:tcPr>
          <w:p w14:paraId="298627B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175221B">
            <w:pPr>
              <w:pStyle w:val="52"/>
              <w:spacing w:line="500" w:lineRule="exact"/>
              <w:rPr>
                <w:rFonts w:ascii="宋体" w:hAnsi="宋体" w:cs="宋体"/>
                <w:color w:val="auto"/>
                <w:szCs w:val="21"/>
              </w:rPr>
            </w:pPr>
            <w:r>
              <w:rPr>
                <w:rFonts w:hint="eastAsia" w:ascii="宋体" w:hAnsi="宋体" w:cs="宋体"/>
                <w:color w:val="auto"/>
                <w:szCs w:val="21"/>
              </w:rPr>
              <w:t>排渣泵</w:t>
            </w:r>
          </w:p>
        </w:tc>
        <w:tc>
          <w:tcPr>
            <w:tcW w:w="2597" w:type="dxa"/>
            <w:tcBorders>
              <w:top w:val="nil"/>
              <w:left w:val="nil"/>
              <w:bottom w:val="single" w:color="auto" w:sz="4" w:space="0"/>
              <w:right w:val="single" w:color="auto" w:sz="4" w:space="0"/>
            </w:tcBorders>
            <w:shd w:val="clear" w:color="auto" w:fill="auto"/>
            <w:vAlign w:val="center"/>
          </w:tcPr>
          <w:p w14:paraId="2D7C39B9">
            <w:pPr>
              <w:pStyle w:val="52"/>
              <w:spacing w:line="500" w:lineRule="exact"/>
              <w:rPr>
                <w:rFonts w:ascii="宋体" w:hAnsi="宋体" w:cs="宋体"/>
                <w:color w:val="auto"/>
                <w:szCs w:val="21"/>
              </w:rPr>
            </w:pPr>
            <w:r>
              <w:rPr>
                <w:rFonts w:hint="eastAsia" w:ascii="宋体" w:hAnsi="宋体" w:cs="宋体"/>
                <w:color w:val="auto"/>
                <w:szCs w:val="21"/>
              </w:rPr>
              <w:t>2m3/min P=4Kw</w:t>
            </w:r>
          </w:p>
        </w:tc>
        <w:tc>
          <w:tcPr>
            <w:tcW w:w="672" w:type="dxa"/>
            <w:tcBorders>
              <w:top w:val="nil"/>
              <w:left w:val="nil"/>
              <w:bottom w:val="single" w:color="auto" w:sz="4" w:space="0"/>
              <w:right w:val="single" w:color="auto" w:sz="4" w:space="0"/>
            </w:tcBorders>
            <w:shd w:val="clear" w:color="auto" w:fill="auto"/>
            <w:vAlign w:val="center"/>
          </w:tcPr>
          <w:p w14:paraId="0CDAF69E">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061E4148">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600CD2D5">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4F86063C">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079BEB23">
            <w:pPr>
              <w:pStyle w:val="52"/>
              <w:spacing w:line="500" w:lineRule="exact"/>
              <w:rPr>
                <w:rFonts w:ascii="宋体" w:hAnsi="宋体" w:cs="宋体"/>
                <w:color w:val="auto"/>
                <w:szCs w:val="21"/>
              </w:rPr>
            </w:pPr>
            <w:r>
              <w:rPr>
                <w:rFonts w:hint="eastAsia" w:ascii="宋体" w:hAnsi="宋体" w:cs="宋体"/>
                <w:color w:val="auto"/>
                <w:szCs w:val="21"/>
              </w:rPr>
              <w:t>　</w:t>
            </w:r>
          </w:p>
        </w:tc>
      </w:tr>
      <w:tr w14:paraId="02D21C65">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3F737D38">
            <w:pPr>
              <w:pStyle w:val="52"/>
              <w:spacing w:line="500" w:lineRule="exact"/>
              <w:rPr>
                <w:rFonts w:ascii="宋体" w:hAnsi="宋体" w:cs="宋体"/>
                <w:color w:val="auto"/>
                <w:szCs w:val="21"/>
              </w:rPr>
            </w:pPr>
            <w:r>
              <w:rPr>
                <w:rFonts w:hint="eastAsia" w:ascii="宋体" w:hAnsi="宋体" w:cs="宋体"/>
                <w:color w:val="auto"/>
                <w:szCs w:val="21"/>
              </w:rPr>
              <w:t>37</w:t>
            </w:r>
          </w:p>
        </w:tc>
        <w:tc>
          <w:tcPr>
            <w:tcW w:w="967" w:type="dxa"/>
            <w:tcBorders>
              <w:top w:val="nil"/>
              <w:left w:val="nil"/>
              <w:bottom w:val="single" w:color="auto" w:sz="4" w:space="0"/>
              <w:right w:val="single" w:color="auto" w:sz="4" w:space="0"/>
            </w:tcBorders>
            <w:shd w:val="clear" w:color="auto" w:fill="auto"/>
            <w:vAlign w:val="center"/>
          </w:tcPr>
          <w:p w14:paraId="4C92239F">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70513073">
            <w:pPr>
              <w:pStyle w:val="52"/>
              <w:spacing w:line="500" w:lineRule="exact"/>
              <w:rPr>
                <w:rFonts w:ascii="宋体" w:hAnsi="宋体" w:cs="宋体"/>
                <w:color w:val="auto"/>
                <w:szCs w:val="21"/>
              </w:rPr>
            </w:pPr>
            <w:r>
              <w:rPr>
                <w:rFonts w:hint="eastAsia" w:ascii="宋体" w:hAnsi="宋体" w:cs="宋体"/>
                <w:color w:val="auto"/>
                <w:szCs w:val="21"/>
              </w:rPr>
              <w:t>聚渣槽</w:t>
            </w:r>
          </w:p>
        </w:tc>
        <w:tc>
          <w:tcPr>
            <w:tcW w:w="2597" w:type="dxa"/>
            <w:tcBorders>
              <w:top w:val="nil"/>
              <w:left w:val="nil"/>
              <w:bottom w:val="single" w:color="auto" w:sz="4" w:space="0"/>
              <w:right w:val="single" w:color="auto" w:sz="4" w:space="0"/>
            </w:tcBorders>
            <w:shd w:val="clear" w:color="auto" w:fill="auto"/>
            <w:vAlign w:val="center"/>
          </w:tcPr>
          <w:p w14:paraId="0A5F267B">
            <w:pPr>
              <w:pStyle w:val="52"/>
              <w:spacing w:line="500" w:lineRule="exact"/>
              <w:rPr>
                <w:rFonts w:ascii="宋体" w:hAnsi="宋体" w:cs="宋体"/>
                <w:color w:val="auto"/>
                <w:szCs w:val="21"/>
              </w:rPr>
            </w:pPr>
            <w:r>
              <w:rPr>
                <w:rFonts w:hint="eastAsia" w:ascii="宋体" w:hAnsi="宋体" w:cs="宋体"/>
                <w:color w:val="auto"/>
                <w:szCs w:val="21"/>
              </w:rPr>
              <w:t>2m3</w:t>
            </w:r>
          </w:p>
        </w:tc>
        <w:tc>
          <w:tcPr>
            <w:tcW w:w="672" w:type="dxa"/>
            <w:tcBorders>
              <w:top w:val="nil"/>
              <w:left w:val="nil"/>
              <w:bottom w:val="single" w:color="auto" w:sz="4" w:space="0"/>
              <w:right w:val="single" w:color="auto" w:sz="4" w:space="0"/>
            </w:tcBorders>
            <w:shd w:val="clear" w:color="auto" w:fill="auto"/>
            <w:vAlign w:val="center"/>
          </w:tcPr>
          <w:p w14:paraId="50350518">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6CD7F761">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6F6F951A">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2B680872">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67365F08">
            <w:pPr>
              <w:pStyle w:val="52"/>
              <w:spacing w:line="500" w:lineRule="exact"/>
              <w:rPr>
                <w:rFonts w:ascii="宋体" w:hAnsi="宋体" w:cs="宋体"/>
                <w:color w:val="auto"/>
                <w:szCs w:val="21"/>
              </w:rPr>
            </w:pPr>
            <w:r>
              <w:rPr>
                <w:rFonts w:hint="eastAsia" w:ascii="宋体" w:hAnsi="宋体" w:cs="宋体"/>
                <w:color w:val="auto"/>
                <w:szCs w:val="21"/>
              </w:rPr>
              <w:t>　</w:t>
            </w:r>
          </w:p>
        </w:tc>
      </w:tr>
      <w:tr w14:paraId="4BAC5E31">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8ED06C1">
            <w:pPr>
              <w:pStyle w:val="52"/>
              <w:spacing w:line="500" w:lineRule="exact"/>
              <w:rPr>
                <w:rFonts w:ascii="宋体" w:hAnsi="宋体" w:cs="宋体"/>
                <w:color w:val="auto"/>
                <w:szCs w:val="21"/>
              </w:rPr>
            </w:pPr>
            <w:r>
              <w:rPr>
                <w:rFonts w:hint="eastAsia" w:ascii="宋体" w:hAnsi="宋体" w:cs="宋体"/>
                <w:color w:val="auto"/>
                <w:szCs w:val="21"/>
              </w:rPr>
              <w:t>38</w:t>
            </w:r>
          </w:p>
        </w:tc>
        <w:tc>
          <w:tcPr>
            <w:tcW w:w="967" w:type="dxa"/>
            <w:tcBorders>
              <w:top w:val="nil"/>
              <w:left w:val="nil"/>
              <w:bottom w:val="single" w:color="auto" w:sz="4" w:space="0"/>
              <w:right w:val="single" w:color="auto" w:sz="4" w:space="0"/>
            </w:tcBorders>
            <w:shd w:val="clear" w:color="auto" w:fill="auto"/>
            <w:vAlign w:val="center"/>
          </w:tcPr>
          <w:p w14:paraId="118F9DD1">
            <w:pPr>
              <w:pStyle w:val="52"/>
              <w:spacing w:line="500" w:lineRule="exact"/>
              <w:rPr>
                <w:rFonts w:ascii="宋体" w:hAnsi="宋体" w:cs="宋体"/>
                <w:color w:val="auto"/>
                <w:szCs w:val="21"/>
              </w:rPr>
            </w:pPr>
          </w:p>
        </w:tc>
        <w:tc>
          <w:tcPr>
            <w:tcW w:w="886" w:type="dxa"/>
            <w:tcBorders>
              <w:top w:val="nil"/>
              <w:left w:val="nil"/>
              <w:bottom w:val="single" w:color="auto" w:sz="4" w:space="0"/>
              <w:right w:val="single" w:color="auto" w:sz="4" w:space="0"/>
            </w:tcBorders>
            <w:shd w:val="clear" w:color="auto" w:fill="auto"/>
            <w:vAlign w:val="center"/>
          </w:tcPr>
          <w:p w14:paraId="55480EC2">
            <w:pPr>
              <w:widowControl/>
              <w:spacing w:line="500" w:lineRule="exact"/>
              <w:jc w:val="center"/>
              <w:rPr>
                <w:rFonts w:ascii="宋体" w:hAnsi="宋体" w:cs="宋体"/>
                <w:color w:val="auto"/>
                <w:kern w:val="0"/>
                <w:szCs w:val="21"/>
              </w:rPr>
            </w:pPr>
            <w:r>
              <w:rPr>
                <w:rFonts w:hint="eastAsia" w:ascii="宋体" w:hAnsi="宋体" w:cs="宋体"/>
                <w:color w:val="auto"/>
                <w:szCs w:val="21"/>
              </w:rPr>
              <w:t>8x4x3m不锈钢围栏加雨棚</w:t>
            </w:r>
          </w:p>
        </w:tc>
        <w:tc>
          <w:tcPr>
            <w:tcW w:w="2597" w:type="dxa"/>
            <w:tcBorders>
              <w:top w:val="nil"/>
              <w:left w:val="nil"/>
              <w:bottom w:val="single" w:color="auto" w:sz="4" w:space="0"/>
              <w:right w:val="single" w:color="auto" w:sz="4" w:space="0"/>
            </w:tcBorders>
            <w:shd w:val="clear" w:color="auto" w:fill="auto"/>
            <w:vAlign w:val="center"/>
          </w:tcPr>
          <w:p w14:paraId="1CA761BB">
            <w:pPr>
              <w:pStyle w:val="52"/>
              <w:spacing w:line="500" w:lineRule="exact"/>
              <w:rPr>
                <w:rFonts w:ascii="宋体" w:hAnsi="宋体" w:cs="宋体"/>
                <w:color w:val="auto"/>
                <w:szCs w:val="21"/>
              </w:rPr>
            </w:pPr>
          </w:p>
        </w:tc>
        <w:tc>
          <w:tcPr>
            <w:tcW w:w="672" w:type="dxa"/>
            <w:tcBorders>
              <w:top w:val="nil"/>
              <w:left w:val="nil"/>
              <w:bottom w:val="single" w:color="auto" w:sz="4" w:space="0"/>
              <w:right w:val="single" w:color="auto" w:sz="4" w:space="0"/>
            </w:tcBorders>
            <w:shd w:val="clear" w:color="auto" w:fill="auto"/>
            <w:vAlign w:val="center"/>
          </w:tcPr>
          <w:p w14:paraId="6B9508D5">
            <w:pPr>
              <w:pStyle w:val="52"/>
              <w:spacing w:line="500" w:lineRule="exact"/>
              <w:rPr>
                <w:rFonts w:ascii="宋体" w:hAnsi="宋体" w:cs="宋体"/>
                <w:color w:val="auto"/>
                <w:szCs w:val="21"/>
              </w:rPr>
            </w:pPr>
            <w:r>
              <w:rPr>
                <w:rFonts w:hint="eastAsia" w:ascii="宋体" w:hAnsi="宋体" w:cs="宋体"/>
                <w:color w:val="auto"/>
                <w:szCs w:val="21"/>
              </w:rPr>
              <w:t>304不锈钢</w:t>
            </w:r>
          </w:p>
        </w:tc>
        <w:tc>
          <w:tcPr>
            <w:tcW w:w="579" w:type="dxa"/>
            <w:tcBorders>
              <w:top w:val="nil"/>
              <w:left w:val="nil"/>
              <w:bottom w:val="single" w:color="auto" w:sz="4" w:space="0"/>
              <w:right w:val="single" w:color="auto" w:sz="4" w:space="0"/>
            </w:tcBorders>
            <w:shd w:val="clear" w:color="auto" w:fill="auto"/>
            <w:vAlign w:val="center"/>
          </w:tcPr>
          <w:p w14:paraId="485DA28A">
            <w:pPr>
              <w:pStyle w:val="52"/>
              <w:spacing w:line="500" w:lineRule="exact"/>
              <w:rPr>
                <w:rFonts w:ascii="宋体" w:hAnsi="宋体" w:cs="宋体"/>
                <w:color w:val="auto"/>
                <w:szCs w:val="21"/>
              </w:rPr>
            </w:pPr>
            <w:r>
              <w:rPr>
                <w:rFonts w:hint="eastAsia" w:ascii="宋体" w:hAnsi="宋体" w:cs="宋体"/>
                <w:color w:val="auto"/>
                <w:szCs w:val="21"/>
              </w:rPr>
              <w:t>套</w:t>
            </w:r>
          </w:p>
        </w:tc>
        <w:tc>
          <w:tcPr>
            <w:tcW w:w="915" w:type="dxa"/>
            <w:tcBorders>
              <w:top w:val="nil"/>
              <w:left w:val="nil"/>
              <w:bottom w:val="single" w:color="auto" w:sz="4" w:space="0"/>
              <w:right w:val="single" w:color="auto" w:sz="4" w:space="0"/>
            </w:tcBorders>
            <w:shd w:val="clear" w:color="auto" w:fill="auto"/>
            <w:vAlign w:val="center"/>
          </w:tcPr>
          <w:p w14:paraId="2C2D4579">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03BB3C85">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68AE52B6">
            <w:pPr>
              <w:pStyle w:val="52"/>
              <w:spacing w:line="500" w:lineRule="exact"/>
              <w:rPr>
                <w:rFonts w:ascii="宋体" w:hAnsi="宋体" w:cs="宋体"/>
                <w:color w:val="auto"/>
                <w:szCs w:val="21"/>
              </w:rPr>
            </w:pPr>
          </w:p>
        </w:tc>
      </w:tr>
      <w:tr w14:paraId="2C6A2144">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70F23EF">
            <w:pPr>
              <w:pStyle w:val="52"/>
              <w:spacing w:line="500" w:lineRule="exact"/>
              <w:rPr>
                <w:rFonts w:ascii="宋体" w:hAnsi="宋体" w:cs="宋体"/>
                <w:color w:val="auto"/>
                <w:szCs w:val="21"/>
              </w:rPr>
            </w:pPr>
            <w:r>
              <w:rPr>
                <w:rFonts w:hint="eastAsia" w:ascii="宋体" w:hAnsi="宋体" w:cs="宋体"/>
                <w:color w:val="auto"/>
                <w:szCs w:val="21"/>
              </w:rPr>
              <w:t>第三水厂</w:t>
            </w:r>
          </w:p>
        </w:tc>
        <w:tc>
          <w:tcPr>
            <w:tcW w:w="967" w:type="dxa"/>
            <w:tcBorders>
              <w:top w:val="nil"/>
              <w:left w:val="nil"/>
              <w:bottom w:val="single" w:color="auto" w:sz="4" w:space="0"/>
              <w:right w:val="single" w:color="auto" w:sz="4" w:space="0"/>
            </w:tcBorders>
            <w:shd w:val="clear" w:color="auto" w:fill="auto"/>
            <w:vAlign w:val="center"/>
          </w:tcPr>
          <w:p w14:paraId="6B8ADE6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DDB2F4E">
            <w:pPr>
              <w:pStyle w:val="52"/>
              <w:spacing w:line="500" w:lineRule="exact"/>
              <w:rPr>
                <w:rFonts w:ascii="宋体" w:hAnsi="宋体" w:cs="宋体"/>
                <w:color w:val="auto"/>
                <w:szCs w:val="21"/>
              </w:rPr>
            </w:pPr>
            <w:r>
              <w:rPr>
                <w:rFonts w:hint="eastAsia" w:ascii="宋体" w:hAnsi="宋体" w:cs="宋体"/>
                <w:color w:val="auto"/>
                <w:szCs w:val="21"/>
              </w:rPr>
              <w:t>　</w:t>
            </w:r>
          </w:p>
        </w:tc>
        <w:tc>
          <w:tcPr>
            <w:tcW w:w="2597" w:type="dxa"/>
            <w:tcBorders>
              <w:top w:val="nil"/>
              <w:left w:val="nil"/>
              <w:bottom w:val="single" w:color="auto" w:sz="4" w:space="0"/>
              <w:right w:val="single" w:color="auto" w:sz="4" w:space="0"/>
            </w:tcBorders>
            <w:shd w:val="clear" w:color="auto" w:fill="auto"/>
            <w:vAlign w:val="center"/>
          </w:tcPr>
          <w:p w14:paraId="22968002">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1E5914CD">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7164B022">
            <w:pPr>
              <w:pStyle w:val="52"/>
              <w:spacing w:line="500" w:lineRule="exact"/>
              <w:rPr>
                <w:rFonts w:ascii="宋体" w:hAnsi="宋体" w:cs="宋体"/>
                <w:color w:val="auto"/>
                <w:szCs w:val="21"/>
              </w:rPr>
            </w:pPr>
            <w:r>
              <w:rPr>
                <w:rFonts w:hint="eastAsia" w:ascii="宋体" w:hAnsi="宋体" w:cs="宋体"/>
                <w:color w:val="auto"/>
                <w:szCs w:val="21"/>
              </w:rPr>
              <w:t>　</w:t>
            </w:r>
          </w:p>
        </w:tc>
        <w:tc>
          <w:tcPr>
            <w:tcW w:w="915" w:type="dxa"/>
            <w:tcBorders>
              <w:top w:val="nil"/>
              <w:left w:val="nil"/>
              <w:bottom w:val="single" w:color="auto" w:sz="4" w:space="0"/>
              <w:right w:val="single" w:color="auto" w:sz="4" w:space="0"/>
            </w:tcBorders>
            <w:shd w:val="clear" w:color="auto" w:fill="auto"/>
            <w:vAlign w:val="center"/>
          </w:tcPr>
          <w:p w14:paraId="5EA43F77">
            <w:pPr>
              <w:pStyle w:val="52"/>
              <w:spacing w:line="500" w:lineRule="exact"/>
              <w:rPr>
                <w:rFonts w:ascii="宋体" w:hAnsi="宋体" w:cs="宋体"/>
                <w:color w:val="auto"/>
                <w:szCs w:val="21"/>
              </w:rPr>
            </w:pPr>
            <w:r>
              <w:rPr>
                <w:rFonts w:hint="eastAsia" w:ascii="宋体" w:hAnsi="宋体" w:cs="宋体"/>
                <w:color w:val="auto"/>
                <w:szCs w:val="21"/>
              </w:rPr>
              <w:t>　</w:t>
            </w:r>
          </w:p>
        </w:tc>
        <w:tc>
          <w:tcPr>
            <w:tcW w:w="780" w:type="dxa"/>
            <w:tcBorders>
              <w:top w:val="nil"/>
              <w:left w:val="nil"/>
              <w:bottom w:val="single" w:color="auto" w:sz="4" w:space="0"/>
              <w:right w:val="single" w:color="auto" w:sz="4" w:space="0"/>
            </w:tcBorders>
            <w:shd w:val="clear" w:color="auto" w:fill="auto"/>
            <w:vAlign w:val="center"/>
          </w:tcPr>
          <w:p w14:paraId="445957B5">
            <w:pPr>
              <w:pStyle w:val="52"/>
              <w:spacing w:line="500" w:lineRule="exact"/>
              <w:rPr>
                <w:rFonts w:ascii="宋体" w:hAnsi="宋体" w:cs="宋体"/>
                <w:color w:val="auto"/>
                <w:szCs w:val="21"/>
              </w:rPr>
            </w:pPr>
            <w:r>
              <w:rPr>
                <w:rFonts w:hint="eastAsia" w:ascii="宋体" w:hAnsi="宋体" w:cs="宋体"/>
                <w:color w:val="auto"/>
                <w:szCs w:val="21"/>
              </w:rPr>
              <w:t>　</w:t>
            </w:r>
          </w:p>
        </w:tc>
        <w:tc>
          <w:tcPr>
            <w:tcW w:w="1950" w:type="dxa"/>
            <w:tcBorders>
              <w:top w:val="nil"/>
              <w:left w:val="nil"/>
              <w:bottom w:val="single" w:color="auto" w:sz="4" w:space="0"/>
              <w:right w:val="single" w:color="auto" w:sz="4" w:space="0"/>
            </w:tcBorders>
            <w:shd w:val="clear" w:color="auto" w:fill="auto"/>
            <w:vAlign w:val="center"/>
          </w:tcPr>
          <w:p w14:paraId="553193F9">
            <w:pPr>
              <w:pStyle w:val="52"/>
              <w:spacing w:line="500" w:lineRule="exact"/>
              <w:rPr>
                <w:rFonts w:ascii="宋体" w:hAnsi="宋体" w:cs="宋体"/>
                <w:color w:val="auto"/>
                <w:szCs w:val="21"/>
              </w:rPr>
            </w:pPr>
            <w:r>
              <w:rPr>
                <w:rFonts w:hint="eastAsia" w:ascii="宋体" w:hAnsi="宋体" w:cs="宋体"/>
                <w:color w:val="auto"/>
                <w:szCs w:val="21"/>
              </w:rPr>
              <w:t>　</w:t>
            </w:r>
          </w:p>
        </w:tc>
      </w:tr>
      <w:tr w14:paraId="046770DE">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7DF9C6C">
            <w:pPr>
              <w:pStyle w:val="52"/>
              <w:spacing w:line="500" w:lineRule="exact"/>
              <w:rPr>
                <w:rFonts w:ascii="宋体" w:hAnsi="宋体" w:cs="宋体"/>
                <w:color w:val="auto"/>
                <w:szCs w:val="21"/>
              </w:rPr>
            </w:pPr>
            <w:r>
              <w:rPr>
                <w:rFonts w:hint="eastAsia" w:ascii="宋体" w:hAnsi="宋体" w:cs="宋体"/>
                <w:color w:val="auto"/>
                <w:szCs w:val="21"/>
              </w:rPr>
              <w:t>1</w:t>
            </w:r>
          </w:p>
        </w:tc>
        <w:tc>
          <w:tcPr>
            <w:tcW w:w="967" w:type="dxa"/>
            <w:tcBorders>
              <w:top w:val="nil"/>
              <w:left w:val="nil"/>
              <w:bottom w:val="single" w:color="auto" w:sz="4" w:space="0"/>
              <w:right w:val="single" w:color="auto" w:sz="4" w:space="0"/>
            </w:tcBorders>
            <w:shd w:val="clear" w:color="auto" w:fill="auto"/>
            <w:vAlign w:val="center"/>
          </w:tcPr>
          <w:p w14:paraId="4F1CF82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649BE02">
            <w:pPr>
              <w:pStyle w:val="52"/>
              <w:spacing w:line="500" w:lineRule="exact"/>
              <w:rPr>
                <w:rFonts w:ascii="宋体" w:hAnsi="宋体" w:cs="宋体"/>
                <w:color w:val="auto"/>
                <w:szCs w:val="21"/>
              </w:rPr>
            </w:pPr>
            <w:r>
              <w:rPr>
                <w:rFonts w:hint="eastAsia" w:ascii="宋体" w:hAnsi="宋体" w:cs="宋体"/>
                <w:color w:val="auto"/>
                <w:szCs w:val="21"/>
              </w:rPr>
              <w:t>不停水开口</w:t>
            </w:r>
          </w:p>
        </w:tc>
        <w:tc>
          <w:tcPr>
            <w:tcW w:w="2597" w:type="dxa"/>
            <w:tcBorders>
              <w:top w:val="nil"/>
              <w:left w:val="nil"/>
              <w:bottom w:val="single" w:color="auto" w:sz="4" w:space="0"/>
              <w:right w:val="single" w:color="auto" w:sz="4" w:space="0"/>
            </w:tcBorders>
            <w:shd w:val="clear" w:color="auto" w:fill="auto"/>
            <w:vAlign w:val="center"/>
          </w:tcPr>
          <w:p w14:paraId="2E85DD9D">
            <w:pPr>
              <w:pStyle w:val="52"/>
              <w:spacing w:line="500" w:lineRule="exact"/>
              <w:rPr>
                <w:rFonts w:ascii="宋体" w:hAnsi="宋体" w:cs="宋体"/>
                <w:color w:val="auto"/>
                <w:szCs w:val="21"/>
              </w:rPr>
            </w:pPr>
            <w:r>
              <w:rPr>
                <w:rFonts w:hint="eastAsia" w:ascii="宋体" w:hAnsi="宋体" w:cs="宋体"/>
                <w:color w:val="auto"/>
                <w:szCs w:val="21"/>
              </w:rPr>
              <w:t>DN900xDN300</w:t>
            </w:r>
          </w:p>
        </w:tc>
        <w:tc>
          <w:tcPr>
            <w:tcW w:w="672" w:type="dxa"/>
            <w:tcBorders>
              <w:top w:val="nil"/>
              <w:left w:val="nil"/>
              <w:bottom w:val="single" w:color="auto" w:sz="4" w:space="0"/>
              <w:right w:val="single" w:color="auto" w:sz="4" w:space="0"/>
            </w:tcBorders>
            <w:shd w:val="clear" w:color="auto" w:fill="auto"/>
            <w:vAlign w:val="center"/>
          </w:tcPr>
          <w:p w14:paraId="74F74E3B">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31D1588F">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1C69FFF3">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269126ED">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3DC937EE">
            <w:pPr>
              <w:pStyle w:val="52"/>
              <w:spacing w:line="500" w:lineRule="exact"/>
              <w:rPr>
                <w:rFonts w:ascii="宋体" w:hAnsi="宋体" w:cs="宋体"/>
                <w:color w:val="auto"/>
                <w:szCs w:val="21"/>
              </w:rPr>
            </w:pPr>
            <w:r>
              <w:rPr>
                <w:rFonts w:hint="eastAsia" w:ascii="宋体" w:hAnsi="宋体" w:cs="宋体"/>
                <w:color w:val="auto"/>
                <w:szCs w:val="21"/>
              </w:rPr>
              <w:t>　</w:t>
            </w:r>
          </w:p>
        </w:tc>
      </w:tr>
      <w:tr w14:paraId="1A130C86">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CC2CDD8">
            <w:pPr>
              <w:pStyle w:val="52"/>
              <w:spacing w:line="500" w:lineRule="exact"/>
              <w:rPr>
                <w:rFonts w:ascii="宋体" w:hAnsi="宋体" w:cs="宋体"/>
                <w:color w:val="auto"/>
                <w:szCs w:val="21"/>
              </w:rPr>
            </w:pPr>
            <w:r>
              <w:rPr>
                <w:rFonts w:hint="eastAsia" w:ascii="宋体" w:hAnsi="宋体" w:cs="宋体"/>
                <w:color w:val="auto"/>
                <w:szCs w:val="21"/>
              </w:rPr>
              <w:t>2</w:t>
            </w:r>
          </w:p>
        </w:tc>
        <w:tc>
          <w:tcPr>
            <w:tcW w:w="967" w:type="dxa"/>
            <w:tcBorders>
              <w:top w:val="nil"/>
              <w:left w:val="nil"/>
              <w:bottom w:val="single" w:color="auto" w:sz="4" w:space="0"/>
              <w:right w:val="single" w:color="auto" w:sz="4" w:space="0"/>
            </w:tcBorders>
            <w:shd w:val="clear" w:color="auto" w:fill="auto"/>
            <w:vAlign w:val="center"/>
          </w:tcPr>
          <w:p w14:paraId="47EAD2F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2E90A86">
            <w:pPr>
              <w:pStyle w:val="52"/>
              <w:spacing w:line="500" w:lineRule="exact"/>
              <w:rPr>
                <w:rFonts w:ascii="宋体" w:hAnsi="宋体" w:cs="宋体"/>
                <w:color w:val="auto"/>
                <w:szCs w:val="21"/>
              </w:rPr>
            </w:pPr>
            <w:r>
              <w:rPr>
                <w:rFonts w:hint="eastAsia" w:ascii="宋体" w:hAnsi="宋体" w:cs="宋体"/>
                <w:color w:val="auto"/>
                <w:szCs w:val="21"/>
              </w:rPr>
              <w:t>焊接钢管</w:t>
            </w:r>
          </w:p>
        </w:tc>
        <w:tc>
          <w:tcPr>
            <w:tcW w:w="2597" w:type="dxa"/>
            <w:tcBorders>
              <w:top w:val="nil"/>
              <w:left w:val="nil"/>
              <w:bottom w:val="single" w:color="auto" w:sz="4" w:space="0"/>
              <w:right w:val="single" w:color="auto" w:sz="4" w:space="0"/>
            </w:tcBorders>
            <w:shd w:val="clear" w:color="auto" w:fill="auto"/>
            <w:vAlign w:val="center"/>
          </w:tcPr>
          <w:p w14:paraId="6172A3B1">
            <w:pPr>
              <w:pStyle w:val="52"/>
              <w:spacing w:line="500" w:lineRule="exact"/>
              <w:rPr>
                <w:rFonts w:ascii="宋体" w:hAnsi="宋体" w:cs="宋体"/>
                <w:color w:val="auto"/>
                <w:szCs w:val="21"/>
              </w:rPr>
            </w:pPr>
            <w:r>
              <w:rPr>
                <w:rFonts w:hint="eastAsia" w:ascii="宋体" w:hAnsi="宋体" w:cs="宋体"/>
                <w:color w:val="auto"/>
                <w:szCs w:val="21"/>
              </w:rPr>
              <w:t>DN200，δ=8mm</w:t>
            </w:r>
          </w:p>
        </w:tc>
        <w:tc>
          <w:tcPr>
            <w:tcW w:w="672" w:type="dxa"/>
            <w:tcBorders>
              <w:top w:val="nil"/>
              <w:left w:val="nil"/>
              <w:bottom w:val="single" w:color="auto" w:sz="4" w:space="0"/>
              <w:right w:val="single" w:color="auto" w:sz="4" w:space="0"/>
            </w:tcBorders>
            <w:shd w:val="clear" w:color="auto" w:fill="auto"/>
            <w:vAlign w:val="center"/>
          </w:tcPr>
          <w:p w14:paraId="204FE8C7">
            <w:pPr>
              <w:pStyle w:val="52"/>
              <w:spacing w:line="500" w:lineRule="exact"/>
              <w:rPr>
                <w:rFonts w:ascii="宋体" w:hAnsi="宋体" w:cs="宋体"/>
                <w:color w:val="auto"/>
                <w:szCs w:val="21"/>
              </w:rPr>
            </w:pPr>
            <w:r>
              <w:rPr>
                <w:rFonts w:hint="eastAsia" w:ascii="宋体" w:hAnsi="宋体" w:cs="宋体"/>
                <w:color w:val="auto"/>
                <w:szCs w:val="21"/>
              </w:rPr>
              <w:t>钢</w:t>
            </w:r>
          </w:p>
        </w:tc>
        <w:tc>
          <w:tcPr>
            <w:tcW w:w="579" w:type="dxa"/>
            <w:tcBorders>
              <w:top w:val="nil"/>
              <w:left w:val="nil"/>
              <w:bottom w:val="single" w:color="auto" w:sz="4" w:space="0"/>
              <w:right w:val="single" w:color="auto" w:sz="4" w:space="0"/>
            </w:tcBorders>
            <w:shd w:val="clear" w:color="auto" w:fill="auto"/>
            <w:vAlign w:val="center"/>
          </w:tcPr>
          <w:p w14:paraId="7435C73D">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60B02553">
            <w:pPr>
              <w:pStyle w:val="52"/>
              <w:spacing w:line="500" w:lineRule="exact"/>
              <w:rPr>
                <w:rFonts w:ascii="宋体" w:hAnsi="宋体" w:cs="宋体"/>
                <w:color w:val="auto"/>
                <w:szCs w:val="21"/>
              </w:rPr>
            </w:pPr>
            <w:r>
              <w:rPr>
                <w:rFonts w:hint="eastAsia" w:ascii="宋体" w:hAnsi="宋体" w:cs="宋体"/>
                <w:color w:val="auto"/>
                <w:szCs w:val="21"/>
              </w:rPr>
              <w:t>35</w:t>
            </w:r>
          </w:p>
        </w:tc>
        <w:tc>
          <w:tcPr>
            <w:tcW w:w="780" w:type="dxa"/>
            <w:tcBorders>
              <w:top w:val="nil"/>
              <w:left w:val="nil"/>
              <w:bottom w:val="single" w:color="auto" w:sz="4" w:space="0"/>
              <w:right w:val="single" w:color="auto" w:sz="4" w:space="0"/>
            </w:tcBorders>
            <w:shd w:val="clear" w:color="auto" w:fill="auto"/>
            <w:vAlign w:val="center"/>
          </w:tcPr>
          <w:p w14:paraId="11ED9CB2">
            <w:pPr>
              <w:pStyle w:val="52"/>
              <w:spacing w:line="500" w:lineRule="exact"/>
              <w:rPr>
                <w:rFonts w:ascii="宋体" w:hAnsi="宋体" w:cs="宋体"/>
                <w:color w:val="auto"/>
                <w:szCs w:val="21"/>
              </w:rPr>
            </w:pPr>
            <w:r>
              <w:rPr>
                <w:rFonts w:hint="eastAsia" w:ascii="宋体" w:hAnsi="宋体" w:cs="宋体"/>
                <w:color w:val="auto"/>
                <w:szCs w:val="21"/>
              </w:rPr>
              <w:t>70</w:t>
            </w:r>
          </w:p>
        </w:tc>
        <w:tc>
          <w:tcPr>
            <w:tcW w:w="1950" w:type="dxa"/>
            <w:tcBorders>
              <w:top w:val="nil"/>
              <w:left w:val="nil"/>
              <w:bottom w:val="single" w:color="auto" w:sz="4" w:space="0"/>
              <w:right w:val="single" w:color="auto" w:sz="4" w:space="0"/>
            </w:tcBorders>
            <w:shd w:val="clear" w:color="auto" w:fill="auto"/>
            <w:vAlign w:val="center"/>
          </w:tcPr>
          <w:p w14:paraId="440CB80E">
            <w:pPr>
              <w:pStyle w:val="52"/>
              <w:spacing w:line="500" w:lineRule="exact"/>
              <w:rPr>
                <w:rFonts w:ascii="宋体" w:hAnsi="宋体" w:cs="宋体"/>
                <w:color w:val="auto"/>
                <w:szCs w:val="21"/>
              </w:rPr>
            </w:pPr>
            <w:r>
              <w:rPr>
                <w:rFonts w:hint="eastAsia" w:ascii="宋体" w:hAnsi="宋体" w:cs="宋体"/>
                <w:color w:val="auto"/>
                <w:szCs w:val="21"/>
              </w:rPr>
              <w:t>沥青机动车道下敷设，覆土1.2m</w:t>
            </w:r>
          </w:p>
        </w:tc>
      </w:tr>
      <w:tr w14:paraId="207B1B3E">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422BE74">
            <w:pPr>
              <w:pStyle w:val="52"/>
              <w:spacing w:line="500" w:lineRule="exact"/>
              <w:rPr>
                <w:rFonts w:ascii="宋体" w:hAnsi="宋体" w:cs="宋体"/>
                <w:color w:val="auto"/>
                <w:szCs w:val="21"/>
              </w:rPr>
            </w:pPr>
            <w:r>
              <w:rPr>
                <w:rFonts w:hint="eastAsia" w:ascii="宋体" w:hAnsi="宋体" w:cs="宋体"/>
                <w:color w:val="auto"/>
                <w:szCs w:val="21"/>
              </w:rPr>
              <w:t>3</w:t>
            </w:r>
          </w:p>
        </w:tc>
        <w:tc>
          <w:tcPr>
            <w:tcW w:w="967" w:type="dxa"/>
            <w:tcBorders>
              <w:top w:val="nil"/>
              <w:left w:val="nil"/>
              <w:bottom w:val="single" w:color="auto" w:sz="4" w:space="0"/>
              <w:right w:val="single" w:color="auto" w:sz="4" w:space="0"/>
            </w:tcBorders>
            <w:shd w:val="clear" w:color="auto" w:fill="auto"/>
            <w:vAlign w:val="center"/>
          </w:tcPr>
          <w:p w14:paraId="6CBD500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5DAE5B99">
            <w:pPr>
              <w:pStyle w:val="52"/>
              <w:spacing w:line="500" w:lineRule="exact"/>
              <w:rPr>
                <w:rFonts w:ascii="宋体" w:hAnsi="宋体" w:cs="宋体"/>
                <w:color w:val="auto"/>
                <w:szCs w:val="21"/>
              </w:rPr>
            </w:pPr>
            <w:r>
              <w:rPr>
                <w:rFonts w:hint="eastAsia" w:ascii="宋体" w:hAnsi="宋体" w:cs="宋体"/>
                <w:color w:val="auto"/>
                <w:szCs w:val="21"/>
              </w:rPr>
              <w:t>焊接钢管</w:t>
            </w:r>
          </w:p>
        </w:tc>
        <w:tc>
          <w:tcPr>
            <w:tcW w:w="2597" w:type="dxa"/>
            <w:tcBorders>
              <w:top w:val="nil"/>
              <w:left w:val="nil"/>
              <w:bottom w:val="single" w:color="auto" w:sz="4" w:space="0"/>
              <w:right w:val="single" w:color="auto" w:sz="4" w:space="0"/>
            </w:tcBorders>
            <w:shd w:val="clear" w:color="auto" w:fill="auto"/>
            <w:vAlign w:val="center"/>
          </w:tcPr>
          <w:p w14:paraId="13C1A566">
            <w:pPr>
              <w:pStyle w:val="52"/>
              <w:spacing w:line="500" w:lineRule="exact"/>
              <w:rPr>
                <w:rFonts w:ascii="宋体" w:hAnsi="宋体" w:cs="宋体"/>
                <w:color w:val="auto"/>
                <w:szCs w:val="21"/>
              </w:rPr>
            </w:pPr>
            <w:r>
              <w:rPr>
                <w:rFonts w:hint="eastAsia" w:ascii="宋体" w:hAnsi="宋体" w:cs="宋体"/>
                <w:color w:val="auto"/>
                <w:szCs w:val="21"/>
              </w:rPr>
              <w:t>DN200，δ=8mm</w:t>
            </w:r>
          </w:p>
        </w:tc>
        <w:tc>
          <w:tcPr>
            <w:tcW w:w="672" w:type="dxa"/>
            <w:tcBorders>
              <w:top w:val="nil"/>
              <w:left w:val="nil"/>
              <w:bottom w:val="single" w:color="auto" w:sz="4" w:space="0"/>
              <w:right w:val="single" w:color="auto" w:sz="4" w:space="0"/>
            </w:tcBorders>
            <w:shd w:val="clear" w:color="auto" w:fill="auto"/>
            <w:vAlign w:val="center"/>
          </w:tcPr>
          <w:p w14:paraId="7EFF1FE3">
            <w:pPr>
              <w:pStyle w:val="52"/>
              <w:spacing w:line="500" w:lineRule="exact"/>
              <w:rPr>
                <w:rFonts w:ascii="宋体" w:hAnsi="宋体" w:cs="宋体"/>
                <w:color w:val="auto"/>
                <w:szCs w:val="21"/>
              </w:rPr>
            </w:pPr>
            <w:r>
              <w:rPr>
                <w:rFonts w:hint="eastAsia" w:ascii="宋体" w:hAnsi="宋体" w:cs="宋体"/>
                <w:color w:val="auto"/>
                <w:szCs w:val="21"/>
              </w:rPr>
              <w:t>钢</w:t>
            </w:r>
          </w:p>
        </w:tc>
        <w:tc>
          <w:tcPr>
            <w:tcW w:w="579" w:type="dxa"/>
            <w:tcBorders>
              <w:top w:val="nil"/>
              <w:left w:val="nil"/>
              <w:bottom w:val="single" w:color="auto" w:sz="4" w:space="0"/>
              <w:right w:val="single" w:color="auto" w:sz="4" w:space="0"/>
            </w:tcBorders>
            <w:shd w:val="clear" w:color="auto" w:fill="auto"/>
            <w:vAlign w:val="center"/>
          </w:tcPr>
          <w:p w14:paraId="4C66A367">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3550713E">
            <w:pPr>
              <w:pStyle w:val="52"/>
              <w:spacing w:line="500" w:lineRule="exact"/>
              <w:rPr>
                <w:rFonts w:ascii="宋体" w:hAnsi="宋体" w:cs="宋体"/>
                <w:color w:val="auto"/>
                <w:szCs w:val="21"/>
              </w:rPr>
            </w:pPr>
            <w:r>
              <w:rPr>
                <w:rFonts w:hint="eastAsia" w:ascii="宋体" w:hAnsi="宋体" w:cs="宋体"/>
                <w:color w:val="auto"/>
                <w:szCs w:val="21"/>
              </w:rPr>
              <w:t>24</w:t>
            </w:r>
          </w:p>
        </w:tc>
        <w:tc>
          <w:tcPr>
            <w:tcW w:w="780" w:type="dxa"/>
            <w:tcBorders>
              <w:top w:val="nil"/>
              <w:left w:val="nil"/>
              <w:bottom w:val="single" w:color="auto" w:sz="4" w:space="0"/>
              <w:right w:val="single" w:color="auto" w:sz="4" w:space="0"/>
            </w:tcBorders>
            <w:shd w:val="clear" w:color="auto" w:fill="auto"/>
            <w:vAlign w:val="center"/>
          </w:tcPr>
          <w:p w14:paraId="05AD96FE">
            <w:pPr>
              <w:pStyle w:val="52"/>
              <w:spacing w:line="500" w:lineRule="exact"/>
              <w:rPr>
                <w:rFonts w:ascii="宋体" w:hAnsi="宋体" w:cs="宋体"/>
                <w:color w:val="auto"/>
                <w:szCs w:val="21"/>
              </w:rPr>
            </w:pPr>
            <w:r>
              <w:rPr>
                <w:rFonts w:hint="eastAsia" w:ascii="宋体" w:hAnsi="宋体" w:cs="宋体"/>
                <w:color w:val="auto"/>
                <w:szCs w:val="21"/>
              </w:rPr>
              <w:t>48</w:t>
            </w:r>
          </w:p>
        </w:tc>
        <w:tc>
          <w:tcPr>
            <w:tcW w:w="1950" w:type="dxa"/>
            <w:tcBorders>
              <w:top w:val="nil"/>
              <w:left w:val="nil"/>
              <w:bottom w:val="single" w:color="auto" w:sz="4" w:space="0"/>
              <w:right w:val="single" w:color="auto" w:sz="4" w:space="0"/>
            </w:tcBorders>
            <w:shd w:val="clear" w:color="auto" w:fill="auto"/>
            <w:vAlign w:val="center"/>
          </w:tcPr>
          <w:p w14:paraId="27803EE0">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4DB40CFA">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C3A0477">
            <w:pPr>
              <w:pStyle w:val="52"/>
              <w:spacing w:line="500" w:lineRule="exact"/>
              <w:rPr>
                <w:rFonts w:ascii="宋体" w:hAnsi="宋体" w:cs="宋体"/>
                <w:color w:val="auto"/>
                <w:szCs w:val="21"/>
              </w:rPr>
            </w:pPr>
            <w:r>
              <w:rPr>
                <w:rFonts w:hint="eastAsia" w:ascii="宋体" w:hAnsi="宋体" w:cs="宋体"/>
                <w:color w:val="auto"/>
                <w:szCs w:val="21"/>
              </w:rPr>
              <w:t>4</w:t>
            </w:r>
          </w:p>
        </w:tc>
        <w:tc>
          <w:tcPr>
            <w:tcW w:w="967" w:type="dxa"/>
            <w:tcBorders>
              <w:top w:val="nil"/>
              <w:left w:val="nil"/>
              <w:bottom w:val="single" w:color="auto" w:sz="4" w:space="0"/>
              <w:right w:val="single" w:color="auto" w:sz="4" w:space="0"/>
            </w:tcBorders>
            <w:shd w:val="clear" w:color="auto" w:fill="auto"/>
            <w:noWrap/>
            <w:vAlign w:val="center"/>
          </w:tcPr>
          <w:p w14:paraId="0826705C">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7387B33">
            <w:pPr>
              <w:pStyle w:val="52"/>
              <w:spacing w:line="500" w:lineRule="exact"/>
              <w:rPr>
                <w:rFonts w:ascii="宋体" w:hAnsi="宋体" w:cs="宋体"/>
                <w:color w:val="auto"/>
                <w:szCs w:val="21"/>
              </w:rPr>
            </w:pPr>
            <w:r>
              <w:rPr>
                <w:rFonts w:hint="eastAsia" w:ascii="宋体" w:hAnsi="宋体" w:cs="宋体"/>
                <w:color w:val="auto"/>
                <w:szCs w:val="21"/>
              </w:rPr>
              <w:t>蝶阀</w:t>
            </w:r>
          </w:p>
        </w:tc>
        <w:tc>
          <w:tcPr>
            <w:tcW w:w="2597" w:type="dxa"/>
            <w:tcBorders>
              <w:top w:val="nil"/>
              <w:left w:val="nil"/>
              <w:bottom w:val="single" w:color="auto" w:sz="4" w:space="0"/>
              <w:right w:val="single" w:color="auto" w:sz="4" w:space="0"/>
            </w:tcBorders>
            <w:shd w:val="clear" w:color="auto" w:fill="auto"/>
            <w:vAlign w:val="center"/>
          </w:tcPr>
          <w:p w14:paraId="16C1D6D9">
            <w:pPr>
              <w:pStyle w:val="52"/>
              <w:spacing w:line="500" w:lineRule="exact"/>
              <w:rPr>
                <w:rFonts w:ascii="宋体" w:hAnsi="宋体" w:cs="宋体"/>
                <w:color w:val="auto"/>
                <w:szCs w:val="21"/>
              </w:rPr>
            </w:pPr>
            <w:r>
              <w:rPr>
                <w:rFonts w:hint="eastAsia" w:ascii="宋体" w:hAnsi="宋体" w:cs="宋体"/>
                <w:color w:val="auto"/>
                <w:szCs w:val="21"/>
              </w:rPr>
              <w:t>DN200，PN10</w:t>
            </w:r>
          </w:p>
        </w:tc>
        <w:tc>
          <w:tcPr>
            <w:tcW w:w="672" w:type="dxa"/>
            <w:tcBorders>
              <w:top w:val="nil"/>
              <w:left w:val="nil"/>
              <w:bottom w:val="single" w:color="auto" w:sz="4" w:space="0"/>
              <w:right w:val="single" w:color="auto" w:sz="4" w:space="0"/>
            </w:tcBorders>
            <w:shd w:val="clear" w:color="auto" w:fill="auto"/>
            <w:noWrap/>
            <w:vAlign w:val="center"/>
          </w:tcPr>
          <w:p w14:paraId="19B251AD">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3E87AD84">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7186F968">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7A4B9BA0">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noWrap/>
            <w:vAlign w:val="center"/>
          </w:tcPr>
          <w:p w14:paraId="45B40D10">
            <w:pPr>
              <w:pStyle w:val="52"/>
              <w:spacing w:line="500" w:lineRule="exact"/>
              <w:rPr>
                <w:rFonts w:ascii="宋体" w:hAnsi="宋体" w:cs="宋体"/>
                <w:color w:val="auto"/>
                <w:szCs w:val="21"/>
              </w:rPr>
            </w:pPr>
            <w:r>
              <w:rPr>
                <w:rFonts w:hint="eastAsia" w:ascii="宋体" w:hAnsi="宋体" w:cs="宋体"/>
                <w:color w:val="auto"/>
                <w:szCs w:val="21"/>
              </w:rPr>
              <w:t>明装，配双法兰伸缩器</w:t>
            </w:r>
          </w:p>
        </w:tc>
      </w:tr>
      <w:tr w14:paraId="57D16E57">
        <w:tblPrEx>
          <w:tblCellMar>
            <w:top w:w="0" w:type="dxa"/>
            <w:left w:w="108" w:type="dxa"/>
            <w:bottom w:w="0" w:type="dxa"/>
            <w:right w:w="108" w:type="dxa"/>
          </w:tblCellMar>
        </w:tblPrEx>
        <w:trPr>
          <w:trHeight w:val="43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955B12A">
            <w:pPr>
              <w:pStyle w:val="52"/>
              <w:spacing w:line="500" w:lineRule="exact"/>
              <w:rPr>
                <w:rFonts w:ascii="宋体" w:hAnsi="宋体" w:cs="宋体"/>
                <w:color w:val="auto"/>
                <w:szCs w:val="21"/>
              </w:rPr>
            </w:pPr>
            <w:r>
              <w:rPr>
                <w:rFonts w:hint="eastAsia" w:ascii="宋体" w:hAnsi="宋体" w:cs="宋体"/>
                <w:color w:val="auto"/>
                <w:szCs w:val="21"/>
              </w:rPr>
              <w:t>5</w:t>
            </w:r>
          </w:p>
        </w:tc>
        <w:tc>
          <w:tcPr>
            <w:tcW w:w="967" w:type="dxa"/>
            <w:tcBorders>
              <w:top w:val="nil"/>
              <w:left w:val="nil"/>
              <w:bottom w:val="single" w:color="auto" w:sz="4" w:space="0"/>
              <w:right w:val="single" w:color="auto" w:sz="4" w:space="0"/>
            </w:tcBorders>
            <w:shd w:val="clear" w:color="auto" w:fill="auto"/>
            <w:noWrap/>
            <w:vAlign w:val="bottom"/>
          </w:tcPr>
          <w:p w14:paraId="547C7C0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B9AD345">
            <w:pPr>
              <w:pStyle w:val="52"/>
              <w:spacing w:line="500" w:lineRule="exact"/>
              <w:rPr>
                <w:rFonts w:ascii="宋体" w:hAnsi="宋体" w:cs="宋体"/>
                <w:color w:val="auto"/>
                <w:szCs w:val="21"/>
              </w:rPr>
            </w:pPr>
            <w:r>
              <w:rPr>
                <w:rFonts w:hint="eastAsia" w:ascii="宋体" w:hAnsi="宋体" w:cs="宋体"/>
                <w:color w:val="auto"/>
                <w:szCs w:val="21"/>
              </w:rPr>
              <w:t>可曲绕橡胶接头</w:t>
            </w:r>
          </w:p>
        </w:tc>
        <w:tc>
          <w:tcPr>
            <w:tcW w:w="2597" w:type="dxa"/>
            <w:tcBorders>
              <w:top w:val="nil"/>
              <w:left w:val="nil"/>
              <w:bottom w:val="single" w:color="auto" w:sz="4" w:space="0"/>
              <w:right w:val="single" w:color="auto" w:sz="4" w:space="0"/>
            </w:tcBorders>
            <w:shd w:val="clear" w:color="auto" w:fill="auto"/>
            <w:vAlign w:val="center"/>
          </w:tcPr>
          <w:p w14:paraId="3E3408E6">
            <w:pPr>
              <w:pStyle w:val="52"/>
              <w:spacing w:line="500" w:lineRule="exact"/>
              <w:rPr>
                <w:rFonts w:ascii="宋体" w:hAnsi="宋体" w:cs="宋体"/>
                <w:color w:val="auto"/>
                <w:szCs w:val="21"/>
              </w:rPr>
            </w:pPr>
            <w:r>
              <w:rPr>
                <w:rFonts w:hint="eastAsia" w:ascii="宋体" w:hAnsi="宋体" w:cs="宋体"/>
                <w:color w:val="auto"/>
                <w:szCs w:val="21"/>
              </w:rPr>
              <w:t>DN200，PN10</w:t>
            </w:r>
          </w:p>
        </w:tc>
        <w:tc>
          <w:tcPr>
            <w:tcW w:w="672" w:type="dxa"/>
            <w:tcBorders>
              <w:top w:val="nil"/>
              <w:left w:val="nil"/>
              <w:bottom w:val="single" w:color="auto" w:sz="4" w:space="0"/>
              <w:right w:val="single" w:color="auto" w:sz="4" w:space="0"/>
            </w:tcBorders>
            <w:shd w:val="clear" w:color="auto" w:fill="auto"/>
            <w:noWrap/>
            <w:vAlign w:val="center"/>
          </w:tcPr>
          <w:p w14:paraId="4531BE16">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7146F550">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noWrap/>
            <w:vAlign w:val="center"/>
          </w:tcPr>
          <w:p w14:paraId="75CF2FE2">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248B000E">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noWrap/>
            <w:vAlign w:val="center"/>
          </w:tcPr>
          <w:p w14:paraId="292792DF">
            <w:pPr>
              <w:pStyle w:val="52"/>
              <w:spacing w:line="500" w:lineRule="exact"/>
              <w:rPr>
                <w:rFonts w:ascii="宋体" w:hAnsi="宋体" w:cs="宋体"/>
                <w:color w:val="auto"/>
                <w:szCs w:val="21"/>
              </w:rPr>
            </w:pPr>
            <w:r>
              <w:rPr>
                <w:rFonts w:hint="eastAsia" w:ascii="宋体" w:hAnsi="宋体" w:cs="宋体"/>
                <w:color w:val="auto"/>
                <w:szCs w:val="21"/>
              </w:rPr>
              <w:t>　</w:t>
            </w:r>
          </w:p>
        </w:tc>
      </w:tr>
      <w:tr w14:paraId="6169818E">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CBCDCBB">
            <w:pPr>
              <w:pStyle w:val="52"/>
              <w:spacing w:line="500" w:lineRule="exact"/>
              <w:rPr>
                <w:rFonts w:ascii="宋体" w:hAnsi="宋体" w:cs="宋体"/>
                <w:color w:val="auto"/>
                <w:szCs w:val="21"/>
              </w:rPr>
            </w:pPr>
            <w:r>
              <w:rPr>
                <w:rFonts w:hint="eastAsia" w:ascii="宋体" w:hAnsi="宋体" w:cs="宋体"/>
                <w:color w:val="auto"/>
                <w:szCs w:val="21"/>
              </w:rPr>
              <w:t>6</w:t>
            </w:r>
          </w:p>
        </w:tc>
        <w:tc>
          <w:tcPr>
            <w:tcW w:w="967" w:type="dxa"/>
            <w:tcBorders>
              <w:top w:val="nil"/>
              <w:left w:val="nil"/>
              <w:bottom w:val="single" w:color="auto" w:sz="4" w:space="0"/>
              <w:right w:val="single" w:color="auto" w:sz="4" w:space="0"/>
            </w:tcBorders>
            <w:shd w:val="clear" w:color="auto" w:fill="auto"/>
            <w:noWrap/>
            <w:vAlign w:val="bottom"/>
          </w:tcPr>
          <w:p w14:paraId="12FE2D5D">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708015F6">
            <w:pPr>
              <w:pStyle w:val="52"/>
              <w:spacing w:line="500" w:lineRule="exact"/>
              <w:rPr>
                <w:rFonts w:ascii="宋体" w:hAnsi="宋体" w:cs="宋体"/>
                <w:color w:val="auto"/>
                <w:szCs w:val="21"/>
              </w:rPr>
            </w:pPr>
            <w:r>
              <w:rPr>
                <w:rFonts w:hint="eastAsia" w:ascii="宋体" w:hAnsi="宋体" w:cs="宋体"/>
                <w:color w:val="auto"/>
                <w:szCs w:val="21"/>
              </w:rPr>
              <w:t>微阻缓闭止回阀</w:t>
            </w:r>
          </w:p>
        </w:tc>
        <w:tc>
          <w:tcPr>
            <w:tcW w:w="2597" w:type="dxa"/>
            <w:tcBorders>
              <w:top w:val="nil"/>
              <w:left w:val="nil"/>
              <w:bottom w:val="single" w:color="auto" w:sz="4" w:space="0"/>
              <w:right w:val="single" w:color="auto" w:sz="4" w:space="0"/>
            </w:tcBorders>
            <w:shd w:val="clear" w:color="auto" w:fill="auto"/>
            <w:vAlign w:val="center"/>
          </w:tcPr>
          <w:p w14:paraId="7D01F755">
            <w:pPr>
              <w:pStyle w:val="52"/>
              <w:spacing w:line="500" w:lineRule="exact"/>
              <w:rPr>
                <w:rFonts w:ascii="宋体" w:hAnsi="宋体" w:cs="宋体"/>
                <w:color w:val="auto"/>
                <w:szCs w:val="21"/>
              </w:rPr>
            </w:pPr>
            <w:r>
              <w:rPr>
                <w:rFonts w:hint="eastAsia" w:ascii="宋体" w:hAnsi="宋体" w:cs="宋体"/>
                <w:color w:val="auto"/>
                <w:szCs w:val="21"/>
              </w:rPr>
              <w:t>DN200，PN10</w:t>
            </w:r>
          </w:p>
        </w:tc>
        <w:tc>
          <w:tcPr>
            <w:tcW w:w="672" w:type="dxa"/>
            <w:tcBorders>
              <w:top w:val="nil"/>
              <w:left w:val="nil"/>
              <w:bottom w:val="single" w:color="auto" w:sz="4" w:space="0"/>
              <w:right w:val="single" w:color="auto" w:sz="4" w:space="0"/>
            </w:tcBorders>
            <w:shd w:val="clear" w:color="auto" w:fill="auto"/>
            <w:noWrap/>
            <w:vAlign w:val="center"/>
          </w:tcPr>
          <w:p w14:paraId="436FE3E5">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4B621B7F">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470CF0C1">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7CC21466">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24D5CF8E">
            <w:pPr>
              <w:pStyle w:val="52"/>
              <w:spacing w:line="500" w:lineRule="exact"/>
              <w:rPr>
                <w:rFonts w:ascii="宋体" w:hAnsi="宋体" w:cs="宋体"/>
                <w:color w:val="auto"/>
                <w:szCs w:val="21"/>
              </w:rPr>
            </w:pPr>
            <w:r>
              <w:rPr>
                <w:rFonts w:hint="eastAsia" w:ascii="宋体" w:hAnsi="宋体" w:cs="宋体"/>
                <w:color w:val="auto"/>
                <w:szCs w:val="21"/>
              </w:rPr>
              <w:t>　</w:t>
            </w:r>
          </w:p>
        </w:tc>
      </w:tr>
      <w:tr w14:paraId="346460E8">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1D65EF2">
            <w:pPr>
              <w:pStyle w:val="52"/>
              <w:spacing w:line="500" w:lineRule="exact"/>
              <w:rPr>
                <w:rFonts w:ascii="宋体" w:hAnsi="宋体" w:cs="宋体"/>
                <w:color w:val="auto"/>
                <w:szCs w:val="21"/>
              </w:rPr>
            </w:pPr>
            <w:r>
              <w:rPr>
                <w:rFonts w:hint="eastAsia" w:ascii="宋体" w:hAnsi="宋体" w:cs="宋体"/>
                <w:color w:val="auto"/>
                <w:szCs w:val="21"/>
              </w:rPr>
              <w:t>7</w:t>
            </w:r>
          </w:p>
        </w:tc>
        <w:tc>
          <w:tcPr>
            <w:tcW w:w="967" w:type="dxa"/>
            <w:tcBorders>
              <w:top w:val="nil"/>
              <w:left w:val="nil"/>
              <w:bottom w:val="single" w:color="auto" w:sz="4" w:space="0"/>
              <w:right w:val="single" w:color="auto" w:sz="4" w:space="0"/>
            </w:tcBorders>
            <w:shd w:val="clear" w:color="auto" w:fill="auto"/>
            <w:noWrap/>
            <w:vAlign w:val="bottom"/>
          </w:tcPr>
          <w:p w14:paraId="4409E8FA">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7DFEFD0">
            <w:pPr>
              <w:pStyle w:val="52"/>
              <w:spacing w:line="500" w:lineRule="exact"/>
              <w:rPr>
                <w:rFonts w:ascii="宋体" w:hAnsi="宋体" w:cs="宋体"/>
                <w:color w:val="auto"/>
                <w:szCs w:val="21"/>
              </w:rPr>
            </w:pPr>
            <w:r>
              <w:rPr>
                <w:rFonts w:hint="eastAsia" w:ascii="宋体" w:hAnsi="宋体" w:cs="宋体"/>
                <w:color w:val="auto"/>
                <w:szCs w:val="21"/>
              </w:rPr>
              <w:t>分流变频泵</w:t>
            </w:r>
          </w:p>
        </w:tc>
        <w:tc>
          <w:tcPr>
            <w:tcW w:w="2597" w:type="dxa"/>
            <w:tcBorders>
              <w:top w:val="nil"/>
              <w:left w:val="nil"/>
              <w:bottom w:val="single" w:color="auto" w:sz="4" w:space="0"/>
              <w:right w:val="single" w:color="auto" w:sz="4" w:space="0"/>
            </w:tcBorders>
            <w:shd w:val="clear" w:color="auto" w:fill="auto"/>
            <w:vAlign w:val="center"/>
          </w:tcPr>
          <w:p w14:paraId="50C66B84">
            <w:pPr>
              <w:pStyle w:val="52"/>
              <w:spacing w:line="500" w:lineRule="exact"/>
              <w:rPr>
                <w:rFonts w:ascii="宋体" w:hAnsi="宋体" w:cs="宋体"/>
                <w:color w:val="auto"/>
                <w:szCs w:val="21"/>
              </w:rPr>
            </w:pPr>
            <w:r>
              <w:rPr>
                <w:rFonts w:hint="eastAsia" w:ascii="宋体" w:hAnsi="宋体" w:cs="宋体"/>
                <w:color w:val="auto"/>
                <w:szCs w:val="21"/>
              </w:rPr>
              <w:t>Q=150m3/h,H=50m,P=37kw</w:t>
            </w:r>
          </w:p>
        </w:tc>
        <w:tc>
          <w:tcPr>
            <w:tcW w:w="672" w:type="dxa"/>
            <w:tcBorders>
              <w:top w:val="nil"/>
              <w:left w:val="nil"/>
              <w:bottom w:val="single" w:color="auto" w:sz="4" w:space="0"/>
              <w:right w:val="single" w:color="auto" w:sz="4" w:space="0"/>
            </w:tcBorders>
            <w:shd w:val="clear" w:color="auto" w:fill="auto"/>
            <w:noWrap/>
            <w:vAlign w:val="center"/>
          </w:tcPr>
          <w:p w14:paraId="5298F2E6">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noWrap/>
            <w:vAlign w:val="center"/>
          </w:tcPr>
          <w:p w14:paraId="76C5027C">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111B9AE6">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7B67C87B">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781D6600">
            <w:pPr>
              <w:pStyle w:val="52"/>
              <w:spacing w:line="500" w:lineRule="exact"/>
              <w:rPr>
                <w:rFonts w:ascii="宋体" w:hAnsi="宋体" w:cs="宋体"/>
                <w:color w:val="auto"/>
                <w:szCs w:val="21"/>
              </w:rPr>
            </w:pPr>
            <w:r>
              <w:rPr>
                <w:rFonts w:hint="eastAsia" w:ascii="宋体" w:hAnsi="宋体" w:cs="宋体"/>
                <w:color w:val="auto"/>
                <w:szCs w:val="21"/>
              </w:rPr>
              <w:t>溶气系统设备</w:t>
            </w:r>
          </w:p>
        </w:tc>
      </w:tr>
      <w:tr w14:paraId="22C4F49C">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4ACFDD5">
            <w:pPr>
              <w:pStyle w:val="52"/>
              <w:spacing w:line="500" w:lineRule="exact"/>
              <w:rPr>
                <w:rFonts w:ascii="宋体" w:hAnsi="宋体" w:cs="宋体"/>
                <w:color w:val="auto"/>
                <w:szCs w:val="21"/>
              </w:rPr>
            </w:pPr>
            <w:r>
              <w:rPr>
                <w:rFonts w:hint="eastAsia" w:ascii="宋体" w:hAnsi="宋体" w:cs="宋体"/>
                <w:color w:val="auto"/>
                <w:szCs w:val="21"/>
              </w:rPr>
              <w:t>8</w:t>
            </w:r>
          </w:p>
        </w:tc>
        <w:tc>
          <w:tcPr>
            <w:tcW w:w="967" w:type="dxa"/>
            <w:tcBorders>
              <w:top w:val="nil"/>
              <w:left w:val="nil"/>
              <w:bottom w:val="single" w:color="auto" w:sz="4" w:space="0"/>
              <w:right w:val="single" w:color="auto" w:sz="4" w:space="0"/>
            </w:tcBorders>
            <w:shd w:val="clear" w:color="auto" w:fill="auto"/>
            <w:noWrap/>
            <w:vAlign w:val="bottom"/>
          </w:tcPr>
          <w:p w14:paraId="4070ACA0">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2221D4F">
            <w:pPr>
              <w:pStyle w:val="52"/>
              <w:spacing w:line="500" w:lineRule="exact"/>
              <w:rPr>
                <w:rFonts w:ascii="宋体" w:hAnsi="宋体" w:cs="宋体"/>
                <w:color w:val="auto"/>
                <w:szCs w:val="21"/>
              </w:rPr>
            </w:pPr>
            <w:r>
              <w:rPr>
                <w:rFonts w:hint="eastAsia" w:ascii="宋体" w:hAnsi="宋体" w:cs="宋体"/>
                <w:color w:val="auto"/>
                <w:szCs w:val="21"/>
              </w:rPr>
              <w:t>无油螺杆空压机</w:t>
            </w:r>
          </w:p>
        </w:tc>
        <w:tc>
          <w:tcPr>
            <w:tcW w:w="2597" w:type="dxa"/>
            <w:tcBorders>
              <w:top w:val="nil"/>
              <w:left w:val="nil"/>
              <w:bottom w:val="single" w:color="auto" w:sz="4" w:space="0"/>
              <w:right w:val="single" w:color="auto" w:sz="4" w:space="0"/>
            </w:tcBorders>
            <w:shd w:val="clear" w:color="auto" w:fill="auto"/>
            <w:vAlign w:val="center"/>
          </w:tcPr>
          <w:p w14:paraId="4C9CABCE">
            <w:pPr>
              <w:pStyle w:val="52"/>
              <w:spacing w:line="500" w:lineRule="exact"/>
              <w:rPr>
                <w:rFonts w:ascii="宋体" w:hAnsi="宋体" w:cs="宋体"/>
                <w:color w:val="auto"/>
                <w:szCs w:val="21"/>
              </w:rPr>
            </w:pPr>
            <w:r>
              <w:rPr>
                <w:rFonts w:hint="eastAsia" w:ascii="宋体" w:hAnsi="宋体" w:cs="宋体"/>
                <w:color w:val="auto"/>
                <w:szCs w:val="21"/>
              </w:rPr>
              <w:t>Q=60m3/h，0.8mpa,P=11kw</w:t>
            </w:r>
          </w:p>
        </w:tc>
        <w:tc>
          <w:tcPr>
            <w:tcW w:w="672" w:type="dxa"/>
            <w:tcBorders>
              <w:top w:val="nil"/>
              <w:left w:val="nil"/>
              <w:bottom w:val="single" w:color="auto" w:sz="4" w:space="0"/>
              <w:right w:val="single" w:color="auto" w:sz="4" w:space="0"/>
            </w:tcBorders>
            <w:shd w:val="clear" w:color="auto" w:fill="auto"/>
            <w:vAlign w:val="center"/>
          </w:tcPr>
          <w:p w14:paraId="77307C2C">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noWrap/>
            <w:vAlign w:val="center"/>
          </w:tcPr>
          <w:p w14:paraId="37A7ACB9">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6A963DA5">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7C13CA3D">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2C447003">
            <w:pPr>
              <w:pStyle w:val="52"/>
              <w:spacing w:line="500" w:lineRule="exact"/>
              <w:rPr>
                <w:rFonts w:ascii="宋体" w:hAnsi="宋体" w:cs="宋体"/>
                <w:color w:val="auto"/>
                <w:szCs w:val="21"/>
              </w:rPr>
            </w:pPr>
            <w:r>
              <w:rPr>
                <w:rFonts w:hint="eastAsia" w:ascii="宋体" w:hAnsi="宋体" w:cs="宋体"/>
                <w:color w:val="auto"/>
                <w:szCs w:val="21"/>
              </w:rPr>
              <w:t>溶气系统设备</w:t>
            </w:r>
          </w:p>
        </w:tc>
      </w:tr>
      <w:tr w14:paraId="692E18FF">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3B3378E8">
            <w:pPr>
              <w:pStyle w:val="52"/>
              <w:spacing w:line="500" w:lineRule="exact"/>
              <w:rPr>
                <w:rFonts w:ascii="宋体" w:hAnsi="宋体" w:cs="宋体"/>
                <w:color w:val="auto"/>
                <w:szCs w:val="21"/>
              </w:rPr>
            </w:pPr>
            <w:r>
              <w:rPr>
                <w:rFonts w:hint="eastAsia" w:ascii="宋体" w:hAnsi="宋体" w:cs="宋体"/>
                <w:color w:val="auto"/>
                <w:szCs w:val="21"/>
              </w:rPr>
              <w:t>9</w:t>
            </w:r>
          </w:p>
        </w:tc>
        <w:tc>
          <w:tcPr>
            <w:tcW w:w="967" w:type="dxa"/>
            <w:tcBorders>
              <w:top w:val="nil"/>
              <w:left w:val="nil"/>
              <w:bottom w:val="single" w:color="auto" w:sz="4" w:space="0"/>
              <w:right w:val="single" w:color="auto" w:sz="4" w:space="0"/>
            </w:tcBorders>
            <w:shd w:val="clear" w:color="auto" w:fill="auto"/>
            <w:noWrap/>
            <w:vAlign w:val="bottom"/>
          </w:tcPr>
          <w:p w14:paraId="3DC20282">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3C3436D">
            <w:pPr>
              <w:pStyle w:val="52"/>
              <w:spacing w:line="500" w:lineRule="exact"/>
              <w:rPr>
                <w:rFonts w:ascii="宋体" w:hAnsi="宋体" w:cs="宋体"/>
                <w:color w:val="auto"/>
                <w:szCs w:val="21"/>
              </w:rPr>
            </w:pPr>
            <w:r>
              <w:rPr>
                <w:rFonts w:hint="eastAsia" w:ascii="宋体" w:hAnsi="宋体" w:cs="宋体"/>
                <w:color w:val="auto"/>
                <w:szCs w:val="21"/>
              </w:rPr>
              <w:t>溶气罐</w:t>
            </w:r>
          </w:p>
        </w:tc>
        <w:tc>
          <w:tcPr>
            <w:tcW w:w="2597" w:type="dxa"/>
            <w:tcBorders>
              <w:top w:val="nil"/>
              <w:left w:val="nil"/>
              <w:bottom w:val="single" w:color="auto" w:sz="4" w:space="0"/>
              <w:right w:val="single" w:color="auto" w:sz="4" w:space="0"/>
            </w:tcBorders>
            <w:shd w:val="clear" w:color="auto" w:fill="auto"/>
            <w:vAlign w:val="center"/>
          </w:tcPr>
          <w:p w14:paraId="147A1202">
            <w:pPr>
              <w:pStyle w:val="52"/>
              <w:spacing w:line="500" w:lineRule="exact"/>
              <w:rPr>
                <w:rFonts w:ascii="宋体" w:hAnsi="宋体" w:cs="宋体"/>
                <w:color w:val="auto"/>
                <w:szCs w:val="21"/>
              </w:rPr>
            </w:pPr>
            <w:r>
              <w:rPr>
                <w:rFonts w:hint="eastAsia" w:ascii="宋体" w:hAnsi="宋体" w:cs="宋体"/>
                <w:color w:val="auto"/>
                <w:szCs w:val="21"/>
              </w:rPr>
              <w:t>V=6m3</w:t>
            </w:r>
          </w:p>
        </w:tc>
        <w:tc>
          <w:tcPr>
            <w:tcW w:w="672" w:type="dxa"/>
            <w:tcBorders>
              <w:top w:val="nil"/>
              <w:left w:val="nil"/>
              <w:bottom w:val="single" w:color="auto" w:sz="4" w:space="0"/>
              <w:right w:val="single" w:color="auto" w:sz="4" w:space="0"/>
            </w:tcBorders>
            <w:shd w:val="clear" w:color="auto" w:fill="auto"/>
            <w:vAlign w:val="center"/>
          </w:tcPr>
          <w:p w14:paraId="2DF8FB67">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noWrap/>
            <w:vAlign w:val="center"/>
          </w:tcPr>
          <w:p w14:paraId="47934E67">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0AEBFDF5">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05D6807D">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7C6712D5">
            <w:pPr>
              <w:pStyle w:val="52"/>
              <w:spacing w:line="500" w:lineRule="exact"/>
              <w:rPr>
                <w:rFonts w:ascii="宋体" w:hAnsi="宋体" w:cs="宋体"/>
                <w:color w:val="auto"/>
                <w:szCs w:val="21"/>
              </w:rPr>
            </w:pPr>
            <w:r>
              <w:rPr>
                <w:rFonts w:hint="eastAsia" w:ascii="宋体" w:hAnsi="宋体" w:cs="宋体"/>
                <w:color w:val="auto"/>
                <w:szCs w:val="21"/>
              </w:rPr>
              <w:t>溶气系统设备，含压力表等附件</w:t>
            </w:r>
          </w:p>
        </w:tc>
      </w:tr>
      <w:tr w14:paraId="3DBFCD7C">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866A31E">
            <w:pPr>
              <w:pStyle w:val="52"/>
              <w:spacing w:line="500" w:lineRule="exact"/>
              <w:rPr>
                <w:rFonts w:ascii="宋体" w:hAnsi="宋体" w:cs="宋体"/>
                <w:color w:val="auto"/>
                <w:szCs w:val="21"/>
              </w:rPr>
            </w:pPr>
            <w:r>
              <w:rPr>
                <w:rFonts w:hint="eastAsia" w:ascii="宋体" w:hAnsi="宋体" w:cs="宋体"/>
                <w:color w:val="auto"/>
                <w:szCs w:val="21"/>
              </w:rPr>
              <w:t>10</w:t>
            </w:r>
          </w:p>
        </w:tc>
        <w:tc>
          <w:tcPr>
            <w:tcW w:w="967" w:type="dxa"/>
            <w:tcBorders>
              <w:top w:val="nil"/>
              <w:left w:val="nil"/>
              <w:bottom w:val="single" w:color="auto" w:sz="4" w:space="0"/>
              <w:right w:val="single" w:color="auto" w:sz="4" w:space="0"/>
            </w:tcBorders>
            <w:shd w:val="clear" w:color="auto" w:fill="auto"/>
            <w:noWrap/>
            <w:vAlign w:val="bottom"/>
          </w:tcPr>
          <w:p w14:paraId="67379DC4">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35D7320">
            <w:pPr>
              <w:pStyle w:val="52"/>
              <w:spacing w:line="500" w:lineRule="exact"/>
              <w:rPr>
                <w:rFonts w:ascii="宋体" w:hAnsi="宋体" w:cs="宋体"/>
                <w:color w:val="auto"/>
                <w:szCs w:val="21"/>
              </w:rPr>
            </w:pPr>
            <w:r>
              <w:rPr>
                <w:rFonts w:hint="eastAsia" w:ascii="宋体" w:hAnsi="宋体" w:cs="宋体"/>
                <w:color w:val="auto"/>
                <w:szCs w:val="21"/>
              </w:rPr>
              <w:t>焊接钢管</w:t>
            </w:r>
          </w:p>
        </w:tc>
        <w:tc>
          <w:tcPr>
            <w:tcW w:w="2597" w:type="dxa"/>
            <w:tcBorders>
              <w:top w:val="nil"/>
              <w:left w:val="nil"/>
              <w:bottom w:val="single" w:color="auto" w:sz="4" w:space="0"/>
              <w:right w:val="single" w:color="auto" w:sz="4" w:space="0"/>
            </w:tcBorders>
            <w:shd w:val="clear" w:color="auto" w:fill="auto"/>
            <w:vAlign w:val="center"/>
          </w:tcPr>
          <w:p w14:paraId="2E874CA3">
            <w:pPr>
              <w:pStyle w:val="52"/>
              <w:spacing w:line="500" w:lineRule="exact"/>
              <w:rPr>
                <w:rFonts w:ascii="宋体" w:hAnsi="宋体" w:cs="宋体"/>
                <w:color w:val="auto"/>
                <w:szCs w:val="21"/>
              </w:rPr>
            </w:pPr>
            <w:r>
              <w:rPr>
                <w:rFonts w:hint="eastAsia" w:ascii="宋体" w:hAnsi="宋体" w:cs="宋体"/>
                <w:color w:val="auto"/>
                <w:szCs w:val="21"/>
              </w:rPr>
              <w:t>DN200，δ=8mm</w:t>
            </w:r>
          </w:p>
        </w:tc>
        <w:tc>
          <w:tcPr>
            <w:tcW w:w="672" w:type="dxa"/>
            <w:tcBorders>
              <w:top w:val="nil"/>
              <w:left w:val="nil"/>
              <w:bottom w:val="single" w:color="auto" w:sz="4" w:space="0"/>
              <w:right w:val="single" w:color="auto" w:sz="4" w:space="0"/>
            </w:tcBorders>
            <w:shd w:val="clear" w:color="auto" w:fill="auto"/>
            <w:vAlign w:val="center"/>
          </w:tcPr>
          <w:p w14:paraId="52DA40B8">
            <w:pPr>
              <w:pStyle w:val="52"/>
              <w:spacing w:line="500" w:lineRule="exact"/>
              <w:rPr>
                <w:rFonts w:ascii="宋体" w:hAnsi="宋体" w:cs="宋体"/>
                <w:color w:val="auto"/>
                <w:szCs w:val="21"/>
              </w:rPr>
            </w:pPr>
            <w:r>
              <w:rPr>
                <w:rFonts w:hint="eastAsia" w:ascii="宋体" w:hAnsi="宋体" w:cs="宋体"/>
                <w:color w:val="auto"/>
                <w:szCs w:val="21"/>
              </w:rPr>
              <w:t>钢</w:t>
            </w:r>
          </w:p>
        </w:tc>
        <w:tc>
          <w:tcPr>
            <w:tcW w:w="579" w:type="dxa"/>
            <w:tcBorders>
              <w:top w:val="nil"/>
              <w:left w:val="nil"/>
              <w:bottom w:val="single" w:color="auto" w:sz="4" w:space="0"/>
              <w:right w:val="single" w:color="auto" w:sz="4" w:space="0"/>
            </w:tcBorders>
            <w:shd w:val="clear" w:color="auto" w:fill="auto"/>
            <w:vAlign w:val="center"/>
          </w:tcPr>
          <w:p w14:paraId="320ED733">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48E8B716">
            <w:pPr>
              <w:pStyle w:val="52"/>
              <w:spacing w:line="500" w:lineRule="exact"/>
              <w:rPr>
                <w:rFonts w:ascii="宋体" w:hAnsi="宋体" w:cs="宋体"/>
                <w:color w:val="auto"/>
                <w:szCs w:val="21"/>
              </w:rPr>
            </w:pPr>
            <w:r>
              <w:rPr>
                <w:rFonts w:hint="eastAsia" w:ascii="宋体" w:hAnsi="宋体" w:cs="宋体"/>
                <w:color w:val="auto"/>
                <w:szCs w:val="21"/>
              </w:rPr>
              <w:t>24</w:t>
            </w:r>
          </w:p>
        </w:tc>
        <w:tc>
          <w:tcPr>
            <w:tcW w:w="780" w:type="dxa"/>
            <w:tcBorders>
              <w:top w:val="nil"/>
              <w:left w:val="nil"/>
              <w:bottom w:val="single" w:color="auto" w:sz="4" w:space="0"/>
              <w:right w:val="single" w:color="auto" w:sz="4" w:space="0"/>
            </w:tcBorders>
            <w:shd w:val="clear" w:color="auto" w:fill="auto"/>
            <w:vAlign w:val="center"/>
          </w:tcPr>
          <w:p w14:paraId="42A33EDE">
            <w:pPr>
              <w:pStyle w:val="52"/>
              <w:spacing w:line="500" w:lineRule="exact"/>
              <w:rPr>
                <w:rFonts w:ascii="宋体" w:hAnsi="宋体" w:cs="宋体"/>
                <w:color w:val="auto"/>
                <w:szCs w:val="21"/>
              </w:rPr>
            </w:pPr>
            <w:r>
              <w:rPr>
                <w:rFonts w:hint="eastAsia" w:ascii="宋体" w:hAnsi="宋体" w:cs="宋体"/>
                <w:color w:val="auto"/>
                <w:szCs w:val="21"/>
              </w:rPr>
              <w:t>48</w:t>
            </w:r>
          </w:p>
        </w:tc>
        <w:tc>
          <w:tcPr>
            <w:tcW w:w="1950" w:type="dxa"/>
            <w:tcBorders>
              <w:top w:val="nil"/>
              <w:left w:val="nil"/>
              <w:bottom w:val="single" w:color="auto" w:sz="4" w:space="0"/>
              <w:right w:val="single" w:color="auto" w:sz="4" w:space="0"/>
            </w:tcBorders>
            <w:shd w:val="clear" w:color="auto" w:fill="auto"/>
            <w:vAlign w:val="center"/>
          </w:tcPr>
          <w:p w14:paraId="16814B88">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3A3E6E36">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BF666E8">
            <w:pPr>
              <w:pStyle w:val="52"/>
              <w:spacing w:line="500" w:lineRule="exact"/>
              <w:rPr>
                <w:rFonts w:ascii="宋体" w:hAnsi="宋体" w:cs="宋体"/>
                <w:color w:val="auto"/>
                <w:szCs w:val="21"/>
              </w:rPr>
            </w:pPr>
            <w:r>
              <w:rPr>
                <w:rFonts w:hint="eastAsia" w:ascii="宋体" w:hAnsi="宋体" w:cs="宋体"/>
                <w:color w:val="auto"/>
                <w:szCs w:val="21"/>
              </w:rPr>
              <w:t>11</w:t>
            </w:r>
          </w:p>
        </w:tc>
        <w:tc>
          <w:tcPr>
            <w:tcW w:w="967" w:type="dxa"/>
            <w:tcBorders>
              <w:top w:val="nil"/>
              <w:left w:val="nil"/>
              <w:bottom w:val="single" w:color="auto" w:sz="4" w:space="0"/>
              <w:right w:val="single" w:color="auto" w:sz="4" w:space="0"/>
            </w:tcBorders>
            <w:shd w:val="clear" w:color="auto" w:fill="auto"/>
            <w:vAlign w:val="center"/>
          </w:tcPr>
          <w:p w14:paraId="161A95AA">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D639220">
            <w:pPr>
              <w:pStyle w:val="52"/>
              <w:spacing w:line="500" w:lineRule="exact"/>
              <w:rPr>
                <w:rFonts w:ascii="宋体" w:hAnsi="宋体" w:cs="宋体"/>
                <w:color w:val="auto"/>
                <w:szCs w:val="21"/>
              </w:rPr>
            </w:pPr>
            <w:r>
              <w:rPr>
                <w:rFonts w:hint="eastAsia" w:ascii="宋体" w:hAnsi="宋体" w:cs="宋体"/>
                <w:color w:val="auto"/>
                <w:szCs w:val="21"/>
              </w:rPr>
              <w:t>焊接钢管</w:t>
            </w:r>
          </w:p>
        </w:tc>
        <w:tc>
          <w:tcPr>
            <w:tcW w:w="2597" w:type="dxa"/>
            <w:tcBorders>
              <w:top w:val="nil"/>
              <w:left w:val="nil"/>
              <w:bottom w:val="single" w:color="auto" w:sz="4" w:space="0"/>
              <w:right w:val="single" w:color="auto" w:sz="4" w:space="0"/>
            </w:tcBorders>
            <w:shd w:val="clear" w:color="auto" w:fill="auto"/>
            <w:vAlign w:val="center"/>
          </w:tcPr>
          <w:p w14:paraId="4C664535">
            <w:pPr>
              <w:pStyle w:val="52"/>
              <w:spacing w:line="500" w:lineRule="exact"/>
              <w:rPr>
                <w:rFonts w:ascii="宋体" w:hAnsi="宋体" w:cs="宋体"/>
                <w:color w:val="auto"/>
                <w:szCs w:val="21"/>
              </w:rPr>
            </w:pPr>
            <w:r>
              <w:rPr>
                <w:rFonts w:hint="eastAsia" w:ascii="宋体" w:hAnsi="宋体" w:cs="宋体"/>
                <w:color w:val="auto"/>
                <w:szCs w:val="21"/>
              </w:rPr>
              <w:t>DN200，δ=8mm</w:t>
            </w:r>
          </w:p>
        </w:tc>
        <w:tc>
          <w:tcPr>
            <w:tcW w:w="672" w:type="dxa"/>
            <w:tcBorders>
              <w:top w:val="nil"/>
              <w:left w:val="nil"/>
              <w:bottom w:val="single" w:color="auto" w:sz="4" w:space="0"/>
              <w:right w:val="single" w:color="auto" w:sz="4" w:space="0"/>
            </w:tcBorders>
            <w:shd w:val="clear" w:color="auto" w:fill="auto"/>
            <w:vAlign w:val="center"/>
          </w:tcPr>
          <w:p w14:paraId="368E599B">
            <w:pPr>
              <w:pStyle w:val="52"/>
              <w:spacing w:line="500" w:lineRule="exact"/>
              <w:rPr>
                <w:rFonts w:ascii="宋体" w:hAnsi="宋体" w:cs="宋体"/>
                <w:color w:val="auto"/>
                <w:szCs w:val="21"/>
              </w:rPr>
            </w:pPr>
            <w:r>
              <w:rPr>
                <w:rFonts w:hint="eastAsia" w:ascii="宋体" w:hAnsi="宋体" w:cs="宋体"/>
                <w:color w:val="auto"/>
                <w:szCs w:val="21"/>
              </w:rPr>
              <w:t>钢</w:t>
            </w:r>
          </w:p>
        </w:tc>
        <w:tc>
          <w:tcPr>
            <w:tcW w:w="579" w:type="dxa"/>
            <w:tcBorders>
              <w:top w:val="nil"/>
              <w:left w:val="nil"/>
              <w:bottom w:val="single" w:color="auto" w:sz="4" w:space="0"/>
              <w:right w:val="single" w:color="auto" w:sz="4" w:space="0"/>
            </w:tcBorders>
            <w:shd w:val="clear" w:color="auto" w:fill="auto"/>
            <w:vAlign w:val="center"/>
          </w:tcPr>
          <w:p w14:paraId="184651CE">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337C8FFC">
            <w:pPr>
              <w:pStyle w:val="52"/>
              <w:spacing w:line="500" w:lineRule="exact"/>
              <w:rPr>
                <w:rFonts w:ascii="宋体" w:hAnsi="宋体" w:cs="宋体"/>
                <w:color w:val="auto"/>
                <w:szCs w:val="21"/>
              </w:rPr>
            </w:pPr>
            <w:r>
              <w:rPr>
                <w:rFonts w:hint="eastAsia" w:ascii="宋体" w:hAnsi="宋体" w:cs="宋体"/>
                <w:color w:val="auto"/>
                <w:szCs w:val="21"/>
              </w:rPr>
              <w:t>4</w:t>
            </w:r>
          </w:p>
        </w:tc>
        <w:tc>
          <w:tcPr>
            <w:tcW w:w="780" w:type="dxa"/>
            <w:tcBorders>
              <w:top w:val="nil"/>
              <w:left w:val="nil"/>
              <w:bottom w:val="single" w:color="auto" w:sz="4" w:space="0"/>
              <w:right w:val="single" w:color="auto" w:sz="4" w:space="0"/>
            </w:tcBorders>
            <w:shd w:val="clear" w:color="auto" w:fill="auto"/>
            <w:vAlign w:val="center"/>
          </w:tcPr>
          <w:p w14:paraId="4B3CE33C">
            <w:pPr>
              <w:pStyle w:val="52"/>
              <w:spacing w:line="500" w:lineRule="exact"/>
              <w:rPr>
                <w:rFonts w:ascii="宋体" w:hAnsi="宋体" w:cs="宋体"/>
                <w:color w:val="auto"/>
                <w:szCs w:val="21"/>
              </w:rPr>
            </w:pPr>
            <w:r>
              <w:rPr>
                <w:rFonts w:hint="eastAsia" w:ascii="宋体" w:hAnsi="宋体" w:cs="宋体"/>
                <w:color w:val="auto"/>
                <w:szCs w:val="21"/>
              </w:rPr>
              <w:t>8</w:t>
            </w:r>
          </w:p>
        </w:tc>
        <w:tc>
          <w:tcPr>
            <w:tcW w:w="1950" w:type="dxa"/>
            <w:tcBorders>
              <w:top w:val="nil"/>
              <w:left w:val="nil"/>
              <w:bottom w:val="single" w:color="auto" w:sz="4" w:space="0"/>
              <w:right w:val="single" w:color="auto" w:sz="4" w:space="0"/>
            </w:tcBorders>
            <w:shd w:val="clear" w:color="auto" w:fill="auto"/>
            <w:vAlign w:val="center"/>
          </w:tcPr>
          <w:p w14:paraId="00214368">
            <w:pPr>
              <w:pStyle w:val="52"/>
              <w:spacing w:line="500" w:lineRule="exact"/>
              <w:rPr>
                <w:rFonts w:ascii="宋体" w:hAnsi="宋体" w:cs="宋体"/>
                <w:color w:val="auto"/>
                <w:szCs w:val="21"/>
              </w:rPr>
            </w:pPr>
            <w:r>
              <w:rPr>
                <w:rFonts w:hint="eastAsia" w:ascii="宋体" w:hAnsi="宋体" w:cs="宋体"/>
                <w:color w:val="auto"/>
                <w:szCs w:val="21"/>
              </w:rPr>
              <w:t>绿化下埋地敷设，覆土0.5m</w:t>
            </w:r>
          </w:p>
        </w:tc>
      </w:tr>
      <w:tr w14:paraId="491284F8">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B5E616D">
            <w:pPr>
              <w:pStyle w:val="52"/>
              <w:spacing w:line="500" w:lineRule="exact"/>
              <w:rPr>
                <w:rFonts w:ascii="宋体" w:hAnsi="宋体" w:cs="宋体"/>
                <w:color w:val="auto"/>
                <w:szCs w:val="21"/>
              </w:rPr>
            </w:pPr>
            <w:r>
              <w:rPr>
                <w:rFonts w:hint="eastAsia" w:ascii="宋体" w:hAnsi="宋体" w:cs="宋体"/>
                <w:color w:val="auto"/>
                <w:szCs w:val="21"/>
              </w:rPr>
              <w:t>12</w:t>
            </w:r>
          </w:p>
        </w:tc>
        <w:tc>
          <w:tcPr>
            <w:tcW w:w="967" w:type="dxa"/>
            <w:tcBorders>
              <w:top w:val="nil"/>
              <w:left w:val="nil"/>
              <w:bottom w:val="single" w:color="auto" w:sz="4" w:space="0"/>
              <w:right w:val="single" w:color="auto" w:sz="4" w:space="0"/>
            </w:tcBorders>
            <w:shd w:val="clear" w:color="auto" w:fill="auto"/>
            <w:vAlign w:val="center"/>
          </w:tcPr>
          <w:p w14:paraId="40681A8D">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B3F5B4B">
            <w:pPr>
              <w:pStyle w:val="52"/>
              <w:spacing w:line="500" w:lineRule="exact"/>
              <w:rPr>
                <w:rFonts w:ascii="宋体" w:hAnsi="宋体" w:cs="宋体"/>
                <w:color w:val="auto"/>
                <w:szCs w:val="21"/>
              </w:rPr>
            </w:pPr>
            <w:r>
              <w:rPr>
                <w:rFonts w:hint="eastAsia" w:ascii="宋体" w:hAnsi="宋体" w:cs="宋体"/>
                <w:color w:val="auto"/>
                <w:szCs w:val="21"/>
              </w:rPr>
              <w:t>焊接钢管</w:t>
            </w:r>
          </w:p>
        </w:tc>
        <w:tc>
          <w:tcPr>
            <w:tcW w:w="2597" w:type="dxa"/>
            <w:tcBorders>
              <w:top w:val="nil"/>
              <w:left w:val="nil"/>
              <w:bottom w:val="single" w:color="auto" w:sz="4" w:space="0"/>
              <w:right w:val="single" w:color="auto" w:sz="4" w:space="0"/>
            </w:tcBorders>
            <w:shd w:val="clear" w:color="auto" w:fill="auto"/>
            <w:vAlign w:val="center"/>
          </w:tcPr>
          <w:p w14:paraId="2A3F5CC7">
            <w:pPr>
              <w:pStyle w:val="52"/>
              <w:spacing w:line="500" w:lineRule="exact"/>
              <w:rPr>
                <w:rFonts w:ascii="宋体" w:hAnsi="宋体" w:cs="宋体"/>
                <w:color w:val="auto"/>
                <w:szCs w:val="21"/>
              </w:rPr>
            </w:pPr>
            <w:r>
              <w:rPr>
                <w:rFonts w:hint="eastAsia" w:ascii="宋体" w:hAnsi="宋体" w:cs="宋体"/>
                <w:color w:val="auto"/>
                <w:szCs w:val="21"/>
              </w:rPr>
              <w:t>DN200，δ=6mm</w:t>
            </w:r>
          </w:p>
        </w:tc>
        <w:tc>
          <w:tcPr>
            <w:tcW w:w="672" w:type="dxa"/>
            <w:tcBorders>
              <w:top w:val="nil"/>
              <w:left w:val="nil"/>
              <w:bottom w:val="single" w:color="auto" w:sz="4" w:space="0"/>
              <w:right w:val="single" w:color="auto" w:sz="4" w:space="0"/>
            </w:tcBorders>
            <w:shd w:val="clear" w:color="auto" w:fill="auto"/>
            <w:vAlign w:val="center"/>
          </w:tcPr>
          <w:p w14:paraId="2A377BB5">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3A8AD6D5">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1B4DE563">
            <w:pPr>
              <w:pStyle w:val="52"/>
              <w:spacing w:line="500" w:lineRule="exact"/>
              <w:rPr>
                <w:rFonts w:ascii="宋体" w:hAnsi="宋体" w:cs="宋体"/>
                <w:color w:val="auto"/>
                <w:szCs w:val="21"/>
              </w:rPr>
            </w:pPr>
            <w:r>
              <w:rPr>
                <w:rFonts w:hint="eastAsia" w:ascii="宋体" w:hAnsi="宋体" w:cs="宋体"/>
                <w:color w:val="auto"/>
                <w:szCs w:val="21"/>
              </w:rPr>
              <w:t>44</w:t>
            </w:r>
          </w:p>
        </w:tc>
        <w:tc>
          <w:tcPr>
            <w:tcW w:w="780" w:type="dxa"/>
            <w:tcBorders>
              <w:top w:val="nil"/>
              <w:left w:val="nil"/>
              <w:bottom w:val="single" w:color="auto" w:sz="4" w:space="0"/>
              <w:right w:val="single" w:color="auto" w:sz="4" w:space="0"/>
            </w:tcBorders>
            <w:shd w:val="clear" w:color="auto" w:fill="auto"/>
            <w:vAlign w:val="center"/>
          </w:tcPr>
          <w:p w14:paraId="1D42C461">
            <w:pPr>
              <w:pStyle w:val="52"/>
              <w:spacing w:line="500" w:lineRule="exact"/>
              <w:rPr>
                <w:rFonts w:ascii="宋体" w:hAnsi="宋体" w:cs="宋体"/>
                <w:color w:val="auto"/>
                <w:szCs w:val="21"/>
              </w:rPr>
            </w:pPr>
            <w:r>
              <w:rPr>
                <w:rFonts w:hint="eastAsia" w:ascii="宋体" w:hAnsi="宋体" w:cs="宋体"/>
                <w:color w:val="auto"/>
                <w:szCs w:val="21"/>
              </w:rPr>
              <w:t>88</w:t>
            </w:r>
          </w:p>
        </w:tc>
        <w:tc>
          <w:tcPr>
            <w:tcW w:w="1950" w:type="dxa"/>
            <w:tcBorders>
              <w:top w:val="nil"/>
              <w:left w:val="nil"/>
              <w:bottom w:val="single" w:color="auto" w:sz="4" w:space="0"/>
              <w:right w:val="single" w:color="auto" w:sz="4" w:space="0"/>
            </w:tcBorders>
            <w:shd w:val="clear" w:color="auto" w:fill="auto"/>
            <w:vAlign w:val="center"/>
          </w:tcPr>
          <w:p w14:paraId="739F72C0">
            <w:pPr>
              <w:pStyle w:val="52"/>
              <w:spacing w:line="500" w:lineRule="exact"/>
              <w:rPr>
                <w:rFonts w:ascii="宋体" w:hAnsi="宋体" w:cs="宋体"/>
                <w:color w:val="auto"/>
                <w:szCs w:val="21"/>
              </w:rPr>
            </w:pPr>
            <w:r>
              <w:rPr>
                <w:rFonts w:hint="eastAsia" w:ascii="宋体" w:hAnsi="宋体" w:cs="宋体"/>
                <w:color w:val="auto"/>
                <w:szCs w:val="21"/>
              </w:rPr>
              <w:t>绿化下埋地敷设，覆土0.5m</w:t>
            </w:r>
          </w:p>
        </w:tc>
      </w:tr>
      <w:tr w14:paraId="59AE8E45">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8E992BC">
            <w:pPr>
              <w:pStyle w:val="52"/>
              <w:spacing w:line="500" w:lineRule="exact"/>
              <w:rPr>
                <w:rFonts w:ascii="宋体" w:hAnsi="宋体" w:cs="宋体"/>
                <w:color w:val="auto"/>
                <w:szCs w:val="21"/>
              </w:rPr>
            </w:pPr>
            <w:r>
              <w:rPr>
                <w:rFonts w:hint="eastAsia" w:ascii="宋体" w:hAnsi="宋体" w:cs="宋体"/>
                <w:color w:val="auto"/>
                <w:szCs w:val="21"/>
              </w:rPr>
              <w:t>13</w:t>
            </w:r>
          </w:p>
        </w:tc>
        <w:tc>
          <w:tcPr>
            <w:tcW w:w="967" w:type="dxa"/>
            <w:tcBorders>
              <w:top w:val="nil"/>
              <w:left w:val="nil"/>
              <w:bottom w:val="single" w:color="auto" w:sz="4" w:space="0"/>
              <w:right w:val="single" w:color="auto" w:sz="4" w:space="0"/>
            </w:tcBorders>
            <w:shd w:val="clear" w:color="auto" w:fill="auto"/>
            <w:vAlign w:val="center"/>
          </w:tcPr>
          <w:p w14:paraId="0F59D94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9BB677C">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65E93223">
            <w:pPr>
              <w:pStyle w:val="52"/>
              <w:spacing w:line="500" w:lineRule="exact"/>
              <w:rPr>
                <w:rFonts w:ascii="宋体" w:hAnsi="宋体" w:cs="宋体"/>
                <w:color w:val="auto"/>
                <w:szCs w:val="21"/>
              </w:rPr>
            </w:pPr>
            <w:r>
              <w:rPr>
                <w:rFonts w:hint="eastAsia" w:ascii="宋体" w:hAnsi="宋体" w:cs="宋体"/>
                <w:color w:val="auto"/>
                <w:szCs w:val="21"/>
              </w:rPr>
              <w:t>De200，PN10</w:t>
            </w:r>
          </w:p>
        </w:tc>
        <w:tc>
          <w:tcPr>
            <w:tcW w:w="672" w:type="dxa"/>
            <w:tcBorders>
              <w:top w:val="nil"/>
              <w:left w:val="nil"/>
              <w:bottom w:val="single" w:color="auto" w:sz="4" w:space="0"/>
              <w:right w:val="single" w:color="auto" w:sz="4" w:space="0"/>
            </w:tcBorders>
            <w:shd w:val="clear" w:color="auto" w:fill="auto"/>
            <w:vAlign w:val="center"/>
          </w:tcPr>
          <w:p w14:paraId="24138E31">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29A542CA">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12E53A2C">
            <w:pPr>
              <w:pStyle w:val="52"/>
              <w:spacing w:line="500" w:lineRule="exact"/>
              <w:rPr>
                <w:rFonts w:ascii="宋体" w:hAnsi="宋体" w:cs="宋体"/>
                <w:color w:val="auto"/>
                <w:szCs w:val="21"/>
              </w:rPr>
            </w:pPr>
            <w:r>
              <w:rPr>
                <w:rFonts w:hint="eastAsia" w:ascii="宋体" w:hAnsi="宋体" w:cs="宋体"/>
                <w:color w:val="auto"/>
                <w:szCs w:val="21"/>
              </w:rPr>
              <w:t>78</w:t>
            </w:r>
          </w:p>
        </w:tc>
        <w:tc>
          <w:tcPr>
            <w:tcW w:w="780" w:type="dxa"/>
            <w:tcBorders>
              <w:top w:val="nil"/>
              <w:left w:val="nil"/>
              <w:bottom w:val="single" w:color="auto" w:sz="4" w:space="0"/>
              <w:right w:val="single" w:color="auto" w:sz="4" w:space="0"/>
            </w:tcBorders>
            <w:shd w:val="clear" w:color="auto" w:fill="auto"/>
            <w:vAlign w:val="center"/>
          </w:tcPr>
          <w:p w14:paraId="19CC9C2C">
            <w:pPr>
              <w:pStyle w:val="52"/>
              <w:spacing w:line="500" w:lineRule="exact"/>
              <w:rPr>
                <w:rFonts w:ascii="宋体" w:hAnsi="宋体" w:cs="宋体"/>
                <w:color w:val="auto"/>
                <w:szCs w:val="21"/>
              </w:rPr>
            </w:pPr>
            <w:r>
              <w:rPr>
                <w:rFonts w:hint="eastAsia" w:ascii="宋体" w:hAnsi="宋体" w:cs="宋体"/>
                <w:color w:val="auto"/>
                <w:szCs w:val="21"/>
              </w:rPr>
              <w:t>156</w:t>
            </w:r>
          </w:p>
        </w:tc>
        <w:tc>
          <w:tcPr>
            <w:tcW w:w="1950" w:type="dxa"/>
            <w:tcBorders>
              <w:top w:val="nil"/>
              <w:left w:val="nil"/>
              <w:bottom w:val="single" w:color="auto" w:sz="4" w:space="0"/>
              <w:right w:val="single" w:color="auto" w:sz="4" w:space="0"/>
            </w:tcBorders>
            <w:shd w:val="clear" w:color="auto" w:fill="auto"/>
            <w:vAlign w:val="center"/>
          </w:tcPr>
          <w:p w14:paraId="4BB33A0D">
            <w:pPr>
              <w:pStyle w:val="52"/>
              <w:spacing w:line="500" w:lineRule="exact"/>
              <w:rPr>
                <w:rFonts w:ascii="宋体" w:hAnsi="宋体" w:cs="宋体"/>
                <w:color w:val="auto"/>
                <w:szCs w:val="21"/>
              </w:rPr>
            </w:pPr>
            <w:r>
              <w:rPr>
                <w:rFonts w:hint="eastAsia" w:ascii="宋体" w:hAnsi="宋体" w:cs="宋体"/>
                <w:color w:val="auto"/>
                <w:szCs w:val="21"/>
              </w:rPr>
              <w:t>　</w:t>
            </w:r>
          </w:p>
        </w:tc>
      </w:tr>
      <w:tr w14:paraId="23773752">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3E302C14">
            <w:pPr>
              <w:pStyle w:val="52"/>
              <w:spacing w:line="500" w:lineRule="exact"/>
              <w:rPr>
                <w:rFonts w:ascii="宋体" w:hAnsi="宋体" w:cs="宋体"/>
                <w:color w:val="auto"/>
                <w:szCs w:val="21"/>
              </w:rPr>
            </w:pPr>
            <w:r>
              <w:rPr>
                <w:rFonts w:hint="eastAsia" w:ascii="宋体" w:hAnsi="宋体" w:cs="宋体"/>
                <w:color w:val="auto"/>
                <w:szCs w:val="21"/>
              </w:rPr>
              <w:t>14</w:t>
            </w:r>
          </w:p>
        </w:tc>
        <w:tc>
          <w:tcPr>
            <w:tcW w:w="967" w:type="dxa"/>
            <w:tcBorders>
              <w:top w:val="nil"/>
              <w:left w:val="nil"/>
              <w:bottom w:val="single" w:color="auto" w:sz="4" w:space="0"/>
              <w:right w:val="single" w:color="auto" w:sz="4" w:space="0"/>
            </w:tcBorders>
            <w:shd w:val="clear" w:color="auto" w:fill="auto"/>
            <w:vAlign w:val="center"/>
          </w:tcPr>
          <w:p w14:paraId="1E4E4D6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3EC76AF">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3CD6E944">
            <w:pPr>
              <w:pStyle w:val="52"/>
              <w:spacing w:line="500" w:lineRule="exact"/>
              <w:rPr>
                <w:rFonts w:ascii="宋体" w:hAnsi="宋体" w:cs="宋体"/>
                <w:color w:val="auto"/>
                <w:szCs w:val="21"/>
              </w:rPr>
            </w:pPr>
            <w:r>
              <w:rPr>
                <w:rFonts w:hint="eastAsia" w:ascii="宋体" w:hAnsi="宋体" w:cs="宋体"/>
                <w:color w:val="auto"/>
                <w:szCs w:val="21"/>
              </w:rPr>
              <w:t>De110，PN10</w:t>
            </w:r>
          </w:p>
        </w:tc>
        <w:tc>
          <w:tcPr>
            <w:tcW w:w="672" w:type="dxa"/>
            <w:tcBorders>
              <w:top w:val="nil"/>
              <w:left w:val="nil"/>
              <w:bottom w:val="single" w:color="auto" w:sz="4" w:space="0"/>
              <w:right w:val="single" w:color="auto" w:sz="4" w:space="0"/>
            </w:tcBorders>
            <w:shd w:val="clear" w:color="auto" w:fill="auto"/>
            <w:vAlign w:val="center"/>
          </w:tcPr>
          <w:p w14:paraId="31300C49">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5444CC75">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322F7D11">
            <w:pPr>
              <w:pStyle w:val="52"/>
              <w:spacing w:line="500" w:lineRule="exact"/>
              <w:rPr>
                <w:rFonts w:ascii="宋体" w:hAnsi="宋体" w:cs="宋体"/>
                <w:color w:val="auto"/>
                <w:szCs w:val="21"/>
              </w:rPr>
            </w:pPr>
            <w:r>
              <w:rPr>
                <w:rFonts w:hint="eastAsia" w:ascii="宋体" w:hAnsi="宋体" w:cs="宋体"/>
                <w:color w:val="auto"/>
                <w:szCs w:val="21"/>
              </w:rPr>
              <w:t>8</w:t>
            </w:r>
          </w:p>
        </w:tc>
        <w:tc>
          <w:tcPr>
            <w:tcW w:w="780" w:type="dxa"/>
            <w:tcBorders>
              <w:top w:val="nil"/>
              <w:left w:val="nil"/>
              <w:bottom w:val="single" w:color="auto" w:sz="4" w:space="0"/>
              <w:right w:val="single" w:color="auto" w:sz="4" w:space="0"/>
            </w:tcBorders>
            <w:shd w:val="clear" w:color="auto" w:fill="auto"/>
            <w:vAlign w:val="center"/>
          </w:tcPr>
          <w:p w14:paraId="1ABB5B0A">
            <w:pPr>
              <w:pStyle w:val="52"/>
              <w:spacing w:line="500" w:lineRule="exact"/>
              <w:rPr>
                <w:rFonts w:ascii="宋体" w:hAnsi="宋体" w:cs="宋体"/>
                <w:color w:val="auto"/>
                <w:szCs w:val="21"/>
              </w:rPr>
            </w:pPr>
            <w:r>
              <w:rPr>
                <w:rFonts w:hint="eastAsia" w:ascii="宋体" w:hAnsi="宋体" w:cs="宋体"/>
                <w:color w:val="auto"/>
                <w:szCs w:val="21"/>
              </w:rPr>
              <w:t>16</w:t>
            </w:r>
          </w:p>
        </w:tc>
        <w:tc>
          <w:tcPr>
            <w:tcW w:w="1950" w:type="dxa"/>
            <w:tcBorders>
              <w:top w:val="nil"/>
              <w:left w:val="nil"/>
              <w:bottom w:val="single" w:color="auto" w:sz="4" w:space="0"/>
              <w:right w:val="single" w:color="auto" w:sz="4" w:space="0"/>
            </w:tcBorders>
            <w:shd w:val="clear" w:color="auto" w:fill="auto"/>
            <w:vAlign w:val="center"/>
          </w:tcPr>
          <w:p w14:paraId="02647514">
            <w:pPr>
              <w:pStyle w:val="52"/>
              <w:spacing w:line="500" w:lineRule="exact"/>
              <w:rPr>
                <w:rFonts w:ascii="宋体" w:hAnsi="宋体" w:cs="宋体"/>
                <w:color w:val="auto"/>
                <w:szCs w:val="21"/>
              </w:rPr>
            </w:pPr>
            <w:r>
              <w:rPr>
                <w:rFonts w:hint="eastAsia" w:ascii="宋体" w:hAnsi="宋体" w:cs="宋体"/>
                <w:color w:val="auto"/>
                <w:szCs w:val="21"/>
              </w:rPr>
              <w:t>　</w:t>
            </w:r>
          </w:p>
        </w:tc>
      </w:tr>
      <w:tr w14:paraId="763B2435">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3DE9403E">
            <w:pPr>
              <w:pStyle w:val="52"/>
              <w:spacing w:line="500" w:lineRule="exact"/>
              <w:rPr>
                <w:rFonts w:ascii="宋体" w:hAnsi="宋体" w:cs="宋体"/>
                <w:color w:val="auto"/>
                <w:szCs w:val="21"/>
              </w:rPr>
            </w:pPr>
            <w:r>
              <w:rPr>
                <w:rFonts w:hint="eastAsia" w:ascii="宋体" w:hAnsi="宋体" w:cs="宋体"/>
                <w:color w:val="auto"/>
                <w:szCs w:val="21"/>
              </w:rPr>
              <w:t>15</w:t>
            </w:r>
          </w:p>
        </w:tc>
        <w:tc>
          <w:tcPr>
            <w:tcW w:w="967" w:type="dxa"/>
            <w:tcBorders>
              <w:top w:val="nil"/>
              <w:left w:val="nil"/>
              <w:bottom w:val="single" w:color="auto" w:sz="4" w:space="0"/>
              <w:right w:val="single" w:color="auto" w:sz="4" w:space="0"/>
            </w:tcBorders>
            <w:shd w:val="clear" w:color="auto" w:fill="auto"/>
            <w:vAlign w:val="center"/>
          </w:tcPr>
          <w:p w14:paraId="1C1ACC2A">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480013C">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1B55A62D">
            <w:pPr>
              <w:pStyle w:val="52"/>
              <w:spacing w:line="500" w:lineRule="exact"/>
              <w:rPr>
                <w:rFonts w:ascii="宋体" w:hAnsi="宋体" w:cs="宋体"/>
                <w:color w:val="auto"/>
                <w:szCs w:val="21"/>
              </w:rPr>
            </w:pPr>
            <w:r>
              <w:rPr>
                <w:rFonts w:hint="eastAsia" w:ascii="宋体" w:hAnsi="宋体" w:cs="宋体"/>
                <w:color w:val="auto"/>
                <w:szCs w:val="21"/>
              </w:rPr>
              <w:t>De90，PN10</w:t>
            </w:r>
          </w:p>
        </w:tc>
        <w:tc>
          <w:tcPr>
            <w:tcW w:w="672" w:type="dxa"/>
            <w:tcBorders>
              <w:top w:val="nil"/>
              <w:left w:val="nil"/>
              <w:bottom w:val="single" w:color="auto" w:sz="4" w:space="0"/>
              <w:right w:val="single" w:color="auto" w:sz="4" w:space="0"/>
            </w:tcBorders>
            <w:shd w:val="clear" w:color="auto" w:fill="auto"/>
            <w:vAlign w:val="center"/>
          </w:tcPr>
          <w:p w14:paraId="186D797F">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3C3CCB73">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39BBED58">
            <w:pPr>
              <w:pStyle w:val="52"/>
              <w:spacing w:line="500" w:lineRule="exact"/>
              <w:rPr>
                <w:rFonts w:ascii="宋体" w:hAnsi="宋体" w:cs="宋体"/>
                <w:color w:val="auto"/>
                <w:szCs w:val="21"/>
              </w:rPr>
            </w:pPr>
            <w:r>
              <w:rPr>
                <w:rFonts w:hint="eastAsia" w:ascii="宋体" w:hAnsi="宋体" w:cs="宋体"/>
                <w:color w:val="auto"/>
                <w:szCs w:val="21"/>
              </w:rPr>
              <w:t>216</w:t>
            </w:r>
          </w:p>
        </w:tc>
        <w:tc>
          <w:tcPr>
            <w:tcW w:w="780" w:type="dxa"/>
            <w:tcBorders>
              <w:top w:val="nil"/>
              <w:left w:val="nil"/>
              <w:bottom w:val="single" w:color="auto" w:sz="4" w:space="0"/>
              <w:right w:val="single" w:color="auto" w:sz="4" w:space="0"/>
            </w:tcBorders>
            <w:shd w:val="clear" w:color="auto" w:fill="auto"/>
            <w:vAlign w:val="center"/>
          </w:tcPr>
          <w:p w14:paraId="70FC64E3">
            <w:pPr>
              <w:pStyle w:val="52"/>
              <w:spacing w:line="500" w:lineRule="exact"/>
              <w:rPr>
                <w:rFonts w:ascii="宋体" w:hAnsi="宋体" w:cs="宋体"/>
                <w:color w:val="auto"/>
                <w:szCs w:val="21"/>
              </w:rPr>
            </w:pPr>
            <w:r>
              <w:rPr>
                <w:rFonts w:hint="eastAsia" w:ascii="宋体" w:hAnsi="宋体" w:cs="宋体"/>
                <w:color w:val="auto"/>
                <w:szCs w:val="21"/>
              </w:rPr>
              <w:t>400</w:t>
            </w:r>
          </w:p>
        </w:tc>
        <w:tc>
          <w:tcPr>
            <w:tcW w:w="1950" w:type="dxa"/>
            <w:tcBorders>
              <w:top w:val="nil"/>
              <w:left w:val="nil"/>
              <w:bottom w:val="single" w:color="auto" w:sz="4" w:space="0"/>
              <w:right w:val="single" w:color="auto" w:sz="4" w:space="0"/>
            </w:tcBorders>
            <w:shd w:val="clear" w:color="auto" w:fill="auto"/>
            <w:vAlign w:val="center"/>
          </w:tcPr>
          <w:p w14:paraId="5ED06D77">
            <w:pPr>
              <w:pStyle w:val="52"/>
              <w:spacing w:line="500" w:lineRule="exact"/>
              <w:rPr>
                <w:rFonts w:ascii="宋体" w:hAnsi="宋体" w:cs="宋体"/>
                <w:color w:val="auto"/>
                <w:szCs w:val="21"/>
              </w:rPr>
            </w:pPr>
            <w:r>
              <w:rPr>
                <w:rFonts w:hint="eastAsia" w:ascii="宋体" w:hAnsi="宋体" w:cs="宋体"/>
                <w:color w:val="auto"/>
                <w:szCs w:val="21"/>
              </w:rPr>
              <w:t>　</w:t>
            </w:r>
          </w:p>
        </w:tc>
      </w:tr>
      <w:tr w14:paraId="5930AC53">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F09F167">
            <w:pPr>
              <w:pStyle w:val="52"/>
              <w:spacing w:line="500" w:lineRule="exact"/>
              <w:rPr>
                <w:rFonts w:ascii="宋体" w:hAnsi="宋体" w:cs="宋体"/>
                <w:color w:val="auto"/>
                <w:szCs w:val="21"/>
              </w:rPr>
            </w:pPr>
            <w:r>
              <w:rPr>
                <w:rFonts w:hint="eastAsia" w:ascii="宋体" w:hAnsi="宋体" w:cs="宋体"/>
                <w:color w:val="auto"/>
                <w:szCs w:val="21"/>
              </w:rPr>
              <w:t>16</w:t>
            </w:r>
          </w:p>
        </w:tc>
        <w:tc>
          <w:tcPr>
            <w:tcW w:w="967" w:type="dxa"/>
            <w:tcBorders>
              <w:top w:val="nil"/>
              <w:left w:val="nil"/>
              <w:bottom w:val="single" w:color="auto" w:sz="4" w:space="0"/>
              <w:right w:val="single" w:color="auto" w:sz="4" w:space="0"/>
            </w:tcBorders>
            <w:shd w:val="clear" w:color="auto" w:fill="auto"/>
            <w:vAlign w:val="center"/>
          </w:tcPr>
          <w:p w14:paraId="4C42E83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BDE34CF">
            <w:pPr>
              <w:pStyle w:val="52"/>
              <w:spacing w:line="500" w:lineRule="exact"/>
              <w:rPr>
                <w:rFonts w:ascii="宋体" w:hAnsi="宋体" w:cs="宋体"/>
                <w:color w:val="auto"/>
                <w:szCs w:val="21"/>
              </w:rPr>
            </w:pPr>
            <w:r>
              <w:rPr>
                <w:rFonts w:hint="eastAsia" w:ascii="宋体" w:hAnsi="宋体" w:cs="宋体"/>
                <w:color w:val="auto"/>
                <w:szCs w:val="21"/>
              </w:rPr>
              <w:t>三通</w:t>
            </w:r>
          </w:p>
        </w:tc>
        <w:tc>
          <w:tcPr>
            <w:tcW w:w="2597" w:type="dxa"/>
            <w:tcBorders>
              <w:top w:val="nil"/>
              <w:left w:val="nil"/>
              <w:bottom w:val="single" w:color="auto" w:sz="4" w:space="0"/>
              <w:right w:val="single" w:color="auto" w:sz="4" w:space="0"/>
            </w:tcBorders>
            <w:shd w:val="clear" w:color="auto" w:fill="auto"/>
            <w:vAlign w:val="center"/>
          </w:tcPr>
          <w:p w14:paraId="0EAB7225">
            <w:pPr>
              <w:pStyle w:val="52"/>
              <w:spacing w:line="500" w:lineRule="exact"/>
              <w:rPr>
                <w:rFonts w:ascii="宋体" w:hAnsi="宋体" w:cs="宋体"/>
                <w:color w:val="auto"/>
                <w:szCs w:val="21"/>
              </w:rPr>
            </w:pPr>
            <w:r>
              <w:rPr>
                <w:rFonts w:hint="eastAsia" w:ascii="宋体" w:hAnsi="宋体" w:cs="宋体"/>
                <w:color w:val="auto"/>
                <w:szCs w:val="21"/>
              </w:rPr>
              <w:t>De200xDe110</w:t>
            </w:r>
          </w:p>
        </w:tc>
        <w:tc>
          <w:tcPr>
            <w:tcW w:w="672" w:type="dxa"/>
            <w:tcBorders>
              <w:top w:val="nil"/>
              <w:left w:val="nil"/>
              <w:bottom w:val="single" w:color="auto" w:sz="4" w:space="0"/>
              <w:right w:val="single" w:color="auto" w:sz="4" w:space="0"/>
            </w:tcBorders>
            <w:shd w:val="clear" w:color="auto" w:fill="auto"/>
            <w:vAlign w:val="center"/>
          </w:tcPr>
          <w:p w14:paraId="373BE5DE">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1654BBE0">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45A57260">
            <w:pPr>
              <w:pStyle w:val="52"/>
              <w:spacing w:line="500" w:lineRule="exact"/>
              <w:rPr>
                <w:rFonts w:ascii="宋体" w:hAnsi="宋体" w:cs="宋体"/>
                <w:color w:val="auto"/>
                <w:szCs w:val="21"/>
              </w:rPr>
            </w:pPr>
            <w:r>
              <w:rPr>
                <w:rFonts w:hint="eastAsia" w:ascii="宋体" w:hAnsi="宋体" w:cs="宋体"/>
                <w:color w:val="auto"/>
                <w:szCs w:val="21"/>
              </w:rPr>
              <w:t>8</w:t>
            </w:r>
          </w:p>
        </w:tc>
        <w:tc>
          <w:tcPr>
            <w:tcW w:w="780" w:type="dxa"/>
            <w:tcBorders>
              <w:top w:val="nil"/>
              <w:left w:val="nil"/>
              <w:bottom w:val="single" w:color="auto" w:sz="4" w:space="0"/>
              <w:right w:val="single" w:color="auto" w:sz="4" w:space="0"/>
            </w:tcBorders>
            <w:shd w:val="clear" w:color="auto" w:fill="auto"/>
            <w:vAlign w:val="center"/>
          </w:tcPr>
          <w:p w14:paraId="50FED451">
            <w:pPr>
              <w:pStyle w:val="52"/>
              <w:spacing w:line="500" w:lineRule="exact"/>
              <w:rPr>
                <w:rFonts w:ascii="宋体" w:hAnsi="宋体" w:cs="宋体"/>
                <w:color w:val="auto"/>
                <w:szCs w:val="21"/>
              </w:rPr>
            </w:pPr>
            <w:r>
              <w:rPr>
                <w:rFonts w:hint="eastAsia" w:ascii="宋体" w:hAnsi="宋体" w:cs="宋体"/>
                <w:color w:val="auto"/>
                <w:szCs w:val="21"/>
              </w:rPr>
              <w:t>16</w:t>
            </w:r>
          </w:p>
        </w:tc>
        <w:tc>
          <w:tcPr>
            <w:tcW w:w="1950" w:type="dxa"/>
            <w:tcBorders>
              <w:top w:val="nil"/>
              <w:left w:val="nil"/>
              <w:bottom w:val="single" w:color="auto" w:sz="4" w:space="0"/>
              <w:right w:val="single" w:color="auto" w:sz="4" w:space="0"/>
            </w:tcBorders>
            <w:shd w:val="clear" w:color="auto" w:fill="auto"/>
            <w:vAlign w:val="center"/>
          </w:tcPr>
          <w:p w14:paraId="5025000A">
            <w:pPr>
              <w:pStyle w:val="52"/>
              <w:spacing w:line="500" w:lineRule="exact"/>
              <w:rPr>
                <w:rFonts w:ascii="宋体" w:hAnsi="宋体" w:cs="宋体"/>
                <w:color w:val="auto"/>
                <w:szCs w:val="21"/>
              </w:rPr>
            </w:pPr>
            <w:r>
              <w:rPr>
                <w:rFonts w:hint="eastAsia" w:ascii="宋体" w:hAnsi="宋体" w:cs="宋体"/>
                <w:color w:val="auto"/>
                <w:szCs w:val="21"/>
              </w:rPr>
              <w:t>　</w:t>
            </w:r>
          </w:p>
        </w:tc>
      </w:tr>
      <w:tr w14:paraId="3484E5A7">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6FFFD35">
            <w:pPr>
              <w:pStyle w:val="52"/>
              <w:spacing w:line="500" w:lineRule="exact"/>
              <w:rPr>
                <w:rFonts w:ascii="宋体" w:hAnsi="宋体" w:cs="宋体"/>
                <w:color w:val="auto"/>
                <w:szCs w:val="21"/>
              </w:rPr>
            </w:pPr>
            <w:r>
              <w:rPr>
                <w:rFonts w:hint="eastAsia" w:ascii="宋体" w:hAnsi="宋体" w:cs="宋体"/>
                <w:color w:val="auto"/>
                <w:szCs w:val="21"/>
              </w:rPr>
              <w:t>17</w:t>
            </w:r>
          </w:p>
        </w:tc>
        <w:tc>
          <w:tcPr>
            <w:tcW w:w="967" w:type="dxa"/>
            <w:tcBorders>
              <w:top w:val="nil"/>
              <w:left w:val="nil"/>
              <w:bottom w:val="single" w:color="auto" w:sz="4" w:space="0"/>
              <w:right w:val="single" w:color="auto" w:sz="4" w:space="0"/>
            </w:tcBorders>
            <w:shd w:val="clear" w:color="auto" w:fill="auto"/>
            <w:vAlign w:val="center"/>
          </w:tcPr>
          <w:p w14:paraId="3E6D2F8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F00B2D9">
            <w:pPr>
              <w:pStyle w:val="52"/>
              <w:spacing w:line="500" w:lineRule="exact"/>
              <w:rPr>
                <w:rFonts w:ascii="宋体" w:hAnsi="宋体" w:cs="宋体"/>
                <w:color w:val="auto"/>
                <w:szCs w:val="21"/>
              </w:rPr>
            </w:pPr>
            <w:r>
              <w:rPr>
                <w:rFonts w:hint="eastAsia" w:ascii="宋体" w:hAnsi="宋体" w:cs="宋体"/>
                <w:color w:val="auto"/>
                <w:szCs w:val="21"/>
              </w:rPr>
              <w:t>三通</w:t>
            </w:r>
          </w:p>
        </w:tc>
        <w:tc>
          <w:tcPr>
            <w:tcW w:w="2597" w:type="dxa"/>
            <w:tcBorders>
              <w:top w:val="nil"/>
              <w:left w:val="nil"/>
              <w:bottom w:val="single" w:color="auto" w:sz="4" w:space="0"/>
              <w:right w:val="single" w:color="auto" w:sz="4" w:space="0"/>
            </w:tcBorders>
            <w:shd w:val="clear" w:color="auto" w:fill="auto"/>
            <w:vAlign w:val="center"/>
          </w:tcPr>
          <w:p w14:paraId="17715A1C">
            <w:pPr>
              <w:pStyle w:val="52"/>
              <w:spacing w:line="500" w:lineRule="exact"/>
              <w:rPr>
                <w:rFonts w:ascii="宋体" w:hAnsi="宋体" w:cs="宋体"/>
                <w:color w:val="auto"/>
                <w:szCs w:val="21"/>
              </w:rPr>
            </w:pPr>
            <w:r>
              <w:rPr>
                <w:rFonts w:hint="eastAsia" w:ascii="宋体" w:hAnsi="宋体" w:cs="宋体"/>
                <w:color w:val="auto"/>
                <w:szCs w:val="21"/>
              </w:rPr>
              <w:t>De110xDe110</w:t>
            </w:r>
          </w:p>
        </w:tc>
        <w:tc>
          <w:tcPr>
            <w:tcW w:w="672" w:type="dxa"/>
            <w:tcBorders>
              <w:top w:val="nil"/>
              <w:left w:val="nil"/>
              <w:bottom w:val="single" w:color="auto" w:sz="4" w:space="0"/>
              <w:right w:val="single" w:color="auto" w:sz="4" w:space="0"/>
            </w:tcBorders>
            <w:shd w:val="clear" w:color="auto" w:fill="auto"/>
            <w:vAlign w:val="center"/>
          </w:tcPr>
          <w:p w14:paraId="0A15ADA5">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23FC4398">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08268D8C">
            <w:pPr>
              <w:pStyle w:val="52"/>
              <w:spacing w:line="500" w:lineRule="exact"/>
              <w:rPr>
                <w:rFonts w:ascii="宋体" w:hAnsi="宋体" w:cs="宋体"/>
                <w:color w:val="auto"/>
                <w:szCs w:val="21"/>
              </w:rPr>
            </w:pPr>
            <w:r>
              <w:rPr>
                <w:rFonts w:hint="eastAsia" w:ascii="宋体" w:hAnsi="宋体" w:cs="宋体"/>
                <w:color w:val="auto"/>
                <w:szCs w:val="21"/>
              </w:rPr>
              <w:t>8</w:t>
            </w:r>
          </w:p>
        </w:tc>
        <w:tc>
          <w:tcPr>
            <w:tcW w:w="780" w:type="dxa"/>
            <w:tcBorders>
              <w:top w:val="nil"/>
              <w:left w:val="nil"/>
              <w:bottom w:val="single" w:color="auto" w:sz="4" w:space="0"/>
              <w:right w:val="single" w:color="auto" w:sz="4" w:space="0"/>
            </w:tcBorders>
            <w:shd w:val="clear" w:color="auto" w:fill="auto"/>
            <w:vAlign w:val="center"/>
          </w:tcPr>
          <w:p w14:paraId="30976CA5">
            <w:pPr>
              <w:pStyle w:val="52"/>
              <w:spacing w:line="500" w:lineRule="exact"/>
              <w:rPr>
                <w:rFonts w:ascii="宋体" w:hAnsi="宋体" w:cs="宋体"/>
                <w:color w:val="auto"/>
                <w:szCs w:val="21"/>
              </w:rPr>
            </w:pPr>
            <w:r>
              <w:rPr>
                <w:rFonts w:hint="eastAsia" w:ascii="宋体" w:hAnsi="宋体" w:cs="宋体"/>
                <w:color w:val="auto"/>
                <w:szCs w:val="21"/>
              </w:rPr>
              <w:t>16</w:t>
            </w:r>
          </w:p>
        </w:tc>
        <w:tc>
          <w:tcPr>
            <w:tcW w:w="1950" w:type="dxa"/>
            <w:tcBorders>
              <w:top w:val="nil"/>
              <w:left w:val="nil"/>
              <w:bottom w:val="single" w:color="auto" w:sz="4" w:space="0"/>
              <w:right w:val="single" w:color="auto" w:sz="4" w:space="0"/>
            </w:tcBorders>
            <w:shd w:val="clear" w:color="auto" w:fill="auto"/>
            <w:vAlign w:val="center"/>
          </w:tcPr>
          <w:p w14:paraId="4291B06F">
            <w:pPr>
              <w:pStyle w:val="52"/>
              <w:spacing w:line="500" w:lineRule="exact"/>
              <w:rPr>
                <w:rFonts w:ascii="宋体" w:hAnsi="宋体" w:cs="宋体"/>
                <w:color w:val="auto"/>
                <w:szCs w:val="21"/>
              </w:rPr>
            </w:pPr>
            <w:r>
              <w:rPr>
                <w:rFonts w:hint="eastAsia" w:ascii="宋体" w:hAnsi="宋体" w:cs="宋体"/>
                <w:color w:val="auto"/>
                <w:szCs w:val="21"/>
              </w:rPr>
              <w:t>　</w:t>
            </w:r>
          </w:p>
        </w:tc>
      </w:tr>
      <w:tr w14:paraId="2A6E402A">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A4DE7B8">
            <w:pPr>
              <w:pStyle w:val="52"/>
              <w:spacing w:line="500" w:lineRule="exact"/>
              <w:rPr>
                <w:rFonts w:ascii="宋体" w:hAnsi="宋体" w:cs="宋体"/>
                <w:color w:val="auto"/>
                <w:szCs w:val="21"/>
              </w:rPr>
            </w:pPr>
            <w:r>
              <w:rPr>
                <w:rFonts w:hint="eastAsia" w:ascii="宋体" w:hAnsi="宋体" w:cs="宋体"/>
                <w:color w:val="auto"/>
                <w:szCs w:val="21"/>
              </w:rPr>
              <w:t>18</w:t>
            </w:r>
          </w:p>
        </w:tc>
        <w:tc>
          <w:tcPr>
            <w:tcW w:w="967" w:type="dxa"/>
            <w:tcBorders>
              <w:top w:val="nil"/>
              <w:left w:val="nil"/>
              <w:bottom w:val="single" w:color="auto" w:sz="4" w:space="0"/>
              <w:right w:val="single" w:color="auto" w:sz="4" w:space="0"/>
            </w:tcBorders>
            <w:shd w:val="clear" w:color="auto" w:fill="auto"/>
            <w:vAlign w:val="center"/>
          </w:tcPr>
          <w:p w14:paraId="761E981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8EE0F95">
            <w:pPr>
              <w:pStyle w:val="52"/>
              <w:spacing w:line="500" w:lineRule="exact"/>
              <w:rPr>
                <w:rFonts w:ascii="宋体" w:hAnsi="宋体" w:cs="宋体"/>
                <w:color w:val="auto"/>
                <w:szCs w:val="21"/>
              </w:rPr>
            </w:pPr>
            <w:r>
              <w:rPr>
                <w:rFonts w:hint="eastAsia" w:ascii="宋体" w:hAnsi="宋体" w:cs="宋体"/>
                <w:color w:val="auto"/>
                <w:szCs w:val="21"/>
              </w:rPr>
              <w:t>异径管</w:t>
            </w:r>
          </w:p>
        </w:tc>
        <w:tc>
          <w:tcPr>
            <w:tcW w:w="2597" w:type="dxa"/>
            <w:tcBorders>
              <w:top w:val="nil"/>
              <w:left w:val="nil"/>
              <w:bottom w:val="single" w:color="auto" w:sz="4" w:space="0"/>
              <w:right w:val="single" w:color="auto" w:sz="4" w:space="0"/>
            </w:tcBorders>
            <w:shd w:val="clear" w:color="auto" w:fill="auto"/>
            <w:vAlign w:val="center"/>
          </w:tcPr>
          <w:p w14:paraId="6B287A21">
            <w:pPr>
              <w:pStyle w:val="52"/>
              <w:spacing w:line="500" w:lineRule="exact"/>
              <w:rPr>
                <w:rFonts w:ascii="宋体" w:hAnsi="宋体" w:cs="宋体"/>
                <w:color w:val="auto"/>
                <w:szCs w:val="21"/>
              </w:rPr>
            </w:pPr>
            <w:r>
              <w:rPr>
                <w:rFonts w:hint="eastAsia" w:ascii="宋体" w:hAnsi="宋体" w:cs="宋体"/>
                <w:color w:val="auto"/>
                <w:szCs w:val="21"/>
              </w:rPr>
              <w:t>De110xDe90</w:t>
            </w:r>
          </w:p>
        </w:tc>
        <w:tc>
          <w:tcPr>
            <w:tcW w:w="672" w:type="dxa"/>
            <w:tcBorders>
              <w:top w:val="nil"/>
              <w:left w:val="nil"/>
              <w:bottom w:val="single" w:color="auto" w:sz="4" w:space="0"/>
              <w:right w:val="single" w:color="auto" w:sz="4" w:space="0"/>
            </w:tcBorders>
            <w:shd w:val="clear" w:color="auto" w:fill="auto"/>
            <w:vAlign w:val="center"/>
          </w:tcPr>
          <w:p w14:paraId="0E47EE85">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1D3390D0">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38112DBF">
            <w:pPr>
              <w:pStyle w:val="52"/>
              <w:spacing w:line="500" w:lineRule="exact"/>
              <w:rPr>
                <w:rFonts w:ascii="宋体" w:hAnsi="宋体" w:cs="宋体"/>
                <w:color w:val="auto"/>
                <w:szCs w:val="21"/>
              </w:rPr>
            </w:pPr>
            <w:r>
              <w:rPr>
                <w:rFonts w:hint="eastAsia" w:ascii="宋体" w:hAnsi="宋体" w:cs="宋体"/>
                <w:color w:val="auto"/>
                <w:szCs w:val="21"/>
              </w:rPr>
              <w:t>16</w:t>
            </w:r>
          </w:p>
        </w:tc>
        <w:tc>
          <w:tcPr>
            <w:tcW w:w="780" w:type="dxa"/>
            <w:tcBorders>
              <w:top w:val="nil"/>
              <w:left w:val="nil"/>
              <w:bottom w:val="single" w:color="auto" w:sz="4" w:space="0"/>
              <w:right w:val="single" w:color="auto" w:sz="4" w:space="0"/>
            </w:tcBorders>
            <w:shd w:val="clear" w:color="auto" w:fill="auto"/>
            <w:vAlign w:val="center"/>
          </w:tcPr>
          <w:p w14:paraId="4DFBA6E5">
            <w:pPr>
              <w:pStyle w:val="52"/>
              <w:spacing w:line="500" w:lineRule="exact"/>
              <w:rPr>
                <w:rFonts w:ascii="宋体" w:hAnsi="宋体" w:cs="宋体"/>
                <w:color w:val="auto"/>
                <w:szCs w:val="21"/>
              </w:rPr>
            </w:pPr>
            <w:r>
              <w:rPr>
                <w:rFonts w:hint="eastAsia" w:ascii="宋体" w:hAnsi="宋体" w:cs="宋体"/>
                <w:color w:val="auto"/>
                <w:szCs w:val="21"/>
              </w:rPr>
              <w:t>32</w:t>
            </w:r>
          </w:p>
        </w:tc>
        <w:tc>
          <w:tcPr>
            <w:tcW w:w="1950" w:type="dxa"/>
            <w:tcBorders>
              <w:top w:val="nil"/>
              <w:left w:val="nil"/>
              <w:bottom w:val="single" w:color="auto" w:sz="4" w:space="0"/>
              <w:right w:val="single" w:color="auto" w:sz="4" w:space="0"/>
            </w:tcBorders>
            <w:shd w:val="clear" w:color="auto" w:fill="auto"/>
            <w:vAlign w:val="center"/>
          </w:tcPr>
          <w:p w14:paraId="261970E1">
            <w:pPr>
              <w:pStyle w:val="52"/>
              <w:spacing w:line="500" w:lineRule="exact"/>
              <w:rPr>
                <w:rFonts w:ascii="宋体" w:hAnsi="宋体" w:cs="宋体"/>
                <w:color w:val="auto"/>
                <w:szCs w:val="21"/>
              </w:rPr>
            </w:pPr>
            <w:r>
              <w:rPr>
                <w:rFonts w:hint="eastAsia" w:ascii="宋体" w:hAnsi="宋体" w:cs="宋体"/>
                <w:color w:val="auto"/>
                <w:szCs w:val="21"/>
              </w:rPr>
              <w:t>　</w:t>
            </w:r>
          </w:p>
        </w:tc>
      </w:tr>
      <w:tr w14:paraId="31D763DA">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71734BD">
            <w:pPr>
              <w:pStyle w:val="52"/>
              <w:spacing w:line="500" w:lineRule="exact"/>
              <w:rPr>
                <w:rFonts w:ascii="宋体" w:hAnsi="宋体" w:cs="宋体"/>
                <w:color w:val="auto"/>
                <w:szCs w:val="21"/>
              </w:rPr>
            </w:pPr>
            <w:r>
              <w:rPr>
                <w:rFonts w:hint="eastAsia" w:ascii="宋体" w:hAnsi="宋体" w:cs="宋体"/>
                <w:color w:val="auto"/>
                <w:szCs w:val="21"/>
              </w:rPr>
              <w:t>19</w:t>
            </w:r>
          </w:p>
        </w:tc>
        <w:tc>
          <w:tcPr>
            <w:tcW w:w="967" w:type="dxa"/>
            <w:tcBorders>
              <w:top w:val="nil"/>
              <w:left w:val="nil"/>
              <w:bottom w:val="single" w:color="auto" w:sz="4" w:space="0"/>
              <w:right w:val="single" w:color="auto" w:sz="4" w:space="0"/>
            </w:tcBorders>
            <w:shd w:val="clear" w:color="auto" w:fill="auto"/>
            <w:vAlign w:val="center"/>
          </w:tcPr>
          <w:p w14:paraId="55F70292">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57ED9829">
            <w:pPr>
              <w:pStyle w:val="52"/>
              <w:spacing w:line="500" w:lineRule="exact"/>
              <w:rPr>
                <w:rFonts w:ascii="宋体" w:hAnsi="宋体" w:cs="宋体"/>
                <w:color w:val="auto"/>
                <w:szCs w:val="21"/>
              </w:rPr>
            </w:pPr>
            <w:r>
              <w:rPr>
                <w:rFonts w:hint="eastAsia" w:ascii="宋体" w:hAnsi="宋体" w:cs="宋体"/>
                <w:color w:val="auto"/>
                <w:szCs w:val="21"/>
              </w:rPr>
              <w:t>三通</w:t>
            </w:r>
          </w:p>
        </w:tc>
        <w:tc>
          <w:tcPr>
            <w:tcW w:w="2597" w:type="dxa"/>
            <w:tcBorders>
              <w:top w:val="nil"/>
              <w:left w:val="nil"/>
              <w:bottom w:val="single" w:color="auto" w:sz="4" w:space="0"/>
              <w:right w:val="single" w:color="auto" w:sz="4" w:space="0"/>
            </w:tcBorders>
            <w:shd w:val="clear" w:color="auto" w:fill="auto"/>
            <w:vAlign w:val="center"/>
          </w:tcPr>
          <w:p w14:paraId="7861807F">
            <w:pPr>
              <w:pStyle w:val="52"/>
              <w:spacing w:line="500" w:lineRule="exact"/>
              <w:rPr>
                <w:rFonts w:ascii="宋体" w:hAnsi="宋体" w:cs="宋体"/>
                <w:color w:val="auto"/>
                <w:szCs w:val="21"/>
              </w:rPr>
            </w:pPr>
            <w:r>
              <w:rPr>
                <w:rFonts w:hint="eastAsia" w:ascii="宋体" w:hAnsi="宋体" w:cs="宋体"/>
                <w:color w:val="auto"/>
                <w:szCs w:val="21"/>
              </w:rPr>
              <w:t>De90xDe90</w:t>
            </w:r>
          </w:p>
        </w:tc>
        <w:tc>
          <w:tcPr>
            <w:tcW w:w="672" w:type="dxa"/>
            <w:tcBorders>
              <w:top w:val="nil"/>
              <w:left w:val="nil"/>
              <w:bottom w:val="single" w:color="auto" w:sz="4" w:space="0"/>
              <w:right w:val="single" w:color="auto" w:sz="4" w:space="0"/>
            </w:tcBorders>
            <w:shd w:val="clear" w:color="auto" w:fill="auto"/>
            <w:vAlign w:val="center"/>
          </w:tcPr>
          <w:p w14:paraId="3572FD20">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5011BFAF">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103DB8D3">
            <w:pPr>
              <w:pStyle w:val="52"/>
              <w:spacing w:line="500" w:lineRule="exact"/>
              <w:rPr>
                <w:rFonts w:ascii="宋体" w:hAnsi="宋体" w:cs="宋体"/>
                <w:color w:val="auto"/>
                <w:szCs w:val="21"/>
              </w:rPr>
            </w:pPr>
            <w:r>
              <w:rPr>
                <w:rFonts w:hint="eastAsia" w:ascii="宋体" w:hAnsi="宋体" w:cs="宋体"/>
                <w:color w:val="auto"/>
                <w:szCs w:val="21"/>
              </w:rPr>
              <w:t>16</w:t>
            </w:r>
          </w:p>
        </w:tc>
        <w:tc>
          <w:tcPr>
            <w:tcW w:w="780" w:type="dxa"/>
            <w:tcBorders>
              <w:top w:val="nil"/>
              <w:left w:val="nil"/>
              <w:bottom w:val="single" w:color="auto" w:sz="4" w:space="0"/>
              <w:right w:val="single" w:color="auto" w:sz="4" w:space="0"/>
            </w:tcBorders>
            <w:shd w:val="clear" w:color="auto" w:fill="auto"/>
            <w:vAlign w:val="center"/>
          </w:tcPr>
          <w:p w14:paraId="7619441B">
            <w:pPr>
              <w:pStyle w:val="52"/>
              <w:spacing w:line="500" w:lineRule="exact"/>
              <w:rPr>
                <w:rFonts w:ascii="宋体" w:hAnsi="宋体" w:cs="宋体"/>
                <w:color w:val="auto"/>
                <w:szCs w:val="21"/>
              </w:rPr>
            </w:pPr>
            <w:r>
              <w:rPr>
                <w:rFonts w:hint="eastAsia" w:ascii="宋体" w:hAnsi="宋体" w:cs="宋体"/>
                <w:color w:val="auto"/>
                <w:szCs w:val="21"/>
              </w:rPr>
              <w:t>32</w:t>
            </w:r>
          </w:p>
        </w:tc>
        <w:tc>
          <w:tcPr>
            <w:tcW w:w="1950" w:type="dxa"/>
            <w:tcBorders>
              <w:top w:val="nil"/>
              <w:left w:val="nil"/>
              <w:bottom w:val="single" w:color="auto" w:sz="4" w:space="0"/>
              <w:right w:val="single" w:color="auto" w:sz="4" w:space="0"/>
            </w:tcBorders>
            <w:shd w:val="clear" w:color="auto" w:fill="auto"/>
            <w:vAlign w:val="center"/>
          </w:tcPr>
          <w:p w14:paraId="0147BF48">
            <w:pPr>
              <w:pStyle w:val="52"/>
              <w:spacing w:line="500" w:lineRule="exact"/>
              <w:rPr>
                <w:rFonts w:ascii="宋体" w:hAnsi="宋体" w:cs="宋体"/>
                <w:color w:val="auto"/>
                <w:szCs w:val="21"/>
              </w:rPr>
            </w:pPr>
            <w:r>
              <w:rPr>
                <w:rFonts w:hint="eastAsia" w:ascii="宋体" w:hAnsi="宋体" w:cs="宋体"/>
                <w:color w:val="auto"/>
                <w:szCs w:val="21"/>
              </w:rPr>
              <w:t>　</w:t>
            </w:r>
          </w:p>
        </w:tc>
      </w:tr>
      <w:tr w14:paraId="780E9AEE">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00524C5">
            <w:pPr>
              <w:pStyle w:val="52"/>
              <w:spacing w:line="500" w:lineRule="exact"/>
              <w:rPr>
                <w:rFonts w:ascii="宋体" w:hAnsi="宋体" w:cs="宋体"/>
                <w:color w:val="auto"/>
                <w:szCs w:val="21"/>
              </w:rPr>
            </w:pPr>
            <w:r>
              <w:rPr>
                <w:rFonts w:hint="eastAsia" w:ascii="宋体" w:hAnsi="宋体" w:cs="宋体"/>
                <w:color w:val="auto"/>
                <w:szCs w:val="21"/>
              </w:rPr>
              <w:t>20</w:t>
            </w:r>
          </w:p>
        </w:tc>
        <w:tc>
          <w:tcPr>
            <w:tcW w:w="967" w:type="dxa"/>
            <w:tcBorders>
              <w:top w:val="nil"/>
              <w:left w:val="nil"/>
              <w:bottom w:val="single" w:color="auto" w:sz="4" w:space="0"/>
              <w:right w:val="single" w:color="auto" w:sz="4" w:space="0"/>
            </w:tcBorders>
            <w:shd w:val="clear" w:color="auto" w:fill="auto"/>
            <w:vAlign w:val="center"/>
          </w:tcPr>
          <w:p w14:paraId="66D1BCB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75BD5DAA">
            <w:pPr>
              <w:pStyle w:val="52"/>
              <w:spacing w:line="500" w:lineRule="exact"/>
              <w:rPr>
                <w:rFonts w:ascii="宋体" w:hAnsi="宋体" w:cs="宋体"/>
                <w:color w:val="auto"/>
                <w:szCs w:val="21"/>
              </w:rPr>
            </w:pPr>
            <w:r>
              <w:rPr>
                <w:rFonts w:hint="eastAsia" w:ascii="宋体" w:hAnsi="宋体" w:cs="宋体"/>
                <w:color w:val="auto"/>
                <w:szCs w:val="21"/>
              </w:rPr>
              <w:t>均匀分布器</w:t>
            </w:r>
          </w:p>
        </w:tc>
        <w:tc>
          <w:tcPr>
            <w:tcW w:w="2597" w:type="dxa"/>
            <w:tcBorders>
              <w:top w:val="nil"/>
              <w:left w:val="nil"/>
              <w:bottom w:val="single" w:color="auto" w:sz="4" w:space="0"/>
              <w:right w:val="single" w:color="auto" w:sz="4" w:space="0"/>
            </w:tcBorders>
            <w:shd w:val="clear" w:color="auto" w:fill="auto"/>
            <w:vAlign w:val="center"/>
          </w:tcPr>
          <w:p w14:paraId="10D899EE">
            <w:pPr>
              <w:pStyle w:val="52"/>
              <w:spacing w:line="500" w:lineRule="exact"/>
              <w:rPr>
                <w:rFonts w:ascii="宋体" w:hAnsi="宋体" w:cs="宋体"/>
                <w:color w:val="auto"/>
                <w:szCs w:val="21"/>
              </w:rPr>
            </w:pPr>
            <w:r>
              <w:rPr>
                <w:rFonts w:hint="eastAsia" w:ascii="宋体" w:hAnsi="宋体" w:cs="宋体"/>
                <w:color w:val="auto"/>
                <w:szCs w:val="21"/>
              </w:rPr>
              <w:t>TV-Ⅱ，Φ200，2.96m3/h</w:t>
            </w:r>
          </w:p>
        </w:tc>
        <w:tc>
          <w:tcPr>
            <w:tcW w:w="672" w:type="dxa"/>
            <w:tcBorders>
              <w:top w:val="nil"/>
              <w:left w:val="nil"/>
              <w:bottom w:val="single" w:color="auto" w:sz="4" w:space="0"/>
              <w:right w:val="single" w:color="auto" w:sz="4" w:space="0"/>
            </w:tcBorders>
            <w:shd w:val="clear" w:color="auto" w:fill="auto"/>
            <w:vAlign w:val="center"/>
          </w:tcPr>
          <w:p w14:paraId="233EBF84">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02B585AE">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0417417F">
            <w:pPr>
              <w:pStyle w:val="52"/>
              <w:spacing w:line="500" w:lineRule="exact"/>
              <w:rPr>
                <w:rFonts w:ascii="宋体" w:hAnsi="宋体" w:cs="宋体"/>
                <w:color w:val="auto"/>
                <w:szCs w:val="21"/>
              </w:rPr>
            </w:pPr>
            <w:r>
              <w:rPr>
                <w:rFonts w:hint="eastAsia" w:ascii="宋体" w:hAnsi="宋体" w:cs="宋体"/>
                <w:color w:val="auto"/>
                <w:szCs w:val="21"/>
              </w:rPr>
              <w:t>112</w:t>
            </w:r>
          </w:p>
        </w:tc>
        <w:tc>
          <w:tcPr>
            <w:tcW w:w="780" w:type="dxa"/>
            <w:tcBorders>
              <w:top w:val="nil"/>
              <w:left w:val="nil"/>
              <w:bottom w:val="single" w:color="auto" w:sz="4" w:space="0"/>
              <w:right w:val="single" w:color="auto" w:sz="4" w:space="0"/>
            </w:tcBorders>
            <w:shd w:val="clear" w:color="auto" w:fill="auto"/>
            <w:vAlign w:val="center"/>
          </w:tcPr>
          <w:p w14:paraId="12469994">
            <w:pPr>
              <w:pStyle w:val="52"/>
              <w:spacing w:line="500" w:lineRule="exact"/>
              <w:rPr>
                <w:rFonts w:ascii="宋体" w:hAnsi="宋体" w:cs="宋体"/>
                <w:color w:val="auto"/>
                <w:szCs w:val="21"/>
              </w:rPr>
            </w:pPr>
            <w:r>
              <w:rPr>
                <w:rFonts w:hint="eastAsia" w:ascii="宋体" w:hAnsi="宋体" w:cs="宋体"/>
                <w:color w:val="auto"/>
                <w:szCs w:val="21"/>
              </w:rPr>
              <w:t>112</w:t>
            </w:r>
          </w:p>
        </w:tc>
        <w:tc>
          <w:tcPr>
            <w:tcW w:w="1950" w:type="dxa"/>
            <w:tcBorders>
              <w:top w:val="nil"/>
              <w:left w:val="nil"/>
              <w:bottom w:val="single" w:color="auto" w:sz="4" w:space="0"/>
              <w:right w:val="single" w:color="auto" w:sz="4" w:space="0"/>
            </w:tcBorders>
            <w:shd w:val="clear" w:color="auto" w:fill="auto"/>
            <w:vAlign w:val="center"/>
          </w:tcPr>
          <w:p w14:paraId="529D7D7D">
            <w:pPr>
              <w:pStyle w:val="52"/>
              <w:spacing w:line="500" w:lineRule="exact"/>
              <w:rPr>
                <w:rFonts w:ascii="宋体" w:hAnsi="宋体" w:cs="宋体"/>
                <w:color w:val="auto"/>
                <w:szCs w:val="21"/>
              </w:rPr>
            </w:pPr>
            <w:r>
              <w:rPr>
                <w:rFonts w:hint="eastAsia" w:ascii="宋体" w:hAnsi="宋体" w:cs="宋体"/>
                <w:color w:val="auto"/>
                <w:szCs w:val="21"/>
              </w:rPr>
              <w:t>　</w:t>
            </w:r>
          </w:p>
        </w:tc>
      </w:tr>
      <w:tr w14:paraId="01EF1750">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FAF6DF6">
            <w:pPr>
              <w:pStyle w:val="52"/>
              <w:spacing w:line="500" w:lineRule="exact"/>
              <w:rPr>
                <w:rFonts w:ascii="宋体" w:hAnsi="宋体" w:cs="宋体"/>
                <w:color w:val="auto"/>
                <w:szCs w:val="21"/>
              </w:rPr>
            </w:pPr>
            <w:r>
              <w:rPr>
                <w:rFonts w:hint="eastAsia" w:ascii="宋体" w:hAnsi="宋体" w:cs="宋体"/>
                <w:color w:val="auto"/>
                <w:szCs w:val="21"/>
              </w:rPr>
              <w:t>21</w:t>
            </w:r>
          </w:p>
        </w:tc>
        <w:tc>
          <w:tcPr>
            <w:tcW w:w="967" w:type="dxa"/>
            <w:tcBorders>
              <w:top w:val="nil"/>
              <w:left w:val="nil"/>
              <w:bottom w:val="single" w:color="auto" w:sz="4" w:space="0"/>
              <w:right w:val="single" w:color="auto" w:sz="4" w:space="0"/>
            </w:tcBorders>
            <w:shd w:val="clear" w:color="auto" w:fill="auto"/>
            <w:noWrap/>
            <w:vAlign w:val="center"/>
          </w:tcPr>
          <w:p w14:paraId="1210D103">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12A9EC4">
            <w:pPr>
              <w:pStyle w:val="52"/>
              <w:spacing w:line="500" w:lineRule="exact"/>
              <w:rPr>
                <w:rFonts w:ascii="宋体" w:hAnsi="宋体" w:cs="宋体"/>
                <w:color w:val="auto"/>
                <w:szCs w:val="21"/>
              </w:rPr>
            </w:pPr>
            <w:r>
              <w:rPr>
                <w:rFonts w:hint="eastAsia" w:ascii="宋体" w:hAnsi="宋体" w:cs="宋体"/>
                <w:color w:val="auto"/>
                <w:szCs w:val="21"/>
              </w:rPr>
              <w:t>PE管</w:t>
            </w:r>
          </w:p>
        </w:tc>
        <w:tc>
          <w:tcPr>
            <w:tcW w:w="2597" w:type="dxa"/>
            <w:tcBorders>
              <w:top w:val="nil"/>
              <w:left w:val="nil"/>
              <w:bottom w:val="single" w:color="auto" w:sz="4" w:space="0"/>
              <w:right w:val="single" w:color="auto" w:sz="4" w:space="0"/>
            </w:tcBorders>
            <w:shd w:val="clear" w:color="auto" w:fill="auto"/>
            <w:vAlign w:val="center"/>
          </w:tcPr>
          <w:p w14:paraId="591828DD">
            <w:pPr>
              <w:pStyle w:val="52"/>
              <w:spacing w:line="500" w:lineRule="exact"/>
              <w:rPr>
                <w:rFonts w:ascii="宋体" w:hAnsi="宋体" w:cs="宋体"/>
                <w:color w:val="auto"/>
                <w:szCs w:val="21"/>
              </w:rPr>
            </w:pPr>
            <w:r>
              <w:rPr>
                <w:rFonts w:hint="eastAsia" w:ascii="宋体" w:hAnsi="宋体" w:cs="宋体"/>
                <w:color w:val="auto"/>
                <w:szCs w:val="21"/>
              </w:rPr>
              <w:t>De110，PN10</w:t>
            </w:r>
          </w:p>
        </w:tc>
        <w:tc>
          <w:tcPr>
            <w:tcW w:w="672" w:type="dxa"/>
            <w:tcBorders>
              <w:top w:val="nil"/>
              <w:left w:val="nil"/>
              <w:bottom w:val="single" w:color="auto" w:sz="4" w:space="0"/>
              <w:right w:val="single" w:color="auto" w:sz="4" w:space="0"/>
            </w:tcBorders>
            <w:shd w:val="clear" w:color="auto" w:fill="auto"/>
            <w:vAlign w:val="center"/>
          </w:tcPr>
          <w:p w14:paraId="0783CE76">
            <w:pPr>
              <w:pStyle w:val="52"/>
              <w:spacing w:line="500" w:lineRule="exact"/>
              <w:rPr>
                <w:rFonts w:ascii="宋体" w:hAnsi="宋体" w:cs="宋体"/>
                <w:color w:val="auto"/>
                <w:szCs w:val="21"/>
              </w:rPr>
            </w:pPr>
            <w:r>
              <w:rPr>
                <w:rFonts w:hint="eastAsia" w:ascii="宋体" w:hAnsi="宋体" w:cs="宋体"/>
                <w:color w:val="auto"/>
                <w:szCs w:val="21"/>
              </w:rPr>
              <w:t>PE管</w:t>
            </w:r>
          </w:p>
        </w:tc>
        <w:tc>
          <w:tcPr>
            <w:tcW w:w="579" w:type="dxa"/>
            <w:tcBorders>
              <w:top w:val="nil"/>
              <w:left w:val="nil"/>
              <w:bottom w:val="single" w:color="auto" w:sz="4" w:space="0"/>
              <w:right w:val="single" w:color="auto" w:sz="4" w:space="0"/>
            </w:tcBorders>
            <w:shd w:val="clear" w:color="auto" w:fill="auto"/>
            <w:vAlign w:val="center"/>
          </w:tcPr>
          <w:p w14:paraId="1E6A01B9">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0EC9FE57">
            <w:pPr>
              <w:pStyle w:val="52"/>
              <w:spacing w:line="500" w:lineRule="exact"/>
              <w:rPr>
                <w:rFonts w:ascii="宋体" w:hAnsi="宋体" w:cs="宋体"/>
                <w:color w:val="auto"/>
                <w:szCs w:val="21"/>
              </w:rPr>
            </w:pPr>
            <w:r>
              <w:rPr>
                <w:rFonts w:hint="eastAsia" w:ascii="宋体" w:hAnsi="宋体" w:cs="宋体"/>
                <w:color w:val="auto"/>
                <w:szCs w:val="21"/>
              </w:rPr>
              <w:t>10</w:t>
            </w:r>
          </w:p>
        </w:tc>
        <w:tc>
          <w:tcPr>
            <w:tcW w:w="780" w:type="dxa"/>
            <w:tcBorders>
              <w:top w:val="nil"/>
              <w:left w:val="nil"/>
              <w:bottom w:val="single" w:color="auto" w:sz="4" w:space="0"/>
              <w:right w:val="single" w:color="auto" w:sz="4" w:space="0"/>
            </w:tcBorders>
            <w:shd w:val="clear" w:color="auto" w:fill="auto"/>
            <w:vAlign w:val="center"/>
          </w:tcPr>
          <w:p w14:paraId="434C86F1">
            <w:pPr>
              <w:pStyle w:val="52"/>
              <w:spacing w:line="500" w:lineRule="exact"/>
              <w:rPr>
                <w:rFonts w:ascii="宋体" w:hAnsi="宋体" w:cs="宋体"/>
                <w:color w:val="auto"/>
                <w:szCs w:val="21"/>
              </w:rPr>
            </w:pPr>
            <w:r>
              <w:rPr>
                <w:rFonts w:hint="eastAsia" w:ascii="宋体" w:hAnsi="宋体" w:cs="宋体"/>
                <w:color w:val="auto"/>
                <w:szCs w:val="21"/>
              </w:rPr>
              <w:t>20</w:t>
            </w:r>
          </w:p>
        </w:tc>
        <w:tc>
          <w:tcPr>
            <w:tcW w:w="1950" w:type="dxa"/>
            <w:tcBorders>
              <w:top w:val="nil"/>
              <w:left w:val="nil"/>
              <w:bottom w:val="single" w:color="auto" w:sz="4" w:space="0"/>
              <w:right w:val="single" w:color="auto" w:sz="4" w:space="0"/>
            </w:tcBorders>
            <w:shd w:val="clear" w:color="auto" w:fill="auto"/>
            <w:vAlign w:val="center"/>
          </w:tcPr>
          <w:p w14:paraId="303EB57B">
            <w:pPr>
              <w:pStyle w:val="52"/>
              <w:spacing w:line="500" w:lineRule="exact"/>
              <w:rPr>
                <w:rFonts w:ascii="宋体" w:hAnsi="宋体" w:cs="宋体"/>
                <w:color w:val="auto"/>
                <w:szCs w:val="21"/>
              </w:rPr>
            </w:pPr>
            <w:r>
              <w:rPr>
                <w:rFonts w:hint="eastAsia" w:ascii="宋体" w:hAnsi="宋体" w:cs="宋体"/>
                <w:color w:val="auto"/>
                <w:szCs w:val="21"/>
              </w:rPr>
              <w:t>绿化下埋地敷设，覆土0.5m</w:t>
            </w:r>
          </w:p>
        </w:tc>
      </w:tr>
      <w:tr w14:paraId="122D3114">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D19AC3A">
            <w:pPr>
              <w:pStyle w:val="52"/>
              <w:spacing w:line="500" w:lineRule="exact"/>
              <w:rPr>
                <w:rFonts w:ascii="宋体" w:hAnsi="宋体" w:cs="宋体"/>
                <w:color w:val="auto"/>
                <w:szCs w:val="21"/>
              </w:rPr>
            </w:pPr>
            <w:r>
              <w:rPr>
                <w:rFonts w:hint="eastAsia" w:ascii="宋体" w:hAnsi="宋体" w:cs="宋体"/>
                <w:color w:val="auto"/>
                <w:szCs w:val="21"/>
              </w:rPr>
              <w:t>22</w:t>
            </w:r>
          </w:p>
        </w:tc>
        <w:tc>
          <w:tcPr>
            <w:tcW w:w="967" w:type="dxa"/>
            <w:tcBorders>
              <w:top w:val="nil"/>
              <w:left w:val="nil"/>
              <w:bottom w:val="single" w:color="auto" w:sz="4" w:space="0"/>
              <w:right w:val="single" w:color="auto" w:sz="4" w:space="0"/>
            </w:tcBorders>
            <w:shd w:val="clear" w:color="auto" w:fill="auto"/>
            <w:vAlign w:val="center"/>
          </w:tcPr>
          <w:p w14:paraId="2B5CD42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5157AFC">
            <w:pPr>
              <w:pStyle w:val="52"/>
              <w:spacing w:line="500" w:lineRule="exact"/>
              <w:rPr>
                <w:rFonts w:ascii="宋体" w:hAnsi="宋体" w:cs="宋体"/>
                <w:color w:val="auto"/>
                <w:szCs w:val="21"/>
              </w:rPr>
            </w:pPr>
            <w:r>
              <w:rPr>
                <w:rFonts w:hint="eastAsia" w:ascii="宋体" w:hAnsi="宋体" w:cs="宋体"/>
                <w:color w:val="auto"/>
                <w:szCs w:val="21"/>
              </w:rPr>
              <w:t>PE管</w:t>
            </w:r>
          </w:p>
        </w:tc>
        <w:tc>
          <w:tcPr>
            <w:tcW w:w="2597" w:type="dxa"/>
            <w:tcBorders>
              <w:top w:val="nil"/>
              <w:left w:val="nil"/>
              <w:bottom w:val="single" w:color="auto" w:sz="4" w:space="0"/>
              <w:right w:val="single" w:color="auto" w:sz="4" w:space="0"/>
            </w:tcBorders>
            <w:shd w:val="clear" w:color="auto" w:fill="auto"/>
            <w:vAlign w:val="center"/>
          </w:tcPr>
          <w:p w14:paraId="6155D464">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356037AD">
            <w:pPr>
              <w:pStyle w:val="52"/>
              <w:spacing w:line="500" w:lineRule="exact"/>
              <w:rPr>
                <w:rFonts w:ascii="宋体" w:hAnsi="宋体" w:cs="宋体"/>
                <w:color w:val="auto"/>
                <w:szCs w:val="21"/>
              </w:rPr>
            </w:pPr>
            <w:r>
              <w:rPr>
                <w:rFonts w:hint="eastAsia" w:ascii="宋体" w:hAnsi="宋体" w:cs="宋体"/>
                <w:color w:val="auto"/>
                <w:szCs w:val="21"/>
              </w:rPr>
              <w:t>PE管</w:t>
            </w:r>
          </w:p>
        </w:tc>
        <w:tc>
          <w:tcPr>
            <w:tcW w:w="579" w:type="dxa"/>
            <w:tcBorders>
              <w:top w:val="nil"/>
              <w:left w:val="nil"/>
              <w:bottom w:val="single" w:color="auto" w:sz="4" w:space="0"/>
              <w:right w:val="single" w:color="auto" w:sz="4" w:space="0"/>
            </w:tcBorders>
            <w:shd w:val="clear" w:color="auto" w:fill="auto"/>
            <w:vAlign w:val="center"/>
          </w:tcPr>
          <w:p w14:paraId="493C0001">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00F46D37">
            <w:pPr>
              <w:pStyle w:val="52"/>
              <w:spacing w:line="500" w:lineRule="exact"/>
              <w:rPr>
                <w:rFonts w:ascii="宋体" w:hAnsi="宋体" w:cs="宋体"/>
                <w:color w:val="auto"/>
                <w:szCs w:val="21"/>
              </w:rPr>
            </w:pPr>
            <w:r>
              <w:rPr>
                <w:rFonts w:hint="eastAsia" w:ascii="宋体" w:hAnsi="宋体" w:cs="宋体"/>
                <w:color w:val="auto"/>
                <w:szCs w:val="21"/>
              </w:rPr>
              <w:t>45</w:t>
            </w:r>
          </w:p>
        </w:tc>
        <w:tc>
          <w:tcPr>
            <w:tcW w:w="780" w:type="dxa"/>
            <w:tcBorders>
              <w:top w:val="nil"/>
              <w:left w:val="nil"/>
              <w:bottom w:val="single" w:color="auto" w:sz="4" w:space="0"/>
              <w:right w:val="single" w:color="auto" w:sz="4" w:space="0"/>
            </w:tcBorders>
            <w:shd w:val="clear" w:color="auto" w:fill="auto"/>
            <w:vAlign w:val="center"/>
          </w:tcPr>
          <w:p w14:paraId="26134BC7">
            <w:pPr>
              <w:pStyle w:val="52"/>
              <w:spacing w:line="500" w:lineRule="exact"/>
              <w:rPr>
                <w:rFonts w:ascii="宋体" w:hAnsi="宋体" w:cs="宋体"/>
                <w:color w:val="auto"/>
                <w:szCs w:val="21"/>
              </w:rPr>
            </w:pPr>
            <w:r>
              <w:rPr>
                <w:rFonts w:hint="eastAsia" w:ascii="宋体" w:hAnsi="宋体" w:cs="宋体"/>
                <w:color w:val="auto"/>
                <w:szCs w:val="21"/>
              </w:rPr>
              <w:t>90</w:t>
            </w:r>
          </w:p>
        </w:tc>
        <w:tc>
          <w:tcPr>
            <w:tcW w:w="1950" w:type="dxa"/>
            <w:tcBorders>
              <w:top w:val="nil"/>
              <w:left w:val="nil"/>
              <w:bottom w:val="single" w:color="auto" w:sz="4" w:space="0"/>
              <w:right w:val="single" w:color="auto" w:sz="4" w:space="0"/>
            </w:tcBorders>
            <w:shd w:val="clear" w:color="auto" w:fill="auto"/>
            <w:vAlign w:val="center"/>
          </w:tcPr>
          <w:p w14:paraId="50AF3A21">
            <w:pPr>
              <w:pStyle w:val="52"/>
              <w:spacing w:line="500" w:lineRule="exact"/>
              <w:rPr>
                <w:rFonts w:ascii="宋体" w:hAnsi="宋体" w:cs="宋体"/>
                <w:color w:val="auto"/>
                <w:szCs w:val="21"/>
              </w:rPr>
            </w:pPr>
            <w:r>
              <w:rPr>
                <w:rFonts w:hint="eastAsia" w:ascii="宋体" w:hAnsi="宋体" w:cs="宋体"/>
                <w:color w:val="auto"/>
                <w:szCs w:val="21"/>
              </w:rPr>
              <w:t>绿化下埋地敷设，覆土0.5m</w:t>
            </w:r>
          </w:p>
        </w:tc>
      </w:tr>
      <w:tr w14:paraId="46D2838A">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F995753">
            <w:pPr>
              <w:pStyle w:val="52"/>
              <w:spacing w:line="500" w:lineRule="exact"/>
              <w:rPr>
                <w:rFonts w:ascii="宋体" w:hAnsi="宋体" w:cs="宋体"/>
                <w:color w:val="auto"/>
                <w:szCs w:val="21"/>
              </w:rPr>
            </w:pPr>
            <w:r>
              <w:rPr>
                <w:rFonts w:hint="eastAsia" w:ascii="宋体" w:hAnsi="宋体" w:cs="宋体"/>
                <w:color w:val="auto"/>
                <w:szCs w:val="21"/>
              </w:rPr>
              <w:t>23</w:t>
            </w:r>
          </w:p>
        </w:tc>
        <w:tc>
          <w:tcPr>
            <w:tcW w:w="967" w:type="dxa"/>
            <w:tcBorders>
              <w:top w:val="nil"/>
              <w:left w:val="nil"/>
              <w:bottom w:val="single" w:color="auto" w:sz="4" w:space="0"/>
              <w:right w:val="single" w:color="auto" w:sz="4" w:space="0"/>
            </w:tcBorders>
            <w:shd w:val="clear" w:color="auto" w:fill="auto"/>
            <w:vAlign w:val="center"/>
          </w:tcPr>
          <w:p w14:paraId="5F858DF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50D172B">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4AE57845">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65597221">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56F15634">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1787AF3B">
            <w:pPr>
              <w:pStyle w:val="52"/>
              <w:spacing w:line="500" w:lineRule="exact"/>
              <w:rPr>
                <w:rFonts w:ascii="宋体" w:hAnsi="宋体" w:cs="宋体"/>
                <w:color w:val="auto"/>
                <w:szCs w:val="21"/>
              </w:rPr>
            </w:pPr>
            <w:r>
              <w:rPr>
                <w:rFonts w:hint="eastAsia" w:ascii="宋体" w:hAnsi="宋体" w:cs="宋体"/>
                <w:color w:val="auto"/>
                <w:szCs w:val="21"/>
              </w:rPr>
              <w:t>182</w:t>
            </w:r>
          </w:p>
        </w:tc>
        <w:tc>
          <w:tcPr>
            <w:tcW w:w="780" w:type="dxa"/>
            <w:tcBorders>
              <w:top w:val="nil"/>
              <w:left w:val="nil"/>
              <w:bottom w:val="single" w:color="auto" w:sz="4" w:space="0"/>
              <w:right w:val="single" w:color="auto" w:sz="4" w:space="0"/>
            </w:tcBorders>
            <w:shd w:val="clear" w:color="auto" w:fill="auto"/>
            <w:vAlign w:val="center"/>
          </w:tcPr>
          <w:p w14:paraId="24999BE0">
            <w:pPr>
              <w:pStyle w:val="52"/>
              <w:spacing w:line="500" w:lineRule="exact"/>
              <w:rPr>
                <w:rFonts w:ascii="宋体" w:hAnsi="宋体" w:cs="宋体"/>
                <w:color w:val="auto"/>
                <w:szCs w:val="21"/>
              </w:rPr>
            </w:pPr>
            <w:r>
              <w:rPr>
                <w:rFonts w:hint="eastAsia" w:ascii="宋体" w:hAnsi="宋体" w:cs="宋体"/>
                <w:color w:val="auto"/>
                <w:szCs w:val="21"/>
              </w:rPr>
              <w:t>364</w:t>
            </w:r>
          </w:p>
        </w:tc>
        <w:tc>
          <w:tcPr>
            <w:tcW w:w="1950" w:type="dxa"/>
            <w:tcBorders>
              <w:top w:val="nil"/>
              <w:left w:val="nil"/>
              <w:bottom w:val="single" w:color="auto" w:sz="4" w:space="0"/>
              <w:right w:val="single" w:color="auto" w:sz="4" w:space="0"/>
            </w:tcBorders>
            <w:shd w:val="clear" w:color="auto" w:fill="auto"/>
            <w:vAlign w:val="center"/>
          </w:tcPr>
          <w:p w14:paraId="6A5533BD">
            <w:pPr>
              <w:pStyle w:val="52"/>
              <w:spacing w:line="500" w:lineRule="exact"/>
              <w:rPr>
                <w:rFonts w:ascii="宋体" w:hAnsi="宋体" w:cs="宋体"/>
                <w:color w:val="auto"/>
                <w:szCs w:val="21"/>
              </w:rPr>
            </w:pPr>
            <w:r>
              <w:rPr>
                <w:rFonts w:hint="eastAsia" w:ascii="宋体" w:hAnsi="宋体" w:cs="宋体"/>
                <w:color w:val="auto"/>
                <w:szCs w:val="21"/>
              </w:rPr>
              <w:t>　</w:t>
            </w:r>
          </w:p>
        </w:tc>
      </w:tr>
      <w:tr w14:paraId="0D763933">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0D66D73">
            <w:pPr>
              <w:pStyle w:val="52"/>
              <w:spacing w:line="500" w:lineRule="exact"/>
              <w:rPr>
                <w:rFonts w:ascii="宋体" w:hAnsi="宋体" w:cs="宋体"/>
                <w:color w:val="auto"/>
                <w:szCs w:val="21"/>
              </w:rPr>
            </w:pPr>
            <w:r>
              <w:rPr>
                <w:rFonts w:hint="eastAsia" w:ascii="宋体" w:hAnsi="宋体" w:cs="宋体"/>
                <w:color w:val="auto"/>
                <w:szCs w:val="21"/>
              </w:rPr>
              <w:t>24</w:t>
            </w:r>
          </w:p>
        </w:tc>
        <w:tc>
          <w:tcPr>
            <w:tcW w:w="967" w:type="dxa"/>
            <w:tcBorders>
              <w:top w:val="nil"/>
              <w:left w:val="nil"/>
              <w:bottom w:val="single" w:color="auto" w:sz="4" w:space="0"/>
              <w:right w:val="single" w:color="auto" w:sz="4" w:space="0"/>
            </w:tcBorders>
            <w:shd w:val="clear" w:color="auto" w:fill="auto"/>
            <w:vAlign w:val="center"/>
          </w:tcPr>
          <w:p w14:paraId="742C82B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20BC844">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487181BC">
            <w:pPr>
              <w:pStyle w:val="52"/>
              <w:spacing w:line="500" w:lineRule="exact"/>
              <w:rPr>
                <w:rFonts w:ascii="宋体" w:hAnsi="宋体" w:cs="宋体"/>
                <w:color w:val="auto"/>
                <w:szCs w:val="21"/>
              </w:rPr>
            </w:pPr>
            <w:r>
              <w:rPr>
                <w:rFonts w:hint="eastAsia" w:ascii="宋体" w:hAnsi="宋体" w:cs="宋体"/>
                <w:color w:val="auto"/>
                <w:szCs w:val="21"/>
              </w:rPr>
              <w:t>De32，PN10</w:t>
            </w:r>
          </w:p>
        </w:tc>
        <w:tc>
          <w:tcPr>
            <w:tcW w:w="672" w:type="dxa"/>
            <w:tcBorders>
              <w:top w:val="nil"/>
              <w:left w:val="nil"/>
              <w:bottom w:val="single" w:color="auto" w:sz="4" w:space="0"/>
              <w:right w:val="single" w:color="auto" w:sz="4" w:space="0"/>
            </w:tcBorders>
            <w:shd w:val="clear" w:color="auto" w:fill="auto"/>
            <w:vAlign w:val="center"/>
          </w:tcPr>
          <w:p w14:paraId="387309D8">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2424427F">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44E3A843">
            <w:pPr>
              <w:pStyle w:val="52"/>
              <w:spacing w:line="500" w:lineRule="exact"/>
              <w:rPr>
                <w:rFonts w:ascii="宋体" w:hAnsi="宋体" w:cs="宋体"/>
                <w:color w:val="auto"/>
                <w:szCs w:val="21"/>
              </w:rPr>
            </w:pPr>
            <w:r>
              <w:rPr>
                <w:rFonts w:hint="eastAsia" w:ascii="宋体" w:hAnsi="宋体" w:cs="宋体"/>
                <w:color w:val="auto"/>
                <w:szCs w:val="21"/>
              </w:rPr>
              <w:t>176</w:t>
            </w:r>
          </w:p>
        </w:tc>
        <w:tc>
          <w:tcPr>
            <w:tcW w:w="780" w:type="dxa"/>
            <w:tcBorders>
              <w:top w:val="nil"/>
              <w:left w:val="nil"/>
              <w:bottom w:val="single" w:color="auto" w:sz="4" w:space="0"/>
              <w:right w:val="single" w:color="auto" w:sz="4" w:space="0"/>
            </w:tcBorders>
            <w:shd w:val="clear" w:color="auto" w:fill="auto"/>
            <w:vAlign w:val="center"/>
          </w:tcPr>
          <w:p w14:paraId="4C1DA547">
            <w:pPr>
              <w:pStyle w:val="52"/>
              <w:spacing w:line="500" w:lineRule="exact"/>
              <w:rPr>
                <w:rFonts w:ascii="宋体" w:hAnsi="宋体" w:cs="宋体"/>
                <w:color w:val="auto"/>
                <w:szCs w:val="21"/>
              </w:rPr>
            </w:pPr>
            <w:r>
              <w:rPr>
                <w:rFonts w:hint="eastAsia" w:ascii="宋体" w:hAnsi="宋体" w:cs="宋体"/>
                <w:color w:val="auto"/>
                <w:szCs w:val="21"/>
              </w:rPr>
              <w:t>353</w:t>
            </w:r>
          </w:p>
        </w:tc>
        <w:tc>
          <w:tcPr>
            <w:tcW w:w="1950" w:type="dxa"/>
            <w:tcBorders>
              <w:top w:val="nil"/>
              <w:left w:val="nil"/>
              <w:bottom w:val="single" w:color="auto" w:sz="4" w:space="0"/>
              <w:right w:val="single" w:color="auto" w:sz="4" w:space="0"/>
            </w:tcBorders>
            <w:shd w:val="clear" w:color="auto" w:fill="auto"/>
            <w:vAlign w:val="center"/>
          </w:tcPr>
          <w:p w14:paraId="3DAF6CE8">
            <w:pPr>
              <w:pStyle w:val="52"/>
              <w:spacing w:line="500" w:lineRule="exact"/>
              <w:rPr>
                <w:rFonts w:ascii="宋体" w:hAnsi="宋体" w:cs="宋体"/>
                <w:color w:val="auto"/>
                <w:szCs w:val="21"/>
              </w:rPr>
            </w:pPr>
            <w:r>
              <w:rPr>
                <w:rFonts w:hint="eastAsia" w:ascii="宋体" w:hAnsi="宋体" w:cs="宋体"/>
                <w:color w:val="auto"/>
                <w:szCs w:val="21"/>
              </w:rPr>
              <w:t>　</w:t>
            </w:r>
          </w:p>
        </w:tc>
      </w:tr>
      <w:tr w14:paraId="79FEA24C">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33E8CDAB">
            <w:pPr>
              <w:pStyle w:val="52"/>
              <w:spacing w:line="500" w:lineRule="exact"/>
              <w:rPr>
                <w:rFonts w:ascii="宋体" w:hAnsi="宋体" w:cs="宋体"/>
                <w:color w:val="auto"/>
                <w:szCs w:val="21"/>
              </w:rPr>
            </w:pPr>
            <w:r>
              <w:rPr>
                <w:rFonts w:hint="eastAsia" w:ascii="宋体" w:hAnsi="宋体" w:cs="宋体"/>
                <w:color w:val="auto"/>
                <w:szCs w:val="21"/>
              </w:rPr>
              <w:t>25</w:t>
            </w:r>
          </w:p>
        </w:tc>
        <w:tc>
          <w:tcPr>
            <w:tcW w:w="967" w:type="dxa"/>
            <w:tcBorders>
              <w:top w:val="nil"/>
              <w:left w:val="nil"/>
              <w:bottom w:val="single" w:color="auto" w:sz="4" w:space="0"/>
              <w:right w:val="single" w:color="auto" w:sz="4" w:space="0"/>
            </w:tcBorders>
            <w:shd w:val="clear" w:color="auto" w:fill="auto"/>
            <w:vAlign w:val="center"/>
          </w:tcPr>
          <w:p w14:paraId="7827C96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D03B92A">
            <w:pPr>
              <w:pStyle w:val="52"/>
              <w:spacing w:line="500" w:lineRule="exact"/>
              <w:rPr>
                <w:rFonts w:ascii="宋体" w:hAnsi="宋体" w:cs="宋体"/>
                <w:color w:val="auto"/>
                <w:szCs w:val="21"/>
              </w:rPr>
            </w:pPr>
            <w:r>
              <w:rPr>
                <w:rFonts w:hint="eastAsia" w:ascii="宋体" w:hAnsi="宋体" w:cs="宋体"/>
                <w:color w:val="auto"/>
                <w:szCs w:val="21"/>
              </w:rPr>
              <w:t>聚渣喷头</w:t>
            </w:r>
          </w:p>
        </w:tc>
        <w:tc>
          <w:tcPr>
            <w:tcW w:w="2597" w:type="dxa"/>
            <w:tcBorders>
              <w:top w:val="nil"/>
              <w:left w:val="nil"/>
              <w:bottom w:val="single" w:color="auto" w:sz="4" w:space="0"/>
              <w:right w:val="single" w:color="auto" w:sz="4" w:space="0"/>
            </w:tcBorders>
            <w:shd w:val="clear" w:color="auto" w:fill="auto"/>
            <w:vAlign w:val="center"/>
          </w:tcPr>
          <w:p w14:paraId="30B5C36B">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549161E0">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0474434C">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5059025C">
            <w:pPr>
              <w:pStyle w:val="52"/>
              <w:spacing w:line="500" w:lineRule="exact"/>
              <w:rPr>
                <w:rFonts w:ascii="宋体" w:hAnsi="宋体" w:cs="宋体"/>
                <w:color w:val="auto"/>
                <w:szCs w:val="21"/>
              </w:rPr>
            </w:pPr>
            <w:r>
              <w:rPr>
                <w:rFonts w:hint="eastAsia" w:ascii="宋体" w:hAnsi="宋体" w:cs="宋体"/>
                <w:color w:val="auto"/>
                <w:szCs w:val="21"/>
              </w:rPr>
              <w:t>64</w:t>
            </w:r>
          </w:p>
        </w:tc>
        <w:tc>
          <w:tcPr>
            <w:tcW w:w="780" w:type="dxa"/>
            <w:tcBorders>
              <w:top w:val="nil"/>
              <w:left w:val="nil"/>
              <w:bottom w:val="single" w:color="auto" w:sz="4" w:space="0"/>
              <w:right w:val="single" w:color="auto" w:sz="4" w:space="0"/>
            </w:tcBorders>
            <w:shd w:val="clear" w:color="auto" w:fill="auto"/>
            <w:vAlign w:val="center"/>
          </w:tcPr>
          <w:p w14:paraId="4948C7ED">
            <w:pPr>
              <w:pStyle w:val="52"/>
              <w:spacing w:line="500" w:lineRule="exact"/>
              <w:rPr>
                <w:rFonts w:ascii="宋体" w:hAnsi="宋体" w:cs="宋体"/>
                <w:color w:val="auto"/>
                <w:szCs w:val="21"/>
              </w:rPr>
            </w:pPr>
            <w:r>
              <w:rPr>
                <w:rFonts w:hint="eastAsia" w:ascii="宋体" w:hAnsi="宋体" w:cs="宋体"/>
                <w:color w:val="auto"/>
                <w:szCs w:val="21"/>
              </w:rPr>
              <w:t>64</w:t>
            </w:r>
          </w:p>
        </w:tc>
        <w:tc>
          <w:tcPr>
            <w:tcW w:w="1950" w:type="dxa"/>
            <w:tcBorders>
              <w:top w:val="nil"/>
              <w:left w:val="nil"/>
              <w:bottom w:val="single" w:color="auto" w:sz="4" w:space="0"/>
              <w:right w:val="single" w:color="auto" w:sz="4" w:space="0"/>
            </w:tcBorders>
            <w:shd w:val="clear" w:color="auto" w:fill="auto"/>
            <w:noWrap/>
            <w:vAlign w:val="center"/>
          </w:tcPr>
          <w:p w14:paraId="0249738D">
            <w:pPr>
              <w:pStyle w:val="52"/>
              <w:spacing w:line="500" w:lineRule="exact"/>
              <w:rPr>
                <w:rFonts w:ascii="宋体" w:hAnsi="宋体" w:cs="宋体"/>
                <w:color w:val="auto"/>
                <w:szCs w:val="21"/>
              </w:rPr>
            </w:pPr>
            <w:r>
              <w:rPr>
                <w:rFonts w:hint="eastAsia" w:ascii="宋体" w:hAnsi="宋体" w:cs="宋体"/>
                <w:color w:val="auto"/>
                <w:szCs w:val="21"/>
              </w:rPr>
              <w:t>　</w:t>
            </w:r>
          </w:p>
        </w:tc>
      </w:tr>
      <w:tr w14:paraId="7981A8E2">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ED23A62">
            <w:pPr>
              <w:pStyle w:val="52"/>
              <w:spacing w:line="500" w:lineRule="exact"/>
              <w:rPr>
                <w:rFonts w:ascii="宋体" w:hAnsi="宋体" w:cs="宋体"/>
                <w:color w:val="auto"/>
                <w:szCs w:val="21"/>
              </w:rPr>
            </w:pPr>
            <w:r>
              <w:rPr>
                <w:rFonts w:hint="eastAsia" w:ascii="宋体" w:hAnsi="宋体" w:cs="宋体"/>
                <w:color w:val="auto"/>
                <w:szCs w:val="21"/>
              </w:rPr>
              <w:t>26</w:t>
            </w:r>
          </w:p>
        </w:tc>
        <w:tc>
          <w:tcPr>
            <w:tcW w:w="967" w:type="dxa"/>
            <w:tcBorders>
              <w:top w:val="nil"/>
              <w:left w:val="nil"/>
              <w:bottom w:val="single" w:color="auto" w:sz="4" w:space="0"/>
              <w:right w:val="single" w:color="auto" w:sz="4" w:space="0"/>
            </w:tcBorders>
            <w:shd w:val="clear" w:color="auto" w:fill="auto"/>
            <w:vAlign w:val="center"/>
          </w:tcPr>
          <w:p w14:paraId="19F74A6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43C02CC">
            <w:pPr>
              <w:pStyle w:val="52"/>
              <w:spacing w:line="500" w:lineRule="exact"/>
              <w:rPr>
                <w:rFonts w:ascii="宋体" w:hAnsi="宋体" w:cs="宋体"/>
                <w:color w:val="auto"/>
                <w:szCs w:val="21"/>
              </w:rPr>
            </w:pPr>
            <w:r>
              <w:rPr>
                <w:rFonts w:hint="eastAsia" w:ascii="宋体" w:hAnsi="宋体" w:cs="宋体"/>
                <w:color w:val="auto"/>
                <w:szCs w:val="21"/>
              </w:rPr>
              <w:t>浮渣清除器</w:t>
            </w:r>
          </w:p>
        </w:tc>
        <w:tc>
          <w:tcPr>
            <w:tcW w:w="2597" w:type="dxa"/>
            <w:tcBorders>
              <w:top w:val="nil"/>
              <w:left w:val="nil"/>
              <w:bottom w:val="single" w:color="auto" w:sz="4" w:space="0"/>
              <w:right w:val="single" w:color="auto" w:sz="4" w:space="0"/>
            </w:tcBorders>
            <w:shd w:val="clear" w:color="auto" w:fill="auto"/>
            <w:vAlign w:val="center"/>
          </w:tcPr>
          <w:p w14:paraId="1AA3F8A7">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46FD7998">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1458A9D8">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37379A8B">
            <w:pPr>
              <w:pStyle w:val="52"/>
              <w:spacing w:line="500" w:lineRule="exact"/>
              <w:rPr>
                <w:rFonts w:ascii="宋体" w:hAnsi="宋体" w:cs="宋体"/>
                <w:color w:val="auto"/>
                <w:szCs w:val="21"/>
              </w:rPr>
            </w:pPr>
            <w:r>
              <w:rPr>
                <w:rFonts w:hint="eastAsia" w:ascii="宋体" w:hAnsi="宋体" w:cs="宋体"/>
                <w:color w:val="auto"/>
                <w:szCs w:val="21"/>
              </w:rPr>
              <w:t>8</w:t>
            </w:r>
          </w:p>
        </w:tc>
        <w:tc>
          <w:tcPr>
            <w:tcW w:w="780" w:type="dxa"/>
            <w:tcBorders>
              <w:top w:val="nil"/>
              <w:left w:val="nil"/>
              <w:bottom w:val="single" w:color="auto" w:sz="4" w:space="0"/>
              <w:right w:val="single" w:color="auto" w:sz="4" w:space="0"/>
            </w:tcBorders>
            <w:shd w:val="clear" w:color="auto" w:fill="auto"/>
            <w:vAlign w:val="center"/>
          </w:tcPr>
          <w:p w14:paraId="19F2CF4A">
            <w:pPr>
              <w:pStyle w:val="52"/>
              <w:spacing w:line="500" w:lineRule="exact"/>
              <w:rPr>
                <w:rFonts w:ascii="宋体" w:hAnsi="宋体" w:cs="宋体"/>
                <w:color w:val="auto"/>
                <w:szCs w:val="21"/>
              </w:rPr>
            </w:pPr>
            <w:r>
              <w:rPr>
                <w:rFonts w:hint="eastAsia" w:ascii="宋体" w:hAnsi="宋体" w:cs="宋体"/>
                <w:color w:val="auto"/>
                <w:szCs w:val="21"/>
              </w:rPr>
              <w:t>8</w:t>
            </w:r>
          </w:p>
        </w:tc>
        <w:tc>
          <w:tcPr>
            <w:tcW w:w="1950" w:type="dxa"/>
            <w:tcBorders>
              <w:top w:val="nil"/>
              <w:left w:val="nil"/>
              <w:bottom w:val="single" w:color="auto" w:sz="4" w:space="0"/>
              <w:right w:val="single" w:color="auto" w:sz="4" w:space="0"/>
            </w:tcBorders>
            <w:shd w:val="clear" w:color="auto" w:fill="auto"/>
            <w:noWrap/>
            <w:vAlign w:val="center"/>
          </w:tcPr>
          <w:p w14:paraId="57CB653E">
            <w:pPr>
              <w:pStyle w:val="52"/>
              <w:spacing w:line="500" w:lineRule="exact"/>
              <w:rPr>
                <w:rFonts w:ascii="宋体" w:hAnsi="宋体" w:cs="宋体"/>
                <w:color w:val="auto"/>
                <w:szCs w:val="21"/>
              </w:rPr>
            </w:pPr>
            <w:r>
              <w:rPr>
                <w:rFonts w:hint="eastAsia" w:ascii="宋体" w:hAnsi="宋体" w:cs="宋体"/>
                <w:color w:val="auto"/>
                <w:szCs w:val="21"/>
              </w:rPr>
              <w:t>　</w:t>
            </w:r>
          </w:p>
        </w:tc>
      </w:tr>
      <w:tr w14:paraId="0B3AA094">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27ADE6A">
            <w:pPr>
              <w:pStyle w:val="52"/>
              <w:spacing w:line="500" w:lineRule="exact"/>
              <w:rPr>
                <w:rFonts w:ascii="宋体" w:hAnsi="宋体" w:cs="宋体"/>
                <w:color w:val="auto"/>
                <w:szCs w:val="21"/>
              </w:rPr>
            </w:pPr>
            <w:r>
              <w:rPr>
                <w:rFonts w:hint="eastAsia" w:ascii="宋体" w:hAnsi="宋体" w:cs="宋体"/>
                <w:color w:val="auto"/>
                <w:szCs w:val="21"/>
              </w:rPr>
              <w:t>27</w:t>
            </w:r>
          </w:p>
        </w:tc>
        <w:tc>
          <w:tcPr>
            <w:tcW w:w="967" w:type="dxa"/>
            <w:tcBorders>
              <w:top w:val="nil"/>
              <w:left w:val="nil"/>
              <w:bottom w:val="single" w:color="auto" w:sz="4" w:space="0"/>
              <w:right w:val="single" w:color="auto" w:sz="4" w:space="0"/>
            </w:tcBorders>
            <w:shd w:val="clear" w:color="auto" w:fill="auto"/>
            <w:vAlign w:val="center"/>
          </w:tcPr>
          <w:p w14:paraId="240161B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84807D9">
            <w:pPr>
              <w:pStyle w:val="52"/>
              <w:spacing w:line="500" w:lineRule="exact"/>
              <w:rPr>
                <w:rFonts w:ascii="宋体" w:hAnsi="宋体" w:cs="宋体"/>
                <w:color w:val="auto"/>
                <w:szCs w:val="21"/>
              </w:rPr>
            </w:pPr>
            <w:r>
              <w:rPr>
                <w:rFonts w:hint="eastAsia" w:ascii="宋体" w:hAnsi="宋体" w:cs="宋体"/>
                <w:color w:val="auto"/>
                <w:szCs w:val="21"/>
              </w:rPr>
              <w:t>金属软管</w:t>
            </w:r>
          </w:p>
        </w:tc>
        <w:tc>
          <w:tcPr>
            <w:tcW w:w="2597" w:type="dxa"/>
            <w:tcBorders>
              <w:top w:val="nil"/>
              <w:left w:val="nil"/>
              <w:bottom w:val="single" w:color="auto" w:sz="4" w:space="0"/>
              <w:right w:val="single" w:color="auto" w:sz="4" w:space="0"/>
            </w:tcBorders>
            <w:shd w:val="clear" w:color="auto" w:fill="auto"/>
            <w:vAlign w:val="center"/>
          </w:tcPr>
          <w:p w14:paraId="7E1BE962">
            <w:pPr>
              <w:pStyle w:val="52"/>
              <w:spacing w:line="500" w:lineRule="exact"/>
              <w:rPr>
                <w:rFonts w:ascii="宋体" w:hAnsi="宋体" w:cs="宋体"/>
                <w:color w:val="auto"/>
                <w:szCs w:val="21"/>
              </w:rPr>
            </w:pPr>
            <w:r>
              <w:rPr>
                <w:rFonts w:hint="eastAsia" w:ascii="宋体" w:hAnsi="宋体" w:cs="宋体"/>
                <w:color w:val="auto"/>
                <w:szCs w:val="21"/>
              </w:rPr>
              <w:t>De32</w:t>
            </w:r>
          </w:p>
        </w:tc>
        <w:tc>
          <w:tcPr>
            <w:tcW w:w="672" w:type="dxa"/>
            <w:tcBorders>
              <w:top w:val="nil"/>
              <w:left w:val="nil"/>
              <w:bottom w:val="single" w:color="auto" w:sz="4" w:space="0"/>
              <w:right w:val="single" w:color="auto" w:sz="4" w:space="0"/>
            </w:tcBorders>
            <w:shd w:val="clear" w:color="auto" w:fill="auto"/>
            <w:vAlign w:val="center"/>
          </w:tcPr>
          <w:p w14:paraId="5D401550">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7EF3B962">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62D78494">
            <w:pPr>
              <w:pStyle w:val="52"/>
              <w:spacing w:line="500" w:lineRule="exact"/>
              <w:rPr>
                <w:rFonts w:ascii="宋体" w:hAnsi="宋体" w:cs="宋体"/>
                <w:color w:val="auto"/>
                <w:szCs w:val="21"/>
              </w:rPr>
            </w:pPr>
            <w:r>
              <w:rPr>
                <w:rFonts w:hint="eastAsia" w:ascii="宋体" w:hAnsi="宋体" w:cs="宋体"/>
                <w:color w:val="auto"/>
                <w:szCs w:val="21"/>
              </w:rPr>
              <w:t>8</w:t>
            </w:r>
          </w:p>
        </w:tc>
        <w:tc>
          <w:tcPr>
            <w:tcW w:w="780" w:type="dxa"/>
            <w:tcBorders>
              <w:top w:val="nil"/>
              <w:left w:val="nil"/>
              <w:bottom w:val="single" w:color="auto" w:sz="4" w:space="0"/>
              <w:right w:val="single" w:color="auto" w:sz="4" w:space="0"/>
            </w:tcBorders>
            <w:shd w:val="clear" w:color="auto" w:fill="auto"/>
            <w:vAlign w:val="center"/>
          </w:tcPr>
          <w:p w14:paraId="516CB86D">
            <w:pPr>
              <w:pStyle w:val="52"/>
              <w:spacing w:line="500" w:lineRule="exact"/>
              <w:rPr>
                <w:rFonts w:ascii="宋体" w:hAnsi="宋体" w:cs="宋体"/>
                <w:color w:val="auto"/>
                <w:szCs w:val="21"/>
              </w:rPr>
            </w:pPr>
            <w:r>
              <w:rPr>
                <w:rFonts w:hint="eastAsia" w:ascii="宋体" w:hAnsi="宋体" w:cs="宋体"/>
                <w:color w:val="auto"/>
                <w:szCs w:val="21"/>
              </w:rPr>
              <w:t>8</w:t>
            </w:r>
          </w:p>
        </w:tc>
        <w:tc>
          <w:tcPr>
            <w:tcW w:w="1950" w:type="dxa"/>
            <w:tcBorders>
              <w:top w:val="nil"/>
              <w:left w:val="nil"/>
              <w:bottom w:val="single" w:color="auto" w:sz="4" w:space="0"/>
              <w:right w:val="single" w:color="auto" w:sz="4" w:space="0"/>
            </w:tcBorders>
            <w:shd w:val="clear" w:color="auto" w:fill="auto"/>
            <w:noWrap/>
            <w:vAlign w:val="center"/>
          </w:tcPr>
          <w:p w14:paraId="6361FE3C">
            <w:pPr>
              <w:pStyle w:val="52"/>
              <w:spacing w:line="500" w:lineRule="exact"/>
              <w:rPr>
                <w:rFonts w:ascii="宋体" w:hAnsi="宋体" w:cs="宋体"/>
                <w:color w:val="auto"/>
                <w:szCs w:val="21"/>
              </w:rPr>
            </w:pPr>
            <w:r>
              <w:rPr>
                <w:rFonts w:hint="eastAsia" w:ascii="宋体" w:hAnsi="宋体" w:cs="宋体"/>
                <w:color w:val="auto"/>
                <w:szCs w:val="21"/>
              </w:rPr>
              <w:t>　</w:t>
            </w:r>
          </w:p>
        </w:tc>
      </w:tr>
      <w:tr w14:paraId="3B36F2D0">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EF910AB">
            <w:pPr>
              <w:pStyle w:val="52"/>
              <w:spacing w:line="500" w:lineRule="exact"/>
              <w:rPr>
                <w:rFonts w:ascii="宋体" w:hAnsi="宋体" w:cs="宋体"/>
                <w:color w:val="auto"/>
                <w:szCs w:val="21"/>
              </w:rPr>
            </w:pPr>
            <w:r>
              <w:rPr>
                <w:rFonts w:hint="eastAsia" w:ascii="宋体" w:hAnsi="宋体" w:cs="宋体"/>
                <w:color w:val="auto"/>
                <w:szCs w:val="21"/>
              </w:rPr>
              <w:t>28</w:t>
            </w:r>
          </w:p>
        </w:tc>
        <w:tc>
          <w:tcPr>
            <w:tcW w:w="967" w:type="dxa"/>
            <w:tcBorders>
              <w:top w:val="nil"/>
              <w:left w:val="nil"/>
              <w:bottom w:val="single" w:color="auto" w:sz="4" w:space="0"/>
              <w:right w:val="single" w:color="auto" w:sz="4" w:space="0"/>
            </w:tcBorders>
            <w:shd w:val="clear" w:color="auto" w:fill="auto"/>
            <w:vAlign w:val="center"/>
          </w:tcPr>
          <w:p w14:paraId="5BE46D9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2A178B1">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0329F39A">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084D8345">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5F464BCD">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41BD83F9">
            <w:pPr>
              <w:pStyle w:val="52"/>
              <w:spacing w:line="500" w:lineRule="exact"/>
              <w:rPr>
                <w:rFonts w:ascii="宋体" w:hAnsi="宋体" w:cs="宋体"/>
                <w:color w:val="auto"/>
                <w:szCs w:val="21"/>
              </w:rPr>
            </w:pPr>
            <w:r>
              <w:rPr>
                <w:rFonts w:hint="eastAsia" w:ascii="宋体" w:hAnsi="宋体" w:cs="宋体"/>
                <w:color w:val="auto"/>
                <w:szCs w:val="21"/>
              </w:rPr>
              <w:t>126</w:t>
            </w:r>
          </w:p>
        </w:tc>
        <w:tc>
          <w:tcPr>
            <w:tcW w:w="780" w:type="dxa"/>
            <w:tcBorders>
              <w:top w:val="nil"/>
              <w:left w:val="nil"/>
              <w:bottom w:val="single" w:color="auto" w:sz="4" w:space="0"/>
              <w:right w:val="single" w:color="auto" w:sz="4" w:space="0"/>
            </w:tcBorders>
            <w:shd w:val="clear" w:color="auto" w:fill="auto"/>
            <w:vAlign w:val="center"/>
          </w:tcPr>
          <w:p w14:paraId="099C6718">
            <w:pPr>
              <w:pStyle w:val="52"/>
              <w:spacing w:line="500" w:lineRule="exact"/>
              <w:rPr>
                <w:rFonts w:ascii="宋体" w:hAnsi="宋体" w:cs="宋体"/>
                <w:color w:val="auto"/>
                <w:szCs w:val="21"/>
              </w:rPr>
            </w:pPr>
            <w:r>
              <w:rPr>
                <w:rFonts w:hint="eastAsia" w:ascii="宋体" w:hAnsi="宋体" w:cs="宋体"/>
                <w:color w:val="auto"/>
                <w:szCs w:val="21"/>
              </w:rPr>
              <w:t>126</w:t>
            </w:r>
          </w:p>
        </w:tc>
        <w:tc>
          <w:tcPr>
            <w:tcW w:w="1950" w:type="dxa"/>
            <w:tcBorders>
              <w:top w:val="nil"/>
              <w:left w:val="nil"/>
              <w:bottom w:val="single" w:color="auto" w:sz="4" w:space="0"/>
              <w:right w:val="single" w:color="auto" w:sz="4" w:space="0"/>
            </w:tcBorders>
            <w:shd w:val="clear" w:color="auto" w:fill="auto"/>
            <w:noWrap/>
            <w:vAlign w:val="center"/>
          </w:tcPr>
          <w:p w14:paraId="067FA9CA">
            <w:pPr>
              <w:pStyle w:val="52"/>
              <w:spacing w:line="500" w:lineRule="exact"/>
              <w:rPr>
                <w:rFonts w:ascii="宋体" w:hAnsi="宋体" w:cs="宋体"/>
                <w:color w:val="auto"/>
                <w:szCs w:val="21"/>
              </w:rPr>
            </w:pPr>
            <w:r>
              <w:rPr>
                <w:rFonts w:hint="eastAsia" w:ascii="宋体" w:hAnsi="宋体" w:cs="宋体"/>
                <w:color w:val="auto"/>
                <w:szCs w:val="21"/>
              </w:rPr>
              <w:t>　</w:t>
            </w:r>
          </w:p>
        </w:tc>
      </w:tr>
      <w:tr w14:paraId="024143A2">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3AD891B">
            <w:pPr>
              <w:pStyle w:val="52"/>
              <w:spacing w:line="500" w:lineRule="exact"/>
              <w:rPr>
                <w:rFonts w:ascii="宋体" w:hAnsi="宋体" w:cs="宋体"/>
                <w:color w:val="auto"/>
                <w:szCs w:val="21"/>
              </w:rPr>
            </w:pPr>
            <w:r>
              <w:rPr>
                <w:rFonts w:hint="eastAsia" w:ascii="宋体" w:hAnsi="宋体" w:cs="宋体"/>
                <w:color w:val="auto"/>
                <w:szCs w:val="21"/>
              </w:rPr>
              <w:t>29</w:t>
            </w:r>
          </w:p>
        </w:tc>
        <w:tc>
          <w:tcPr>
            <w:tcW w:w="967" w:type="dxa"/>
            <w:tcBorders>
              <w:top w:val="nil"/>
              <w:left w:val="nil"/>
              <w:bottom w:val="single" w:color="auto" w:sz="4" w:space="0"/>
              <w:right w:val="single" w:color="auto" w:sz="4" w:space="0"/>
            </w:tcBorders>
            <w:shd w:val="clear" w:color="auto" w:fill="auto"/>
            <w:vAlign w:val="center"/>
          </w:tcPr>
          <w:p w14:paraId="5F938C5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5F0DDFD">
            <w:pPr>
              <w:pStyle w:val="52"/>
              <w:spacing w:line="500" w:lineRule="exact"/>
              <w:rPr>
                <w:rFonts w:ascii="宋体" w:hAnsi="宋体" w:cs="宋体"/>
                <w:color w:val="auto"/>
                <w:szCs w:val="21"/>
              </w:rPr>
            </w:pPr>
            <w:r>
              <w:rPr>
                <w:rFonts w:hint="eastAsia" w:ascii="宋体" w:hAnsi="宋体" w:cs="宋体"/>
                <w:color w:val="auto"/>
                <w:szCs w:val="21"/>
              </w:rPr>
              <w:t>PE管</w:t>
            </w:r>
          </w:p>
        </w:tc>
        <w:tc>
          <w:tcPr>
            <w:tcW w:w="2597" w:type="dxa"/>
            <w:tcBorders>
              <w:top w:val="nil"/>
              <w:left w:val="nil"/>
              <w:bottom w:val="single" w:color="auto" w:sz="4" w:space="0"/>
              <w:right w:val="single" w:color="auto" w:sz="4" w:space="0"/>
            </w:tcBorders>
            <w:shd w:val="clear" w:color="auto" w:fill="auto"/>
            <w:vAlign w:val="center"/>
          </w:tcPr>
          <w:p w14:paraId="09ABCDDC">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35AE3588">
            <w:pPr>
              <w:pStyle w:val="52"/>
              <w:spacing w:line="500" w:lineRule="exact"/>
              <w:rPr>
                <w:rFonts w:ascii="宋体" w:hAnsi="宋体" w:cs="宋体"/>
                <w:color w:val="auto"/>
                <w:szCs w:val="21"/>
              </w:rPr>
            </w:pPr>
            <w:r>
              <w:rPr>
                <w:rFonts w:hint="eastAsia" w:ascii="宋体" w:hAnsi="宋体" w:cs="宋体"/>
                <w:color w:val="auto"/>
                <w:szCs w:val="21"/>
              </w:rPr>
              <w:t>PE管</w:t>
            </w:r>
          </w:p>
        </w:tc>
        <w:tc>
          <w:tcPr>
            <w:tcW w:w="579" w:type="dxa"/>
            <w:tcBorders>
              <w:top w:val="nil"/>
              <w:left w:val="nil"/>
              <w:bottom w:val="single" w:color="auto" w:sz="4" w:space="0"/>
              <w:right w:val="single" w:color="auto" w:sz="4" w:space="0"/>
            </w:tcBorders>
            <w:shd w:val="clear" w:color="auto" w:fill="auto"/>
            <w:vAlign w:val="center"/>
          </w:tcPr>
          <w:p w14:paraId="46259FFF">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65A31030">
            <w:pPr>
              <w:pStyle w:val="52"/>
              <w:spacing w:line="500" w:lineRule="exact"/>
              <w:rPr>
                <w:rFonts w:ascii="宋体" w:hAnsi="宋体" w:cs="宋体"/>
                <w:color w:val="auto"/>
                <w:szCs w:val="21"/>
              </w:rPr>
            </w:pPr>
            <w:r>
              <w:rPr>
                <w:rFonts w:hint="eastAsia" w:ascii="宋体" w:hAnsi="宋体" w:cs="宋体"/>
                <w:color w:val="auto"/>
                <w:szCs w:val="21"/>
              </w:rPr>
              <w:t>75</w:t>
            </w:r>
          </w:p>
        </w:tc>
        <w:tc>
          <w:tcPr>
            <w:tcW w:w="780" w:type="dxa"/>
            <w:tcBorders>
              <w:top w:val="nil"/>
              <w:left w:val="nil"/>
              <w:bottom w:val="single" w:color="auto" w:sz="4" w:space="0"/>
              <w:right w:val="single" w:color="auto" w:sz="4" w:space="0"/>
            </w:tcBorders>
            <w:shd w:val="clear" w:color="auto" w:fill="auto"/>
            <w:vAlign w:val="center"/>
          </w:tcPr>
          <w:p w14:paraId="2FB217FA">
            <w:pPr>
              <w:pStyle w:val="52"/>
              <w:spacing w:line="500" w:lineRule="exact"/>
              <w:rPr>
                <w:rFonts w:ascii="宋体" w:hAnsi="宋体" w:cs="宋体"/>
                <w:color w:val="auto"/>
                <w:szCs w:val="21"/>
              </w:rPr>
            </w:pPr>
            <w:r>
              <w:rPr>
                <w:rFonts w:hint="eastAsia" w:ascii="宋体" w:hAnsi="宋体" w:cs="宋体"/>
                <w:color w:val="auto"/>
                <w:szCs w:val="21"/>
              </w:rPr>
              <w:t>75</w:t>
            </w:r>
          </w:p>
        </w:tc>
        <w:tc>
          <w:tcPr>
            <w:tcW w:w="1950" w:type="dxa"/>
            <w:tcBorders>
              <w:top w:val="nil"/>
              <w:left w:val="nil"/>
              <w:bottom w:val="single" w:color="auto" w:sz="4" w:space="0"/>
              <w:right w:val="single" w:color="auto" w:sz="4" w:space="0"/>
            </w:tcBorders>
            <w:shd w:val="clear" w:color="auto" w:fill="auto"/>
            <w:vAlign w:val="center"/>
          </w:tcPr>
          <w:p w14:paraId="77EE66F7">
            <w:pPr>
              <w:pStyle w:val="52"/>
              <w:spacing w:line="500" w:lineRule="exact"/>
              <w:rPr>
                <w:rFonts w:ascii="宋体" w:hAnsi="宋体" w:cs="宋体"/>
                <w:color w:val="auto"/>
                <w:szCs w:val="21"/>
              </w:rPr>
            </w:pPr>
            <w:r>
              <w:rPr>
                <w:rFonts w:hint="eastAsia" w:ascii="宋体" w:hAnsi="宋体" w:cs="宋体"/>
                <w:color w:val="auto"/>
                <w:szCs w:val="21"/>
              </w:rPr>
              <w:t>绿化下埋地敷设，覆土0.5m</w:t>
            </w:r>
          </w:p>
        </w:tc>
      </w:tr>
      <w:tr w14:paraId="1668B702">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7076132">
            <w:pPr>
              <w:pStyle w:val="52"/>
              <w:spacing w:line="500" w:lineRule="exact"/>
              <w:rPr>
                <w:rFonts w:ascii="宋体" w:hAnsi="宋体" w:cs="宋体"/>
                <w:color w:val="auto"/>
                <w:szCs w:val="21"/>
              </w:rPr>
            </w:pPr>
            <w:r>
              <w:rPr>
                <w:rFonts w:hint="eastAsia" w:ascii="宋体" w:hAnsi="宋体" w:cs="宋体"/>
                <w:color w:val="auto"/>
                <w:szCs w:val="21"/>
              </w:rPr>
              <w:t>30</w:t>
            </w:r>
          </w:p>
        </w:tc>
        <w:tc>
          <w:tcPr>
            <w:tcW w:w="967" w:type="dxa"/>
            <w:tcBorders>
              <w:top w:val="nil"/>
              <w:left w:val="nil"/>
              <w:bottom w:val="single" w:color="auto" w:sz="4" w:space="0"/>
              <w:right w:val="single" w:color="auto" w:sz="4" w:space="0"/>
            </w:tcBorders>
            <w:shd w:val="clear" w:color="auto" w:fill="auto"/>
            <w:vAlign w:val="center"/>
          </w:tcPr>
          <w:p w14:paraId="7B840F3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7E1D9BF8">
            <w:pPr>
              <w:pStyle w:val="52"/>
              <w:spacing w:line="500" w:lineRule="exact"/>
              <w:rPr>
                <w:rFonts w:ascii="宋体" w:hAnsi="宋体" w:cs="宋体"/>
                <w:color w:val="auto"/>
                <w:szCs w:val="21"/>
              </w:rPr>
            </w:pPr>
            <w:r>
              <w:rPr>
                <w:rFonts w:hint="eastAsia" w:ascii="宋体" w:hAnsi="宋体" w:cs="宋体"/>
                <w:color w:val="auto"/>
                <w:szCs w:val="21"/>
              </w:rPr>
              <w:t>排渣泵</w:t>
            </w:r>
          </w:p>
        </w:tc>
        <w:tc>
          <w:tcPr>
            <w:tcW w:w="2597" w:type="dxa"/>
            <w:tcBorders>
              <w:top w:val="nil"/>
              <w:left w:val="nil"/>
              <w:bottom w:val="single" w:color="auto" w:sz="4" w:space="0"/>
              <w:right w:val="single" w:color="auto" w:sz="4" w:space="0"/>
            </w:tcBorders>
            <w:shd w:val="clear" w:color="auto" w:fill="auto"/>
            <w:vAlign w:val="center"/>
          </w:tcPr>
          <w:p w14:paraId="44C2C22E">
            <w:pPr>
              <w:pStyle w:val="52"/>
              <w:spacing w:line="500" w:lineRule="exact"/>
              <w:rPr>
                <w:rFonts w:ascii="宋体" w:hAnsi="宋体" w:cs="宋体"/>
                <w:color w:val="auto"/>
                <w:szCs w:val="21"/>
              </w:rPr>
            </w:pPr>
            <w:r>
              <w:rPr>
                <w:rFonts w:hint="eastAsia" w:ascii="宋体" w:hAnsi="宋体" w:cs="宋体"/>
                <w:color w:val="auto"/>
                <w:szCs w:val="21"/>
              </w:rPr>
              <w:t>2m3/min P=4Kw</w:t>
            </w:r>
          </w:p>
        </w:tc>
        <w:tc>
          <w:tcPr>
            <w:tcW w:w="672" w:type="dxa"/>
            <w:tcBorders>
              <w:top w:val="nil"/>
              <w:left w:val="nil"/>
              <w:bottom w:val="single" w:color="auto" w:sz="4" w:space="0"/>
              <w:right w:val="single" w:color="auto" w:sz="4" w:space="0"/>
            </w:tcBorders>
            <w:shd w:val="clear" w:color="auto" w:fill="auto"/>
            <w:vAlign w:val="center"/>
          </w:tcPr>
          <w:p w14:paraId="26AE69EA">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36A98564">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17904D0E">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77D31A37">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noWrap/>
            <w:vAlign w:val="bottom"/>
          </w:tcPr>
          <w:p w14:paraId="14DCD3E6">
            <w:pPr>
              <w:pStyle w:val="52"/>
              <w:spacing w:line="500" w:lineRule="exact"/>
              <w:rPr>
                <w:rFonts w:ascii="宋体" w:hAnsi="宋体" w:cs="宋体"/>
                <w:color w:val="auto"/>
                <w:szCs w:val="21"/>
              </w:rPr>
            </w:pPr>
            <w:r>
              <w:rPr>
                <w:rFonts w:hint="eastAsia" w:ascii="宋体" w:hAnsi="宋体" w:cs="宋体"/>
                <w:color w:val="auto"/>
                <w:szCs w:val="21"/>
              </w:rPr>
              <w:t>　</w:t>
            </w:r>
          </w:p>
        </w:tc>
      </w:tr>
      <w:tr w14:paraId="4B8B7C39">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5B8EFA5">
            <w:pPr>
              <w:pStyle w:val="52"/>
              <w:spacing w:line="500" w:lineRule="exact"/>
              <w:rPr>
                <w:rFonts w:ascii="宋体" w:hAnsi="宋体" w:cs="宋体"/>
                <w:color w:val="auto"/>
                <w:szCs w:val="21"/>
              </w:rPr>
            </w:pPr>
            <w:r>
              <w:rPr>
                <w:rFonts w:hint="eastAsia" w:ascii="宋体" w:hAnsi="宋体" w:cs="宋体"/>
                <w:color w:val="auto"/>
                <w:szCs w:val="21"/>
              </w:rPr>
              <w:t>31</w:t>
            </w:r>
          </w:p>
        </w:tc>
        <w:tc>
          <w:tcPr>
            <w:tcW w:w="967" w:type="dxa"/>
            <w:tcBorders>
              <w:top w:val="nil"/>
              <w:left w:val="nil"/>
              <w:bottom w:val="single" w:color="auto" w:sz="4" w:space="0"/>
              <w:right w:val="single" w:color="auto" w:sz="4" w:space="0"/>
            </w:tcBorders>
            <w:shd w:val="clear" w:color="auto" w:fill="auto"/>
            <w:vAlign w:val="center"/>
          </w:tcPr>
          <w:p w14:paraId="0C854992">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5ABD2EF6">
            <w:pPr>
              <w:pStyle w:val="52"/>
              <w:spacing w:line="500" w:lineRule="exact"/>
              <w:rPr>
                <w:rFonts w:ascii="宋体" w:hAnsi="宋体" w:cs="宋体"/>
                <w:color w:val="auto"/>
                <w:szCs w:val="21"/>
              </w:rPr>
            </w:pPr>
            <w:r>
              <w:rPr>
                <w:rFonts w:hint="eastAsia" w:ascii="宋体" w:hAnsi="宋体" w:cs="宋体"/>
                <w:color w:val="auto"/>
                <w:szCs w:val="21"/>
              </w:rPr>
              <w:t>聚渣槽</w:t>
            </w:r>
          </w:p>
        </w:tc>
        <w:tc>
          <w:tcPr>
            <w:tcW w:w="2597" w:type="dxa"/>
            <w:tcBorders>
              <w:top w:val="nil"/>
              <w:left w:val="nil"/>
              <w:bottom w:val="single" w:color="auto" w:sz="4" w:space="0"/>
              <w:right w:val="single" w:color="auto" w:sz="4" w:space="0"/>
            </w:tcBorders>
            <w:shd w:val="clear" w:color="auto" w:fill="auto"/>
            <w:vAlign w:val="center"/>
          </w:tcPr>
          <w:p w14:paraId="4B9CF7D9">
            <w:pPr>
              <w:pStyle w:val="52"/>
              <w:spacing w:line="500" w:lineRule="exact"/>
              <w:rPr>
                <w:rFonts w:ascii="宋体" w:hAnsi="宋体" w:cs="宋体"/>
                <w:color w:val="auto"/>
                <w:szCs w:val="21"/>
              </w:rPr>
            </w:pPr>
            <w:r>
              <w:rPr>
                <w:rFonts w:hint="eastAsia" w:ascii="宋体" w:hAnsi="宋体" w:cs="宋体"/>
                <w:color w:val="auto"/>
                <w:szCs w:val="21"/>
              </w:rPr>
              <w:t>2m3</w:t>
            </w:r>
          </w:p>
        </w:tc>
        <w:tc>
          <w:tcPr>
            <w:tcW w:w="672" w:type="dxa"/>
            <w:tcBorders>
              <w:top w:val="nil"/>
              <w:left w:val="nil"/>
              <w:bottom w:val="single" w:color="auto" w:sz="4" w:space="0"/>
              <w:right w:val="single" w:color="auto" w:sz="4" w:space="0"/>
            </w:tcBorders>
            <w:shd w:val="clear" w:color="auto" w:fill="auto"/>
            <w:vAlign w:val="center"/>
          </w:tcPr>
          <w:p w14:paraId="1A421F93">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7A00FB43">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6E259056">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1F249E9A">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noWrap/>
            <w:vAlign w:val="bottom"/>
          </w:tcPr>
          <w:p w14:paraId="22AC6C52">
            <w:pPr>
              <w:pStyle w:val="52"/>
              <w:spacing w:line="500" w:lineRule="exact"/>
              <w:rPr>
                <w:rFonts w:ascii="宋体" w:hAnsi="宋体" w:cs="宋体"/>
                <w:color w:val="auto"/>
                <w:szCs w:val="21"/>
              </w:rPr>
            </w:pPr>
            <w:r>
              <w:rPr>
                <w:rFonts w:hint="eastAsia" w:ascii="宋体" w:hAnsi="宋体" w:cs="宋体"/>
                <w:color w:val="auto"/>
                <w:szCs w:val="21"/>
              </w:rPr>
              <w:t>　</w:t>
            </w:r>
          </w:p>
        </w:tc>
      </w:tr>
      <w:tr w14:paraId="2037A488">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noWrap/>
            <w:vAlign w:val="bottom"/>
          </w:tcPr>
          <w:p w14:paraId="299F4071">
            <w:pPr>
              <w:pStyle w:val="52"/>
              <w:spacing w:line="500" w:lineRule="exact"/>
              <w:rPr>
                <w:rFonts w:ascii="宋体" w:hAnsi="宋体" w:cs="宋体"/>
                <w:color w:val="auto"/>
                <w:szCs w:val="21"/>
              </w:rPr>
            </w:pPr>
            <w:r>
              <w:rPr>
                <w:rFonts w:hint="eastAsia" w:ascii="宋体" w:hAnsi="宋体" w:cs="宋体"/>
                <w:color w:val="auto"/>
                <w:szCs w:val="21"/>
              </w:rPr>
              <w:t>第四水厂</w:t>
            </w:r>
          </w:p>
        </w:tc>
        <w:tc>
          <w:tcPr>
            <w:tcW w:w="967" w:type="dxa"/>
            <w:tcBorders>
              <w:top w:val="nil"/>
              <w:left w:val="nil"/>
              <w:bottom w:val="single" w:color="auto" w:sz="4" w:space="0"/>
              <w:right w:val="single" w:color="auto" w:sz="4" w:space="0"/>
            </w:tcBorders>
            <w:shd w:val="clear" w:color="auto" w:fill="auto"/>
            <w:vAlign w:val="center"/>
          </w:tcPr>
          <w:p w14:paraId="11D1F93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073D89F">
            <w:pPr>
              <w:pStyle w:val="52"/>
              <w:spacing w:line="500" w:lineRule="exact"/>
              <w:rPr>
                <w:rFonts w:ascii="宋体" w:hAnsi="宋体" w:cs="宋体"/>
                <w:color w:val="auto"/>
                <w:szCs w:val="21"/>
              </w:rPr>
            </w:pPr>
            <w:r>
              <w:rPr>
                <w:rFonts w:hint="eastAsia" w:ascii="宋体" w:hAnsi="宋体" w:cs="宋体"/>
                <w:color w:val="auto"/>
                <w:szCs w:val="21"/>
              </w:rPr>
              <w:t>　</w:t>
            </w:r>
          </w:p>
        </w:tc>
        <w:tc>
          <w:tcPr>
            <w:tcW w:w="2597" w:type="dxa"/>
            <w:tcBorders>
              <w:top w:val="nil"/>
              <w:left w:val="nil"/>
              <w:bottom w:val="single" w:color="auto" w:sz="4" w:space="0"/>
              <w:right w:val="single" w:color="auto" w:sz="4" w:space="0"/>
            </w:tcBorders>
            <w:shd w:val="clear" w:color="auto" w:fill="auto"/>
            <w:noWrap/>
            <w:vAlign w:val="center"/>
          </w:tcPr>
          <w:p w14:paraId="4D004992">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06BA54F1">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noWrap/>
            <w:vAlign w:val="center"/>
          </w:tcPr>
          <w:p w14:paraId="33FB6132">
            <w:pPr>
              <w:pStyle w:val="52"/>
              <w:spacing w:line="500" w:lineRule="exact"/>
              <w:rPr>
                <w:rFonts w:ascii="宋体" w:hAnsi="宋体" w:cs="宋体"/>
                <w:color w:val="auto"/>
                <w:szCs w:val="21"/>
              </w:rPr>
            </w:pPr>
            <w:r>
              <w:rPr>
                <w:rFonts w:hint="eastAsia" w:ascii="宋体" w:hAnsi="宋体" w:cs="宋体"/>
                <w:color w:val="auto"/>
                <w:szCs w:val="21"/>
              </w:rPr>
              <w:t>　</w:t>
            </w:r>
          </w:p>
        </w:tc>
        <w:tc>
          <w:tcPr>
            <w:tcW w:w="915" w:type="dxa"/>
            <w:tcBorders>
              <w:top w:val="nil"/>
              <w:left w:val="nil"/>
              <w:bottom w:val="single" w:color="auto" w:sz="4" w:space="0"/>
              <w:right w:val="single" w:color="auto" w:sz="4" w:space="0"/>
            </w:tcBorders>
            <w:shd w:val="clear" w:color="auto" w:fill="auto"/>
            <w:noWrap/>
            <w:vAlign w:val="bottom"/>
          </w:tcPr>
          <w:p w14:paraId="23F3EB5B">
            <w:pPr>
              <w:pStyle w:val="52"/>
              <w:spacing w:line="500" w:lineRule="exact"/>
              <w:rPr>
                <w:rFonts w:ascii="宋体" w:hAnsi="宋体" w:cs="宋体"/>
                <w:color w:val="auto"/>
                <w:szCs w:val="21"/>
              </w:rPr>
            </w:pPr>
            <w:r>
              <w:rPr>
                <w:rFonts w:hint="eastAsia" w:ascii="宋体" w:hAnsi="宋体" w:cs="宋体"/>
                <w:color w:val="auto"/>
                <w:szCs w:val="21"/>
              </w:rPr>
              <w:t>　</w:t>
            </w:r>
          </w:p>
        </w:tc>
        <w:tc>
          <w:tcPr>
            <w:tcW w:w="780" w:type="dxa"/>
            <w:tcBorders>
              <w:top w:val="nil"/>
              <w:left w:val="nil"/>
              <w:bottom w:val="single" w:color="auto" w:sz="4" w:space="0"/>
              <w:right w:val="single" w:color="auto" w:sz="4" w:space="0"/>
            </w:tcBorders>
            <w:shd w:val="clear" w:color="auto" w:fill="auto"/>
            <w:noWrap/>
            <w:vAlign w:val="bottom"/>
          </w:tcPr>
          <w:p w14:paraId="516C5F56">
            <w:pPr>
              <w:pStyle w:val="52"/>
              <w:spacing w:line="500" w:lineRule="exact"/>
              <w:rPr>
                <w:rFonts w:ascii="宋体" w:hAnsi="宋体" w:cs="宋体"/>
                <w:color w:val="auto"/>
                <w:szCs w:val="21"/>
              </w:rPr>
            </w:pPr>
            <w:r>
              <w:rPr>
                <w:rFonts w:hint="eastAsia" w:ascii="宋体" w:hAnsi="宋体" w:cs="宋体"/>
                <w:color w:val="auto"/>
                <w:szCs w:val="21"/>
              </w:rPr>
              <w:t>　</w:t>
            </w:r>
          </w:p>
        </w:tc>
        <w:tc>
          <w:tcPr>
            <w:tcW w:w="1950" w:type="dxa"/>
            <w:tcBorders>
              <w:top w:val="nil"/>
              <w:left w:val="nil"/>
              <w:bottom w:val="single" w:color="auto" w:sz="4" w:space="0"/>
              <w:right w:val="single" w:color="auto" w:sz="4" w:space="0"/>
            </w:tcBorders>
            <w:shd w:val="clear" w:color="auto" w:fill="auto"/>
            <w:noWrap/>
            <w:vAlign w:val="bottom"/>
          </w:tcPr>
          <w:p w14:paraId="4E2C8158">
            <w:pPr>
              <w:pStyle w:val="52"/>
              <w:spacing w:line="500" w:lineRule="exact"/>
              <w:rPr>
                <w:rFonts w:ascii="宋体" w:hAnsi="宋体" w:cs="宋体"/>
                <w:color w:val="auto"/>
                <w:szCs w:val="21"/>
              </w:rPr>
            </w:pPr>
            <w:r>
              <w:rPr>
                <w:rFonts w:hint="eastAsia" w:ascii="宋体" w:hAnsi="宋体" w:cs="宋体"/>
                <w:color w:val="auto"/>
                <w:szCs w:val="21"/>
              </w:rPr>
              <w:t>　</w:t>
            </w:r>
          </w:p>
        </w:tc>
      </w:tr>
      <w:tr w14:paraId="1CDD845B">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B806477">
            <w:pPr>
              <w:pStyle w:val="52"/>
              <w:spacing w:line="500" w:lineRule="exact"/>
              <w:rPr>
                <w:rFonts w:ascii="宋体" w:hAnsi="宋体" w:cs="宋体"/>
                <w:color w:val="auto"/>
                <w:szCs w:val="21"/>
              </w:rPr>
            </w:pPr>
            <w:r>
              <w:rPr>
                <w:rFonts w:hint="eastAsia" w:ascii="宋体" w:hAnsi="宋体" w:cs="宋体"/>
                <w:color w:val="auto"/>
                <w:szCs w:val="21"/>
              </w:rPr>
              <w:t>1</w:t>
            </w:r>
          </w:p>
        </w:tc>
        <w:tc>
          <w:tcPr>
            <w:tcW w:w="967" w:type="dxa"/>
            <w:tcBorders>
              <w:top w:val="nil"/>
              <w:left w:val="nil"/>
              <w:bottom w:val="single" w:color="auto" w:sz="4" w:space="0"/>
              <w:right w:val="single" w:color="auto" w:sz="4" w:space="0"/>
            </w:tcBorders>
            <w:shd w:val="clear" w:color="auto" w:fill="auto"/>
            <w:noWrap/>
            <w:vAlign w:val="bottom"/>
          </w:tcPr>
          <w:p w14:paraId="734527D3">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C160B0A">
            <w:pPr>
              <w:pStyle w:val="52"/>
              <w:spacing w:line="500" w:lineRule="exact"/>
              <w:rPr>
                <w:rFonts w:ascii="宋体" w:hAnsi="宋体" w:cs="宋体"/>
                <w:color w:val="auto"/>
                <w:szCs w:val="21"/>
              </w:rPr>
            </w:pPr>
            <w:r>
              <w:rPr>
                <w:rFonts w:hint="eastAsia" w:ascii="宋体" w:hAnsi="宋体" w:cs="宋体"/>
                <w:color w:val="auto"/>
                <w:szCs w:val="21"/>
              </w:rPr>
              <w:t>不停水开口</w:t>
            </w:r>
          </w:p>
        </w:tc>
        <w:tc>
          <w:tcPr>
            <w:tcW w:w="2597" w:type="dxa"/>
            <w:tcBorders>
              <w:top w:val="nil"/>
              <w:left w:val="nil"/>
              <w:bottom w:val="single" w:color="auto" w:sz="4" w:space="0"/>
              <w:right w:val="single" w:color="auto" w:sz="4" w:space="0"/>
            </w:tcBorders>
            <w:shd w:val="clear" w:color="auto" w:fill="auto"/>
            <w:vAlign w:val="center"/>
          </w:tcPr>
          <w:p w14:paraId="392C139E">
            <w:pPr>
              <w:pStyle w:val="52"/>
              <w:spacing w:line="500" w:lineRule="exact"/>
              <w:rPr>
                <w:rFonts w:ascii="宋体" w:hAnsi="宋体" w:cs="宋体"/>
                <w:color w:val="auto"/>
                <w:szCs w:val="21"/>
              </w:rPr>
            </w:pPr>
            <w:r>
              <w:rPr>
                <w:rFonts w:hint="eastAsia" w:ascii="宋体" w:hAnsi="宋体" w:cs="宋体"/>
                <w:color w:val="auto"/>
                <w:szCs w:val="21"/>
              </w:rPr>
              <w:t>DN900xDN200</w:t>
            </w:r>
          </w:p>
        </w:tc>
        <w:tc>
          <w:tcPr>
            <w:tcW w:w="672" w:type="dxa"/>
            <w:tcBorders>
              <w:top w:val="nil"/>
              <w:left w:val="nil"/>
              <w:bottom w:val="single" w:color="auto" w:sz="4" w:space="0"/>
              <w:right w:val="single" w:color="auto" w:sz="4" w:space="0"/>
            </w:tcBorders>
            <w:shd w:val="clear" w:color="auto" w:fill="auto"/>
            <w:vAlign w:val="center"/>
          </w:tcPr>
          <w:p w14:paraId="022F22C7">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435D60D5">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0795CB9A">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73148FB0">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noWrap/>
            <w:vAlign w:val="bottom"/>
          </w:tcPr>
          <w:p w14:paraId="541153DE">
            <w:pPr>
              <w:pStyle w:val="52"/>
              <w:spacing w:line="500" w:lineRule="exact"/>
              <w:rPr>
                <w:rFonts w:ascii="宋体" w:hAnsi="宋体" w:cs="宋体"/>
                <w:color w:val="auto"/>
                <w:szCs w:val="21"/>
              </w:rPr>
            </w:pPr>
            <w:r>
              <w:rPr>
                <w:rFonts w:hint="eastAsia" w:ascii="宋体" w:hAnsi="宋体" w:cs="宋体"/>
                <w:color w:val="auto"/>
                <w:szCs w:val="21"/>
              </w:rPr>
              <w:t>　</w:t>
            </w:r>
          </w:p>
        </w:tc>
      </w:tr>
      <w:tr w14:paraId="1F384873">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394C6AFC">
            <w:pPr>
              <w:pStyle w:val="52"/>
              <w:spacing w:line="500" w:lineRule="exact"/>
              <w:rPr>
                <w:rFonts w:ascii="宋体" w:hAnsi="宋体" w:cs="宋体"/>
                <w:color w:val="auto"/>
                <w:szCs w:val="21"/>
              </w:rPr>
            </w:pPr>
            <w:r>
              <w:rPr>
                <w:rFonts w:hint="eastAsia" w:ascii="宋体" w:hAnsi="宋体" w:cs="宋体"/>
                <w:color w:val="auto"/>
                <w:szCs w:val="21"/>
              </w:rPr>
              <w:t>2</w:t>
            </w:r>
          </w:p>
        </w:tc>
        <w:tc>
          <w:tcPr>
            <w:tcW w:w="967" w:type="dxa"/>
            <w:tcBorders>
              <w:top w:val="nil"/>
              <w:left w:val="nil"/>
              <w:bottom w:val="single" w:color="auto" w:sz="4" w:space="0"/>
              <w:right w:val="single" w:color="auto" w:sz="4" w:space="0"/>
            </w:tcBorders>
            <w:shd w:val="clear" w:color="auto" w:fill="auto"/>
            <w:noWrap/>
            <w:vAlign w:val="bottom"/>
          </w:tcPr>
          <w:p w14:paraId="70954E3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34AD85E">
            <w:pPr>
              <w:pStyle w:val="52"/>
              <w:spacing w:line="500" w:lineRule="exact"/>
              <w:rPr>
                <w:rFonts w:ascii="宋体" w:hAnsi="宋体" w:cs="宋体"/>
                <w:color w:val="auto"/>
                <w:szCs w:val="21"/>
              </w:rPr>
            </w:pPr>
            <w:r>
              <w:rPr>
                <w:rFonts w:hint="eastAsia" w:ascii="宋体" w:hAnsi="宋体" w:cs="宋体"/>
                <w:color w:val="auto"/>
                <w:szCs w:val="21"/>
              </w:rPr>
              <w:t>焊接钢管</w:t>
            </w:r>
          </w:p>
        </w:tc>
        <w:tc>
          <w:tcPr>
            <w:tcW w:w="2597" w:type="dxa"/>
            <w:tcBorders>
              <w:top w:val="nil"/>
              <w:left w:val="nil"/>
              <w:bottom w:val="single" w:color="auto" w:sz="4" w:space="0"/>
              <w:right w:val="single" w:color="auto" w:sz="4" w:space="0"/>
            </w:tcBorders>
            <w:shd w:val="clear" w:color="auto" w:fill="auto"/>
            <w:vAlign w:val="center"/>
          </w:tcPr>
          <w:p w14:paraId="2042ADAD">
            <w:pPr>
              <w:pStyle w:val="52"/>
              <w:spacing w:line="500" w:lineRule="exact"/>
              <w:rPr>
                <w:rFonts w:ascii="宋体" w:hAnsi="宋体" w:cs="宋体"/>
                <w:color w:val="auto"/>
                <w:szCs w:val="21"/>
              </w:rPr>
            </w:pPr>
            <w:r>
              <w:rPr>
                <w:rFonts w:hint="eastAsia" w:ascii="宋体" w:hAnsi="宋体" w:cs="宋体"/>
                <w:color w:val="auto"/>
                <w:szCs w:val="21"/>
              </w:rPr>
              <w:t>DN200，δ=6mm</w:t>
            </w:r>
          </w:p>
        </w:tc>
        <w:tc>
          <w:tcPr>
            <w:tcW w:w="672" w:type="dxa"/>
            <w:tcBorders>
              <w:top w:val="nil"/>
              <w:left w:val="nil"/>
              <w:bottom w:val="single" w:color="auto" w:sz="4" w:space="0"/>
              <w:right w:val="single" w:color="auto" w:sz="4" w:space="0"/>
            </w:tcBorders>
            <w:shd w:val="clear" w:color="auto" w:fill="auto"/>
            <w:vAlign w:val="center"/>
          </w:tcPr>
          <w:p w14:paraId="74DDCE78">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0E203BAA">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3A3748A0">
            <w:pPr>
              <w:pStyle w:val="52"/>
              <w:spacing w:line="500" w:lineRule="exact"/>
              <w:rPr>
                <w:rFonts w:ascii="宋体" w:hAnsi="宋体" w:cs="宋体"/>
                <w:color w:val="auto"/>
                <w:szCs w:val="21"/>
              </w:rPr>
            </w:pPr>
            <w:r>
              <w:rPr>
                <w:rFonts w:hint="eastAsia" w:ascii="宋体" w:hAnsi="宋体" w:cs="宋体"/>
                <w:color w:val="auto"/>
                <w:szCs w:val="21"/>
              </w:rPr>
              <w:t>25</w:t>
            </w:r>
          </w:p>
        </w:tc>
        <w:tc>
          <w:tcPr>
            <w:tcW w:w="780" w:type="dxa"/>
            <w:tcBorders>
              <w:top w:val="nil"/>
              <w:left w:val="nil"/>
              <w:bottom w:val="single" w:color="auto" w:sz="4" w:space="0"/>
              <w:right w:val="single" w:color="auto" w:sz="4" w:space="0"/>
            </w:tcBorders>
            <w:shd w:val="clear" w:color="auto" w:fill="auto"/>
            <w:vAlign w:val="center"/>
          </w:tcPr>
          <w:p w14:paraId="00C0B433">
            <w:pPr>
              <w:pStyle w:val="52"/>
              <w:spacing w:line="500" w:lineRule="exact"/>
              <w:rPr>
                <w:rFonts w:ascii="宋体" w:hAnsi="宋体" w:cs="宋体"/>
                <w:color w:val="auto"/>
                <w:szCs w:val="21"/>
              </w:rPr>
            </w:pPr>
            <w:r>
              <w:rPr>
                <w:rFonts w:hint="eastAsia" w:ascii="宋体" w:hAnsi="宋体" w:cs="宋体"/>
                <w:color w:val="auto"/>
                <w:szCs w:val="21"/>
              </w:rPr>
              <w:t>100</w:t>
            </w:r>
          </w:p>
        </w:tc>
        <w:tc>
          <w:tcPr>
            <w:tcW w:w="1950" w:type="dxa"/>
            <w:tcBorders>
              <w:top w:val="nil"/>
              <w:left w:val="nil"/>
              <w:bottom w:val="single" w:color="auto" w:sz="4" w:space="0"/>
              <w:right w:val="single" w:color="auto" w:sz="4" w:space="0"/>
            </w:tcBorders>
            <w:shd w:val="clear" w:color="auto" w:fill="auto"/>
            <w:vAlign w:val="center"/>
          </w:tcPr>
          <w:p w14:paraId="247CA3C9">
            <w:pPr>
              <w:pStyle w:val="52"/>
              <w:spacing w:line="500" w:lineRule="exact"/>
              <w:rPr>
                <w:rFonts w:ascii="宋体" w:hAnsi="宋体" w:cs="宋体"/>
                <w:color w:val="auto"/>
                <w:szCs w:val="21"/>
              </w:rPr>
            </w:pPr>
            <w:r>
              <w:rPr>
                <w:rFonts w:hint="eastAsia" w:ascii="宋体" w:hAnsi="宋体" w:cs="宋体"/>
                <w:color w:val="auto"/>
                <w:szCs w:val="21"/>
              </w:rPr>
              <w:t>绿化下埋地敷设，覆土0.5m</w:t>
            </w:r>
          </w:p>
        </w:tc>
      </w:tr>
      <w:tr w14:paraId="637CAB89">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0D9E77F">
            <w:pPr>
              <w:pStyle w:val="52"/>
              <w:spacing w:line="500" w:lineRule="exact"/>
              <w:rPr>
                <w:rFonts w:ascii="宋体" w:hAnsi="宋体" w:cs="宋体"/>
                <w:color w:val="auto"/>
                <w:szCs w:val="21"/>
              </w:rPr>
            </w:pPr>
            <w:r>
              <w:rPr>
                <w:rFonts w:hint="eastAsia" w:ascii="宋体" w:hAnsi="宋体" w:cs="宋体"/>
                <w:color w:val="auto"/>
                <w:szCs w:val="21"/>
              </w:rPr>
              <w:t>3</w:t>
            </w:r>
          </w:p>
        </w:tc>
        <w:tc>
          <w:tcPr>
            <w:tcW w:w="967" w:type="dxa"/>
            <w:tcBorders>
              <w:top w:val="nil"/>
              <w:left w:val="nil"/>
              <w:bottom w:val="single" w:color="auto" w:sz="4" w:space="0"/>
              <w:right w:val="single" w:color="auto" w:sz="4" w:space="0"/>
            </w:tcBorders>
            <w:shd w:val="clear" w:color="auto" w:fill="auto"/>
            <w:noWrap/>
            <w:vAlign w:val="bottom"/>
          </w:tcPr>
          <w:p w14:paraId="69EB71B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57BA8F0B">
            <w:pPr>
              <w:pStyle w:val="52"/>
              <w:spacing w:line="500" w:lineRule="exact"/>
              <w:rPr>
                <w:rFonts w:ascii="宋体" w:hAnsi="宋体" w:cs="宋体"/>
                <w:color w:val="auto"/>
                <w:szCs w:val="21"/>
              </w:rPr>
            </w:pPr>
            <w:r>
              <w:rPr>
                <w:rFonts w:hint="eastAsia" w:ascii="宋体" w:hAnsi="宋体" w:cs="宋体"/>
                <w:color w:val="auto"/>
                <w:szCs w:val="21"/>
              </w:rPr>
              <w:t>蝶阀</w:t>
            </w:r>
          </w:p>
        </w:tc>
        <w:tc>
          <w:tcPr>
            <w:tcW w:w="2597" w:type="dxa"/>
            <w:tcBorders>
              <w:top w:val="nil"/>
              <w:left w:val="nil"/>
              <w:bottom w:val="single" w:color="auto" w:sz="4" w:space="0"/>
              <w:right w:val="single" w:color="auto" w:sz="4" w:space="0"/>
            </w:tcBorders>
            <w:shd w:val="clear" w:color="auto" w:fill="auto"/>
            <w:vAlign w:val="center"/>
          </w:tcPr>
          <w:p w14:paraId="653B80B7">
            <w:pPr>
              <w:pStyle w:val="52"/>
              <w:spacing w:line="500" w:lineRule="exact"/>
              <w:rPr>
                <w:rFonts w:ascii="宋体" w:hAnsi="宋体" w:cs="宋体"/>
                <w:color w:val="auto"/>
                <w:szCs w:val="21"/>
              </w:rPr>
            </w:pPr>
            <w:r>
              <w:rPr>
                <w:rFonts w:hint="eastAsia" w:ascii="宋体" w:hAnsi="宋体" w:cs="宋体"/>
                <w:color w:val="auto"/>
                <w:szCs w:val="21"/>
              </w:rPr>
              <w:t>DN200 PN10</w:t>
            </w:r>
          </w:p>
        </w:tc>
        <w:tc>
          <w:tcPr>
            <w:tcW w:w="672" w:type="dxa"/>
            <w:tcBorders>
              <w:top w:val="nil"/>
              <w:left w:val="nil"/>
              <w:bottom w:val="single" w:color="auto" w:sz="4" w:space="0"/>
              <w:right w:val="single" w:color="auto" w:sz="4" w:space="0"/>
            </w:tcBorders>
            <w:shd w:val="clear" w:color="auto" w:fill="auto"/>
            <w:vAlign w:val="center"/>
          </w:tcPr>
          <w:p w14:paraId="3EC5DEB1">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10A86C4B">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73350386">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4746A716">
            <w:pPr>
              <w:pStyle w:val="52"/>
              <w:spacing w:line="500" w:lineRule="exact"/>
              <w:rPr>
                <w:rFonts w:ascii="宋体" w:hAnsi="宋体" w:cs="宋体"/>
                <w:color w:val="auto"/>
                <w:szCs w:val="21"/>
              </w:rPr>
            </w:pPr>
            <w:r>
              <w:rPr>
                <w:rFonts w:hint="eastAsia" w:ascii="宋体" w:hAnsi="宋体" w:cs="宋体"/>
                <w:color w:val="auto"/>
                <w:szCs w:val="21"/>
              </w:rPr>
              <w:t>8</w:t>
            </w:r>
          </w:p>
        </w:tc>
        <w:tc>
          <w:tcPr>
            <w:tcW w:w="1950" w:type="dxa"/>
            <w:tcBorders>
              <w:top w:val="nil"/>
              <w:left w:val="nil"/>
              <w:bottom w:val="single" w:color="auto" w:sz="4" w:space="0"/>
              <w:right w:val="single" w:color="auto" w:sz="4" w:space="0"/>
            </w:tcBorders>
            <w:shd w:val="clear" w:color="auto" w:fill="auto"/>
            <w:noWrap/>
            <w:vAlign w:val="bottom"/>
          </w:tcPr>
          <w:p w14:paraId="1D56E7B6">
            <w:pPr>
              <w:pStyle w:val="52"/>
              <w:spacing w:line="500" w:lineRule="exact"/>
              <w:rPr>
                <w:rFonts w:ascii="宋体" w:hAnsi="宋体" w:cs="宋体"/>
                <w:color w:val="auto"/>
                <w:szCs w:val="21"/>
              </w:rPr>
            </w:pPr>
            <w:r>
              <w:rPr>
                <w:rFonts w:hint="eastAsia" w:ascii="宋体" w:hAnsi="宋体" w:cs="宋体"/>
                <w:color w:val="auto"/>
                <w:szCs w:val="21"/>
              </w:rPr>
              <w:t>　</w:t>
            </w:r>
          </w:p>
        </w:tc>
      </w:tr>
      <w:tr w14:paraId="6E87190F">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26A71DF">
            <w:pPr>
              <w:pStyle w:val="52"/>
              <w:spacing w:line="500" w:lineRule="exact"/>
              <w:rPr>
                <w:rFonts w:ascii="宋体" w:hAnsi="宋体" w:cs="宋体"/>
                <w:color w:val="auto"/>
                <w:szCs w:val="21"/>
              </w:rPr>
            </w:pPr>
            <w:r>
              <w:rPr>
                <w:rFonts w:hint="eastAsia" w:ascii="宋体" w:hAnsi="宋体" w:cs="宋体"/>
                <w:color w:val="auto"/>
                <w:szCs w:val="21"/>
              </w:rPr>
              <w:t>4</w:t>
            </w:r>
          </w:p>
        </w:tc>
        <w:tc>
          <w:tcPr>
            <w:tcW w:w="967" w:type="dxa"/>
            <w:tcBorders>
              <w:top w:val="nil"/>
              <w:left w:val="nil"/>
              <w:bottom w:val="single" w:color="auto" w:sz="4" w:space="0"/>
              <w:right w:val="single" w:color="auto" w:sz="4" w:space="0"/>
            </w:tcBorders>
            <w:shd w:val="clear" w:color="auto" w:fill="auto"/>
            <w:noWrap/>
            <w:vAlign w:val="bottom"/>
          </w:tcPr>
          <w:p w14:paraId="4E93CF2E">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05CA83A">
            <w:pPr>
              <w:pStyle w:val="52"/>
              <w:spacing w:line="500" w:lineRule="exact"/>
              <w:rPr>
                <w:rFonts w:ascii="宋体" w:hAnsi="宋体" w:cs="宋体"/>
                <w:color w:val="auto"/>
                <w:szCs w:val="21"/>
              </w:rPr>
            </w:pPr>
            <w:r>
              <w:rPr>
                <w:rFonts w:hint="eastAsia" w:ascii="宋体" w:hAnsi="宋体" w:cs="宋体"/>
                <w:color w:val="auto"/>
                <w:szCs w:val="21"/>
              </w:rPr>
              <w:t>缓闭式止回阀</w:t>
            </w:r>
          </w:p>
        </w:tc>
        <w:tc>
          <w:tcPr>
            <w:tcW w:w="2597" w:type="dxa"/>
            <w:tcBorders>
              <w:top w:val="nil"/>
              <w:left w:val="nil"/>
              <w:bottom w:val="single" w:color="auto" w:sz="4" w:space="0"/>
              <w:right w:val="single" w:color="auto" w:sz="4" w:space="0"/>
            </w:tcBorders>
            <w:shd w:val="clear" w:color="auto" w:fill="auto"/>
            <w:vAlign w:val="center"/>
          </w:tcPr>
          <w:p w14:paraId="7781C406">
            <w:pPr>
              <w:pStyle w:val="52"/>
              <w:spacing w:line="500" w:lineRule="exact"/>
              <w:rPr>
                <w:rFonts w:ascii="宋体" w:hAnsi="宋体" w:cs="宋体"/>
                <w:color w:val="auto"/>
                <w:szCs w:val="21"/>
              </w:rPr>
            </w:pPr>
            <w:r>
              <w:rPr>
                <w:rFonts w:hint="eastAsia" w:ascii="宋体" w:hAnsi="宋体" w:cs="宋体"/>
                <w:color w:val="auto"/>
                <w:szCs w:val="21"/>
              </w:rPr>
              <w:t>DN200</w:t>
            </w:r>
          </w:p>
        </w:tc>
        <w:tc>
          <w:tcPr>
            <w:tcW w:w="672" w:type="dxa"/>
            <w:tcBorders>
              <w:top w:val="nil"/>
              <w:left w:val="nil"/>
              <w:bottom w:val="single" w:color="auto" w:sz="4" w:space="0"/>
              <w:right w:val="single" w:color="auto" w:sz="4" w:space="0"/>
            </w:tcBorders>
            <w:shd w:val="clear" w:color="auto" w:fill="auto"/>
            <w:vAlign w:val="center"/>
          </w:tcPr>
          <w:p w14:paraId="7052AD93">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229FC850">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6E56503B">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31E541D4">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noWrap/>
            <w:vAlign w:val="bottom"/>
          </w:tcPr>
          <w:p w14:paraId="7BF407A4">
            <w:pPr>
              <w:pStyle w:val="52"/>
              <w:spacing w:line="500" w:lineRule="exact"/>
              <w:rPr>
                <w:rFonts w:ascii="宋体" w:hAnsi="宋体" w:cs="宋体"/>
                <w:color w:val="auto"/>
                <w:szCs w:val="21"/>
              </w:rPr>
            </w:pPr>
            <w:r>
              <w:rPr>
                <w:rFonts w:hint="eastAsia" w:ascii="宋体" w:hAnsi="宋体" w:cs="宋体"/>
                <w:color w:val="auto"/>
                <w:szCs w:val="21"/>
              </w:rPr>
              <w:t>　</w:t>
            </w:r>
          </w:p>
        </w:tc>
      </w:tr>
      <w:tr w14:paraId="23CF0C2F">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A5925E5">
            <w:pPr>
              <w:pStyle w:val="52"/>
              <w:spacing w:line="500" w:lineRule="exact"/>
              <w:rPr>
                <w:rFonts w:ascii="宋体" w:hAnsi="宋体" w:cs="宋体"/>
                <w:color w:val="auto"/>
                <w:szCs w:val="21"/>
              </w:rPr>
            </w:pPr>
            <w:r>
              <w:rPr>
                <w:rFonts w:hint="eastAsia" w:ascii="宋体" w:hAnsi="宋体" w:cs="宋体"/>
                <w:color w:val="auto"/>
                <w:szCs w:val="21"/>
              </w:rPr>
              <w:t>5</w:t>
            </w:r>
          </w:p>
        </w:tc>
        <w:tc>
          <w:tcPr>
            <w:tcW w:w="967" w:type="dxa"/>
            <w:tcBorders>
              <w:top w:val="nil"/>
              <w:left w:val="nil"/>
              <w:bottom w:val="single" w:color="auto" w:sz="4" w:space="0"/>
              <w:right w:val="single" w:color="auto" w:sz="4" w:space="0"/>
            </w:tcBorders>
            <w:shd w:val="clear" w:color="auto" w:fill="auto"/>
            <w:noWrap/>
            <w:vAlign w:val="bottom"/>
          </w:tcPr>
          <w:p w14:paraId="36FC8E7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27D6397">
            <w:pPr>
              <w:pStyle w:val="52"/>
              <w:spacing w:line="500" w:lineRule="exact"/>
              <w:rPr>
                <w:rFonts w:ascii="宋体" w:hAnsi="宋体" w:cs="宋体"/>
                <w:color w:val="auto"/>
                <w:szCs w:val="21"/>
              </w:rPr>
            </w:pPr>
            <w:r>
              <w:rPr>
                <w:rFonts w:hint="eastAsia" w:ascii="宋体" w:hAnsi="宋体" w:cs="宋体"/>
                <w:color w:val="auto"/>
                <w:szCs w:val="21"/>
              </w:rPr>
              <w:t>可曲绕橡胶接头</w:t>
            </w:r>
          </w:p>
        </w:tc>
        <w:tc>
          <w:tcPr>
            <w:tcW w:w="2597" w:type="dxa"/>
            <w:tcBorders>
              <w:top w:val="nil"/>
              <w:left w:val="nil"/>
              <w:bottom w:val="single" w:color="auto" w:sz="4" w:space="0"/>
              <w:right w:val="single" w:color="auto" w:sz="4" w:space="0"/>
            </w:tcBorders>
            <w:shd w:val="clear" w:color="auto" w:fill="auto"/>
            <w:vAlign w:val="center"/>
          </w:tcPr>
          <w:p w14:paraId="66935CA1">
            <w:pPr>
              <w:pStyle w:val="52"/>
              <w:spacing w:line="500" w:lineRule="exact"/>
              <w:rPr>
                <w:rFonts w:ascii="宋体" w:hAnsi="宋体" w:cs="宋体"/>
                <w:color w:val="auto"/>
                <w:szCs w:val="21"/>
              </w:rPr>
            </w:pPr>
            <w:r>
              <w:rPr>
                <w:rFonts w:hint="eastAsia" w:ascii="宋体" w:hAnsi="宋体" w:cs="宋体"/>
                <w:color w:val="auto"/>
                <w:szCs w:val="21"/>
              </w:rPr>
              <w:t>DN200</w:t>
            </w:r>
          </w:p>
        </w:tc>
        <w:tc>
          <w:tcPr>
            <w:tcW w:w="672" w:type="dxa"/>
            <w:tcBorders>
              <w:top w:val="nil"/>
              <w:left w:val="nil"/>
              <w:bottom w:val="single" w:color="auto" w:sz="4" w:space="0"/>
              <w:right w:val="single" w:color="auto" w:sz="4" w:space="0"/>
            </w:tcBorders>
            <w:shd w:val="clear" w:color="auto" w:fill="auto"/>
            <w:vAlign w:val="center"/>
          </w:tcPr>
          <w:p w14:paraId="640A2136">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6E361AEF">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48A6EE9C">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552C89CF">
            <w:pPr>
              <w:pStyle w:val="52"/>
              <w:spacing w:line="500" w:lineRule="exact"/>
              <w:rPr>
                <w:rFonts w:ascii="宋体" w:hAnsi="宋体" w:cs="宋体"/>
                <w:color w:val="auto"/>
                <w:szCs w:val="21"/>
              </w:rPr>
            </w:pPr>
            <w:r>
              <w:rPr>
                <w:rFonts w:hint="eastAsia" w:ascii="宋体" w:hAnsi="宋体" w:cs="宋体"/>
                <w:color w:val="auto"/>
                <w:szCs w:val="21"/>
              </w:rPr>
              <w:t>8</w:t>
            </w:r>
          </w:p>
        </w:tc>
        <w:tc>
          <w:tcPr>
            <w:tcW w:w="1950" w:type="dxa"/>
            <w:tcBorders>
              <w:top w:val="nil"/>
              <w:left w:val="nil"/>
              <w:bottom w:val="single" w:color="auto" w:sz="4" w:space="0"/>
              <w:right w:val="single" w:color="auto" w:sz="4" w:space="0"/>
            </w:tcBorders>
            <w:shd w:val="clear" w:color="auto" w:fill="auto"/>
            <w:noWrap/>
            <w:vAlign w:val="bottom"/>
          </w:tcPr>
          <w:p w14:paraId="5D087411">
            <w:pPr>
              <w:pStyle w:val="52"/>
              <w:spacing w:line="500" w:lineRule="exact"/>
              <w:rPr>
                <w:rFonts w:ascii="宋体" w:hAnsi="宋体" w:cs="宋体"/>
                <w:color w:val="auto"/>
                <w:szCs w:val="21"/>
              </w:rPr>
            </w:pPr>
            <w:r>
              <w:rPr>
                <w:rFonts w:hint="eastAsia" w:ascii="宋体" w:hAnsi="宋体" w:cs="宋体"/>
                <w:color w:val="auto"/>
                <w:szCs w:val="21"/>
              </w:rPr>
              <w:t>　</w:t>
            </w:r>
          </w:p>
        </w:tc>
      </w:tr>
      <w:tr w14:paraId="71B4E43D">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50A3D73">
            <w:pPr>
              <w:pStyle w:val="52"/>
              <w:spacing w:line="500" w:lineRule="exact"/>
              <w:rPr>
                <w:rFonts w:ascii="宋体" w:hAnsi="宋体" w:cs="宋体"/>
                <w:color w:val="auto"/>
                <w:szCs w:val="21"/>
              </w:rPr>
            </w:pPr>
            <w:r>
              <w:rPr>
                <w:rFonts w:hint="eastAsia" w:ascii="宋体" w:hAnsi="宋体" w:cs="宋体"/>
                <w:color w:val="auto"/>
                <w:szCs w:val="21"/>
              </w:rPr>
              <w:t>6</w:t>
            </w:r>
          </w:p>
        </w:tc>
        <w:tc>
          <w:tcPr>
            <w:tcW w:w="967" w:type="dxa"/>
            <w:tcBorders>
              <w:top w:val="nil"/>
              <w:left w:val="nil"/>
              <w:bottom w:val="single" w:color="auto" w:sz="4" w:space="0"/>
              <w:right w:val="single" w:color="auto" w:sz="4" w:space="0"/>
            </w:tcBorders>
            <w:shd w:val="clear" w:color="auto" w:fill="auto"/>
            <w:noWrap/>
            <w:vAlign w:val="bottom"/>
          </w:tcPr>
          <w:p w14:paraId="32517684">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E740C1E">
            <w:pPr>
              <w:pStyle w:val="52"/>
              <w:spacing w:line="500" w:lineRule="exact"/>
              <w:rPr>
                <w:rFonts w:ascii="宋体" w:hAnsi="宋体" w:cs="宋体"/>
                <w:color w:val="auto"/>
                <w:szCs w:val="21"/>
              </w:rPr>
            </w:pPr>
            <w:r>
              <w:rPr>
                <w:rFonts w:hint="eastAsia" w:ascii="宋体" w:hAnsi="宋体" w:cs="宋体"/>
                <w:color w:val="auto"/>
                <w:szCs w:val="21"/>
              </w:rPr>
              <w:t>分流变频泵</w:t>
            </w:r>
          </w:p>
        </w:tc>
        <w:tc>
          <w:tcPr>
            <w:tcW w:w="2597" w:type="dxa"/>
            <w:tcBorders>
              <w:top w:val="nil"/>
              <w:left w:val="nil"/>
              <w:bottom w:val="single" w:color="auto" w:sz="4" w:space="0"/>
              <w:right w:val="single" w:color="auto" w:sz="4" w:space="0"/>
            </w:tcBorders>
            <w:shd w:val="clear" w:color="auto" w:fill="auto"/>
            <w:vAlign w:val="center"/>
          </w:tcPr>
          <w:p w14:paraId="2610228E">
            <w:pPr>
              <w:pStyle w:val="52"/>
              <w:spacing w:line="500" w:lineRule="exact"/>
              <w:rPr>
                <w:rFonts w:ascii="宋体" w:hAnsi="宋体" w:cs="宋体"/>
                <w:color w:val="auto"/>
                <w:szCs w:val="21"/>
              </w:rPr>
            </w:pPr>
            <w:r>
              <w:rPr>
                <w:rFonts w:hint="eastAsia" w:ascii="宋体" w:hAnsi="宋体" w:cs="宋体"/>
                <w:color w:val="auto"/>
                <w:szCs w:val="21"/>
              </w:rPr>
              <w:t>Q=150m3/h,H=50m,P=37kw</w:t>
            </w:r>
          </w:p>
        </w:tc>
        <w:tc>
          <w:tcPr>
            <w:tcW w:w="672" w:type="dxa"/>
            <w:tcBorders>
              <w:top w:val="nil"/>
              <w:left w:val="nil"/>
              <w:bottom w:val="single" w:color="auto" w:sz="4" w:space="0"/>
              <w:right w:val="single" w:color="auto" w:sz="4" w:space="0"/>
            </w:tcBorders>
            <w:shd w:val="clear" w:color="auto" w:fill="auto"/>
            <w:vAlign w:val="center"/>
          </w:tcPr>
          <w:p w14:paraId="39B15F10">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77EC1281">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19CABD63">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337F998D">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vAlign w:val="center"/>
          </w:tcPr>
          <w:p w14:paraId="409AD09A">
            <w:pPr>
              <w:pStyle w:val="52"/>
              <w:spacing w:line="500" w:lineRule="exact"/>
              <w:rPr>
                <w:rFonts w:ascii="宋体" w:hAnsi="宋体" w:cs="宋体"/>
                <w:color w:val="auto"/>
                <w:szCs w:val="21"/>
              </w:rPr>
            </w:pPr>
            <w:r>
              <w:rPr>
                <w:rFonts w:hint="eastAsia" w:ascii="宋体" w:hAnsi="宋体" w:cs="宋体"/>
                <w:color w:val="auto"/>
                <w:szCs w:val="21"/>
              </w:rPr>
              <w:t>溶气系统设备</w:t>
            </w:r>
          </w:p>
        </w:tc>
      </w:tr>
      <w:tr w14:paraId="48A3A44F">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3214170D">
            <w:pPr>
              <w:pStyle w:val="52"/>
              <w:spacing w:line="500" w:lineRule="exact"/>
              <w:rPr>
                <w:rFonts w:ascii="宋体" w:hAnsi="宋体" w:cs="宋体"/>
                <w:color w:val="auto"/>
                <w:szCs w:val="21"/>
              </w:rPr>
            </w:pPr>
            <w:r>
              <w:rPr>
                <w:rFonts w:hint="eastAsia" w:ascii="宋体" w:hAnsi="宋体" w:cs="宋体"/>
                <w:color w:val="auto"/>
                <w:szCs w:val="21"/>
              </w:rPr>
              <w:t>7</w:t>
            </w:r>
          </w:p>
        </w:tc>
        <w:tc>
          <w:tcPr>
            <w:tcW w:w="967" w:type="dxa"/>
            <w:tcBorders>
              <w:top w:val="nil"/>
              <w:left w:val="nil"/>
              <w:bottom w:val="single" w:color="auto" w:sz="4" w:space="0"/>
              <w:right w:val="single" w:color="auto" w:sz="4" w:space="0"/>
            </w:tcBorders>
            <w:shd w:val="clear" w:color="auto" w:fill="auto"/>
            <w:noWrap/>
            <w:vAlign w:val="bottom"/>
          </w:tcPr>
          <w:p w14:paraId="6D7299C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BB1C552">
            <w:pPr>
              <w:pStyle w:val="52"/>
              <w:spacing w:line="500" w:lineRule="exact"/>
              <w:rPr>
                <w:rFonts w:ascii="宋体" w:hAnsi="宋体" w:cs="宋体"/>
                <w:color w:val="auto"/>
                <w:szCs w:val="21"/>
              </w:rPr>
            </w:pPr>
            <w:r>
              <w:rPr>
                <w:rFonts w:hint="eastAsia" w:ascii="宋体" w:hAnsi="宋体" w:cs="宋体"/>
                <w:color w:val="auto"/>
                <w:szCs w:val="21"/>
              </w:rPr>
              <w:t>无油螺杆空压机</w:t>
            </w:r>
          </w:p>
        </w:tc>
        <w:tc>
          <w:tcPr>
            <w:tcW w:w="2597" w:type="dxa"/>
            <w:tcBorders>
              <w:top w:val="nil"/>
              <w:left w:val="nil"/>
              <w:bottom w:val="single" w:color="auto" w:sz="4" w:space="0"/>
              <w:right w:val="single" w:color="auto" w:sz="4" w:space="0"/>
            </w:tcBorders>
            <w:shd w:val="clear" w:color="auto" w:fill="auto"/>
            <w:vAlign w:val="center"/>
          </w:tcPr>
          <w:p w14:paraId="6DE992AA">
            <w:pPr>
              <w:pStyle w:val="52"/>
              <w:spacing w:line="500" w:lineRule="exact"/>
              <w:rPr>
                <w:rFonts w:ascii="宋体" w:hAnsi="宋体" w:cs="宋体"/>
                <w:color w:val="auto"/>
                <w:szCs w:val="21"/>
              </w:rPr>
            </w:pPr>
            <w:r>
              <w:rPr>
                <w:rFonts w:hint="eastAsia" w:ascii="宋体" w:hAnsi="宋体" w:cs="宋体"/>
                <w:color w:val="auto"/>
                <w:szCs w:val="21"/>
              </w:rPr>
              <w:t>Q=60m3/h，0.8mpa,P=7.5kw</w:t>
            </w:r>
          </w:p>
        </w:tc>
        <w:tc>
          <w:tcPr>
            <w:tcW w:w="672" w:type="dxa"/>
            <w:tcBorders>
              <w:top w:val="nil"/>
              <w:left w:val="nil"/>
              <w:bottom w:val="single" w:color="auto" w:sz="4" w:space="0"/>
              <w:right w:val="single" w:color="auto" w:sz="4" w:space="0"/>
            </w:tcBorders>
            <w:shd w:val="clear" w:color="auto" w:fill="auto"/>
            <w:vAlign w:val="center"/>
          </w:tcPr>
          <w:p w14:paraId="44A40542">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3622DDB5">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2E70A366">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1F977173">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vAlign w:val="center"/>
          </w:tcPr>
          <w:p w14:paraId="12E62F68">
            <w:pPr>
              <w:pStyle w:val="52"/>
              <w:spacing w:line="500" w:lineRule="exact"/>
              <w:rPr>
                <w:rFonts w:ascii="宋体" w:hAnsi="宋体" w:cs="宋体"/>
                <w:color w:val="auto"/>
                <w:szCs w:val="21"/>
              </w:rPr>
            </w:pPr>
            <w:r>
              <w:rPr>
                <w:rFonts w:hint="eastAsia" w:ascii="宋体" w:hAnsi="宋体" w:cs="宋体"/>
                <w:color w:val="auto"/>
                <w:szCs w:val="21"/>
              </w:rPr>
              <w:t>溶气系统设备</w:t>
            </w:r>
          </w:p>
        </w:tc>
      </w:tr>
      <w:tr w14:paraId="0F10F30C">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2E699D9">
            <w:pPr>
              <w:pStyle w:val="52"/>
              <w:spacing w:line="500" w:lineRule="exact"/>
              <w:rPr>
                <w:rFonts w:ascii="宋体" w:hAnsi="宋体" w:cs="宋体"/>
                <w:color w:val="auto"/>
                <w:szCs w:val="21"/>
              </w:rPr>
            </w:pPr>
            <w:r>
              <w:rPr>
                <w:rFonts w:hint="eastAsia" w:ascii="宋体" w:hAnsi="宋体" w:cs="宋体"/>
                <w:color w:val="auto"/>
                <w:szCs w:val="21"/>
              </w:rPr>
              <w:t>8</w:t>
            </w:r>
          </w:p>
        </w:tc>
        <w:tc>
          <w:tcPr>
            <w:tcW w:w="967" w:type="dxa"/>
            <w:tcBorders>
              <w:top w:val="nil"/>
              <w:left w:val="nil"/>
              <w:bottom w:val="single" w:color="auto" w:sz="4" w:space="0"/>
              <w:right w:val="single" w:color="auto" w:sz="4" w:space="0"/>
            </w:tcBorders>
            <w:shd w:val="clear" w:color="auto" w:fill="auto"/>
            <w:noWrap/>
            <w:vAlign w:val="bottom"/>
          </w:tcPr>
          <w:p w14:paraId="659C26F4">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7887053">
            <w:pPr>
              <w:pStyle w:val="52"/>
              <w:spacing w:line="500" w:lineRule="exact"/>
              <w:rPr>
                <w:rFonts w:ascii="宋体" w:hAnsi="宋体" w:cs="宋体"/>
                <w:color w:val="auto"/>
                <w:szCs w:val="21"/>
              </w:rPr>
            </w:pPr>
            <w:r>
              <w:rPr>
                <w:rFonts w:hint="eastAsia" w:ascii="宋体" w:hAnsi="宋体" w:cs="宋体"/>
                <w:color w:val="auto"/>
                <w:szCs w:val="21"/>
              </w:rPr>
              <w:t>溶气罐</w:t>
            </w:r>
          </w:p>
        </w:tc>
        <w:tc>
          <w:tcPr>
            <w:tcW w:w="2597" w:type="dxa"/>
            <w:tcBorders>
              <w:top w:val="nil"/>
              <w:left w:val="nil"/>
              <w:bottom w:val="single" w:color="auto" w:sz="4" w:space="0"/>
              <w:right w:val="single" w:color="auto" w:sz="4" w:space="0"/>
            </w:tcBorders>
            <w:shd w:val="clear" w:color="auto" w:fill="auto"/>
            <w:vAlign w:val="center"/>
          </w:tcPr>
          <w:p w14:paraId="6292EB9A">
            <w:pPr>
              <w:pStyle w:val="52"/>
              <w:spacing w:line="500" w:lineRule="exact"/>
              <w:rPr>
                <w:rFonts w:ascii="宋体" w:hAnsi="宋体" w:cs="宋体"/>
                <w:color w:val="auto"/>
                <w:szCs w:val="21"/>
              </w:rPr>
            </w:pPr>
            <w:r>
              <w:rPr>
                <w:rFonts w:hint="eastAsia" w:ascii="宋体" w:hAnsi="宋体" w:cs="宋体"/>
                <w:color w:val="auto"/>
                <w:szCs w:val="21"/>
              </w:rPr>
              <w:t>V=6m3</w:t>
            </w:r>
          </w:p>
        </w:tc>
        <w:tc>
          <w:tcPr>
            <w:tcW w:w="672" w:type="dxa"/>
            <w:tcBorders>
              <w:top w:val="nil"/>
              <w:left w:val="nil"/>
              <w:bottom w:val="single" w:color="auto" w:sz="4" w:space="0"/>
              <w:right w:val="single" w:color="auto" w:sz="4" w:space="0"/>
            </w:tcBorders>
            <w:shd w:val="clear" w:color="auto" w:fill="auto"/>
            <w:vAlign w:val="center"/>
          </w:tcPr>
          <w:p w14:paraId="363C7248">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6484DD3A">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4F400A2B">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355D2A7B">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vAlign w:val="center"/>
          </w:tcPr>
          <w:p w14:paraId="49406E83">
            <w:pPr>
              <w:pStyle w:val="52"/>
              <w:spacing w:line="500" w:lineRule="exact"/>
              <w:rPr>
                <w:rFonts w:ascii="宋体" w:hAnsi="宋体" w:cs="宋体"/>
                <w:color w:val="auto"/>
                <w:szCs w:val="21"/>
              </w:rPr>
            </w:pPr>
            <w:r>
              <w:rPr>
                <w:rFonts w:hint="eastAsia" w:ascii="宋体" w:hAnsi="宋体" w:cs="宋体"/>
                <w:color w:val="auto"/>
                <w:szCs w:val="21"/>
              </w:rPr>
              <w:t>溶气系统设备，含压力表等附件</w:t>
            </w:r>
          </w:p>
        </w:tc>
      </w:tr>
      <w:tr w14:paraId="429B847E">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B6C86DF">
            <w:pPr>
              <w:pStyle w:val="52"/>
              <w:spacing w:line="500" w:lineRule="exact"/>
              <w:rPr>
                <w:rFonts w:ascii="宋体" w:hAnsi="宋体" w:cs="宋体"/>
                <w:color w:val="auto"/>
                <w:szCs w:val="21"/>
              </w:rPr>
            </w:pPr>
            <w:r>
              <w:rPr>
                <w:rFonts w:hint="eastAsia" w:ascii="宋体" w:hAnsi="宋体" w:cs="宋体"/>
                <w:color w:val="auto"/>
                <w:szCs w:val="21"/>
              </w:rPr>
              <w:t>9</w:t>
            </w:r>
          </w:p>
        </w:tc>
        <w:tc>
          <w:tcPr>
            <w:tcW w:w="967" w:type="dxa"/>
            <w:tcBorders>
              <w:top w:val="nil"/>
              <w:left w:val="nil"/>
              <w:bottom w:val="single" w:color="auto" w:sz="4" w:space="0"/>
              <w:right w:val="single" w:color="auto" w:sz="4" w:space="0"/>
            </w:tcBorders>
            <w:shd w:val="clear" w:color="auto" w:fill="auto"/>
            <w:noWrap/>
            <w:vAlign w:val="bottom"/>
          </w:tcPr>
          <w:p w14:paraId="4B42859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743614F">
            <w:pPr>
              <w:pStyle w:val="52"/>
              <w:spacing w:line="500" w:lineRule="exact"/>
              <w:rPr>
                <w:rFonts w:ascii="宋体" w:hAnsi="宋体" w:cs="宋体"/>
                <w:color w:val="auto"/>
                <w:szCs w:val="21"/>
              </w:rPr>
            </w:pPr>
            <w:r>
              <w:rPr>
                <w:rFonts w:hint="eastAsia" w:ascii="宋体" w:hAnsi="宋体" w:cs="宋体"/>
                <w:color w:val="auto"/>
                <w:szCs w:val="21"/>
              </w:rPr>
              <w:t>球阀</w:t>
            </w:r>
          </w:p>
        </w:tc>
        <w:tc>
          <w:tcPr>
            <w:tcW w:w="2597" w:type="dxa"/>
            <w:tcBorders>
              <w:top w:val="nil"/>
              <w:left w:val="nil"/>
              <w:bottom w:val="single" w:color="auto" w:sz="4" w:space="0"/>
              <w:right w:val="single" w:color="auto" w:sz="4" w:space="0"/>
            </w:tcBorders>
            <w:shd w:val="clear" w:color="auto" w:fill="auto"/>
            <w:vAlign w:val="center"/>
          </w:tcPr>
          <w:p w14:paraId="71AFB8AB">
            <w:pPr>
              <w:pStyle w:val="52"/>
              <w:spacing w:line="500" w:lineRule="exact"/>
              <w:rPr>
                <w:rFonts w:ascii="宋体" w:hAnsi="宋体" w:cs="宋体"/>
                <w:color w:val="auto"/>
                <w:szCs w:val="21"/>
              </w:rPr>
            </w:pPr>
            <w:r>
              <w:rPr>
                <w:rFonts w:hint="eastAsia" w:ascii="宋体" w:hAnsi="宋体" w:cs="宋体"/>
                <w:color w:val="auto"/>
                <w:szCs w:val="21"/>
              </w:rPr>
              <w:t>DN200</w:t>
            </w:r>
          </w:p>
        </w:tc>
        <w:tc>
          <w:tcPr>
            <w:tcW w:w="672" w:type="dxa"/>
            <w:tcBorders>
              <w:top w:val="nil"/>
              <w:left w:val="nil"/>
              <w:bottom w:val="single" w:color="auto" w:sz="4" w:space="0"/>
              <w:right w:val="single" w:color="auto" w:sz="4" w:space="0"/>
            </w:tcBorders>
            <w:shd w:val="clear" w:color="auto" w:fill="auto"/>
            <w:vAlign w:val="center"/>
          </w:tcPr>
          <w:p w14:paraId="474DB043">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06E49DA5">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27A8215C">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55C67643">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noWrap/>
            <w:vAlign w:val="bottom"/>
          </w:tcPr>
          <w:p w14:paraId="19B95824">
            <w:pPr>
              <w:pStyle w:val="52"/>
              <w:spacing w:line="500" w:lineRule="exact"/>
              <w:rPr>
                <w:rFonts w:ascii="宋体" w:hAnsi="宋体" w:cs="宋体"/>
                <w:color w:val="auto"/>
                <w:szCs w:val="21"/>
              </w:rPr>
            </w:pPr>
            <w:r>
              <w:rPr>
                <w:rFonts w:hint="eastAsia" w:ascii="宋体" w:hAnsi="宋体" w:cs="宋体"/>
                <w:color w:val="auto"/>
                <w:szCs w:val="21"/>
              </w:rPr>
              <w:t>　</w:t>
            </w:r>
          </w:p>
        </w:tc>
      </w:tr>
      <w:tr w14:paraId="59C196D9">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DFDEB3D">
            <w:pPr>
              <w:pStyle w:val="52"/>
              <w:spacing w:line="500" w:lineRule="exact"/>
              <w:rPr>
                <w:rFonts w:ascii="宋体" w:hAnsi="宋体" w:cs="宋体"/>
                <w:color w:val="auto"/>
                <w:szCs w:val="21"/>
              </w:rPr>
            </w:pPr>
            <w:r>
              <w:rPr>
                <w:rFonts w:hint="eastAsia" w:ascii="宋体" w:hAnsi="宋体" w:cs="宋体"/>
                <w:color w:val="auto"/>
                <w:szCs w:val="21"/>
              </w:rPr>
              <w:t>10</w:t>
            </w:r>
          </w:p>
        </w:tc>
        <w:tc>
          <w:tcPr>
            <w:tcW w:w="967" w:type="dxa"/>
            <w:tcBorders>
              <w:top w:val="nil"/>
              <w:left w:val="nil"/>
              <w:bottom w:val="single" w:color="auto" w:sz="4" w:space="0"/>
              <w:right w:val="single" w:color="auto" w:sz="4" w:space="0"/>
            </w:tcBorders>
            <w:shd w:val="clear" w:color="auto" w:fill="auto"/>
            <w:noWrap/>
            <w:vAlign w:val="bottom"/>
          </w:tcPr>
          <w:p w14:paraId="751D3542">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AF5FE2D">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44895CAD">
            <w:pPr>
              <w:pStyle w:val="52"/>
              <w:spacing w:line="500" w:lineRule="exact"/>
              <w:rPr>
                <w:rFonts w:ascii="宋体" w:hAnsi="宋体" w:cs="宋体"/>
                <w:color w:val="auto"/>
                <w:szCs w:val="21"/>
              </w:rPr>
            </w:pPr>
            <w:r>
              <w:rPr>
                <w:rFonts w:hint="eastAsia" w:ascii="宋体" w:hAnsi="宋体" w:cs="宋体"/>
                <w:color w:val="auto"/>
                <w:szCs w:val="21"/>
              </w:rPr>
              <w:t>De200，PN10</w:t>
            </w:r>
          </w:p>
        </w:tc>
        <w:tc>
          <w:tcPr>
            <w:tcW w:w="672" w:type="dxa"/>
            <w:tcBorders>
              <w:top w:val="nil"/>
              <w:left w:val="nil"/>
              <w:bottom w:val="single" w:color="auto" w:sz="4" w:space="0"/>
              <w:right w:val="single" w:color="auto" w:sz="4" w:space="0"/>
            </w:tcBorders>
            <w:shd w:val="clear" w:color="auto" w:fill="auto"/>
            <w:vAlign w:val="center"/>
          </w:tcPr>
          <w:p w14:paraId="60595D33">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0B5766D9">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477605C8">
            <w:pPr>
              <w:pStyle w:val="52"/>
              <w:spacing w:line="500" w:lineRule="exact"/>
              <w:rPr>
                <w:rFonts w:ascii="宋体" w:hAnsi="宋体" w:cs="宋体"/>
                <w:color w:val="auto"/>
                <w:szCs w:val="21"/>
              </w:rPr>
            </w:pPr>
            <w:r>
              <w:rPr>
                <w:rFonts w:hint="eastAsia" w:ascii="宋体" w:hAnsi="宋体" w:cs="宋体"/>
                <w:color w:val="auto"/>
                <w:szCs w:val="21"/>
              </w:rPr>
              <w:t>60</w:t>
            </w:r>
          </w:p>
        </w:tc>
        <w:tc>
          <w:tcPr>
            <w:tcW w:w="780" w:type="dxa"/>
            <w:tcBorders>
              <w:top w:val="nil"/>
              <w:left w:val="nil"/>
              <w:bottom w:val="single" w:color="auto" w:sz="4" w:space="0"/>
              <w:right w:val="single" w:color="auto" w:sz="4" w:space="0"/>
            </w:tcBorders>
            <w:shd w:val="clear" w:color="auto" w:fill="auto"/>
            <w:vAlign w:val="center"/>
          </w:tcPr>
          <w:p w14:paraId="0EC1C6AA">
            <w:pPr>
              <w:pStyle w:val="52"/>
              <w:spacing w:line="500" w:lineRule="exact"/>
              <w:rPr>
                <w:rFonts w:ascii="宋体" w:hAnsi="宋体" w:cs="宋体"/>
                <w:color w:val="auto"/>
                <w:szCs w:val="21"/>
              </w:rPr>
            </w:pPr>
            <w:r>
              <w:rPr>
                <w:rFonts w:hint="eastAsia" w:ascii="宋体" w:hAnsi="宋体" w:cs="宋体"/>
                <w:color w:val="auto"/>
                <w:szCs w:val="21"/>
              </w:rPr>
              <w:t>240</w:t>
            </w:r>
          </w:p>
        </w:tc>
        <w:tc>
          <w:tcPr>
            <w:tcW w:w="1950" w:type="dxa"/>
            <w:tcBorders>
              <w:top w:val="nil"/>
              <w:left w:val="nil"/>
              <w:bottom w:val="single" w:color="auto" w:sz="4" w:space="0"/>
              <w:right w:val="single" w:color="auto" w:sz="4" w:space="0"/>
            </w:tcBorders>
            <w:shd w:val="clear" w:color="auto" w:fill="auto"/>
            <w:noWrap/>
            <w:vAlign w:val="bottom"/>
          </w:tcPr>
          <w:p w14:paraId="4F3B6E53">
            <w:pPr>
              <w:pStyle w:val="52"/>
              <w:spacing w:line="500" w:lineRule="exact"/>
              <w:rPr>
                <w:rFonts w:ascii="宋体" w:hAnsi="宋体" w:cs="宋体"/>
                <w:color w:val="auto"/>
                <w:szCs w:val="21"/>
              </w:rPr>
            </w:pPr>
            <w:r>
              <w:rPr>
                <w:rFonts w:hint="eastAsia" w:ascii="宋体" w:hAnsi="宋体" w:cs="宋体"/>
                <w:color w:val="auto"/>
                <w:szCs w:val="21"/>
              </w:rPr>
              <w:t>　</w:t>
            </w:r>
          </w:p>
        </w:tc>
      </w:tr>
      <w:tr w14:paraId="20773ABC">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56C87AD">
            <w:pPr>
              <w:pStyle w:val="52"/>
              <w:spacing w:line="500" w:lineRule="exact"/>
              <w:rPr>
                <w:rFonts w:ascii="宋体" w:hAnsi="宋体" w:cs="宋体"/>
                <w:color w:val="auto"/>
                <w:szCs w:val="21"/>
              </w:rPr>
            </w:pPr>
            <w:r>
              <w:rPr>
                <w:rFonts w:hint="eastAsia" w:ascii="宋体" w:hAnsi="宋体" w:cs="宋体"/>
                <w:color w:val="auto"/>
                <w:szCs w:val="21"/>
              </w:rPr>
              <w:t>11</w:t>
            </w:r>
          </w:p>
        </w:tc>
        <w:tc>
          <w:tcPr>
            <w:tcW w:w="967" w:type="dxa"/>
            <w:tcBorders>
              <w:top w:val="nil"/>
              <w:left w:val="nil"/>
              <w:bottom w:val="single" w:color="auto" w:sz="4" w:space="0"/>
              <w:right w:val="single" w:color="auto" w:sz="4" w:space="0"/>
            </w:tcBorders>
            <w:shd w:val="clear" w:color="auto" w:fill="auto"/>
            <w:noWrap/>
            <w:vAlign w:val="bottom"/>
          </w:tcPr>
          <w:p w14:paraId="7E513EB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65C6227">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060B09D2">
            <w:pPr>
              <w:pStyle w:val="52"/>
              <w:spacing w:line="500" w:lineRule="exact"/>
              <w:rPr>
                <w:rFonts w:ascii="宋体" w:hAnsi="宋体" w:cs="宋体"/>
                <w:color w:val="auto"/>
                <w:szCs w:val="21"/>
              </w:rPr>
            </w:pPr>
            <w:r>
              <w:rPr>
                <w:rFonts w:hint="eastAsia" w:ascii="宋体" w:hAnsi="宋体" w:cs="宋体"/>
                <w:color w:val="auto"/>
                <w:szCs w:val="21"/>
              </w:rPr>
              <w:t>De110，PN10</w:t>
            </w:r>
          </w:p>
        </w:tc>
        <w:tc>
          <w:tcPr>
            <w:tcW w:w="672" w:type="dxa"/>
            <w:tcBorders>
              <w:top w:val="nil"/>
              <w:left w:val="nil"/>
              <w:bottom w:val="single" w:color="auto" w:sz="4" w:space="0"/>
              <w:right w:val="single" w:color="auto" w:sz="4" w:space="0"/>
            </w:tcBorders>
            <w:shd w:val="clear" w:color="auto" w:fill="auto"/>
            <w:vAlign w:val="center"/>
          </w:tcPr>
          <w:p w14:paraId="6756BD3D">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69CD9191">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5ECF0092">
            <w:pPr>
              <w:pStyle w:val="52"/>
              <w:spacing w:line="500" w:lineRule="exact"/>
              <w:rPr>
                <w:rFonts w:ascii="宋体" w:hAnsi="宋体" w:cs="宋体"/>
                <w:color w:val="auto"/>
                <w:szCs w:val="21"/>
              </w:rPr>
            </w:pPr>
            <w:r>
              <w:rPr>
                <w:rFonts w:hint="eastAsia" w:ascii="宋体" w:hAnsi="宋体" w:cs="宋体"/>
                <w:color w:val="auto"/>
                <w:szCs w:val="21"/>
              </w:rPr>
              <w:t>4</w:t>
            </w:r>
          </w:p>
        </w:tc>
        <w:tc>
          <w:tcPr>
            <w:tcW w:w="780" w:type="dxa"/>
            <w:tcBorders>
              <w:top w:val="nil"/>
              <w:left w:val="nil"/>
              <w:bottom w:val="single" w:color="auto" w:sz="4" w:space="0"/>
              <w:right w:val="single" w:color="auto" w:sz="4" w:space="0"/>
            </w:tcBorders>
            <w:shd w:val="clear" w:color="auto" w:fill="auto"/>
            <w:vAlign w:val="center"/>
          </w:tcPr>
          <w:p w14:paraId="4BC97A3D">
            <w:pPr>
              <w:pStyle w:val="52"/>
              <w:spacing w:line="500" w:lineRule="exact"/>
              <w:rPr>
                <w:rFonts w:ascii="宋体" w:hAnsi="宋体" w:cs="宋体"/>
                <w:color w:val="auto"/>
                <w:szCs w:val="21"/>
              </w:rPr>
            </w:pPr>
            <w:r>
              <w:rPr>
                <w:rFonts w:hint="eastAsia" w:ascii="宋体" w:hAnsi="宋体" w:cs="宋体"/>
                <w:color w:val="auto"/>
                <w:szCs w:val="21"/>
              </w:rPr>
              <w:t>16</w:t>
            </w:r>
          </w:p>
        </w:tc>
        <w:tc>
          <w:tcPr>
            <w:tcW w:w="1950" w:type="dxa"/>
            <w:tcBorders>
              <w:top w:val="nil"/>
              <w:left w:val="nil"/>
              <w:bottom w:val="single" w:color="auto" w:sz="4" w:space="0"/>
              <w:right w:val="single" w:color="auto" w:sz="4" w:space="0"/>
            </w:tcBorders>
            <w:shd w:val="clear" w:color="auto" w:fill="auto"/>
            <w:noWrap/>
            <w:vAlign w:val="bottom"/>
          </w:tcPr>
          <w:p w14:paraId="22DB15CE">
            <w:pPr>
              <w:pStyle w:val="52"/>
              <w:spacing w:line="500" w:lineRule="exact"/>
              <w:rPr>
                <w:rFonts w:ascii="宋体" w:hAnsi="宋体" w:cs="宋体"/>
                <w:color w:val="auto"/>
                <w:szCs w:val="21"/>
              </w:rPr>
            </w:pPr>
            <w:r>
              <w:rPr>
                <w:rFonts w:hint="eastAsia" w:ascii="宋体" w:hAnsi="宋体" w:cs="宋体"/>
                <w:color w:val="auto"/>
                <w:szCs w:val="21"/>
              </w:rPr>
              <w:t>　</w:t>
            </w:r>
          </w:p>
        </w:tc>
      </w:tr>
      <w:tr w14:paraId="2FCC350E">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B9990B3">
            <w:pPr>
              <w:pStyle w:val="52"/>
              <w:spacing w:line="500" w:lineRule="exact"/>
              <w:rPr>
                <w:rFonts w:ascii="宋体" w:hAnsi="宋体" w:cs="宋体"/>
                <w:color w:val="auto"/>
                <w:szCs w:val="21"/>
              </w:rPr>
            </w:pPr>
            <w:r>
              <w:rPr>
                <w:rFonts w:hint="eastAsia" w:ascii="宋体" w:hAnsi="宋体" w:cs="宋体"/>
                <w:color w:val="auto"/>
                <w:szCs w:val="21"/>
              </w:rPr>
              <w:t>12</w:t>
            </w:r>
          </w:p>
        </w:tc>
        <w:tc>
          <w:tcPr>
            <w:tcW w:w="967" w:type="dxa"/>
            <w:tcBorders>
              <w:top w:val="nil"/>
              <w:left w:val="nil"/>
              <w:bottom w:val="single" w:color="auto" w:sz="4" w:space="0"/>
              <w:right w:val="single" w:color="auto" w:sz="4" w:space="0"/>
            </w:tcBorders>
            <w:shd w:val="clear" w:color="auto" w:fill="auto"/>
            <w:noWrap/>
            <w:vAlign w:val="bottom"/>
          </w:tcPr>
          <w:p w14:paraId="6BCAC65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CD6E0C7">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230090A6">
            <w:pPr>
              <w:pStyle w:val="52"/>
              <w:spacing w:line="500" w:lineRule="exact"/>
              <w:rPr>
                <w:rFonts w:ascii="宋体" w:hAnsi="宋体" w:cs="宋体"/>
                <w:color w:val="auto"/>
                <w:szCs w:val="21"/>
              </w:rPr>
            </w:pPr>
            <w:r>
              <w:rPr>
                <w:rFonts w:hint="eastAsia" w:ascii="宋体" w:hAnsi="宋体" w:cs="宋体"/>
                <w:color w:val="auto"/>
                <w:szCs w:val="21"/>
              </w:rPr>
              <w:t>De90，PN10</w:t>
            </w:r>
          </w:p>
        </w:tc>
        <w:tc>
          <w:tcPr>
            <w:tcW w:w="672" w:type="dxa"/>
            <w:tcBorders>
              <w:top w:val="nil"/>
              <w:left w:val="nil"/>
              <w:bottom w:val="single" w:color="auto" w:sz="4" w:space="0"/>
              <w:right w:val="single" w:color="auto" w:sz="4" w:space="0"/>
            </w:tcBorders>
            <w:shd w:val="clear" w:color="auto" w:fill="auto"/>
            <w:vAlign w:val="center"/>
          </w:tcPr>
          <w:p w14:paraId="39E95E86">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150969BC">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2EEA9AE8">
            <w:pPr>
              <w:pStyle w:val="52"/>
              <w:spacing w:line="500" w:lineRule="exact"/>
              <w:rPr>
                <w:rFonts w:ascii="宋体" w:hAnsi="宋体" w:cs="宋体"/>
                <w:color w:val="auto"/>
                <w:szCs w:val="21"/>
              </w:rPr>
            </w:pPr>
            <w:r>
              <w:rPr>
                <w:rFonts w:hint="eastAsia" w:ascii="宋体" w:hAnsi="宋体" w:cs="宋体"/>
                <w:color w:val="auto"/>
                <w:szCs w:val="21"/>
              </w:rPr>
              <w:t>108</w:t>
            </w:r>
          </w:p>
        </w:tc>
        <w:tc>
          <w:tcPr>
            <w:tcW w:w="780" w:type="dxa"/>
            <w:tcBorders>
              <w:top w:val="nil"/>
              <w:left w:val="nil"/>
              <w:bottom w:val="single" w:color="auto" w:sz="4" w:space="0"/>
              <w:right w:val="single" w:color="auto" w:sz="4" w:space="0"/>
            </w:tcBorders>
            <w:shd w:val="clear" w:color="auto" w:fill="auto"/>
            <w:vAlign w:val="center"/>
          </w:tcPr>
          <w:p w14:paraId="2A60F1E9">
            <w:pPr>
              <w:pStyle w:val="52"/>
              <w:spacing w:line="500" w:lineRule="exact"/>
              <w:rPr>
                <w:rFonts w:ascii="宋体" w:hAnsi="宋体" w:cs="宋体"/>
                <w:color w:val="auto"/>
                <w:szCs w:val="21"/>
              </w:rPr>
            </w:pPr>
            <w:r>
              <w:rPr>
                <w:rFonts w:hint="eastAsia" w:ascii="宋体" w:hAnsi="宋体" w:cs="宋体"/>
                <w:color w:val="auto"/>
                <w:szCs w:val="21"/>
              </w:rPr>
              <w:t>432</w:t>
            </w:r>
          </w:p>
        </w:tc>
        <w:tc>
          <w:tcPr>
            <w:tcW w:w="1950" w:type="dxa"/>
            <w:tcBorders>
              <w:top w:val="nil"/>
              <w:left w:val="nil"/>
              <w:bottom w:val="single" w:color="auto" w:sz="4" w:space="0"/>
              <w:right w:val="single" w:color="auto" w:sz="4" w:space="0"/>
            </w:tcBorders>
            <w:shd w:val="clear" w:color="auto" w:fill="auto"/>
            <w:noWrap/>
            <w:vAlign w:val="bottom"/>
          </w:tcPr>
          <w:p w14:paraId="144DADA4">
            <w:pPr>
              <w:pStyle w:val="52"/>
              <w:spacing w:line="500" w:lineRule="exact"/>
              <w:rPr>
                <w:rFonts w:ascii="宋体" w:hAnsi="宋体" w:cs="宋体"/>
                <w:color w:val="auto"/>
                <w:szCs w:val="21"/>
              </w:rPr>
            </w:pPr>
            <w:r>
              <w:rPr>
                <w:rFonts w:hint="eastAsia" w:ascii="宋体" w:hAnsi="宋体" w:cs="宋体"/>
                <w:color w:val="auto"/>
                <w:szCs w:val="21"/>
              </w:rPr>
              <w:t>　</w:t>
            </w:r>
          </w:p>
        </w:tc>
      </w:tr>
      <w:tr w14:paraId="239B4E79">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DFDBE7B">
            <w:pPr>
              <w:pStyle w:val="52"/>
              <w:spacing w:line="500" w:lineRule="exact"/>
              <w:rPr>
                <w:rFonts w:ascii="宋体" w:hAnsi="宋体" w:cs="宋体"/>
                <w:color w:val="auto"/>
                <w:szCs w:val="21"/>
              </w:rPr>
            </w:pPr>
            <w:r>
              <w:rPr>
                <w:rFonts w:hint="eastAsia" w:ascii="宋体" w:hAnsi="宋体" w:cs="宋体"/>
                <w:color w:val="auto"/>
                <w:szCs w:val="21"/>
              </w:rPr>
              <w:t>13</w:t>
            </w:r>
          </w:p>
        </w:tc>
        <w:tc>
          <w:tcPr>
            <w:tcW w:w="967" w:type="dxa"/>
            <w:tcBorders>
              <w:top w:val="nil"/>
              <w:left w:val="nil"/>
              <w:bottom w:val="single" w:color="auto" w:sz="4" w:space="0"/>
              <w:right w:val="single" w:color="auto" w:sz="4" w:space="0"/>
            </w:tcBorders>
            <w:shd w:val="clear" w:color="auto" w:fill="auto"/>
            <w:noWrap/>
            <w:vAlign w:val="bottom"/>
          </w:tcPr>
          <w:p w14:paraId="6A90382E">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5C929F5">
            <w:pPr>
              <w:pStyle w:val="52"/>
              <w:spacing w:line="500" w:lineRule="exact"/>
              <w:rPr>
                <w:rFonts w:ascii="宋体" w:hAnsi="宋体" w:cs="宋体"/>
                <w:color w:val="auto"/>
                <w:szCs w:val="21"/>
              </w:rPr>
            </w:pPr>
            <w:r>
              <w:rPr>
                <w:rFonts w:hint="eastAsia" w:ascii="宋体" w:hAnsi="宋体" w:cs="宋体"/>
                <w:color w:val="auto"/>
                <w:szCs w:val="21"/>
              </w:rPr>
              <w:t>球阀</w:t>
            </w:r>
          </w:p>
        </w:tc>
        <w:tc>
          <w:tcPr>
            <w:tcW w:w="2597" w:type="dxa"/>
            <w:tcBorders>
              <w:top w:val="nil"/>
              <w:left w:val="nil"/>
              <w:bottom w:val="single" w:color="auto" w:sz="4" w:space="0"/>
              <w:right w:val="single" w:color="auto" w:sz="4" w:space="0"/>
            </w:tcBorders>
            <w:shd w:val="clear" w:color="auto" w:fill="auto"/>
            <w:vAlign w:val="center"/>
          </w:tcPr>
          <w:p w14:paraId="0F0F0C00">
            <w:pPr>
              <w:pStyle w:val="52"/>
              <w:spacing w:line="500" w:lineRule="exact"/>
              <w:rPr>
                <w:rFonts w:ascii="宋体" w:hAnsi="宋体" w:cs="宋体"/>
                <w:color w:val="auto"/>
                <w:szCs w:val="21"/>
              </w:rPr>
            </w:pPr>
            <w:r>
              <w:rPr>
                <w:rFonts w:hint="eastAsia" w:ascii="宋体" w:hAnsi="宋体" w:cs="宋体"/>
                <w:color w:val="auto"/>
                <w:szCs w:val="21"/>
              </w:rPr>
              <w:t>DN100</w:t>
            </w:r>
          </w:p>
        </w:tc>
        <w:tc>
          <w:tcPr>
            <w:tcW w:w="672" w:type="dxa"/>
            <w:tcBorders>
              <w:top w:val="nil"/>
              <w:left w:val="nil"/>
              <w:bottom w:val="single" w:color="auto" w:sz="4" w:space="0"/>
              <w:right w:val="single" w:color="auto" w:sz="4" w:space="0"/>
            </w:tcBorders>
            <w:shd w:val="clear" w:color="auto" w:fill="auto"/>
            <w:vAlign w:val="center"/>
          </w:tcPr>
          <w:p w14:paraId="0B5DCFBD">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1F03D9FB">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4F1462FC">
            <w:pPr>
              <w:pStyle w:val="52"/>
              <w:spacing w:line="500" w:lineRule="exact"/>
              <w:rPr>
                <w:rFonts w:ascii="宋体" w:hAnsi="宋体" w:cs="宋体"/>
                <w:color w:val="auto"/>
                <w:szCs w:val="21"/>
              </w:rPr>
            </w:pPr>
            <w:r>
              <w:rPr>
                <w:rFonts w:hint="eastAsia" w:ascii="宋体" w:hAnsi="宋体" w:cs="宋体"/>
                <w:color w:val="auto"/>
                <w:szCs w:val="21"/>
              </w:rPr>
              <w:t>4</w:t>
            </w:r>
          </w:p>
        </w:tc>
        <w:tc>
          <w:tcPr>
            <w:tcW w:w="780" w:type="dxa"/>
            <w:tcBorders>
              <w:top w:val="nil"/>
              <w:left w:val="nil"/>
              <w:bottom w:val="single" w:color="auto" w:sz="4" w:space="0"/>
              <w:right w:val="single" w:color="auto" w:sz="4" w:space="0"/>
            </w:tcBorders>
            <w:shd w:val="clear" w:color="auto" w:fill="auto"/>
            <w:vAlign w:val="center"/>
          </w:tcPr>
          <w:p w14:paraId="137A6B39">
            <w:pPr>
              <w:pStyle w:val="52"/>
              <w:spacing w:line="500" w:lineRule="exact"/>
              <w:rPr>
                <w:rFonts w:ascii="宋体" w:hAnsi="宋体" w:cs="宋体"/>
                <w:color w:val="auto"/>
                <w:szCs w:val="21"/>
              </w:rPr>
            </w:pPr>
            <w:r>
              <w:rPr>
                <w:rFonts w:hint="eastAsia" w:ascii="宋体" w:hAnsi="宋体" w:cs="宋体"/>
                <w:color w:val="auto"/>
                <w:szCs w:val="21"/>
              </w:rPr>
              <w:t>16</w:t>
            </w:r>
          </w:p>
        </w:tc>
        <w:tc>
          <w:tcPr>
            <w:tcW w:w="1950" w:type="dxa"/>
            <w:tcBorders>
              <w:top w:val="nil"/>
              <w:left w:val="nil"/>
              <w:bottom w:val="single" w:color="auto" w:sz="4" w:space="0"/>
              <w:right w:val="single" w:color="auto" w:sz="4" w:space="0"/>
            </w:tcBorders>
            <w:shd w:val="clear" w:color="auto" w:fill="auto"/>
            <w:noWrap/>
            <w:vAlign w:val="bottom"/>
          </w:tcPr>
          <w:p w14:paraId="0AD9617C">
            <w:pPr>
              <w:pStyle w:val="52"/>
              <w:spacing w:line="500" w:lineRule="exact"/>
              <w:rPr>
                <w:rFonts w:ascii="宋体" w:hAnsi="宋体" w:cs="宋体"/>
                <w:color w:val="auto"/>
                <w:szCs w:val="21"/>
              </w:rPr>
            </w:pPr>
            <w:r>
              <w:rPr>
                <w:rFonts w:hint="eastAsia" w:ascii="宋体" w:hAnsi="宋体" w:cs="宋体"/>
                <w:color w:val="auto"/>
                <w:szCs w:val="21"/>
              </w:rPr>
              <w:t>　</w:t>
            </w:r>
          </w:p>
        </w:tc>
      </w:tr>
      <w:tr w14:paraId="639A728D">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AA4AFFE">
            <w:pPr>
              <w:pStyle w:val="52"/>
              <w:spacing w:line="500" w:lineRule="exact"/>
              <w:rPr>
                <w:rFonts w:ascii="宋体" w:hAnsi="宋体" w:cs="宋体"/>
                <w:color w:val="auto"/>
                <w:szCs w:val="21"/>
              </w:rPr>
            </w:pPr>
            <w:r>
              <w:rPr>
                <w:rFonts w:hint="eastAsia" w:ascii="宋体" w:hAnsi="宋体" w:cs="宋体"/>
                <w:color w:val="auto"/>
                <w:szCs w:val="21"/>
              </w:rPr>
              <w:t>14</w:t>
            </w:r>
          </w:p>
        </w:tc>
        <w:tc>
          <w:tcPr>
            <w:tcW w:w="967" w:type="dxa"/>
            <w:tcBorders>
              <w:top w:val="nil"/>
              <w:left w:val="nil"/>
              <w:bottom w:val="single" w:color="auto" w:sz="4" w:space="0"/>
              <w:right w:val="single" w:color="auto" w:sz="4" w:space="0"/>
            </w:tcBorders>
            <w:shd w:val="clear" w:color="auto" w:fill="auto"/>
            <w:noWrap/>
            <w:vAlign w:val="bottom"/>
          </w:tcPr>
          <w:p w14:paraId="7A7094C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5429A95A">
            <w:pPr>
              <w:pStyle w:val="52"/>
              <w:spacing w:line="500" w:lineRule="exact"/>
              <w:rPr>
                <w:rFonts w:ascii="宋体" w:hAnsi="宋体" w:cs="宋体"/>
                <w:color w:val="auto"/>
                <w:szCs w:val="21"/>
              </w:rPr>
            </w:pPr>
            <w:r>
              <w:rPr>
                <w:rFonts w:hint="eastAsia" w:ascii="宋体" w:hAnsi="宋体" w:cs="宋体"/>
                <w:color w:val="auto"/>
                <w:szCs w:val="21"/>
              </w:rPr>
              <w:t>均匀分布器</w:t>
            </w:r>
          </w:p>
        </w:tc>
        <w:tc>
          <w:tcPr>
            <w:tcW w:w="2597" w:type="dxa"/>
            <w:tcBorders>
              <w:top w:val="nil"/>
              <w:left w:val="nil"/>
              <w:bottom w:val="single" w:color="auto" w:sz="4" w:space="0"/>
              <w:right w:val="single" w:color="auto" w:sz="4" w:space="0"/>
            </w:tcBorders>
            <w:shd w:val="clear" w:color="auto" w:fill="auto"/>
            <w:vAlign w:val="center"/>
          </w:tcPr>
          <w:p w14:paraId="1B00A2BF">
            <w:pPr>
              <w:pStyle w:val="52"/>
              <w:spacing w:line="500" w:lineRule="exact"/>
              <w:rPr>
                <w:rFonts w:ascii="宋体" w:hAnsi="宋体" w:cs="宋体"/>
                <w:color w:val="auto"/>
                <w:szCs w:val="21"/>
              </w:rPr>
            </w:pPr>
            <w:r>
              <w:rPr>
                <w:rFonts w:hint="eastAsia" w:ascii="宋体" w:hAnsi="宋体" w:cs="宋体"/>
                <w:color w:val="auto"/>
                <w:szCs w:val="21"/>
              </w:rPr>
              <w:t>TV-Ⅱ，Φ200，2.96m3/h</w:t>
            </w:r>
          </w:p>
        </w:tc>
        <w:tc>
          <w:tcPr>
            <w:tcW w:w="672" w:type="dxa"/>
            <w:tcBorders>
              <w:top w:val="nil"/>
              <w:left w:val="nil"/>
              <w:bottom w:val="single" w:color="auto" w:sz="4" w:space="0"/>
              <w:right w:val="single" w:color="auto" w:sz="4" w:space="0"/>
            </w:tcBorders>
            <w:shd w:val="clear" w:color="auto" w:fill="auto"/>
            <w:vAlign w:val="center"/>
          </w:tcPr>
          <w:p w14:paraId="415A64E8">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54B109BA">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2599AB7B">
            <w:pPr>
              <w:pStyle w:val="52"/>
              <w:spacing w:line="500" w:lineRule="exact"/>
              <w:rPr>
                <w:rFonts w:ascii="宋体" w:hAnsi="宋体" w:cs="宋体"/>
                <w:color w:val="auto"/>
                <w:szCs w:val="21"/>
              </w:rPr>
            </w:pPr>
            <w:r>
              <w:rPr>
                <w:rFonts w:hint="eastAsia" w:ascii="宋体" w:hAnsi="宋体" w:cs="宋体"/>
                <w:color w:val="auto"/>
                <w:szCs w:val="21"/>
              </w:rPr>
              <w:t>56</w:t>
            </w:r>
          </w:p>
        </w:tc>
        <w:tc>
          <w:tcPr>
            <w:tcW w:w="780" w:type="dxa"/>
            <w:tcBorders>
              <w:top w:val="nil"/>
              <w:left w:val="nil"/>
              <w:bottom w:val="single" w:color="auto" w:sz="4" w:space="0"/>
              <w:right w:val="single" w:color="auto" w:sz="4" w:space="0"/>
            </w:tcBorders>
            <w:shd w:val="clear" w:color="auto" w:fill="auto"/>
            <w:vAlign w:val="center"/>
          </w:tcPr>
          <w:p w14:paraId="0F22E44C">
            <w:pPr>
              <w:pStyle w:val="52"/>
              <w:spacing w:line="500" w:lineRule="exact"/>
              <w:rPr>
                <w:rFonts w:ascii="宋体" w:hAnsi="宋体" w:cs="宋体"/>
                <w:color w:val="auto"/>
                <w:szCs w:val="21"/>
              </w:rPr>
            </w:pPr>
            <w:r>
              <w:rPr>
                <w:rFonts w:hint="eastAsia" w:ascii="宋体" w:hAnsi="宋体" w:cs="宋体"/>
                <w:color w:val="auto"/>
                <w:szCs w:val="21"/>
              </w:rPr>
              <w:t>224</w:t>
            </w:r>
          </w:p>
        </w:tc>
        <w:tc>
          <w:tcPr>
            <w:tcW w:w="1950" w:type="dxa"/>
            <w:tcBorders>
              <w:top w:val="nil"/>
              <w:left w:val="nil"/>
              <w:bottom w:val="single" w:color="auto" w:sz="4" w:space="0"/>
              <w:right w:val="single" w:color="auto" w:sz="4" w:space="0"/>
            </w:tcBorders>
            <w:shd w:val="clear" w:color="auto" w:fill="auto"/>
            <w:noWrap/>
            <w:vAlign w:val="bottom"/>
          </w:tcPr>
          <w:p w14:paraId="652CEDCD">
            <w:pPr>
              <w:pStyle w:val="52"/>
              <w:spacing w:line="500" w:lineRule="exact"/>
              <w:rPr>
                <w:rFonts w:ascii="宋体" w:hAnsi="宋体" w:cs="宋体"/>
                <w:color w:val="auto"/>
                <w:szCs w:val="21"/>
              </w:rPr>
            </w:pPr>
            <w:r>
              <w:rPr>
                <w:rFonts w:hint="eastAsia" w:ascii="宋体" w:hAnsi="宋体" w:cs="宋体"/>
                <w:color w:val="auto"/>
                <w:szCs w:val="21"/>
              </w:rPr>
              <w:t>　</w:t>
            </w:r>
          </w:p>
        </w:tc>
      </w:tr>
      <w:tr w14:paraId="164CE2AA">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43F47FA">
            <w:pPr>
              <w:pStyle w:val="52"/>
              <w:spacing w:line="500" w:lineRule="exact"/>
              <w:rPr>
                <w:rFonts w:ascii="宋体" w:hAnsi="宋体" w:cs="宋体"/>
                <w:color w:val="auto"/>
                <w:szCs w:val="21"/>
              </w:rPr>
            </w:pPr>
            <w:r>
              <w:rPr>
                <w:rFonts w:hint="eastAsia" w:ascii="宋体" w:hAnsi="宋体" w:cs="宋体"/>
                <w:color w:val="auto"/>
                <w:szCs w:val="21"/>
              </w:rPr>
              <w:t>15</w:t>
            </w:r>
          </w:p>
        </w:tc>
        <w:tc>
          <w:tcPr>
            <w:tcW w:w="967" w:type="dxa"/>
            <w:tcBorders>
              <w:top w:val="nil"/>
              <w:left w:val="nil"/>
              <w:bottom w:val="single" w:color="auto" w:sz="4" w:space="0"/>
              <w:right w:val="single" w:color="auto" w:sz="4" w:space="0"/>
            </w:tcBorders>
            <w:shd w:val="clear" w:color="auto" w:fill="auto"/>
            <w:noWrap/>
            <w:vAlign w:val="bottom"/>
          </w:tcPr>
          <w:p w14:paraId="2B3E0E8D">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FF5965D">
            <w:pPr>
              <w:pStyle w:val="52"/>
              <w:spacing w:line="500" w:lineRule="exact"/>
              <w:rPr>
                <w:rFonts w:ascii="宋体" w:hAnsi="宋体" w:cs="宋体"/>
                <w:color w:val="auto"/>
                <w:szCs w:val="21"/>
              </w:rPr>
            </w:pPr>
            <w:r>
              <w:rPr>
                <w:rFonts w:hint="eastAsia" w:ascii="宋体" w:hAnsi="宋体" w:cs="宋体"/>
                <w:color w:val="auto"/>
                <w:szCs w:val="21"/>
              </w:rPr>
              <w:t>PE管</w:t>
            </w:r>
          </w:p>
        </w:tc>
        <w:tc>
          <w:tcPr>
            <w:tcW w:w="2597" w:type="dxa"/>
            <w:tcBorders>
              <w:top w:val="nil"/>
              <w:left w:val="nil"/>
              <w:bottom w:val="single" w:color="auto" w:sz="4" w:space="0"/>
              <w:right w:val="single" w:color="auto" w:sz="4" w:space="0"/>
            </w:tcBorders>
            <w:shd w:val="clear" w:color="auto" w:fill="auto"/>
            <w:vAlign w:val="center"/>
          </w:tcPr>
          <w:p w14:paraId="182F085D">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163A59C4">
            <w:pPr>
              <w:pStyle w:val="52"/>
              <w:spacing w:line="500" w:lineRule="exact"/>
              <w:rPr>
                <w:rFonts w:ascii="宋体" w:hAnsi="宋体" w:cs="宋体"/>
                <w:color w:val="auto"/>
                <w:szCs w:val="21"/>
              </w:rPr>
            </w:pPr>
            <w:r>
              <w:rPr>
                <w:rFonts w:hint="eastAsia" w:ascii="宋体" w:hAnsi="宋体" w:cs="宋体"/>
                <w:color w:val="auto"/>
                <w:szCs w:val="21"/>
              </w:rPr>
              <w:t>PE管</w:t>
            </w:r>
          </w:p>
        </w:tc>
        <w:tc>
          <w:tcPr>
            <w:tcW w:w="579" w:type="dxa"/>
            <w:tcBorders>
              <w:top w:val="nil"/>
              <w:left w:val="nil"/>
              <w:bottom w:val="single" w:color="auto" w:sz="4" w:space="0"/>
              <w:right w:val="single" w:color="auto" w:sz="4" w:space="0"/>
            </w:tcBorders>
            <w:shd w:val="clear" w:color="auto" w:fill="auto"/>
            <w:vAlign w:val="center"/>
          </w:tcPr>
          <w:p w14:paraId="6EF468AD">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69B5DD08">
            <w:pPr>
              <w:pStyle w:val="52"/>
              <w:spacing w:line="500" w:lineRule="exact"/>
              <w:rPr>
                <w:rFonts w:ascii="宋体" w:hAnsi="宋体" w:cs="宋体"/>
                <w:color w:val="auto"/>
                <w:szCs w:val="21"/>
              </w:rPr>
            </w:pPr>
            <w:r>
              <w:rPr>
                <w:rFonts w:hint="eastAsia" w:ascii="宋体" w:hAnsi="宋体" w:cs="宋体"/>
                <w:color w:val="auto"/>
                <w:szCs w:val="21"/>
              </w:rPr>
              <w:t>20</w:t>
            </w:r>
          </w:p>
        </w:tc>
        <w:tc>
          <w:tcPr>
            <w:tcW w:w="780" w:type="dxa"/>
            <w:tcBorders>
              <w:top w:val="nil"/>
              <w:left w:val="nil"/>
              <w:bottom w:val="single" w:color="auto" w:sz="4" w:space="0"/>
              <w:right w:val="single" w:color="auto" w:sz="4" w:space="0"/>
            </w:tcBorders>
            <w:shd w:val="clear" w:color="auto" w:fill="auto"/>
            <w:vAlign w:val="center"/>
          </w:tcPr>
          <w:p w14:paraId="7A02DCA4">
            <w:pPr>
              <w:pStyle w:val="52"/>
              <w:spacing w:line="500" w:lineRule="exact"/>
              <w:rPr>
                <w:rFonts w:ascii="宋体" w:hAnsi="宋体" w:cs="宋体"/>
                <w:color w:val="auto"/>
                <w:szCs w:val="21"/>
              </w:rPr>
            </w:pPr>
            <w:r>
              <w:rPr>
                <w:rFonts w:hint="eastAsia" w:ascii="宋体" w:hAnsi="宋体" w:cs="宋体"/>
                <w:color w:val="auto"/>
                <w:szCs w:val="21"/>
              </w:rPr>
              <w:t>80</w:t>
            </w:r>
          </w:p>
        </w:tc>
        <w:tc>
          <w:tcPr>
            <w:tcW w:w="1950" w:type="dxa"/>
            <w:tcBorders>
              <w:top w:val="nil"/>
              <w:left w:val="nil"/>
              <w:bottom w:val="single" w:color="auto" w:sz="4" w:space="0"/>
              <w:right w:val="single" w:color="auto" w:sz="4" w:space="0"/>
            </w:tcBorders>
            <w:shd w:val="clear" w:color="auto" w:fill="auto"/>
            <w:vAlign w:val="center"/>
          </w:tcPr>
          <w:p w14:paraId="5D14134A">
            <w:pPr>
              <w:pStyle w:val="52"/>
              <w:spacing w:line="500" w:lineRule="exact"/>
              <w:rPr>
                <w:rFonts w:ascii="宋体" w:hAnsi="宋体" w:cs="宋体"/>
                <w:color w:val="auto"/>
                <w:szCs w:val="21"/>
              </w:rPr>
            </w:pPr>
            <w:r>
              <w:rPr>
                <w:rFonts w:hint="eastAsia" w:ascii="宋体" w:hAnsi="宋体" w:cs="宋体"/>
                <w:color w:val="auto"/>
                <w:szCs w:val="21"/>
              </w:rPr>
              <w:t>绿化下埋地敷设，覆土0.5m</w:t>
            </w:r>
          </w:p>
        </w:tc>
      </w:tr>
      <w:tr w14:paraId="435156A6">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C7E50E7">
            <w:pPr>
              <w:pStyle w:val="52"/>
              <w:spacing w:line="500" w:lineRule="exact"/>
              <w:rPr>
                <w:rFonts w:ascii="宋体" w:hAnsi="宋体" w:cs="宋体"/>
                <w:color w:val="auto"/>
                <w:szCs w:val="21"/>
              </w:rPr>
            </w:pPr>
            <w:r>
              <w:rPr>
                <w:rFonts w:hint="eastAsia" w:ascii="宋体" w:hAnsi="宋体" w:cs="宋体"/>
                <w:color w:val="auto"/>
                <w:szCs w:val="21"/>
              </w:rPr>
              <w:t>16</w:t>
            </w:r>
          </w:p>
        </w:tc>
        <w:tc>
          <w:tcPr>
            <w:tcW w:w="967" w:type="dxa"/>
            <w:tcBorders>
              <w:top w:val="nil"/>
              <w:left w:val="nil"/>
              <w:bottom w:val="single" w:color="auto" w:sz="4" w:space="0"/>
              <w:right w:val="single" w:color="auto" w:sz="4" w:space="0"/>
            </w:tcBorders>
            <w:shd w:val="clear" w:color="auto" w:fill="auto"/>
            <w:noWrap/>
            <w:vAlign w:val="bottom"/>
          </w:tcPr>
          <w:p w14:paraId="205B6EF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500C586">
            <w:pPr>
              <w:pStyle w:val="52"/>
              <w:spacing w:line="500" w:lineRule="exact"/>
              <w:rPr>
                <w:rFonts w:ascii="宋体" w:hAnsi="宋体" w:cs="宋体"/>
                <w:color w:val="auto"/>
                <w:szCs w:val="21"/>
              </w:rPr>
            </w:pPr>
            <w:r>
              <w:rPr>
                <w:rFonts w:hint="eastAsia" w:ascii="宋体" w:hAnsi="宋体" w:cs="宋体"/>
                <w:color w:val="auto"/>
                <w:szCs w:val="21"/>
              </w:rPr>
              <w:t>球阀</w:t>
            </w:r>
          </w:p>
        </w:tc>
        <w:tc>
          <w:tcPr>
            <w:tcW w:w="2597" w:type="dxa"/>
            <w:tcBorders>
              <w:top w:val="nil"/>
              <w:left w:val="nil"/>
              <w:bottom w:val="single" w:color="auto" w:sz="4" w:space="0"/>
              <w:right w:val="single" w:color="auto" w:sz="4" w:space="0"/>
            </w:tcBorders>
            <w:shd w:val="clear" w:color="auto" w:fill="auto"/>
            <w:vAlign w:val="center"/>
          </w:tcPr>
          <w:p w14:paraId="39D16C65">
            <w:pPr>
              <w:pStyle w:val="52"/>
              <w:spacing w:line="500" w:lineRule="exact"/>
              <w:rPr>
                <w:rFonts w:ascii="宋体" w:hAnsi="宋体" w:cs="宋体"/>
                <w:color w:val="auto"/>
                <w:szCs w:val="21"/>
              </w:rPr>
            </w:pPr>
            <w:r>
              <w:rPr>
                <w:rFonts w:hint="eastAsia" w:ascii="宋体" w:hAnsi="宋体" w:cs="宋体"/>
                <w:color w:val="auto"/>
                <w:szCs w:val="21"/>
              </w:rPr>
              <w:t>DN50</w:t>
            </w:r>
          </w:p>
        </w:tc>
        <w:tc>
          <w:tcPr>
            <w:tcW w:w="672" w:type="dxa"/>
            <w:tcBorders>
              <w:top w:val="nil"/>
              <w:left w:val="nil"/>
              <w:bottom w:val="single" w:color="auto" w:sz="4" w:space="0"/>
              <w:right w:val="single" w:color="auto" w:sz="4" w:space="0"/>
            </w:tcBorders>
            <w:shd w:val="clear" w:color="auto" w:fill="auto"/>
            <w:vAlign w:val="center"/>
          </w:tcPr>
          <w:p w14:paraId="0479025D">
            <w:pPr>
              <w:pStyle w:val="52"/>
              <w:spacing w:line="500" w:lineRule="exact"/>
              <w:rPr>
                <w:rFonts w:ascii="宋体" w:hAnsi="宋体" w:cs="宋体"/>
                <w:color w:val="auto"/>
                <w:szCs w:val="21"/>
              </w:rPr>
            </w:pPr>
            <w:r>
              <w:rPr>
                <w:rFonts w:hint="eastAsia" w:ascii="宋体" w:hAnsi="宋体" w:cs="宋体"/>
                <w:color w:val="auto"/>
                <w:szCs w:val="21"/>
              </w:rPr>
              <w:t>塑料</w:t>
            </w:r>
          </w:p>
        </w:tc>
        <w:tc>
          <w:tcPr>
            <w:tcW w:w="579" w:type="dxa"/>
            <w:tcBorders>
              <w:top w:val="nil"/>
              <w:left w:val="nil"/>
              <w:bottom w:val="single" w:color="auto" w:sz="4" w:space="0"/>
              <w:right w:val="single" w:color="auto" w:sz="4" w:space="0"/>
            </w:tcBorders>
            <w:shd w:val="clear" w:color="auto" w:fill="auto"/>
            <w:vAlign w:val="center"/>
          </w:tcPr>
          <w:p w14:paraId="18CC1C85">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59DB6910">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1B8C0F9B">
            <w:pPr>
              <w:pStyle w:val="52"/>
              <w:spacing w:line="500" w:lineRule="exact"/>
              <w:rPr>
                <w:rFonts w:ascii="宋体" w:hAnsi="宋体" w:cs="宋体"/>
                <w:color w:val="auto"/>
                <w:szCs w:val="21"/>
              </w:rPr>
            </w:pPr>
            <w:r>
              <w:rPr>
                <w:rFonts w:hint="eastAsia" w:ascii="宋体" w:hAnsi="宋体" w:cs="宋体"/>
                <w:color w:val="auto"/>
                <w:szCs w:val="21"/>
              </w:rPr>
              <w:t>8</w:t>
            </w:r>
          </w:p>
        </w:tc>
        <w:tc>
          <w:tcPr>
            <w:tcW w:w="1950" w:type="dxa"/>
            <w:tcBorders>
              <w:top w:val="nil"/>
              <w:left w:val="nil"/>
              <w:bottom w:val="single" w:color="auto" w:sz="4" w:space="0"/>
              <w:right w:val="single" w:color="auto" w:sz="4" w:space="0"/>
            </w:tcBorders>
            <w:shd w:val="clear" w:color="auto" w:fill="auto"/>
            <w:noWrap/>
            <w:vAlign w:val="bottom"/>
          </w:tcPr>
          <w:p w14:paraId="2785321E">
            <w:pPr>
              <w:pStyle w:val="52"/>
              <w:spacing w:line="500" w:lineRule="exact"/>
              <w:rPr>
                <w:rFonts w:ascii="宋体" w:hAnsi="宋体" w:cs="宋体"/>
                <w:color w:val="auto"/>
                <w:szCs w:val="21"/>
              </w:rPr>
            </w:pPr>
            <w:r>
              <w:rPr>
                <w:rFonts w:hint="eastAsia" w:ascii="宋体" w:hAnsi="宋体" w:cs="宋体"/>
                <w:color w:val="auto"/>
                <w:szCs w:val="21"/>
              </w:rPr>
              <w:t>　</w:t>
            </w:r>
          </w:p>
        </w:tc>
      </w:tr>
      <w:tr w14:paraId="35E8720E">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3378183">
            <w:pPr>
              <w:pStyle w:val="52"/>
              <w:spacing w:line="500" w:lineRule="exact"/>
              <w:rPr>
                <w:rFonts w:ascii="宋体" w:hAnsi="宋体" w:cs="宋体"/>
                <w:color w:val="auto"/>
                <w:szCs w:val="21"/>
              </w:rPr>
            </w:pPr>
            <w:r>
              <w:rPr>
                <w:rFonts w:hint="eastAsia" w:ascii="宋体" w:hAnsi="宋体" w:cs="宋体"/>
                <w:color w:val="auto"/>
                <w:szCs w:val="21"/>
              </w:rPr>
              <w:t>17</w:t>
            </w:r>
          </w:p>
        </w:tc>
        <w:tc>
          <w:tcPr>
            <w:tcW w:w="967" w:type="dxa"/>
            <w:tcBorders>
              <w:top w:val="nil"/>
              <w:left w:val="nil"/>
              <w:bottom w:val="single" w:color="auto" w:sz="4" w:space="0"/>
              <w:right w:val="single" w:color="auto" w:sz="4" w:space="0"/>
            </w:tcBorders>
            <w:shd w:val="clear" w:color="auto" w:fill="auto"/>
            <w:noWrap/>
            <w:vAlign w:val="bottom"/>
          </w:tcPr>
          <w:p w14:paraId="5A688E8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08D6EFE">
            <w:pPr>
              <w:pStyle w:val="52"/>
              <w:spacing w:line="500" w:lineRule="exact"/>
              <w:rPr>
                <w:rFonts w:ascii="宋体" w:hAnsi="宋体" w:cs="宋体"/>
                <w:color w:val="auto"/>
                <w:szCs w:val="21"/>
              </w:rPr>
            </w:pPr>
            <w:r>
              <w:rPr>
                <w:rFonts w:hint="eastAsia" w:ascii="宋体" w:hAnsi="宋体" w:cs="宋体"/>
                <w:color w:val="auto"/>
                <w:szCs w:val="21"/>
              </w:rPr>
              <w:t>电动球阀</w:t>
            </w:r>
          </w:p>
        </w:tc>
        <w:tc>
          <w:tcPr>
            <w:tcW w:w="2597" w:type="dxa"/>
            <w:tcBorders>
              <w:top w:val="nil"/>
              <w:left w:val="nil"/>
              <w:bottom w:val="single" w:color="auto" w:sz="4" w:space="0"/>
              <w:right w:val="single" w:color="auto" w:sz="4" w:space="0"/>
            </w:tcBorders>
            <w:shd w:val="clear" w:color="auto" w:fill="auto"/>
            <w:vAlign w:val="center"/>
          </w:tcPr>
          <w:p w14:paraId="65AABB1F">
            <w:pPr>
              <w:pStyle w:val="52"/>
              <w:spacing w:line="500" w:lineRule="exact"/>
              <w:rPr>
                <w:rFonts w:ascii="宋体" w:hAnsi="宋体" w:cs="宋体"/>
                <w:color w:val="auto"/>
                <w:szCs w:val="21"/>
              </w:rPr>
            </w:pPr>
            <w:r>
              <w:rPr>
                <w:rFonts w:hint="eastAsia" w:ascii="宋体" w:hAnsi="宋体" w:cs="宋体"/>
                <w:color w:val="auto"/>
                <w:szCs w:val="21"/>
              </w:rPr>
              <w:t>DN50</w:t>
            </w:r>
          </w:p>
        </w:tc>
        <w:tc>
          <w:tcPr>
            <w:tcW w:w="672" w:type="dxa"/>
            <w:tcBorders>
              <w:top w:val="nil"/>
              <w:left w:val="nil"/>
              <w:bottom w:val="single" w:color="auto" w:sz="4" w:space="0"/>
              <w:right w:val="single" w:color="auto" w:sz="4" w:space="0"/>
            </w:tcBorders>
            <w:shd w:val="clear" w:color="auto" w:fill="auto"/>
            <w:vAlign w:val="center"/>
          </w:tcPr>
          <w:p w14:paraId="5949646A">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2B8FCF65">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50767209">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00BB05CE">
            <w:pPr>
              <w:pStyle w:val="52"/>
              <w:spacing w:line="500" w:lineRule="exact"/>
              <w:rPr>
                <w:rFonts w:ascii="宋体" w:hAnsi="宋体" w:cs="宋体"/>
                <w:color w:val="auto"/>
                <w:szCs w:val="21"/>
              </w:rPr>
            </w:pPr>
            <w:r>
              <w:rPr>
                <w:rFonts w:hint="eastAsia" w:ascii="宋体" w:hAnsi="宋体" w:cs="宋体"/>
                <w:color w:val="auto"/>
                <w:szCs w:val="21"/>
              </w:rPr>
              <w:t>8</w:t>
            </w:r>
          </w:p>
        </w:tc>
        <w:tc>
          <w:tcPr>
            <w:tcW w:w="1950" w:type="dxa"/>
            <w:tcBorders>
              <w:top w:val="nil"/>
              <w:left w:val="nil"/>
              <w:bottom w:val="single" w:color="auto" w:sz="4" w:space="0"/>
              <w:right w:val="single" w:color="auto" w:sz="4" w:space="0"/>
            </w:tcBorders>
            <w:shd w:val="clear" w:color="auto" w:fill="auto"/>
            <w:noWrap/>
            <w:vAlign w:val="bottom"/>
          </w:tcPr>
          <w:p w14:paraId="3BD65E85">
            <w:pPr>
              <w:pStyle w:val="52"/>
              <w:spacing w:line="500" w:lineRule="exact"/>
              <w:rPr>
                <w:rFonts w:ascii="宋体" w:hAnsi="宋体" w:cs="宋体"/>
                <w:color w:val="auto"/>
                <w:szCs w:val="21"/>
              </w:rPr>
            </w:pPr>
            <w:r>
              <w:rPr>
                <w:rFonts w:hint="eastAsia" w:ascii="宋体" w:hAnsi="宋体" w:cs="宋体"/>
                <w:color w:val="auto"/>
                <w:szCs w:val="21"/>
              </w:rPr>
              <w:t>　</w:t>
            </w:r>
          </w:p>
        </w:tc>
      </w:tr>
      <w:tr w14:paraId="654B71E1">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66D87F3">
            <w:pPr>
              <w:pStyle w:val="52"/>
              <w:spacing w:line="500" w:lineRule="exact"/>
              <w:rPr>
                <w:rFonts w:ascii="宋体" w:hAnsi="宋体" w:cs="宋体"/>
                <w:color w:val="auto"/>
                <w:szCs w:val="21"/>
              </w:rPr>
            </w:pPr>
            <w:r>
              <w:rPr>
                <w:rFonts w:hint="eastAsia" w:ascii="宋体" w:hAnsi="宋体" w:cs="宋体"/>
                <w:color w:val="auto"/>
                <w:szCs w:val="21"/>
              </w:rPr>
              <w:t>18</w:t>
            </w:r>
          </w:p>
        </w:tc>
        <w:tc>
          <w:tcPr>
            <w:tcW w:w="967" w:type="dxa"/>
            <w:tcBorders>
              <w:top w:val="nil"/>
              <w:left w:val="nil"/>
              <w:bottom w:val="single" w:color="auto" w:sz="4" w:space="0"/>
              <w:right w:val="single" w:color="auto" w:sz="4" w:space="0"/>
            </w:tcBorders>
            <w:shd w:val="clear" w:color="auto" w:fill="auto"/>
            <w:noWrap/>
            <w:vAlign w:val="bottom"/>
          </w:tcPr>
          <w:p w14:paraId="2AD8F8B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2556CCC">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3AD4A46C">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2024C050">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7F32B582">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2F091570">
            <w:pPr>
              <w:pStyle w:val="52"/>
              <w:spacing w:line="500" w:lineRule="exact"/>
              <w:rPr>
                <w:rFonts w:ascii="宋体" w:hAnsi="宋体" w:cs="宋体"/>
                <w:color w:val="auto"/>
                <w:szCs w:val="21"/>
              </w:rPr>
            </w:pPr>
            <w:r>
              <w:rPr>
                <w:rFonts w:hint="eastAsia" w:ascii="宋体" w:hAnsi="宋体" w:cs="宋体"/>
                <w:color w:val="auto"/>
                <w:szCs w:val="21"/>
              </w:rPr>
              <w:t>79</w:t>
            </w:r>
          </w:p>
        </w:tc>
        <w:tc>
          <w:tcPr>
            <w:tcW w:w="780" w:type="dxa"/>
            <w:tcBorders>
              <w:top w:val="nil"/>
              <w:left w:val="nil"/>
              <w:bottom w:val="single" w:color="auto" w:sz="4" w:space="0"/>
              <w:right w:val="single" w:color="auto" w:sz="4" w:space="0"/>
            </w:tcBorders>
            <w:shd w:val="clear" w:color="auto" w:fill="auto"/>
            <w:vAlign w:val="center"/>
          </w:tcPr>
          <w:p w14:paraId="2047F3DA">
            <w:pPr>
              <w:pStyle w:val="52"/>
              <w:spacing w:line="500" w:lineRule="exact"/>
              <w:rPr>
                <w:rFonts w:ascii="宋体" w:hAnsi="宋体" w:cs="宋体"/>
                <w:color w:val="auto"/>
                <w:szCs w:val="21"/>
              </w:rPr>
            </w:pPr>
            <w:r>
              <w:rPr>
                <w:rFonts w:hint="eastAsia" w:ascii="宋体" w:hAnsi="宋体" w:cs="宋体"/>
                <w:color w:val="auto"/>
                <w:szCs w:val="21"/>
              </w:rPr>
              <w:t>316</w:t>
            </w:r>
          </w:p>
        </w:tc>
        <w:tc>
          <w:tcPr>
            <w:tcW w:w="1950" w:type="dxa"/>
            <w:tcBorders>
              <w:top w:val="nil"/>
              <w:left w:val="nil"/>
              <w:bottom w:val="single" w:color="auto" w:sz="4" w:space="0"/>
              <w:right w:val="single" w:color="auto" w:sz="4" w:space="0"/>
            </w:tcBorders>
            <w:shd w:val="clear" w:color="auto" w:fill="auto"/>
            <w:noWrap/>
            <w:vAlign w:val="bottom"/>
          </w:tcPr>
          <w:p w14:paraId="4DA4F3F1">
            <w:pPr>
              <w:pStyle w:val="52"/>
              <w:spacing w:line="500" w:lineRule="exact"/>
              <w:rPr>
                <w:rFonts w:ascii="宋体" w:hAnsi="宋体" w:cs="宋体"/>
                <w:color w:val="auto"/>
                <w:szCs w:val="21"/>
              </w:rPr>
            </w:pPr>
            <w:r>
              <w:rPr>
                <w:rFonts w:hint="eastAsia" w:ascii="宋体" w:hAnsi="宋体" w:cs="宋体"/>
                <w:color w:val="auto"/>
                <w:szCs w:val="21"/>
              </w:rPr>
              <w:t>　</w:t>
            </w:r>
          </w:p>
        </w:tc>
      </w:tr>
      <w:tr w14:paraId="1E38F4D4">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65D7F19">
            <w:pPr>
              <w:pStyle w:val="52"/>
              <w:spacing w:line="500" w:lineRule="exact"/>
              <w:rPr>
                <w:rFonts w:ascii="宋体" w:hAnsi="宋体" w:cs="宋体"/>
                <w:color w:val="auto"/>
                <w:szCs w:val="21"/>
              </w:rPr>
            </w:pPr>
            <w:r>
              <w:rPr>
                <w:rFonts w:hint="eastAsia" w:ascii="宋体" w:hAnsi="宋体" w:cs="宋体"/>
                <w:color w:val="auto"/>
                <w:szCs w:val="21"/>
              </w:rPr>
              <w:t>19</w:t>
            </w:r>
          </w:p>
        </w:tc>
        <w:tc>
          <w:tcPr>
            <w:tcW w:w="967" w:type="dxa"/>
            <w:tcBorders>
              <w:top w:val="nil"/>
              <w:left w:val="nil"/>
              <w:bottom w:val="single" w:color="auto" w:sz="4" w:space="0"/>
              <w:right w:val="single" w:color="auto" w:sz="4" w:space="0"/>
            </w:tcBorders>
            <w:shd w:val="clear" w:color="auto" w:fill="auto"/>
            <w:noWrap/>
            <w:vAlign w:val="bottom"/>
          </w:tcPr>
          <w:p w14:paraId="19EEE304">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81BBCE9">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1392D957">
            <w:pPr>
              <w:pStyle w:val="52"/>
              <w:spacing w:line="500" w:lineRule="exact"/>
              <w:rPr>
                <w:rFonts w:ascii="宋体" w:hAnsi="宋体" w:cs="宋体"/>
                <w:color w:val="auto"/>
                <w:szCs w:val="21"/>
              </w:rPr>
            </w:pPr>
            <w:r>
              <w:rPr>
                <w:rFonts w:hint="eastAsia" w:ascii="宋体" w:hAnsi="宋体" w:cs="宋体"/>
                <w:color w:val="auto"/>
                <w:szCs w:val="21"/>
              </w:rPr>
              <w:t>De32，PN10</w:t>
            </w:r>
          </w:p>
        </w:tc>
        <w:tc>
          <w:tcPr>
            <w:tcW w:w="672" w:type="dxa"/>
            <w:tcBorders>
              <w:top w:val="nil"/>
              <w:left w:val="nil"/>
              <w:bottom w:val="single" w:color="auto" w:sz="4" w:space="0"/>
              <w:right w:val="single" w:color="auto" w:sz="4" w:space="0"/>
            </w:tcBorders>
            <w:shd w:val="clear" w:color="auto" w:fill="auto"/>
            <w:vAlign w:val="center"/>
          </w:tcPr>
          <w:p w14:paraId="06BADE95">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0ABAACFF">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5333CD98">
            <w:pPr>
              <w:pStyle w:val="52"/>
              <w:spacing w:line="500" w:lineRule="exact"/>
              <w:rPr>
                <w:rFonts w:ascii="宋体" w:hAnsi="宋体" w:cs="宋体"/>
                <w:color w:val="auto"/>
                <w:szCs w:val="21"/>
              </w:rPr>
            </w:pPr>
            <w:r>
              <w:rPr>
                <w:rFonts w:hint="eastAsia" w:ascii="宋体" w:hAnsi="宋体" w:cs="宋体"/>
                <w:color w:val="auto"/>
                <w:szCs w:val="21"/>
              </w:rPr>
              <w:t>88</w:t>
            </w:r>
          </w:p>
        </w:tc>
        <w:tc>
          <w:tcPr>
            <w:tcW w:w="780" w:type="dxa"/>
            <w:tcBorders>
              <w:top w:val="nil"/>
              <w:left w:val="nil"/>
              <w:bottom w:val="single" w:color="auto" w:sz="4" w:space="0"/>
              <w:right w:val="single" w:color="auto" w:sz="4" w:space="0"/>
            </w:tcBorders>
            <w:shd w:val="clear" w:color="auto" w:fill="auto"/>
            <w:vAlign w:val="center"/>
          </w:tcPr>
          <w:p w14:paraId="417D81C0">
            <w:pPr>
              <w:pStyle w:val="52"/>
              <w:spacing w:line="500" w:lineRule="exact"/>
              <w:rPr>
                <w:rFonts w:ascii="宋体" w:hAnsi="宋体" w:cs="宋体"/>
                <w:color w:val="auto"/>
                <w:szCs w:val="21"/>
              </w:rPr>
            </w:pPr>
            <w:r>
              <w:rPr>
                <w:rFonts w:hint="eastAsia" w:ascii="宋体" w:hAnsi="宋体" w:cs="宋体"/>
                <w:color w:val="auto"/>
                <w:szCs w:val="21"/>
              </w:rPr>
              <w:t>352</w:t>
            </w:r>
          </w:p>
        </w:tc>
        <w:tc>
          <w:tcPr>
            <w:tcW w:w="1950" w:type="dxa"/>
            <w:tcBorders>
              <w:top w:val="nil"/>
              <w:left w:val="nil"/>
              <w:bottom w:val="single" w:color="auto" w:sz="4" w:space="0"/>
              <w:right w:val="single" w:color="auto" w:sz="4" w:space="0"/>
            </w:tcBorders>
            <w:shd w:val="clear" w:color="auto" w:fill="auto"/>
            <w:noWrap/>
            <w:vAlign w:val="bottom"/>
          </w:tcPr>
          <w:p w14:paraId="773B1A4F">
            <w:pPr>
              <w:pStyle w:val="52"/>
              <w:spacing w:line="500" w:lineRule="exact"/>
              <w:rPr>
                <w:rFonts w:ascii="宋体" w:hAnsi="宋体" w:cs="宋体"/>
                <w:color w:val="auto"/>
                <w:szCs w:val="21"/>
              </w:rPr>
            </w:pPr>
            <w:r>
              <w:rPr>
                <w:rFonts w:hint="eastAsia" w:ascii="宋体" w:hAnsi="宋体" w:cs="宋体"/>
                <w:color w:val="auto"/>
                <w:szCs w:val="21"/>
              </w:rPr>
              <w:t>　</w:t>
            </w:r>
          </w:p>
        </w:tc>
      </w:tr>
      <w:tr w14:paraId="7F9B8B48">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3BDA10BE">
            <w:pPr>
              <w:pStyle w:val="52"/>
              <w:spacing w:line="500" w:lineRule="exact"/>
              <w:rPr>
                <w:rFonts w:ascii="宋体" w:hAnsi="宋体" w:cs="宋体"/>
                <w:color w:val="auto"/>
                <w:szCs w:val="21"/>
              </w:rPr>
            </w:pPr>
            <w:r>
              <w:rPr>
                <w:rFonts w:hint="eastAsia" w:ascii="宋体" w:hAnsi="宋体" w:cs="宋体"/>
                <w:color w:val="auto"/>
                <w:szCs w:val="21"/>
              </w:rPr>
              <w:t>20</w:t>
            </w:r>
          </w:p>
        </w:tc>
        <w:tc>
          <w:tcPr>
            <w:tcW w:w="967" w:type="dxa"/>
            <w:tcBorders>
              <w:top w:val="nil"/>
              <w:left w:val="nil"/>
              <w:bottom w:val="single" w:color="auto" w:sz="4" w:space="0"/>
              <w:right w:val="single" w:color="auto" w:sz="4" w:space="0"/>
            </w:tcBorders>
            <w:shd w:val="clear" w:color="auto" w:fill="auto"/>
            <w:noWrap/>
            <w:vAlign w:val="bottom"/>
          </w:tcPr>
          <w:p w14:paraId="21E39E4E">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7532418F">
            <w:pPr>
              <w:pStyle w:val="52"/>
              <w:spacing w:line="500" w:lineRule="exact"/>
              <w:rPr>
                <w:rFonts w:ascii="宋体" w:hAnsi="宋体" w:cs="宋体"/>
                <w:color w:val="auto"/>
                <w:szCs w:val="21"/>
              </w:rPr>
            </w:pPr>
            <w:r>
              <w:rPr>
                <w:rFonts w:hint="eastAsia" w:ascii="宋体" w:hAnsi="宋体" w:cs="宋体"/>
                <w:color w:val="auto"/>
                <w:szCs w:val="21"/>
              </w:rPr>
              <w:t>聚渣喷头</w:t>
            </w:r>
          </w:p>
        </w:tc>
        <w:tc>
          <w:tcPr>
            <w:tcW w:w="2597" w:type="dxa"/>
            <w:tcBorders>
              <w:top w:val="nil"/>
              <w:left w:val="nil"/>
              <w:bottom w:val="single" w:color="auto" w:sz="4" w:space="0"/>
              <w:right w:val="single" w:color="auto" w:sz="4" w:space="0"/>
            </w:tcBorders>
            <w:shd w:val="clear" w:color="auto" w:fill="auto"/>
            <w:vAlign w:val="center"/>
          </w:tcPr>
          <w:p w14:paraId="23C8187C">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64A5BDD7">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30A3A26D">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68FB220B">
            <w:pPr>
              <w:pStyle w:val="52"/>
              <w:spacing w:line="500" w:lineRule="exact"/>
              <w:rPr>
                <w:rFonts w:ascii="宋体" w:hAnsi="宋体" w:cs="宋体"/>
                <w:color w:val="auto"/>
                <w:szCs w:val="21"/>
              </w:rPr>
            </w:pPr>
            <w:r>
              <w:rPr>
                <w:rFonts w:hint="eastAsia" w:ascii="宋体" w:hAnsi="宋体" w:cs="宋体"/>
                <w:color w:val="auto"/>
                <w:szCs w:val="21"/>
              </w:rPr>
              <w:t>24</w:t>
            </w:r>
          </w:p>
        </w:tc>
        <w:tc>
          <w:tcPr>
            <w:tcW w:w="780" w:type="dxa"/>
            <w:tcBorders>
              <w:top w:val="nil"/>
              <w:left w:val="nil"/>
              <w:bottom w:val="single" w:color="auto" w:sz="4" w:space="0"/>
              <w:right w:val="single" w:color="auto" w:sz="4" w:space="0"/>
            </w:tcBorders>
            <w:shd w:val="clear" w:color="auto" w:fill="auto"/>
            <w:vAlign w:val="center"/>
          </w:tcPr>
          <w:p w14:paraId="08637D22">
            <w:pPr>
              <w:pStyle w:val="52"/>
              <w:spacing w:line="500" w:lineRule="exact"/>
              <w:rPr>
                <w:rFonts w:ascii="宋体" w:hAnsi="宋体" w:cs="宋体"/>
                <w:color w:val="auto"/>
                <w:szCs w:val="21"/>
              </w:rPr>
            </w:pPr>
            <w:r>
              <w:rPr>
                <w:rFonts w:hint="eastAsia" w:ascii="宋体" w:hAnsi="宋体" w:cs="宋体"/>
                <w:color w:val="auto"/>
                <w:szCs w:val="21"/>
              </w:rPr>
              <w:t>96</w:t>
            </w:r>
          </w:p>
        </w:tc>
        <w:tc>
          <w:tcPr>
            <w:tcW w:w="1950" w:type="dxa"/>
            <w:tcBorders>
              <w:top w:val="nil"/>
              <w:left w:val="nil"/>
              <w:bottom w:val="single" w:color="auto" w:sz="4" w:space="0"/>
              <w:right w:val="single" w:color="auto" w:sz="4" w:space="0"/>
            </w:tcBorders>
            <w:shd w:val="clear" w:color="auto" w:fill="auto"/>
            <w:noWrap/>
            <w:vAlign w:val="bottom"/>
          </w:tcPr>
          <w:p w14:paraId="64F26CA4">
            <w:pPr>
              <w:pStyle w:val="52"/>
              <w:spacing w:line="500" w:lineRule="exact"/>
              <w:rPr>
                <w:rFonts w:ascii="宋体" w:hAnsi="宋体" w:cs="宋体"/>
                <w:color w:val="auto"/>
                <w:szCs w:val="21"/>
              </w:rPr>
            </w:pPr>
            <w:r>
              <w:rPr>
                <w:rFonts w:hint="eastAsia" w:ascii="宋体" w:hAnsi="宋体" w:cs="宋体"/>
                <w:color w:val="auto"/>
                <w:szCs w:val="21"/>
              </w:rPr>
              <w:t>　</w:t>
            </w:r>
          </w:p>
        </w:tc>
      </w:tr>
      <w:tr w14:paraId="619FD3E7">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F42CC65">
            <w:pPr>
              <w:pStyle w:val="52"/>
              <w:spacing w:line="500" w:lineRule="exact"/>
              <w:rPr>
                <w:rFonts w:ascii="宋体" w:hAnsi="宋体" w:cs="宋体"/>
                <w:color w:val="auto"/>
                <w:szCs w:val="21"/>
              </w:rPr>
            </w:pPr>
            <w:r>
              <w:rPr>
                <w:rFonts w:hint="eastAsia" w:ascii="宋体" w:hAnsi="宋体" w:cs="宋体"/>
                <w:color w:val="auto"/>
                <w:szCs w:val="21"/>
              </w:rPr>
              <w:t>21</w:t>
            </w:r>
          </w:p>
        </w:tc>
        <w:tc>
          <w:tcPr>
            <w:tcW w:w="967" w:type="dxa"/>
            <w:tcBorders>
              <w:top w:val="nil"/>
              <w:left w:val="nil"/>
              <w:bottom w:val="single" w:color="auto" w:sz="4" w:space="0"/>
              <w:right w:val="single" w:color="auto" w:sz="4" w:space="0"/>
            </w:tcBorders>
            <w:shd w:val="clear" w:color="auto" w:fill="auto"/>
            <w:noWrap/>
            <w:vAlign w:val="bottom"/>
          </w:tcPr>
          <w:p w14:paraId="56A8D37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2CEFBC1">
            <w:pPr>
              <w:pStyle w:val="52"/>
              <w:spacing w:line="500" w:lineRule="exact"/>
              <w:rPr>
                <w:rFonts w:ascii="宋体" w:hAnsi="宋体" w:cs="宋体"/>
                <w:color w:val="auto"/>
                <w:szCs w:val="21"/>
              </w:rPr>
            </w:pPr>
            <w:r>
              <w:rPr>
                <w:rFonts w:hint="eastAsia" w:ascii="宋体" w:hAnsi="宋体" w:cs="宋体"/>
                <w:color w:val="auto"/>
                <w:szCs w:val="21"/>
              </w:rPr>
              <w:t>浮渣清除器</w:t>
            </w:r>
          </w:p>
        </w:tc>
        <w:tc>
          <w:tcPr>
            <w:tcW w:w="2597" w:type="dxa"/>
            <w:tcBorders>
              <w:top w:val="nil"/>
              <w:left w:val="nil"/>
              <w:bottom w:val="single" w:color="auto" w:sz="4" w:space="0"/>
              <w:right w:val="single" w:color="auto" w:sz="4" w:space="0"/>
            </w:tcBorders>
            <w:shd w:val="clear" w:color="auto" w:fill="auto"/>
            <w:vAlign w:val="center"/>
          </w:tcPr>
          <w:p w14:paraId="4E883774">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7CE7A60A">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00E7C480">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15A78F56">
            <w:pPr>
              <w:pStyle w:val="52"/>
              <w:spacing w:line="500" w:lineRule="exact"/>
              <w:rPr>
                <w:rFonts w:ascii="宋体" w:hAnsi="宋体" w:cs="宋体"/>
                <w:color w:val="auto"/>
                <w:szCs w:val="21"/>
              </w:rPr>
            </w:pPr>
            <w:r>
              <w:rPr>
                <w:rFonts w:hint="eastAsia" w:ascii="宋体" w:hAnsi="宋体" w:cs="宋体"/>
                <w:color w:val="auto"/>
                <w:szCs w:val="21"/>
              </w:rPr>
              <w:t>4</w:t>
            </w:r>
          </w:p>
        </w:tc>
        <w:tc>
          <w:tcPr>
            <w:tcW w:w="780" w:type="dxa"/>
            <w:tcBorders>
              <w:top w:val="nil"/>
              <w:left w:val="nil"/>
              <w:bottom w:val="single" w:color="auto" w:sz="4" w:space="0"/>
              <w:right w:val="single" w:color="auto" w:sz="4" w:space="0"/>
            </w:tcBorders>
            <w:shd w:val="clear" w:color="auto" w:fill="auto"/>
            <w:vAlign w:val="center"/>
          </w:tcPr>
          <w:p w14:paraId="2F43E6AF">
            <w:pPr>
              <w:pStyle w:val="52"/>
              <w:spacing w:line="500" w:lineRule="exact"/>
              <w:rPr>
                <w:rFonts w:ascii="宋体" w:hAnsi="宋体" w:cs="宋体"/>
                <w:color w:val="auto"/>
                <w:szCs w:val="21"/>
              </w:rPr>
            </w:pPr>
            <w:r>
              <w:rPr>
                <w:rFonts w:hint="eastAsia" w:ascii="宋体" w:hAnsi="宋体" w:cs="宋体"/>
                <w:color w:val="auto"/>
                <w:szCs w:val="21"/>
              </w:rPr>
              <w:t>16</w:t>
            </w:r>
          </w:p>
        </w:tc>
        <w:tc>
          <w:tcPr>
            <w:tcW w:w="1950" w:type="dxa"/>
            <w:tcBorders>
              <w:top w:val="nil"/>
              <w:left w:val="nil"/>
              <w:bottom w:val="single" w:color="auto" w:sz="4" w:space="0"/>
              <w:right w:val="single" w:color="auto" w:sz="4" w:space="0"/>
            </w:tcBorders>
            <w:shd w:val="clear" w:color="auto" w:fill="auto"/>
            <w:noWrap/>
            <w:vAlign w:val="bottom"/>
          </w:tcPr>
          <w:p w14:paraId="426E1F8C">
            <w:pPr>
              <w:pStyle w:val="52"/>
              <w:spacing w:line="500" w:lineRule="exact"/>
              <w:rPr>
                <w:rFonts w:ascii="宋体" w:hAnsi="宋体" w:cs="宋体"/>
                <w:color w:val="auto"/>
                <w:szCs w:val="21"/>
              </w:rPr>
            </w:pPr>
            <w:r>
              <w:rPr>
                <w:rFonts w:hint="eastAsia" w:ascii="宋体" w:hAnsi="宋体" w:cs="宋体"/>
                <w:color w:val="auto"/>
                <w:szCs w:val="21"/>
              </w:rPr>
              <w:t>　</w:t>
            </w:r>
          </w:p>
        </w:tc>
      </w:tr>
      <w:tr w14:paraId="7FF62D48">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3D11364">
            <w:pPr>
              <w:pStyle w:val="52"/>
              <w:spacing w:line="500" w:lineRule="exact"/>
              <w:rPr>
                <w:rFonts w:ascii="宋体" w:hAnsi="宋体" w:cs="宋体"/>
                <w:color w:val="auto"/>
                <w:szCs w:val="21"/>
              </w:rPr>
            </w:pPr>
            <w:r>
              <w:rPr>
                <w:rFonts w:hint="eastAsia" w:ascii="宋体" w:hAnsi="宋体" w:cs="宋体"/>
                <w:color w:val="auto"/>
                <w:szCs w:val="21"/>
              </w:rPr>
              <w:t>22</w:t>
            </w:r>
          </w:p>
        </w:tc>
        <w:tc>
          <w:tcPr>
            <w:tcW w:w="967" w:type="dxa"/>
            <w:tcBorders>
              <w:top w:val="nil"/>
              <w:left w:val="nil"/>
              <w:bottom w:val="single" w:color="auto" w:sz="4" w:space="0"/>
              <w:right w:val="single" w:color="auto" w:sz="4" w:space="0"/>
            </w:tcBorders>
            <w:shd w:val="clear" w:color="auto" w:fill="auto"/>
            <w:noWrap/>
            <w:vAlign w:val="bottom"/>
          </w:tcPr>
          <w:p w14:paraId="6086602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9B15E7D">
            <w:pPr>
              <w:pStyle w:val="52"/>
              <w:spacing w:line="500" w:lineRule="exact"/>
              <w:rPr>
                <w:rFonts w:ascii="宋体" w:hAnsi="宋体" w:cs="宋体"/>
                <w:color w:val="auto"/>
                <w:szCs w:val="21"/>
              </w:rPr>
            </w:pPr>
            <w:r>
              <w:rPr>
                <w:rFonts w:hint="eastAsia" w:ascii="宋体" w:hAnsi="宋体" w:cs="宋体"/>
                <w:color w:val="auto"/>
                <w:szCs w:val="21"/>
              </w:rPr>
              <w:t>金属软管</w:t>
            </w:r>
          </w:p>
        </w:tc>
        <w:tc>
          <w:tcPr>
            <w:tcW w:w="2597" w:type="dxa"/>
            <w:tcBorders>
              <w:top w:val="nil"/>
              <w:left w:val="nil"/>
              <w:bottom w:val="single" w:color="auto" w:sz="4" w:space="0"/>
              <w:right w:val="single" w:color="auto" w:sz="4" w:space="0"/>
            </w:tcBorders>
            <w:shd w:val="clear" w:color="auto" w:fill="auto"/>
            <w:vAlign w:val="center"/>
          </w:tcPr>
          <w:p w14:paraId="6A26254B">
            <w:pPr>
              <w:pStyle w:val="52"/>
              <w:spacing w:line="500" w:lineRule="exact"/>
              <w:rPr>
                <w:rFonts w:ascii="宋体" w:hAnsi="宋体" w:cs="宋体"/>
                <w:color w:val="auto"/>
                <w:szCs w:val="21"/>
              </w:rPr>
            </w:pPr>
            <w:r>
              <w:rPr>
                <w:rFonts w:hint="eastAsia" w:ascii="宋体" w:hAnsi="宋体" w:cs="宋体"/>
                <w:color w:val="auto"/>
                <w:szCs w:val="21"/>
              </w:rPr>
              <w:t>De32</w:t>
            </w:r>
          </w:p>
        </w:tc>
        <w:tc>
          <w:tcPr>
            <w:tcW w:w="672" w:type="dxa"/>
            <w:tcBorders>
              <w:top w:val="nil"/>
              <w:left w:val="nil"/>
              <w:bottom w:val="single" w:color="auto" w:sz="4" w:space="0"/>
              <w:right w:val="single" w:color="auto" w:sz="4" w:space="0"/>
            </w:tcBorders>
            <w:shd w:val="clear" w:color="auto" w:fill="auto"/>
            <w:vAlign w:val="center"/>
          </w:tcPr>
          <w:p w14:paraId="49A8E843">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3B66404A">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32BFD990">
            <w:pPr>
              <w:pStyle w:val="52"/>
              <w:spacing w:line="500" w:lineRule="exact"/>
              <w:rPr>
                <w:rFonts w:ascii="宋体" w:hAnsi="宋体" w:cs="宋体"/>
                <w:color w:val="auto"/>
                <w:szCs w:val="21"/>
              </w:rPr>
            </w:pPr>
            <w:r>
              <w:rPr>
                <w:rFonts w:hint="eastAsia" w:ascii="宋体" w:hAnsi="宋体" w:cs="宋体"/>
                <w:color w:val="auto"/>
                <w:szCs w:val="21"/>
              </w:rPr>
              <w:t>4</w:t>
            </w:r>
          </w:p>
        </w:tc>
        <w:tc>
          <w:tcPr>
            <w:tcW w:w="780" w:type="dxa"/>
            <w:tcBorders>
              <w:top w:val="nil"/>
              <w:left w:val="nil"/>
              <w:bottom w:val="single" w:color="auto" w:sz="4" w:space="0"/>
              <w:right w:val="single" w:color="auto" w:sz="4" w:space="0"/>
            </w:tcBorders>
            <w:shd w:val="clear" w:color="auto" w:fill="auto"/>
            <w:vAlign w:val="center"/>
          </w:tcPr>
          <w:p w14:paraId="204ED98F">
            <w:pPr>
              <w:pStyle w:val="52"/>
              <w:spacing w:line="500" w:lineRule="exact"/>
              <w:rPr>
                <w:rFonts w:ascii="宋体" w:hAnsi="宋体" w:cs="宋体"/>
                <w:color w:val="auto"/>
                <w:szCs w:val="21"/>
              </w:rPr>
            </w:pPr>
            <w:r>
              <w:rPr>
                <w:rFonts w:hint="eastAsia" w:ascii="宋体" w:hAnsi="宋体" w:cs="宋体"/>
                <w:color w:val="auto"/>
                <w:szCs w:val="21"/>
              </w:rPr>
              <w:t>16</w:t>
            </w:r>
          </w:p>
        </w:tc>
        <w:tc>
          <w:tcPr>
            <w:tcW w:w="1950" w:type="dxa"/>
            <w:tcBorders>
              <w:top w:val="nil"/>
              <w:left w:val="nil"/>
              <w:bottom w:val="single" w:color="auto" w:sz="4" w:space="0"/>
              <w:right w:val="single" w:color="auto" w:sz="4" w:space="0"/>
            </w:tcBorders>
            <w:shd w:val="clear" w:color="auto" w:fill="auto"/>
            <w:noWrap/>
            <w:vAlign w:val="bottom"/>
          </w:tcPr>
          <w:p w14:paraId="219672D4">
            <w:pPr>
              <w:pStyle w:val="52"/>
              <w:spacing w:line="500" w:lineRule="exact"/>
              <w:rPr>
                <w:rFonts w:ascii="宋体" w:hAnsi="宋体" w:cs="宋体"/>
                <w:color w:val="auto"/>
                <w:szCs w:val="21"/>
              </w:rPr>
            </w:pPr>
            <w:r>
              <w:rPr>
                <w:rFonts w:hint="eastAsia" w:ascii="宋体" w:hAnsi="宋体" w:cs="宋体"/>
                <w:color w:val="auto"/>
                <w:szCs w:val="21"/>
              </w:rPr>
              <w:t>　</w:t>
            </w:r>
          </w:p>
        </w:tc>
      </w:tr>
      <w:tr w14:paraId="0AFFB103">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E09E22C">
            <w:pPr>
              <w:pStyle w:val="52"/>
              <w:spacing w:line="500" w:lineRule="exact"/>
              <w:rPr>
                <w:rFonts w:ascii="宋体" w:hAnsi="宋体" w:cs="宋体"/>
                <w:color w:val="auto"/>
                <w:szCs w:val="21"/>
              </w:rPr>
            </w:pPr>
            <w:r>
              <w:rPr>
                <w:rFonts w:hint="eastAsia" w:ascii="宋体" w:hAnsi="宋体" w:cs="宋体"/>
                <w:color w:val="auto"/>
                <w:szCs w:val="21"/>
              </w:rPr>
              <w:t>23</w:t>
            </w:r>
          </w:p>
        </w:tc>
        <w:tc>
          <w:tcPr>
            <w:tcW w:w="967" w:type="dxa"/>
            <w:tcBorders>
              <w:top w:val="nil"/>
              <w:left w:val="nil"/>
              <w:bottom w:val="single" w:color="auto" w:sz="4" w:space="0"/>
              <w:right w:val="single" w:color="auto" w:sz="4" w:space="0"/>
            </w:tcBorders>
            <w:shd w:val="clear" w:color="auto" w:fill="auto"/>
            <w:noWrap/>
            <w:vAlign w:val="bottom"/>
          </w:tcPr>
          <w:p w14:paraId="7BBAD11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5A9AAEF6">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4FFA2911">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15571B41">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2544E476">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75D7598C">
            <w:pPr>
              <w:pStyle w:val="52"/>
              <w:spacing w:line="500" w:lineRule="exact"/>
              <w:rPr>
                <w:rFonts w:ascii="宋体" w:hAnsi="宋体" w:cs="宋体"/>
                <w:color w:val="auto"/>
                <w:szCs w:val="21"/>
              </w:rPr>
            </w:pPr>
            <w:r>
              <w:rPr>
                <w:rFonts w:hint="eastAsia" w:ascii="宋体" w:hAnsi="宋体" w:cs="宋体"/>
                <w:color w:val="auto"/>
                <w:szCs w:val="21"/>
              </w:rPr>
              <w:t>55</w:t>
            </w:r>
          </w:p>
        </w:tc>
        <w:tc>
          <w:tcPr>
            <w:tcW w:w="780" w:type="dxa"/>
            <w:tcBorders>
              <w:top w:val="nil"/>
              <w:left w:val="nil"/>
              <w:bottom w:val="single" w:color="auto" w:sz="4" w:space="0"/>
              <w:right w:val="single" w:color="auto" w:sz="4" w:space="0"/>
            </w:tcBorders>
            <w:shd w:val="clear" w:color="auto" w:fill="auto"/>
            <w:vAlign w:val="center"/>
          </w:tcPr>
          <w:p w14:paraId="5EB6987D">
            <w:pPr>
              <w:pStyle w:val="52"/>
              <w:spacing w:line="500" w:lineRule="exact"/>
              <w:rPr>
                <w:rFonts w:ascii="宋体" w:hAnsi="宋体" w:cs="宋体"/>
                <w:color w:val="auto"/>
                <w:szCs w:val="21"/>
              </w:rPr>
            </w:pPr>
            <w:r>
              <w:rPr>
                <w:rFonts w:hint="eastAsia" w:ascii="宋体" w:hAnsi="宋体" w:cs="宋体"/>
                <w:color w:val="auto"/>
                <w:szCs w:val="21"/>
              </w:rPr>
              <w:t>220</w:t>
            </w:r>
          </w:p>
        </w:tc>
        <w:tc>
          <w:tcPr>
            <w:tcW w:w="1950" w:type="dxa"/>
            <w:tcBorders>
              <w:top w:val="nil"/>
              <w:left w:val="nil"/>
              <w:bottom w:val="single" w:color="auto" w:sz="4" w:space="0"/>
              <w:right w:val="single" w:color="auto" w:sz="4" w:space="0"/>
            </w:tcBorders>
            <w:shd w:val="clear" w:color="auto" w:fill="auto"/>
            <w:noWrap/>
            <w:vAlign w:val="bottom"/>
          </w:tcPr>
          <w:p w14:paraId="284A118F">
            <w:pPr>
              <w:pStyle w:val="52"/>
              <w:spacing w:line="500" w:lineRule="exact"/>
              <w:rPr>
                <w:rFonts w:ascii="宋体" w:hAnsi="宋体" w:cs="宋体"/>
                <w:color w:val="auto"/>
                <w:szCs w:val="21"/>
              </w:rPr>
            </w:pPr>
            <w:r>
              <w:rPr>
                <w:rFonts w:hint="eastAsia" w:ascii="宋体" w:hAnsi="宋体" w:cs="宋体"/>
                <w:color w:val="auto"/>
                <w:szCs w:val="21"/>
              </w:rPr>
              <w:t>　</w:t>
            </w:r>
          </w:p>
        </w:tc>
      </w:tr>
      <w:tr w14:paraId="70B9B896">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2913DF7">
            <w:pPr>
              <w:pStyle w:val="52"/>
              <w:spacing w:line="500" w:lineRule="exact"/>
              <w:rPr>
                <w:rFonts w:ascii="宋体" w:hAnsi="宋体" w:cs="宋体"/>
                <w:color w:val="auto"/>
                <w:szCs w:val="21"/>
              </w:rPr>
            </w:pPr>
            <w:r>
              <w:rPr>
                <w:rFonts w:hint="eastAsia" w:ascii="宋体" w:hAnsi="宋体" w:cs="宋体"/>
                <w:color w:val="auto"/>
                <w:szCs w:val="21"/>
              </w:rPr>
              <w:t>24</w:t>
            </w:r>
          </w:p>
        </w:tc>
        <w:tc>
          <w:tcPr>
            <w:tcW w:w="967" w:type="dxa"/>
            <w:tcBorders>
              <w:top w:val="nil"/>
              <w:left w:val="nil"/>
              <w:bottom w:val="single" w:color="auto" w:sz="4" w:space="0"/>
              <w:right w:val="single" w:color="auto" w:sz="4" w:space="0"/>
            </w:tcBorders>
            <w:shd w:val="clear" w:color="auto" w:fill="auto"/>
            <w:noWrap/>
            <w:vAlign w:val="bottom"/>
          </w:tcPr>
          <w:p w14:paraId="57A24C1D">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68AC76C">
            <w:pPr>
              <w:pStyle w:val="52"/>
              <w:spacing w:line="500" w:lineRule="exact"/>
              <w:rPr>
                <w:rFonts w:ascii="宋体" w:hAnsi="宋体" w:cs="宋体"/>
                <w:color w:val="auto"/>
                <w:szCs w:val="21"/>
              </w:rPr>
            </w:pPr>
            <w:r>
              <w:rPr>
                <w:rFonts w:hint="eastAsia" w:ascii="宋体" w:hAnsi="宋体" w:cs="宋体"/>
                <w:color w:val="auto"/>
                <w:szCs w:val="21"/>
              </w:rPr>
              <w:t>排渣泵</w:t>
            </w:r>
          </w:p>
        </w:tc>
        <w:tc>
          <w:tcPr>
            <w:tcW w:w="2597" w:type="dxa"/>
            <w:tcBorders>
              <w:top w:val="nil"/>
              <w:left w:val="nil"/>
              <w:bottom w:val="single" w:color="auto" w:sz="4" w:space="0"/>
              <w:right w:val="single" w:color="auto" w:sz="4" w:space="0"/>
            </w:tcBorders>
            <w:shd w:val="clear" w:color="auto" w:fill="auto"/>
            <w:vAlign w:val="center"/>
          </w:tcPr>
          <w:p w14:paraId="458937AD">
            <w:pPr>
              <w:pStyle w:val="52"/>
              <w:spacing w:line="500" w:lineRule="exact"/>
              <w:rPr>
                <w:rFonts w:ascii="宋体" w:hAnsi="宋体" w:cs="宋体"/>
                <w:color w:val="auto"/>
                <w:szCs w:val="21"/>
              </w:rPr>
            </w:pPr>
            <w:r>
              <w:rPr>
                <w:rFonts w:hint="eastAsia" w:ascii="宋体" w:hAnsi="宋体" w:cs="宋体"/>
                <w:color w:val="auto"/>
                <w:szCs w:val="21"/>
              </w:rPr>
              <w:t>2m3/min P=4Kw</w:t>
            </w:r>
          </w:p>
        </w:tc>
        <w:tc>
          <w:tcPr>
            <w:tcW w:w="672" w:type="dxa"/>
            <w:tcBorders>
              <w:top w:val="nil"/>
              <w:left w:val="nil"/>
              <w:bottom w:val="single" w:color="auto" w:sz="4" w:space="0"/>
              <w:right w:val="single" w:color="auto" w:sz="4" w:space="0"/>
            </w:tcBorders>
            <w:shd w:val="clear" w:color="auto" w:fill="auto"/>
            <w:vAlign w:val="center"/>
          </w:tcPr>
          <w:p w14:paraId="214CF8DA">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3E60AF15">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66674983">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38E0F3CC">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noWrap/>
            <w:vAlign w:val="bottom"/>
          </w:tcPr>
          <w:p w14:paraId="68762DA5">
            <w:pPr>
              <w:pStyle w:val="52"/>
              <w:spacing w:line="500" w:lineRule="exact"/>
              <w:rPr>
                <w:rFonts w:ascii="宋体" w:hAnsi="宋体" w:cs="宋体"/>
                <w:color w:val="auto"/>
                <w:szCs w:val="21"/>
              </w:rPr>
            </w:pPr>
            <w:r>
              <w:rPr>
                <w:rFonts w:hint="eastAsia" w:ascii="宋体" w:hAnsi="宋体" w:cs="宋体"/>
                <w:color w:val="auto"/>
                <w:szCs w:val="21"/>
              </w:rPr>
              <w:t>　</w:t>
            </w:r>
          </w:p>
        </w:tc>
      </w:tr>
      <w:tr w14:paraId="00E8AD94">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D1A1EAC">
            <w:pPr>
              <w:pStyle w:val="52"/>
              <w:spacing w:line="500" w:lineRule="exact"/>
              <w:rPr>
                <w:rFonts w:ascii="宋体" w:hAnsi="宋体" w:cs="宋体"/>
                <w:color w:val="auto"/>
                <w:szCs w:val="21"/>
              </w:rPr>
            </w:pPr>
            <w:r>
              <w:rPr>
                <w:rFonts w:hint="eastAsia" w:ascii="宋体" w:hAnsi="宋体" w:cs="宋体"/>
                <w:color w:val="auto"/>
                <w:szCs w:val="21"/>
              </w:rPr>
              <w:t>25</w:t>
            </w:r>
          </w:p>
        </w:tc>
        <w:tc>
          <w:tcPr>
            <w:tcW w:w="967" w:type="dxa"/>
            <w:tcBorders>
              <w:top w:val="nil"/>
              <w:left w:val="nil"/>
              <w:bottom w:val="single" w:color="auto" w:sz="4" w:space="0"/>
              <w:right w:val="single" w:color="auto" w:sz="4" w:space="0"/>
            </w:tcBorders>
            <w:shd w:val="clear" w:color="auto" w:fill="auto"/>
            <w:noWrap/>
            <w:vAlign w:val="bottom"/>
          </w:tcPr>
          <w:p w14:paraId="0BFEA567">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012FB4E">
            <w:pPr>
              <w:pStyle w:val="52"/>
              <w:spacing w:line="500" w:lineRule="exact"/>
              <w:rPr>
                <w:rFonts w:ascii="宋体" w:hAnsi="宋体" w:cs="宋体"/>
                <w:color w:val="auto"/>
                <w:szCs w:val="21"/>
              </w:rPr>
            </w:pPr>
            <w:r>
              <w:rPr>
                <w:rFonts w:hint="eastAsia" w:ascii="宋体" w:hAnsi="宋体" w:cs="宋体"/>
                <w:color w:val="auto"/>
                <w:szCs w:val="21"/>
              </w:rPr>
              <w:t>聚渣槽</w:t>
            </w:r>
          </w:p>
        </w:tc>
        <w:tc>
          <w:tcPr>
            <w:tcW w:w="2597" w:type="dxa"/>
            <w:tcBorders>
              <w:top w:val="nil"/>
              <w:left w:val="nil"/>
              <w:bottom w:val="single" w:color="auto" w:sz="4" w:space="0"/>
              <w:right w:val="single" w:color="auto" w:sz="4" w:space="0"/>
            </w:tcBorders>
            <w:shd w:val="clear" w:color="auto" w:fill="auto"/>
            <w:vAlign w:val="center"/>
          </w:tcPr>
          <w:p w14:paraId="39064A34">
            <w:pPr>
              <w:pStyle w:val="52"/>
              <w:spacing w:line="500" w:lineRule="exact"/>
              <w:rPr>
                <w:rFonts w:ascii="宋体" w:hAnsi="宋体" w:cs="宋体"/>
                <w:color w:val="auto"/>
                <w:szCs w:val="21"/>
              </w:rPr>
            </w:pPr>
            <w:r>
              <w:rPr>
                <w:rFonts w:hint="eastAsia" w:ascii="宋体" w:hAnsi="宋体" w:cs="宋体"/>
                <w:color w:val="auto"/>
                <w:szCs w:val="21"/>
              </w:rPr>
              <w:t>2m3</w:t>
            </w:r>
          </w:p>
        </w:tc>
        <w:tc>
          <w:tcPr>
            <w:tcW w:w="672" w:type="dxa"/>
            <w:tcBorders>
              <w:top w:val="nil"/>
              <w:left w:val="nil"/>
              <w:bottom w:val="single" w:color="auto" w:sz="4" w:space="0"/>
              <w:right w:val="single" w:color="auto" w:sz="4" w:space="0"/>
            </w:tcBorders>
            <w:shd w:val="clear" w:color="auto" w:fill="auto"/>
            <w:vAlign w:val="center"/>
          </w:tcPr>
          <w:p w14:paraId="43BFA098">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58E11A17">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09D5F918">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4091C885">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noWrap/>
            <w:vAlign w:val="bottom"/>
          </w:tcPr>
          <w:p w14:paraId="1681B058">
            <w:pPr>
              <w:pStyle w:val="52"/>
              <w:spacing w:line="500" w:lineRule="exact"/>
              <w:rPr>
                <w:rFonts w:ascii="宋体" w:hAnsi="宋体" w:cs="宋体"/>
                <w:color w:val="auto"/>
                <w:szCs w:val="21"/>
              </w:rPr>
            </w:pPr>
            <w:r>
              <w:rPr>
                <w:rFonts w:hint="eastAsia" w:ascii="宋体" w:hAnsi="宋体" w:cs="宋体"/>
                <w:color w:val="auto"/>
                <w:szCs w:val="21"/>
              </w:rPr>
              <w:t>　</w:t>
            </w:r>
          </w:p>
        </w:tc>
      </w:tr>
    </w:tbl>
    <w:p w14:paraId="4F189B22">
      <w:pPr>
        <w:pStyle w:val="6"/>
        <w:spacing w:before="0" w:after="0" w:line="500" w:lineRule="exact"/>
        <w:ind w:left="420" w:leftChars="200"/>
        <w:jc w:val="left"/>
        <w:rPr>
          <w:rFonts w:ascii="宋体" w:hAnsi="宋体" w:cs="宋体"/>
          <w:color w:val="auto"/>
          <w:sz w:val="24"/>
        </w:rPr>
      </w:pPr>
      <w:r>
        <w:rPr>
          <w:rFonts w:hint="eastAsia" w:ascii="宋体" w:hAnsi="宋体" w:cs="宋体"/>
          <w:color w:val="auto"/>
          <w:sz w:val="24"/>
        </w:rPr>
        <w:t>（一）加压泵</w:t>
      </w:r>
    </w:p>
    <w:p w14:paraId="68B2197E">
      <w:pPr>
        <w:spacing w:line="500" w:lineRule="exact"/>
        <w:ind w:firstLine="240" w:firstLineChars="100"/>
        <w:jc w:val="left"/>
        <w:rPr>
          <w:rFonts w:ascii="宋体" w:hAnsi="宋体" w:cs="宋体"/>
          <w:b/>
          <w:color w:val="auto"/>
          <w:sz w:val="24"/>
        </w:rPr>
      </w:pPr>
      <w:r>
        <w:rPr>
          <w:rFonts w:hint="eastAsia" w:ascii="宋体" w:hAnsi="宋体" w:cs="宋体"/>
          <w:color w:val="auto"/>
          <w:sz w:val="24"/>
        </w:rPr>
        <w:t>采用卧式增压泵，Q=150m</w:t>
      </w:r>
      <w:r>
        <w:rPr>
          <w:rFonts w:hint="eastAsia" w:ascii="宋体" w:hAnsi="宋体" w:cs="宋体"/>
          <w:color w:val="auto"/>
          <w:sz w:val="24"/>
          <w:vertAlign w:val="superscript"/>
        </w:rPr>
        <w:t>3</w:t>
      </w:r>
      <w:r>
        <w:rPr>
          <w:rFonts w:hint="eastAsia" w:ascii="宋体" w:hAnsi="宋体" w:cs="宋体"/>
          <w:color w:val="auto"/>
          <w:sz w:val="24"/>
        </w:rPr>
        <w:t>/h，H=50m。增压泵进出口配有手动切换阀，止回阀，一体式撬装，变频调节流量。根据进水流量调节分流水量。</w:t>
      </w:r>
    </w:p>
    <w:p w14:paraId="2700AEA4">
      <w:pPr>
        <w:pStyle w:val="6"/>
        <w:spacing w:before="0" w:after="0" w:line="500" w:lineRule="exact"/>
        <w:ind w:left="420" w:leftChars="200"/>
        <w:jc w:val="left"/>
        <w:rPr>
          <w:rFonts w:ascii="宋体" w:hAnsi="宋体" w:cs="宋体"/>
          <w:color w:val="auto"/>
          <w:sz w:val="24"/>
        </w:rPr>
      </w:pPr>
      <w:r>
        <w:rPr>
          <w:rFonts w:hint="eastAsia" w:ascii="宋体" w:hAnsi="宋体" w:cs="宋体"/>
          <w:color w:val="auto"/>
          <w:sz w:val="24"/>
        </w:rPr>
        <w:t>（二）溶气罐</w:t>
      </w:r>
    </w:p>
    <w:p w14:paraId="175BC143">
      <w:pPr>
        <w:spacing w:line="500" w:lineRule="exact"/>
        <w:ind w:firstLine="480"/>
        <w:jc w:val="left"/>
        <w:rPr>
          <w:rFonts w:ascii="宋体" w:hAnsi="宋体" w:cs="宋体"/>
          <w:color w:val="auto"/>
          <w:sz w:val="24"/>
        </w:rPr>
      </w:pPr>
      <w:r>
        <w:rPr>
          <w:rFonts w:hint="eastAsia" w:ascii="宋体" w:hAnsi="宋体" w:cs="宋体"/>
          <w:color w:val="auto"/>
          <w:sz w:val="24"/>
        </w:rPr>
        <w:t>根据现场空间需求，可将溶气罐设置成立式或卧式；溶气罐采用普通钢板卷焊而成，并在罐内行防腐处理。其内部结构相对简单，高度与直径的比值一般为2～4。溶气罐采用卧式安装，并沿长度方向将罐长分为进水段、填料段、出水段，这种形式的溶气罐进出水稳定，而且可以对进水中的杂质予以截留，避免溶气释放器的堵塞问题。</w:t>
      </w:r>
    </w:p>
    <w:p w14:paraId="2BFA7A66">
      <w:pPr>
        <w:spacing w:line="500" w:lineRule="exact"/>
        <w:ind w:firstLine="480"/>
        <w:jc w:val="left"/>
        <w:rPr>
          <w:rFonts w:ascii="宋体" w:hAnsi="宋体" w:cs="宋体"/>
          <w:color w:val="auto"/>
          <w:sz w:val="24"/>
        </w:rPr>
      </w:pPr>
      <w:r>
        <w:rPr>
          <w:rFonts w:hint="eastAsia" w:ascii="宋体" w:hAnsi="宋体" w:cs="宋体"/>
          <w:color w:val="auto"/>
          <w:sz w:val="24"/>
        </w:rPr>
        <w:t>压力溶气罐的作用是使水与空气充分接触，促进空气的溶解。压力溶气罐是影响溶气效率的关键设备，其外部结构由进水口、进气口、排气安全阀接口、视镜、压力表接嘴、排气口、液位计、出水口、入孔等组成。应设置安全阀、压力表等安全装置，确保设备在安全压力范围内运行，防止因超压等原因导致设备损坏或安全事故的发生</w:t>
      </w:r>
    </w:p>
    <w:p w14:paraId="372FBF4C">
      <w:pPr>
        <w:spacing w:line="500" w:lineRule="exact"/>
        <w:ind w:firstLine="480"/>
        <w:jc w:val="left"/>
        <w:rPr>
          <w:rFonts w:ascii="宋体" w:hAnsi="宋体" w:cs="宋体"/>
          <w:color w:val="auto"/>
          <w:sz w:val="24"/>
        </w:rPr>
      </w:pPr>
      <w:r>
        <w:rPr>
          <w:rFonts w:hint="eastAsia" w:ascii="宋体" w:hAnsi="宋体" w:cs="宋体"/>
          <w:color w:val="auto"/>
          <w:sz w:val="24"/>
          <w:lang w:eastAsia="zh-TW"/>
        </w:rPr>
        <w:t>溶气罐的形式有很多种，采用填充式溶气罐，罐內填充填料，可使溶气罐效率提高。</w:t>
      </w:r>
      <w:r>
        <w:rPr>
          <w:rFonts w:hint="eastAsia" w:ascii="宋体" w:hAnsi="宋体" w:cs="宋体"/>
          <w:color w:val="auto"/>
          <w:sz w:val="24"/>
        </w:rPr>
        <w:t>因其装有填料可加剧紊动程度，提高液相的分散程度，不断更新液相与气相的界面，从而提高了溶气效率。填料有各种形式，采用阶榜环的溶气效率最高，可达90％以上。</w:t>
      </w:r>
    </w:p>
    <w:p w14:paraId="6911777E">
      <w:pPr>
        <w:pStyle w:val="6"/>
        <w:spacing w:before="0" w:after="0" w:line="500" w:lineRule="exact"/>
        <w:ind w:left="420" w:leftChars="200"/>
        <w:jc w:val="left"/>
        <w:rPr>
          <w:rFonts w:ascii="宋体" w:hAnsi="宋体" w:cs="宋体"/>
          <w:color w:val="auto"/>
          <w:sz w:val="24"/>
        </w:rPr>
      </w:pPr>
      <w:r>
        <w:rPr>
          <w:rFonts w:hint="eastAsia" w:ascii="宋体" w:hAnsi="宋体" w:cs="宋体"/>
          <w:color w:val="auto"/>
          <w:sz w:val="24"/>
        </w:rPr>
        <w:t>（三）空压机</w:t>
      </w:r>
    </w:p>
    <w:p w14:paraId="79BFCEF0">
      <w:pPr>
        <w:spacing w:line="500" w:lineRule="exact"/>
        <w:ind w:firstLine="480"/>
        <w:jc w:val="left"/>
        <w:rPr>
          <w:rFonts w:ascii="宋体" w:hAnsi="宋体" w:cs="宋体"/>
          <w:color w:val="auto"/>
          <w:sz w:val="24"/>
        </w:rPr>
      </w:pPr>
      <w:r>
        <w:rPr>
          <w:rFonts w:hint="eastAsia" w:ascii="宋体" w:hAnsi="宋体" w:cs="宋体"/>
          <w:color w:val="auto"/>
          <w:sz w:val="24"/>
        </w:rPr>
        <w:t>采用无油螺杆式空压机，Q=60m</w:t>
      </w:r>
      <w:r>
        <w:rPr>
          <w:rFonts w:hint="eastAsia" w:ascii="宋体" w:hAnsi="宋体" w:cs="宋体"/>
          <w:color w:val="auto"/>
          <w:sz w:val="24"/>
          <w:vertAlign w:val="superscript"/>
        </w:rPr>
        <w:t>3</w:t>
      </w:r>
      <w:r>
        <w:rPr>
          <w:rFonts w:hint="eastAsia" w:ascii="宋体" w:hAnsi="宋体" w:cs="宋体"/>
          <w:color w:val="auto"/>
          <w:sz w:val="24"/>
        </w:rPr>
        <w:t>/h，0.8Mpa，P=7.5kw，气管采用不锈钢304材质，管径DN25；管路配有电磁阀和止回阀，防止反水进入空压机组损坏设备；</w:t>
      </w:r>
    </w:p>
    <w:p w14:paraId="2C9C05DA">
      <w:pPr>
        <w:pStyle w:val="6"/>
        <w:spacing w:before="0" w:after="0" w:line="500" w:lineRule="exact"/>
        <w:ind w:left="420" w:leftChars="200"/>
        <w:jc w:val="left"/>
        <w:rPr>
          <w:rFonts w:ascii="宋体" w:hAnsi="宋体" w:cs="宋体"/>
          <w:color w:val="auto"/>
          <w:sz w:val="24"/>
        </w:rPr>
      </w:pPr>
      <w:r>
        <w:rPr>
          <w:rFonts w:hint="eastAsia" w:ascii="宋体" w:hAnsi="宋体" w:cs="宋体"/>
          <w:color w:val="auto"/>
          <w:sz w:val="24"/>
        </w:rPr>
        <w:t>（四）释放器</w:t>
      </w:r>
    </w:p>
    <w:p w14:paraId="41F08CCB">
      <w:pPr>
        <w:spacing w:line="500" w:lineRule="exact"/>
        <w:ind w:firstLine="480"/>
        <w:jc w:val="left"/>
        <w:rPr>
          <w:rFonts w:ascii="宋体" w:hAnsi="宋体" w:cs="宋体"/>
          <w:b/>
          <w:color w:val="auto"/>
          <w:sz w:val="24"/>
        </w:rPr>
      </w:pPr>
      <w:r>
        <w:rPr>
          <w:rFonts w:hint="eastAsia" w:ascii="宋体" w:hAnsi="宋体" w:cs="宋体"/>
          <w:color w:val="auto"/>
          <w:sz w:val="24"/>
        </w:rPr>
        <w:t>溶气释放器是气浮法的核心设备，其功能是将溶气水中的气体以微细气泡的形式释放出来，以便与待处理污水中的悬浮杂质黏附良好。采用微纳米ABS塑料材质曝气盘作为释放器。在滤池进水槽及进水口各设置3个释放器，尽可能的使所有进入滤池的水体与溶气水混合，气泡分布和混合均匀。</w:t>
      </w:r>
    </w:p>
    <w:p w14:paraId="32B37B83">
      <w:pPr>
        <w:pStyle w:val="6"/>
        <w:spacing w:before="93" w:beforeLines="30" w:after="93" w:afterLines="30" w:line="500" w:lineRule="exact"/>
        <w:jc w:val="left"/>
        <w:rPr>
          <w:rFonts w:ascii="宋体" w:hAnsi="宋体" w:cs="宋体"/>
          <w:color w:val="auto"/>
          <w:sz w:val="21"/>
          <w:szCs w:val="21"/>
        </w:rPr>
      </w:pPr>
      <w:r>
        <w:rPr>
          <w:rFonts w:hint="eastAsia" w:ascii="宋体" w:hAnsi="宋体" w:cs="宋体"/>
          <w:color w:val="auto"/>
          <w:sz w:val="21"/>
          <w:szCs w:val="21"/>
        </w:rPr>
        <w:t>4.2.6设备品牌</w:t>
      </w:r>
      <w:bookmarkEnd w:id="748"/>
      <w:bookmarkEnd w:id="749"/>
      <w:bookmarkEnd w:id="750"/>
      <w:r>
        <w:rPr>
          <w:rFonts w:hint="eastAsia" w:ascii="宋体" w:hAnsi="宋体" w:cs="宋体"/>
          <w:color w:val="auto"/>
          <w:sz w:val="21"/>
          <w:szCs w:val="21"/>
        </w:rPr>
        <w:t>参考表</w:t>
      </w:r>
      <w:bookmarkEnd w:id="751"/>
    </w:p>
    <w:tbl>
      <w:tblPr>
        <w:tblStyle w:val="23"/>
        <w:tblpPr w:leftFromText="180" w:rightFromText="180" w:vertAnchor="text" w:horzAnchor="page" w:tblpXSpec="center" w:tblpY="553"/>
        <w:tblOverlap w:val="never"/>
        <w:tblW w:w="0" w:type="auto"/>
        <w:jc w:val="center"/>
        <w:tblLayout w:type="fixed"/>
        <w:tblCellMar>
          <w:top w:w="0" w:type="dxa"/>
          <w:left w:w="108" w:type="dxa"/>
          <w:bottom w:w="0" w:type="dxa"/>
          <w:right w:w="108" w:type="dxa"/>
        </w:tblCellMar>
      </w:tblPr>
      <w:tblGrid>
        <w:gridCol w:w="796"/>
        <w:gridCol w:w="2844"/>
        <w:gridCol w:w="1670"/>
        <w:gridCol w:w="2756"/>
        <w:gridCol w:w="1610"/>
      </w:tblGrid>
      <w:tr w14:paraId="5217B99B">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2F7FE">
            <w:pPr>
              <w:pStyle w:val="45"/>
              <w:spacing w:line="500" w:lineRule="exact"/>
              <w:jc w:val="center"/>
              <w:rPr>
                <w:rFonts w:ascii="宋体" w:hAnsi="宋体" w:eastAsia="宋体" w:cs="宋体"/>
                <w:color w:val="auto"/>
              </w:rPr>
            </w:pPr>
            <w:bookmarkStart w:id="752" w:name="_Toc177806862"/>
            <w:bookmarkEnd w:id="752"/>
            <w:bookmarkStart w:id="753" w:name="_Toc202765105"/>
            <w:bookmarkEnd w:id="753"/>
            <w:bookmarkStart w:id="754" w:name="_Toc202768756"/>
            <w:bookmarkEnd w:id="754"/>
            <w:bookmarkStart w:id="755" w:name="_Toc202089253"/>
            <w:bookmarkEnd w:id="755"/>
            <w:bookmarkStart w:id="756" w:name="_Toc206408740"/>
            <w:bookmarkEnd w:id="756"/>
            <w:bookmarkStart w:id="757" w:name="_Toc202768595"/>
            <w:bookmarkEnd w:id="757"/>
            <w:bookmarkStart w:id="758" w:name="_Toc202933405"/>
            <w:bookmarkEnd w:id="758"/>
            <w:bookmarkStart w:id="759" w:name="_Toc202768698"/>
            <w:bookmarkEnd w:id="759"/>
            <w:bookmarkStart w:id="760" w:name="_Toc202768721"/>
            <w:bookmarkEnd w:id="760"/>
            <w:bookmarkStart w:id="761" w:name="_Toc202768652"/>
            <w:bookmarkEnd w:id="761"/>
            <w:r>
              <w:rPr>
                <w:rFonts w:hint="eastAsia" w:ascii="宋体" w:hAnsi="宋体" w:eastAsia="宋体" w:cs="宋体"/>
                <w:color w:val="auto"/>
              </w:rPr>
              <w:t xml:space="preserve"> 序号</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329AF">
            <w:pPr>
              <w:pStyle w:val="45"/>
              <w:spacing w:line="500" w:lineRule="exact"/>
              <w:jc w:val="center"/>
              <w:rPr>
                <w:rFonts w:ascii="宋体" w:hAnsi="宋体" w:eastAsia="宋体" w:cs="宋体"/>
                <w:color w:val="auto"/>
              </w:rPr>
            </w:pPr>
            <w:r>
              <w:rPr>
                <w:rFonts w:hint="eastAsia" w:ascii="宋体" w:hAnsi="宋体" w:eastAsia="宋体" w:cs="宋体"/>
                <w:color w:val="auto"/>
              </w:rPr>
              <w:t>名称</w:t>
            </w:r>
          </w:p>
        </w:tc>
        <w:tc>
          <w:tcPr>
            <w:tcW w:w="6036" w:type="dxa"/>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14:paraId="1FB27B12">
            <w:pPr>
              <w:pStyle w:val="45"/>
              <w:spacing w:line="500" w:lineRule="exact"/>
              <w:jc w:val="center"/>
              <w:rPr>
                <w:rFonts w:ascii="宋体" w:hAnsi="宋体" w:eastAsia="宋体" w:cs="宋体"/>
                <w:color w:val="auto"/>
              </w:rPr>
            </w:pPr>
            <w:r>
              <w:rPr>
                <w:rFonts w:hint="eastAsia" w:ascii="宋体" w:hAnsi="宋体" w:eastAsia="宋体" w:cs="宋体"/>
                <w:color w:val="auto"/>
              </w:rPr>
              <w:t>推荐品牌</w:t>
            </w:r>
          </w:p>
        </w:tc>
      </w:tr>
      <w:tr w14:paraId="7C358D52">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837F6">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1</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AB432">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粉末活性炭投加系统</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C6153">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上海轩浦</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C9F3F">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固莱环保</w:t>
            </w:r>
          </w:p>
        </w:tc>
        <w:tc>
          <w:tcPr>
            <w:tcW w:w="16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5A04867">
            <w:pPr>
              <w:pStyle w:val="20"/>
              <w:widowControl/>
              <w:spacing w:line="500" w:lineRule="exact"/>
              <w:jc w:val="center"/>
              <w:rPr>
                <w:rFonts w:ascii="宋体" w:hAnsi="宋体" w:cs="宋体"/>
                <w:color w:val="auto"/>
                <w:sz w:val="21"/>
                <w:szCs w:val="21"/>
              </w:rPr>
            </w:pPr>
            <w:r>
              <w:rPr>
                <w:rFonts w:hint="eastAsia" w:ascii="宋体" w:hAnsi="宋体" w:eastAsia="宋体" w:cs="宋体"/>
                <w:b/>
                <w:bCs/>
                <w:color w:val="auto"/>
                <w:sz w:val="21"/>
                <w:szCs w:val="21"/>
              </w:rPr>
              <w:t>净化控股</w:t>
            </w:r>
          </w:p>
        </w:tc>
      </w:tr>
      <w:tr w14:paraId="40186E5D">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65E13">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2</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CFE95">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高锰酸钾复合盐投加系统</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DE594">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上海轩浦</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4619F">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固莱环保</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32F97">
            <w:pPr>
              <w:pStyle w:val="20"/>
              <w:widowControl/>
              <w:spacing w:line="500" w:lineRule="exact"/>
              <w:jc w:val="center"/>
              <w:rPr>
                <w:rFonts w:ascii="宋体" w:hAnsi="宋体" w:cs="宋体"/>
                <w:color w:val="auto"/>
                <w:sz w:val="21"/>
                <w:szCs w:val="21"/>
              </w:rPr>
            </w:pPr>
            <w:r>
              <w:rPr>
                <w:rFonts w:hint="eastAsia" w:ascii="宋体" w:hAnsi="宋体" w:eastAsia="宋体" w:cs="宋体"/>
                <w:b/>
                <w:bCs/>
                <w:color w:val="auto"/>
                <w:sz w:val="21"/>
                <w:szCs w:val="21"/>
              </w:rPr>
              <w:t>净化控股</w:t>
            </w:r>
          </w:p>
        </w:tc>
      </w:tr>
      <w:tr w14:paraId="0C42006A">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69779">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3</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D53B2">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二氧化碳投加系统</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520C2">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上海轩浦</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003B4">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固莱环保</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18216">
            <w:pPr>
              <w:pStyle w:val="20"/>
              <w:widowControl/>
              <w:spacing w:line="500" w:lineRule="exact"/>
              <w:jc w:val="center"/>
              <w:rPr>
                <w:rFonts w:ascii="宋体" w:hAnsi="宋体" w:cs="宋体"/>
                <w:color w:val="auto"/>
                <w:sz w:val="21"/>
                <w:szCs w:val="21"/>
              </w:rPr>
            </w:pPr>
            <w:r>
              <w:rPr>
                <w:rFonts w:hint="eastAsia" w:ascii="宋体" w:hAnsi="宋体" w:eastAsia="宋体" w:cs="宋体"/>
                <w:b/>
                <w:bCs/>
                <w:color w:val="auto"/>
                <w:sz w:val="21"/>
                <w:szCs w:val="21"/>
              </w:rPr>
              <w:t>净化控股</w:t>
            </w:r>
          </w:p>
        </w:tc>
      </w:tr>
      <w:tr w14:paraId="4A4CF1E4">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B60BD">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4</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C15E7">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插入式电磁流量计</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34CE7">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color w:val="auto"/>
                <w:sz w:val="21"/>
                <w:szCs w:val="21"/>
              </w:rPr>
              <w:t>艾默生</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96EBE">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color w:val="auto"/>
                <w:sz w:val="21"/>
                <w:szCs w:val="21"/>
              </w:rPr>
              <w:t>ABB</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76E70">
            <w:pPr>
              <w:pStyle w:val="20"/>
              <w:widowControl/>
              <w:spacing w:line="500" w:lineRule="exact"/>
              <w:jc w:val="center"/>
              <w:rPr>
                <w:rFonts w:ascii="宋体" w:hAnsi="宋体" w:cs="宋体"/>
                <w:color w:val="auto"/>
                <w:sz w:val="21"/>
                <w:szCs w:val="21"/>
              </w:rPr>
            </w:pPr>
            <w:r>
              <w:rPr>
                <w:rFonts w:hint="eastAsia" w:ascii="宋体" w:hAnsi="宋体" w:eastAsia="宋体" w:cs="宋体"/>
                <w:color w:val="auto"/>
                <w:sz w:val="21"/>
                <w:szCs w:val="21"/>
              </w:rPr>
              <w:t>霍尼韦尔</w:t>
            </w:r>
          </w:p>
        </w:tc>
      </w:tr>
      <w:tr w14:paraId="2FC60CB2">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93CCB">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5</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DBDFC">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阀门电动控制机构</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742EC">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ROTORK</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26524">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AUMA</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6C078">
            <w:pPr>
              <w:pStyle w:val="20"/>
              <w:widowControl/>
              <w:spacing w:line="500" w:lineRule="exact"/>
              <w:jc w:val="center"/>
              <w:rPr>
                <w:rFonts w:ascii="宋体" w:hAnsi="宋体" w:cs="宋体"/>
                <w:color w:val="auto"/>
                <w:sz w:val="21"/>
                <w:szCs w:val="21"/>
              </w:rPr>
            </w:pPr>
            <w:r>
              <w:rPr>
                <w:rFonts w:hint="eastAsia" w:ascii="宋体" w:hAnsi="宋体" w:eastAsia="宋体" w:cs="宋体"/>
                <w:b/>
                <w:bCs/>
                <w:color w:val="auto"/>
                <w:sz w:val="21"/>
                <w:szCs w:val="21"/>
              </w:rPr>
              <w:t>BERNARD</w:t>
            </w:r>
          </w:p>
        </w:tc>
      </w:tr>
      <w:tr w14:paraId="015239EC">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3D8A8">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6</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872CB">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余氯分析仪</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1E5B6">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color w:val="auto"/>
                <w:sz w:val="21"/>
                <w:szCs w:val="21"/>
              </w:rPr>
              <w:t>HACH</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49170">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E+H</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0D755">
            <w:pPr>
              <w:pStyle w:val="20"/>
              <w:widowControl/>
              <w:spacing w:line="500" w:lineRule="exact"/>
              <w:jc w:val="center"/>
              <w:rPr>
                <w:rFonts w:ascii="宋体" w:hAnsi="宋体" w:cs="宋体"/>
                <w:color w:val="auto"/>
                <w:sz w:val="21"/>
                <w:szCs w:val="21"/>
              </w:rPr>
            </w:pPr>
            <w:r>
              <w:rPr>
                <w:rFonts w:hint="eastAsia" w:ascii="宋体" w:hAnsi="宋体" w:eastAsia="宋体" w:cs="宋体"/>
                <w:b/>
                <w:bCs/>
                <w:color w:val="auto"/>
                <w:sz w:val="21"/>
                <w:szCs w:val="21"/>
              </w:rPr>
              <w:t>德菲</w:t>
            </w:r>
          </w:p>
        </w:tc>
      </w:tr>
      <w:tr w14:paraId="702B666D">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A834B">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7</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9C7C1">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数字计量泵</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E6457">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color w:val="auto"/>
                <w:sz w:val="21"/>
                <w:szCs w:val="21"/>
              </w:rPr>
              <w:t>格兰富</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3F04F">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color w:val="auto"/>
                <w:sz w:val="21"/>
                <w:szCs w:val="21"/>
              </w:rPr>
              <w:t>普罗名特</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8C7D4">
            <w:pPr>
              <w:pStyle w:val="20"/>
              <w:widowControl/>
              <w:spacing w:line="500" w:lineRule="exact"/>
              <w:jc w:val="center"/>
              <w:rPr>
                <w:rFonts w:ascii="宋体" w:hAnsi="宋体" w:cs="宋体"/>
                <w:color w:val="auto"/>
                <w:sz w:val="21"/>
                <w:szCs w:val="21"/>
              </w:rPr>
            </w:pPr>
            <w:r>
              <w:rPr>
                <w:rFonts w:hint="eastAsia" w:ascii="宋体" w:hAnsi="宋体" w:eastAsia="宋体" w:cs="宋体"/>
                <w:color w:val="auto"/>
                <w:sz w:val="21"/>
                <w:szCs w:val="21"/>
              </w:rPr>
              <w:t>米顿罗</w:t>
            </w:r>
          </w:p>
        </w:tc>
      </w:tr>
      <w:tr w14:paraId="78DC0431">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5BC9C">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8</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70034">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电磁流量计</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45DC9">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西门子</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52242">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ABB</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0F098">
            <w:pPr>
              <w:pStyle w:val="20"/>
              <w:widowControl/>
              <w:spacing w:line="500" w:lineRule="exact"/>
              <w:jc w:val="center"/>
              <w:rPr>
                <w:rFonts w:ascii="宋体" w:hAnsi="宋体" w:cs="宋体"/>
                <w:color w:val="auto"/>
                <w:sz w:val="21"/>
                <w:szCs w:val="21"/>
              </w:rPr>
            </w:pPr>
            <w:r>
              <w:rPr>
                <w:rFonts w:hint="eastAsia" w:ascii="宋体" w:hAnsi="宋体" w:eastAsia="宋体" w:cs="宋体"/>
                <w:b/>
                <w:bCs/>
                <w:color w:val="auto"/>
                <w:sz w:val="21"/>
                <w:szCs w:val="21"/>
              </w:rPr>
              <w:t>E+H</w:t>
            </w:r>
          </w:p>
        </w:tc>
      </w:tr>
      <w:tr w14:paraId="7D6A6CD5">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77ABF">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lang w:val="en-US" w:eastAsia="zh-CN"/>
              </w:rPr>
              <w:t>9</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F212C">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lang w:val="en-US" w:eastAsia="zh-CN"/>
              </w:rPr>
              <w:t>变频加压泵（溶气系统设备）</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A5CA6">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cs="宋体"/>
                <w:color w:val="auto"/>
                <w:sz w:val="21"/>
                <w:szCs w:val="21"/>
                <w:lang w:val="en-US" w:eastAsia="zh-CN"/>
              </w:rPr>
              <w:t>南方</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95C01">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cs="宋体"/>
                <w:color w:val="auto"/>
                <w:sz w:val="21"/>
                <w:szCs w:val="21"/>
                <w:lang w:val="en-US" w:eastAsia="zh-CN"/>
              </w:rPr>
              <w:t>东方</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091F1">
            <w:pPr>
              <w:pStyle w:val="20"/>
              <w:widowControl/>
              <w:spacing w:line="500" w:lineRule="exact"/>
              <w:jc w:val="center"/>
              <w:rPr>
                <w:rFonts w:ascii="宋体" w:hAnsi="宋体" w:cs="宋体"/>
                <w:color w:val="auto"/>
                <w:sz w:val="21"/>
                <w:szCs w:val="21"/>
              </w:rPr>
            </w:pPr>
            <w:r>
              <w:rPr>
                <w:rFonts w:hint="eastAsia" w:ascii="宋体" w:hAnsi="宋体" w:cs="宋体"/>
                <w:color w:val="auto"/>
                <w:sz w:val="21"/>
                <w:szCs w:val="21"/>
                <w:lang w:val="en-US" w:eastAsia="zh-CN"/>
              </w:rPr>
              <w:t>连成</w:t>
            </w:r>
          </w:p>
        </w:tc>
      </w:tr>
      <w:tr w14:paraId="355BDB35">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A1A9A">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lang w:val="en-US"/>
              </w:rPr>
            </w:pPr>
            <w:r>
              <w:rPr>
                <w:rFonts w:hint="eastAsia" w:ascii="宋体" w:hAnsi="宋体" w:eastAsia="宋体" w:cs="宋体"/>
                <w:color w:val="auto"/>
                <w:sz w:val="21"/>
                <w:szCs w:val="21"/>
                <w:lang w:val="en-US" w:eastAsia="zh-CN"/>
              </w:rPr>
              <w:t>10</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33723">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rPr>
            </w:pPr>
            <w:r>
              <w:rPr>
                <w:rFonts w:hint="eastAsia" w:ascii="宋体" w:hAnsi="宋体" w:eastAsia="宋体" w:cs="宋体"/>
                <w:color w:val="auto"/>
                <w:sz w:val="21"/>
                <w:szCs w:val="21"/>
                <w:lang w:val="en-US" w:eastAsia="zh-CN"/>
              </w:rPr>
              <w:t>空压机（溶气系统设备）</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0C9EC">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复盛</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56451">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阿特拉斯</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28222">
            <w:pPr>
              <w:pStyle w:val="20"/>
              <w:widowControl/>
              <w:spacing w:line="500" w:lineRule="exact"/>
              <w:jc w:val="center"/>
              <w:rPr>
                <w:rFonts w:hint="eastAsia" w:ascii="宋体" w:hAnsi="宋体" w:cs="宋体"/>
                <w:color w:val="auto"/>
                <w:sz w:val="21"/>
                <w:szCs w:val="21"/>
              </w:rPr>
            </w:pPr>
            <w:r>
              <w:rPr>
                <w:rFonts w:hint="eastAsia" w:ascii="宋体" w:hAnsi="宋体" w:cs="宋体"/>
                <w:color w:val="auto"/>
                <w:sz w:val="21"/>
                <w:szCs w:val="21"/>
                <w:lang w:val="en-US" w:eastAsia="zh-CN"/>
              </w:rPr>
              <w:t>英格索兰</w:t>
            </w:r>
          </w:p>
        </w:tc>
      </w:tr>
    </w:tbl>
    <w:p w14:paraId="0273D30E">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五、技术服务与保证</w:t>
      </w:r>
    </w:p>
    <w:p w14:paraId="2A5770A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卖方须对一切与本合同有关的供货设备及技术接口、技术服务等问题负全部责任。</w:t>
      </w:r>
    </w:p>
    <w:p w14:paraId="38292E5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凡与本合同设备相连接的其他设备装置、卖方有提供接口和技术配合的义务，并不由此而发生合同价格以外的任何费用。</w:t>
      </w:r>
    </w:p>
    <w:p w14:paraId="2A70451D">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六、检验、测试与验收</w:t>
      </w:r>
    </w:p>
    <w:p w14:paraId="5F19C64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卖方的检验部门在制造过程中和完工后，应按本标书中所提出的标准和规范，对设备进行各项具体的检验和试验，提出检验报告，并对检验报告的准确性和完整性负责。所有检验报告及合格证作为技术资料的一部分交给买方存档，以便买方工程师进行监理。此外，卖方还应在随机文件中提供合格证和质量证明文件。</w:t>
      </w:r>
    </w:p>
    <w:p w14:paraId="63702A8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货物到达项目现场后，卖方在接到买方通知后应及时到现场，与买方一起根据运单和装箱单对货物的包装、外观及件数进行清点检验。如发现有任何不符之处经双方代表确认属卖方责任，由卖方处理解决。当货物运到项目现场后，买方应尽快开箱检验，检验货物的数量、规格和质量。买方应在开箱检查前</w:t>
      </w:r>
      <w:r>
        <w:rPr>
          <w:rFonts w:hint="eastAsia" w:ascii="宋体" w:hAnsi="宋体" w:cs="宋体"/>
          <w:color w:val="auto"/>
          <w:szCs w:val="21"/>
          <w:u w:val="single"/>
        </w:rPr>
        <w:t>7天</w:t>
      </w:r>
      <w:r>
        <w:rPr>
          <w:rFonts w:hint="eastAsia" w:ascii="宋体" w:hAnsi="宋体" w:cs="宋体"/>
          <w:color w:val="auto"/>
          <w:szCs w:val="21"/>
        </w:rPr>
        <w:t>通知卖方开箱检验日期，卖方应派遣检验人员参加现场检验工作，买方应为卖方检验人员提供工作方便。如检验时，卖方人员未按时赴现场，买方有权自行开箱检验，检验结果和记录对双方同样有效，并作为买方向卖方提出索赔的有效证据。</w:t>
      </w:r>
    </w:p>
    <w:p w14:paraId="580F53A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现场检验时，须由买方、卖方、施工单位、监理单位等四方组成的验收小组，与买方一起检验。如发现设备由于卖方原因（包括运输）有任何损坏、缺陷、短少或不符合合同中规定的质量标准和规范时，应做好记录，并由双方代表签字，各执一份，作为买方向卖方提出修理和/或更换和/或索赔的依据；如果卖方委托买方修理损坏的设备，所有修理设备的费用由卖方承担；如果由于买方原因，发现损坏或短缺，卖方在接到需方通知后，应尽快提供或替换相应的部件，但费用由买方自负。</w:t>
      </w:r>
    </w:p>
    <w:p w14:paraId="6D802A0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同时卖方还应提交一份完整的（包括单台设备和整套系统）检验办法和验收标准。作为买方的验收依据。</w:t>
      </w:r>
    </w:p>
    <w:p w14:paraId="7D95158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当满足以下条件时，买方才向卖方颁发验收合格证书。</w:t>
      </w:r>
    </w:p>
    <w:p w14:paraId="00727FB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w:t>
      </w:r>
      <w:r>
        <w:rPr>
          <w:rFonts w:hint="eastAsia" w:ascii="宋体" w:hAnsi="宋体" w:cs="宋体"/>
          <w:color w:val="auto"/>
          <w:szCs w:val="21"/>
        </w:rPr>
        <w:t>卖方已提供了合同中签署的全部货物及完整的技术资料。</w:t>
      </w:r>
    </w:p>
    <w:p w14:paraId="3D18186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7</w:t>
      </w:r>
      <w:r>
        <w:rPr>
          <w:rFonts w:hint="eastAsia" w:ascii="宋体" w:hAnsi="宋体" w:cs="宋体"/>
          <w:color w:val="auto"/>
          <w:szCs w:val="21"/>
          <w:lang w:val="en-US" w:eastAsia="zh-CN"/>
        </w:rPr>
        <w:t>.</w:t>
      </w:r>
      <w:r>
        <w:rPr>
          <w:rFonts w:hint="eastAsia" w:ascii="宋体" w:hAnsi="宋体" w:cs="宋体"/>
          <w:color w:val="auto"/>
          <w:szCs w:val="21"/>
        </w:rPr>
        <w:t>货物符合规格书中的规定，性能满足要求。</w:t>
      </w:r>
    </w:p>
    <w:p w14:paraId="367ADFC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szCs w:val="21"/>
          <w:lang w:val="en-US" w:eastAsia="zh-CN"/>
        </w:rPr>
        <w:t>.</w:t>
      </w:r>
      <w:r>
        <w:rPr>
          <w:rFonts w:hint="eastAsia" w:ascii="宋体" w:hAnsi="宋体" w:cs="宋体"/>
          <w:color w:val="auto"/>
          <w:szCs w:val="21"/>
        </w:rPr>
        <w:t>性能试验和系统试行中出现的所有缺陷已经改正至买方满意。</w:t>
      </w:r>
    </w:p>
    <w:p w14:paraId="0D9664E6">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七、安装、调试与试运行</w:t>
      </w:r>
    </w:p>
    <w:p w14:paraId="73B74127">
      <w:pPr>
        <w:spacing w:line="500" w:lineRule="exact"/>
        <w:jc w:val="left"/>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安装工程范围</w:t>
      </w:r>
    </w:p>
    <w:p w14:paraId="3AB89ACB">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 xml:space="preserve">本合同安装工程范围包括项目的全部设备、材料安装工程，主要有： </w:t>
      </w:r>
    </w:p>
    <w:p w14:paraId="20F80ABB">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本合同包括的全部机械设备</w:t>
      </w:r>
    </w:p>
    <w:p w14:paraId="0FD332E2">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 xml:space="preserve">全部电器设备及电缆的安装与敷设 </w:t>
      </w:r>
    </w:p>
    <w:p w14:paraId="32EACF78">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自动控制系统及现场仪表、控制阀门等。</w:t>
      </w:r>
    </w:p>
    <w:p w14:paraId="6B06B762">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项目的界区为施工图设计所含的全部范围和要求。</w:t>
      </w:r>
    </w:p>
    <w:p w14:paraId="56198A0A">
      <w:pPr>
        <w:spacing w:line="5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安装工程内容</w:t>
      </w:r>
    </w:p>
    <w:p w14:paraId="10801CFC">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承包人必须完成的项目安装工程主要内容有：</w:t>
      </w:r>
    </w:p>
    <w:p w14:paraId="6C919EC8">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安装前对安装设备、材料的检验，试验和验收保管；对土建基础等有关构筑物的检查验收；</w:t>
      </w:r>
    </w:p>
    <w:p w14:paraId="4D8C5C91">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机电设备、专有设备，电气及仪表盘等设备的安装及二次浇灌。</w:t>
      </w:r>
    </w:p>
    <w:p w14:paraId="392EC334">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各种管道、阀门、管件等的安装：管架、支吊架、钢平台等的制作与安装。</w:t>
      </w:r>
    </w:p>
    <w:p w14:paraId="1D323275">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电气、控制仪表系统设备、电缆、电线的安装，支架的制作与安装；电气、仪表控制系统的软件编程。</w:t>
      </w:r>
    </w:p>
    <w:p w14:paraId="57289046">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设备及管道的全部金属构件的外部油漆防腐。</w:t>
      </w:r>
    </w:p>
    <w:p w14:paraId="4FD684B4">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按规范和规定安装工程中完成的关的检验、试压、试验等检测工作，并办理与当地劳动部门的有关手续。</w:t>
      </w:r>
    </w:p>
    <w:p w14:paraId="46CCADB4">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设备、仪器仪表、系统的调式、单机试运行和系统联动试车。</w:t>
      </w:r>
    </w:p>
    <w:p w14:paraId="03D512B4">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由于供应设备、仪器与原设计不一，因此需修改原设计的设备基础，管道联接方式和尺寸，管道走向等，承包人完成修改设计，经项目经理审核后实施，且费用自理。</w:t>
      </w:r>
    </w:p>
    <w:p w14:paraId="1298333D">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八、培训</w:t>
      </w:r>
    </w:p>
    <w:p w14:paraId="6D96052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免费为甲方的维修人员提供现场培训，使受培训人员至少达到以下水平：掌握一般运行原理、使用方法、紧急救援及日常维护等常用技能。</w:t>
      </w:r>
    </w:p>
    <w:p w14:paraId="5228E31C">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九、质量保证期</w:t>
      </w:r>
    </w:p>
    <w:p w14:paraId="7983C0B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质量保证期：</w:t>
      </w:r>
      <w:r>
        <w:rPr>
          <w:rFonts w:hint="eastAsia" w:ascii="宋体" w:hAnsi="宋体" w:cs="宋体"/>
          <w:color w:val="auto"/>
        </w:rPr>
        <w:t>自整体项目验收完毕之日起两年之内为质保期。</w:t>
      </w:r>
      <w:r>
        <w:rPr>
          <w:rFonts w:hint="eastAsia" w:ascii="宋体" w:hAnsi="宋体" w:cs="宋体"/>
          <w:color w:val="auto"/>
          <w:szCs w:val="21"/>
        </w:rPr>
        <w:t>质量保证期内，系统确因制造质量不良而发生损坏或不能正常工作时，卖方应免费修理或更换并免费提供维修保养服务。更换的零部件的质量保证期从更换之日起再延长</w:t>
      </w:r>
      <w:r>
        <w:rPr>
          <w:rFonts w:hint="eastAsia" w:ascii="宋体" w:hAnsi="宋体" w:cs="宋体"/>
          <w:color w:val="auto"/>
          <w:szCs w:val="21"/>
          <w:u w:val="single"/>
        </w:rPr>
        <w:t>1年</w:t>
      </w:r>
      <w:r>
        <w:rPr>
          <w:rFonts w:hint="eastAsia" w:ascii="宋体" w:hAnsi="宋体" w:cs="宋体"/>
          <w:color w:val="auto"/>
          <w:szCs w:val="21"/>
        </w:rPr>
        <w:t>。对于隐蔽性的、合理的检查和试验都不能发觉得缺陷，即使质量保证期已过，由于其产品本身的设计缺陷、制造缺陷、安装缺陷造成的故障，仍由投标人免费负责。维修保养内容包括但不限于：</w:t>
      </w:r>
    </w:p>
    <w:p w14:paraId="2A889DA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u w:val="single"/>
        </w:rPr>
        <w:t>24h</w:t>
      </w:r>
      <w:r>
        <w:rPr>
          <w:rFonts w:hint="eastAsia" w:ascii="宋体" w:hAnsi="宋体" w:cs="宋体"/>
          <w:color w:val="auto"/>
          <w:szCs w:val="21"/>
        </w:rPr>
        <w:t>应急服务，并不收取法定工作日和日常工作时间以外的附加费用。</w:t>
      </w:r>
    </w:p>
    <w:p w14:paraId="12D75C6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普通故障的修复时间为不大于</w:t>
      </w:r>
      <w:r>
        <w:rPr>
          <w:rFonts w:hint="eastAsia" w:ascii="宋体" w:hAnsi="宋体" w:cs="宋体"/>
          <w:color w:val="auto"/>
          <w:szCs w:val="21"/>
          <w:u w:val="single"/>
        </w:rPr>
        <w:t>4h</w:t>
      </w:r>
      <w:r>
        <w:rPr>
          <w:rFonts w:hint="eastAsia" w:ascii="宋体" w:hAnsi="宋体" w:cs="宋体"/>
          <w:color w:val="auto"/>
          <w:szCs w:val="21"/>
        </w:rPr>
        <w:t>。修复时间从投标人接到故障通知时计算。注明由谁提供维修保养服务，如果不是制造商提供维修保养服务，则需提供制造商的委托书，制造商承担连带责任。</w:t>
      </w:r>
    </w:p>
    <w:p w14:paraId="586FADF7">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十、备品备件及专用工具</w:t>
      </w:r>
    </w:p>
    <w:p w14:paraId="6717073A">
      <w:pPr>
        <w:spacing w:before="156" w:beforeLines="50" w:line="360" w:lineRule="auto"/>
        <w:jc w:val="center"/>
        <w:rPr>
          <w:rFonts w:ascii="宋体" w:hAnsi="宋体" w:cs="宋体"/>
          <w:b/>
          <w:color w:val="auto"/>
          <w:sz w:val="24"/>
        </w:rPr>
      </w:pPr>
      <w:r>
        <w:rPr>
          <w:rFonts w:hint="eastAsia" w:ascii="宋体" w:hAnsi="宋体" w:cs="宋体"/>
          <w:b/>
          <w:color w:val="auto"/>
          <w:sz w:val="24"/>
        </w:rPr>
        <w:t>（包含在投标总价中）</w:t>
      </w:r>
    </w:p>
    <w:p w14:paraId="2D18F20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备品备件以保证设备正常运行为目标，可以以模件为单位，每一模件至少需要一个备品。如果使用单只继电器则按每一类继电器一个备品考虑，对于易损坏的或经常更换的小型元件应适当增加备件数量。</w:t>
      </w:r>
    </w:p>
    <w:p w14:paraId="1C347FA9">
      <w:p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供货厂商应按标准提供</w:t>
      </w:r>
      <w:r>
        <w:rPr>
          <w:rFonts w:hint="eastAsia" w:ascii="宋体" w:hAnsi="宋体" w:cs="宋体"/>
          <w:color w:val="auto"/>
          <w:szCs w:val="21"/>
          <w:u w:val="single"/>
        </w:rPr>
        <w:t>2年</w:t>
      </w:r>
      <w:r>
        <w:rPr>
          <w:rFonts w:hint="eastAsia" w:ascii="宋体" w:hAnsi="宋体" w:cs="宋体"/>
          <w:color w:val="auto"/>
          <w:szCs w:val="21"/>
        </w:rPr>
        <w:t>的易损备品备件。</w:t>
      </w:r>
    </w:p>
    <w:p w14:paraId="0E4FB314">
      <w:p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供货厂商应提供随机专用工具清单。</w:t>
      </w:r>
    </w:p>
    <w:p w14:paraId="0BD65D4B">
      <w:p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供货厂商应承诺在保修期外以不高于十一条第2款的价格向买方提供备品备件，并在寿命期内保证零配件供应。</w:t>
      </w:r>
    </w:p>
    <w:p w14:paraId="751E30D7">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十一、其他要求</w:t>
      </w:r>
    </w:p>
    <w:p w14:paraId="1FE1CC10">
      <w:pPr>
        <w:adjustRightIn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本技术条件及卖方提供的所有书面文件资料将作为合同的必要组成部分与合同一起生效执行。</w:t>
      </w:r>
    </w:p>
    <w:p w14:paraId="5E86E42F">
      <w:pPr>
        <w:adjustRightIn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 xml:space="preserve">合同签订后二周内，卖方应提交下述买方一式4份文件以供买方确认批准： </w:t>
      </w:r>
    </w:p>
    <w:p w14:paraId="3EBBD746">
      <w:pPr>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2.1</w:t>
      </w:r>
      <w:r>
        <w:rPr>
          <w:rFonts w:hint="eastAsia" w:ascii="宋体" w:hAnsi="宋体" w:cs="宋体"/>
          <w:color w:val="auto"/>
          <w:szCs w:val="21"/>
        </w:rPr>
        <w:t>设备的技术参数表，设备的外形尺寸、总重、最大部件重量说明</w:t>
      </w:r>
    </w:p>
    <w:p w14:paraId="52E423D4">
      <w:pPr>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2.2</w:t>
      </w:r>
      <w:r>
        <w:rPr>
          <w:rFonts w:hint="eastAsia" w:ascii="宋体" w:hAnsi="宋体" w:cs="宋体"/>
          <w:color w:val="auto"/>
          <w:szCs w:val="21"/>
        </w:rPr>
        <w:t>所有与土建施工相关的图纸资料，包括预留孔、预埋件、电缆沟（槽）的尺寸及位置、地脚螺栓位置、土建荷载图、基础安装图等。</w:t>
      </w:r>
    </w:p>
    <w:p w14:paraId="1D0007B7">
      <w:pPr>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2.3</w:t>
      </w:r>
      <w:r>
        <w:rPr>
          <w:rFonts w:hint="eastAsia" w:ascii="宋体" w:hAnsi="宋体" w:cs="宋体"/>
          <w:color w:val="auto"/>
          <w:szCs w:val="21"/>
        </w:rPr>
        <w:t>电气原理图，如典型逻辑图、框图及接线图等。</w:t>
      </w:r>
    </w:p>
    <w:p w14:paraId="69101225">
      <w:pPr>
        <w:adjustRightInd w:val="0"/>
        <w:spacing w:line="50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3.</w:t>
      </w:r>
      <w:r>
        <w:rPr>
          <w:rFonts w:hint="eastAsia" w:ascii="宋体" w:hAnsi="宋体" w:cs="宋体"/>
          <w:color w:val="auto"/>
          <w:szCs w:val="21"/>
        </w:rPr>
        <w:t>合同设备交货前一周，卖方应提交下述一式6份文件(同时提供电子版6份)：</w:t>
      </w:r>
    </w:p>
    <w:p w14:paraId="3B3C1613">
      <w:pPr>
        <w:widowControl/>
        <w:numPr>
          <w:ilvl w:val="0"/>
          <w:numId w:val="11"/>
        </w:numPr>
        <w:adjustRightInd w:val="0"/>
        <w:spacing w:line="500" w:lineRule="exact"/>
        <w:textAlignment w:val="bottom"/>
        <w:rPr>
          <w:rFonts w:ascii="宋体" w:hAnsi="宋体" w:cs="宋体"/>
          <w:color w:val="auto"/>
          <w:szCs w:val="21"/>
        </w:rPr>
      </w:pPr>
      <w:r>
        <w:rPr>
          <w:rFonts w:hint="eastAsia" w:ascii="宋体" w:hAnsi="宋体" w:cs="宋体"/>
          <w:color w:val="auto"/>
          <w:szCs w:val="21"/>
        </w:rPr>
        <w:t>安装使用说明书（包括结构图及易损件零件图）及附属设备安装使用说明书。</w:t>
      </w:r>
    </w:p>
    <w:p w14:paraId="7E34C4E8">
      <w:pPr>
        <w:widowControl/>
        <w:numPr>
          <w:ilvl w:val="0"/>
          <w:numId w:val="11"/>
        </w:numPr>
        <w:adjustRightInd w:val="0"/>
        <w:spacing w:line="500" w:lineRule="exact"/>
        <w:textAlignment w:val="bottom"/>
        <w:rPr>
          <w:rFonts w:ascii="宋体" w:hAnsi="宋体" w:cs="宋体"/>
          <w:color w:val="auto"/>
          <w:szCs w:val="21"/>
        </w:rPr>
      </w:pPr>
      <w:r>
        <w:rPr>
          <w:rFonts w:hint="eastAsia" w:ascii="宋体" w:hAnsi="宋体" w:cs="宋体"/>
          <w:color w:val="auto"/>
          <w:szCs w:val="21"/>
        </w:rPr>
        <w:t>设备操作、保养和维护手册</w:t>
      </w:r>
    </w:p>
    <w:p w14:paraId="31CE97C6">
      <w:pPr>
        <w:widowControl/>
        <w:numPr>
          <w:ilvl w:val="0"/>
          <w:numId w:val="11"/>
        </w:numPr>
        <w:adjustRightInd w:val="0"/>
        <w:spacing w:line="500" w:lineRule="exact"/>
        <w:textAlignment w:val="bottom"/>
        <w:rPr>
          <w:rFonts w:ascii="宋体" w:hAnsi="宋体" w:cs="宋体"/>
          <w:color w:val="auto"/>
          <w:szCs w:val="21"/>
        </w:rPr>
      </w:pPr>
      <w:r>
        <w:rPr>
          <w:rFonts w:hint="eastAsia" w:ascii="宋体" w:hAnsi="宋体" w:cs="宋体"/>
          <w:color w:val="auto"/>
          <w:szCs w:val="21"/>
        </w:rPr>
        <w:t>产品合格证书</w:t>
      </w:r>
    </w:p>
    <w:p w14:paraId="68BFED23">
      <w:pPr>
        <w:widowControl/>
        <w:numPr>
          <w:ilvl w:val="0"/>
          <w:numId w:val="11"/>
        </w:numPr>
        <w:adjustRightInd w:val="0"/>
        <w:spacing w:line="500" w:lineRule="exact"/>
        <w:textAlignment w:val="bottom"/>
        <w:rPr>
          <w:rFonts w:ascii="宋体" w:hAnsi="宋体" w:cs="宋体"/>
          <w:color w:val="auto"/>
          <w:szCs w:val="21"/>
        </w:rPr>
      </w:pPr>
      <w:r>
        <w:rPr>
          <w:rFonts w:hint="eastAsia" w:ascii="宋体" w:hAnsi="宋体" w:cs="宋体"/>
          <w:color w:val="auto"/>
          <w:szCs w:val="21"/>
        </w:rPr>
        <w:t>制造商及合同中所规定的各种试验报告、材料检验报告。</w:t>
      </w:r>
    </w:p>
    <w:p w14:paraId="3D353FAD">
      <w:pPr>
        <w:widowControl/>
        <w:numPr>
          <w:ilvl w:val="0"/>
          <w:numId w:val="11"/>
        </w:numPr>
        <w:adjustRightInd w:val="0"/>
        <w:spacing w:line="500" w:lineRule="exact"/>
        <w:textAlignment w:val="bottom"/>
        <w:rPr>
          <w:rFonts w:ascii="宋体" w:hAnsi="宋体" w:cs="宋体"/>
          <w:color w:val="auto"/>
          <w:szCs w:val="21"/>
        </w:rPr>
      </w:pPr>
      <w:r>
        <w:rPr>
          <w:rFonts w:hint="eastAsia" w:ascii="宋体" w:hAnsi="宋体" w:cs="宋体"/>
          <w:color w:val="auto"/>
          <w:szCs w:val="21"/>
        </w:rPr>
        <w:t>现场最终试验程序</w:t>
      </w:r>
    </w:p>
    <w:p w14:paraId="476ED136">
      <w:pPr>
        <w:widowControl/>
        <w:adjustRightInd w:val="0"/>
        <w:spacing w:line="500" w:lineRule="exact"/>
        <w:ind w:firstLine="413" w:firstLineChars="196"/>
        <w:textAlignment w:val="bottom"/>
        <w:rPr>
          <w:rFonts w:ascii="宋体" w:hAnsi="宋体" w:cs="宋体"/>
          <w:b/>
          <w:color w:val="auto"/>
          <w:szCs w:val="21"/>
        </w:rPr>
      </w:pPr>
      <w:r>
        <w:rPr>
          <w:rFonts w:hint="eastAsia" w:ascii="宋体" w:hAnsi="宋体" w:cs="宋体"/>
          <w:b/>
          <w:color w:val="auto"/>
          <w:szCs w:val="21"/>
          <w:lang w:val="en-US" w:eastAsia="zh-CN"/>
        </w:rPr>
        <w:t>4.</w:t>
      </w:r>
      <w:r>
        <w:rPr>
          <w:rFonts w:hint="eastAsia" w:ascii="宋体" w:hAnsi="宋体" w:cs="宋体"/>
          <w:b/>
          <w:color w:val="auto"/>
          <w:szCs w:val="21"/>
        </w:rPr>
        <w:t>技术资料的语言文字</w:t>
      </w:r>
    </w:p>
    <w:p w14:paraId="51569B6B">
      <w:pPr>
        <w:widowControl/>
        <w:adjustRightInd w:val="0"/>
        <w:spacing w:line="500" w:lineRule="exact"/>
        <w:textAlignment w:val="bottom"/>
        <w:rPr>
          <w:rFonts w:ascii="宋体" w:hAnsi="宋体" w:cs="宋体"/>
          <w:color w:val="auto"/>
          <w:szCs w:val="21"/>
        </w:rPr>
      </w:pPr>
      <w:r>
        <w:rPr>
          <w:rFonts w:hint="eastAsia" w:ascii="宋体" w:hAnsi="宋体" w:cs="宋体"/>
          <w:color w:val="auto"/>
          <w:szCs w:val="21"/>
        </w:rPr>
        <w:t xml:space="preserve">    提交的技术文件和图纸一律用中文书写。文字资料纸采用A4规格，大于A4的图表应折叠成A4尺寸。此外，资料、图纸应装在硬质塑料封面内。同时提供电子版。</w:t>
      </w:r>
    </w:p>
    <w:p w14:paraId="77B21ED6">
      <w:pPr>
        <w:widowControl/>
        <w:adjustRightInd w:val="0"/>
        <w:spacing w:line="500" w:lineRule="exact"/>
        <w:ind w:firstLine="413" w:firstLineChars="196"/>
        <w:textAlignment w:val="bottom"/>
        <w:rPr>
          <w:rFonts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专利</w:t>
      </w:r>
    </w:p>
    <w:p w14:paraId="12CB108B">
      <w:pPr>
        <w:widowControl/>
        <w:adjustRightInd w:val="0"/>
        <w:spacing w:line="500" w:lineRule="exact"/>
        <w:ind w:firstLine="435"/>
        <w:textAlignment w:val="bottom"/>
        <w:rPr>
          <w:rFonts w:ascii="宋体" w:hAnsi="宋体" w:cs="宋体"/>
          <w:color w:val="auto"/>
          <w:szCs w:val="21"/>
        </w:rPr>
      </w:pPr>
      <w:r>
        <w:rPr>
          <w:rFonts w:hint="eastAsia" w:ascii="宋体" w:hAnsi="宋体" w:cs="宋体"/>
          <w:color w:val="auto"/>
          <w:szCs w:val="21"/>
        </w:rPr>
        <w:t>设备采用的专利涉及到的全部费用均被认为已含在设备费用之内。卖方应保证发包者不承担有关设备专利的一切责任。</w:t>
      </w:r>
    </w:p>
    <w:p w14:paraId="54D327A8">
      <w:pPr>
        <w:widowControl/>
        <w:adjustRightInd w:val="0"/>
        <w:spacing w:line="500" w:lineRule="exact"/>
        <w:ind w:firstLine="413" w:firstLineChars="196"/>
        <w:textAlignment w:val="bottom"/>
        <w:rPr>
          <w:rFonts w:ascii="宋体" w:hAnsi="宋体" w:cs="宋体"/>
          <w:b/>
          <w:color w:val="auto"/>
          <w:szCs w:val="21"/>
        </w:rPr>
      </w:pPr>
      <w:r>
        <w:rPr>
          <w:rFonts w:hint="eastAsia" w:ascii="宋体" w:hAnsi="宋体" w:cs="宋体"/>
          <w:b/>
          <w:color w:val="auto"/>
          <w:szCs w:val="21"/>
          <w:lang w:val="en-US" w:eastAsia="zh-CN"/>
        </w:rPr>
        <w:t>6.</w:t>
      </w:r>
      <w:r>
        <w:rPr>
          <w:rFonts w:hint="eastAsia" w:ascii="宋体" w:hAnsi="宋体" w:cs="宋体"/>
          <w:b/>
          <w:color w:val="auto"/>
          <w:szCs w:val="21"/>
        </w:rPr>
        <w:t>包装与标志</w:t>
      </w:r>
    </w:p>
    <w:p w14:paraId="71FE4C4F">
      <w:pPr>
        <w:spacing w:line="500" w:lineRule="exact"/>
        <w:ind w:firstLine="411" w:firstLineChars="196"/>
        <w:jc w:val="left"/>
        <w:rPr>
          <w:rFonts w:ascii="宋体" w:hAnsi="宋体" w:cs="宋体"/>
          <w:color w:val="auto"/>
          <w:szCs w:val="21"/>
        </w:rPr>
      </w:pPr>
      <w:r>
        <w:rPr>
          <w:rFonts w:hint="eastAsia" w:ascii="宋体" w:hAnsi="宋体" w:cs="宋体"/>
          <w:color w:val="auto"/>
          <w:szCs w:val="21"/>
          <w:lang w:val="en-US" w:eastAsia="zh-CN"/>
        </w:rPr>
        <w:t>6.1</w:t>
      </w:r>
      <w:r>
        <w:rPr>
          <w:rFonts w:hint="eastAsia" w:ascii="宋体" w:hAnsi="宋体" w:cs="宋体"/>
          <w:color w:val="auto"/>
          <w:szCs w:val="21"/>
        </w:rPr>
        <w:t>备的包装应坚固以适应各种运输方式，包括在中国境内的内陆运输及多种装卸的需要，并应保护得当以防止潮湿、震荡和锈蚀。卖方应对由卖方不适当包装而引起的任何锈蚀、损坏和损失负责</w:t>
      </w:r>
    </w:p>
    <w:p w14:paraId="5F938FCA">
      <w:pPr>
        <w:spacing w:line="500" w:lineRule="exact"/>
        <w:ind w:firstLine="411" w:firstLineChars="196"/>
        <w:jc w:val="left"/>
        <w:rPr>
          <w:rFonts w:ascii="宋体" w:hAnsi="宋体" w:cs="宋体"/>
          <w:color w:val="auto"/>
          <w:szCs w:val="21"/>
        </w:rPr>
      </w:pPr>
      <w:r>
        <w:rPr>
          <w:rFonts w:hint="eastAsia" w:ascii="宋体" w:hAnsi="宋体" w:cs="宋体"/>
          <w:color w:val="auto"/>
          <w:szCs w:val="21"/>
          <w:lang w:val="en-US" w:eastAsia="zh-CN"/>
        </w:rPr>
        <w:t>6.2</w:t>
      </w:r>
      <w:r>
        <w:rPr>
          <w:rFonts w:hint="eastAsia" w:ascii="宋体" w:hAnsi="宋体" w:cs="宋体"/>
          <w:color w:val="auto"/>
          <w:szCs w:val="21"/>
        </w:rPr>
        <w:t>包装须符合中国国家质量监督检验检疫局对进口包装材料的检疫要求。</w:t>
      </w:r>
    </w:p>
    <w:p w14:paraId="56FECEBB">
      <w:pPr>
        <w:spacing w:line="500" w:lineRule="exact"/>
        <w:ind w:firstLine="411" w:firstLineChars="196"/>
        <w:jc w:val="left"/>
        <w:rPr>
          <w:rFonts w:ascii="宋体" w:hAnsi="宋体" w:cs="宋体"/>
          <w:color w:val="auto"/>
          <w:szCs w:val="21"/>
        </w:rPr>
      </w:pPr>
      <w:r>
        <w:rPr>
          <w:rFonts w:hint="eastAsia" w:ascii="宋体" w:hAnsi="宋体" w:cs="宋体"/>
          <w:color w:val="auto"/>
          <w:szCs w:val="21"/>
          <w:lang w:val="en-US" w:eastAsia="zh-CN"/>
        </w:rPr>
        <w:t>6.3</w:t>
      </w:r>
      <w:r>
        <w:rPr>
          <w:rFonts w:hint="eastAsia" w:ascii="宋体" w:hAnsi="宋体" w:cs="宋体"/>
          <w:color w:val="auto"/>
          <w:szCs w:val="21"/>
        </w:rPr>
        <w:t>每件包装箱内应附有相应的装箱单、质量证书、技术文件。</w:t>
      </w:r>
    </w:p>
    <w:p w14:paraId="64AE1D1F">
      <w:pPr>
        <w:tabs>
          <w:tab w:val="left" w:pos="360"/>
          <w:tab w:val="left" w:pos="420"/>
        </w:tabs>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6.4</w:t>
      </w:r>
      <w:r>
        <w:rPr>
          <w:rFonts w:hint="eastAsia" w:ascii="宋体" w:hAnsi="宋体" w:cs="宋体"/>
          <w:color w:val="auto"/>
          <w:szCs w:val="21"/>
        </w:rPr>
        <w:t>卖方应在每一件包装箱外的四面用不可擦除和不易被溶解的油漆或涂料标记出以下明显的英文字样：收货人（买方）、合同号、目的港、货物名称、箱号、货物编号、毛重/净重（用Kg表示），尺寸（长、宽、高用cm表示）。</w:t>
      </w:r>
    </w:p>
    <w:p w14:paraId="429D87DA">
      <w:pPr>
        <w:widowControl/>
        <w:spacing w:line="500" w:lineRule="exact"/>
        <w:ind w:firstLine="420" w:firstLineChars="200"/>
        <w:jc w:val="left"/>
        <w:rPr>
          <w:rFonts w:ascii="宋体" w:hAnsi="宋体" w:cs="宋体"/>
          <w:bCs/>
          <w:color w:val="auto"/>
          <w:szCs w:val="21"/>
        </w:rPr>
      </w:pPr>
      <w:r>
        <w:rPr>
          <w:rFonts w:hint="eastAsia" w:ascii="宋体" w:hAnsi="宋体" w:cs="宋体"/>
          <w:color w:val="auto"/>
          <w:szCs w:val="21"/>
          <w:lang w:val="en-US" w:eastAsia="zh-CN"/>
        </w:rPr>
        <w:t>6.5</w:t>
      </w:r>
      <w:r>
        <w:rPr>
          <w:rFonts w:hint="eastAsia" w:ascii="宋体" w:hAnsi="宋体" w:cs="宋体"/>
          <w:color w:val="auto"/>
          <w:szCs w:val="21"/>
        </w:rPr>
        <w:t>如单件包装的重量在2吨或以上，卖方应在包装箱的四个侧面用英文及国际贸易运输常用的标记图案标明重量及挂绳和重心位置，以便装卸和搬运，根据设备的特点和装卸、运输上的不同要求，在包装箱上应以英文明显的印刷“轻放”“勿倒置”“防雨”等字样及相同的国际贸易运输常用的标记图</w:t>
      </w:r>
    </w:p>
    <w:p w14:paraId="7CE9ED9B">
      <w:pPr>
        <w:spacing w:line="360" w:lineRule="auto"/>
        <w:rPr>
          <w:color w:val="auto"/>
        </w:rPr>
      </w:pPr>
    </w:p>
    <w:p w14:paraId="11609847">
      <w:pPr>
        <w:numPr>
          <w:ilvl w:val="0"/>
          <w:numId w:val="12"/>
        </w:numPr>
        <w:ind w:firstLine="600"/>
        <w:rPr>
          <w:rFonts w:ascii="宋体" w:hAnsi="宋体" w:cs="宋体"/>
          <w:color w:val="auto"/>
          <w:sz w:val="36"/>
          <w:szCs w:val="36"/>
        </w:rPr>
      </w:pPr>
      <w:r>
        <w:rPr>
          <w:rFonts w:hint="eastAsia" w:ascii="宋体" w:hAnsi="宋体" w:cs="宋体"/>
          <w:color w:val="auto"/>
          <w:sz w:val="36"/>
          <w:szCs w:val="36"/>
        </w:rPr>
        <w:br w:type="page"/>
      </w:r>
    </w:p>
    <w:p w14:paraId="26272452">
      <w:pPr>
        <w:pStyle w:val="2"/>
        <w:spacing w:before="156" w:beforeLines="50" w:after="156" w:afterLines="50" w:line="360" w:lineRule="auto"/>
        <w:jc w:val="center"/>
        <w:rPr>
          <w:rFonts w:ascii="宋体" w:hAnsi="宋体" w:cs="宋体"/>
          <w:color w:val="auto"/>
          <w:sz w:val="36"/>
          <w:szCs w:val="36"/>
        </w:rPr>
      </w:pPr>
      <w:r>
        <w:rPr>
          <w:rFonts w:hint="eastAsia" w:ascii="宋体" w:hAnsi="宋体" w:cs="宋体"/>
          <w:color w:val="auto"/>
          <w:sz w:val="36"/>
          <w:szCs w:val="36"/>
        </w:rPr>
        <w:t>第九章   投标文件格式</w:t>
      </w:r>
      <w:bookmarkEnd w:id="722"/>
    </w:p>
    <w:p w14:paraId="0717F7AF">
      <w:pPr>
        <w:adjustRightInd w:val="0"/>
        <w:snapToGrid w:val="0"/>
        <w:spacing w:line="560" w:lineRule="exact"/>
        <w:rPr>
          <w:color w:val="auto"/>
        </w:rPr>
      </w:pPr>
    </w:p>
    <w:p w14:paraId="64E3445D">
      <w:pPr>
        <w:adjustRightInd w:val="0"/>
        <w:snapToGrid w:val="0"/>
        <w:spacing w:line="560" w:lineRule="exact"/>
        <w:rPr>
          <w:color w:val="auto"/>
        </w:rPr>
      </w:pPr>
    </w:p>
    <w:p w14:paraId="01199BEA">
      <w:pPr>
        <w:adjustRightInd w:val="0"/>
        <w:snapToGrid w:val="0"/>
        <w:spacing w:line="560" w:lineRule="exact"/>
        <w:rPr>
          <w:color w:val="auto"/>
        </w:rPr>
      </w:pPr>
    </w:p>
    <w:p w14:paraId="2D629E53">
      <w:pPr>
        <w:adjustRightInd w:val="0"/>
        <w:snapToGrid w:val="0"/>
        <w:spacing w:line="560" w:lineRule="exact"/>
        <w:jc w:val="center"/>
        <w:rPr>
          <w:rFonts w:eastAsia="黑体"/>
          <w:color w:val="auto"/>
          <w:sz w:val="20"/>
          <w:szCs w:val="20"/>
        </w:rPr>
      </w:pPr>
      <w:r>
        <w:rPr>
          <w:rFonts w:hint="eastAsia" w:eastAsia="黑体"/>
          <w:color w:val="auto"/>
          <w:sz w:val="28"/>
          <w:szCs w:val="28"/>
          <w:u w:val="single"/>
        </w:rPr>
        <w:t xml:space="preserve"> </w:t>
      </w:r>
      <w:bookmarkStart w:id="762" w:name="_Toc15058933"/>
      <w:bookmarkStart w:id="763" w:name="_Toc484173788"/>
      <w:bookmarkStart w:id="764" w:name="_Toc506107339"/>
      <w:bookmarkStart w:id="765" w:name="_Toc60061573"/>
      <w:r>
        <w:rPr>
          <w:rFonts w:hint="eastAsia" w:eastAsia="黑体"/>
          <w:color w:val="auto"/>
          <w:sz w:val="28"/>
          <w:szCs w:val="28"/>
          <w:u w:val="single"/>
        </w:rPr>
        <w:t xml:space="preserve">            </w:t>
      </w:r>
      <w:bookmarkEnd w:id="762"/>
      <w:bookmarkEnd w:id="763"/>
      <w:bookmarkEnd w:id="764"/>
      <w:bookmarkEnd w:id="765"/>
      <w:r>
        <w:rPr>
          <w:rFonts w:hint="eastAsia" w:eastAsia="黑体"/>
          <w:color w:val="auto"/>
          <w:sz w:val="28"/>
          <w:szCs w:val="28"/>
          <w:u w:val="single"/>
        </w:rPr>
        <w:t xml:space="preserve">   </w:t>
      </w:r>
      <w:r>
        <w:rPr>
          <w:rFonts w:eastAsia="黑体"/>
          <w:color w:val="auto"/>
          <w:sz w:val="28"/>
          <w:szCs w:val="28"/>
        </w:rPr>
        <w:t>（项目名称</w:t>
      </w:r>
      <w:bookmarkStart w:id="766" w:name="_Toc144974855"/>
      <w:bookmarkStart w:id="767" w:name="_Toc152042575"/>
      <w:bookmarkStart w:id="768" w:name="_Toc246997097"/>
      <w:bookmarkStart w:id="769" w:name="_Toc246996354"/>
      <w:bookmarkStart w:id="770" w:name="_Toc247085872"/>
      <w:bookmarkStart w:id="771" w:name="_Toc152045786"/>
      <w:bookmarkStart w:id="772" w:name="_Toc179632806"/>
      <w:r>
        <w:rPr>
          <w:rFonts w:eastAsia="黑体"/>
          <w:color w:val="auto"/>
          <w:sz w:val="28"/>
          <w:szCs w:val="28"/>
        </w:rPr>
        <w:t>）</w:t>
      </w:r>
      <w:bookmarkStart w:id="773" w:name="_Toc15058934"/>
      <w:bookmarkStart w:id="774" w:name="_Toc324404888"/>
      <w:bookmarkStart w:id="775" w:name="_Toc60061574"/>
      <w:bookmarkStart w:id="776" w:name="_Toc506107340"/>
    </w:p>
    <w:p w14:paraId="38B383B4">
      <w:pPr>
        <w:adjustRightInd w:val="0"/>
        <w:snapToGrid w:val="0"/>
        <w:spacing w:line="560" w:lineRule="exact"/>
        <w:jc w:val="center"/>
        <w:rPr>
          <w:rFonts w:eastAsia="黑体"/>
          <w:color w:val="auto"/>
          <w:sz w:val="20"/>
          <w:szCs w:val="20"/>
        </w:rPr>
      </w:pPr>
    </w:p>
    <w:p w14:paraId="3CE6D57D">
      <w:pPr>
        <w:adjustRightInd w:val="0"/>
        <w:snapToGrid w:val="0"/>
        <w:spacing w:line="560" w:lineRule="exact"/>
        <w:jc w:val="center"/>
        <w:rPr>
          <w:rFonts w:eastAsia="黑体"/>
          <w:color w:val="auto"/>
          <w:sz w:val="20"/>
          <w:szCs w:val="20"/>
        </w:rPr>
      </w:pPr>
    </w:p>
    <w:p w14:paraId="7AFE564D">
      <w:pPr>
        <w:adjustRightInd w:val="0"/>
        <w:snapToGrid w:val="0"/>
        <w:spacing w:line="560" w:lineRule="exact"/>
        <w:jc w:val="center"/>
        <w:rPr>
          <w:rFonts w:eastAsia="黑体"/>
          <w:color w:val="auto"/>
          <w:sz w:val="20"/>
          <w:szCs w:val="20"/>
        </w:rPr>
      </w:pPr>
    </w:p>
    <w:p w14:paraId="42619BCD">
      <w:pPr>
        <w:adjustRightInd w:val="0"/>
        <w:snapToGrid w:val="0"/>
        <w:spacing w:line="560" w:lineRule="exact"/>
        <w:rPr>
          <w:rFonts w:eastAsia="黑体"/>
          <w:color w:val="auto"/>
          <w:sz w:val="20"/>
          <w:szCs w:val="20"/>
        </w:rPr>
      </w:pPr>
    </w:p>
    <w:p w14:paraId="0CEEFB62">
      <w:pPr>
        <w:adjustRightInd w:val="0"/>
        <w:snapToGrid w:val="0"/>
        <w:spacing w:line="560" w:lineRule="exact"/>
        <w:jc w:val="center"/>
        <w:rPr>
          <w:rFonts w:eastAsia="黑体"/>
          <w:color w:val="auto"/>
          <w:sz w:val="44"/>
          <w:szCs w:val="44"/>
        </w:rPr>
      </w:pPr>
      <w:r>
        <w:rPr>
          <w:rFonts w:eastAsia="黑体"/>
          <w:color w:val="auto"/>
          <w:sz w:val="44"/>
          <w:szCs w:val="44"/>
        </w:rPr>
        <w:t>投  标  文</w:t>
      </w:r>
      <w:bookmarkEnd w:id="766"/>
      <w:bookmarkEnd w:id="767"/>
      <w:bookmarkEnd w:id="768"/>
      <w:bookmarkEnd w:id="769"/>
      <w:bookmarkEnd w:id="770"/>
      <w:bookmarkEnd w:id="771"/>
      <w:bookmarkEnd w:id="772"/>
      <w:bookmarkEnd w:id="773"/>
      <w:bookmarkEnd w:id="774"/>
      <w:bookmarkEnd w:id="775"/>
      <w:bookmarkEnd w:id="776"/>
      <w:r>
        <w:rPr>
          <w:rFonts w:eastAsia="黑体"/>
          <w:color w:val="auto"/>
          <w:sz w:val="44"/>
          <w:szCs w:val="44"/>
        </w:rPr>
        <w:t xml:space="preserve">  件</w:t>
      </w:r>
      <w:r>
        <w:rPr>
          <w:rFonts w:hint="eastAsia" w:eastAsia="黑体"/>
          <w:color w:val="auto"/>
          <w:sz w:val="44"/>
          <w:szCs w:val="44"/>
        </w:rPr>
        <w:t xml:space="preserve"> 一</w:t>
      </w:r>
    </w:p>
    <w:p w14:paraId="2895170F">
      <w:pPr>
        <w:adjustRightInd w:val="0"/>
        <w:snapToGrid w:val="0"/>
        <w:spacing w:line="560" w:lineRule="exact"/>
        <w:jc w:val="center"/>
        <w:rPr>
          <w:rFonts w:eastAsia="黑体"/>
          <w:color w:val="auto"/>
          <w:sz w:val="44"/>
          <w:szCs w:val="44"/>
        </w:rPr>
      </w:pPr>
      <w:r>
        <w:rPr>
          <w:rFonts w:hint="eastAsia" w:eastAsia="黑体"/>
          <w:color w:val="auto"/>
          <w:sz w:val="44"/>
          <w:szCs w:val="44"/>
        </w:rPr>
        <w:t>（资信证明文件）</w:t>
      </w:r>
    </w:p>
    <w:p w14:paraId="5F646AF1">
      <w:pPr>
        <w:adjustRightInd w:val="0"/>
        <w:snapToGrid w:val="0"/>
        <w:spacing w:line="560" w:lineRule="exact"/>
        <w:rPr>
          <w:rFonts w:eastAsia="黑体"/>
          <w:color w:val="auto"/>
          <w:sz w:val="28"/>
          <w:szCs w:val="28"/>
        </w:rPr>
      </w:pPr>
    </w:p>
    <w:p w14:paraId="6402C583">
      <w:pPr>
        <w:adjustRightInd w:val="0"/>
        <w:snapToGrid w:val="0"/>
        <w:spacing w:line="560" w:lineRule="exact"/>
        <w:rPr>
          <w:rFonts w:eastAsia="黑体"/>
          <w:color w:val="auto"/>
          <w:sz w:val="28"/>
          <w:szCs w:val="28"/>
        </w:rPr>
      </w:pPr>
    </w:p>
    <w:p w14:paraId="597278D1">
      <w:pPr>
        <w:adjustRightInd w:val="0"/>
        <w:snapToGrid w:val="0"/>
        <w:spacing w:line="560" w:lineRule="exact"/>
        <w:rPr>
          <w:rFonts w:eastAsia="黑体"/>
          <w:color w:val="auto"/>
          <w:sz w:val="28"/>
          <w:szCs w:val="28"/>
        </w:rPr>
      </w:pPr>
    </w:p>
    <w:p w14:paraId="52527FF1">
      <w:pPr>
        <w:adjustRightInd w:val="0"/>
        <w:snapToGrid w:val="0"/>
        <w:spacing w:line="560" w:lineRule="exact"/>
        <w:rPr>
          <w:rFonts w:eastAsia="黑体"/>
          <w:color w:val="auto"/>
          <w:sz w:val="28"/>
          <w:szCs w:val="28"/>
        </w:rPr>
      </w:pPr>
    </w:p>
    <w:p w14:paraId="27DE5965">
      <w:pPr>
        <w:adjustRightInd w:val="0"/>
        <w:snapToGrid w:val="0"/>
        <w:spacing w:line="560" w:lineRule="exact"/>
        <w:rPr>
          <w:rFonts w:eastAsia="黑体"/>
          <w:color w:val="auto"/>
          <w:sz w:val="28"/>
          <w:szCs w:val="28"/>
        </w:rPr>
      </w:pPr>
    </w:p>
    <w:p w14:paraId="13DC4B53">
      <w:pPr>
        <w:adjustRightInd w:val="0"/>
        <w:snapToGrid w:val="0"/>
        <w:spacing w:line="560" w:lineRule="exact"/>
        <w:rPr>
          <w:rFonts w:eastAsia="黑体"/>
          <w:color w:val="auto"/>
          <w:sz w:val="28"/>
          <w:szCs w:val="28"/>
        </w:rPr>
      </w:pPr>
    </w:p>
    <w:p w14:paraId="75038E1D">
      <w:pPr>
        <w:adjustRightInd w:val="0"/>
        <w:snapToGrid w:val="0"/>
        <w:spacing w:line="560" w:lineRule="exact"/>
        <w:rPr>
          <w:rFonts w:eastAsia="黑体"/>
          <w:color w:val="auto"/>
          <w:sz w:val="28"/>
          <w:szCs w:val="28"/>
        </w:rPr>
      </w:pPr>
    </w:p>
    <w:p w14:paraId="20609263">
      <w:pPr>
        <w:adjustRightInd w:val="0"/>
        <w:snapToGrid w:val="0"/>
        <w:spacing w:line="560" w:lineRule="exact"/>
        <w:rPr>
          <w:rFonts w:eastAsia="黑体"/>
          <w:color w:val="auto"/>
          <w:sz w:val="28"/>
          <w:szCs w:val="28"/>
        </w:rPr>
      </w:pPr>
    </w:p>
    <w:p w14:paraId="4AE22744">
      <w:pPr>
        <w:adjustRightInd w:val="0"/>
        <w:snapToGrid w:val="0"/>
        <w:spacing w:line="560" w:lineRule="exact"/>
        <w:jc w:val="center"/>
        <w:rPr>
          <w:rFonts w:eastAsia="黑体"/>
          <w:color w:val="auto"/>
          <w:sz w:val="28"/>
          <w:szCs w:val="28"/>
          <w:u w:val="single"/>
        </w:rPr>
      </w:pPr>
      <w:r>
        <w:rPr>
          <w:rFonts w:eastAsia="黑体"/>
          <w:color w:val="auto"/>
          <w:sz w:val="28"/>
          <w:szCs w:val="28"/>
        </w:rPr>
        <w:t>投标人：</w:t>
      </w:r>
      <w:r>
        <w:rPr>
          <w:rFonts w:eastAsia="黑体"/>
          <w:color w:val="auto"/>
          <w:sz w:val="28"/>
          <w:szCs w:val="28"/>
          <w:u w:val="single"/>
        </w:rPr>
        <w:t xml:space="preserve">                     </w:t>
      </w:r>
      <w:r>
        <w:rPr>
          <w:rFonts w:hint="eastAsia" w:eastAsia="黑体"/>
          <w:color w:val="auto"/>
          <w:sz w:val="28"/>
          <w:szCs w:val="28"/>
          <w:u w:val="single"/>
        </w:rPr>
        <w:t xml:space="preserve">  </w:t>
      </w:r>
      <w:r>
        <w:rPr>
          <w:rFonts w:eastAsia="黑体"/>
          <w:color w:val="auto"/>
          <w:sz w:val="28"/>
          <w:szCs w:val="28"/>
          <w:u w:val="single"/>
        </w:rPr>
        <w:t xml:space="preserve">       </w:t>
      </w:r>
      <w:r>
        <w:rPr>
          <w:rFonts w:eastAsia="黑体"/>
          <w:color w:val="auto"/>
          <w:sz w:val="28"/>
          <w:szCs w:val="28"/>
        </w:rPr>
        <w:t>（</w:t>
      </w:r>
      <w:r>
        <w:rPr>
          <w:rFonts w:hint="eastAsia" w:eastAsia="黑体"/>
          <w:color w:val="auto"/>
          <w:sz w:val="28"/>
          <w:szCs w:val="28"/>
        </w:rPr>
        <w:t>签</w:t>
      </w:r>
      <w:r>
        <w:rPr>
          <w:rFonts w:eastAsia="黑体"/>
          <w:color w:val="auto"/>
          <w:sz w:val="28"/>
          <w:szCs w:val="28"/>
        </w:rPr>
        <w:t>章）</w:t>
      </w:r>
    </w:p>
    <w:p w14:paraId="50C85039">
      <w:pPr>
        <w:adjustRightInd w:val="0"/>
        <w:snapToGrid w:val="0"/>
        <w:spacing w:line="560" w:lineRule="exact"/>
        <w:jc w:val="center"/>
        <w:rPr>
          <w:rFonts w:eastAsia="黑体"/>
          <w:color w:val="auto"/>
          <w:sz w:val="28"/>
          <w:szCs w:val="28"/>
        </w:rPr>
      </w:pPr>
      <w:r>
        <w:rPr>
          <w:rFonts w:eastAsia="黑体"/>
          <w:color w:val="auto"/>
          <w:sz w:val="28"/>
          <w:szCs w:val="28"/>
        </w:rPr>
        <w:t>法定代表人：</w:t>
      </w:r>
      <w:r>
        <w:rPr>
          <w:rFonts w:eastAsia="黑体"/>
          <w:color w:val="auto"/>
          <w:sz w:val="28"/>
          <w:szCs w:val="28"/>
          <w:u w:val="single"/>
        </w:rPr>
        <w:t xml:space="preserve">         </w:t>
      </w:r>
      <w:r>
        <w:rPr>
          <w:rFonts w:hint="eastAsia" w:eastAsia="黑体"/>
          <w:color w:val="auto"/>
          <w:sz w:val="28"/>
          <w:szCs w:val="28"/>
          <w:u w:val="single"/>
        </w:rPr>
        <w:t xml:space="preserve">          </w:t>
      </w:r>
      <w:r>
        <w:rPr>
          <w:rFonts w:eastAsia="黑体"/>
          <w:color w:val="auto"/>
          <w:sz w:val="28"/>
          <w:szCs w:val="28"/>
          <w:u w:val="single"/>
        </w:rPr>
        <w:t xml:space="preserve">      </w:t>
      </w:r>
      <w:r>
        <w:rPr>
          <w:rFonts w:eastAsia="黑体"/>
          <w:color w:val="auto"/>
          <w:sz w:val="28"/>
          <w:szCs w:val="28"/>
        </w:rPr>
        <w:t>（签</w:t>
      </w:r>
      <w:r>
        <w:rPr>
          <w:rFonts w:hint="eastAsia" w:eastAsia="黑体"/>
          <w:color w:val="auto"/>
          <w:sz w:val="28"/>
          <w:szCs w:val="28"/>
        </w:rPr>
        <w:t>章</w:t>
      </w:r>
      <w:r>
        <w:rPr>
          <w:rFonts w:eastAsia="黑体"/>
          <w:color w:val="auto"/>
          <w:sz w:val="28"/>
          <w:szCs w:val="28"/>
        </w:rPr>
        <w:t>）</w:t>
      </w:r>
    </w:p>
    <w:p w14:paraId="1C3E5B78">
      <w:pPr>
        <w:adjustRightInd w:val="0"/>
        <w:snapToGrid w:val="0"/>
        <w:spacing w:line="560" w:lineRule="exact"/>
        <w:jc w:val="center"/>
        <w:rPr>
          <w:rFonts w:eastAsia="黑体"/>
          <w:color w:val="auto"/>
          <w:sz w:val="28"/>
          <w:szCs w:val="28"/>
        </w:r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14:paraId="031F7FC4">
      <w:pPr>
        <w:rPr>
          <w:color w:val="auto"/>
        </w:rPr>
      </w:pPr>
      <w:bookmarkStart w:id="777" w:name="_Toc95223532"/>
      <w:bookmarkStart w:id="778" w:name="_Toc247085892"/>
      <w:bookmarkStart w:id="779" w:name="_Toc152045813"/>
      <w:bookmarkStart w:id="780" w:name="_Toc246996374"/>
      <w:bookmarkStart w:id="781" w:name="_Toc296602622"/>
      <w:bookmarkStart w:id="782" w:name="_Toc179632833"/>
      <w:bookmarkStart w:id="783" w:name="_Toc144974881"/>
      <w:bookmarkStart w:id="784" w:name="_Toc246997117"/>
      <w:bookmarkStart w:id="785" w:name="_Toc152042602"/>
      <w:r>
        <w:rPr>
          <w:rFonts w:hint="eastAsia"/>
          <w:color w:val="auto"/>
        </w:rPr>
        <w:br w:type="page"/>
      </w:r>
    </w:p>
    <w:p w14:paraId="15CF553C">
      <w:pPr>
        <w:pStyle w:val="3"/>
        <w:rPr>
          <w:color w:val="auto"/>
        </w:rPr>
      </w:pPr>
      <w:r>
        <w:rPr>
          <w:rFonts w:hint="eastAsia"/>
          <w:color w:val="auto"/>
        </w:rPr>
        <w:t>投标文件一：资信证明文件目录</w:t>
      </w:r>
      <w:bookmarkEnd w:id="777"/>
    </w:p>
    <w:p w14:paraId="28E64588">
      <w:pPr>
        <w:adjustRightInd w:val="0"/>
        <w:snapToGrid w:val="0"/>
        <w:spacing w:line="560" w:lineRule="exact"/>
        <w:ind w:firstLine="420" w:firstLineChars="200"/>
        <w:rPr>
          <w:rFonts w:ascii="宋体" w:hAnsi="宋体" w:cs="宋体"/>
          <w:color w:val="auto"/>
        </w:rPr>
      </w:pPr>
      <w:r>
        <w:rPr>
          <w:rFonts w:hint="eastAsia" w:ascii="宋体" w:hAnsi="宋体" w:cs="宋体"/>
          <w:color w:val="auto"/>
        </w:rPr>
        <w:t>（1）投标人基本情况表</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若为联合体投标，均须提供）</w:t>
      </w:r>
      <w:r>
        <w:rPr>
          <w:rFonts w:hint="eastAsia" w:ascii="宋体" w:hAnsi="宋体" w:cs="宋体"/>
          <w:color w:val="auto"/>
        </w:rPr>
        <w:t>；</w:t>
      </w:r>
    </w:p>
    <w:p w14:paraId="081C2AF6">
      <w:pPr>
        <w:adjustRightInd w:val="0"/>
        <w:snapToGrid w:val="0"/>
        <w:spacing w:line="560" w:lineRule="exact"/>
        <w:ind w:firstLine="420" w:firstLineChars="200"/>
        <w:rPr>
          <w:rFonts w:ascii="宋体" w:hAnsi="宋体" w:cs="宋体"/>
          <w:color w:val="auto"/>
        </w:rPr>
      </w:pPr>
      <w:r>
        <w:rPr>
          <w:rFonts w:hint="eastAsia" w:ascii="宋体" w:hAnsi="宋体" w:cs="宋体"/>
          <w:color w:val="auto"/>
        </w:rPr>
        <w:t>（2）近年财务状况表（本项目不采用）；</w:t>
      </w:r>
    </w:p>
    <w:p w14:paraId="371CD422">
      <w:pPr>
        <w:adjustRightInd w:val="0"/>
        <w:snapToGrid w:val="0"/>
        <w:spacing w:line="560" w:lineRule="exact"/>
        <w:ind w:firstLine="420" w:firstLineChars="200"/>
        <w:rPr>
          <w:rFonts w:ascii="宋体" w:hAnsi="宋体" w:cs="宋体"/>
          <w:color w:val="auto"/>
        </w:rPr>
      </w:pPr>
      <w:r>
        <w:rPr>
          <w:rFonts w:hint="eastAsia" w:ascii="宋体" w:hAnsi="宋体" w:cs="宋体"/>
          <w:color w:val="auto"/>
        </w:rPr>
        <w:t>（3）近年完成的类似项目情况表（本项目不采用）；</w:t>
      </w:r>
    </w:p>
    <w:p w14:paraId="47B58768">
      <w:pPr>
        <w:adjustRightInd w:val="0"/>
        <w:snapToGrid w:val="0"/>
        <w:spacing w:line="560" w:lineRule="exact"/>
        <w:ind w:firstLine="420" w:firstLineChars="200"/>
        <w:rPr>
          <w:rFonts w:ascii="宋体" w:hAnsi="宋体" w:cs="宋体"/>
          <w:color w:val="auto"/>
        </w:rPr>
      </w:pPr>
      <w:r>
        <w:rPr>
          <w:rFonts w:hint="eastAsia" w:ascii="宋体" w:hAnsi="宋体" w:cs="宋体"/>
          <w:color w:val="auto"/>
        </w:rPr>
        <w:t>（4）正在实施的和新承接的项目情况表（本项目不采用）；</w:t>
      </w:r>
    </w:p>
    <w:p w14:paraId="3C8F82C8">
      <w:pPr>
        <w:adjustRightInd w:val="0"/>
        <w:snapToGrid w:val="0"/>
        <w:spacing w:line="560" w:lineRule="exact"/>
        <w:ind w:firstLine="420" w:firstLineChars="200"/>
        <w:rPr>
          <w:rFonts w:ascii="宋体" w:hAnsi="宋体" w:cs="宋体"/>
          <w:color w:val="auto"/>
        </w:rPr>
      </w:pPr>
      <w:r>
        <w:rPr>
          <w:rFonts w:hint="eastAsia" w:ascii="宋体" w:hAnsi="宋体" w:cs="宋体"/>
          <w:color w:val="auto"/>
        </w:rPr>
        <w:t>（5）联合体协议书（</w:t>
      </w:r>
      <w:r>
        <w:rPr>
          <w:rFonts w:hint="eastAsia" w:ascii="宋体" w:hAnsi="宋体" w:cs="宋体"/>
          <w:color w:val="auto"/>
          <w:szCs w:val="21"/>
        </w:rPr>
        <w:t>如有</w:t>
      </w:r>
      <w:r>
        <w:rPr>
          <w:rFonts w:hint="eastAsia" w:ascii="宋体" w:hAnsi="宋体" w:cs="宋体"/>
          <w:color w:val="auto"/>
        </w:rPr>
        <w:t>）；</w:t>
      </w:r>
    </w:p>
    <w:p w14:paraId="19733E92">
      <w:pPr>
        <w:adjustRightInd w:val="0"/>
        <w:snapToGrid w:val="0"/>
        <w:spacing w:line="560" w:lineRule="exact"/>
        <w:ind w:firstLine="420" w:firstLineChars="200"/>
        <w:rPr>
          <w:rFonts w:ascii="宋体" w:hAnsi="宋体" w:cs="宋体"/>
          <w:color w:val="auto"/>
        </w:rPr>
      </w:pPr>
      <w:r>
        <w:rPr>
          <w:rFonts w:hint="eastAsia" w:ascii="宋体" w:hAnsi="宋体" w:cs="宋体"/>
          <w:color w:val="auto"/>
        </w:rPr>
        <w:t>（6）</w:t>
      </w:r>
      <w:r>
        <w:rPr>
          <w:rFonts w:ascii="宋体" w:hAnsi="宋体" w:cs="宋体"/>
          <w:color w:val="auto"/>
        </w:rPr>
        <w:t>项目管理机构</w:t>
      </w:r>
      <w:r>
        <w:rPr>
          <w:rFonts w:hint="eastAsia" w:ascii="宋体" w:hAnsi="宋体" w:cs="宋体"/>
          <w:color w:val="auto"/>
        </w:rPr>
        <w:t>；</w:t>
      </w:r>
    </w:p>
    <w:p w14:paraId="3C5B3E42">
      <w:pPr>
        <w:adjustRightInd w:val="0"/>
        <w:snapToGrid w:val="0"/>
        <w:spacing w:line="560" w:lineRule="exact"/>
        <w:ind w:firstLine="420" w:firstLineChars="200"/>
        <w:rPr>
          <w:rFonts w:ascii="宋体" w:hAnsi="宋体" w:cs="宋体"/>
          <w:color w:val="auto"/>
        </w:rPr>
      </w:pPr>
      <w:r>
        <w:rPr>
          <w:rFonts w:hint="eastAsia" w:ascii="宋体" w:hAnsi="宋体" w:cs="宋体"/>
          <w:color w:val="auto"/>
        </w:rPr>
        <w:t>（7）其他资格审查资料（由以下材料</w:t>
      </w:r>
      <w:r>
        <w:rPr>
          <w:rFonts w:hint="eastAsia" w:ascii="宋体" w:hAnsi="宋体" w:cs="宋体"/>
          <w:color w:val="auto"/>
          <w:szCs w:val="21"/>
        </w:rPr>
        <w:t>组成</w:t>
      </w:r>
      <w:r>
        <w:rPr>
          <w:rFonts w:hint="eastAsia" w:ascii="宋体" w:hAnsi="宋体" w:cs="宋体"/>
          <w:color w:val="auto"/>
        </w:rPr>
        <w:t>）：</w:t>
      </w:r>
    </w:p>
    <w:p w14:paraId="224D39D3">
      <w:pPr>
        <w:adjustRightInd w:val="0"/>
        <w:snapToGrid w:val="0"/>
        <w:spacing w:line="520" w:lineRule="exact"/>
        <w:ind w:firstLine="840" w:firstLineChars="400"/>
        <w:rPr>
          <w:rFonts w:ascii="宋体" w:hAnsi="宋体" w:cs="宋体"/>
          <w:color w:val="auto"/>
          <w:szCs w:val="21"/>
        </w:rPr>
      </w:pPr>
      <w:r>
        <w:rPr>
          <w:rFonts w:hint="eastAsia" w:ascii="宋体" w:hAnsi="宋体" w:cs="宋体"/>
          <w:color w:val="auto"/>
          <w:szCs w:val="21"/>
        </w:rPr>
        <w:t>1）法定代表人身份证明和本人有效身份证(或法定代表人授权委托书和委托代理人有效身份证)；</w:t>
      </w:r>
    </w:p>
    <w:p w14:paraId="0658EAC2">
      <w:pPr>
        <w:adjustRightInd w:val="0"/>
        <w:snapToGrid w:val="0"/>
        <w:spacing w:line="520" w:lineRule="exact"/>
        <w:ind w:firstLine="840" w:firstLineChars="400"/>
        <w:rPr>
          <w:rFonts w:ascii="宋体" w:hAnsi="宋体" w:cs="宋体"/>
          <w:color w:val="auto"/>
          <w:szCs w:val="21"/>
        </w:rPr>
      </w:pPr>
      <w:r>
        <w:rPr>
          <w:rFonts w:hint="eastAsia" w:ascii="宋体" w:hAnsi="宋体" w:cs="宋体"/>
          <w:color w:val="auto"/>
          <w:szCs w:val="21"/>
        </w:rPr>
        <w:t>2）诚信投标承诺书（或《公共信用信息报告（无违法违规证明版或核查版）》）</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若为联合体投标，均须提供）</w:t>
      </w:r>
      <w:r>
        <w:rPr>
          <w:rFonts w:hint="eastAsia" w:ascii="宋体" w:hAnsi="宋体" w:cs="宋体"/>
          <w:color w:val="auto"/>
          <w:szCs w:val="21"/>
        </w:rPr>
        <w:t>；</w:t>
      </w:r>
    </w:p>
    <w:p w14:paraId="2647B5AF">
      <w:pPr>
        <w:adjustRightInd w:val="0"/>
        <w:snapToGrid w:val="0"/>
        <w:spacing w:line="520" w:lineRule="exact"/>
        <w:ind w:firstLine="840" w:firstLineChars="400"/>
        <w:rPr>
          <w:rFonts w:ascii="宋体" w:hAnsi="宋体" w:cs="宋体"/>
          <w:color w:val="auto"/>
          <w:szCs w:val="21"/>
        </w:rPr>
      </w:pPr>
      <w:r>
        <w:rPr>
          <w:rFonts w:hint="eastAsia" w:ascii="宋体" w:hAnsi="宋体" w:cs="宋体"/>
          <w:color w:val="auto"/>
          <w:szCs w:val="21"/>
        </w:rPr>
        <w:t>3）企业法人营业执照</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若为联合体投标，均须提供）</w:t>
      </w:r>
      <w:r>
        <w:rPr>
          <w:rFonts w:hint="eastAsia" w:ascii="宋体" w:hAnsi="宋体" w:cs="宋体"/>
          <w:color w:val="auto"/>
          <w:szCs w:val="21"/>
        </w:rPr>
        <w:t>；</w:t>
      </w:r>
    </w:p>
    <w:p w14:paraId="5BDED44D">
      <w:pPr>
        <w:adjustRightInd w:val="0"/>
        <w:snapToGrid w:val="0"/>
        <w:spacing w:line="520" w:lineRule="exact"/>
        <w:ind w:firstLine="840" w:firstLineChars="400"/>
        <w:rPr>
          <w:rFonts w:ascii="宋体" w:hAnsi="宋体" w:cs="宋体"/>
          <w:color w:val="auto"/>
          <w:szCs w:val="21"/>
        </w:rPr>
      </w:pPr>
      <w:r>
        <w:rPr>
          <w:rFonts w:hint="eastAsia" w:ascii="宋体" w:hAnsi="宋体" w:cs="宋体"/>
          <w:color w:val="auto"/>
          <w:szCs w:val="21"/>
        </w:rPr>
        <w:t>4）企业资质证书</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若为联合体投标，设计方及施工方均须提供）</w:t>
      </w:r>
      <w:r>
        <w:rPr>
          <w:rFonts w:hint="eastAsia" w:ascii="宋体" w:hAnsi="宋体" w:cs="宋体"/>
          <w:color w:val="auto"/>
          <w:szCs w:val="21"/>
        </w:rPr>
        <w:t>；</w:t>
      </w:r>
    </w:p>
    <w:p w14:paraId="064AEC64">
      <w:pPr>
        <w:adjustRightInd w:val="0"/>
        <w:snapToGrid w:val="0"/>
        <w:spacing w:line="520" w:lineRule="exact"/>
        <w:ind w:firstLine="840" w:firstLineChars="400"/>
        <w:rPr>
          <w:rFonts w:ascii="宋体" w:hAnsi="宋体" w:cs="宋体"/>
          <w:color w:val="auto"/>
          <w:szCs w:val="21"/>
        </w:rPr>
      </w:pPr>
      <w:r>
        <w:rPr>
          <w:rFonts w:hint="eastAsia" w:ascii="宋体" w:hAnsi="宋体" w:cs="宋体"/>
          <w:color w:val="auto"/>
          <w:szCs w:val="21"/>
        </w:rPr>
        <w:t>5）企业安全生产许可证</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若为联合体投标，施工方须提供）</w:t>
      </w:r>
      <w:r>
        <w:rPr>
          <w:rFonts w:hint="eastAsia" w:ascii="宋体" w:hAnsi="宋体" w:cs="宋体"/>
          <w:color w:val="auto"/>
          <w:szCs w:val="21"/>
        </w:rPr>
        <w:t>；</w:t>
      </w:r>
    </w:p>
    <w:p w14:paraId="1D4BA75B">
      <w:pPr>
        <w:adjustRightInd w:val="0"/>
        <w:snapToGrid w:val="0"/>
        <w:spacing w:line="520" w:lineRule="exact"/>
        <w:ind w:firstLine="840" w:firstLineChars="400"/>
        <w:rPr>
          <w:rFonts w:ascii="宋体" w:hAnsi="宋体" w:cs="宋体"/>
          <w:color w:val="auto"/>
          <w:szCs w:val="21"/>
        </w:rPr>
      </w:pPr>
      <w:r>
        <w:rPr>
          <w:rFonts w:hint="eastAsia" w:ascii="宋体" w:hAnsi="宋体" w:cs="宋体"/>
          <w:color w:val="auto"/>
          <w:szCs w:val="21"/>
        </w:rPr>
        <w:t>6）项目经理（建造师）有效身份证、注册证书以及安全生产考核合格证书（B证）；</w:t>
      </w:r>
    </w:p>
    <w:p w14:paraId="424F17FE">
      <w:pPr>
        <w:widowControl/>
        <w:adjustRightInd w:val="0"/>
        <w:snapToGrid w:val="0"/>
        <w:spacing w:line="520" w:lineRule="exact"/>
        <w:ind w:firstLine="840" w:firstLineChars="400"/>
        <w:jc w:val="left"/>
        <w:rPr>
          <w:rFonts w:ascii="宋体" w:hAnsi="宋体" w:cs="宋体"/>
          <w:color w:val="auto"/>
          <w:szCs w:val="21"/>
        </w:rPr>
      </w:pPr>
      <w:r>
        <w:rPr>
          <w:rFonts w:hint="eastAsia" w:ascii="宋体" w:hAnsi="宋体" w:cs="宋体"/>
          <w:color w:val="auto"/>
          <w:szCs w:val="21"/>
        </w:rPr>
        <w:t>7）设计负责人有效身份证、注册证书及职称证书；</w:t>
      </w:r>
    </w:p>
    <w:p w14:paraId="1BA5F4AC">
      <w:pPr>
        <w:widowControl/>
        <w:adjustRightInd w:val="0"/>
        <w:snapToGrid w:val="0"/>
        <w:spacing w:line="520" w:lineRule="exact"/>
        <w:ind w:firstLine="840" w:firstLineChars="400"/>
        <w:jc w:val="left"/>
        <w:rPr>
          <w:rFonts w:ascii="宋体" w:hAnsi="宋体" w:cs="宋体"/>
          <w:color w:val="auto"/>
          <w:szCs w:val="21"/>
        </w:rPr>
      </w:pPr>
      <w:r>
        <w:rPr>
          <w:rFonts w:hint="eastAsia" w:ascii="宋体" w:hAnsi="宋体" w:cs="宋体"/>
          <w:color w:val="auto"/>
          <w:szCs w:val="21"/>
        </w:rPr>
        <w:t>8）投标人的法定代表人(或委托代理人)、拟任项目经理（建造师）及设计负责人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14:paraId="3D8D8E16">
      <w:pPr>
        <w:adjustRightInd w:val="0"/>
        <w:snapToGrid w:val="0"/>
        <w:spacing w:line="560" w:lineRule="exact"/>
        <w:ind w:firstLine="840" w:firstLineChars="400"/>
        <w:rPr>
          <w:rFonts w:ascii="宋体" w:hAnsi="宋体" w:cs="宋体"/>
          <w:color w:val="auto"/>
        </w:rPr>
      </w:pPr>
      <w:r>
        <w:rPr>
          <w:rFonts w:hint="eastAsia" w:ascii="宋体" w:hAnsi="宋体" w:cs="宋体"/>
          <w:color w:val="auto"/>
          <w:lang w:val="en-US" w:eastAsia="zh-CN"/>
        </w:rPr>
        <w:t>9</w:t>
      </w:r>
      <w:r>
        <w:rPr>
          <w:rFonts w:hint="eastAsia" w:ascii="宋体" w:hAnsi="宋体" w:cs="宋体"/>
          <w:color w:val="auto"/>
        </w:rPr>
        <w:t>）资信评审业绩、得分业绩等证明和投标人认为需要的其它证明材料。</w:t>
      </w:r>
    </w:p>
    <w:p w14:paraId="78F3DD22">
      <w:pPr>
        <w:adjustRightInd w:val="0"/>
        <w:snapToGrid w:val="0"/>
        <w:spacing w:line="560" w:lineRule="exact"/>
        <w:rPr>
          <w:rFonts w:eastAsia="黑体"/>
          <w:color w:val="auto"/>
          <w:sz w:val="20"/>
          <w:szCs w:val="20"/>
        </w:rPr>
      </w:pPr>
    </w:p>
    <w:p w14:paraId="543BF2C5">
      <w:pPr>
        <w:adjustRightInd w:val="0"/>
        <w:snapToGrid w:val="0"/>
        <w:spacing w:line="560" w:lineRule="exact"/>
        <w:rPr>
          <w:color w:val="auto"/>
        </w:rPr>
      </w:pPr>
    </w:p>
    <w:p w14:paraId="08876067">
      <w:pPr>
        <w:adjustRightInd w:val="0"/>
        <w:snapToGrid w:val="0"/>
        <w:spacing w:line="560" w:lineRule="exact"/>
        <w:rPr>
          <w:b/>
          <w:color w:val="auto"/>
          <w:sz w:val="28"/>
          <w:szCs w:val="28"/>
        </w:rPr>
      </w:pPr>
    </w:p>
    <w:p w14:paraId="605EFF1E">
      <w:pPr>
        <w:pStyle w:val="4"/>
        <w:pageBreakBefore/>
        <w:adjustRightInd w:val="0"/>
        <w:snapToGrid w:val="0"/>
        <w:spacing w:line="560" w:lineRule="exact"/>
        <w:jc w:val="center"/>
        <w:rPr>
          <w:color w:val="auto"/>
        </w:rPr>
      </w:pPr>
      <w:bookmarkStart w:id="786" w:name="_Toc95223533"/>
      <w:r>
        <w:rPr>
          <w:color w:val="auto"/>
        </w:rPr>
        <w:t>（</w:t>
      </w:r>
      <w:r>
        <w:rPr>
          <w:rFonts w:hint="eastAsia"/>
          <w:color w:val="auto"/>
        </w:rPr>
        <w:t>1</w:t>
      </w:r>
      <w:r>
        <w:rPr>
          <w:color w:val="auto"/>
        </w:rPr>
        <w:t>）投标人基本情况表</w:t>
      </w:r>
      <w:bookmarkEnd w:id="786"/>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3"/>
        <w:gridCol w:w="1036"/>
        <w:gridCol w:w="1096"/>
        <w:gridCol w:w="969"/>
        <w:gridCol w:w="484"/>
        <w:gridCol w:w="359"/>
        <w:gridCol w:w="1243"/>
        <w:gridCol w:w="565"/>
        <w:gridCol w:w="991"/>
        <w:gridCol w:w="1144"/>
      </w:tblGrid>
      <w:tr w14:paraId="6F418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23821ED4">
            <w:pPr>
              <w:topLinePunct/>
              <w:adjustRightInd w:val="0"/>
              <w:snapToGrid w:val="0"/>
              <w:spacing w:line="560" w:lineRule="exact"/>
              <w:jc w:val="center"/>
              <w:rPr>
                <w:color w:val="auto"/>
                <w:szCs w:val="21"/>
              </w:rPr>
            </w:pPr>
            <w:r>
              <w:rPr>
                <w:color w:val="auto"/>
                <w:szCs w:val="21"/>
              </w:rPr>
              <w:t>投标人名称</w:t>
            </w:r>
          </w:p>
        </w:tc>
        <w:tc>
          <w:tcPr>
            <w:tcW w:w="7887" w:type="dxa"/>
            <w:gridSpan w:val="9"/>
            <w:tcBorders>
              <w:top w:val="single" w:color="auto" w:sz="4" w:space="0"/>
              <w:left w:val="single" w:color="auto" w:sz="4" w:space="0"/>
              <w:bottom w:val="single" w:color="auto" w:sz="4" w:space="0"/>
              <w:right w:val="single" w:color="auto" w:sz="4" w:space="0"/>
            </w:tcBorders>
            <w:vAlign w:val="center"/>
          </w:tcPr>
          <w:p w14:paraId="37FD4EE4">
            <w:pPr>
              <w:topLinePunct/>
              <w:adjustRightInd w:val="0"/>
              <w:snapToGrid w:val="0"/>
              <w:spacing w:line="560" w:lineRule="exact"/>
              <w:jc w:val="center"/>
              <w:rPr>
                <w:color w:val="auto"/>
                <w:szCs w:val="21"/>
              </w:rPr>
            </w:pPr>
          </w:p>
        </w:tc>
      </w:tr>
      <w:tr w14:paraId="70CCE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3A403B05">
            <w:pPr>
              <w:topLinePunct/>
              <w:adjustRightInd w:val="0"/>
              <w:snapToGrid w:val="0"/>
              <w:spacing w:line="560" w:lineRule="exact"/>
              <w:jc w:val="center"/>
              <w:rPr>
                <w:color w:val="auto"/>
                <w:szCs w:val="21"/>
              </w:rPr>
            </w:pPr>
            <w:r>
              <w:rPr>
                <w:color w:val="auto"/>
                <w:szCs w:val="21"/>
              </w:rPr>
              <w:t>注册地址</w:t>
            </w:r>
          </w:p>
        </w:tc>
        <w:tc>
          <w:tcPr>
            <w:tcW w:w="3944" w:type="dxa"/>
            <w:gridSpan w:val="5"/>
            <w:tcBorders>
              <w:top w:val="single" w:color="auto" w:sz="4" w:space="0"/>
              <w:left w:val="single" w:color="auto" w:sz="4" w:space="0"/>
              <w:bottom w:val="single" w:color="auto" w:sz="4" w:space="0"/>
              <w:right w:val="single" w:color="auto" w:sz="4" w:space="0"/>
            </w:tcBorders>
            <w:vAlign w:val="center"/>
          </w:tcPr>
          <w:p w14:paraId="12995027">
            <w:pPr>
              <w:topLinePunct/>
              <w:adjustRightInd w:val="0"/>
              <w:snapToGrid w:val="0"/>
              <w:spacing w:line="560" w:lineRule="exact"/>
              <w:jc w:val="center"/>
              <w:rPr>
                <w:color w:val="auto"/>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599D881A">
            <w:pPr>
              <w:topLinePunct/>
              <w:adjustRightInd w:val="0"/>
              <w:snapToGrid w:val="0"/>
              <w:spacing w:line="560" w:lineRule="exact"/>
              <w:jc w:val="center"/>
              <w:rPr>
                <w:color w:val="auto"/>
                <w:szCs w:val="21"/>
              </w:rPr>
            </w:pPr>
            <w:r>
              <w:rPr>
                <w:color w:val="auto"/>
                <w:szCs w:val="21"/>
              </w:rPr>
              <w:t>邮政编码</w:t>
            </w:r>
          </w:p>
        </w:tc>
        <w:tc>
          <w:tcPr>
            <w:tcW w:w="2700" w:type="dxa"/>
            <w:gridSpan w:val="3"/>
            <w:tcBorders>
              <w:top w:val="single" w:color="auto" w:sz="4" w:space="0"/>
              <w:left w:val="single" w:color="auto" w:sz="4" w:space="0"/>
              <w:bottom w:val="single" w:color="auto" w:sz="4" w:space="0"/>
              <w:right w:val="single" w:color="auto" w:sz="4" w:space="0"/>
            </w:tcBorders>
            <w:vAlign w:val="center"/>
          </w:tcPr>
          <w:p w14:paraId="5EAFEC9D">
            <w:pPr>
              <w:topLinePunct/>
              <w:adjustRightInd w:val="0"/>
              <w:snapToGrid w:val="0"/>
              <w:spacing w:line="560" w:lineRule="exact"/>
              <w:jc w:val="center"/>
              <w:rPr>
                <w:color w:val="auto"/>
                <w:szCs w:val="21"/>
              </w:rPr>
            </w:pPr>
          </w:p>
        </w:tc>
        <w:bookmarkStart w:id="787" w:name="_Toc144974876"/>
        <w:bookmarkStart w:id="788" w:name="_Toc247085891"/>
        <w:bookmarkStart w:id="789" w:name="_Toc324404889"/>
        <w:bookmarkStart w:id="790" w:name="_Toc296602618"/>
        <w:bookmarkStart w:id="791" w:name="_Toc246996373"/>
        <w:bookmarkStart w:id="792" w:name="_Toc152042597"/>
        <w:bookmarkStart w:id="793" w:name="_Toc179632828"/>
        <w:bookmarkStart w:id="794" w:name="_Toc152045808"/>
        <w:bookmarkStart w:id="795" w:name="_Toc246997116"/>
      </w:tr>
      <w:tr w14:paraId="640E5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8" w:hRule="atLeast"/>
          <w:jc w:val="center"/>
        </w:trPr>
        <w:tc>
          <w:tcPr>
            <w:tcW w:w="1993" w:type="dxa"/>
            <w:vMerge w:val="restart"/>
            <w:tcBorders>
              <w:top w:val="single" w:color="auto" w:sz="4" w:space="0"/>
              <w:left w:val="single" w:color="auto" w:sz="4" w:space="0"/>
              <w:bottom w:val="single" w:color="auto" w:sz="4" w:space="0"/>
              <w:right w:val="single" w:color="auto" w:sz="4" w:space="0"/>
            </w:tcBorders>
            <w:vAlign w:val="center"/>
          </w:tcPr>
          <w:p w14:paraId="696F5E22">
            <w:pPr>
              <w:topLinePunct/>
              <w:adjustRightInd w:val="0"/>
              <w:snapToGrid w:val="0"/>
              <w:spacing w:line="560" w:lineRule="exact"/>
              <w:jc w:val="center"/>
              <w:rPr>
                <w:color w:val="auto"/>
                <w:szCs w:val="21"/>
              </w:rPr>
            </w:pPr>
            <w:r>
              <w:rPr>
                <w:color w:val="auto"/>
                <w:szCs w:val="21"/>
              </w:rPr>
              <w:t>联系方式</w:t>
            </w:r>
            <w:bookmarkStart w:id="796" w:name="_Toc16718"/>
          </w:p>
        </w:tc>
        <w:tc>
          <w:tcPr>
            <w:tcW w:w="1036" w:type="dxa"/>
            <w:tcBorders>
              <w:top w:val="single" w:color="auto" w:sz="4" w:space="0"/>
              <w:left w:val="single" w:color="auto" w:sz="4" w:space="0"/>
              <w:bottom w:val="single" w:color="auto" w:sz="4" w:space="0"/>
              <w:right w:val="single" w:color="auto" w:sz="4" w:space="0"/>
            </w:tcBorders>
            <w:vAlign w:val="center"/>
          </w:tcPr>
          <w:p w14:paraId="7744AFF1">
            <w:pPr>
              <w:topLinePunct/>
              <w:adjustRightInd w:val="0"/>
              <w:snapToGrid w:val="0"/>
              <w:spacing w:line="560" w:lineRule="exact"/>
              <w:jc w:val="center"/>
              <w:rPr>
                <w:color w:val="auto"/>
                <w:szCs w:val="21"/>
              </w:rPr>
            </w:pPr>
            <w:bookmarkStart w:id="797" w:name="_Toc58229116"/>
            <w:bookmarkStart w:id="798" w:name="_Toc60061575"/>
            <w:bookmarkStart w:id="799" w:name="_Toc15058935"/>
            <w:bookmarkStart w:id="800" w:name="_Toc506107341"/>
            <w:r>
              <w:rPr>
                <w:color w:val="auto"/>
                <w:szCs w:val="21"/>
              </w:rPr>
              <w:t>联系人</w:t>
            </w:r>
          </w:p>
        </w:tc>
        <w:tc>
          <w:tcPr>
            <w:tcW w:w="2908" w:type="dxa"/>
            <w:gridSpan w:val="4"/>
            <w:tcBorders>
              <w:top w:val="single" w:color="auto" w:sz="4" w:space="0"/>
              <w:left w:val="single" w:color="auto" w:sz="4" w:space="0"/>
              <w:bottom w:val="single" w:color="auto" w:sz="4" w:space="0"/>
              <w:right w:val="single" w:color="auto" w:sz="4" w:space="0"/>
            </w:tcBorders>
            <w:vAlign w:val="center"/>
          </w:tcPr>
          <w:p w14:paraId="4E923384">
            <w:pPr>
              <w:topLinePunct/>
              <w:adjustRightInd w:val="0"/>
              <w:snapToGrid w:val="0"/>
              <w:spacing w:line="560" w:lineRule="exact"/>
              <w:jc w:val="center"/>
              <w:rPr>
                <w:color w:val="auto"/>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652DCF29">
            <w:pPr>
              <w:topLinePunct/>
              <w:adjustRightInd w:val="0"/>
              <w:snapToGrid w:val="0"/>
              <w:spacing w:line="560" w:lineRule="exact"/>
              <w:jc w:val="center"/>
              <w:rPr>
                <w:color w:val="auto"/>
                <w:szCs w:val="21"/>
              </w:rPr>
            </w:pPr>
            <w:r>
              <w:rPr>
                <w:color w:val="auto"/>
                <w:szCs w:val="21"/>
              </w:rPr>
              <w:t>电 话</w:t>
            </w:r>
          </w:p>
        </w:tc>
        <w:tc>
          <w:tcPr>
            <w:tcW w:w="2700" w:type="dxa"/>
            <w:gridSpan w:val="3"/>
            <w:tcBorders>
              <w:top w:val="single" w:color="auto" w:sz="4" w:space="0"/>
              <w:left w:val="single" w:color="auto" w:sz="4" w:space="0"/>
              <w:bottom w:val="single" w:color="auto" w:sz="4" w:space="0"/>
              <w:right w:val="single" w:color="auto" w:sz="4" w:space="0"/>
            </w:tcBorders>
            <w:vAlign w:val="center"/>
          </w:tcPr>
          <w:p w14:paraId="1C496D7C">
            <w:pPr>
              <w:topLinePunct/>
              <w:adjustRightInd w:val="0"/>
              <w:snapToGrid w:val="0"/>
              <w:spacing w:line="560" w:lineRule="exact"/>
              <w:jc w:val="center"/>
              <w:rPr>
                <w:color w:val="auto"/>
                <w:szCs w:val="21"/>
              </w:rPr>
            </w:pPr>
          </w:p>
        </w:tc>
      </w:t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tr w14:paraId="38E20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7" w:hRule="atLeast"/>
          <w:jc w:val="center"/>
        </w:trPr>
        <w:tc>
          <w:tcPr>
            <w:tcW w:w="1993" w:type="dxa"/>
            <w:vMerge w:val="continue"/>
            <w:tcBorders>
              <w:top w:val="single" w:color="auto" w:sz="4" w:space="0"/>
              <w:left w:val="single" w:color="auto" w:sz="4" w:space="0"/>
              <w:bottom w:val="single" w:color="auto" w:sz="4" w:space="0"/>
              <w:right w:val="single" w:color="auto" w:sz="4" w:space="0"/>
            </w:tcBorders>
            <w:vAlign w:val="center"/>
          </w:tcPr>
          <w:p w14:paraId="48A3CDC2">
            <w:pPr>
              <w:topLinePunct/>
              <w:adjustRightInd w:val="0"/>
              <w:snapToGrid w:val="0"/>
              <w:spacing w:line="560" w:lineRule="exact"/>
              <w:jc w:val="center"/>
              <w:rPr>
                <w:color w:val="auto"/>
                <w:szCs w:val="21"/>
              </w:rPr>
            </w:pPr>
          </w:p>
        </w:tc>
        <w:tc>
          <w:tcPr>
            <w:tcW w:w="1036" w:type="dxa"/>
            <w:tcBorders>
              <w:top w:val="single" w:color="auto" w:sz="4" w:space="0"/>
              <w:left w:val="single" w:color="auto" w:sz="4" w:space="0"/>
              <w:bottom w:val="single" w:color="auto" w:sz="4" w:space="0"/>
              <w:right w:val="single" w:color="auto" w:sz="4" w:space="0"/>
            </w:tcBorders>
            <w:vAlign w:val="center"/>
          </w:tcPr>
          <w:p w14:paraId="5E6F9136">
            <w:pPr>
              <w:topLinePunct/>
              <w:adjustRightInd w:val="0"/>
              <w:snapToGrid w:val="0"/>
              <w:spacing w:line="560" w:lineRule="exact"/>
              <w:jc w:val="center"/>
              <w:rPr>
                <w:color w:val="auto"/>
                <w:szCs w:val="21"/>
              </w:rPr>
            </w:pPr>
            <w:r>
              <w:rPr>
                <w:color w:val="auto"/>
                <w:szCs w:val="21"/>
              </w:rPr>
              <w:t>传  真</w:t>
            </w:r>
          </w:p>
        </w:tc>
        <w:tc>
          <w:tcPr>
            <w:tcW w:w="2908" w:type="dxa"/>
            <w:gridSpan w:val="4"/>
            <w:tcBorders>
              <w:top w:val="single" w:color="auto" w:sz="4" w:space="0"/>
              <w:left w:val="single" w:color="auto" w:sz="4" w:space="0"/>
              <w:bottom w:val="single" w:color="auto" w:sz="4" w:space="0"/>
              <w:right w:val="single" w:color="auto" w:sz="4" w:space="0"/>
            </w:tcBorders>
            <w:vAlign w:val="center"/>
          </w:tcPr>
          <w:p w14:paraId="217A8B6C">
            <w:pPr>
              <w:topLinePunct/>
              <w:adjustRightInd w:val="0"/>
              <w:snapToGrid w:val="0"/>
              <w:spacing w:line="560" w:lineRule="exact"/>
              <w:jc w:val="center"/>
              <w:rPr>
                <w:color w:val="auto"/>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5262C695">
            <w:pPr>
              <w:topLinePunct/>
              <w:adjustRightInd w:val="0"/>
              <w:snapToGrid w:val="0"/>
              <w:spacing w:line="560" w:lineRule="exact"/>
              <w:jc w:val="center"/>
              <w:rPr>
                <w:color w:val="auto"/>
                <w:szCs w:val="21"/>
              </w:rPr>
            </w:pPr>
            <w:r>
              <w:rPr>
                <w:color w:val="auto"/>
                <w:szCs w:val="21"/>
              </w:rPr>
              <w:t>网 址</w:t>
            </w:r>
          </w:p>
        </w:tc>
        <w:tc>
          <w:tcPr>
            <w:tcW w:w="2700" w:type="dxa"/>
            <w:gridSpan w:val="3"/>
            <w:tcBorders>
              <w:top w:val="single" w:color="auto" w:sz="4" w:space="0"/>
              <w:left w:val="single" w:color="auto" w:sz="4" w:space="0"/>
              <w:bottom w:val="single" w:color="auto" w:sz="4" w:space="0"/>
              <w:right w:val="single" w:color="auto" w:sz="4" w:space="0"/>
            </w:tcBorders>
            <w:vAlign w:val="center"/>
          </w:tcPr>
          <w:p w14:paraId="1F192570">
            <w:pPr>
              <w:topLinePunct/>
              <w:adjustRightInd w:val="0"/>
              <w:snapToGrid w:val="0"/>
              <w:spacing w:line="560" w:lineRule="exact"/>
              <w:jc w:val="center"/>
              <w:rPr>
                <w:color w:val="auto"/>
                <w:szCs w:val="21"/>
              </w:rPr>
            </w:pPr>
          </w:p>
        </w:tc>
      </w:tr>
      <w:tr w14:paraId="31153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0D173CFE">
            <w:pPr>
              <w:topLinePunct/>
              <w:adjustRightInd w:val="0"/>
              <w:snapToGrid w:val="0"/>
              <w:spacing w:line="560" w:lineRule="exact"/>
              <w:jc w:val="center"/>
              <w:rPr>
                <w:color w:val="auto"/>
                <w:szCs w:val="21"/>
              </w:rPr>
            </w:pPr>
            <w:r>
              <w:rPr>
                <w:color w:val="auto"/>
                <w:szCs w:val="21"/>
              </w:rPr>
              <w:t>组织结构</w:t>
            </w:r>
          </w:p>
        </w:tc>
        <w:tc>
          <w:tcPr>
            <w:tcW w:w="7887" w:type="dxa"/>
            <w:gridSpan w:val="9"/>
            <w:tcBorders>
              <w:top w:val="single" w:color="auto" w:sz="4" w:space="0"/>
              <w:left w:val="single" w:color="auto" w:sz="4" w:space="0"/>
              <w:bottom w:val="single" w:color="auto" w:sz="4" w:space="0"/>
              <w:right w:val="single" w:color="auto" w:sz="4" w:space="0"/>
            </w:tcBorders>
            <w:vAlign w:val="center"/>
          </w:tcPr>
          <w:p w14:paraId="2FA4361E">
            <w:pPr>
              <w:topLinePunct/>
              <w:adjustRightInd w:val="0"/>
              <w:snapToGrid w:val="0"/>
              <w:spacing w:line="560" w:lineRule="exact"/>
              <w:jc w:val="center"/>
              <w:rPr>
                <w:color w:val="auto"/>
                <w:szCs w:val="21"/>
              </w:rPr>
            </w:pPr>
          </w:p>
        </w:tc>
      </w:tr>
      <w:tr w14:paraId="008A0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7EA9A474">
            <w:pPr>
              <w:topLinePunct/>
              <w:adjustRightInd w:val="0"/>
              <w:snapToGrid w:val="0"/>
              <w:spacing w:line="560" w:lineRule="exact"/>
              <w:jc w:val="center"/>
              <w:rPr>
                <w:color w:val="auto"/>
                <w:szCs w:val="21"/>
              </w:rPr>
            </w:pPr>
            <w:r>
              <w:rPr>
                <w:color w:val="auto"/>
                <w:szCs w:val="21"/>
              </w:rPr>
              <w:t>法定代表人</w:t>
            </w:r>
          </w:p>
        </w:tc>
        <w:tc>
          <w:tcPr>
            <w:tcW w:w="1036" w:type="dxa"/>
            <w:tcBorders>
              <w:top w:val="single" w:color="auto" w:sz="4" w:space="0"/>
              <w:left w:val="single" w:color="auto" w:sz="4" w:space="0"/>
              <w:bottom w:val="single" w:color="auto" w:sz="4" w:space="0"/>
              <w:right w:val="single" w:color="auto" w:sz="4" w:space="0"/>
            </w:tcBorders>
            <w:vAlign w:val="center"/>
          </w:tcPr>
          <w:p w14:paraId="743CE969">
            <w:pPr>
              <w:topLinePunct/>
              <w:adjustRightInd w:val="0"/>
              <w:snapToGrid w:val="0"/>
              <w:spacing w:line="560" w:lineRule="exact"/>
              <w:jc w:val="center"/>
              <w:rPr>
                <w:color w:val="auto"/>
                <w:szCs w:val="21"/>
              </w:rPr>
            </w:pPr>
            <w:r>
              <w:rPr>
                <w:color w:val="auto"/>
                <w:szCs w:val="21"/>
              </w:rPr>
              <w:t>姓名</w:t>
            </w:r>
          </w:p>
        </w:tc>
        <w:tc>
          <w:tcPr>
            <w:tcW w:w="1096" w:type="dxa"/>
            <w:tcBorders>
              <w:top w:val="single" w:color="auto" w:sz="4" w:space="0"/>
              <w:left w:val="single" w:color="auto" w:sz="4" w:space="0"/>
              <w:bottom w:val="single" w:color="auto" w:sz="4" w:space="0"/>
              <w:right w:val="single" w:color="auto" w:sz="4" w:space="0"/>
            </w:tcBorders>
            <w:vAlign w:val="center"/>
          </w:tcPr>
          <w:p w14:paraId="549C020D">
            <w:pPr>
              <w:topLinePunct/>
              <w:adjustRightInd w:val="0"/>
              <w:snapToGrid w:val="0"/>
              <w:spacing w:line="560" w:lineRule="exact"/>
              <w:jc w:val="center"/>
              <w:rPr>
                <w:color w:val="auto"/>
                <w:szCs w:val="21"/>
              </w:rPr>
            </w:pPr>
          </w:p>
        </w:tc>
        <w:tc>
          <w:tcPr>
            <w:tcW w:w="1453" w:type="dxa"/>
            <w:gridSpan w:val="2"/>
            <w:tcBorders>
              <w:top w:val="single" w:color="auto" w:sz="4" w:space="0"/>
              <w:left w:val="single" w:color="auto" w:sz="4" w:space="0"/>
              <w:bottom w:val="single" w:color="auto" w:sz="4" w:space="0"/>
              <w:right w:val="single" w:color="auto" w:sz="4" w:space="0"/>
            </w:tcBorders>
            <w:vAlign w:val="center"/>
          </w:tcPr>
          <w:p w14:paraId="75887E74">
            <w:pPr>
              <w:topLinePunct/>
              <w:adjustRightInd w:val="0"/>
              <w:snapToGrid w:val="0"/>
              <w:spacing w:line="560" w:lineRule="exact"/>
              <w:jc w:val="center"/>
              <w:rPr>
                <w:color w:val="auto"/>
                <w:szCs w:val="21"/>
              </w:rPr>
            </w:pPr>
            <w:r>
              <w:rPr>
                <w:color w:val="auto"/>
                <w:szCs w:val="21"/>
              </w:rPr>
              <w:t>技术职称</w:t>
            </w:r>
          </w:p>
        </w:tc>
        <w:tc>
          <w:tcPr>
            <w:tcW w:w="2167" w:type="dxa"/>
            <w:gridSpan w:val="3"/>
            <w:tcBorders>
              <w:top w:val="single" w:color="auto" w:sz="4" w:space="0"/>
              <w:left w:val="single" w:color="auto" w:sz="4" w:space="0"/>
              <w:bottom w:val="single" w:color="auto" w:sz="4" w:space="0"/>
              <w:right w:val="single" w:color="auto" w:sz="4" w:space="0"/>
            </w:tcBorders>
            <w:vAlign w:val="center"/>
          </w:tcPr>
          <w:p w14:paraId="3552580F">
            <w:pPr>
              <w:topLinePunct/>
              <w:adjustRightInd w:val="0"/>
              <w:snapToGrid w:val="0"/>
              <w:spacing w:line="560" w:lineRule="exact"/>
              <w:jc w:val="center"/>
              <w:rPr>
                <w:color w:val="auto"/>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729E851E">
            <w:pPr>
              <w:topLinePunct/>
              <w:adjustRightInd w:val="0"/>
              <w:snapToGrid w:val="0"/>
              <w:spacing w:line="560" w:lineRule="exact"/>
              <w:jc w:val="center"/>
              <w:rPr>
                <w:color w:val="auto"/>
                <w:szCs w:val="21"/>
              </w:rPr>
            </w:pPr>
            <w:r>
              <w:rPr>
                <w:color w:val="auto"/>
                <w:szCs w:val="21"/>
              </w:rPr>
              <w:t>电话</w:t>
            </w:r>
          </w:p>
        </w:tc>
        <w:tc>
          <w:tcPr>
            <w:tcW w:w="1144" w:type="dxa"/>
            <w:tcBorders>
              <w:top w:val="single" w:color="auto" w:sz="4" w:space="0"/>
              <w:left w:val="single" w:color="auto" w:sz="4" w:space="0"/>
              <w:bottom w:val="single" w:color="auto" w:sz="4" w:space="0"/>
              <w:right w:val="single" w:color="auto" w:sz="4" w:space="0"/>
            </w:tcBorders>
            <w:vAlign w:val="center"/>
          </w:tcPr>
          <w:p w14:paraId="72F3EA5F">
            <w:pPr>
              <w:topLinePunct/>
              <w:adjustRightInd w:val="0"/>
              <w:snapToGrid w:val="0"/>
              <w:spacing w:line="560" w:lineRule="exact"/>
              <w:jc w:val="center"/>
              <w:rPr>
                <w:color w:val="auto"/>
                <w:szCs w:val="21"/>
              </w:rPr>
            </w:pPr>
          </w:p>
        </w:tc>
      </w:tr>
      <w:tr w14:paraId="0F5CA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74536356">
            <w:pPr>
              <w:topLinePunct/>
              <w:adjustRightInd w:val="0"/>
              <w:snapToGrid w:val="0"/>
              <w:spacing w:line="560" w:lineRule="exact"/>
              <w:jc w:val="center"/>
              <w:rPr>
                <w:color w:val="auto"/>
                <w:szCs w:val="21"/>
              </w:rPr>
            </w:pPr>
            <w:r>
              <w:rPr>
                <w:color w:val="auto"/>
                <w:szCs w:val="21"/>
              </w:rPr>
              <w:t>技术负责人</w:t>
            </w:r>
          </w:p>
        </w:tc>
        <w:tc>
          <w:tcPr>
            <w:tcW w:w="1036" w:type="dxa"/>
            <w:tcBorders>
              <w:top w:val="single" w:color="auto" w:sz="4" w:space="0"/>
              <w:left w:val="single" w:color="auto" w:sz="4" w:space="0"/>
              <w:bottom w:val="single" w:color="auto" w:sz="4" w:space="0"/>
              <w:right w:val="single" w:color="auto" w:sz="4" w:space="0"/>
            </w:tcBorders>
            <w:vAlign w:val="center"/>
          </w:tcPr>
          <w:p w14:paraId="3CD986F1">
            <w:pPr>
              <w:topLinePunct/>
              <w:adjustRightInd w:val="0"/>
              <w:snapToGrid w:val="0"/>
              <w:spacing w:line="560" w:lineRule="exact"/>
              <w:jc w:val="center"/>
              <w:rPr>
                <w:color w:val="auto"/>
                <w:szCs w:val="21"/>
              </w:rPr>
            </w:pPr>
            <w:r>
              <w:rPr>
                <w:color w:val="auto"/>
                <w:szCs w:val="21"/>
              </w:rPr>
              <w:t>姓名</w:t>
            </w:r>
          </w:p>
        </w:tc>
        <w:tc>
          <w:tcPr>
            <w:tcW w:w="1096" w:type="dxa"/>
            <w:tcBorders>
              <w:top w:val="single" w:color="auto" w:sz="4" w:space="0"/>
              <w:left w:val="single" w:color="auto" w:sz="4" w:space="0"/>
              <w:bottom w:val="single" w:color="auto" w:sz="4" w:space="0"/>
              <w:right w:val="single" w:color="auto" w:sz="4" w:space="0"/>
            </w:tcBorders>
            <w:vAlign w:val="center"/>
          </w:tcPr>
          <w:p w14:paraId="33941EB3">
            <w:pPr>
              <w:topLinePunct/>
              <w:adjustRightInd w:val="0"/>
              <w:snapToGrid w:val="0"/>
              <w:spacing w:line="560" w:lineRule="exact"/>
              <w:jc w:val="center"/>
              <w:rPr>
                <w:color w:val="auto"/>
                <w:szCs w:val="21"/>
              </w:rPr>
            </w:pPr>
          </w:p>
        </w:tc>
        <w:tc>
          <w:tcPr>
            <w:tcW w:w="1453" w:type="dxa"/>
            <w:gridSpan w:val="2"/>
            <w:tcBorders>
              <w:top w:val="single" w:color="auto" w:sz="4" w:space="0"/>
              <w:left w:val="single" w:color="auto" w:sz="4" w:space="0"/>
              <w:bottom w:val="single" w:color="auto" w:sz="4" w:space="0"/>
              <w:right w:val="single" w:color="auto" w:sz="4" w:space="0"/>
            </w:tcBorders>
            <w:vAlign w:val="center"/>
          </w:tcPr>
          <w:p w14:paraId="4DD2D537">
            <w:pPr>
              <w:topLinePunct/>
              <w:adjustRightInd w:val="0"/>
              <w:snapToGrid w:val="0"/>
              <w:spacing w:line="560" w:lineRule="exact"/>
              <w:jc w:val="center"/>
              <w:rPr>
                <w:color w:val="auto"/>
                <w:szCs w:val="21"/>
              </w:rPr>
            </w:pPr>
            <w:r>
              <w:rPr>
                <w:color w:val="auto"/>
                <w:szCs w:val="21"/>
              </w:rPr>
              <w:t>技术职称</w:t>
            </w:r>
          </w:p>
        </w:tc>
        <w:tc>
          <w:tcPr>
            <w:tcW w:w="2167" w:type="dxa"/>
            <w:gridSpan w:val="3"/>
            <w:tcBorders>
              <w:top w:val="single" w:color="auto" w:sz="4" w:space="0"/>
              <w:left w:val="single" w:color="auto" w:sz="4" w:space="0"/>
              <w:bottom w:val="single" w:color="auto" w:sz="4" w:space="0"/>
              <w:right w:val="single" w:color="auto" w:sz="4" w:space="0"/>
            </w:tcBorders>
            <w:vAlign w:val="center"/>
          </w:tcPr>
          <w:p w14:paraId="669BC642">
            <w:pPr>
              <w:topLinePunct/>
              <w:adjustRightInd w:val="0"/>
              <w:snapToGrid w:val="0"/>
              <w:spacing w:line="560" w:lineRule="exact"/>
              <w:jc w:val="center"/>
              <w:rPr>
                <w:color w:val="auto"/>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0F296457">
            <w:pPr>
              <w:topLinePunct/>
              <w:adjustRightInd w:val="0"/>
              <w:snapToGrid w:val="0"/>
              <w:spacing w:line="560" w:lineRule="exact"/>
              <w:jc w:val="center"/>
              <w:rPr>
                <w:color w:val="auto"/>
                <w:szCs w:val="21"/>
              </w:rPr>
            </w:pPr>
            <w:r>
              <w:rPr>
                <w:color w:val="auto"/>
                <w:szCs w:val="21"/>
              </w:rPr>
              <w:t>电话</w:t>
            </w:r>
          </w:p>
        </w:tc>
        <w:tc>
          <w:tcPr>
            <w:tcW w:w="1144" w:type="dxa"/>
            <w:tcBorders>
              <w:top w:val="single" w:color="auto" w:sz="4" w:space="0"/>
              <w:left w:val="single" w:color="auto" w:sz="4" w:space="0"/>
              <w:bottom w:val="single" w:color="auto" w:sz="4" w:space="0"/>
              <w:right w:val="single" w:color="auto" w:sz="4" w:space="0"/>
            </w:tcBorders>
            <w:vAlign w:val="center"/>
          </w:tcPr>
          <w:p w14:paraId="444C74D1">
            <w:pPr>
              <w:topLinePunct/>
              <w:adjustRightInd w:val="0"/>
              <w:snapToGrid w:val="0"/>
              <w:spacing w:line="560" w:lineRule="exact"/>
              <w:jc w:val="center"/>
              <w:rPr>
                <w:color w:val="auto"/>
                <w:szCs w:val="21"/>
              </w:rPr>
            </w:pPr>
          </w:p>
        </w:tc>
      </w:tr>
      <w:tr w14:paraId="2A8EC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5C6E4725">
            <w:pPr>
              <w:topLinePunct/>
              <w:adjustRightInd w:val="0"/>
              <w:snapToGrid w:val="0"/>
              <w:spacing w:line="560" w:lineRule="exact"/>
              <w:jc w:val="center"/>
              <w:rPr>
                <w:color w:val="auto"/>
                <w:szCs w:val="21"/>
              </w:rPr>
            </w:pPr>
            <w:r>
              <w:rPr>
                <w:color w:val="auto"/>
                <w:szCs w:val="21"/>
              </w:rPr>
              <w:t>成立时间</w:t>
            </w:r>
          </w:p>
        </w:tc>
        <w:tc>
          <w:tcPr>
            <w:tcW w:w="2132" w:type="dxa"/>
            <w:gridSpan w:val="2"/>
            <w:tcBorders>
              <w:top w:val="single" w:color="auto" w:sz="4" w:space="0"/>
              <w:left w:val="single" w:color="auto" w:sz="4" w:space="0"/>
              <w:bottom w:val="single" w:color="auto" w:sz="4" w:space="0"/>
              <w:right w:val="single" w:color="auto" w:sz="4" w:space="0"/>
            </w:tcBorders>
            <w:vAlign w:val="center"/>
          </w:tcPr>
          <w:p w14:paraId="1A0B87D3">
            <w:pPr>
              <w:topLinePunct/>
              <w:adjustRightInd w:val="0"/>
              <w:snapToGrid w:val="0"/>
              <w:spacing w:line="560" w:lineRule="exact"/>
              <w:jc w:val="center"/>
              <w:rPr>
                <w:color w:val="auto"/>
                <w:szCs w:val="21"/>
              </w:rPr>
            </w:pPr>
          </w:p>
        </w:tc>
        <w:tc>
          <w:tcPr>
            <w:tcW w:w="5755" w:type="dxa"/>
            <w:gridSpan w:val="7"/>
            <w:tcBorders>
              <w:top w:val="single" w:color="auto" w:sz="4" w:space="0"/>
              <w:left w:val="single" w:color="auto" w:sz="4" w:space="0"/>
              <w:bottom w:val="single" w:color="auto" w:sz="4" w:space="0"/>
              <w:right w:val="single" w:color="auto" w:sz="4" w:space="0"/>
            </w:tcBorders>
            <w:vAlign w:val="center"/>
          </w:tcPr>
          <w:p w14:paraId="6E7E2C7F">
            <w:pPr>
              <w:topLinePunct/>
              <w:adjustRightInd w:val="0"/>
              <w:snapToGrid w:val="0"/>
              <w:spacing w:line="560" w:lineRule="exact"/>
              <w:ind w:firstLine="105" w:firstLineChars="50"/>
              <w:jc w:val="center"/>
              <w:rPr>
                <w:color w:val="auto"/>
                <w:szCs w:val="21"/>
              </w:rPr>
            </w:pPr>
            <w:r>
              <w:rPr>
                <w:color w:val="auto"/>
                <w:szCs w:val="21"/>
              </w:rPr>
              <w:t>员工总人数：</w:t>
            </w:r>
          </w:p>
        </w:tc>
      </w:tr>
      <w:tr w14:paraId="1E871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2"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3EDFCB62">
            <w:pPr>
              <w:topLinePunct/>
              <w:adjustRightInd w:val="0"/>
              <w:snapToGrid w:val="0"/>
              <w:spacing w:line="560" w:lineRule="exact"/>
              <w:jc w:val="center"/>
              <w:rPr>
                <w:color w:val="auto"/>
                <w:szCs w:val="21"/>
              </w:rPr>
            </w:pPr>
            <w:r>
              <w:rPr>
                <w:color w:val="auto"/>
                <w:szCs w:val="21"/>
              </w:rPr>
              <w:t>企业资质等级</w:t>
            </w:r>
          </w:p>
        </w:tc>
        <w:tc>
          <w:tcPr>
            <w:tcW w:w="2132" w:type="dxa"/>
            <w:gridSpan w:val="2"/>
            <w:tcBorders>
              <w:top w:val="single" w:color="auto" w:sz="4" w:space="0"/>
              <w:left w:val="single" w:color="auto" w:sz="4" w:space="0"/>
              <w:bottom w:val="single" w:color="auto" w:sz="4" w:space="0"/>
              <w:right w:val="single" w:color="auto" w:sz="4" w:space="0"/>
            </w:tcBorders>
            <w:vAlign w:val="center"/>
          </w:tcPr>
          <w:p w14:paraId="238FF22C">
            <w:pPr>
              <w:topLinePunct/>
              <w:adjustRightInd w:val="0"/>
              <w:snapToGrid w:val="0"/>
              <w:spacing w:line="560" w:lineRule="exact"/>
              <w:jc w:val="center"/>
              <w:rPr>
                <w:color w:val="auto"/>
                <w:szCs w:val="21"/>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14:paraId="3CDF52FD">
            <w:pPr>
              <w:topLinePunct/>
              <w:adjustRightInd w:val="0"/>
              <w:snapToGrid w:val="0"/>
              <w:spacing w:line="560" w:lineRule="exact"/>
              <w:jc w:val="center"/>
              <w:rPr>
                <w:color w:val="auto"/>
                <w:szCs w:val="21"/>
              </w:rPr>
            </w:pPr>
            <w:r>
              <w:rPr>
                <w:color w:val="auto"/>
                <w:szCs w:val="21"/>
              </w:rPr>
              <w:t>其中</w:t>
            </w:r>
          </w:p>
        </w:tc>
        <w:tc>
          <w:tcPr>
            <w:tcW w:w="2651" w:type="dxa"/>
            <w:gridSpan w:val="4"/>
            <w:tcBorders>
              <w:top w:val="single" w:color="auto" w:sz="4" w:space="0"/>
              <w:left w:val="single" w:color="auto" w:sz="4" w:space="0"/>
              <w:bottom w:val="single" w:color="auto" w:sz="4" w:space="0"/>
              <w:right w:val="single" w:color="auto" w:sz="4" w:space="0"/>
            </w:tcBorders>
            <w:vAlign w:val="center"/>
          </w:tcPr>
          <w:p w14:paraId="6CDF2FDB">
            <w:pPr>
              <w:topLinePunct/>
              <w:adjustRightInd w:val="0"/>
              <w:snapToGrid w:val="0"/>
              <w:spacing w:line="560" w:lineRule="exact"/>
              <w:jc w:val="center"/>
              <w:rPr>
                <w:color w:val="auto"/>
                <w:szCs w:val="21"/>
              </w:rPr>
            </w:pPr>
            <w:r>
              <w:rPr>
                <w:color w:val="auto"/>
                <w:szCs w:val="21"/>
              </w:rPr>
              <w:t>项目经理（建造师）</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2BE852C6">
            <w:pPr>
              <w:topLinePunct/>
              <w:adjustRightInd w:val="0"/>
              <w:snapToGrid w:val="0"/>
              <w:spacing w:line="560" w:lineRule="exact"/>
              <w:jc w:val="center"/>
              <w:rPr>
                <w:color w:val="auto"/>
                <w:szCs w:val="21"/>
              </w:rPr>
            </w:pPr>
          </w:p>
        </w:tc>
      </w:tr>
      <w:tr w14:paraId="11E2B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4"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3B3E250A">
            <w:pPr>
              <w:topLinePunct/>
              <w:adjustRightInd w:val="0"/>
              <w:snapToGrid w:val="0"/>
              <w:spacing w:line="560" w:lineRule="exact"/>
              <w:jc w:val="center"/>
              <w:rPr>
                <w:color w:val="auto"/>
                <w:szCs w:val="21"/>
              </w:rPr>
            </w:pPr>
            <w:r>
              <w:rPr>
                <w:color w:val="auto"/>
                <w:szCs w:val="21"/>
              </w:rPr>
              <w:t>营业执照号</w:t>
            </w:r>
          </w:p>
        </w:tc>
        <w:tc>
          <w:tcPr>
            <w:tcW w:w="2132" w:type="dxa"/>
            <w:gridSpan w:val="2"/>
            <w:tcBorders>
              <w:top w:val="single" w:color="auto" w:sz="4" w:space="0"/>
              <w:left w:val="single" w:color="auto" w:sz="4" w:space="0"/>
              <w:bottom w:val="single" w:color="auto" w:sz="4" w:space="0"/>
              <w:right w:val="single" w:color="auto" w:sz="4" w:space="0"/>
            </w:tcBorders>
            <w:vAlign w:val="center"/>
          </w:tcPr>
          <w:p w14:paraId="5C26B609">
            <w:pPr>
              <w:topLinePunct/>
              <w:adjustRightInd w:val="0"/>
              <w:snapToGrid w:val="0"/>
              <w:spacing w:line="560" w:lineRule="exact"/>
              <w:jc w:val="center"/>
              <w:rPr>
                <w:color w:val="auto"/>
                <w:szCs w:val="21"/>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7FCB0DFB">
            <w:pPr>
              <w:topLinePunct/>
              <w:adjustRightInd w:val="0"/>
              <w:snapToGrid w:val="0"/>
              <w:spacing w:line="560" w:lineRule="exact"/>
              <w:jc w:val="center"/>
              <w:rPr>
                <w:color w:val="auto"/>
                <w:szCs w:val="21"/>
              </w:rPr>
            </w:pPr>
          </w:p>
        </w:tc>
        <w:tc>
          <w:tcPr>
            <w:tcW w:w="2651" w:type="dxa"/>
            <w:gridSpan w:val="4"/>
            <w:tcBorders>
              <w:top w:val="single" w:color="auto" w:sz="4" w:space="0"/>
              <w:left w:val="single" w:color="auto" w:sz="4" w:space="0"/>
              <w:bottom w:val="single" w:color="auto" w:sz="4" w:space="0"/>
              <w:right w:val="single" w:color="auto" w:sz="4" w:space="0"/>
            </w:tcBorders>
            <w:vAlign w:val="center"/>
          </w:tcPr>
          <w:p w14:paraId="0C5FD128">
            <w:pPr>
              <w:topLinePunct/>
              <w:adjustRightInd w:val="0"/>
              <w:snapToGrid w:val="0"/>
              <w:spacing w:line="560" w:lineRule="exact"/>
              <w:jc w:val="center"/>
              <w:rPr>
                <w:color w:val="auto"/>
                <w:szCs w:val="21"/>
              </w:rPr>
            </w:pPr>
            <w:r>
              <w:rPr>
                <w:color w:val="auto"/>
                <w:szCs w:val="21"/>
              </w:rPr>
              <w:t>高级职称人员</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634CDCBA">
            <w:pPr>
              <w:topLinePunct/>
              <w:adjustRightInd w:val="0"/>
              <w:snapToGrid w:val="0"/>
              <w:spacing w:line="560" w:lineRule="exact"/>
              <w:jc w:val="center"/>
              <w:rPr>
                <w:color w:val="auto"/>
                <w:szCs w:val="21"/>
              </w:rPr>
            </w:pPr>
          </w:p>
        </w:tc>
      </w:tr>
      <w:tr w14:paraId="03931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30CB5A87">
            <w:pPr>
              <w:topLinePunct/>
              <w:adjustRightInd w:val="0"/>
              <w:snapToGrid w:val="0"/>
              <w:spacing w:line="560" w:lineRule="exact"/>
              <w:jc w:val="center"/>
              <w:rPr>
                <w:color w:val="auto"/>
                <w:szCs w:val="21"/>
              </w:rPr>
            </w:pPr>
            <w:r>
              <w:rPr>
                <w:color w:val="auto"/>
                <w:szCs w:val="21"/>
              </w:rPr>
              <w:t>注册资金</w:t>
            </w:r>
          </w:p>
        </w:tc>
        <w:tc>
          <w:tcPr>
            <w:tcW w:w="2132" w:type="dxa"/>
            <w:gridSpan w:val="2"/>
            <w:tcBorders>
              <w:top w:val="single" w:color="auto" w:sz="4" w:space="0"/>
              <w:left w:val="single" w:color="auto" w:sz="4" w:space="0"/>
              <w:bottom w:val="single" w:color="auto" w:sz="4" w:space="0"/>
              <w:right w:val="single" w:color="auto" w:sz="4" w:space="0"/>
            </w:tcBorders>
            <w:vAlign w:val="center"/>
          </w:tcPr>
          <w:p w14:paraId="5A1476F2">
            <w:pPr>
              <w:topLinePunct/>
              <w:adjustRightInd w:val="0"/>
              <w:snapToGrid w:val="0"/>
              <w:spacing w:line="560" w:lineRule="exact"/>
              <w:jc w:val="center"/>
              <w:rPr>
                <w:color w:val="auto"/>
                <w:szCs w:val="21"/>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559CF408">
            <w:pPr>
              <w:topLinePunct/>
              <w:adjustRightInd w:val="0"/>
              <w:snapToGrid w:val="0"/>
              <w:spacing w:line="560" w:lineRule="exact"/>
              <w:jc w:val="center"/>
              <w:rPr>
                <w:color w:val="auto"/>
                <w:szCs w:val="21"/>
              </w:rPr>
            </w:pPr>
          </w:p>
        </w:tc>
        <w:tc>
          <w:tcPr>
            <w:tcW w:w="2651" w:type="dxa"/>
            <w:gridSpan w:val="4"/>
            <w:tcBorders>
              <w:top w:val="single" w:color="auto" w:sz="4" w:space="0"/>
              <w:left w:val="single" w:color="auto" w:sz="4" w:space="0"/>
              <w:bottom w:val="single" w:color="auto" w:sz="4" w:space="0"/>
              <w:right w:val="single" w:color="auto" w:sz="4" w:space="0"/>
            </w:tcBorders>
            <w:vAlign w:val="center"/>
          </w:tcPr>
          <w:p w14:paraId="7819F3CA">
            <w:pPr>
              <w:topLinePunct/>
              <w:adjustRightInd w:val="0"/>
              <w:snapToGrid w:val="0"/>
              <w:spacing w:line="560" w:lineRule="exact"/>
              <w:jc w:val="center"/>
              <w:rPr>
                <w:color w:val="auto"/>
                <w:szCs w:val="21"/>
              </w:rPr>
            </w:pPr>
            <w:r>
              <w:rPr>
                <w:color w:val="auto"/>
                <w:szCs w:val="21"/>
              </w:rPr>
              <w:t>中级职称人员</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0C022B4E">
            <w:pPr>
              <w:topLinePunct/>
              <w:adjustRightInd w:val="0"/>
              <w:snapToGrid w:val="0"/>
              <w:spacing w:line="560" w:lineRule="exact"/>
              <w:jc w:val="center"/>
              <w:rPr>
                <w:color w:val="auto"/>
                <w:szCs w:val="21"/>
              </w:rPr>
            </w:pPr>
          </w:p>
        </w:tc>
      </w:tr>
      <w:tr w14:paraId="16CA1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3CDE0C0F">
            <w:pPr>
              <w:topLinePunct/>
              <w:adjustRightInd w:val="0"/>
              <w:snapToGrid w:val="0"/>
              <w:spacing w:line="560" w:lineRule="exact"/>
              <w:jc w:val="center"/>
              <w:rPr>
                <w:color w:val="auto"/>
                <w:szCs w:val="21"/>
              </w:rPr>
            </w:pPr>
            <w:r>
              <w:rPr>
                <w:color w:val="auto"/>
                <w:szCs w:val="21"/>
              </w:rPr>
              <w:t>开户银行</w:t>
            </w:r>
          </w:p>
        </w:tc>
        <w:tc>
          <w:tcPr>
            <w:tcW w:w="2132" w:type="dxa"/>
            <w:gridSpan w:val="2"/>
            <w:tcBorders>
              <w:top w:val="single" w:color="auto" w:sz="4" w:space="0"/>
              <w:left w:val="single" w:color="auto" w:sz="4" w:space="0"/>
              <w:bottom w:val="single" w:color="auto" w:sz="4" w:space="0"/>
              <w:right w:val="single" w:color="auto" w:sz="4" w:space="0"/>
            </w:tcBorders>
            <w:vAlign w:val="center"/>
          </w:tcPr>
          <w:p w14:paraId="41E719F1">
            <w:pPr>
              <w:topLinePunct/>
              <w:adjustRightInd w:val="0"/>
              <w:snapToGrid w:val="0"/>
              <w:spacing w:line="560" w:lineRule="exact"/>
              <w:jc w:val="center"/>
              <w:rPr>
                <w:color w:val="auto"/>
                <w:szCs w:val="21"/>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55A7A75F">
            <w:pPr>
              <w:topLinePunct/>
              <w:adjustRightInd w:val="0"/>
              <w:snapToGrid w:val="0"/>
              <w:spacing w:line="560" w:lineRule="exact"/>
              <w:jc w:val="center"/>
              <w:rPr>
                <w:color w:val="auto"/>
                <w:szCs w:val="21"/>
              </w:rPr>
            </w:pPr>
          </w:p>
        </w:tc>
        <w:tc>
          <w:tcPr>
            <w:tcW w:w="2651" w:type="dxa"/>
            <w:gridSpan w:val="4"/>
            <w:tcBorders>
              <w:top w:val="single" w:color="auto" w:sz="4" w:space="0"/>
              <w:left w:val="single" w:color="auto" w:sz="4" w:space="0"/>
              <w:bottom w:val="single" w:color="auto" w:sz="4" w:space="0"/>
              <w:right w:val="single" w:color="auto" w:sz="4" w:space="0"/>
            </w:tcBorders>
            <w:vAlign w:val="center"/>
          </w:tcPr>
          <w:p w14:paraId="328F140B">
            <w:pPr>
              <w:topLinePunct/>
              <w:adjustRightInd w:val="0"/>
              <w:snapToGrid w:val="0"/>
              <w:spacing w:line="560" w:lineRule="exact"/>
              <w:jc w:val="center"/>
              <w:rPr>
                <w:color w:val="auto"/>
                <w:szCs w:val="21"/>
              </w:rPr>
            </w:pPr>
            <w:r>
              <w:rPr>
                <w:color w:val="auto"/>
                <w:szCs w:val="21"/>
              </w:rPr>
              <w:t>初级职称人员</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5C10CBA1">
            <w:pPr>
              <w:topLinePunct/>
              <w:adjustRightInd w:val="0"/>
              <w:snapToGrid w:val="0"/>
              <w:spacing w:line="560" w:lineRule="exact"/>
              <w:jc w:val="center"/>
              <w:rPr>
                <w:color w:val="auto"/>
                <w:szCs w:val="21"/>
              </w:rPr>
            </w:pPr>
          </w:p>
        </w:tc>
      </w:tr>
      <w:tr w14:paraId="12B99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9"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732F4F48">
            <w:pPr>
              <w:topLinePunct/>
              <w:adjustRightInd w:val="0"/>
              <w:snapToGrid w:val="0"/>
              <w:spacing w:line="560" w:lineRule="exact"/>
              <w:jc w:val="center"/>
              <w:rPr>
                <w:color w:val="auto"/>
                <w:szCs w:val="21"/>
              </w:rPr>
            </w:pPr>
            <w:r>
              <w:rPr>
                <w:color w:val="auto"/>
                <w:szCs w:val="21"/>
              </w:rPr>
              <w:t>账号</w:t>
            </w:r>
          </w:p>
        </w:tc>
        <w:tc>
          <w:tcPr>
            <w:tcW w:w="2132" w:type="dxa"/>
            <w:gridSpan w:val="2"/>
            <w:tcBorders>
              <w:top w:val="single" w:color="auto" w:sz="4" w:space="0"/>
              <w:left w:val="single" w:color="auto" w:sz="4" w:space="0"/>
              <w:bottom w:val="single" w:color="auto" w:sz="4" w:space="0"/>
              <w:right w:val="single" w:color="auto" w:sz="4" w:space="0"/>
            </w:tcBorders>
            <w:vAlign w:val="center"/>
          </w:tcPr>
          <w:p w14:paraId="7D64D636">
            <w:pPr>
              <w:topLinePunct/>
              <w:adjustRightInd w:val="0"/>
              <w:snapToGrid w:val="0"/>
              <w:spacing w:line="560" w:lineRule="exact"/>
              <w:jc w:val="center"/>
              <w:rPr>
                <w:color w:val="auto"/>
                <w:szCs w:val="21"/>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0944E03B">
            <w:pPr>
              <w:topLinePunct/>
              <w:adjustRightInd w:val="0"/>
              <w:snapToGrid w:val="0"/>
              <w:spacing w:line="560" w:lineRule="exact"/>
              <w:jc w:val="center"/>
              <w:rPr>
                <w:color w:val="auto"/>
                <w:szCs w:val="21"/>
              </w:rPr>
            </w:pPr>
          </w:p>
        </w:tc>
        <w:tc>
          <w:tcPr>
            <w:tcW w:w="2651" w:type="dxa"/>
            <w:gridSpan w:val="4"/>
            <w:tcBorders>
              <w:top w:val="single" w:color="auto" w:sz="4" w:space="0"/>
              <w:left w:val="single" w:color="auto" w:sz="4" w:space="0"/>
              <w:bottom w:val="single" w:color="auto" w:sz="4" w:space="0"/>
              <w:right w:val="single" w:color="auto" w:sz="4" w:space="0"/>
            </w:tcBorders>
            <w:vAlign w:val="center"/>
          </w:tcPr>
          <w:p w14:paraId="7DBF6EEF">
            <w:pPr>
              <w:topLinePunct/>
              <w:adjustRightInd w:val="0"/>
              <w:snapToGrid w:val="0"/>
              <w:spacing w:line="560" w:lineRule="exact"/>
              <w:jc w:val="center"/>
              <w:rPr>
                <w:color w:val="auto"/>
              </w:rPr>
            </w:pPr>
            <w:r>
              <w:rPr>
                <w:color w:val="auto"/>
                <w:szCs w:val="21"/>
              </w:rPr>
              <w:t>技</w:t>
            </w:r>
            <w:r>
              <w:rPr>
                <w:rFonts w:hint="eastAsia"/>
                <w:color w:val="auto"/>
                <w:szCs w:val="21"/>
              </w:rPr>
              <w:t xml:space="preserve">  </w:t>
            </w:r>
            <w:r>
              <w:rPr>
                <w:color w:val="auto"/>
                <w:szCs w:val="21"/>
              </w:rPr>
              <w:t>工</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25201ECE">
            <w:pPr>
              <w:topLinePunct/>
              <w:adjustRightInd w:val="0"/>
              <w:snapToGrid w:val="0"/>
              <w:spacing w:line="560" w:lineRule="exact"/>
              <w:jc w:val="center"/>
              <w:rPr>
                <w:color w:val="auto"/>
                <w:szCs w:val="21"/>
              </w:rPr>
            </w:pPr>
          </w:p>
        </w:tc>
      </w:tr>
      <w:tr w14:paraId="0BC3C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9" w:hRule="atLeast"/>
          <w:jc w:val="center"/>
        </w:trPr>
        <w:tc>
          <w:tcPr>
            <w:tcW w:w="1993" w:type="dxa"/>
            <w:tcBorders>
              <w:top w:val="single" w:color="auto" w:sz="4" w:space="0"/>
              <w:left w:val="single" w:color="auto" w:sz="4" w:space="0"/>
              <w:right w:val="single" w:color="auto" w:sz="4" w:space="0"/>
            </w:tcBorders>
            <w:vAlign w:val="center"/>
          </w:tcPr>
          <w:p w14:paraId="2AEC29E0">
            <w:pPr>
              <w:topLinePunct/>
              <w:adjustRightInd w:val="0"/>
              <w:snapToGrid w:val="0"/>
              <w:spacing w:line="560" w:lineRule="exact"/>
              <w:ind w:firstLine="210" w:firstLineChars="100"/>
              <w:jc w:val="center"/>
              <w:rPr>
                <w:color w:val="auto"/>
                <w:szCs w:val="21"/>
              </w:rPr>
            </w:pPr>
            <w:r>
              <w:rPr>
                <w:color w:val="auto"/>
                <w:szCs w:val="21"/>
              </w:rPr>
              <w:t>经营范围</w:t>
            </w:r>
          </w:p>
        </w:tc>
        <w:tc>
          <w:tcPr>
            <w:tcW w:w="7887" w:type="dxa"/>
            <w:gridSpan w:val="9"/>
            <w:tcBorders>
              <w:top w:val="single" w:color="auto" w:sz="4" w:space="0"/>
              <w:left w:val="single" w:color="auto" w:sz="4" w:space="0"/>
              <w:right w:val="single" w:color="auto" w:sz="4" w:space="0"/>
            </w:tcBorders>
            <w:vAlign w:val="center"/>
          </w:tcPr>
          <w:p w14:paraId="04ED9B38">
            <w:pPr>
              <w:topLinePunct/>
              <w:adjustRightInd w:val="0"/>
              <w:snapToGrid w:val="0"/>
              <w:spacing w:line="560" w:lineRule="exact"/>
              <w:rPr>
                <w:color w:val="auto"/>
                <w:szCs w:val="21"/>
              </w:rPr>
            </w:pPr>
          </w:p>
        </w:tc>
      </w:tr>
      <w:tr w14:paraId="73CE8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28CEDA69">
            <w:pPr>
              <w:topLinePunct/>
              <w:adjustRightInd w:val="0"/>
              <w:snapToGrid w:val="0"/>
              <w:spacing w:line="560" w:lineRule="exact"/>
              <w:jc w:val="center"/>
              <w:rPr>
                <w:color w:val="auto"/>
                <w:szCs w:val="21"/>
              </w:rPr>
            </w:pPr>
            <w:r>
              <w:rPr>
                <w:color w:val="auto"/>
                <w:szCs w:val="21"/>
              </w:rPr>
              <w:t>备注</w:t>
            </w:r>
          </w:p>
        </w:tc>
        <w:tc>
          <w:tcPr>
            <w:tcW w:w="7887" w:type="dxa"/>
            <w:gridSpan w:val="9"/>
            <w:tcBorders>
              <w:top w:val="single" w:color="auto" w:sz="4" w:space="0"/>
              <w:left w:val="single" w:color="auto" w:sz="4" w:space="0"/>
              <w:bottom w:val="single" w:color="auto" w:sz="4" w:space="0"/>
              <w:right w:val="single" w:color="auto" w:sz="4" w:space="0"/>
            </w:tcBorders>
            <w:vAlign w:val="center"/>
          </w:tcPr>
          <w:p w14:paraId="217E14FF">
            <w:pPr>
              <w:topLinePunct/>
              <w:adjustRightInd w:val="0"/>
              <w:snapToGrid w:val="0"/>
              <w:spacing w:line="560" w:lineRule="exact"/>
              <w:jc w:val="center"/>
              <w:rPr>
                <w:color w:val="auto"/>
                <w:szCs w:val="21"/>
              </w:rPr>
            </w:pPr>
          </w:p>
        </w:tc>
      </w:tr>
    </w:tbl>
    <w:p w14:paraId="705D08B2">
      <w:pPr>
        <w:pStyle w:val="4"/>
        <w:adjustRightInd w:val="0"/>
        <w:snapToGrid w:val="0"/>
        <w:spacing w:line="560" w:lineRule="exact"/>
        <w:jc w:val="center"/>
        <w:rPr>
          <w:color w:val="auto"/>
        </w:rPr>
      </w:pPr>
      <w:bookmarkStart w:id="801" w:name="_Toc95223534"/>
      <w:r>
        <w:rPr>
          <w:color w:val="auto"/>
        </w:rPr>
        <w:t>（</w:t>
      </w:r>
      <w:r>
        <w:rPr>
          <w:rFonts w:hint="eastAsia"/>
          <w:color w:val="auto"/>
        </w:rPr>
        <w:t>2</w:t>
      </w:r>
      <w:r>
        <w:rPr>
          <w:color w:val="auto"/>
        </w:rPr>
        <w:t>）近年财务状况表</w:t>
      </w:r>
      <w:bookmarkEnd w:id="801"/>
      <w:r>
        <w:rPr>
          <w:rFonts w:hint="eastAsia"/>
          <w:color w:val="auto"/>
        </w:rPr>
        <w:t>（本项目不采用）</w:t>
      </w:r>
    </w:p>
    <w:p w14:paraId="673B13AB">
      <w:pPr>
        <w:pStyle w:val="4"/>
        <w:adjustRightInd w:val="0"/>
        <w:snapToGrid w:val="0"/>
        <w:spacing w:line="560" w:lineRule="exact"/>
        <w:jc w:val="center"/>
        <w:rPr>
          <w:rFonts w:eastAsia="黑体"/>
          <w:color w:val="auto"/>
          <w:sz w:val="23"/>
          <w:szCs w:val="23"/>
        </w:rPr>
      </w:pPr>
      <w:bookmarkStart w:id="802" w:name="_Toc95223535"/>
      <w:r>
        <w:rPr>
          <w:color w:val="auto"/>
        </w:rPr>
        <w:t>（</w:t>
      </w:r>
      <w:r>
        <w:rPr>
          <w:rFonts w:hint="eastAsia"/>
          <w:color w:val="auto"/>
        </w:rPr>
        <w:t>3</w:t>
      </w:r>
      <w:r>
        <w:rPr>
          <w:color w:val="auto"/>
        </w:rPr>
        <w:t>）近年完成的类似项目情况表</w:t>
      </w:r>
      <w:bookmarkEnd w:id="802"/>
      <w:r>
        <w:rPr>
          <w:rFonts w:hint="eastAsia"/>
          <w:color w:val="auto"/>
        </w:rPr>
        <w:t>（本项目不采用）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6912"/>
      </w:tblGrid>
      <w:tr w14:paraId="10AD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508" w:type="dxa"/>
            <w:vAlign w:val="center"/>
          </w:tcPr>
          <w:p w14:paraId="54B573EE">
            <w:pPr>
              <w:topLinePunct/>
              <w:adjustRightInd w:val="0"/>
              <w:snapToGrid w:val="0"/>
              <w:spacing w:line="560" w:lineRule="exact"/>
              <w:jc w:val="center"/>
              <w:rPr>
                <w:color w:val="auto"/>
                <w:szCs w:val="21"/>
              </w:rPr>
            </w:pPr>
            <w:r>
              <w:rPr>
                <w:color w:val="auto"/>
                <w:szCs w:val="21"/>
              </w:rPr>
              <w:t>项目名</w:t>
            </w:r>
            <w:bookmarkStart w:id="803" w:name="_Toc26734"/>
            <w:bookmarkStart w:id="804" w:name="_Toc296602619"/>
            <w:bookmarkStart w:id="805" w:name="_Toc152045809"/>
            <w:bookmarkStart w:id="806" w:name="_Toc152042598"/>
            <w:bookmarkStart w:id="807" w:name="_Toc265953295"/>
            <w:bookmarkStart w:id="808" w:name="_Toc506107342"/>
            <w:bookmarkStart w:id="809" w:name="_Toc247527849"/>
            <w:bookmarkStart w:id="810" w:name="_Toc15058936"/>
            <w:bookmarkStart w:id="811" w:name="_Toc324404890"/>
            <w:bookmarkStart w:id="812" w:name="_Toc247514301"/>
            <w:bookmarkStart w:id="813" w:name="_Toc144974877"/>
            <w:bookmarkStart w:id="814" w:name="_Toc60061576"/>
            <w:bookmarkStart w:id="815" w:name="_Toc58229117"/>
            <w:r>
              <w:rPr>
                <w:color w:val="auto"/>
                <w:szCs w:val="21"/>
              </w:rPr>
              <w:t>称</w:t>
            </w:r>
          </w:p>
        </w:tc>
        <w:tc>
          <w:tcPr>
            <w:tcW w:w="6912" w:type="dxa"/>
          </w:tcPr>
          <w:p w14:paraId="11EFFEB8">
            <w:pPr>
              <w:topLinePunct/>
              <w:adjustRightInd w:val="0"/>
              <w:snapToGrid w:val="0"/>
              <w:spacing w:line="560" w:lineRule="exact"/>
              <w:rPr>
                <w:color w:val="auto"/>
                <w:szCs w:val="21"/>
              </w:rPr>
            </w:pPr>
          </w:p>
        </w:tc>
      </w:tr>
      <w:tr w14:paraId="500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508" w:type="dxa"/>
            <w:vAlign w:val="center"/>
          </w:tcPr>
          <w:p w14:paraId="13406437">
            <w:pPr>
              <w:topLinePunct/>
              <w:adjustRightInd w:val="0"/>
              <w:snapToGrid w:val="0"/>
              <w:spacing w:line="560" w:lineRule="exact"/>
              <w:jc w:val="center"/>
              <w:rPr>
                <w:color w:val="auto"/>
                <w:szCs w:val="21"/>
              </w:rPr>
            </w:pPr>
            <w:r>
              <w:rPr>
                <w:color w:val="auto"/>
                <w:szCs w:val="21"/>
              </w:rPr>
              <w:t>项目所在地</w:t>
            </w:r>
          </w:p>
          <w:bookmarkEnd w:id="803"/>
          <w:bookmarkEnd w:id="804"/>
          <w:bookmarkEnd w:id="805"/>
          <w:bookmarkEnd w:id="806"/>
          <w:bookmarkEnd w:id="807"/>
          <w:bookmarkEnd w:id="808"/>
          <w:bookmarkEnd w:id="809"/>
          <w:bookmarkEnd w:id="810"/>
          <w:bookmarkEnd w:id="811"/>
          <w:bookmarkEnd w:id="812"/>
          <w:bookmarkEnd w:id="813"/>
        </w:tc>
        <w:tc>
          <w:tcPr>
            <w:tcW w:w="6912" w:type="dxa"/>
          </w:tcPr>
          <w:p w14:paraId="64430814">
            <w:pPr>
              <w:topLinePunct/>
              <w:adjustRightInd w:val="0"/>
              <w:snapToGrid w:val="0"/>
              <w:spacing w:line="560" w:lineRule="exact"/>
              <w:rPr>
                <w:color w:val="auto"/>
                <w:szCs w:val="21"/>
              </w:rPr>
            </w:pPr>
          </w:p>
        </w:tc>
      </w:tr>
      <w:tr w14:paraId="3C71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508" w:type="dxa"/>
            <w:vAlign w:val="center"/>
          </w:tcPr>
          <w:p w14:paraId="49DEBFFD">
            <w:pPr>
              <w:topLinePunct/>
              <w:adjustRightInd w:val="0"/>
              <w:snapToGrid w:val="0"/>
              <w:spacing w:line="560" w:lineRule="exact"/>
              <w:jc w:val="center"/>
              <w:rPr>
                <w:color w:val="auto"/>
                <w:szCs w:val="21"/>
              </w:rPr>
            </w:pPr>
            <w:r>
              <w:rPr>
                <w:color w:val="auto"/>
                <w:szCs w:val="21"/>
              </w:rPr>
              <w:t>发包人名称</w:t>
            </w:r>
          </w:p>
          <w:bookmarkEnd w:id="814"/>
          <w:bookmarkEnd w:id="815"/>
        </w:tc>
        <w:tc>
          <w:tcPr>
            <w:tcW w:w="6912" w:type="dxa"/>
          </w:tcPr>
          <w:p w14:paraId="4CCF5B02">
            <w:pPr>
              <w:topLinePunct/>
              <w:adjustRightInd w:val="0"/>
              <w:snapToGrid w:val="0"/>
              <w:spacing w:line="560" w:lineRule="exact"/>
              <w:rPr>
                <w:color w:val="auto"/>
                <w:szCs w:val="21"/>
              </w:rPr>
            </w:pPr>
          </w:p>
        </w:tc>
        <w:bookmarkStart w:id="816" w:name="_Toc58229118"/>
        <w:bookmarkStart w:id="817" w:name="_Toc144974878"/>
        <w:bookmarkStart w:id="818" w:name="_Toc296602620"/>
        <w:bookmarkStart w:id="819" w:name="_Toc60061577"/>
        <w:bookmarkStart w:id="820" w:name="_Toc15058937"/>
        <w:bookmarkStart w:id="821" w:name="_Toc247527850"/>
        <w:bookmarkStart w:id="822" w:name="_Toc247514302"/>
        <w:bookmarkStart w:id="823" w:name="_Toc324404891"/>
        <w:bookmarkStart w:id="824" w:name="_Toc506107343"/>
        <w:bookmarkStart w:id="825" w:name="_Toc11124"/>
        <w:bookmarkStart w:id="826" w:name="_Toc265953296"/>
        <w:bookmarkStart w:id="827" w:name="_Toc152042599"/>
        <w:bookmarkStart w:id="828" w:name="_Toc152045810"/>
      </w:tr>
      <w:tr w14:paraId="76FE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08" w:type="dxa"/>
            <w:vAlign w:val="center"/>
          </w:tcPr>
          <w:p w14:paraId="26B3E87A">
            <w:pPr>
              <w:topLinePunct/>
              <w:adjustRightInd w:val="0"/>
              <w:snapToGrid w:val="0"/>
              <w:spacing w:line="560" w:lineRule="exact"/>
              <w:jc w:val="center"/>
              <w:rPr>
                <w:color w:val="auto"/>
                <w:szCs w:val="21"/>
              </w:rPr>
            </w:pPr>
            <w:r>
              <w:rPr>
                <w:color w:val="auto"/>
                <w:szCs w:val="21"/>
              </w:rPr>
              <w:t>发包人地址</w:t>
            </w:r>
          </w:p>
        </w:tc>
        <w:tc>
          <w:tcPr>
            <w:tcW w:w="6912" w:type="dxa"/>
          </w:tcPr>
          <w:p w14:paraId="0E477678">
            <w:pPr>
              <w:topLinePunct/>
              <w:adjustRightInd w:val="0"/>
              <w:snapToGrid w:val="0"/>
              <w:spacing w:line="560" w:lineRule="exact"/>
              <w:rPr>
                <w:color w:val="auto"/>
                <w:szCs w:val="21"/>
              </w:rPr>
            </w:pPr>
          </w:p>
        </w:tc>
      </w:tr>
      <w:tr w14:paraId="277D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508" w:type="dxa"/>
            <w:vAlign w:val="center"/>
          </w:tcPr>
          <w:p w14:paraId="515C48DD">
            <w:pPr>
              <w:topLinePunct/>
              <w:adjustRightInd w:val="0"/>
              <w:snapToGrid w:val="0"/>
              <w:spacing w:line="560" w:lineRule="exact"/>
              <w:jc w:val="center"/>
              <w:rPr>
                <w:color w:val="auto"/>
                <w:szCs w:val="21"/>
              </w:rPr>
            </w:pPr>
            <w:r>
              <w:rPr>
                <w:color w:val="auto"/>
                <w:szCs w:val="21"/>
              </w:rPr>
              <w:t>发包人电话</w:t>
            </w:r>
          </w:p>
          <w:bookmarkEnd w:id="816"/>
          <w:bookmarkEnd w:id="817"/>
          <w:bookmarkEnd w:id="818"/>
          <w:bookmarkEnd w:id="819"/>
          <w:bookmarkEnd w:id="820"/>
          <w:bookmarkEnd w:id="821"/>
          <w:bookmarkEnd w:id="822"/>
          <w:bookmarkEnd w:id="823"/>
          <w:bookmarkEnd w:id="824"/>
          <w:bookmarkEnd w:id="825"/>
          <w:bookmarkEnd w:id="826"/>
          <w:bookmarkEnd w:id="827"/>
          <w:bookmarkEnd w:id="828"/>
        </w:tc>
        <w:tc>
          <w:tcPr>
            <w:tcW w:w="6912" w:type="dxa"/>
          </w:tcPr>
          <w:p w14:paraId="092B9896">
            <w:pPr>
              <w:topLinePunct/>
              <w:adjustRightInd w:val="0"/>
              <w:snapToGrid w:val="0"/>
              <w:spacing w:line="560" w:lineRule="exact"/>
              <w:rPr>
                <w:color w:val="auto"/>
                <w:szCs w:val="21"/>
              </w:rPr>
            </w:pPr>
          </w:p>
        </w:tc>
      </w:tr>
      <w:tr w14:paraId="3622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508" w:type="dxa"/>
            <w:vAlign w:val="center"/>
          </w:tcPr>
          <w:p w14:paraId="79CF4433">
            <w:pPr>
              <w:topLinePunct/>
              <w:adjustRightInd w:val="0"/>
              <w:snapToGrid w:val="0"/>
              <w:spacing w:line="560" w:lineRule="exact"/>
              <w:jc w:val="center"/>
              <w:rPr>
                <w:color w:val="auto"/>
                <w:szCs w:val="21"/>
              </w:rPr>
            </w:pPr>
            <w:r>
              <w:rPr>
                <w:color w:val="auto"/>
                <w:szCs w:val="21"/>
              </w:rPr>
              <w:t>合同价格</w:t>
            </w:r>
          </w:p>
        </w:tc>
        <w:tc>
          <w:tcPr>
            <w:tcW w:w="6912" w:type="dxa"/>
          </w:tcPr>
          <w:p w14:paraId="479A2B83">
            <w:pPr>
              <w:topLinePunct/>
              <w:adjustRightInd w:val="0"/>
              <w:snapToGrid w:val="0"/>
              <w:spacing w:line="560" w:lineRule="exact"/>
              <w:rPr>
                <w:color w:val="auto"/>
                <w:szCs w:val="21"/>
              </w:rPr>
            </w:pPr>
          </w:p>
        </w:tc>
      </w:tr>
      <w:tr w14:paraId="2313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508" w:type="dxa"/>
            <w:vAlign w:val="center"/>
          </w:tcPr>
          <w:p w14:paraId="48352E08">
            <w:pPr>
              <w:topLinePunct/>
              <w:adjustRightInd w:val="0"/>
              <w:snapToGrid w:val="0"/>
              <w:spacing w:line="560" w:lineRule="exact"/>
              <w:jc w:val="center"/>
              <w:rPr>
                <w:color w:val="auto"/>
                <w:szCs w:val="21"/>
              </w:rPr>
            </w:pPr>
            <w:r>
              <w:rPr>
                <w:color w:val="auto"/>
                <w:szCs w:val="21"/>
              </w:rPr>
              <w:t>开工日期</w:t>
            </w:r>
          </w:p>
        </w:tc>
        <w:tc>
          <w:tcPr>
            <w:tcW w:w="6912" w:type="dxa"/>
          </w:tcPr>
          <w:p w14:paraId="3BB91FEF">
            <w:pPr>
              <w:topLinePunct/>
              <w:adjustRightInd w:val="0"/>
              <w:snapToGrid w:val="0"/>
              <w:spacing w:line="560" w:lineRule="exact"/>
              <w:rPr>
                <w:color w:val="auto"/>
                <w:szCs w:val="21"/>
              </w:rPr>
            </w:pPr>
          </w:p>
        </w:tc>
      </w:tr>
      <w:tr w14:paraId="346A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508" w:type="dxa"/>
            <w:vAlign w:val="center"/>
          </w:tcPr>
          <w:p w14:paraId="19F91C46">
            <w:pPr>
              <w:topLinePunct/>
              <w:adjustRightInd w:val="0"/>
              <w:snapToGrid w:val="0"/>
              <w:spacing w:line="560" w:lineRule="exact"/>
              <w:jc w:val="center"/>
              <w:rPr>
                <w:color w:val="auto"/>
                <w:szCs w:val="21"/>
              </w:rPr>
            </w:pPr>
            <w:r>
              <w:rPr>
                <w:rFonts w:hint="eastAsia"/>
                <w:color w:val="auto"/>
              </w:rPr>
              <w:t>竣工</w:t>
            </w:r>
            <w:r>
              <w:rPr>
                <w:color w:val="auto"/>
                <w:szCs w:val="21"/>
              </w:rPr>
              <w:t>日期</w:t>
            </w:r>
          </w:p>
        </w:tc>
        <w:tc>
          <w:tcPr>
            <w:tcW w:w="6912" w:type="dxa"/>
          </w:tcPr>
          <w:p w14:paraId="2A778BBE">
            <w:pPr>
              <w:topLinePunct/>
              <w:adjustRightInd w:val="0"/>
              <w:snapToGrid w:val="0"/>
              <w:spacing w:line="560" w:lineRule="exact"/>
              <w:rPr>
                <w:color w:val="auto"/>
                <w:szCs w:val="21"/>
              </w:rPr>
            </w:pPr>
          </w:p>
        </w:tc>
      </w:tr>
      <w:tr w14:paraId="69F6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508" w:type="dxa"/>
            <w:vAlign w:val="center"/>
          </w:tcPr>
          <w:p w14:paraId="683F5A79">
            <w:pPr>
              <w:topLinePunct/>
              <w:adjustRightInd w:val="0"/>
              <w:snapToGrid w:val="0"/>
              <w:spacing w:line="560" w:lineRule="exact"/>
              <w:jc w:val="center"/>
              <w:rPr>
                <w:color w:val="auto"/>
                <w:szCs w:val="21"/>
              </w:rPr>
            </w:pPr>
            <w:r>
              <w:rPr>
                <w:color w:val="auto"/>
                <w:szCs w:val="21"/>
              </w:rPr>
              <w:t>承担的工作</w:t>
            </w:r>
          </w:p>
        </w:tc>
        <w:tc>
          <w:tcPr>
            <w:tcW w:w="6912" w:type="dxa"/>
          </w:tcPr>
          <w:p w14:paraId="07920C1F">
            <w:pPr>
              <w:topLinePunct/>
              <w:adjustRightInd w:val="0"/>
              <w:snapToGrid w:val="0"/>
              <w:spacing w:line="560" w:lineRule="exact"/>
              <w:rPr>
                <w:color w:val="auto"/>
                <w:szCs w:val="21"/>
              </w:rPr>
            </w:pPr>
          </w:p>
        </w:tc>
      </w:tr>
      <w:tr w14:paraId="1F4D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508" w:type="dxa"/>
            <w:vAlign w:val="center"/>
          </w:tcPr>
          <w:p w14:paraId="49BBD319">
            <w:pPr>
              <w:topLinePunct/>
              <w:adjustRightInd w:val="0"/>
              <w:snapToGrid w:val="0"/>
              <w:spacing w:line="560" w:lineRule="exact"/>
              <w:jc w:val="center"/>
              <w:rPr>
                <w:color w:val="auto"/>
                <w:szCs w:val="21"/>
              </w:rPr>
            </w:pPr>
            <w:r>
              <w:rPr>
                <w:color w:val="auto"/>
                <w:szCs w:val="21"/>
              </w:rPr>
              <w:t>工程质量</w:t>
            </w:r>
          </w:p>
        </w:tc>
        <w:tc>
          <w:tcPr>
            <w:tcW w:w="6912" w:type="dxa"/>
          </w:tcPr>
          <w:p w14:paraId="1CC07554">
            <w:pPr>
              <w:topLinePunct/>
              <w:adjustRightInd w:val="0"/>
              <w:snapToGrid w:val="0"/>
              <w:spacing w:line="560" w:lineRule="exact"/>
              <w:rPr>
                <w:color w:val="auto"/>
                <w:szCs w:val="21"/>
              </w:rPr>
            </w:pPr>
          </w:p>
        </w:tc>
      </w:tr>
      <w:tr w14:paraId="2DC4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508" w:type="dxa"/>
            <w:vAlign w:val="center"/>
          </w:tcPr>
          <w:p w14:paraId="49A2F456">
            <w:pPr>
              <w:topLinePunct/>
              <w:adjustRightInd w:val="0"/>
              <w:snapToGrid w:val="0"/>
              <w:spacing w:line="560" w:lineRule="exact"/>
              <w:jc w:val="center"/>
              <w:rPr>
                <w:color w:val="auto"/>
                <w:szCs w:val="21"/>
              </w:rPr>
            </w:pPr>
            <w:r>
              <w:rPr>
                <w:color w:val="auto"/>
                <w:szCs w:val="21"/>
              </w:rPr>
              <w:t>项目经理（建造师）</w:t>
            </w:r>
          </w:p>
        </w:tc>
        <w:tc>
          <w:tcPr>
            <w:tcW w:w="6912" w:type="dxa"/>
          </w:tcPr>
          <w:p w14:paraId="72D51CB2">
            <w:pPr>
              <w:topLinePunct/>
              <w:adjustRightInd w:val="0"/>
              <w:snapToGrid w:val="0"/>
              <w:spacing w:line="560" w:lineRule="exact"/>
              <w:rPr>
                <w:color w:val="auto"/>
                <w:szCs w:val="21"/>
              </w:rPr>
            </w:pPr>
          </w:p>
        </w:tc>
      </w:tr>
      <w:tr w14:paraId="71E1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508" w:type="dxa"/>
            <w:vAlign w:val="center"/>
          </w:tcPr>
          <w:p w14:paraId="430348BA">
            <w:pPr>
              <w:topLinePunct/>
              <w:adjustRightInd w:val="0"/>
              <w:snapToGrid w:val="0"/>
              <w:spacing w:line="560" w:lineRule="exact"/>
              <w:jc w:val="center"/>
              <w:rPr>
                <w:color w:val="auto"/>
                <w:szCs w:val="21"/>
              </w:rPr>
            </w:pPr>
            <w:r>
              <w:rPr>
                <w:color w:val="auto"/>
                <w:szCs w:val="21"/>
              </w:rPr>
              <w:t>技术负责人</w:t>
            </w:r>
          </w:p>
        </w:tc>
        <w:tc>
          <w:tcPr>
            <w:tcW w:w="6912" w:type="dxa"/>
          </w:tcPr>
          <w:p w14:paraId="4C72582C">
            <w:pPr>
              <w:topLinePunct/>
              <w:adjustRightInd w:val="0"/>
              <w:snapToGrid w:val="0"/>
              <w:spacing w:line="560" w:lineRule="exact"/>
              <w:rPr>
                <w:color w:val="auto"/>
                <w:szCs w:val="21"/>
              </w:rPr>
            </w:pPr>
          </w:p>
        </w:tc>
      </w:tr>
      <w:tr w14:paraId="7233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508" w:type="dxa"/>
            <w:vAlign w:val="center"/>
          </w:tcPr>
          <w:p w14:paraId="3FD9EBAB">
            <w:pPr>
              <w:topLinePunct/>
              <w:adjustRightInd w:val="0"/>
              <w:snapToGrid w:val="0"/>
              <w:spacing w:line="560" w:lineRule="exact"/>
              <w:jc w:val="center"/>
              <w:rPr>
                <w:color w:val="auto"/>
                <w:szCs w:val="21"/>
              </w:rPr>
            </w:pPr>
            <w:r>
              <w:rPr>
                <w:color w:val="auto"/>
                <w:szCs w:val="21"/>
              </w:rPr>
              <w:t>项目描述</w:t>
            </w:r>
          </w:p>
        </w:tc>
        <w:tc>
          <w:tcPr>
            <w:tcW w:w="6912" w:type="dxa"/>
          </w:tcPr>
          <w:p w14:paraId="22E31D13">
            <w:pPr>
              <w:topLinePunct/>
              <w:adjustRightInd w:val="0"/>
              <w:snapToGrid w:val="0"/>
              <w:spacing w:line="560" w:lineRule="exact"/>
              <w:rPr>
                <w:color w:val="auto"/>
                <w:szCs w:val="21"/>
              </w:rPr>
            </w:pPr>
          </w:p>
          <w:p w14:paraId="05514FC1">
            <w:pPr>
              <w:topLinePunct/>
              <w:adjustRightInd w:val="0"/>
              <w:snapToGrid w:val="0"/>
              <w:spacing w:line="560" w:lineRule="exact"/>
              <w:rPr>
                <w:color w:val="auto"/>
                <w:szCs w:val="21"/>
              </w:rPr>
            </w:pPr>
          </w:p>
          <w:p w14:paraId="69E689FC">
            <w:pPr>
              <w:topLinePunct/>
              <w:adjustRightInd w:val="0"/>
              <w:snapToGrid w:val="0"/>
              <w:spacing w:line="560" w:lineRule="exact"/>
              <w:rPr>
                <w:color w:val="auto"/>
                <w:szCs w:val="21"/>
              </w:rPr>
            </w:pPr>
          </w:p>
        </w:tc>
      </w:tr>
      <w:tr w14:paraId="5DB5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508" w:type="dxa"/>
            <w:vAlign w:val="center"/>
          </w:tcPr>
          <w:p w14:paraId="61C2F9E6">
            <w:pPr>
              <w:topLinePunct/>
              <w:adjustRightInd w:val="0"/>
              <w:snapToGrid w:val="0"/>
              <w:spacing w:line="560" w:lineRule="exact"/>
              <w:jc w:val="center"/>
              <w:rPr>
                <w:color w:val="auto"/>
                <w:szCs w:val="21"/>
              </w:rPr>
            </w:pPr>
            <w:r>
              <w:rPr>
                <w:color w:val="auto"/>
                <w:szCs w:val="21"/>
              </w:rPr>
              <w:t>备注</w:t>
            </w:r>
          </w:p>
        </w:tc>
        <w:tc>
          <w:tcPr>
            <w:tcW w:w="6912" w:type="dxa"/>
          </w:tcPr>
          <w:p w14:paraId="4F148ABA">
            <w:pPr>
              <w:topLinePunct/>
              <w:adjustRightInd w:val="0"/>
              <w:snapToGrid w:val="0"/>
              <w:spacing w:line="560" w:lineRule="exact"/>
              <w:rPr>
                <w:color w:val="auto"/>
                <w:szCs w:val="21"/>
              </w:rPr>
            </w:pPr>
          </w:p>
        </w:tc>
      </w:tr>
    </w:tbl>
    <w:p w14:paraId="22D691A3">
      <w:pPr>
        <w:pStyle w:val="4"/>
        <w:adjustRightInd w:val="0"/>
        <w:snapToGrid w:val="0"/>
        <w:spacing w:line="560" w:lineRule="exact"/>
        <w:jc w:val="center"/>
        <w:rPr>
          <w:color w:val="auto"/>
        </w:rPr>
      </w:pPr>
      <w:bookmarkStart w:id="829" w:name="_Toc95223536"/>
      <w:r>
        <w:rPr>
          <w:color w:val="auto"/>
        </w:rPr>
        <w:t>（</w:t>
      </w:r>
      <w:r>
        <w:rPr>
          <w:rFonts w:hint="eastAsia"/>
          <w:color w:val="auto"/>
        </w:rPr>
        <w:t>4</w:t>
      </w:r>
      <w:r>
        <w:rPr>
          <w:color w:val="auto"/>
        </w:rPr>
        <w:t>）正在</w:t>
      </w:r>
      <w:r>
        <w:rPr>
          <w:rFonts w:hint="eastAsia"/>
          <w:color w:val="auto"/>
        </w:rPr>
        <w:t>实施</w:t>
      </w:r>
      <w:r>
        <w:rPr>
          <w:color w:val="auto"/>
        </w:rPr>
        <w:t>的和新承接的项目情况表</w:t>
      </w:r>
      <w:bookmarkEnd w:id="829"/>
      <w:r>
        <w:rPr>
          <w:rFonts w:hint="eastAsia"/>
          <w:color w:val="auto"/>
        </w:rPr>
        <w:t>（本项目不采用）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7408"/>
      </w:tblGrid>
      <w:tr w14:paraId="5175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452" w:type="dxa"/>
            <w:vAlign w:val="center"/>
          </w:tcPr>
          <w:p w14:paraId="39F28F2D">
            <w:pPr>
              <w:topLinePunct/>
              <w:adjustRightInd w:val="0"/>
              <w:snapToGrid w:val="0"/>
              <w:spacing w:line="560" w:lineRule="exact"/>
              <w:jc w:val="center"/>
              <w:rPr>
                <w:color w:val="auto"/>
                <w:szCs w:val="21"/>
              </w:rPr>
            </w:pPr>
            <w:r>
              <w:rPr>
                <w:color w:val="auto"/>
                <w:szCs w:val="21"/>
              </w:rPr>
              <w:t>项目名称</w:t>
            </w:r>
          </w:p>
        </w:tc>
        <w:tc>
          <w:tcPr>
            <w:tcW w:w="7408" w:type="dxa"/>
          </w:tcPr>
          <w:p w14:paraId="59425749">
            <w:pPr>
              <w:topLinePunct/>
              <w:adjustRightInd w:val="0"/>
              <w:snapToGrid w:val="0"/>
              <w:spacing w:line="560" w:lineRule="exact"/>
              <w:rPr>
                <w:color w:val="auto"/>
                <w:szCs w:val="21"/>
              </w:rPr>
            </w:pPr>
          </w:p>
        </w:tc>
      </w:tr>
      <w:tr w14:paraId="525B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452" w:type="dxa"/>
            <w:vAlign w:val="center"/>
          </w:tcPr>
          <w:p w14:paraId="544DCD14">
            <w:pPr>
              <w:topLinePunct/>
              <w:adjustRightInd w:val="0"/>
              <w:snapToGrid w:val="0"/>
              <w:spacing w:line="560" w:lineRule="exact"/>
              <w:jc w:val="center"/>
              <w:rPr>
                <w:color w:val="auto"/>
                <w:szCs w:val="21"/>
              </w:rPr>
            </w:pPr>
            <w:r>
              <w:rPr>
                <w:color w:val="auto"/>
                <w:szCs w:val="21"/>
              </w:rPr>
              <w:t>项目所在地</w:t>
            </w:r>
          </w:p>
        </w:tc>
        <w:tc>
          <w:tcPr>
            <w:tcW w:w="7408" w:type="dxa"/>
          </w:tcPr>
          <w:p w14:paraId="32A515FB">
            <w:pPr>
              <w:topLinePunct/>
              <w:adjustRightInd w:val="0"/>
              <w:snapToGrid w:val="0"/>
              <w:spacing w:line="560" w:lineRule="exact"/>
              <w:rPr>
                <w:color w:val="auto"/>
                <w:szCs w:val="21"/>
              </w:rPr>
            </w:pPr>
          </w:p>
        </w:tc>
      </w:tr>
      <w:tr w14:paraId="25EC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452" w:type="dxa"/>
            <w:vAlign w:val="center"/>
          </w:tcPr>
          <w:p w14:paraId="5966E64D">
            <w:pPr>
              <w:topLinePunct/>
              <w:adjustRightInd w:val="0"/>
              <w:snapToGrid w:val="0"/>
              <w:spacing w:line="560" w:lineRule="exact"/>
              <w:jc w:val="center"/>
              <w:rPr>
                <w:color w:val="auto"/>
                <w:szCs w:val="21"/>
              </w:rPr>
            </w:pPr>
            <w:r>
              <w:rPr>
                <w:color w:val="auto"/>
                <w:szCs w:val="21"/>
              </w:rPr>
              <w:t>发包人名</w:t>
            </w:r>
            <w:bookmarkStart w:id="830" w:name="_Toc152042600"/>
            <w:bookmarkStart w:id="831" w:name="_Toc247527851"/>
            <w:bookmarkStart w:id="832" w:name="_Toc152045811"/>
            <w:bookmarkStart w:id="833" w:name="_Toc58229119"/>
            <w:bookmarkStart w:id="834" w:name="_Toc60061578"/>
            <w:bookmarkStart w:id="835" w:name="_Toc506107344"/>
            <w:bookmarkStart w:id="836" w:name="_Toc247514303"/>
            <w:bookmarkStart w:id="837" w:name="_Toc296602621"/>
            <w:bookmarkStart w:id="838" w:name="_Toc144974879"/>
            <w:bookmarkStart w:id="839" w:name="_Toc15058938"/>
            <w:bookmarkStart w:id="840" w:name="_Toc265953297"/>
            <w:bookmarkStart w:id="841" w:name="_Toc324404892"/>
            <w:bookmarkStart w:id="842" w:name="_Toc30815"/>
            <w:r>
              <w:rPr>
                <w:color w:val="auto"/>
                <w:szCs w:val="21"/>
              </w:rPr>
              <w:t>称</w:t>
            </w:r>
          </w:p>
        </w:tc>
        <w:tc>
          <w:tcPr>
            <w:tcW w:w="7408" w:type="dxa"/>
          </w:tcPr>
          <w:p w14:paraId="68DE121D">
            <w:pPr>
              <w:topLinePunct/>
              <w:adjustRightInd w:val="0"/>
              <w:snapToGrid w:val="0"/>
              <w:spacing w:line="560" w:lineRule="exact"/>
              <w:rPr>
                <w:color w:val="auto"/>
                <w:szCs w:val="21"/>
              </w:rPr>
            </w:pPr>
          </w:p>
        </w:tc>
      </w:tr>
      <w:tr w14:paraId="7861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452" w:type="dxa"/>
            <w:vAlign w:val="center"/>
          </w:tcPr>
          <w:p w14:paraId="087E68E8">
            <w:pPr>
              <w:topLinePunct/>
              <w:adjustRightInd w:val="0"/>
              <w:snapToGrid w:val="0"/>
              <w:spacing w:line="560" w:lineRule="exact"/>
              <w:jc w:val="center"/>
              <w:rPr>
                <w:color w:val="auto"/>
                <w:szCs w:val="21"/>
              </w:rPr>
            </w:pPr>
            <w:r>
              <w:rPr>
                <w:color w:val="auto"/>
                <w:szCs w:val="21"/>
              </w:rPr>
              <w:t>发包人地址</w:t>
            </w:r>
          </w:p>
        </w:tc>
        <w:tc>
          <w:tcPr>
            <w:tcW w:w="7408" w:type="dxa"/>
          </w:tcPr>
          <w:p w14:paraId="197D5BB9">
            <w:pPr>
              <w:topLinePunct/>
              <w:adjustRightInd w:val="0"/>
              <w:snapToGrid w:val="0"/>
              <w:spacing w:line="560" w:lineRule="exact"/>
              <w:rPr>
                <w:color w:val="auto"/>
                <w:szCs w:val="21"/>
              </w:rPr>
            </w:pPr>
          </w:p>
        </w:tc>
      </w:tr>
      <w:tr w14:paraId="36AE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452" w:type="dxa"/>
            <w:vAlign w:val="center"/>
          </w:tcPr>
          <w:p w14:paraId="11DA6BD7">
            <w:pPr>
              <w:topLinePunct/>
              <w:adjustRightInd w:val="0"/>
              <w:snapToGrid w:val="0"/>
              <w:spacing w:line="560" w:lineRule="exact"/>
              <w:jc w:val="center"/>
              <w:rPr>
                <w:color w:val="auto"/>
                <w:szCs w:val="21"/>
              </w:rPr>
            </w:pPr>
            <w:r>
              <w:rPr>
                <w:color w:val="auto"/>
                <w:szCs w:val="21"/>
              </w:rPr>
              <w:t>发包人电话</w:t>
            </w:r>
          </w:p>
          <w:bookmarkEnd w:id="830"/>
          <w:bookmarkEnd w:id="831"/>
          <w:bookmarkEnd w:id="832"/>
          <w:bookmarkEnd w:id="833"/>
          <w:bookmarkEnd w:id="834"/>
          <w:bookmarkEnd w:id="835"/>
          <w:bookmarkEnd w:id="836"/>
          <w:bookmarkEnd w:id="837"/>
          <w:bookmarkEnd w:id="838"/>
          <w:bookmarkEnd w:id="839"/>
          <w:bookmarkEnd w:id="840"/>
          <w:bookmarkEnd w:id="841"/>
          <w:bookmarkEnd w:id="842"/>
        </w:tc>
        <w:tc>
          <w:tcPr>
            <w:tcW w:w="7408" w:type="dxa"/>
          </w:tcPr>
          <w:p w14:paraId="528FAB8A">
            <w:pPr>
              <w:topLinePunct/>
              <w:adjustRightInd w:val="0"/>
              <w:snapToGrid w:val="0"/>
              <w:spacing w:line="560" w:lineRule="exact"/>
              <w:rPr>
                <w:color w:val="auto"/>
                <w:szCs w:val="21"/>
              </w:rPr>
            </w:pPr>
          </w:p>
        </w:tc>
      </w:tr>
      <w:tr w14:paraId="184A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452" w:type="dxa"/>
            <w:vAlign w:val="center"/>
          </w:tcPr>
          <w:p w14:paraId="4E14FBDD">
            <w:pPr>
              <w:topLinePunct/>
              <w:adjustRightInd w:val="0"/>
              <w:snapToGrid w:val="0"/>
              <w:spacing w:line="560" w:lineRule="exact"/>
              <w:jc w:val="center"/>
              <w:rPr>
                <w:color w:val="auto"/>
                <w:szCs w:val="21"/>
              </w:rPr>
            </w:pPr>
            <w:r>
              <w:rPr>
                <w:color w:val="auto"/>
                <w:szCs w:val="21"/>
              </w:rPr>
              <w:t>签约合同价</w:t>
            </w:r>
          </w:p>
        </w:tc>
        <w:tc>
          <w:tcPr>
            <w:tcW w:w="7408" w:type="dxa"/>
          </w:tcPr>
          <w:p w14:paraId="632BB10F">
            <w:pPr>
              <w:topLinePunct/>
              <w:adjustRightInd w:val="0"/>
              <w:snapToGrid w:val="0"/>
              <w:spacing w:line="560" w:lineRule="exact"/>
              <w:rPr>
                <w:color w:val="auto"/>
                <w:szCs w:val="21"/>
              </w:rPr>
            </w:pPr>
          </w:p>
        </w:tc>
      </w:tr>
      <w:tr w14:paraId="0CD1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452" w:type="dxa"/>
            <w:vAlign w:val="center"/>
          </w:tcPr>
          <w:p w14:paraId="588C872C">
            <w:pPr>
              <w:topLinePunct/>
              <w:adjustRightInd w:val="0"/>
              <w:snapToGrid w:val="0"/>
              <w:spacing w:line="560" w:lineRule="exact"/>
              <w:jc w:val="center"/>
              <w:rPr>
                <w:color w:val="auto"/>
                <w:szCs w:val="21"/>
              </w:rPr>
            </w:pPr>
            <w:r>
              <w:rPr>
                <w:color w:val="auto"/>
                <w:szCs w:val="21"/>
              </w:rPr>
              <w:t>开工日期</w:t>
            </w:r>
          </w:p>
        </w:tc>
        <w:tc>
          <w:tcPr>
            <w:tcW w:w="7408" w:type="dxa"/>
          </w:tcPr>
          <w:p w14:paraId="0C902DE9">
            <w:pPr>
              <w:topLinePunct/>
              <w:adjustRightInd w:val="0"/>
              <w:snapToGrid w:val="0"/>
              <w:spacing w:line="560" w:lineRule="exact"/>
              <w:rPr>
                <w:color w:val="auto"/>
                <w:szCs w:val="21"/>
              </w:rPr>
            </w:pPr>
          </w:p>
        </w:tc>
      </w:tr>
      <w:tr w14:paraId="0488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452" w:type="dxa"/>
            <w:vAlign w:val="center"/>
          </w:tcPr>
          <w:p w14:paraId="38175DC0">
            <w:pPr>
              <w:topLinePunct/>
              <w:adjustRightInd w:val="0"/>
              <w:snapToGrid w:val="0"/>
              <w:spacing w:line="560" w:lineRule="exact"/>
              <w:jc w:val="center"/>
              <w:rPr>
                <w:color w:val="auto"/>
                <w:szCs w:val="21"/>
              </w:rPr>
            </w:pPr>
            <w:r>
              <w:rPr>
                <w:color w:val="auto"/>
                <w:szCs w:val="21"/>
              </w:rPr>
              <w:t>计划</w:t>
            </w:r>
            <w:r>
              <w:rPr>
                <w:rFonts w:hint="eastAsia"/>
                <w:color w:val="auto"/>
              </w:rPr>
              <w:t>竣工</w:t>
            </w:r>
            <w:r>
              <w:rPr>
                <w:color w:val="auto"/>
                <w:szCs w:val="21"/>
              </w:rPr>
              <w:t>日期</w:t>
            </w:r>
          </w:p>
        </w:tc>
        <w:tc>
          <w:tcPr>
            <w:tcW w:w="7408" w:type="dxa"/>
          </w:tcPr>
          <w:p w14:paraId="7B7BA349">
            <w:pPr>
              <w:topLinePunct/>
              <w:adjustRightInd w:val="0"/>
              <w:snapToGrid w:val="0"/>
              <w:spacing w:line="560" w:lineRule="exact"/>
              <w:rPr>
                <w:color w:val="auto"/>
                <w:szCs w:val="21"/>
              </w:rPr>
            </w:pPr>
          </w:p>
        </w:tc>
      </w:tr>
      <w:tr w14:paraId="2F60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452" w:type="dxa"/>
            <w:vAlign w:val="center"/>
          </w:tcPr>
          <w:p w14:paraId="7DFDE1D6">
            <w:pPr>
              <w:topLinePunct/>
              <w:adjustRightInd w:val="0"/>
              <w:snapToGrid w:val="0"/>
              <w:spacing w:line="560" w:lineRule="exact"/>
              <w:jc w:val="center"/>
              <w:rPr>
                <w:color w:val="auto"/>
                <w:szCs w:val="21"/>
              </w:rPr>
            </w:pPr>
            <w:r>
              <w:rPr>
                <w:color w:val="auto"/>
                <w:szCs w:val="21"/>
              </w:rPr>
              <w:t>承担的工作</w:t>
            </w:r>
          </w:p>
        </w:tc>
        <w:tc>
          <w:tcPr>
            <w:tcW w:w="7408" w:type="dxa"/>
          </w:tcPr>
          <w:p w14:paraId="101E7C09">
            <w:pPr>
              <w:topLinePunct/>
              <w:adjustRightInd w:val="0"/>
              <w:snapToGrid w:val="0"/>
              <w:spacing w:line="560" w:lineRule="exact"/>
              <w:rPr>
                <w:color w:val="auto"/>
                <w:szCs w:val="21"/>
              </w:rPr>
            </w:pPr>
          </w:p>
        </w:tc>
      </w:tr>
      <w:tr w14:paraId="44FA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452" w:type="dxa"/>
            <w:vAlign w:val="center"/>
          </w:tcPr>
          <w:p w14:paraId="7F8797D5">
            <w:pPr>
              <w:topLinePunct/>
              <w:adjustRightInd w:val="0"/>
              <w:snapToGrid w:val="0"/>
              <w:spacing w:line="560" w:lineRule="exact"/>
              <w:jc w:val="center"/>
              <w:rPr>
                <w:color w:val="auto"/>
                <w:szCs w:val="21"/>
              </w:rPr>
            </w:pPr>
            <w:r>
              <w:rPr>
                <w:color w:val="auto"/>
                <w:szCs w:val="21"/>
              </w:rPr>
              <w:t>工程质量</w:t>
            </w:r>
          </w:p>
        </w:tc>
        <w:tc>
          <w:tcPr>
            <w:tcW w:w="7408" w:type="dxa"/>
          </w:tcPr>
          <w:p w14:paraId="07640415">
            <w:pPr>
              <w:topLinePunct/>
              <w:adjustRightInd w:val="0"/>
              <w:snapToGrid w:val="0"/>
              <w:spacing w:line="560" w:lineRule="exact"/>
              <w:rPr>
                <w:color w:val="auto"/>
                <w:szCs w:val="21"/>
              </w:rPr>
            </w:pPr>
          </w:p>
        </w:tc>
      </w:tr>
      <w:tr w14:paraId="64A7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452" w:type="dxa"/>
            <w:vAlign w:val="center"/>
          </w:tcPr>
          <w:p w14:paraId="52420060">
            <w:pPr>
              <w:topLinePunct/>
              <w:adjustRightInd w:val="0"/>
              <w:snapToGrid w:val="0"/>
              <w:spacing w:line="560" w:lineRule="exact"/>
              <w:jc w:val="center"/>
              <w:rPr>
                <w:color w:val="auto"/>
                <w:szCs w:val="21"/>
              </w:rPr>
            </w:pPr>
            <w:r>
              <w:rPr>
                <w:color w:val="auto"/>
                <w:szCs w:val="21"/>
              </w:rPr>
              <w:t>项目经理（建造师）</w:t>
            </w:r>
          </w:p>
        </w:tc>
        <w:tc>
          <w:tcPr>
            <w:tcW w:w="7408" w:type="dxa"/>
          </w:tcPr>
          <w:p w14:paraId="280B9453">
            <w:pPr>
              <w:topLinePunct/>
              <w:adjustRightInd w:val="0"/>
              <w:snapToGrid w:val="0"/>
              <w:spacing w:line="560" w:lineRule="exact"/>
              <w:rPr>
                <w:color w:val="auto"/>
                <w:szCs w:val="21"/>
              </w:rPr>
            </w:pPr>
          </w:p>
        </w:tc>
      </w:tr>
      <w:tr w14:paraId="506B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452" w:type="dxa"/>
            <w:vAlign w:val="center"/>
          </w:tcPr>
          <w:p w14:paraId="6DF3F416">
            <w:pPr>
              <w:topLinePunct/>
              <w:adjustRightInd w:val="0"/>
              <w:snapToGrid w:val="0"/>
              <w:spacing w:line="560" w:lineRule="exact"/>
              <w:jc w:val="center"/>
              <w:rPr>
                <w:color w:val="auto"/>
                <w:szCs w:val="21"/>
              </w:rPr>
            </w:pPr>
            <w:r>
              <w:rPr>
                <w:color w:val="auto"/>
                <w:szCs w:val="21"/>
              </w:rPr>
              <w:t>技术负责人</w:t>
            </w:r>
          </w:p>
        </w:tc>
        <w:tc>
          <w:tcPr>
            <w:tcW w:w="7408" w:type="dxa"/>
          </w:tcPr>
          <w:p w14:paraId="5CB8C4DE">
            <w:pPr>
              <w:topLinePunct/>
              <w:adjustRightInd w:val="0"/>
              <w:snapToGrid w:val="0"/>
              <w:spacing w:line="560" w:lineRule="exact"/>
              <w:rPr>
                <w:color w:val="auto"/>
                <w:szCs w:val="21"/>
              </w:rPr>
            </w:pPr>
          </w:p>
        </w:tc>
      </w:tr>
      <w:tr w14:paraId="54A0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2452" w:type="dxa"/>
            <w:vAlign w:val="center"/>
          </w:tcPr>
          <w:p w14:paraId="4DA479E0">
            <w:pPr>
              <w:topLinePunct/>
              <w:adjustRightInd w:val="0"/>
              <w:snapToGrid w:val="0"/>
              <w:spacing w:line="560" w:lineRule="exact"/>
              <w:jc w:val="center"/>
              <w:rPr>
                <w:color w:val="auto"/>
                <w:szCs w:val="21"/>
              </w:rPr>
            </w:pPr>
            <w:r>
              <w:rPr>
                <w:color w:val="auto"/>
                <w:szCs w:val="21"/>
              </w:rPr>
              <w:t>项目描述</w:t>
            </w:r>
          </w:p>
        </w:tc>
        <w:tc>
          <w:tcPr>
            <w:tcW w:w="7408" w:type="dxa"/>
          </w:tcPr>
          <w:p w14:paraId="3BEB1E65">
            <w:pPr>
              <w:topLinePunct/>
              <w:adjustRightInd w:val="0"/>
              <w:snapToGrid w:val="0"/>
              <w:spacing w:line="560" w:lineRule="exact"/>
              <w:rPr>
                <w:color w:val="auto"/>
                <w:szCs w:val="21"/>
              </w:rPr>
            </w:pPr>
          </w:p>
          <w:p w14:paraId="22785451">
            <w:pPr>
              <w:topLinePunct/>
              <w:adjustRightInd w:val="0"/>
              <w:snapToGrid w:val="0"/>
              <w:spacing w:line="560" w:lineRule="exact"/>
              <w:rPr>
                <w:color w:val="auto"/>
                <w:szCs w:val="21"/>
              </w:rPr>
            </w:pPr>
          </w:p>
          <w:p w14:paraId="77C5C9E2">
            <w:pPr>
              <w:topLinePunct/>
              <w:adjustRightInd w:val="0"/>
              <w:snapToGrid w:val="0"/>
              <w:spacing w:line="560" w:lineRule="exact"/>
              <w:rPr>
                <w:color w:val="auto"/>
                <w:szCs w:val="21"/>
              </w:rPr>
            </w:pPr>
          </w:p>
          <w:p w14:paraId="1B722D4A">
            <w:pPr>
              <w:topLinePunct/>
              <w:adjustRightInd w:val="0"/>
              <w:snapToGrid w:val="0"/>
              <w:spacing w:line="560" w:lineRule="exact"/>
              <w:rPr>
                <w:color w:val="auto"/>
                <w:szCs w:val="21"/>
              </w:rPr>
            </w:pPr>
          </w:p>
          <w:p w14:paraId="36BD98ED">
            <w:pPr>
              <w:topLinePunct/>
              <w:adjustRightInd w:val="0"/>
              <w:snapToGrid w:val="0"/>
              <w:spacing w:line="560" w:lineRule="exact"/>
              <w:rPr>
                <w:color w:val="auto"/>
                <w:szCs w:val="21"/>
              </w:rPr>
            </w:pPr>
          </w:p>
        </w:tc>
      </w:tr>
      <w:tr w14:paraId="2649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452" w:type="dxa"/>
            <w:vAlign w:val="center"/>
          </w:tcPr>
          <w:p w14:paraId="34101451">
            <w:pPr>
              <w:topLinePunct/>
              <w:adjustRightInd w:val="0"/>
              <w:snapToGrid w:val="0"/>
              <w:spacing w:line="560" w:lineRule="exact"/>
              <w:jc w:val="center"/>
              <w:rPr>
                <w:color w:val="auto"/>
                <w:szCs w:val="21"/>
              </w:rPr>
            </w:pPr>
            <w:r>
              <w:rPr>
                <w:color w:val="auto"/>
                <w:szCs w:val="21"/>
              </w:rPr>
              <w:t>备注</w:t>
            </w:r>
          </w:p>
        </w:tc>
        <w:tc>
          <w:tcPr>
            <w:tcW w:w="7408" w:type="dxa"/>
          </w:tcPr>
          <w:p w14:paraId="739CB022">
            <w:pPr>
              <w:topLinePunct/>
              <w:adjustRightInd w:val="0"/>
              <w:snapToGrid w:val="0"/>
              <w:spacing w:line="560" w:lineRule="exact"/>
              <w:rPr>
                <w:color w:val="auto"/>
                <w:szCs w:val="21"/>
              </w:rPr>
            </w:pPr>
          </w:p>
        </w:tc>
      </w:tr>
    </w:tbl>
    <w:p w14:paraId="52358824">
      <w:pPr>
        <w:pStyle w:val="4"/>
        <w:adjustRightInd w:val="0"/>
        <w:snapToGrid w:val="0"/>
        <w:spacing w:line="560" w:lineRule="exact"/>
        <w:jc w:val="center"/>
        <w:rPr>
          <w:color w:val="auto"/>
        </w:rPr>
      </w:pPr>
      <w:bookmarkStart w:id="843" w:name="_Toc95223537"/>
      <w:r>
        <w:rPr>
          <w:rFonts w:hint="eastAsia"/>
          <w:color w:val="auto"/>
        </w:rPr>
        <w:t>（5）联合体协议书</w:t>
      </w:r>
      <w:bookmarkEnd w:id="843"/>
    </w:p>
    <w:p w14:paraId="70A1F64C">
      <w:pPr>
        <w:adjustRightInd w:val="0"/>
        <w:snapToGrid w:val="0"/>
        <w:spacing w:line="520" w:lineRule="exact"/>
        <w:ind w:firstLine="422" w:firstLineChars="200"/>
        <w:jc w:val="left"/>
        <w:rPr>
          <w:rFonts w:ascii="宋体" w:hAnsi="宋体"/>
          <w:color w:val="auto"/>
          <w:szCs w:val="21"/>
        </w:rPr>
      </w:pPr>
      <w:r>
        <w:rPr>
          <w:rFonts w:hint="eastAsia" w:ascii="宋体" w:hAnsi="宋体"/>
          <w:b/>
          <w:color w:val="auto"/>
          <w:szCs w:val="21"/>
          <w:u w:val="single"/>
        </w:rPr>
        <w:t xml:space="preserve">                </w:t>
      </w:r>
      <w:r>
        <w:rPr>
          <w:rFonts w:hint="eastAsia" w:ascii="宋体" w:hAnsi="宋体"/>
          <w:color w:val="auto"/>
          <w:szCs w:val="21"/>
        </w:rPr>
        <w:t>（所有成员单位名</w:t>
      </w:r>
      <w:bookmarkStart w:id="844" w:name="_Toc506107345"/>
      <w:bookmarkStart w:id="845" w:name="_Toc58229120"/>
      <w:bookmarkStart w:id="846" w:name="_Toc60061579"/>
      <w:bookmarkStart w:id="847" w:name="_Toc15058939"/>
      <w:bookmarkStart w:id="848" w:name="_Toc179632823"/>
      <w:bookmarkStart w:id="849" w:name="_Toc152042592"/>
      <w:bookmarkStart w:id="850" w:name="_Toc152045803"/>
      <w:bookmarkStart w:id="851" w:name="_Toc144974871"/>
      <w:r>
        <w:rPr>
          <w:rFonts w:hint="eastAsia" w:ascii="宋体" w:hAnsi="宋体"/>
          <w:color w:val="auto"/>
          <w:szCs w:val="21"/>
        </w:rPr>
        <w:t xml:space="preserve">称）自愿组成 </w:t>
      </w:r>
      <w:r>
        <w:rPr>
          <w:rFonts w:hint="eastAsia" w:ascii="宋体" w:hAnsi="宋体"/>
          <w:color w:val="auto"/>
          <w:szCs w:val="21"/>
          <w:u w:val="single"/>
        </w:rPr>
        <w:t xml:space="preserve">  </w:t>
      </w:r>
      <w:bookmarkEnd w:id="844"/>
      <w:r>
        <w:rPr>
          <w:rFonts w:hint="eastAsia" w:ascii="宋体" w:hAnsi="宋体"/>
          <w:color w:val="auto"/>
          <w:szCs w:val="21"/>
          <w:u w:val="single"/>
        </w:rPr>
        <w:t xml:space="preserve">    </w:t>
      </w:r>
      <w:bookmarkEnd w:id="845"/>
      <w:bookmarkEnd w:id="846"/>
      <w:bookmarkEnd w:id="847"/>
      <w:r>
        <w:rPr>
          <w:rFonts w:hint="eastAsia" w:ascii="宋体" w:hAnsi="宋体"/>
          <w:color w:val="auto"/>
          <w:szCs w:val="21"/>
          <w:u w:val="single"/>
        </w:rPr>
        <w:t xml:space="preserve">   </w:t>
      </w:r>
      <w:r>
        <w:rPr>
          <w:rFonts w:hint="eastAsia" w:ascii="宋体" w:hAnsi="宋体"/>
          <w:color w:val="auto"/>
          <w:szCs w:val="21"/>
        </w:rPr>
        <w:t>（联合体名称）联合体，共同参加</w:t>
      </w:r>
      <w:r>
        <w:rPr>
          <w:rFonts w:hint="eastAsia" w:ascii="宋体" w:hAnsi="宋体"/>
          <w:b/>
          <w:color w:val="auto"/>
          <w:szCs w:val="21"/>
          <w:u w:val="single"/>
        </w:rPr>
        <w:t xml:space="preserve">             </w:t>
      </w: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标段施工投标。现就联合体投标事宜订立如下协议：</w:t>
      </w:r>
    </w:p>
    <w:p w14:paraId="3EFDBF1C">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u w:val="single"/>
        </w:rPr>
        <w:t xml:space="preserve">             </w:t>
      </w:r>
      <w:r>
        <w:rPr>
          <w:rFonts w:hint="eastAsia" w:ascii="宋体" w:hAnsi="宋体"/>
          <w:color w:val="auto"/>
          <w:szCs w:val="21"/>
        </w:rPr>
        <w:t>（某成员单位名称）为</w:t>
      </w:r>
      <w:r>
        <w:rPr>
          <w:rFonts w:hint="eastAsia" w:ascii="宋体" w:hAnsi="宋体"/>
          <w:color w:val="auto"/>
          <w:szCs w:val="21"/>
          <w:u w:val="single"/>
        </w:rPr>
        <w:t xml:space="preserve">             </w:t>
      </w:r>
      <w:r>
        <w:rPr>
          <w:rFonts w:hint="eastAsia" w:ascii="宋体" w:hAnsi="宋体"/>
          <w:color w:val="auto"/>
          <w:szCs w:val="21"/>
        </w:rPr>
        <w:t>（联合体名称）牵头人。</w:t>
      </w:r>
    </w:p>
    <w:p w14:paraId="10DDEF13">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2.联合体牵头人合法代表联合体各成员负责本招标项目投标文件编制和合同谈判活动，并代表联合体提交和接收相关的资料、信息及指示，并处理与之有关的一切事务，负责合同实施阶段的主办、组织和协议工作。</w:t>
      </w:r>
    </w:p>
    <w:p w14:paraId="7AE38086">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3.联合体将严格按照招标文件的各项要求，递交投标文件，履行合同，并对外承担连带责任。</w:t>
      </w:r>
    </w:p>
    <w:p w14:paraId="0C2C8B4A">
      <w:pPr>
        <w:adjustRightInd w:val="0"/>
        <w:snapToGrid w:val="0"/>
        <w:spacing w:line="520" w:lineRule="exact"/>
        <w:ind w:firstLine="420" w:firstLineChars="200"/>
        <w:rPr>
          <w:rFonts w:ascii="宋体" w:hAnsi="宋体"/>
          <w:color w:val="auto"/>
          <w:szCs w:val="21"/>
          <w:u w:val="single"/>
        </w:rPr>
      </w:pPr>
      <w:r>
        <w:rPr>
          <w:rFonts w:hint="eastAsia" w:ascii="宋体" w:hAnsi="宋体"/>
          <w:color w:val="auto"/>
          <w:szCs w:val="21"/>
        </w:rPr>
        <w:t>4.联合体各成员单位内部的职责分工如下：</w:t>
      </w:r>
    </w:p>
    <w:p w14:paraId="574A0DFC">
      <w:pPr>
        <w:pStyle w:val="44"/>
        <w:snapToGrid w:val="0"/>
        <w:spacing w:line="520" w:lineRule="exact"/>
        <w:ind w:firstLine="525" w:firstLineChars="250"/>
        <w:rPr>
          <w:rFonts w:cs="Times New Roman"/>
          <w:color w:val="auto"/>
          <w:sz w:val="21"/>
          <w:szCs w:val="21"/>
        </w:rPr>
      </w:pPr>
      <w:r>
        <w:rPr>
          <w:rFonts w:cs="Times New Roman"/>
          <w:color w:val="auto"/>
          <w:sz w:val="21"/>
          <w:szCs w:val="21"/>
        </w:rPr>
        <w:t>牵头人</w:t>
      </w:r>
      <w:r>
        <w:rPr>
          <w:rFonts w:hint="eastAsia" w:cs="Times New Roman"/>
          <w:color w:val="auto"/>
          <w:sz w:val="21"/>
          <w:szCs w:val="21"/>
        </w:rPr>
        <w:t>（成员一）</w:t>
      </w:r>
      <w:r>
        <w:rPr>
          <w:rFonts w:cs="Times New Roman"/>
          <w:color w:val="auto"/>
          <w:sz w:val="21"/>
          <w:szCs w:val="21"/>
        </w:rPr>
        <w:t>名称</w:t>
      </w:r>
      <w:r>
        <w:rPr>
          <w:rFonts w:cs="Times New Roman"/>
          <w:color w:val="auto"/>
          <w:sz w:val="21"/>
          <w:szCs w:val="21"/>
          <w:u w:val="single"/>
        </w:rPr>
        <w:t>：</w:t>
      </w:r>
      <w:r>
        <w:rPr>
          <w:rFonts w:hint="eastAsia" w:cs="Times New Roman"/>
          <w:color w:val="auto"/>
          <w:sz w:val="21"/>
          <w:szCs w:val="21"/>
          <w:u w:val="single"/>
        </w:rPr>
        <w:t xml:space="preserve">           </w:t>
      </w:r>
      <w:r>
        <w:rPr>
          <w:rFonts w:cs="Times New Roman"/>
          <w:color w:val="auto"/>
          <w:sz w:val="21"/>
          <w:szCs w:val="21"/>
          <w:u w:val="single"/>
        </w:rPr>
        <w:t xml:space="preserve"> </w:t>
      </w:r>
      <w:r>
        <w:rPr>
          <w:rFonts w:cs="Times New Roman"/>
          <w:color w:val="auto"/>
          <w:sz w:val="21"/>
          <w:szCs w:val="21"/>
        </w:rPr>
        <w:t>，具有</w:t>
      </w:r>
      <w:r>
        <w:rPr>
          <w:rFonts w:cs="Times New Roman"/>
          <w:color w:val="auto"/>
          <w:sz w:val="21"/>
          <w:szCs w:val="21"/>
          <w:u w:val="single"/>
        </w:rPr>
        <w:t xml:space="preserve"> </w:t>
      </w:r>
      <w:r>
        <w:rPr>
          <w:rFonts w:hint="eastAsia" w:cs="Times New Roman"/>
          <w:color w:val="auto"/>
          <w:sz w:val="21"/>
          <w:szCs w:val="21"/>
          <w:u w:val="single"/>
        </w:rPr>
        <w:t xml:space="preserve">           </w:t>
      </w:r>
      <w:r>
        <w:rPr>
          <w:rFonts w:cs="Times New Roman"/>
          <w:color w:val="auto"/>
          <w:sz w:val="21"/>
          <w:szCs w:val="21"/>
          <w:u w:val="single"/>
        </w:rPr>
        <w:t>资</w:t>
      </w:r>
      <w:r>
        <w:rPr>
          <w:rFonts w:cs="Times New Roman"/>
          <w:color w:val="auto"/>
          <w:sz w:val="21"/>
          <w:szCs w:val="21"/>
        </w:rPr>
        <w:t>格，</w:t>
      </w:r>
      <w:r>
        <w:rPr>
          <w:rFonts w:hint="eastAsia" w:cs="Times New Roman"/>
          <w:color w:val="auto"/>
          <w:sz w:val="21"/>
          <w:szCs w:val="21"/>
        </w:rPr>
        <w:t>负责</w:t>
      </w:r>
      <w:r>
        <w:rPr>
          <w:rFonts w:cs="Times New Roman"/>
          <w:color w:val="auto"/>
          <w:sz w:val="21"/>
          <w:szCs w:val="21"/>
        </w:rPr>
        <w:t>承担</w:t>
      </w:r>
      <w:r>
        <w:rPr>
          <w:rFonts w:cs="Times New Roman"/>
          <w:color w:val="auto"/>
          <w:sz w:val="21"/>
          <w:szCs w:val="21"/>
          <w:u w:val="single"/>
        </w:rPr>
        <w:t xml:space="preserve"> </w:t>
      </w:r>
      <w:r>
        <w:rPr>
          <w:rFonts w:hint="eastAsia" w:cs="Times New Roman"/>
          <w:color w:val="auto"/>
          <w:sz w:val="21"/>
          <w:szCs w:val="21"/>
          <w:u w:val="single"/>
        </w:rPr>
        <w:t xml:space="preserve">           ，负责内容的合同金额占总合同金额的百分比    %</w:t>
      </w:r>
      <w:r>
        <w:rPr>
          <w:rFonts w:cs="Times New Roman"/>
          <w:color w:val="auto"/>
          <w:sz w:val="21"/>
          <w:szCs w:val="21"/>
          <w:u w:val="single"/>
        </w:rPr>
        <w:t>；</w:t>
      </w:r>
      <w:r>
        <w:rPr>
          <w:rFonts w:cs="Times New Roman"/>
          <w:color w:val="auto"/>
          <w:sz w:val="21"/>
          <w:szCs w:val="21"/>
        </w:rPr>
        <w:t xml:space="preserve"> </w:t>
      </w:r>
    </w:p>
    <w:p w14:paraId="721C4BD2">
      <w:pPr>
        <w:adjustRightInd w:val="0"/>
        <w:snapToGrid w:val="0"/>
        <w:spacing w:line="520" w:lineRule="exact"/>
        <w:ind w:firstLine="630" w:firstLineChars="300"/>
        <w:rPr>
          <w:rFonts w:ascii="宋体" w:hAnsi="宋体"/>
          <w:color w:val="auto"/>
          <w:szCs w:val="21"/>
        </w:rPr>
      </w:pPr>
      <w:r>
        <w:rPr>
          <w:color w:val="auto"/>
          <w:szCs w:val="21"/>
        </w:rPr>
        <w:t>成员</w:t>
      </w:r>
      <w:r>
        <w:rPr>
          <w:rFonts w:hint="eastAsia"/>
          <w:color w:val="auto"/>
          <w:szCs w:val="21"/>
        </w:rPr>
        <w:t>二</w:t>
      </w:r>
      <w:r>
        <w:rPr>
          <w:color w:val="auto"/>
          <w:szCs w:val="21"/>
        </w:rPr>
        <w:t>名称</w:t>
      </w:r>
      <w:r>
        <w:rPr>
          <w:color w:val="auto"/>
          <w:szCs w:val="21"/>
          <w:u w:val="single"/>
        </w:rPr>
        <w:t>：</w:t>
      </w:r>
      <w:r>
        <w:rPr>
          <w:rFonts w:hint="eastAsia"/>
          <w:color w:val="auto"/>
          <w:szCs w:val="21"/>
          <w:u w:val="single"/>
        </w:rPr>
        <w:t xml:space="preserve">          </w:t>
      </w:r>
      <w:r>
        <w:rPr>
          <w:color w:val="auto"/>
          <w:szCs w:val="21"/>
          <w:u w:val="single"/>
        </w:rPr>
        <w:t xml:space="preserve"> </w:t>
      </w:r>
      <w:r>
        <w:rPr>
          <w:color w:val="auto"/>
          <w:szCs w:val="21"/>
        </w:rPr>
        <w:t>，具有</w:t>
      </w:r>
      <w:r>
        <w:rPr>
          <w:color w:val="auto"/>
          <w:szCs w:val="21"/>
          <w:u w:val="single"/>
        </w:rPr>
        <w:t xml:space="preserve"> </w:t>
      </w:r>
      <w:r>
        <w:rPr>
          <w:rFonts w:hint="eastAsia"/>
          <w:color w:val="auto"/>
          <w:szCs w:val="21"/>
          <w:u w:val="single"/>
        </w:rPr>
        <w:t xml:space="preserve">           </w:t>
      </w:r>
      <w:r>
        <w:rPr>
          <w:color w:val="auto"/>
          <w:szCs w:val="21"/>
          <w:u w:val="single"/>
        </w:rPr>
        <w:t>资</w:t>
      </w:r>
      <w:r>
        <w:rPr>
          <w:color w:val="auto"/>
          <w:szCs w:val="21"/>
        </w:rPr>
        <w:t>格，</w:t>
      </w:r>
      <w:r>
        <w:rPr>
          <w:rFonts w:hint="eastAsia"/>
          <w:color w:val="auto"/>
          <w:szCs w:val="21"/>
        </w:rPr>
        <w:t>负责</w:t>
      </w:r>
      <w:r>
        <w:rPr>
          <w:color w:val="auto"/>
          <w:szCs w:val="21"/>
        </w:rPr>
        <w:t>承</w:t>
      </w:r>
      <w:r>
        <w:rPr>
          <w:color w:val="auto"/>
          <w:szCs w:val="21"/>
          <w:u w:val="single"/>
        </w:rPr>
        <w:t xml:space="preserve">担 </w:t>
      </w:r>
      <w:r>
        <w:rPr>
          <w:rFonts w:hint="eastAsia"/>
          <w:color w:val="auto"/>
          <w:szCs w:val="21"/>
          <w:u w:val="single"/>
        </w:rPr>
        <w:t xml:space="preserve">             </w:t>
      </w:r>
      <w:r>
        <w:rPr>
          <w:rFonts w:hint="eastAsia"/>
          <w:color w:val="auto"/>
          <w:szCs w:val="21"/>
        </w:rPr>
        <w:t>，</w:t>
      </w:r>
      <w:r>
        <w:rPr>
          <w:rFonts w:hint="eastAsia"/>
          <w:color w:val="auto"/>
          <w:szCs w:val="21"/>
          <w:u w:val="single"/>
        </w:rPr>
        <w:t>负责内容的合同金额占总合同金额的百分比    %</w:t>
      </w:r>
      <w:r>
        <w:rPr>
          <w:color w:val="auto"/>
          <w:szCs w:val="21"/>
          <w:u w:val="single"/>
        </w:rPr>
        <w:t>；</w:t>
      </w:r>
      <w:r>
        <w:rPr>
          <w:rFonts w:hint="eastAsia" w:ascii="宋体" w:hAnsi="宋体"/>
          <w:color w:val="auto"/>
          <w:szCs w:val="21"/>
        </w:rPr>
        <w:t xml:space="preserve">               </w:t>
      </w:r>
    </w:p>
    <w:p w14:paraId="599CB454">
      <w:pPr>
        <w:adjustRightInd w:val="0"/>
        <w:snapToGrid w:val="0"/>
        <w:spacing w:line="520" w:lineRule="exact"/>
        <w:ind w:firstLine="630" w:firstLineChars="300"/>
        <w:rPr>
          <w:rFonts w:ascii="宋体" w:hAnsi="宋体"/>
          <w:color w:val="auto"/>
          <w:szCs w:val="21"/>
        </w:rPr>
      </w:pPr>
      <w:r>
        <w:rPr>
          <w:color w:val="auto"/>
          <w:szCs w:val="21"/>
        </w:rPr>
        <w:t>成员</w:t>
      </w:r>
      <w:r>
        <w:rPr>
          <w:rFonts w:hint="eastAsia"/>
          <w:color w:val="auto"/>
          <w:szCs w:val="21"/>
        </w:rPr>
        <w:t>三</w:t>
      </w:r>
      <w:r>
        <w:rPr>
          <w:color w:val="auto"/>
          <w:szCs w:val="21"/>
        </w:rPr>
        <w:t>名称</w:t>
      </w:r>
      <w:r>
        <w:rPr>
          <w:color w:val="auto"/>
          <w:szCs w:val="21"/>
          <w:u w:val="single"/>
        </w:rPr>
        <w:t>：</w:t>
      </w:r>
      <w:r>
        <w:rPr>
          <w:rFonts w:hint="eastAsia"/>
          <w:color w:val="auto"/>
          <w:szCs w:val="21"/>
          <w:u w:val="single"/>
        </w:rPr>
        <w:t xml:space="preserve">          </w:t>
      </w:r>
      <w:r>
        <w:rPr>
          <w:color w:val="auto"/>
          <w:szCs w:val="21"/>
          <w:u w:val="single"/>
        </w:rPr>
        <w:t xml:space="preserve"> </w:t>
      </w:r>
      <w:r>
        <w:rPr>
          <w:color w:val="auto"/>
          <w:szCs w:val="21"/>
        </w:rPr>
        <w:t>，具有</w:t>
      </w:r>
      <w:r>
        <w:rPr>
          <w:color w:val="auto"/>
          <w:szCs w:val="21"/>
          <w:u w:val="single"/>
        </w:rPr>
        <w:t xml:space="preserve"> </w:t>
      </w:r>
      <w:r>
        <w:rPr>
          <w:rFonts w:hint="eastAsia"/>
          <w:color w:val="auto"/>
          <w:szCs w:val="21"/>
          <w:u w:val="single"/>
        </w:rPr>
        <w:t xml:space="preserve">           </w:t>
      </w:r>
      <w:r>
        <w:rPr>
          <w:color w:val="auto"/>
          <w:szCs w:val="21"/>
          <w:u w:val="single"/>
        </w:rPr>
        <w:t>资</w:t>
      </w:r>
      <w:r>
        <w:rPr>
          <w:color w:val="auto"/>
          <w:szCs w:val="21"/>
        </w:rPr>
        <w:t>格，</w:t>
      </w:r>
      <w:r>
        <w:rPr>
          <w:rFonts w:hint="eastAsia"/>
          <w:color w:val="auto"/>
          <w:szCs w:val="21"/>
        </w:rPr>
        <w:t>负责</w:t>
      </w:r>
      <w:r>
        <w:rPr>
          <w:color w:val="auto"/>
          <w:szCs w:val="21"/>
        </w:rPr>
        <w:t>承</w:t>
      </w:r>
      <w:r>
        <w:rPr>
          <w:color w:val="auto"/>
          <w:szCs w:val="21"/>
          <w:u w:val="single"/>
        </w:rPr>
        <w:t xml:space="preserve">担 </w:t>
      </w:r>
      <w:r>
        <w:rPr>
          <w:rFonts w:hint="eastAsia"/>
          <w:color w:val="auto"/>
          <w:szCs w:val="21"/>
          <w:u w:val="single"/>
        </w:rPr>
        <w:t xml:space="preserve">             </w:t>
      </w:r>
      <w:r>
        <w:rPr>
          <w:rFonts w:hint="eastAsia"/>
          <w:color w:val="auto"/>
          <w:szCs w:val="21"/>
        </w:rPr>
        <w:t>，</w:t>
      </w:r>
      <w:r>
        <w:rPr>
          <w:rFonts w:hint="eastAsia"/>
          <w:color w:val="auto"/>
          <w:szCs w:val="21"/>
          <w:u w:val="single"/>
        </w:rPr>
        <w:t>负责内容的合同金额占总合同金额的百分比    %</w:t>
      </w:r>
      <w:r>
        <w:rPr>
          <w:color w:val="auto"/>
          <w:szCs w:val="21"/>
          <w:u w:val="single"/>
        </w:rPr>
        <w:t>；</w:t>
      </w:r>
    </w:p>
    <w:p w14:paraId="2B92A1E8">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5.本协议书自签署之日起生效，合同履行完毕后自动失效。</w:t>
      </w:r>
    </w:p>
    <w:p w14:paraId="30B7F628">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6.联合体中标后，本联合体协议是合同的附件，对联合体各成员单位有合同约束力。</w:t>
      </w:r>
    </w:p>
    <w:p w14:paraId="05C605E8">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7.本协议书一式</w:t>
      </w:r>
      <w:r>
        <w:rPr>
          <w:rFonts w:hint="eastAsia" w:ascii="宋体" w:hAnsi="宋体"/>
          <w:color w:val="auto"/>
          <w:szCs w:val="21"/>
          <w:u w:val="single"/>
        </w:rPr>
        <w:t xml:space="preserve">          </w:t>
      </w:r>
      <w:r>
        <w:rPr>
          <w:rFonts w:hint="eastAsia" w:ascii="宋体" w:hAnsi="宋体"/>
          <w:color w:val="auto"/>
          <w:szCs w:val="21"/>
        </w:rPr>
        <w:t>份，联合体成员和招标人各执一份。</w:t>
      </w:r>
    </w:p>
    <w:p w14:paraId="4BB51CB9">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注：本协议由委托代理人签字的，应附法定代表人签字的授权委托书。</w:t>
      </w:r>
    </w:p>
    <w:p w14:paraId="1925548D">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 xml:space="preserve">                             牵头人（成员一）名称：</w:t>
      </w:r>
      <w:r>
        <w:rPr>
          <w:rFonts w:hint="eastAsia" w:ascii="宋体" w:hAnsi="宋体"/>
          <w:color w:val="auto"/>
          <w:szCs w:val="21"/>
          <w:u w:val="single"/>
        </w:rPr>
        <w:t xml:space="preserve">                         </w:t>
      </w:r>
      <w:r>
        <w:rPr>
          <w:rFonts w:hint="eastAsia" w:ascii="宋体" w:hAnsi="宋体"/>
          <w:color w:val="auto"/>
          <w:szCs w:val="21"/>
        </w:rPr>
        <w:t>（签章）</w:t>
      </w:r>
    </w:p>
    <w:p w14:paraId="77134465">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 xml:space="preserve">                             法定代表人：</w:t>
      </w:r>
      <w:r>
        <w:rPr>
          <w:rFonts w:hint="eastAsia" w:ascii="宋体" w:hAnsi="宋体"/>
          <w:color w:val="auto"/>
          <w:szCs w:val="21"/>
          <w:u w:val="single"/>
        </w:rPr>
        <w:t xml:space="preserve">               </w:t>
      </w:r>
      <w:r>
        <w:rPr>
          <w:rFonts w:hint="eastAsia" w:ascii="宋体" w:hAnsi="宋体"/>
          <w:color w:val="auto"/>
          <w:szCs w:val="21"/>
        </w:rPr>
        <w:t>（签章）</w:t>
      </w:r>
    </w:p>
    <w:p w14:paraId="48A7FB6D">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 xml:space="preserve">                             成员二名称：</w:t>
      </w:r>
      <w:r>
        <w:rPr>
          <w:rFonts w:hint="eastAsia" w:ascii="宋体" w:hAnsi="宋体"/>
          <w:color w:val="auto"/>
          <w:szCs w:val="21"/>
          <w:u w:val="single"/>
        </w:rPr>
        <w:t xml:space="preserve">                         </w:t>
      </w:r>
      <w:r>
        <w:rPr>
          <w:rFonts w:hint="eastAsia" w:ascii="宋体" w:hAnsi="宋体"/>
          <w:color w:val="auto"/>
          <w:szCs w:val="21"/>
        </w:rPr>
        <w:t>（签章）</w:t>
      </w:r>
    </w:p>
    <w:p w14:paraId="0B00328A">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 xml:space="preserve">                             法定代表人：</w:t>
      </w:r>
      <w:r>
        <w:rPr>
          <w:rFonts w:hint="eastAsia" w:ascii="宋体" w:hAnsi="宋体"/>
          <w:color w:val="auto"/>
          <w:szCs w:val="21"/>
          <w:u w:val="single"/>
        </w:rPr>
        <w:t xml:space="preserve">               </w:t>
      </w:r>
      <w:r>
        <w:rPr>
          <w:rFonts w:hint="eastAsia" w:ascii="宋体" w:hAnsi="宋体"/>
          <w:color w:val="auto"/>
          <w:szCs w:val="21"/>
        </w:rPr>
        <w:t>（签章）</w:t>
      </w:r>
    </w:p>
    <w:p w14:paraId="5D7D270D">
      <w:pPr>
        <w:adjustRightInd w:val="0"/>
        <w:snapToGrid w:val="0"/>
        <w:spacing w:line="520" w:lineRule="exact"/>
        <w:ind w:firstLine="3360" w:firstLineChars="1600"/>
        <w:rPr>
          <w:rFonts w:ascii="宋体" w:hAnsi="宋体"/>
          <w:color w:val="auto"/>
          <w:szCs w:val="21"/>
        </w:rPr>
      </w:pPr>
      <w:r>
        <w:rPr>
          <w:rFonts w:hint="eastAsia" w:ascii="宋体" w:hAnsi="宋体"/>
          <w:color w:val="auto"/>
          <w:szCs w:val="21"/>
        </w:rPr>
        <w:t>成员三名称：</w:t>
      </w:r>
      <w:r>
        <w:rPr>
          <w:rFonts w:hint="eastAsia" w:ascii="宋体" w:hAnsi="宋体"/>
          <w:color w:val="auto"/>
          <w:szCs w:val="21"/>
          <w:u w:val="single"/>
        </w:rPr>
        <w:t xml:space="preserve">                         </w:t>
      </w:r>
      <w:r>
        <w:rPr>
          <w:rFonts w:hint="eastAsia" w:ascii="宋体" w:hAnsi="宋体"/>
          <w:color w:val="auto"/>
          <w:szCs w:val="21"/>
        </w:rPr>
        <w:t>（签章）</w:t>
      </w:r>
    </w:p>
    <w:p w14:paraId="0A18ECED">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 xml:space="preserve">                             法定代表人：</w:t>
      </w:r>
      <w:r>
        <w:rPr>
          <w:rFonts w:hint="eastAsia" w:ascii="宋体" w:hAnsi="宋体"/>
          <w:color w:val="auto"/>
          <w:szCs w:val="21"/>
          <w:u w:val="single"/>
        </w:rPr>
        <w:t xml:space="preserve">               </w:t>
      </w:r>
      <w:r>
        <w:rPr>
          <w:rFonts w:hint="eastAsia" w:ascii="宋体" w:hAnsi="宋体"/>
          <w:color w:val="auto"/>
          <w:szCs w:val="21"/>
        </w:rPr>
        <w:t>（签章）</w:t>
      </w:r>
    </w:p>
    <w:p w14:paraId="46F8707D">
      <w:pPr>
        <w:adjustRightInd w:val="0"/>
        <w:snapToGrid w:val="0"/>
        <w:spacing w:line="560" w:lineRule="exact"/>
        <w:ind w:firstLine="5775" w:firstLineChars="2750"/>
        <w:rPr>
          <w:color w:val="auto"/>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bookmarkEnd w:id="848"/>
    <w:bookmarkEnd w:id="849"/>
    <w:bookmarkEnd w:id="850"/>
    <w:bookmarkEnd w:id="851"/>
    <w:p w14:paraId="4744A0AE">
      <w:pPr>
        <w:rPr>
          <w:color w:val="auto"/>
        </w:rPr>
      </w:pPr>
      <w:bookmarkStart w:id="852" w:name="_Toc95223538"/>
      <w:r>
        <w:rPr>
          <w:rFonts w:hint="eastAsia"/>
          <w:color w:val="auto"/>
        </w:rPr>
        <w:br w:type="page"/>
      </w:r>
    </w:p>
    <w:p w14:paraId="6031881F">
      <w:pPr>
        <w:pStyle w:val="4"/>
        <w:adjustRightInd w:val="0"/>
        <w:snapToGrid w:val="0"/>
        <w:spacing w:line="560" w:lineRule="exact"/>
        <w:jc w:val="center"/>
        <w:rPr>
          <w:color w:val="auto"/>
        </w:rPr>
      </w:pPr>
      <w:r>
        <w:rPr>
          <w:rFonts w:hint="eastAsia"/>
          <w:color w:val="auto"/>
        </w:rPr>
        <w:t>（6）</w:t>
      </w:r>
      <w:r>
        <w:rPr>
          <w:color w:val="auto"/>
        </w:rPr>
        <w:t>项目管理机构</w:t>
      </w:r>
    </w:p>
    <w:p w14:paraId="2DE2A54F">
      <w:pPr>
        <w:pStyle w:val="5"/>
        <w:jc w:val="center"/>
        <w:rPr>
          <w:color w:val="auto"/>
        </w:rPr>
      </w:pPr>
      <w:r>
        <w:rPr>
          <w:rFonts w:hint="eastAsia"/>
          <w:color w:val="auto"/>
        </w:rPr>
        <w:t>附表1：</w:t>
      </w:r>
      <w:r>
        <w:rPr>
          <w:color w:val="auto"/>
        </w:rPr>
        <w:t>项目管理机构</w:t>
      </w:r>
      <w:r>
        <w:rPr>
          <w:rFonts w:hint="eastAsia"/>
          <w:color w:val="auto"/>
        </w:rPr>
        <w:t>主要人员</w:t>
      </w:r>
      <w:r>
        <w:rPr>
          <w:color w:val="auto"/>
        </w:rPr>
        <w:t>组成表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14"/>
        <w:gridCol w:w="812"/>
        <w:gridCol w:w="1220"/>
        <w:gridCol w:w="812"/>
        <w:gridCol w:w="814"/>
        <w:gridCol w:w="811"/>
        <w:gridCol w:w="2848"/>
        <w:gridCol w:w="759"/>
      </w:tblGrid>
      <w:tr w14:paraId="1AAC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30" w:type="dxa"/>
            <w:vMerge w:val="restart"/>
            <w:vAlign w:val="center"/>
          </w:tcPr>
          <w:p w14:paraId="0E67CBEE">
            <w:pPr>
              <w:adjustRightInd w:val="0"/>
              <w:snapToGrid w:val="0"/>
              <w:spacing w:line="560" w:lineRule="exact"/>
              <w:jc w:val="center"/>
              <w:rPr>
                <w:color w:val="auto"/>
                <w:szCs w:val="21"/>
              </w:rPr>
            </w:pPr>
            <w:r>
              <w:rPr>
                <w:color w:val="auto"/>
                <w:szCs w:val="21"/>
              </w:rPr>
              <w:t>职务</w:t>
            </w:r>
          </w:p>
        </w:tc>
        <w:tc>
          <w:tcPr>
            <w:tcW w:w="814" w:type="dxa"/>
            <w:vMerge w:val="restart"/>
            <w:vAlign w:val="center"/>
          </w:tcPr>
          <w:p w14:paraId="3F74A0D7">
            <w:pPr>
              <w:adjustRightInd w:val="0"/>
              <w:snapToGrid w:val="0"/>
              <w:spacing w:line="560" w:lineRule="exact"/>
              <w:jc w:val="center"/>
              <w:rPr>
                <w:color w:val="auto"/>
                <w:szCs w:val="21"/>
              </w:rPr>
            </w:pPr>
            <w:r>
              <w:rPr>
                <w:color w:val="auto"/>
                <w:szCs w:val="21"/>
              </w:rPr>
              <w:t>姓名</w:t>
            </w:r>
          </w:p>
        </w:tc>
        <w:tc>
          <w:tcPr>
            <w:tcW w:w="812" w:type="dxa"/>
            <w:vMerge w:val="restart"/>
            <w:vAlign w:val="center"/>
          </w:tcPr>
          <w:p w14:paraId="022A234B">
            <w:pPr>
              <w:adjustRightInd w:val="0"/>
              <w:snapToGrid w:val="0"/>
              <w:spacing w:line="560" w:lineRule="exact"/>
              <w:jc w:val="center"/>
              <w:rPr>
                <w:color w:val="auto"/>
                <w:szCs w:val="21"/>
              </w:rPr>
            </w:pPr>
            <w:r>
              <w:rPr>
                <w:color w:val="auto"/>
                <w:szCs w:val="21"/>
              </w:rPr>
              <w:t>职称</w:t>
            </w:r>
          </w:p>
        </w:tc>
        <w:tc>
          <w:tcPr>
            <w:tcW w:w="6505" w:type="dxa"/>
            <w:gridSpan w:val="5"/>
            <w:vAlign w:val="center"/>
          </w:tcPr>
          <w:p w14:paraId="62342243">
            <w:pPr>
              <w:adjustRightInd w:val="0"/>
              <w:snapToGrid w:val="0"/>
              <w:spacing w:line="560" w:lineRule="exact"/>
              <w:jc w:val="center"/>
              <w:rPr>
                <w:color w:val="auto"/>
                <w:szCs w:val="21"/>
              </w:rPr>
            </w:pPr>
            <w:r>
              <w:rPr>
                <w:color w:val="auto"/>
                <w:szCs w:val="21"/>
              </w:rPr>
              <w:t>执业或职业资格证明</w:t>
            </w:r>
          </w:p>
        </w:tc>
        <w:tc>
          <w:tcPr>
            <w:tcW w:w="759" w:type="dxa"/>
            <w:vAlign w:val="center"/>
          </w:tcPr>
          <w:p w14:paraId="3032DBAE">
            <w:pPr>
              <w:adjustRightInd w:val="0"/>
              <w:snapToGrid w:val="0"/>
              <w:spacing w:line="560" w:lineRule="exact"/>
              <w:jc w:val="center"/>
              <w:rPr>
                <w:color w:val="auto"/>
                <w:szCs w:val="21"/>
              </w:rPr>
            </w:pPr>
            <w:r>
              <w:rPr>
                <w:color w:val="auto"/>
                <w:szCs w:val="21"/>
              </w:rPr>
              <w:t>备注</w:t>
            </w:r>
          </w:p>
        </w:tc>
      </w:tr>
      <w:tr w14:paraId="1735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30" w:type="dxa"/>
            <w:vMerge w:val="continue"/>
            <w:vAlign w:val="center"/>
          </w:tcPr>
          <w:p w14:paraId="59AED165">
            <w:pPr>
              <w:adjustRightInd w:val="0"/>
              <w:snapToGrid w:val="0"/>
              <w:spacing w:line="560" w:lineRule="exact"/>
              <w:jc w:val="center"/>
              <w:rPr>
                <w:color w:val="auto"/>
                <w:szCs w:val="21"/>
              </w:rPr>
            </w:pPr>
          </w:p>
        </w:tc>
        <w:tc>
          <w:tcPr>
            <w:tcW w:w="814" w:type="dxa"/>
            <w:vMerge w:val="continue"/>
            <w:vAlign w:val="center"/>
          </w:tcPr>
          <w:p w14:paraId="36635149">
            <w:pPr>
              <w:adjustRightInd w:val="0"/>
              <w:snapToGrid w:val="0"/>
              <w:spacing w:line="560" w:lineRule="exact"/>
              <w:jc w:val="center"/>
              <w:rPr>
                <w:color w:val="auto"/>
                <w:szCs w:val="21"/>
              </w:rPr>
            </w:pPr>
          </w:p>
        </w:tc>
        <w:tc>
          <w:tcPr>
            <w:tcW w:w="812" w:type="dxa"/>
            <w:vMerge w:val="continue"/>
            <w:vAlign w:val="center"/>
          </w:tcPr>
          <w:p w14:paraId="22754BAA">
            <w:pPr>
              <w:adjustRightInd w:val="0"/>
              <w:snapToGrid w:val="0"/>
              <w:spacing w:line="560" w:lineRule="exact"/>
              <w:jc w:val="center"/>
              <w:rPr>
                <w:color w:val="auto"/>
                <w:szCs w:val="21"/>
              </w:rPr>
            </w:pPr>
          </w:p>
        </w:tc>
        <w:tc>
          <w:tcPr>
            <w:tcW w:w="1220" w:type="dxa"/>
            <w:vAlign w:val="center"/>
          </w:tcPr>
          <w:p w14:paraId="2F864112">
            <w:pPr>
              <w:adjustRightInd w:val="0"/>
              <w:snapToGrid w:val="0"/>
              <w:spacing w:line="560" w:lineRule="exact"/>
              <w:jc w:val="center"/>
              <w:rPr>
                <w:color w:val="auto"/>
                <w:szCs w:val="21"/>
              </w:rPr>
            </w:pPr>
            <w:r>
              <w:rPr>
                <w:color w:val="auto"/>
                <w:szCs w:val="21"/>
              </w:rPr>
              <w:t>证书名称</w:t>
            </w:r>
          </w:p>
        </w:tc>
        <w:tc>
          <w:tcPr>
            <w:tcW w:w="812" w:type="dxa"/>
            <w:vAlign w:val="center"/>
          </w:tcPr>
          <w:p w14:paraId="0DA3B813">
            <w:pPr>
              <w:adjustRightInd w:val="0"/>
              <w:snapToGrid w:val="0"/>
              <w:spacing w:line="560" w:lineRule="exact"/>
              <w:jc w:val="center"/>
              <w:rPr>
                <w:color w:val="auto"/>
                <w:szCs w:val="21"/>
              </w:rPr>
            </w:pPr>
            <w:r>
              <w:rPr>
                <w:color w:val="auto"/>
                <w:szCs w:val="21"/>
              </w:rPr>
              <w:t>级别</w:t>
            </w:r>
          </w:p>
        </w:tc>
        <w:tc>
          <w:tcPr>
            <w:tcW w:w="814" w:type="dxa"/>
            <w:vAlign w:val="center"/>
          </w:tcPr>
          <w:p w14:paraId="4CDB9A06">
            <w:pPr>
              <w:adjustRightInd w:val="0"/>
              <w:snapToGrid w:val="0"/>
              <w:spacing w:line="560" w:lineRule="exact"/>
              <w:jc w:val="center"/>
              <w:rPr>
                <w:color w:val="auto"/>
                <w:szCs w:val="21"/>
              </w:rPr>
            </w:pPr>
            <w:r>
              <w:rPr>
                <w:color w:val="auto"/>
                <w:szCs w:val="21"/>
              </w:rPr>
              <w:t>证号</w:t>
            </w:r>
          </w:p>
        </w:tc>
        <w:tc>
          <w:tcPr>
            <w:tcW w:w="811" w:type="dxa"/>
            <w:vAlign w:val="center"/>
          </w:tcPr>
          <w:p w14:paraId="0DC1EF8B">
            <w:pPr>
              <w:adjustRightInd w:val="0"/>
              <w:snapToGrid w:val="0"/>
              <w:spacing w:line="560" w:lineRule="exact"/>
              <w:jc w:val="center"/>
              <w:rPr>
                <w:color w:val="auto"/>
                <w:szCs w:val="21"/>
              </w:rPr>
            </w:pPr>
            <w:r>
              <w:rPr>
                <w:color w:val="auto"/>
                <w:szCs w:val="21"/>
              </w:rPr>
              <w:t>专业</w:t>
            </w:r>
          </w:p>
        </w:tc>
        <w:tc>
          <w:tcPr>
            <w:tcW w:w="2848" w:type="dxa"/>
            <w:vAlign w:val="center"/>
          </w:tcPr>
          <w:p w14:paraId="498B7F31">
            <w:pPr>
              <w:adjustRightInd w:val="0"/>
              <w:snapToGrid w:val="0"/>
              <w:spacing w:line="560" w:lineRule="exact"/>
              <w:jc w:val="center"/>
              <w:rPr>
                <w:color w:val="auto"/>
                <w:szCs w:val="21"/>
              </w:rPr>
            </w:pPr>
            <w:r>
              <w:rPr>
                <w:color w:val="auto"/>
                <w:szCs w:val="21"/>
              </w:rPr>
              <w:t>养老保险</w:t>
            </w:r>
          </w:p>
        </w:tc>
        <w:tc>
          <w:tcPr>
            <w:tcW w:w="759" w:type="dxa"/>
            <w:vAlign w:val="center"/>
          </w:tcPr>
          <w:p w14:paraId="3783856F">
            <w:pPr>
              <w:adjustRightInd w:val="0"/>
              <w:snapToGrid w:val="0"/>
              <w:spacing w:line="560" w:lineRule="exact"/>
              <w:jc w:val="center"/>
              <w:rPr>
                <w:color w:val="auto"/>
                <w:szCs w:val="21"/>
              </w:rPr>
            </w:pPr>
          </w:p>
        </w:tc>
      </w:tr>
      <w:tr w14:paraId="0040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vAlign w:val="center"/>
          </w:tcPr>
          <w:p w14:paraId="6833F2FF">
            <w:pPr>
              <w:adjustRightInd w:val="0"/>
              <w:snapToGrid w:val="0"/>
              <w:spacing w:line="560" w:lineRule="exact"/>
              <w:jc w:val="center"/>
              <w:rPr>
                <w:color w:val="auto"/>
                <w:szCs w:val="21"/>
              </w:rPr>
            </w:pPr>
            <w:r>
              <w:rPr>
                <w:rFonts w:hint="eastAsia"/>
                <w:color w:val="auto"/>
                <w:szCs w:val="21"/>
              </w:rPr>
              <w:t>项目经理（建造师）</w:t>
            </w:r>
          </w:p>
        </w:tc>
        <w:tc>
          <w:tcPr>
            <w:tcW w:w="814" w:type="dxa"/>
            <w:vAlign w:val="center"/>
          </w:tcPr>
          <w:p w14:paraId="70D86F06">
            <w:pPr>
              <w:adjustRightInd w:val="0"/>
              <w:snapToGrid w:val="0"/>
              <w:spacing w:line="560" w:lineRule="exact"/>
              <w:jc w:val="center"/>
              <w:rPr>
                <w:color w:val="auto"/>
                <w:szCs w:val="21"/>
              </w:rPr>
            </w:pPr>
          </w:p>
        </w:tc>
        <w:tc>
          <w:tcPr>
            <w:tcW w:w="812" w:type="dxa"/>
            <w:vAlign w:val="center"/>
          </w:tcPr>
          <w:p w14:paraId="4D0E189A">
            <w:pPr>
              <w:adjustRightInd w:val="0"/>
              <w:snapToGrid w:val="0"/>
              <w:spacing w:line="560" w:lineRule="exact"/>
              <w:jc w:val="center"/>
              <w:rPr>
                <w:color w:val="auto"/>
                <w:szCs w:val="21"/>
              </w:rPr>
            </w:pPr>
          </w:p>
        </w:tc>
        <w:tc>
          <w:tcPr>
            <w:tcW w:w="1220" w:type="dxa"/>
            <w:vAlign w:val="center"/>
          </w:tcPr>
          <w:p w14:paraId="2EA96D2F">
            <w:pPr>
              <w:adjustRightInd w:val="0"/>
              <w:snapToGrid w:val="0"/>
              <w:spacing w:line="560" w:lineRule="exact"/>
              <w:jc w:val="center"/>
              <w:rPr>
                <w:color w:val="auto"/>
                <w:szCs w:val="21"/>
              </w:rPr>
            </w:pPr>
          </w:p>
        </w:tc>
        <w:tc>
          <w:tcPr>
            <w:tcW w:w="812" w:type="dxa"/>
            <w:vAlign w:val="center"/>
          </w:tcPr>
          <w:p w14:paraId="30ED4CF8">
            <w:pPr>
              <w:adjustRightInd w:val="0"/>
              <w:snapToGrid w:val="0"/>
              <w:spacing w:line="560" w:lineRule="exact"/>
              <w:jc w:val="center"/>
              <w:rPr>
                <w:color w:val="auto"/>
                <w:szCs w:val="21"/>
              </w:rPr>
            </w:pPr>
          </w:p>
        </w:tc>
        <w:tc>
          <w:tcPr>
            <w:tcW w:w="814" w:type="dxa"/>
            <w:vAlign w:val="center"/>
          </w:tcPr>
          <w:p w14:paraId="6329A522">
            <w:pPr>
              <w:adjustRightInd w:val="0"/>
              <w:snapToGrid w:val="0"/>
              <w:spacing w:line="560" w:lineRule="exact"/>
              <w:jc w:val="center"/>
              <w:rPr>
                <w:color w:val="auto"/>
                <w:szCs w:val="21"/>
              </w:rPr>
            </w:pPr>
          </w:p>
        </w:tc>
        <w:tc>
          <w:tcPr>
            <w:tcW w:w="811" w:type="dxa"/>
            <w:vAlign w:val="center"/>
          </w:tcPr>
          <w:p w14:paraId="475794EF">
            <w:pPr>
              <w:adjustRightInd w:val="0"/>
              <w:snapToGrid w:val="0"/>
              <w:spacing w:line="560" w:lineRule="exact"/>
              <w:jc w:val="center"/>
              <w:rPr>
                <w:color w:val="auto"/>
                <w:szCs w:val="21"/>
              </w:rPr>
            </w:pPr>
          </w:p>
        </w:tc>
        <w:tc>
          <w:tcPr>
            <w:tcW w:w="2848" w:type="dxa"/>
            <w:vAlign w:val="center"/>
          </w:tcPr>
          <w:p w14:paraId="083EFBBC">
            <w:pPr>
              <w:adjustRightInd w:val="0"/>
              <w:snapToGrid w:val="0"/>
              <w:spacing w:line="560" w:lineRule="exact"/>
              <w:jc w:val="center"/>
              <w:rPr>
                <w:color w:val="auto"/>
                <w:szCs w:val="21"/>
              </w:rPr>
            </w:pPr>
          </w:p>
        </w:tc>
        <w:tc>
          <w:tcPr>
            <w:tcW w:w="759" w:type="dxa"/>
            <w:vAlign w:val="center"/>
          </w:tcPr>
          <w:p w14:paraId="6442B23C">
            <w:pPr>
              <w:adjustRightInd w:val="0"/>
              <w:snapToGrid w:val="0"/>
              <w:spacing w:line="560" w:lineRule="exact"/>
              <w:jc w:val="center"/>
              <w:rPr>
                <w:color w:val="auto"/>
                <w:szCs w:val="21"/>
              </w:rPr>
            </w:pPr>
          </w:p>
        </w:tc>
      </w:tr>
      <w:tr w14:paraId="48D1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Pr>
          <w:p w14:paraId="53B56CD7">
            <w:pPr>
              <w:adjustRightInd w:val="0"/>
              <w:snapToGrid w:val="0"/>
              <w:spacing w:line="560" w:lineRule="exact"/>
              <w:jc w:val="center"/>
              <w:rPr>
                <w:color w:val="auto"/>
                <w:szCs w:val="21"/>
              </w:rPr>
            </w:pPr>
            <w:r>
              <w:rPr>
                <w:rFonts w:hint="eastAsia"/>
                <w:color w:val="auto"/>
                <w:szCs w:val="21"/>
              </w:rPr>
              <w:t>技术负责人</w:t>
            </w:r>
          </w:p>
        </w:tc>
        <w:tc>
          <w:tcPr>
            <w:tcW w:w="814" w:type="dxa"/>
          </w:tcPr>
          <w:p w14:paraId="4BA27DE8">
            <w:pPr>
              <w:adjustRightInd w:val="0"/>
              <w:snapToGrid w:val="0"/>
              <w:spacing w:line="560" w:lineRule="exact"/>
              <w:jc w:val="center"/>
              <w:rPr>
                <w:color w:val="auto"/>
                <w:szCs w:val="21"/>
              </w:rPr>
            </w:pPr>
          </w:p>
        </w:tc>
        <w:tc>
          <w:tcPr>
            <w:tcW w:w="812" w:type="dxa"/>
          </w:tcPr>
          <w:p w14:paraId="2D685AE0">
            <w:pPr>
              <w:adjustRightInd w:val="0"/>
              <w:snapToGrid w:val="0"/>
              <w:spacing w:line="560" w:lineRule="exact"/>
              <w:jc w:val="center"/>
              <w:rPr>
                <w:color w:val="auto"/>
                <w:szCs w:val="21"/>
              </w:rPr>
            </w:pPr>
          </w:p>
        </w:tc>
        <w:tc>
          <w:tcPr>
            <w:tcW w:w="1220" w:type="dxa"/>
          </w:tcPr>
          <w:p w14:paraId="5E845210">
            <w:pPr>
              <w:adjustRightInd w:val="0"/>
              <w:snapToGrid w:val="0"/>
              <w:spacing w:line="560" w:lineRule="exact"/>
              <w:jc w:val="center"/>
              <w:rPr>
                <w:color w:val="auto"/>
                <w:szCs w:val="21"/>
              </w:rPr>
            </w:pPr>
          </w:p>
        </w:tc>
        <w:tc>
          <w:tcPr>
            <w:tcW w:w="812" w:type="dxa"/>
          </w:tcPr>
          <w:p w14:paraId="762F3305">
            <w:pPr>
              <w:adjustRightInd w:val="0"/>
              <w:snapToGrid w:val="0"/>
              <w:spacing w:line="560" w:lineRule="exact"/>
              <w:jc w:val="center"/>
              <w:rPr>
                <w:color w:val="auto"/>
                <w:szCs w:val="21"/>
              </w:rPr>
            </w:pPr>
          </w:p>
        </w:tc>
        <w:tc>
          <w:tcPr>
            <w:tcW w:w="814" w:type="dxa"/>
          </w:tcPr>
          <w:p w14:paraId="318F6154">
            <w:pPr>
              <w:adjustRightInd w:val="0"/>
              <w:snapToGrid w:val="0"/>
              <w:spacing w:line="560" w:lineRule="exact"/>
              <w:jc w:val="center"/>
              <w:rPr>
                <w:color w:val="auto"/>
                <w:szCs w:val="21"/>
              </w:rPr>
            </w:pPr>
          </w:p>
        </w:tc>
        <w:tc>
          <w:tcPr>
            <w:tcW w:w="811" w:type="dxa"/>
          </w:tcPr>
          <w:p w14:paraId="7F628542">
            <w:pPr>
              <w:adjustRightInd w:val="0"/>
              <w:snapToGrid w:val="0"/>
              <w:spacing w:line="560" w:lineRule="exact"/>
              <w:jc w:val="center"/>
              <w:rPr>
                <w:color w:val="auto"/>
                <w:szCs w:val="21"/>
              </w:rPr>
            </w:pPr>
          </w:p>
        </w:tc>
        <w:tc>
          <w:tcPr>
            <w:tcW w:w="2848" w:type="dxa"/>
          </w:tcPr>
          <w:p w14:paraId="4C455EAA">
            <w:pPr>
              <w:adjustRightInd w:val="0"/>
              <w:snapToGrid w:val="0"/>
              <w:spacing w:line="560" w:lineRule="exact"/>
              <w:jc w:val="center"/>
              <w:rPr>
                <w:color w:val="auto"/>
                <w:szCs w:val="21"/>
              </w:rPr>
            </w:pPr>
          </w:p>
        </w:tc>
        <w:tc>
          <w:tcPr>
            <w:tcW w:w="759" w:type="dxa"/>
          </w:tcPr>
          <w:p w14:paraId="2D0F8A09">
            <w:pPr>
              <w:adjustRightInd w:val="0"/>
              <w:snapToGrid w:val="0"/>
              <w:spacing w:line="560" w:lineRule="exact"/>
              <w:jc w:val="center"/>
              <w:rPr>
                <w:color w:val="auto"/>
                <w:szCs w:val="21"/>
              </w:rPr>
            </w:pPr>
          </w:p>
        </w:tc>
      </w:tr>
      <w:tr w14:paraId="0183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Pr>
          <w:p w14:paraId="10E9BB66">
            <w:pPr>
              <w:adjustRightInd w:val="0"/>
              <w:snapToGrid w:val="0"/>
              <w:spacing w:line="560" w:lineRule="exact"/>
              <w:jc w:val="center"/>
              <w:rPr>
                <w:color w:val="auto"/>
                <w:szCs w:val="21"/>
              </w:rPr>
            </w:pPr>
          </w:p>
        </w:tc>
        <w:tc>
          <w:tcPr>
            <w:tcW w:w="814" w:type="dxa"/>
          </w:tcPr>
          <w:p w14:paraId="4E313829">
            <w:pPr>
              <w:adjustRightInd w:val="0"/>
              <w:snapToGrid w:val="0"/>
              <w:spacing w:line="560" w:lineRule="exact"/>
              <w:jc w:val="center"/>
              <w:rPr>
                <w:color w:val="auto"/>
                <w:szCs w:val="21"/>
              </w:rPr>
            </w:pPr>
          </w:p>
        </w:tc>
        <w:tc>
          <w:tcPr>
            <w:tcW w:w="812" w:type="dxa"/>
          </w:tcPr>
          <w:p w14:paraId="7CF0C3DD">
            <w:pPr>
              <w:adjustRightInd w:val="0"/>
              <w:snapToGrid w:val="0"/>
              <w:spacing w:line="560" w:lineRule="exact"/>
              <w:jc w:val="center"/>
              <w:rPr>
                <w:color w:val="auto"/>
                <w:szCs w:val="21"/>
              </w:rPr>
            </w:pPr>
          </w:p>
        </w:tc>
        <w:tc>
          <w:tcPr>
            <w:tcW w:w="1220" w:type="dxa"/>
          </w:tcPr>
          <w:p w14:paraId="3B145488">
            <w:pPr>
              <w:adjustRightInd w:val="0"/>
              <w:snapToGrid w:val="0"/>
              <w:spacing w:line="560" w:lineRule="exact"/>
              <w:jc w:val="center"/>
              <w:rPr>
                <w:color w:val="auto"/>
                <w:szCs w:val="21"/>
              </w:rPr>
            </w:pPr>
          </w:p>
        </w:tc>
        <w:tc>
          <w:tcPr>
            <w:tcW w:w="812" w:type="dxa"/>
          </w:tcPr>
          <w:p w14:paraId="0C2743BB">
            <w:pPr>
              <w:adjustRightInd w:val="0"/>
              <w:snapToGrid w:val="0"/>
              <w:spacing w:line="560" w:lineRule="exact"/>
              <w:jc w:val="center"/>
              <w:rPr>
                <w:color w:val="auto"/>
                <w:szCs w:val="21"/>
              </w:rPr>
            </w:pPr>
          </w:p>
        </w:tc>
        <w:tc>
          <w:tcPr>
            <w:tcW w:w="814" w:type="dxa"/>
          </w:tcPr>
          <w:p w14:paraId="71AFF5B2">
            <w:pPr>
              <w:adjustRightInd w:val="0"/>
              <w:snapToGrid w:val="0"/>
              <w:spacing w:line="560" w:lineRule="exact"/>
              <w:jc w:val="center"/>
              <w:rPr>
                <w:color w:val="auto"/>
                <w:szCs w:val="21"/>
              </w:rPr>
            </w:pPr>
          </w:p>
        </w:tc>
        <w:tc>
          <w:tcPr>
            <w:tcW w:w="811" w:type="dxa"/>
          </w:tcPr>
          <w:p w14:paraId="38CCE0D7">
            <w:pPr>
              <w:adjustRightInd w:val="0"/>
              <w:snapToGrid w:val="0"/>
              <w:spacing w:line="560" w:lineRule="exact"/>
              <w:jc w:val="center"/>
              <w:rPr>
                <w:color w:val="auto"/>
                <w:szCs w:val="21"/>
              </w:rPr>
            </w:pPr>
          </w:p>
        </w:tc>
        <w:tc>
          <w:tcPr>
            <w:tcW w:w="2848" w:type="dxa"/>
          </w:tcPr>
          <w:p w14:paraId="56FDDF79">
            <w:pPr>
              <w:adjustRightInd w:val="0"/>
              <w:snapToGrid w:val="0"/>
              <w:spacing w:line="560" w:lineRule="exact"/>
              <w:jc w:val="center"/>
              <w:rPr>
                <w:color w:val="auto"/>
                <w:szCs w:val="21"/>
              </w:rPr>
            </w:pPr>
          </w:p>
        </w:tc>
        <w:tc>
          <w:tcPr>
            <w:tcW w:w="759" w:type="dxa"/>
          </w:tcPr>
          <w:p w14:paraId="7A14E39E">
            <w:pPr>
              <w:adjustRightInd w:val="0"/>
              <w:snapToGrid w:val="0"/>
              <w:spacing w:line="560" w:lineRule="exact"/>
              <w:jc w:val="center"/>
              <w:rPr>
                <w:color w:val="auto"/>
                <w:szCs w:val="21"/>
              </w:rPr>
            </w:pPr>
          </w:p>
        </w:tc>
      </w:tr>
      <w:tr w14:paraId="7ED3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Pr>
          <w:p w14:paraId="7BFB9BEA">
            <w:pPr>
              <w:adjustRightInd w:val="0"/>
              <w:snapToGrid w:val="0"/>
              <w:spacing w:line="560" w:lineRule="exact"/>
              <w:jc w:val="center"/>
              <w:rPr>
                <w:color w:val="auto"/>
                <w:szCs w:val="21"/>
              </w:rPr>
            </w:pPr>
          </w:p>
        </w:tc>
        <w:tc>
          <w:tcPr>
            <w:tcW w:w="814" w:type="dxa"/>
          </w:tcPr>
          <w:p w14:paraId="5CDC4D45">
            <w:pPr>
              <w:adjustRightInd w:val="0"/>
              <w:snapToGrid w:val="0"/>
              <w:spacing w:line="560" w:lineRule="exact"/>
              <w:jc w:val="center"/>
              <w:rPr>
                <w:color w:val="auto"/>
                <w:szCs w:val="21"/>
              </w:rPr>
            </w:pPr>
          </w:p>
        </w:tc>
        <w:tc>
          <w:tcPr>
            <w:tcW w:w="812" w:type="dxa"/>
          </w:tcPr>
          <w:p w14:paraId="29856809">
            <w:pPr>
              <w:adjustRightInd w:val="0"/>
              <w:snapToGrid w:val="0"/>
              <w:spacing w:line="560" w:lineRule="exact"/>
              <w:jc w:val="center"/>
              <w:rPr>
                <w:color w:val="auto"/>
                <w:szCs w:val="21"/>
              </w:rPr>
            </w:pPr>
          </w:p>
        </w:tc>
        <w:tc>
          <w:tcPr>
            <w:tcW w:w="1220" w:type="dxa"/>
          </w:tcPr>
          <w:p w14:paraId="7213A058">
            <w:pPr>
              <w:adjustRightInd w:val="0"/>
              <w:snapToGrid w:val="0"/>
              <w:spacing w:line="560" w:lineRule="exact"/>
              <w:jc w:val="center"/>
              <w:rPr>
                <w:color w:val="auto"/>
                <w:szCs w:val="21"/>
              </w:rPr>
            </w:pPr>
          </w:p>
        </w:tc>
        <w:tc>
          <w:tcPr>
            <w:tcW w:w="812" w:type="dxa"/>
          </w:tcPr>
          <w:p w14:paraId="45EB9036">
            <w:pPr>
              <w:adjustRightInd w:val="0"/>
              <w:snapToGrid w:val="0"/>
              <w:spacing w:line="560" w:lineRule="exact"/>
              <w:jc w:val="center"/>
              <w:rPr>
                <w:color w:val="auto"/>
                <w:szCs w:val="21"/>
              </w:rPr>
            </w:pPr>
          </w:p>
        </w:tc>
        <w:tc>
          <w:tcPr>
            <w:tcW w:w="814" w:type="dxa"/>
          </w:tcPr>
          <w:p w14:paraId="10B85793">
            <w:pPr>
              <w:adjustRightInd w:val="0"/>
              <w:snapToGrid w:val="0"/>
              <w:spacing w:line="560" w:lineRule="exact"/>
              <w:jc w:val="center"/>
              <w:rPr>
                <w:color w:val="auto"/>
                <w:szCs w:val="21"/>
              </w:rPr>
            </w:pPr>
          </w:p>
        </w:tc>
        <w:tc>
          <w:tcPr>
            <w:tcW w:w="811" w:type="dxa"/>
          </w:tcPr>
          <w:p w14:paraId="759A239C">
            <w:pPr>
              <w:adjustRightInd w:val="0"/>
              <w:snapToGrid w:val="0"/>
              <w:spacing w:line="560" w:lineRule="exact"/>
              <w:jc w:val="center"/>
              <w:rPr>
                <w:color w:val="auto"/>
                <w:szCs w:val="21"/>
              </w:rPr>
            </w:pPr>
          </w:p>
        </w:tc>
        <w:tc>
          <w:tcPr>
            <w:tcW w:w="2848" w:type="dxa"/>
          </w:tcPr>
          <w:p w14:paraId="77D72E40">
            <w:pPr>
              <w:adjustRightInd w:val="0"/>
              <w:snapToGrid w:val="0"/>
              <w:spacing w:line="560" w:lineRule="exact"/>
              <w:jc w:val="center"/>
              <w:rPr>
                <w:color w:val="auto"/>
                <w:szCs w:val="21"/>
              </w:rPr>
            </w:pPr>
          </w:p>
        </w:tc>
        <w:tc>
          <w:tcPr>
            <w:tcW w:w="759" w:type="dxa"/>
          </w:tcPr>
          <w:p w14:paraId="39DEF8E3">
            <w:pPr>
              <w:adjustRightInd w:val="0"/>
              <w:snapToGrid w:val="0"/>
              <w:spacing w:line="560" w:lineRule="exact"/>
              <w:jc w:val="center"/>
              <w:rPr>
                <w:color w:val="auto"/>
                <w:szCs w:val="21"/>
              </w:rPr>
            </w:pPr>
          </w:p>
        </w:tc>
      </w:tr>
      <w:tr w14:paraId="24E3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Pr>
          <w:p w14:paraId="409A88ED">
            <w:pPr>
              <w:adjustRightInd w:val="0"/>
              <w:snapToGrid w:val="0"/>
              <w:spacing w:line="560" w:lineRule="exact"/>
              <w:jc w:val="center"/>
              <w:rPr>
                <w:color w:val="auto"/>
                <w:szCs w:val="21"/>
              </w:rPr>
            </w:pPr>
          </w:p>
        </w:tc>
        <w:tc>
          <w:tcPr>
            <w:tcW w:w="814" w:type="dxa"/>
          </w:tcPr>
          <w:p w14:paraId="6FEBF492">
            <w:pPr>
              <w:adjustRightInd w:val="0"/>
              <w:snapToGrid w:val="0"/>
              <w:spacing w:line="560" w:lineRule="exact"/>
              <w:jc w:val="center"/>
              <w:rPr>
                <w:color w:val="auto"/>
                <w:szCs w:val="21"/>
              </w:rPr>
            </w:pPr>
          </w:p>
        </w:tc>
        <w:tc>
          <w:tcPr>
            <w:tcW w:w="812" w:type="dxa"/>
          </w:tcPr>
          <w:p w14:paraId="0F916F30">
            <w:pPr>
              <w:adjustRightInd w:val="0"/>
              <w:snapToGrid w:val="0"/>
              <w:spacing w:line="560" w:lineRule="exact"/>
              <w:jc w:val="center"/>
              <w:rPr>
                <w:color w:val="auto"/>
                <w:szCs w:val="21"/>
              </w:rPr>
            </w:pPr>
          </w:p>
        </w:tc>
        <w:tc>
          <w:tcPr>
            <w:tcW w:w="1220" w:type="dxa"/>
          </w:tcPr>
          <w:p w14:paraId="46B1A16F">
            <w:pPr>
              <w:adjustRightInd w:val="0"/>
              <w:snapToGrid w:val="0"/>
              <w:spacing w:line="560" w:lineRule="exact"/>
              <w:jc w:val="center"/>
              <w:rPr>
                <w:color w:val="auto"/>
                <w:szCs w:val="21"/>
              </w:rPr>
            </w:pPr>
          </w:p>
        </w:tc>
        <w:tc>
          <w:tcPr>
            <w:tcW w:w="812" w:type="dxa"/>
          </w:tcPr>
          <w:p w14:paraId="2562396F">
            <w:pPr>
              <w:adjustRightInd w:val="0"/>
              <w:snapToGrid w:val="0"/>
              <w:spacing w:line="560" w:lineRule="exact"/>
              <w:jc w:val="center"/>
              <w:rPr>
                <w:color w:val="auto"/>
                <w:szCs w:val="21"/>
              </w:rPr>
            </w:pPr>
          </w:p>
        </w:tc>
        <w:tc>
          <w:tcPr>
            <w:tcW w:w="814" w:type="dxa"/>
          </w:tcPr>
          <w:p w14:paraId="3296271F">
            <w:pPr>
              <w:adjustRightInd w:val="0"/>
              <w:snapToGrid w:val="0"/>
              <w:spacing w:line="560" w:lineRule="exact"/>
              <w:jc w:val="center"/>
              <w:rPr>
                <w:color w:val="auto"/>
                <w:szCs w:val="21"/>
              </w:rPr>
            </w:pPr>
          </w:p>
        </w:tc>
        <w:tc>
          <w:tcPr>
            <w:tcW w:w="811" w:type="dxa"/>
          </w:tcPr>
          <w:p w14:paraId="063A916C">
            <w:pPr>
              <w:adjustRightInd w:val="0"/>
              <w:snapToGrid w:val="0"/>
              <w:spacing w:line="560" w:lineRule="exact"/>
              <w:jc w:val="center"/>
              <w:rPr>
                <w:color w:val="auto"/>
                <w:szCs w:val="21"/>
              </w:rPr>
            </w:pPr>
          </w:p>
        </w:tc>
        <w:tc>
          <w:tcPr>
            <w:tcW w:w="2848" w:type="dxa"/>
          </w:tcPr>
          <w:p w14:paraId="589FDADF">
            <w:pPr>
              <w:adjustRightInd w:val="0"/>
              <w:snapToGrid w:val="0"/>
              <w:spacing w:line="560" w:lineRule="exact"/>
              <w:jc w:val="center"/>
              <w:rPr>
                <w:color w:val="auto"/>
                <w:szCs w:val="21"/>
              </w:rPr>
            </w:pPr>
          </w:p>
        </w:tc>
        <w:tc>
          <w:tcPr>
            <w:tcW w:w="759" w:type="dxa"/>
          </w:tcPr>
          <w:p w14:paraId="50D5EE23">
            <w:pPr>
              <w:adjustRightInd w:val="0"/>
              <w:snapToGrid w:val="0"/>
              <w:spacing w:line="560" w:lineRule="exact"/>
              <w:jc w:val="center"/>
              <w:rPr>
                <w:color w:val="auto"/>
                <w:szCs w:val="21"/>
              </w:rPr>
            </w:pPr>
          </w:p>
        </w:tc>
      </w:tr>
      <w:tr w14:paraId="1290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tcPr>
          <w:p w14:paraId="0F21100C">
            <w:pPr>
              <w:adjustRightInd w:val="0"/>
              <w:snapToGrid w:val="0"/>
              <w:spacing w:line="560" w:lineRule="exact"/>
              <w:jc w:val="center"/>
              <w:rPr>
                <w:color w:val="auto"/>
                <w:szCs w:val="21"/>
              </w:rPr>
            </w:pPr>
          </w:p>
        </w:tc>
        <w:tc>
          <w:tcPr>
            <w:tcW w:w="814" w:type="dxa"/>
            <w:tcBorders>
              <w:top w:val="single" w:color="auto" w:sz="4" w:space="0"/>
              <w:left w:val="single" w:color="auto" w:sz="4" w:space="0"/>
              <w:bottom w:val="single" w:color="auto" w:sz="4" w:space="0"/>
              <w:right w:val="single" w:color="auto" w:sz="4" w:space="0"/>
            </w:tcBorders>
          </w:tcPr>
          <w:p w14:paraId="47E966C1">
            <w:pPr>
              <w:adjustRightInd w:val="0"/>
              <w:snapToGrid w:val="0"/>
              <w:spacing w:line="560" w:lineRule="exact"/>
              <w:jc w:val="center"/>
              <w:rPr>
                <w:color w:val="auto"/>
                <w:szCs w:val="21"/>
              </w:rPr>
            </w:pPr>
          </w:p>
        </w:tc>
        <w:tc>
          <w:tcPr>
            <w:tcW w:w="812" w:type="dxa"/>
            <w:tcBorders>
              <w:top w:val="single" w:color="auto" w:sz="4" w:space="0"/>
              <w:left w:val="single" w:color="auto" w:sz="4" w:space="0"/>
              <w:bottom w:val="single" w:color="auto" w:sz="4" w:space="0"/>
              <w:right w:val="single" w:color="auto" w:sz="4" w:space="0"/>
            </w:tcBorders>
          </w:tcPr>
          <w:p w14:paraId="0C1FFEEB">
            <w:pPr>
              <w:adjustRightInd w:val="0"/>
              <w:snapToGrid w:val="0"/>
              <w:spacing w:line="560" w:lineRule="exact"/>
              <w:jc w:val="center"/>
              <w:rPr>
                <w:color w:val="auto"/>
                <w:szCs w:val="21"/>
              </w:rPr>
            </w:pPr>
          </w:p>
        </w:tc>
        <w:tc>
          <w:tcPr>
            <w:tcW w:w="1220" w:type="dxa"/>
            <w:tcBorders>
              <w:top w:val="single" w:color="auto" w:sz="4" w:space="0"/>
              <w:left w:val="single" w:color="auto" w:sz="4" w:space="0"/>
              <w:bottom w:val="single" w:color="auto" w:sz="4" w:space="0"/>
              <w:right w:val="single" w:color="auto" w:sz="4" w:space="0"/>
            </w:tcBorders>
          </w:tcPr>
          <w:p w14:paraId="0B7C0393">
            <w:pPr>
              <w:adjustRightInd w:val="0"/>
              <w:snapToGrid w:val="0"/>
              <w:spacing w:line="560" w:lineRule="exact"/>
              <w:jc w:val="center"/>
              <w:rPr>
                <w:color w:val="auto"/>
                <w:szCs w:val="21"/>
              </w:rPr>
            </w:pPr>
          </w:p>
        </w:tc>
        <w:tc>
          <w:tcPr>
            <w:tcW w:w="812" w:type="dxa"/>
            <w:tcBorders>
              <w:top w:val="single" w:color="auto" w:sz="4" w:space="0"/>
              <w:left w:val="single" w:color="auto" w:sz="4" w:space="0"/>
              <w:bottom w:val="single" w:color="auto" w:sz="4" w:space="0"/>
              <w:right w:val="single" w:color="auto" w:sz="4" w:space="0"/>
            </w:tcBorders>
          </w:tcPr>
          <w:p w14:paraId="141A9FE3">
            <w:pPr>
              <w:adjustRightInd w:val="0"/>
              <w:snapToGrid w:val="0"/>
              <w:spacing w:line="560" w:lineRule="exact"/>
              <w:jc w:val="center"/>
              <w:rPr>
                <w:color w:val="auto"/>
                <w:szCs w:val="21"/>
              </w:rPr>
            </w:pPr>
          </w:p>
        </w:tc>
        <w:tc>
          <w:tcPr>
            <w:tcW w:w="814" w:type="dxa"/>
            <w:tcBorders>
              <w:top w:val="single" w:color="auto" w:sz="4" w:space="0"/>
              <w:left w:val="single" w:color="auto" w:sz="4" w:space="0"/>
              <w:bottom w:val="single" w:color="auto" w:sz="4" w:space="0"/>
              <w:right w:val="single" w:color="auto" w:sz="4" w:space="0"/>
            </w:tcBorders>
          </w:tcPr>
          <w:p w14:paraId="372A0170">
            <w:pPr>
              <w:adjustRightInd w:val="0"/>
              <w:snapToGrid w:val="0"/>
              <w:spacing w:line="560" w:lineRule="exact"/>
              <w:jc w:val="center"/>
              <w:rPr>
                <w:color w:val="auto"/>
                <w:szCs w:val="21"/>
              </w:rPr>
            </w:pPr>
          </w:p>
        </w:tc>
        <w:tc>
          <w:tcPr>
            <w:tcW w:w="811" w:type="dxa"/>
            <w:tcBorders>
              <w:top w:val="single" w:color="auto" w:sz="4" w:space="0"/>
              <w:left w:val="single" w:color="auto" w:sz="4" w:space="0"/>
              <w:bottom w:val="single" w:color="auto" w:sz="4" w:space="0"/>
              <w:right w:val="single" w:color="auto" w:sz="4" w:space="0"/>
            </w:tcBorders>
          </w:tcPr>
          <w:p w14:paraId="07062919">
            <w:pPr>
              <w:adjustRightInd w:val="0"/>
              <w:snapToGrid w:val="0"/>
              <w:spacing w:line="560" w:lineRule="exact"/>
              <w:jc w:val="center"/>
              <w:rPr>
                <w:color w:val="auto"/>
                <w:szCs w:val="21"/>
              </w:rPr>
            </w:pPr>
          </w:p>
        </w:tc>
        <w:tc>
          <w:tcPr>
            <w:tcW w:w="2848" w:type="dxa"/>
            <w:tcBorders>
              <w:top w:val="single" w:color="auto" w:sz="4" w:space="0"/>
              <w:left w:val="single" w:color="auto" w:sz="4" w:space="0"/>
              <w:bottom w:val="single" w:color="auto" w:sz="4" w:space="0"/>
              <w:right w:val="single" w:color="auto" w:sz="4" w:space="0"/>
            </w:tcBorders>
          </w:tcPr>
          <w:p w14:paraId="60472D44">
            <w:pPr>
              <w:adjustRightInd w:val="0"/>
              <w:snapToGrid w:val="0"/>
              <w:spacing w:line="560" w:lineRule="exact"/>
              <w:jc w:val="center"/>
              <w:rPr>
                <w:color w:val="auto"/>
                <w:szCs w:val="21"/>
              </w:rPr>
            </w:pPr>
          </w:p>
        </w:tc>
        <w:tc>
          <w:tcPr>
            <w:tcW w:w="759" w:type="dxa"/>
            <w:tcBorders>
              <w:top w:val="single" w:color="auto" w:sz="4" w:space="0"/>
              <w:left w:val="single" w:color="auto" w:sz="4" w:space="0"/>
              <w:bottom w:val="single" w:color="auto" w:sz="4" w:space="0"/>
              <w:right w:val="single" w:color="auto" w:sz="4" w:space="0"/>
            </w:tcBorders>
          </w:tcPr>
          <w:p w14:paraId="6230109C">
            <w:pPr>
              <w:adjustRightInd w:val="0"/>
              <w:snapToGrid w:val="0"/>
              <w:spacing w:line="560" w:lineRule="exact"/>
              <w:jc w:val="center"/>
              <w:rPr>
                <w:color w:val="auto"/>
                <w:szCs w:val="21"/>
              </w:rPr>
            </w:pPr>
          </w:p>
        </w:tc>
      </w:tr>
      <w:tr w14:paraId="62C8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tcPr>
          <w:p w14:paraId="798E8C5E">
            <w:pPr>
              <w:adjustRightInd w:val="0"/>
              <w:snapToGrid w:val="0"/>
              <w:spacing w:line="560" w:lineRule="exact"/>
              <w:jc w:val="center"/>
              <w:rPr>
                <w:color w:val="auto"/>
                <w:szCs w:val="21"/>
              </w:rPr>
            </w:pPr>
          </w:p>
        </w:tc>
        <w:tc>
          <w:tcPr>
            <w:tcW w:w="814" w:type="dxa"/>
            <w:tcBorders>
              <w:top w:val="single" w:color="auto" w:sz="4" w:space="0"/>
              <w:left w:val="single" w:color="auto" w:sz="4" w:space="0"/>
              <w:bottom w:val="single" w:color="auto" w:sz="4" w:space="0"/>
              <w:right w:val="single" w:color="auto" w:sz="4" w:space="0"/>
            </w:tcBorders>
          </w:tcPr>
          <w:p w14:paraId="51A6A566">
            <w:pPr>
              <w:adjustRightInd w:val="0"/>
              <w:snapToGrid w:val="0"/>
              <w:spacing w:line="560" w:lineRule="exact"/>
              <w:jc w:val="center"/>
              <w:rPr>
                <w:color w:val="auto"/>
                <w:szCs w:val="21"/>
              </w:rPr>
            </w:pPr>
          </w:p>
        </w:tc>
        <w:tc>
          <w:tcPr>
            <w:tcW w:w="812" w:type="dxa"/>
            <w:tcBorders>
              <w:top w:val="single" w:color="auto" w:sz="4" w:space="0"/>
              <w:left w:val="single" w:color="auto" w:sz="4" w:space="0"/>
              <w:bottom w:val="single" w:color="auto" w:sz="4" w:space="0"/>
              <w:right w:val="single" w:color="auto" w:sz="4" w:space="0"/>
            </w:tcBorders>
          </w:tcPr>
          <w:p w14:paraId="4130E903">
            <w:pPr>
              <w:adjustRightInd w:val="0"/>
              <w:snapToGrid w:val="0"/>
              <w:spacing w:line="560" w:lineRule="exact"/>
              <w:jc w:val="center"/>
              <w:rPr>
                <w:color w:val="auto"/>
                <w:szCs w:val="21"/>
              </w:rPr>
            </w:pPr>
          </w:p>
        </w:tc>
        <w:tc>
          <w:tcPr>
            <w:tcW w:w="1220" w:type="dxa"/>
            <w:tcBorders>
              <w:top w:val="single" w:color="auto" w:sz="4" w:space="0"/>
              <w:left w:val="single" w:color="auto" w:sz="4" w:space="0"/>
              <w:bottom w:val="single" w:color="auto" w:sz="4" w:space="0"/>
              <w:right w:val="single" w:color="auto" w:sz="4" w:space="0"/>
            </w:tcBorders>
          </w:tcPr>
          <w:p w14:paraId="76C02D64">
            <w:pPr>
              <w:adjustRightInd w:val="0"/>
              <w:snapToGrid w:val="0"/>
              <w:spacing w:line="560" w:lineRule="exact"/>
              <w:jc w:val="center"/>
              <w:rPr>
                <w:color w:val="auto"/>
                <w:szCs w:val="21"/>
              </w:rPr>
            </w:pPr>
          </w:p>
        </w:tc>
        <w:tc>
          <w:tcPr>
            <w:tcW w:w="812" w:type="dxa"/>
            <w:tcBorders>
              <w:top w:val="single" w:color="auto" w:sz="4" w:space="0"/>
              <w:left w:val="single" w:color="auto" w:sz="4" w:space="0"/>
              <w:bottom w:val="single" w:color="auto" w:sz="4" w:space="0"/>
              <w:right w:val="single" w:color="auto" w:sz="4" w:space="0"/>
            </w:tcBorders>
          </w:tcPr>
          <w:p w14:paraId="2F784864">
            <w:pPr>
              <w:adjustRightInd w:val="0"/>
              <w:snapToGrid w:val="0"/>
              <w:spacing w:line="560" w:lineRule="exact"/>
              <w:jc w:val="center"/>
              <w:rPr>
                <w:color w:val="auto"/>
                <w:szCs w:val="21"/>
              </w:rPr>
            </w:pPr>
          </w:p>
        </w:tc>
        <w:tc>
          <w:tcPr>
            <w:tcW w:w="814" w:type="dxa"/>
            <w:tcBorders>
              <w:top w:val="single" w:color="auto" w:sz="4" w:space="0"/>
              <w:left w:val="single" w:color="auto" w:sz="4" w:space="0"/>
              <w:bottom w:val="single" w:color="auto" w:sz="4" w:space="0"/>
              <w:right w:val="single" w:color="auto" w:sz="4" w:space="0"/>
            </w:tcBorders>
          </w:tcPr>
          <w:p w14:paraId="1181B165">
            <w:pPr>
              <w:adjustRightInd w:val="0"/>
              <w:snapToGrid w:val="0"/>
              <w:spacing w:line="560" w:lineRule="exact"/>
              <w:jc w:val="center"/>
              <w:rPr>
                <w:color w:val="auto"/>
                <w:szCs w:val="21"/>
              </w:rPr>
            </w:pPr>
          </w:p>
        </w:tc>
        <w:tc>
          <w:tcPr>
            <w:tcW w:w="811" w:type="dxa"/>
            <w:tcBorders>
              <w:top w:val="single" w:color="auto" w:sz="4" w:space="0"/>
              <w:left w:val="single" w:color="auto" w:sz="4" w:space="0"/>
              <w:bottom w:val="single" w:color="auto" w:sz="4" w:space="0"/>
              <w:right w:val="single" w:color="auto" w:sz="4" w:space="0"/>
            </w:tcBorders>
          </w:tcPr>
          <w:p w14:paraId="7273F53A">
            <w:pPr>
              <w:adjustRightInd w:val="0"/>
              <w:snapToGrid w:val="0"/>
              <w:spacing w:line="560" w:lineRule="exact"/>
              <w:jc w:val="center"/>
              <w:rPr>
                <w:color w:val="auto"/>
                <w:szCs w:val="21"/>
              </w:rPr>
            </w:pPr>
          </w:p>
        </w:tc>
        <w:tc>
          <w:tcPr>
            <w:tcW w:w="2848" w:type="dxa"/>
            <w:tcBorders>
              <w:top w:val="single" w:color="auto" w:sz="4" w:space="0"/>
              <w:left w:val="single" w:color="auto" w:sz="4" w:space="0"/>
              <w:bottom w:val="single" w:color="auto" w:sz="4" w:space="0"/>
              <w:right w:val="single" w:color="auto" w:sz="4" w:space="0"/>
            </w:tcBorders>
          </w:tcPr>
          <w:p w14:paraId="43E54A05">
            <w:pPr>
              <w:adjustRightInd w:val="0"/>
              <w:snapToGrid w:val="0"/>
              <w:spacing w:line="560" w:lineRule="exact"/>
              <w:jc w:val="center"/>
              <w:rPr>
                <w:color w:val="auto"/>
                <w:szCs w:val="21"/>
              </w:rPr>
            </w:pPr>
          </w:p>
        </w:tc>
        <w:tc>
          <w:tcPr>
            <w:tcW w:w="759" w:type="dxa"/>
            <w:tcBorders>
              <w:top w:val="single" w:color="auto" w:sz="4" w:space="0"/>
              <w:left w:val="single" w:color="auto" w:sz="4" w:space="0"/>
              <w:bottom w:val="single" w:color="auto" w:sz="4" w:space="0"/>
              <w:right w:val="single" w:color="auto" w:sz="4" w:space="0"/>
            </w:tcBorders>
          </w:tcPr>
          <w:p w14:paraId="314807BF">
            <w:pPr>
              <w:adjustRightInd w:val="0"/>
              <w:snapToGrid w:val="0"/>
              <w:spacing w:line="560" w:lineRule="exact"/>
              <w:jc w:val="center"/>
              <w:rPr>
                <w:color w:val="auto"/>
                <w:szCs w:val="21"/>
              </w:rPr>
            </w:pPr>
          </w:p>
        </w:tc>
      </w:tr>
    </w:tbl>
    <w:p w14:paraId="4A5FD699">
      <w:pPr>
        <w:adjustRightInd w:val="0"/>
        <w:snapToGrid w:val="0"/>
        <w:spacing w:line="560" w:lineRule="exact"/>
        <w:rPr>
          <w:color w:val="auto"/>
        </w:rPr>
      </w:pPr>
      <w:r>
        <w:rPr>
          <w:rFonts w:hint="eastAsia"/>
          <w:b/>
          <w:color w:val="auto"/>
          <w:szCs w:val="21"/>
        </w:rPr>
        <w:t>备注：</w:t>
      </w:r>
      <w:r>
        <w:rPr>
          <w:rFonts w:hint="eastAsia"/>
          <w:color w:val="auto"/>
        </w:rPr>
        <w:t>根据安徽省住房和城乡建设厅《关于调整招标投标活动中有关住房城乡建设领域现场专业人员证书要求的通知》（建市函〔2019〕1112 号）要求，不再将住房城乡建设领域现场专业技术人员（包括施工员、质量员、安全员、资料员、材料员、劳务员、机械员、标准员）及取样员持证情况列入招标投标文件，招标人或招标代理机构需按照住房和城乡建设部及安徽省相关标准规定 明确投标人需要配备其他主要管理人员和技术人员数量的最低要求。中标人和招标人在签订合同时应按照不低于上述人员配置的要求填写承包人主要施工管理人员表，并作为合同的附件之一。</w:t>
      </w:r>
    </w:p>
    <w:p w14:paraId="2004F9E3">
      <w:pPr>
        <w:spacing w:line="560" w:lineRule="exact"/>
        <w:rPr>
          <w:color w:val="auto"/>
        </w:rPr>
      </w:pPr>
    </w:p>
    <w:p w14:paraId="7D1A2EF7">
      <w:pPr>
        <w:pStyle w:val="5"/>
        <w:jc w:val="center"/>
        <w:rPr>
          <w:color w:val="auto"/>
          <w:sz w:val="23"/>
          <w:szCs w:val="23"/>
        </w:rPr>
      </w:pPr>
      <w:r>
        <w:rPr>
          <w:rFonts w:hint="eastAsia"/>
          <w:color w:val="auto"/>
        </w:rPr>
        <w:t>附表2：拟任项目经理（建造师）</w:t>
      </w:r>
      <w:r>
        <w:rPr>
          <w:color w:val="auto"/>
        </w:rPr>
        <w:t>简历表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394"/>
        <w:gridCol w:w="791"/>
        <w:gridCol w:w="1018"/>
        <w:gridCol w:w="1170"/>
        <w:gridCol w:w="777"/>
        <w:gridCol w:w="1385"/>
        <w:gridCol w:w="177"/>
        <w:gridCol w:w="2345"/>
      </w:tblGrid>
      <w:tr w14:paraId="0210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vAlign w:val="center"/>
          </w:tcPr>
          <w:p w14:paraId="6408ABE7">
            <w:pPr>
              <w:adjustRightInd w:val="0"/>
              <w:snapToGrid w:val="0"/>
              <w:spacing w:line="560" w:lineRule="exact"/>
              <w:jc w:val="center"/>
              <w:rPr>
                <w:rFonts w:ascii="宋体" w:hAnsi="宋体"/>
                <w:color w:val="auto"/>
                <w:szCs w:val="21"/>
              </w:rPr>
            </w:pPr>
            <w:r>
              <w:rPr>
                <w:rFonts w:ascii="宋体" w:hAnsi="宋体"/>
                <w:color w:val="auto"/>
                <w:szCs w:val="21"/>
              </w:rPr>
              <w:t>姓  名</w:t>
            </w:r>
          </w:p>
        </w:tc>
        <w:tc>
          <w:tcPr>
            <w:tcW w:w="1185" w:type="dxa"/>
            <w:gridSpan w:val="2"/>
            <w:vAlign w:val="center"/>
          </w:tcPr>
          <w:p w14:paraId="2A21BAEE">
            <w:pPr>
              <w:adjustRightInd w:val="0"/>
              <w:snapToGrid w:val="0"/>
              <w:spacing w:line="560" w:lineRule="exact"/>
              <w:jc w:val="center"/>
              <w:rPr>
                <w:rFonts w:ascii="宋体" w:hAnsi="宋体"/>
                <w:color w:val="auto"/>
                <w:szCs w:val="21"/>
              </w:rPr>
            </w:pPr>
          </w:p>
        </w:tc>
        <w:tc>
          <w:tcPr>
            <w:tcW w:w="1018" w:type="dxa"/>
            <w:vAlign w:val="center"/>
          </w:tcPr>
          <w:p w14:paraId="24DC50A1">
            <w:pPr>
              <w:adjustRightInd w:val="0"/>
              <w:snapToGrid w:val="0"/>
              <w:spacing w:line="560" w:lineRule="exact"/>
              <w:jc w:val="center"/>
              <w:rPr>
                <w:rFonts w:ascii="宋体" w:hAnsi="宋体"/>
                <w:color w:val="auto"/>
                <w:szCs w:val="21"/>
              </w:rPr>
            </w:pPr>
            <w:r>
              <w:rPr>
                <w:rFonts w:ascii="宋体" w:hAnsi="宋体"/>
                <w:color w:val="auto"/>
                <w:szCs w:val="21"/>
              </w:rPr>
              <w:t>年 龄</w:t>
            </w:r>
          </w:p>
        </w:tc>
        <w:tc>
          <w:tcPr>
            <w:tcW w:w="1170" w:type="dxa"/>
            <w:vAlign w:val="center"/>
          </w:tcPr>
          <w:p w14:paraId="5B3675DB">
            <w:pPr>
              <w:adjustRightInd w:val="0"/>
              <w:snapToGrid w:val="0"/>
              <w:spacing w:line="560" w:lineRule="exact"/>
              <w:jc w:val="center"/>
              <w:rPr>
                <w:rFonts w:ascii="宋体" w:hAnsi="宋体"/>
                <w:color w:val="auto"/>
                <w:szCs w:val="21"/>
              </w:rPr>
            </w:pPr>
          </w:p>
        </w:tc>
        <w:tc>
          <w:tcPr>
            <w:tcW w:w="2339" w:type="dxa"/>
            <w:gridSpan w:val="3"/>
            <w:vAlign w:val="center"/>
          </w:tcPr>
          <w:p w14:paraId="157A0E76">
            <w:pPr>
              <w:adjustRightInd w:val="0"/>
              <w:snapToGrid w:val="0"/>
              <w:spacing w:line="560" w:lineRule="exact"/>
              <w:jc w:val="center"/>
              <w:rPr>
                <w:rFonts w:ascii="宋体" w:hAnsi="宋体"/>
                <w:color w:val="auto"/>
                <w:szCs w:val="21"/>
              </w:rPr>
            </w:pPr>
            <w:r>
              <w:rPr>
                <w:rFonts w:ascii="宋体" w:hAnsi="宋体"/>
                <w:color w:val="auto"/>
                <w:szCs w:val="21"/>
              </w:rPr>
              <w:t>学历</w:t>
            </w:r>
          </w:p>
        </w:tc>
        <w:tc>
          <w:tcPr>
            <w:tcW w:w="2345" w:type="dxa"/>
            <w:vAlign w:val="center"/>
          </w:tcPr>
          <w:p w14:paraId="4B63DCF4">
            <w:pPr>
              <w:adjustRightInd w:val="0"/>
              <w:snapToGrid w:val="0"/>
              <w:spacing w:line="560" w:lineRule="exact"/>
              <w:rPr>
                <w:rFonts w:ascii="宋体" w:hAnsi="宋体"/>
                <w:color w:val="auto"/>
                <w:szCs w:val="21"/>
              </w:rPr>
            </w:pPr>
          </w:p>
        </w:tc>
      </w:tr>
      <w:tr w14:paraId="62FE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vAlign w:val="center"/>
          </w:tcPr>
          <w:p w14:paraId="23007F4A">
            <w:pPr>
              <w:adjustRightInd w:val="0"/>
              <w:snapToGrid w:val="0"/>
              <w:spacing w:line="560" w:lineRule="exact"/>
              <w:jc w:val="center"/>
              <w:rPr>
                <w:rFonts w:ascii="宋体" w:hAnsi="宋体"/>
                <w:color w:val="auto"/>
                <w:szCs w:val="21"/>
              </w:rPr>
            </w:pPr>
            <w:r>
              <w:rPr>
                <w:rFonts w:ascii="宋体" w:hAnsi="宋体"/>
                <w:color w:val="auto"/>
                <w:szCs w:val="21"/>
              </w:rPr>
              <w:t>职  称</w:t>
            </w:r>
          </w:p>
        </w:tc>
        <w:tc>
          <w:tcPr>
            <w:tcW w:w="1185" w:type="dxa"/>
            <w:gridSpan w:val="2"/>
            <w:vAlign w:val="center"/>
          </w:tcPr>
          <w:p w14:paraId="00B2909C">
            <w:pPr>
              <w:adjustRightInd w:val="0"/>
              <w:snapToGrid w:val="0"/>
              <w:spacing w:line="560" w:lineRule="exact"/>
              <w:jc w:val="center"/>
              <w:rPr>
                <w:rFonts w:ascii="宋体" w:hAnsi="宋体"/>
                <w:color w:val="auto"/>
                <w:szCs w:val="21"/>
              </w:rPr>
            </w:pPr>
          </w:p>
        </w:tc>
        <w:tc>
          <w:tcPr>
            <w:tcW w:w="1018" w:type="dxa"/>
            <w:vAlign w:val="center"/>
          </w:tcPr>
          <w:p w14:paraId="69E0AECB">
            <w:pPr>
              <w:adjustRightInd w:val="0"/>
              <w:snapToGrid w:val="0"/>
              <w:spacing w:line="560" w:lineRule="exact"/>
              <w:jc w:val="center"/>
              <w:rPr>
                <w:rFonts w:ascii="宋体" w:hAnsi="宋体"/>
                <w:color w:val="auto"/>
                <w:szCs w:val="21"/>
              </w:rPr>
            </w:pPr>
            <w:r>
              <w:rPr>
                <w:rFonts w:ascii="宋体" w:hAnsi="宋体"/>
                <w:color w:val="auto"/>
                <w:szCs w:val="21"/>
              </w:rPr>
              <w:t>职 务</w:t>
            </w:r>
          </w:p>
        </w:tc>
        <w:tc>
          <w:tcPr>
            <w:tcW w:w="1170" w:type="dxa"/>
            <w:vAlign w:val="center"/>
          </w:tcPr>
          <w:p w14:paraId="0F75CA36">
            <w:pPr>
              <w:adjustRightInd w:val="0"/>
              <w:snapToGrid w:val="0"/>
              <w:spacing w:line="560" w:lineRule="exact"/>
              <w:jc w:val="center"/>
              <w:rPr>
                <w:rFonts w:ascii="宋体" w:hAnsi="宋体"/>
                <w:color w:val="auto"/>
                <w:szCs w:val="21"/>
              </w:rPr>
            </w:pPr>
          </w:p>
        </w:tc>
        <w:tc>
          <w:tcPr>
            <w:tcW w:w="2339" w:type="dxa"/>
            <w:gridSpan w:val="3"/>
            <w:vAlign w:val="center"/>
          </w:tcPr>
          <w:p w14:paraId="09913838">
            <w:pPr>
              <w:adjustRightInd w:val="0"/>
              <w:snapToGrid w:val="0"/>
              <w:spacing w:line="560" w:lineRule="exact"/>
              <w:jc w:val="center"/>
              <w:rPr>
                <w:rFonts w:ascii="宋体" w:hAnsi="宋体"/>
                <w:color w:val="auto"/>
                <w:szCs w:val="21"/>
              </w:rPr>
            </w:pPr>
            <w:r>
              <w:rPr>
                <w:rFonts w:ascii="宋体" w:hAnsi="宋体"/>
                <w:color w:val="auto"/>
                <w:szCs w:val="21"/>
              </w:rPr>
              <w:t>拟在本合同任职</w:t>
            </w:r>
          </w:p>
        </w:tc>
        <w:tc>
          <w:tcPr>
            <w:tcW w:w="2345" w:type="dxa"/>
            <w:vAlign w:val="center"/>
          </w:tcPr>
          <w:p w14:paraId="23957F30">
            <w:pPr>
              <w:adjustRightInd w:val="0"/>
              <w:snapToGrid w:val="0"/>
              <w:spacing w:line="560" w:lineRule="exact"/>
              <w:rPr>
                <w:rFonts w:ascii="宋体" w:hAnsi="宋体"/>
                <w:color w:val="auto"/>
                <w:szCs w:val="21"/>
              </w:rPr>
            </w:pPr>
          </w:p>
        </w:tc>
      </w:tr>
      <w:tr w14:paraId="41BC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vAlign w:val="center"/>
          </w:tcPr>
          <w:p w14:paraId="65A0632F">
            <w:pPr>
              <w:adjustRightInd w:val="0"/>
              <w:snapToGrid w:val="0"/>
              <w:spacing w:line="560" w:lineRule="exact"/>
              <w:rPr>
                <w:rFonts w:ascii="宋体" w:hAnsi="宋体"/>
                <w:color w:val="auto"/>
                <w:szCs w:val="21"/>
              </w:rPr>
            </w:pPr>
            <w:r>
              <w:rPr>
                <w:rFonts w:ascii="宋体" w:hAnsi="宋体"/>
                <w:color w:val="auto"/>
                <w:szCs w:val="21"/>
              </w:rPr>
              <w:t>毕业学校</w:t>
            </w:r>
          </w:p>
        </w:tc>
        <w:tc>
          <w:tcPr>
            <w:tcW w:w="8057" w:type="dxa"/>
            <w:gridSpan w:val="8"/>
          </w:tcPr>
          <w:p w14:paraId="5FB582CC">
            <w:pPr>
              <w:adjustRightInd w:val="0"/>
              <w:snapToGrid w:val="0"/>
              <w:spacing w:line="560" w:lineRule="exact"/>
              <w:rPr>
                <w:rFonts w:ascii="宋体" w:hAnsi="宋体"/>
                <w:color w:val="auto"/>
                <w:szCs w:val="21"/>
              </w:rPr>
            </w:pPr>
            <w:r>
              <w:rPr>
                <w:rFonts w:ascii="宋体" w:hAnsi="宋体"/>
                <w:color w:val="auto"/>
                <w:szCs w:val="21"/>
              </w:rPr>
              <w:t xml:space="preserve">      年毕业于            学校        专业</w:t>
            </w:r>
          </w:p>
        </w:tc>
      </w:tr>
      <w:tr w14:paraId="47A2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60" w:type="dxa"/>
            <w:gridSpan w:val="9"/>
            <w:vAlign w:val="center"/>
          </w:tcPr>
          <w:p w14:paraId="665C1F1C">
            <w:pPr>
              <w:adjustRightInd w:val="0"/>
              <w:snapToGrid w:val="0"/>
              <w:spacing w:line="560" w:lineRule="exact"/>
              <w:rPr>
                <w:rFonts w:ascii="宋体" w:hAnsi="宋体"/>
                <w:color w:val="auto"/>
                <w:szCs w:val="21"/>
              </w:rPr>
            </w:pPr>
            <w:r>
              <w:rPr>
                <w:rFonts w:ascii="宋体" w:hAnsi="宋体"/>
                <w:color w:val="auto"/>
                <w:szCs w:val="21"/>
              </w:rPr>
              <w:t>主要工作经历</w:t>
            </w:r>
          </w:p>
        </w:tc>
      </w:tr>
      <w:tr w14:paraId="4298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97" w:type="dxa"/>
            <w:gridSpan w:val="2"/>
            <w:vAlign w:val="center"/>
          </w:tcPr>
          <w:p w14:paraId="19FF072D">
            <w:pPr>
              <w:adjustRightInd w:val="0"/>
              <w:snapToGrid w:val="0"/>
              <w:spacing w:line="560" w:lineRule="exact"/>
              <w:jc w:val="center"/>
              <w:rPr>
                <w:rFonts w:ascii="宋体" w:hAnsi="宋体"/>
                <w:color w:val="auto"/>
                <w:szCs w:val="21"/>
              </w:rPr>
            </w:pPr>
            <w:r>
              <w:rPr>
                <w:rFonts w:ascii="宋体" w:hAnsi="宋体"/>
                <w:color w:val="auto"/>
                <w:szCs w:val="21"/>
              </w:rPr>
              <w:t>时  间</w:t>
            </w:r>
          </w:p>
        </w:tc>
        <w:tc>
          <w:tcPr>
            <w:tcW w:w="3756" w:type="dxa"/>
            <w:gridSpan w:val="4"/>
            <w:vAlign w:val="center"/>
          </w:tcPr>
          <w:p w14:paraId="43278015">
            <w:pPr>
              <w:adjustRightInd w:val="0"/>
              <w:snapToGrid w:val="0"/>
              <w:spacing w:line="560" w:lineRule="exact"/>
              <w:jc w:val="center"/>
              <w:rPr>
                <w:rFonts w:ascii="宋体" w:hAnsi="宋体"/>
                <w:color w:val="auto"/>
                <w:szCs w:val="21"/>
              </w:rPr>
            </w:pPr>
            <w:r>
              <w:rPr>
                <w:rFonts w:ascii="宋体" w:hAnsi="宋体"/>
                <w:color w:val="auto"/>
                <w:szCs w:val="21"/>
              </w:rPr>
              <w:t>参加过的类似项目</w:t>
            </w:r>
          </w:p>
        </w:tc>
        <w:tc>
          <w:tcPr>
            <w:tcW w:w="1385" w:type="dxa"/>
            <w:vAlign w:val="center"/>
          </w:tcPr>
          <w:p w14:paraId="3C809F5F">
            <w:pPr>
              <w:adjustRightInd w:val="0"/>
              <w:snapToGrid w:val="0"/>
              <w:spacing w:line="560" w:lineRule="exact"/>
              <w:jc w:val="center"/>
              <w:rPr>
                <w:rFonts w:ascii="宋体" w:hAnsi="宋体"/>
                <w:color w:val="auto"/>
                <w:szCs w:val="21"/>
              </w:rPr>
            </w:pPr>
            <w:r>
              <w:rPr>
                <w:rFonts w:ascii="宋体" w:hAnsi="宋体"/>
                <w:color w:val="auto"/>
                <w:szCs w:val="21"/>
              </w:rPr>
              <w:t>担任职务</w:t>
            </w:r>
          </w:p>
        </w:tc>
        <w:tc>
          <w:tcPr>
            <w:tcW w:w="2522" w:type="dxa"/>
            <w:gridSpan w:val="2"/>
            <w:vAlign w:val="center"/>
          </w:tcPr>
          <w:p w14:paraId="45BA55B8">
            <w:pPr>
              <w:adjustRightInd w:val="0"/>
              <w:snapToGrid w:val="0"/>
              <w:spacing w:line="560" w:lineRule="exact"/>
              <w:jc w:val="center"/>
              <w:rPr>
                <w:rFonts w:ascii="宋体" w:hAnsi="宋体"/>
                <w:color w:val="auto"/>
                <w:szCs w:val="21"/>
              </w:rPr>
            </w:pPr>
            <w:r>
              <w:rPr>
                <w:rFonts w:ascii="宋体" w:hAnsi="宋体"/>
                <w:color w:val="auto"/>
                <w:szCs w:val="21"/>
              </w:rPr>
              <w:t>发包人及联系电话</w:t>
            </w:r>
          </w:p>
        </w:tc>
      </w:tr>
      <w:tr w14:paraId="0934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76054AEB">
            <w:pPr>
              <w:adjustRightInd w:val="0"/>
              <w:snapToGrid w:val="0"/>
              <w:spacing w:line="560" w:lineRule="exact"/>
              <w:rPr>
                <w:rFonts w:eastAsia="黑体"/>
                <w:color w:val="auto"/>
                <w:szCs w:val="21"/>
              </w:rPr>
            </w:pPr>
          </w:p>
        </w:tc>
        <w:tc>
          <w:tcPr>
            <w:tcW w:w="3756" w:type="dxa"/>
            <w:gridSpan w:val="4"/>
          </w:tcPr>
          <w:p w14:paraId="4DDC9805">
            <w:pPr>
              <w:adjustRightInd w:val="0"/>
              <w:snapToGrid w:val="0"/>
              <w:spacing w:line="560" w:lineRule="exact"/>
              <w:rPr>
                <w:rFonts w:eastAsia="黑体"/>
                <w:color w:val="auto"/>
                <w:szCs w:val="21"/>
              </w:rPr>
            </w:pPr>
          </w:p>
        </w:tc>
        <w:tc>
          <w:tcPr>
            <w:tcW w:w="1385" w:type="dxa"/>
          </w:tcPr>
          <w:p w14:paraId="34EDDD75">
            <w:pPr>
              <w:adjustRightInd w:val="0"/>
              <w:snapToGrid w:val="0"/>
              <w:spacing w:line="560" w:lineRule="exact"/>
              <w:rPr>
                <w:rFonts w:eastAsia="黑体"/>
                <w:color w:val="auto"/>
                <w:szCs w:val="21"/>
              </w:rPr>
            </w:pPr>
          </w:p>
        </w:tc>
        <w:tc>
          <w:tcPr>
            <w:tcW w:w="2522" w:type="dxa"/>
            <w:gridSpan w:val="2"/>
          </w:tcPr>
          <w:p w14:paraId="13085D88">
            <w:pPr>
              <w:adjustRightInd w:val="0"/>
              <w:snapToGrid w:val="0"/>
              <w:spacing w:line="560" w:lineRule="exact"/>
              <w:rPr>
                <w:rFonts w:eastAsia="黑体"/>
                <w:color w:val="auto"/>
                <w:szCs w:val="21"/>
              </w:rPr>
            </w:pPr>
          </w:p>
        </w:tc>
      </w:tr>
      <w:tr w14:paraId="770E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4C640877">
            <w:pPr>
              <w:adjustRightInd w:val="0"/>
              <w:snapToGrid w:val="0"/>
              <w:spacing w:line="560" w:lineRule="exact"/>
              <w:rPr>
                <w:rFonts w:eastAsia="黑体"/>
                <w:color w:val="auto"/>
                <w:szCs w:val="21"/>
              </w:rPr>
            </w:pPr>
          </w:p>
        </w:tc>
        <w:tc>
          <w:tcPr>
            <w:tcW w:w="3756" w:type="dxa"/>
            <w:gridSpan w:val="4"/>
          </w:tcPr>
          <w:p w14:paraId="53F4A8DC">
            <w:pPr>
              <w:adjustRightInd w:val="0"/>
              <w:snapToGrid w:val="0"/>
              <w:spacing w:line="560" w:lineRule="exact"/>
              <w:rPr>
                <w:rFonts w:eastAsia="黑体"/>
                <w:color w:val="auto"/>
                <w:szCs w:val="21"/>
              </w:rPr>
            </w:pPr>
          </w:p>
        </w:tc>
        <w:tc>
          <w:tcPr>
            <w:tcW w:w="1385" w:type="dxa"/>
          </w:tcPr>
          <w:p w14:paraId="1C6EBA2A">
            <w:pPr>
              <w:adjustRightInd w:val="0"/>
              <w:snapToGrid w:val="0"/>
              <w:spacing w:line="560" w:lineRule="exact"/>
              <w:rPr>
                <w:rFonts w:eastAsia="黑体"/>
                <w:color w:val="auto"/>
                <w:szCs w:val="21"/>
              </w:rPr>
            </w:pPr>
          </w:p>
        </w:tc>
        <w:tc>
          <w:tcPr>
            <w:tcW w:w="2522" w:type="dxa"/>
            <w:gridSpan w:val="2"/>
          </w:tcPr>
          <w:p w14:paraId="53690F51">
            <w:pPr>
              <w:adjustRightInd w:val="0"/>
              <w:snapToGrid w:val="0"/>
              <w:spacing w:line="560" w:lineRule="exact"/>
              <w:rPr>
                <w:rFonts w:eastAsia="黑体"/>
                <w:color w:val="auto"/>
                <w:szCs w:val="21"/>
              </w:rPr>
            </w:pPr>
          </w:p>
        </w:tc>
      </w:tr>
      <w:tr w14:paraId="3F5F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0BB3F62D">
            <w:pPr>
              <w:adjustRightInd w:val="0"/>
              <w:snapToGrid w:val="0"/>
              <w:spacing w:line="560" w:lineRule="exact"/>
              <w:rPr>
                <w:rFonts w:eastAsia="黑体"/>
                <w:color w:val="auto"/>
                <w:szCs w:val="21"/>
              </w:rPr>
            </w:pPr>
          </w:p>
        </w:tc>
        <w:tc>
          <w:tcPr>
            <w:tcW w:w="3756" w:type="dxa"/>
            <w:gridSpan w:val="4"/>
          </w:tcPr>
          <w:p w14:paraId="0FB25B2D">
            <w:pPr>
              <w:adjustRightInd w:val="0"/>
              <w:snapToGrid w:val="0"/>
              <w:spacing w:line="560" w:lineRule="exact"/>
              <w:rPr>
                <w:rFonts w:eastAsia="黑体"/>
                <w:color w:val="auto"/>
                <w:szCs w:val="21"/>
              </w:rPr>
            </w:pPr>
          </w:p>
        </w:tc>
        <w:tc>
          <w:tcPr>
            <w:tcW w:w="1385" w:type="dxa"/>
          </w:tcPr>
          <w:p w14:paraId="246E4044">
            <w:pPr>
              <w:adjustRightInd w:val="0"/>
              <w:snapToGrid w:val="0"/>
              <w:spacing w:line="560" w:lineRule="exact"/>
              <w:rPr>
                <w:rFonts w:eastAsia="黑体"/>
                <w:color w:val="auto"/>
                <w:szCs w:val="21"/>
              </w:rPr>
            </w:pPr>
          </w:p>
        </w:tc>
        <w:tc>
          <w:tcPr>
            <w:tcW w:w="2522" w:type="dxa"/>
            <w:gridSpan w:val="2"/>
          </w:tcPr>
          <w:p w14:paraId="767E88BB">
            <w:pPr>
              <w:adjustRightInd w:val="0"/>
              <w:snapToGrid w:val="0"/>
              <w:spacing w:line="560" w:lineRule="exact"/>
              <w:rPr>
                <w:rFonts w:eastAsia="黑体"/>
                <w:color w:val="auto"/>
                <w:szCs w:val="21"/>
              </w:rPr>
            </w:pPr>
          </w:p>
        </w:tc>
      </w:tr>
      <w:tr w14:paraId="690C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14E462C1">
            <w:pPr>
              <w:adjustRightInd w:val="0"/>
              <w:snapToGrid w:val="0"/>
              <w:spacing w:line="560" w:lineRule="exact"/>
              <w:rPr>
                <w:rFonts w:eastAsia="黑体"/>
                <w:color w:val="auto"/>
                <w:szCs w:val="21"/>
              </w:rPr>
            </w:pPr>
          </w:p>
        </w:tc>
        <w:tc>
          <w:tcPr>
            <w:tcW w:w="3756" w:type="dxa"/>
            <w:gridSpan w:val="4"/>
          </w:tcPr>
          <w:p w14:paraId="317357E4">
            <w:pPr>
              <w:adjustRightInd w:val="0"/>
              <w:snapToGrid w:val="0"/>
              <w:spacing w:line="560" w:lineRule="exact"/>
              <w:rPr>
                <w:rFonts w:eastAsia="黑体"/>
                <w:color w:val="auto"/>
                <w:szCs w:val="21"/>
              </w:rPr>
            </w:pPr>
          </w:p>
        </w:tc>
        <w:tc>
          <w:tcPr>
            <w:tcW w:w="1385" w:type="dxa"/>
          </w:tcPr>
          <w:p w14:paraId="48D67790">
            <w:pPr>
              <w:adjustRightInd w:val="0"/>
              <w:snapToGrid w:val="0"/>
              <w:spacing w:line="560" w:lineRule="exact"/>
              <w:rPr>
                <w:rFonts w:eastAsia="黑体"/>
                <w:color w:val="auto"/>
                <w:szCs w:val="21"/>
              </w:rPr>
            </w:pPr>
          </w:p>
        </w:tc>
        <w:tc>
          <w:tcPr>
            <w:tcW w:w="2522" w:type="dxa"/>
            <w:gridSpan w:val="2"/>
          </w:tcPr>
          <w:p w14:paraId="4FC37AF6">
            <w:pPr>
              <w:adjustRightInd w:val="0"/>
              <w:snapToGrid w:val="0"/>
              <w:spacing w:line="560" w:lineRule="exact"/>
              <w:rPr>
                <w:rFonts w:eastAsia="黑体"/>
                <w:color w:val="auto"/>
                <w:szCs w:val="21"/>
              </w:rPr>
            </w:pPr>
          </w:p>
        </w:tc>
      </w:tr>
      <w:tr w14:paraId="76F2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51236EBE">
            <w:pPr>
              <w:adjustRightInd w:val="0"/>
              <w:snapToGrid w:val="0"/>
              <w:spacing w:line="560" w:lineRule="exact"/>
              <w:rPr>
                <w:rFonts w:eastAsia="黑体"/>
                <w:color w:val="auto"/>
                <w:szCs w:val="21"/>
              </w:rPr>
            </w:pPr>
          </w:p>
        </w:tc>
        <w:tc>
          <w:tcPr>
            <w:tcW w:w="3756" w:type="dxa"/>
            <w:gridSpan w:val="4"/>
          </w:tcPr>
          <w:p w14:paraId="28055F3E">
            <w:pPr>
              <w:adjustRightInd w:val="0"/>
              <w:snapToGrid w:val="0"/>
              <w:spacing w:line="560" w:lineRule="exact"/>
              <w:rPr>
                <w:rFonts w:eastAsia="黑体"/>
                <w:color w:val="auto"/>
                <w:szCs w:val="21"/>
              </w:rPr>
            </w:pPr>
          </w:p>
        </w:tc>
        <w:tc>
          <w:tcPr>
            <w:tcW w:w="1385" w:type="dxa"/>
          </w:tcPr>
          <w:p w14:paraId="65214E86">
            <w:pPr>
              <w:adjustRightInd w:val="0"/>
              <w:snapToGrid w:val="0"/>
              <w:spacing w:line="560" w:lineRule="exact"/>
              <w:rPr>
                <w:rFonts w:eastAsia="黑体"/>
                <w:color w:val="auto"/>
                <w:szCs w:val="21"/>
              </w:rPr>
            </w:pPr>
          </w:p>
        </w:tc>
        <w:tc>
          <w:tcPr>
            <w:tcW w:w="2522" w:type="dxa"/>
            <w:gridSpan w:val="2"/>
          </w:tcPr>
          <w:p w14:paraId="322F4108">
            <w:pPr>
              <w:adjustRightInd w:val="0"/>
              <w:snapToGrid w:val="0"/>
              <w:spacing w:line="560" w:lineRule="exact"/>
              <w:rPr>
                <w:rFonts w:eastAsia="黑体"/>
                <w:color w:val="auto"/>
                <w:szCs w:val="21"/>
              </w:rPr>
            </w:pPr>
          </w:p>
        </w:tc>
      </w:tr>
      <w:tr w14:paraId="7E85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36C0678E">
            <w:pPr>
              <w:adjustRightInd w:val="0"/>
              <w:snapToGrid w:val="0"/>
              <w:spacing w:line="560" w:lineRule="exact"/>
              <w:rPr>
                <w:rFonts w:eastAsia="黑体"/>
                <w:color w:val="auto"/>
                <w:szCs w:val="21"/>
              </w:rPr>
            </w:pPr>
          </w:p>
        </w:tc>
        <w:tc>
          <w:tcPr>
            <w:tcW w:w="3756" w:type="dxa"/>
            <w:gridSpan w:val="4"/>
          </w:tcPr>
          <w:p w14:paraId="3871C5E4">
            <w:pPr>
              <w:adjustRightInd w:val="0"/>
              <w:snapToGrid w:val="0"/>
              <w:spacing w:line="560" w:lineRule="exact"/>
              <w:rPr>
                <w:rFonts w:eastAsia="黑体"/>
                <w:color w:val="auto"/>
                <w:szCs w:val="21"/>
              </w:rPr>
            </w:pPr>
          </w:p>
        </w:tc>
        <w:tc>
          <w:tcPr>
            <w:tcW w:w="1385" w:type="dxa"/>
          </w:tcPr>
          <w:p w14:paraId="53DE0776">
            <w:pPr>
              <w:adjustRightInd w:val="0"/>
              <w:snapToGrid w:val="0"/>
              <w:spacing w:line="560" w:lineRule="exact"/>
              <w:rPr>
                <w:rFonts w:eastAsia="黑体"/>
                <w:color w:val="auto"/>
                <w:szCs w:val="21"/>
              </w:rPr>
            </w:pPr>
          </w:p>
        </w:tc>
        <w:tc>
          <w:tcPr>
            <w:tcW w:w="2522" w:type="dxa"/>
            <w:gridSpan w:val="2"/>
          </w:tcPr>
          <w:p w14:paraId="003CBD6C">
            <w:pPr>
              <w:adjustRightInd w:val="0"/>
              <w:snapToGrid w:val="0"/>
              <w:spacing w:line="560" w:lineRule="exact"/>
              <w:rPr>
                <w:rFonts w:eastAsia="黑体"/>
                <w:color w:val="auto"/>
                <w:szCs w:val="21"/>
              </w:rPr>
            </w:pPr>
          </w:p>
        </w:tc>
      </w:tr>
      <w:tr w14:paraId="605D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0DAE29A1">
            <w:pPr>
              <w:adjustRightInd w:val="0"/>
              <w:snapToGrid w:val="0"/>
              <w:spacing w:line="560" w:lineRule="exact"/>
              <w:rPr>
                <w:rFonts w:eastAsia="黑体"/>
                <w:color w:val="auto"/>
                <w:szCs w:val="21"/>
              </w:rPr>
            </w:pPr>
          </w:p>
        </w:tc>
        <w:tc>
          <w:tcPr>
            <w:tcW w:w="3756" w:type="dxa"/>
            <w:gridSpan w:val="4"/>
          </w:tcPr>
          <w:p w14:paraId="7E8C18C4">
            <w:pPr>
              <w:adjustRightInd w:val="0"/>
              <w:snapToGrid w:val="0"/>
              <w:spacing w:line="560" w:lineRule="exact"/>
              <w:rPr>
                <w:rFonts w:eastAsia="黑体"/>
                <w:color w:val="auto"/>
                <w:szCs w:val="21"/>
              </w:rPr>
            </w:pPr>
          </w:p>
        </w:tc>
        <w:tc>
          <w:tcPr>
            <w:tcW w:w="1385" w:type="dxa"/>
          </w:tcPr>
          <w:p w14:paraId="54635EB1">
            <w:pPr>
              <w:adjustRightInd w:val="0"/>
              <w:snapToGrid w:val="0"/>
              <w:spacing w:line="560" w:lineRule="exact"/>
              <w:rPr>
                <w:rFonts w:eastAsia="黑体"/>
                <w:color w:val="auto"/>
                <w:szCs w:val="21"/>
              </w:rPr>
            </w:pPr>
          </w:p>
        </w:tc>
        <w:tc>
          <w:tcPr>
            <w:tcW w:w="2522" w:type="dxa"/>
            <w:gridSpan w:val="2"/>
          </w:tcPr>
          <w:p w14:paraId="30FCD46C">
            <w:pPr>
              <w:adjustRightInd w:val="0"/>
              <w:snapToGrid w:val="0"/>
              <w:spacing w:line="560" w:lineRule="exact"/>
              <w:rPr>
                <w:rFonts w:eastAsia="黑体"/>
                <w:color w:val="auto"/>
                <w:szCs w:val="21"/>
              </w:rPr>
            </w:pPr>
          </w:p>
        </w:tc>
      </w:tr>
      <w:tr w14:paraId="07E1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65896498">
            <w:pPr>
              <w:adjustRightInd w:val="0"/>
              <w:snapToGrid w:val="0"/>
              <w:spacing w:line="560" w:lineRule="exact"/>
              <w:rPr>
                <w:rFonts w:eastAsia="黑体"/>
                <w:color w:val="auto"/>
                <w:szCs w:val="21"/>
              </w:rPr>
            </w:pPr>
          </w:p>
        </w:tc>
        <w:tc>
          <w:tcPr>
            <w:tcW w:w="3756" w:type="dxa"/>
            <w:gridSpan w:val="4"/>
          </w:tcPr>
          <w:p w14:paraId="2319A7B4">
            <w:pPr>
              <w:adjustRightInd w:val="0"/>
              <w:snapToGrid w:val="0"/>
              <w:spacing w:line="560" w:lineRule="exact"/>
              <w:rPr>
                <w:rFonts w:eastAsia="黑体"/>
                <w:color w:val="auto"/>
                <w:szCs w:val="21"/>
              </w:rPr>
            </w:pPr>
          </w:p>
        </w:tc>
        <w:tc>
          <w:tcPr>
            <w:tcW w:w="1385" w:type="dxa"/>
          </w:tcPr>
          <w:p w14:paraId="500FB6D3">
            <w:pPr>
              <w:adjustRightInd w:val="0"/>
              <w:snapToGrid w:val="0"/>
              <w:spacing w:line="560" w:lineRule="exact"/>
              <w:rPr>
                <w:rFonts w:eastAsia="黑体"/>
                <w:color w:val="auto"/>
                <w:szCs w:val="21"/>
              </w:rPr>
            </w:pPr>
          </w:p>
        </w:tc>
        <w:tc>
          <w:tcPr>
            <w:tcW w:w="2522" w:type="dxa"/>
            <w:gridSpan w:val="2"/>
          </w:tcPr>
          <w:p w14:paraId="4A8C0514">
            <w:pPr>
              <w:adjustRightInd w:val="0"/>
              <w:snapToGrid w:val="0"/>
              <w:spacing w:line="560" w:lineRule="exact"/>
              <w:rPr>
                <w:rFonts w:eastAsia="黑体"/>
                <w:color w:val="auto"/>
                <w:szCs w:val="21"/>
              </w:rPr>
            </w:pPr>
          </w:p>
        </w:tc>
      </w:tr>
      <w:tr w14:paraId="5F77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04AD6C7B">
            <w:pPr>
              <w:adjustRightInd w:val="0"/>
              <w:snapToGrid w:val="0"/>
              <w:spacing w:line="560" w:lineRule="exact"/>
              <w:rPr>
                <w:rFonts w:eastAsia="黑体"/>
                <w:color w:val="auto"/>
                <w:szCs w:val="21"/>
              </w:rPr>
            </w:pPr>
          </w:p>
        </w:tc>
        <w:tc>
          <w:tcPr>
            <w:tcW w:w="3756" w:type="dxa"/>
            <w:gridSpan w:val="4"/>
          </w:tcPr>
          <w:p w14:paraId="417EB369">
            <w:pPr>
              <w:adjustRightInd w:val="0"/>
              <w:snapToGrid w:val="0"/>
              <w:spacing w:line="560" w:lineRule="exact"/>
              <w:rPr>
                <w:rFonts w:eastAsia="黑体"/>
                <w:color w:val="auto"/>
                <w:szCs w:val="21"/>
              </w:rPr>
            </w:pPr>
          </w:p>
        </w:tc>
        <w:tc>
          <w:tcPr>
            <w:tcW w:w="1385" w:type="dxa"/>
          </w:tcPr>
          <w:p w14:paraId="35B020F2">
            <w:pPr>
              <w:adjustRightInd w:val="0"/>
              <w:snapToGrid w:val="0"/>
              <w:spacing w:line="560" w:lineRule="exact"/>
              <w:rPr>
                <w:rFonts w:eastAsia="黑体"/>
                <w:color w:val="auto"/>
                <w:szCs w:val="21"/>
              </w:rPr>
            </w:pPr>
          </w:p>
        </w:tc>
        <w:tc>
          <w:tcPr>
            <w:tcW w:w="2522" w:type="dxa"/>
            <w:gridSpan w:val="2"/>
          </w:tcPr>
          <w:p w14:paraId="5F842570">
            <w:pPr>
              <w:adjustRightInd w:val="0"/>
              <w:snapToGrid w:val="0"/>
              <w:spacing w:line="560" w:lineRule="exact"/>
              <w:rPr>
                <w:rFonts w:eastAsia="黑体"/>
                <w:color w:val="auto"/>
                <w:szCs w:val="21"/>
              </w:rPr>
            </w:pPr>
          </w:p>
        </w:tc>
      </w:tr>
      <w:tr w14:paraId="41E7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697" w:type="dxa"/>
            <w:gridSpan w:val="2"/>
          </w:tcPr>
          <w:p w14:paraId="4695883B">
            <w:pPr>
              <w:adjustRightInd w:val="0"/>
              <w:snapToGrid w:val="0"/>
              <w:spacing w:line="560" w:lineRule="exact"/>
              <w:rPr>
                <w:rFonts w:eastAsia="黑体"/>
                <w:color w:val="auto"/>
                <w:szCs w:val="21"/>
              </w:rPr>
            </w:pPr>
          </w:p>
        </w:tc>
        <w:tc>
          <w:tcPr>
            <w:tcW w:w="3756" w:type="dxa"/>
            <w:gridSpan w:val="4"/>
          </w:tcPr>
          <w:p w14:paraId="21EF18BA">
            <w:pPr>
              <w:adjustRightInd w:val="0"/>
              <w:snapToGrid w:val="0"/>
              <w:spacing w:line="560" w:lineRule="exact"/>
              <w:rPr>
                <w:rFonts w:eastAsia="黑体"/>
                <w:color w:val="auto"/>
                <w:szCs w:val="21"/>
              </w:rPr>
            </w:pPr>
          </w:p>
        </w:tc>
        <w:tc>
          <w:tcPr>
            <w:tcW w:w="1385" w:type="dxa"/>
          </w:tcPr>
          <w:p w14:paraId="1830E195">
            <w:pPr>
              <w:adjustRightInd w:val="0"/>
              <w:snapToGrid w:val="0"/>
              <w:spacing w:line="560" w:lineRule="exact"/>
              <w:rPr>
                <w:rFonts w:eastAsia="黑体"/>
                <w:color w:val="auto"/>
                <w:szCs w:val="21"/>
              </w:rPr>
            </w:pPr>
          </w:p>
        </w:tc>
        <w:tc>
          <w:tcPr>
            <w:tcW w:w="2522" w:type="dxa"/>
            <w:gridSpan w:val="2"/>
          </w:tcPr>
          <w:p w14:paraId="7F04D146">
            <w:pPr>
              <w:adjustRightInd w:val="0"/>
              <w:snapToGrid w:val="0"/>
              <w:spacing w:line="560" w:lineRule="exact"/>
              <w:rPr>
                <w:rFonts w:eastAsia="黑体"/>
                <w:color w:val="auto"/>
                <w:szCs w:val="21"/>
              </w:rPr>
            </w:pPr>
          </w:p>
        </w:tc>
      </w:tr>
      <w:tr w14:paraId="7C58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697" w:type="dxa"/>
            <w:gridSpan w:val="2"/>
          </w:tcPr>
          <w:p w14:paraId="61A94A77">
            <w:pPr>
              <w:adjustRightInd w:val="0"/>
              <w:snapToGrid w:val="0"/>
              <w:spacing w:line="560" w:lineRule="exact"/>
              <w:rPr>
                <w:rFonts w:eastAsia="黑体"/>
                <w:color w:val="auto"/>
                <w:szCs w:val="21"/>
              </w:rPr>
            </w:pPr>
          </w:p>
        </w:tc>
        <w:tc>
          <w:tcPr>
            <w:tcW w:w="3756" w:type="dxa"/>
            <w:gridSpan w:val="4"/>
          </w:tcPr>
          <w:p w14:paraId="1A8A89EC">
            <w:pPr>
              <w:adjustRightInd w:val="0"/>
              <w:snapToGrid w:val="0"/>
              <w:spacing w:line="560" w:lineRule="exact"/>
              <w:rPr>
                <w:rFonts w:eastAsia="黑体"/>
                <w:color w:val="auto"/>
                <w:szCs w:val="21"/>
              </w:rPr>
            </w:pPr>
          </w:p>
        </w:tc>
        <w:tc>
          <w:tcPr>
            <w:tcW w:w="1385" w:type="dxa"/>
          </w:tcPr>
          <w:p w14:paraId="596E219C">
            <w:pPr>
              <w:adjustRightInd w:val="0"/>
              <w:snapToGrid w:val="0"/>
              <w:spacing w:line="560" w:lineRule="exact"/>
              <w:rPr>
                <w:rFonts w:eastAsia="黑体"/>
                <w:color w:val="auto"/>
                <w:szCs w:val="21"/>
              </w:rPr>
            </w:pPr>
          </w:p>
        </w:tc>
        <w:tc>
          <w:tcPr>
            <w:tcW w:w="2522" w:type="dxa"/>
            <w:gridSpan w:val="2"/>
          </w:tcPr>
          <w:p w14:paraId="7E6648A6">
            <w:pPr>
              <w:adjustRightInd w:val="0"/>
              <w:snapToGrid w:val="0"/>
              <w:spacing w:line="560" w:lineRule="exact"/>
              <w:rPr>
                <w:rFonts w:eastAsia="黑体"/>
                <w:color w:val="auto"/>
                <w:szCs w:val="21"/>
              </w:rPr>
            </w:pPr>
          </w:p>
        </w:tc>
      </w:tr>
    </w:tbl>
    <w:p w14:paraId="5C526F85">
      <w:pPr>
        <w:rPr>
          <w:color w:val="auto"/>
        </w:rPr>
      </w:pPr>
      <w:r>
        <w:rPr>
          <w:rFonts w:hint="eastAsia"/>
          <w:color w:val="auto"/>
        </w:rPr>
        <w:br w:type="page"/>
      </w:r>
    </w:p>
    <w:p w14:paraId="1E43B7A5">
      <w:pPr>
        <w:pStyle w:val="5"/>
        <w:jc w:val="center"/>
        <w:rPr>
          <w:color w:val="auto"/>
          <w:sz w:val="23"/>
          <w:szCs w:val="23"/>
        </w:rPr>
      </w:pPr>
      <w:r>
        <w:rPr>
          <w:rFonts w:hint="eastAsia"/>
          <w:color w:val="auto"/>
        </w:rPr>
        <w:t>拟任设计负责人</w:t>
      </w:r>
      <w:r>
        <w:rPr>
          <w:color w:val="auto"/>
        </w:rPr>
        <w:t>简历表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394"/>
        <w:gridCol w:w="791"/>
        <w:gridCol w:w="1018"/>
        <w:gridCol w:w="1170"/>
        <w:gridCol w:w="777"/>
        <w:gridCol w:w="1385"/>
        <w:gridCol w:w="177"/>
        <w:gridCol w:w="2345"/>
      </w:tblGrid>
      <w:tr w14:paraId="5046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vAlign w:val="center"/>
          </w:tcPr>
          <w:p w14:paraId="35CC39DF">
            <w:pPr>
              <w:adjustRightInd w:val="0"/>
              <w:snapToGrid w:val="0"/>
              <w:spacing w:line="560" w:lineRule="exact"/>
              <w:jc w:val="center"/>
              <w:rPr>
                <w:rFonts w:ascii="宋体" w:hAnsi="宋体"/>
                <w:color w:val="auto"/>
                <w:szCs w:val="21"/>
              </w:rPr>
            </w:pPr>
            <w:r>
              <w:rPr>
                <w:rFonts w:ascii="宋体" w:hAnsi="宋体"/>
                <w:color w:val="auto"/>
                <w:szCs w:val="21"/>
              </w:rPr>
              <w:t>姓  名</w:t>
            </w:r>
          </w:p>
        </w:tc>
        <w:tc>
          <w:tcPr>
            <w:tcW w:w="1185" w:type="dxa"/>
            <w:gridSpan w:val="2"/>
            <w:vAlign w:val="center"/>
          </w:tcPr>
          <w:p w14:paraId="5EFA719A">
            <w:pPr>
              <w:adjustRightInd w:val="0"/>
              <w:snapToGrid w:val="0"/>
              <w:spacing w:line="560" w:lineRule="exact"/>
              <w:jc w:val="center"/>
              <w:rPr>
                <w:rFonts w:ascii="宋体" w:hAnsi="宋体"/>
                <w:color w:val="auto"/>
                <w:szCs w:val="21"/>
              </w:rPr>
            </w:pPr>
          </w:p>
        </w:tc>
        <w:tc>
          <w:tcPr>
            <w:tcW w:w="1018" w:type="dxa"/>
            <w:vAlign w:val="center"/>
          </w:tcPr>
          <w:p w14:paraId="0378F505">
            <w:pPr>
              <w:adjustRightInd w:val="0"/>
              <w:snapToGrid w:val="0"/>
              <w:spacing w:line="560" w:lineRule="exact"/>
              <w:jc w:val="center"/>
              <w:rPr>
                <w:rFonts w:ascii="宋体" w:hAnsi="宋体"/>
                <w:color w:val="auto"/>
                <w:szCs w:val="21"/>
              </w:rPr>
            </w:pPr>
            <w:r>
              <w:rPr>
                <w:rFonts w:ascii="宋体" w:hAnsi="宋体"/>
                <w:color w:val="auto"/>
                <w:szCs w:val="21"/>
              </w:rPr>
              <w:t>年 龄</w:t>
            </w:r>
          </w:p>
        </w:tc>
        <w:tc>
          <w:tcPr>
            <w:tcW w:w="1170" w:type="dxa"/>
            <w:vAlign w:val="center"/>
          </w:tcPr>
          <w:p w14:paraId="0CE6BE5C">
            <w:pPr>
              <w:adjustRightInd w:val="0"/>
              <w:snapToGrid w:val="0"/>
              <w:spacing w:line="560" w:lineRule="exact"/>
              <w:jc w:val="center"/>
              <w:rPr>
                <w:rFonts w:ascii="宋体" w:hAnsi="宋体"/>
                <w:color w:val="auto"/>
                <w:szCs w:val="21"/>
              </w:rPr>
            </w:pPr>
          </w:p>
        </w:tc>
        <w:tc>
          <w:tcPr>
            <w:tcW w:w="2339" w:type="dxa"/>
            <w:gridSpan w:val="3"/>
            <w:vAlign w:val="center"/>
          </w:tcPr>
          <w:p w14:paraId="6705E1BB">
            <w:pPr>
              <w:adjustRightInd w:val="0"/>
              <w:snapToGrid w:val="0"/>
              <w:spacing w:line="560" w:lineRule="exact"/>
              <w:jc w:val="center"/>
              <w:rPr>
                <w:rFonts w:ascii="宋体" w:hAnsi="宋体"/>
                <w:color w:val="auto"/>
                <w:szCs w:val="21"/>
              </w:rPr>
            </w:pPr>
            <w:r>
              <w:rPr>
                <w:rFonts w:ascii="宋体" w:hAnsi="宋体"/>
                <w:color w:val="auto"/>
                <w:szCs w:val="21"/>
              </w:rPr>
              <w:t>学历</w:t>
            </w:r>
          </w:p>
        </w:tc>
        <w:tc>
          <w:tcPr>
            <w:tcW w:w="2345" w:type="dxa"/>
            <w:vAlign w:val="center"/>
          </w:tcPr>
          <w:p w14:paraId="5856292D">
            <w:pPr>
              <w:adjustRightInd w:val="0"/>
              <w:snapToGrid w:val="0"/>
              <w:spacing w:line="560" w:lineRule="exact"/>
              <w:rPr>
                <w:rFonts w:ascii="宋体" w:hAnsi="宋体"/>
                <w:color w:val="auto"/>
                <w:szCs w:val="21"/>
              </w:rPr>
            </w:pPr>
          </w:p>
        </w:tc>
      </w:tr>
      <w:tr w14:paraId="043E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vAlign w:val="center"/>
          </w:tcPr>
          <w:p w14:paraId="336FE205">
            <w:pPr>
              <w:adjustRightInd w:val="0"/>
              <w:snapToGrid w:val="0"/>
              <w:spacing w:line="560" w:lineRule="exact"/>
              <w:jc w:val="center"/>
              <w:rPr>
                <w:rFonts w:ascii="宋体" w:hAnsi="宋体"/>
                <w:color w:val="auto"/>
                <w:szCs w:val="21"/>
              </w:rPr>
            </w:pPr>
            <w:r>
              <w:rPr>
                <w:rFonts w:ascii="宋体" w:hAnsi="宋体"/>
                <w:color w:val="auto"/>
                <w:szCs w:val="21"/>
              </w:rPr>
              <w:t>职  称</w:t>
            </w:r>
          </w:p>
        </w:tc>
        <w:tc>
          <w:tcPr>
            <w:tcW w:w="1185" w:type="dxa"/>
            <w:gridSpan w:val="2"/>
            <w:vAlign w:val="center"/>
          </w:tcPr>
          <w:p w14:paraId="732AB3F4">
            <w:pPr>
              <w:adjustRightInd w:val="0"/>
              <w:snapToGrid w:val="0"/>
              <w:spacing w:line="560" w:lineRule="exact"/>
              <w:jc w:val="center"/>
              <w:rPr>
                <w:rFonts w:ascii="宋体" w:hAnsi="宋体"/>
                <w:color w:val="auto"/>
                <w:szCs w:val="21"/>
              </w:rPr>
            </w:pPr>
          </w:p>
        </w:tc>
        <w:tc>
          <w:tcPr>
            <w:tcW w:w="1018" w:type="dxa"/>
            <w:vAlign w:val="center"/>
          </w:tcPr>
          <w:p w14:paraId="5D8DF006">
            <w:pPr>
              <w:adjustRightInd w:val="0"/>
              <w:snapToGrid w:val="0"/>
              <w:spacing w:line="560" w:lineRule="exact"/>
              <w:jc w:val="center"/>
              <w:rPr>
                <w:rFonts w:ascii="宋体" w:hAnsi="宋体"/>
                <w:color w:val="auto"/>
                <w:szCs w:val="21"/>
              </w:rPr>
            </w:pPr>
            <w:r>
              <w:rPr>
                <w:rFonts w:ascii="宋体" w:hAnsi="宋体"/>
                <w:color w:val="auto"/>
                <w:szCs w:val="21"/>
              </w:rPr>
              <w:t>职 务</w:t>
            </w:r>
          </w:p>
        </w:tc>
        <w:tc>
          <w:tcPr>
            <w:tcW w:w="1170" w:type="dxa"/>
            <w:vAlign w:val="center"/>
          </w:tcPr>
          <w:p w14:paraId="471E43B7">
            <w:pPr>
              <w:adjustRightInd w:val="0"/>
              <w:snapToGrid w:val="0"/>
              <w:spacing w:line="560" w:lineRule="exact"/>
              <w:jc w:val="center"/>
              <w:rPr>
                <w:rFonts w:ascii="宋体" w:hAnsi="宋体"/>
                <w:color w:val="auto"/>
                <w:szCs w:val="21"/>
              </w:rPr>
            </w:pPr>
          </w:p>
        </w:tc>
        <w:tc>
          <w:tcPr>
            <w:tcW w:w="2339" w:type="dxa"/>
            <w:gridSpan w:val="3"/>
            <w:vAlign w:val="center"/>
          </w:tcPr>
          <w:p w14:paraId="0FC7ED64">
            <w:pPr>
              <w:adjustRightInd w:val="0"/>
              <w:snapToGrid w:val="0"/>
              <w:spacing w:line="560" w:lineRule="exact"/>
              <w:jc w:val="center"/>
              <w:rPr>
                <w:rFonts w:ascii="宋体" w:hAnsi="宋体"/>
                <w:color w:val="auto"/>
                <w:szCs w:val="21"/>
              </w:rPr>
            </w:pPr>
            <w:r>
              <w:rPr>
                <w:rFonts w:ascii="宋体" w:hAnsi="宋体"/>
                <w:color w:val="auto"/>
                <w:szCs w:val="21"/>
              </w:rPr>
              <w:t>拟在本合同任职</w:t>
            </w:r>
          </w:p>
        </w:tc>
        <w:tc>
          <w:tcPr>
            <w:tcW w:w="2345" w:type="dxa"/>
            <w:vAlign w:val="center"/>
          </w:tcPr>
          <w:p w14:paraId="5C082DE5">
            <w:pPr>
              <w:adjustRightInd w:val="0"/>
              <w:snapToGrid w:val="0"/>
              <w:spacing w:line="560" w:lineRule="exact"/>
              <w:rPr>
                <w:rFonts w:ascii="宋体" w:hAnsi="宋体"/>
                <w:color w:val="auto"/>
                <w:szCs w:val="21"/>
              </w:rPr>
            </w:pPr>
          </w:p>
        </w:tc>
      </w:tr>
      <w:tr w14:paraId="129B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vAlign w:val="center"/>
          </w:tcPr>
          <w:p w14:paraId="7132C03D">
            <w:pPr>
              <w:adjustRightInd w:val="0"/>
              <w:snapToGrid w:val="0"/>
              <w:spacing w:line="560" w:lineRule="exact"/>
              <w:rPr>
                <w:rFonts w:ascii="宋体" w:hAnsi="宋体"/>
                <w:color w:val="auto"/>
                <w:szCs w:val="21"/>
              </w:rPr>
            </w:pPr>
            <w:r>
              <w:rPr>
                <w:rFonts w:ascii="宋体" w:hAnsi="宋体"/>
                <w:color w:val="auto"/>
                <w:szCs w:val="21"/>
              </w:rPr>
              <w:t>毕业学校</w:t>
            </w:r>
          </w:p>
        </w:tc>
        <w:tc>
          <w:tcPr>
            <w:tcW w:w="8057" w:type="dxa"/>
            <w:gridSpan w:val="8"/>
          </w:tcPr>
          <w:p w14:paraId="495CF350">
            <w:pPr>
              <w:adjustRightInd w:val="0"/>
              <w:snapToGrid w:val="0"/>
              <w:spacing w:line="560" w:lineRule="exact"/>
              <w:rPr>
                <w:rFonts w:ascii="宋体" w:hAnsi="宋体"/>
                <w:color w:val="auto"/>
                <w:szCs w:val="21"/>
              </w:rPr>
            </w:pPr>
            <w:r>
              <w:rPr>
                <w:rFonts w:ascii="宋体" w:hAnsi="宋体"/>
                <w:color w:val="auto"/>
                <w:szCs w:val="21"/>
              </w:rPr>
              <w:t xml:space="preserve">      年毕业于            学校        专业</w:t>
            </w:r>
          </w:p>
        </w:tc>
      </w:tr>
      <w:tr w14:paraId="77D3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60" w:type="dxa"/>
            <w:gridSpan w:val="9"/>
            <w:vAlign w:val="center"/>
          </w:tcPr>
          <w:p w14:paraId="0CD25135">
            <w:pPr>
              <w:adjustRightInd w:val="0"/>
              <w:snapToGrid w:val="0"/>
              <w:spacing w:line="560" w:lineRule="exact"/>
              <w:rPr>
                <w:rFonts w:ascii="宋体" w:hAnsi="宋体"/>
                <w:color w:val="auto"/>
                <w:szCs w:val="21"/>
              </w:rPr>
            </w:pPr>
            <w:r>
              <w:rPr>
                <w:rFonts w:ascii="宋体" w:hAnsi="宋体"/>
                <w:color w:val="auto"/>
                <w:szCs w:val="21"/>
              </w:rPr>
              <w:t>主要工作经历</w:t>
            </w:r>
          </w:p>
        </w:tc>
      </w:tr>
      <w:tr w14:paraId="708C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97" w:type="dxa"/>
            <w:gridSpan w:val="2"/>
            <w:vAlign w:val="center"/>
          </w:tcPr>
          <w:p w14:paraId="48766D4E">
            <w:pPr>
              <w:adjustRightInd w:val="0"/>
              <w:snapToGrid w:val="0"/>
              <w:spacing w:line="560" w:lineRule="exact"/>
              <w:jc w:val="center"/>
              <w:rPr>
                <w:rFonts w:ascii="宋体" w:hAnsi="宋体"/>
                <w:color w:val="auto"/>
                <w:szCs w:val="21"/>
              </w:rPr>
            </w:pPr>
            <w:r>
              <w:rPr>
                <w:rFonts w:ascii="宋体" w:hAnsi="宋体"/>
                <w:color w:val="auto"/>
                <w:szCs w:val="21"/>
              </w:rPr>
              <w:t>时  间</w:t>
            </w:r>
          </w:p>
        </w:tc>
        <w:tc>
          <w:tcPr>
            <w:tcW w:w="3756" w:type="dxa"/>
            <w:gridSpan w:val="4"/>
            <w:vAlign w:val="center"/>
          </w:tcPr>
          <w:p w14:paraId="52D5B29E">
            <w:pPr>
              <w:adjustRightInd w:val="0"/>
              <w:snapToGrid w:val="0"/>
              <w:spacing w:line="560" w:lineRule="exact"/>
              <w:jc w:val="center"/>
              <w:rPr>
                <w:rFonts w:ascii="宋体" w:hAnsi="宋体"/>
                <w:color w:val="auto"/>
                <w:szCs w:val="21"/>
              </w:rPr>
            </w:pPr>
            <w:r>
              <w:rPr>
                <w:rFonts w:ascii="宋体" w:hAnsi="宋体"/>
                <w:color w:val="auto"/>
                <w:szCs w:val="21"/>
              </w:rPr>
              <w:t>参加过的类似项目</w:t>
            </w:r>
          </w:p>
        </w:tc>
        <w:tc>
          <w:tcPr>
            <w:tcW w:w="1385" w:type="dxa"/>
            <w:vAlign w:val="center"/>
          </w:tcPr>
          <w:p w14:paraId="03C76755">
            <w:pPr>
              <w:adjustRightInd w:val="0"/>
              <w:snapToGrid w:val="0"/>
              <w:spacing w:line="560" w:lineRule="exact"/>
              <w:jc w:val="center"/>
              <w:rPr>
                <w:rFonts w:ascii="宋体" w:hAnsi="宋体"/>
                <w:color w:val="auto"/>
                <w:szCs w:val="21"/>
              </w:rPr>
            </w:pPr>
            <w:r>
              <w:rPr>
                <w:rFonts w:ascii="宋体" w:hAnsi="宋体"/>
                <w:color w:val="auto"/>
                <w:szCs w:val="21"/>
              </w:rPr>
              <w:t>担任职务</w:t>
            </w:r>
          </w:p>
        </w:tc>
        <w:tc>
          <w:tcPr>
            <w:tcW w:w="2522" w:type="dxa"/>
            <w:gridSpan w:val="2"/>
            <w:vAlign w:val="center"/>
          </w:tcPr>
          <w:p w14:paraId="44840669">
            <w:pPr>
              <w:adjustRightInd w:val="0"/>
              <w:snapToGrid w:val="0"/>
              <w:spacing w:line="560" w:lineRule="exact"/>
              <w:jc w:val="center"/>
              <w:rPr>
                <w:rFonts w:ascii="宋体" w:hAnsi="宋体"/>
                <w:color w:val="auto"/>
                <w:szCs w:val="21"/>
              </w:rPr>
            </w:pPr>
            <w:r>
              <w:rPr>
                <w:rFonts w:ascii="宋体" w:hAnsi="宋体"/>
                <w:color w:val="auto"/>
                <w:szCs w:val="21"/>
              </w:rPr>
              <w:t>发包人及联系电话</w:t>
            </w:r>
          </w:p>
        </w:tc>
      </w:tr>
      <w:tr w14:paraId="1593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5C0E4CAE">
            <w:pPr>
              <w:adjustRightInd w:val="0"/>
              <w:snapToGrid w:val="0"/>
              <w:spacing w:line="560" w:lineRule="exact"/>
              <w:rPr>
                <w:rFonts w:eastAsia="黑体"/>
                <w:color w:val="auto"/>
                <w:szCs w:val="21"/>
              </w:rPr>
            </w:pPr>
          </w:p>
        </w:tc>
        <w:tc>
          <w:tcPr>
            <w:tcW w:w="3756" w:type="dxa"/>
            <w:gridSpan w:val="4"/>
          </w:tcPr>
          <w:p w14:paraId="1F10514B">
            <w:pPr>
              <w:adjustRightInd w:val="0"/>
              <w:snapToGrid w:val="0"/>
              <w:spacing w:line="560" w:lineRule="exact"/>
              <w:rPr>
                <w:rFonts w:eastAsia="黑体"/>
                <w:color w:val="auto"/>
                <w:szCs w:val="21"/>
              </w:rPr>
            </w:pPr>
          </w:p>
        </w:tc>
        <w:tc>
          <w:tcPr>
            <w:tcW w:w="1385" w:type="dxa"/>
          </w:tcPr>
          <w:p w14:paraId="3E7307DF">
            <w:pPr>
              <w:adjustRightInd w:val="0"/>
              <w:snapToGrid w:val="0"/>
              <w:spacing w:line="560" w:lineRule="exact"/>
              <w:rPr>
                <w:rFonts w:eastAsia="黑体"/>
                <w:color w:val="auto"/>
                <w:szCs w:val="21"/>
              </w:rPr>
            </w:pPr>
          </w:p>
        </w:tc>
        <w:tc>
          <w:tcPr>
            <w:tcW w:w="2522" w:type="dxa"/>
            <w:gridSpan w:val="2"/>
          </w:tcPr>
          <w:p w14:paraId="591F44DF">
            <w:pPr>
              <w:adjustRightInd w:val="0"/>
              <w:snapToGrid w:val="0"/>
              <w:spacing w:line="560" w:lineRule="exact"/>
              <w:rPr>
                <w:rFonts w:eastAsia="黑体"/>
                <w:color w:val="auto"/>
                <w:szCs w:val="21"/>
              </w:rPr>
            </w:pPr>
          </w:p>
        </w:tc>
      </w:tr>
      <w:tr w14:paraId="490B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46F0EEF9">
            <w:pPr>
              <w:adjustRightInd w:val="0"/>
              <w:snapToGrid w:val="0"/>
              <w:spacing w:line="560" w:lineRule="exact"/>
              <w:rPr>
                <w:rFonts w:eastAsia="黑体"/>
                <w:color w:val="auto"/>
                <w:szCs w:val="21"/>
              </w:rPr>
            </w:pPr>
          </w:p>
        </w:tc>
        <w:tc>
          <w:tcPr>
            <w:tcW w:w="3756" w:type="dxa"/>
            <w:gridSpan w:val="4"/>
          </w:tcPr>
          <w:p w14:paraId="6ECCB5B0">
            <w:pPr>
              <w:adjustRightInd w:val="0"/>
              <w:snapToGrid w:val="0"/>
              <w:spacing w:line="560" w:lineRule="exact"/>
              <w:rPr>
                <w:rFonts w:eastAsia="黑体"/>
                <w:color w:val="auto"/>
                <w:szCs w:val="21"/>
              </w:rPr>
            </w:pPr>
          </w:p>
        </w:tc>
        <w:tc>
          <w:tcPr>
            <w:tcW w:w="1385" w:type="dxa"/>
          </w:tcPr>
          <w:p w14:paraId="63D668FE">
            <w:pPr>
              <w:adjustRightInd w:val="0"/>
              <w:snapToGrid w:val="0"/>
              <w:spacing w:line="560" w:lineRule="exact"/>
              <w:rPr>
                <w:rFonts w:eastAsia="黑体"/>
                <w:color w:val="auto"/>
                <w:szCs w:val="21"/>
              </w:rPr>
            </w:pPr>
          </w:p>
        </w:tc>
        <w:tc>
          <w:tcPr>
            <w:tcW w:w="2522" w:type="dxa"/>
            <w:gridSpan w:val="2"/>
          </w:tcPr>
          <w:p w14:paraId="2EFB2148">
            <w:pPr>
              <w:adjustRightInd w:val="0"/>
              <w:snapToGrid w:val="0"/>
              <w:spacing w:line="560" w:lineRule="exact"/>
              <w:rPr>
                <w:rFonts w:eastAsia="黑体"/>
                <w:color w:val="auto"/>
                <w:szCs w:val="21"/>
              </w:rPr>
            </w:pPr>
          </w:p>
        </w:tc>
      </w:tr>
      <w:tr w14:paraId="3741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030AFE30">
            <w:pPr>
              <w:adjustRightInd w:val="0"/>
              <w:snapToGrid w:val="0"/>
              <w:spacing w:line="560" w:lineRule="exact"/>
              <w:rPr>
                <w:rFonts w:eastAsia="黑体"/>
                <w:color w:val="auto"/>
                <w:szCs w:val="21"/>
              </w:rPr>
            </w:pPr>
          </w:p>
        </w:tc>
        <w:tc>
          <w:tcPr>
            <w:tcW w:w="3756" w:type="dxa"/>
            <w:gridSpan w:val="4"/>
          </w:tcPr>
          <w:p w14:paraId="7AAFBC79">
            <w:pPr>
              <w:adjustRightInd w:val="0"/>
              <w:snapToGrid w:val="0"/>
              <w:spacing w:line="560" w:lineRule="exact"/>
              <w:rPr>
                <w:rFonts w:eastAsia="黑体"/>
                <w:color w:val="auto"/>
                <w:szCs w:val="21"/>
              </w:rPr>
            </w:pPr>
          </w:p>
        </w:tc>
        <w:tc>
          <w:tcPr>
            <w:tcW w:w="1385" w:type="dxa"/>
          </w:tcPr>
          <w:p w14:paraId="1C2DEFC6">
            <w:pPr>
              <w:adjustRightInd w:val="0"/>
              <w:snapToGrid w:val="0"/>
              <w:spacing w:line="560" w:lineRule="exact"/>
              <w:rPr>
                <w:rFonts w:eastAsia="黑体"/>
                <w:color w:val="auto"/>
                <w:szCs w:val="21"/>
              </w:rPr>
            </w:pPr>
          </w:p>
        </w:tc>
        <w:tc>
          <w:tcPr>
            <w:tcW w:w="2522" w:type="dxa"/>
            <w:gridSpan w:val="2"/>
          </w:tcPr>
          <w:p w14:paraId="75305402">
            <w:pPr>
              <w:adjustRightInd w:val="0"/>
              <w:snapToGrid w:val="0"/>
              <w:spacing w:line="560" w:lineRule="exact"/>
              <w:rPr>
                <w:rFonts w:eastAsia="黑体"/>
                <w:color w:val="auto"/>
                <w:szCs w:val="21"/>
              </w:rPr>
            </w:pPr>
          </w:p>
        </w:tc>
      </w:tr>
      <w:tr w14:paraId="55F9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0878FF56">
            <w:pPr>
              <w:adjustRightInd w:val="0"/>
              <w:snapToGrid w:val="0"/>
              <w:spacing w:line="560" w:lineRule="exact"/>
              <w:rPr>
                <w:rFonts w:eastAsia="黑体"/>
                <w:color w:val="auto"/>
                <w:szCs w:val="21"/>
              </w:rPr>
            </w:pPr>
          </w:p>
        </w:tc>
        <w:tc>
          <w:tcPr>
            <w:tcW w:w="3756" w:type="dxa"/>
            <w:gridSpan w:val="4"/>
          </w:tcPr>
          <w:p w14:paraId="2B386D65">
            <w:pPr>
              <w:adjustRightInd w:val="0"/>
              <w:snapToGrid w:val="0"/>
              <w:spacing w:line="560" w:lineRule="exact"/>
              <w:rPr>
                <w:rFonts w:eastAsia="黑体"/>
                <w:color w:val="auto"/>
                <w:szCs w:val="21"/>
              </w:rPr>
            </w:pPr>
          </w:p>
        </w:tc>
        <w:tc>
          <w:tcPr>
            <w:tcW w:w="1385" w:type="dxa"/>
          </w:tcPr>
          <w:p w14:paraId="4EF9C3E9">
            <w:pPr>
              <w:adjustRightInd w:val="0"/>
              <w:snapToGrid w:val="0"/>
              <w:spacing w:line="560" w:lineRule="exact"/>
              <w:rPr>
                <w:rFonts w:eastAsia="黑体"/>
                <w:color w:val="auto"/>
                <w:szCs w:val="21"/>
              </w:rPr>
            </w:pPr>
          </w:p>
        </w:tc>
        <w:tc>
          <w:tcPr>
            <w:tcW w:w="2522" w:type="dxa"/>
            <w:gridSpan w:val="2"/>
          </w:tcPr>
          <w:p w14:paraId="494EABBA">
            <w:pPr>
              <w:adjustRightInd w:val="0"/>
              <w:snapToGrid w:val="0"/>
              <w:spacing w:line="560" w:lineRule="exact"/>
              <w:rPr>
                <w:rFonts w:eastAsia="黑体"/>
                <w:color w:val="auto"/>
                <w:szCs w:val="21"/>
              </w:rPr>
            </w:pPr>
          </w:p>
        </w:tc>
      </w:tr>
      <w:tr w14:paraId="2373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3CCD7947">
            <w:pPr>
              <w:adjustRightInd w:val="0"/>
              <w:snapToGrid w:val="0"/>
              <w:spacing w:line="560" w:lineRule="exact"/>
              <w:rPr>
                <w:rFonts w:eastAsia="黑体"/>
                <w:color w:val="auto"/>
                <w:szCs w:val="21"/>
              </w:rPr>
            </w:pPr>
          </w:p>
        </w:tc>
        <w:tc>
          <w:tcPr>
            <w:tcW w:w="3756" w:type="dxa"/>
            <w:gridSpan w:val="4"/>
          </w:tcPr>
          <w:p w14:paraId="3FCB12A1">
            <w:pPr>
              <w:adjustRightInd w:val="0"/>
              <w:snapToGrid w:val="0"/>
              <w:spacing w:line="560" w:lineRule="exact"/>
              <w:rPr>
                <w:rFonts w:eastAsia="黑体"/>
                <w:color w:val="auto"/>
                <w:szCs w:val="21"/>
              </w:rPr>
            </w:pPr>
          </w:p>
        </w:tc>
        <w:tc>
          <w:tcPr>
            <w:tcW w:w="1385" w:type="dxa"/>
          </w:tcPr>
          <w:p w14:paraId="08480245">
            <w:pPr>
              <w:adjustRightInd w:val="0"/>
              <w:snapToGrid w:val="0"/>
              <w:spacing w:line="560" w:lineRule="exact"/>
              <w:rPr>
                <w:rFonts w:eastAsia="黑体"/>
                <w:color w:val="auto"/>
                <w:szCs w:val="21"/>
              </w:rPr>
            </w:pPr>
          </w:p>
        </w:tc>
        <w:tc>
          <w:tcPr>
            <w:tcW w:w="2522" w:type="dxa"/>
            <w:gridSpan w:val="2"/>
          </w:tcPr>
          <w:p w14:paraId="1296BC4E">
            <w:pPr>
              <w:adjustRightInd w:val="0"/>
              <w:snapToGrid w:val="0"/>
              <w:spacing w:line="560" w:lineRule="exact"/>
              <w:rPr>
                <w:rFonts w:eastAsia="黑体"/>
                <w:color w:val="auto"/>
                <w:szCs w:val="21"/>
              </w:rPr>
            </w:pPr>
          </w:p>
        </w:tc>
      </w:tr>
      <w:tr w14:paraId="3298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25F6F4C8">
            <w:pPr>
              <w:adjustRightInd w:val="0"/>
              <w:snapToGrid w:val="0"/>
              <w:spacing w:line="560" w:lineRule="exact"/>
              <w:rPr>
                <w:rFonts w:eastAsia="黑体"/>
                <w:color w:val="auto"/>
                <w:szCs w:val="21"/>
              </w:rPr>
            </w:pPr>
          </w:p>
        </w:tc>
        <w:tc>
          <w:tcPr>
            <w:tcW w:w="3756" w:type="dxa"/>
            <w:gridSpan w:val="4"/>
          </w:tcPr>
          <w:p w14:paraId="4B59CA50">
            <w:pPr>
              <w:adjustRightInd w:val="0"/>
              <w:snapToGrid w:val="0"/>
              <w:spacing w:line="560" w:lineRule="exact"/>
              <w:rPr>
                <w:rFonts w:eastAsia="黑体"/>
                <w:color w:val="auto"/>
                <w:szCs w:val="21"/>
              </w:rPr>
            </w:pPr>
          </w:p>
        </w:tc>
        <w:tc>
          <w:tcPr>
            <w:tcW w:w="1385" w:type="dxa"/>
          </w:tcPr>
          <w:p w14:paraId="79B6DD37">
            <w:pPr>
              <w:adjustRightInd w:val="0"/>
              <w:snapToGrid w:val="0"/>
              <w:spacing w:line="560" w:lineRule="exact"/>
              <w:rPr>
                <w:rFonts w:eastAsia="黑体"/>
                <w:color w:val="auto"/>
                <w:szCs w:val="21"/>
              </w:rPr>
            </w:pPr>
          </w:p>
        </w:tc>
        <w:tc>
          <w:tcPr>
            <w:tcW w:w="2522" w:type="dxa"/>
            <w:gridSpan w:val="2"/>
          </w:tcPr>
          <w:p w14:paraId="35B29861">
            <w:pPr>
              <w:adjustRightInd w:val="0"/>
              <w:snapToGrid w:val="0"/>
              <w:spacing w:line="560" w:lineRule="exact"/>
              <w:rPr>
                <w:rFonts w:eastAsia="黑体"/>
                <w:color w:val="auto"/>
                <w:szCs w:val="21"/>
              </w:rPr>
            </w:pPr>
          </w:p>
        </w:tc>
      </w:tr>
      <w:tr w14:paraId="2B74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059E974B">
            <w:pPr>
              <w:adjustRightInd w:val="0"/>
              <w:snapToGrid w:val="0"/>
              <w:spacing w:line="560" w:lineRule="exact"/>
              <w:rPr>
                <w:rFonts w:eastAsia="黑体"/>
                <w:color w:val="auto"/>
                <w:szCs w:val="21"/>
              </w:rPr>
            </w:pPr>
          </w:p>
        </w:tc>
        <w:tc>
          <w:tcPr>
            <w:tcW w:w="3756" w:type="dxa"/>
            <w:gridSpan w:val="4"/>
          </w:tcPr>
          <w:p w14:paraId="44DE8AFA">
            <w:pPr>
              <w:adjustRightInd w:val="0"/>
              <w:snapToGrid w:val="0"/>
              <w:spacing w:line="560" w:lineRule="exact"/>
              <w:rPr>
                <w:rFonts w:eastAsia="黑体"/>
                <w:color w:val="auto"/>
                <w:szCs w:val="21"/>
              </w:rPr>
            </w:pPr>
          </w:p>
        </w:tc>
        <w:tc>
          <w:tcPr>
            <w:tcW w:w="1385" w:type="dxa"/>
          </w:tcPr>
          <w:p w14:paraId="1B333CF6">
            <w:pPr>
              <w:adjustRightInd w:val="0"/>
              <w:snapToGrid w:val="0"/>
              <w:spacing w:line="560" w:lineRule="exact"/>
              <w:rPr>
                <w:rFonts w:eastAsia="黑体"/>
                <w:color w:val="auto"/>
                <w:szCs w:val="21"/>
              </w:rPr>
            </w:pPr>
          </w:p>
        </w:tc>
        <w:tc>
          <w:tcPr>
            <w:tcW w:w="2522" w:type="dxa"/>
            <w:gridSpan w:val="2"/>
          </w:tcPr>
          <w:p w14:paraId="74580190">
            <w:pPr>
              <w:adjustRightInd w:val="0"/>
              <w:snapToGrid w:val="0"/>
              <w:spacing w:line="560" w:lineRule="exact"/>
              <w:rPr>
                <w:rFonts w:eastAsia="黑体"/>
                <w:color w:val="auto"/>
                <w:szCs w:val="21"/>
              </w:rPr>
            </w:pPr>
          </w:p>
        </w:tc>
      </w:tr>
      <w:tr w14:paraId="669C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60410C91">
            <w:pPr>
              <w:adjustRightInd w:val="0"/>
              <w:snapToGrid w:val="0"/>
              <w:spacing w:line="560" w:lineRule="exact"/>
              <w:rPr>
                <w:rFonts w:eastAsia="黑体"/>
                <w:color w:val="auto"/>
                <w:szCs w:val="21"/>
              </w:rPr>
            </w:pPr>
          </w:p>
        </w:tc>
        <w:tc>
          <w:tcPr>
            <w:tcW w:w="3756" w:type="dxa"/>
            <w:gridSpan w:val="4"/>
          </w:tcPr>
          <w:p w14:paraId="4265BB4F">
            <w:pPr>
              <w:adjustRightInd w:val="0"/>
              <w:snapToGrid w:val="0"/>
              <w:spacing w:line="560" w:lineRule="exact"/>
              <w:rPr>
                <w:rFonts w:eastAsia="黑体"/>
                <w:color w:val="auto"/>
                <w:szCs w:val="21"/>
              </w:rPr>
            </w:pPr>
          </w:p>
        </w:tc>
        <w:tc>
          <w:tcPr>
            <w:tcW w:w="1385" w:type="dxa"/>
          </w:tcPr>
          <w:p w14:paraId="2A189FC2">
            <w:pPr>
              <w:adjustRightInd w:val="0"/>
              <w:snapToGrid w:val="0"/>
              <w:spacing w:line="560" w:lineRule="exact"/>
              <w:rPr>
                <w:rFonts w:eastAsia="黑体"/>
                <w:color w:val="auto"/>
                <w:szCs w:val="21"/>
              </w:rPr>
            </w:pPr>
          </w:p>
        </w:tc>
        <w:tc>
          <w:tcPr>
            <w:tcW w:w="2522" w:type="dxa"/>
            <w:gridSpan w:val="2"/>
          </w:tcPr>
          <w:p w14:paraId="14DF33CE">
            <w:pPr>
              <w:adjustRightInd w:val="0"/>
              <w:snapToGrid w:val="0"/>
              <w:spacing w:line="560" w:lineRule="exact"/>
              <w:rPr>
                <w:rFonts w:eastAsia="黑体"/>
                <w:color w:val="auto"/>
                <w:szCs w:val="21"/>
              </w:rPr>
            </w:pPr>
          </w:p>
        </w:tc>
      </w:tr>
      <w:tr w14:paraId="5BFF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1C21517E">
            <w:pPr>
              <w:adjustRightInd w:val="0"/>
              <w:snapToGrid w:val="0"/>
              <w:spacing w:line="560" w:lineRule="exact"/>
              <w:rPr>
                <w:rFonts w:eastAsia="黑体"/>
                <w:color w:val="auto"/>
                <w:szCs w:val="21"/>
              </w:rPr>
            </w:pPr>
          </w:p>
        </w:tc>
        <w:tc>
          <w:tcPr>
            <w:tcW w:w="3756" w:type="dxa"/>
            <w:gridSpan w:val="4"/>
          </w:tcPr>
          <w:p w14:paraId="2568D61C">
            <w:pPr>
              <w:adjustRightInd w:val="0"/>
              <w:snapToGrid w:val="0"/>
              <w:spacing w:line="560" w:lineRule="exact"/>
              <w:rPr>
                <w:rFonts w:eastAsia="黑体"/>
                <w:color w:val="auto"/>
                <w:szCs w:val="21"/>
              </w:rPr>
            </w:pPr>
          </w:p>
        </w:tc>
        <w:tc>
          <w:tcPr>
            <w:tcW w:w="1385" w:type="dxa"/>
          </w:tcPr>
          <w:p w14:paraId="6E7A68A8">
            <w:pPr>
              <w:adjustRightInd w:val="0"/>
              <w:snapToGrid w:val="0"/>
              <w:spacing w:line="560" w:lineRule="exact"/>
              <w:rPr>
                <w:rFonts w:eastAsia="黑体"/>
                <w:color w:val="auto"/>
                <w:szCs w:val="21"/>
              </w:rPr>
            </w:pPr>
          </w:p>
        </w:tc>
        <w:tc>
          <w:tcPr>
            <w:tcW w:w="2522" w:type="dxa"/>
            <w:gridSpan w:val="2"/>
          </w:tcPr>
          <w:p w14:paraId="20619CAF">
            <w:pPr>
              <w:adjustRightInd w:val="0"/>
              <w:snapToGrid w:val="0"/>
              <w:spacing w:line="560" w:lineRule="exact"/>
              <w:rPr>
                <w:rFonts w:eastAsia="黑体"/>
                <w:color w:val="auto"/>
                <w:szCs w:val="21"/>
              </w:rPr>
            </w:pPr>
          </w:p>
        </w:tc>
      </w:tr>
      <w:tr w14:paraId="46D7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697" w:type="dxa"/>
            <w:gridSpan w:val="2"/>
          </w:tcPr>
          <w:p w14:paraId="1B1D56C7">
            <w:pPr>
              <w:adjustRightInd w:val="0"/>
              <w:snapToGrid w:val="0"/>
              <w:spacing w:line="560" w:lineRule="exact"/>
              <w:rPr>
                <w:rFonts w:eastAsia="黑体"/>
                <w:color w:val="auto"/>
                <w:szCs w:val="21"/>
              </w:rPr>
            </w:pPr>
          </w:p>
        </w:tc>
        <w:tc>
          <w:tcPr>
            <w:tcW w:w="3756" w:type="dxa"/>
            <w:gridSpan w:val="4"/>
          </w:tcPr>
          <w:p w14:paraId="11C497AA">
            <w:pPr>
              <w:adjustRightInd w:val="0"/>
              <w:snapToGrid w:val="0"/>
              <w:spacing w:line="560" w:lineRule="exact"/>
              <w:rPr>
                <w:rFonts w:eastAsia="黑体"/>
                <w:color w:val="auto"/>
                <w:szCs w:val="21"/>
              </w:rPr>
            </w:pPr>
          </w:p>
        </w:tc>
        <w:tc>
          <w:tcPr>
            <w:tcW w:w="1385" w:type="dxa"/>
          </w:tcPr>
          <w:p w14:paraId="17444D0E">
            <w:pPr>
              <w:adjustRightInd w:val="0"/>
              <w:snapToGrid w:val="0"/>
              <w:spacing w:line="560" w:lineRule="exact"/>
              <w:rPr>
                <w:rFonts w:eastAsia="黑体"/>
                <w:color w:val="auto"/>
                <w:szCs w:val="21"/>
              </w:rPr>
            </w:pPr>
          </w:p>
        </w:tc>
        <w:tc>
          <w:tcPr>
            <w:tcW w:w="2522" w:type="dxa"/>
            <w:gridSpan w:val="2"/>
          </w:tcPr>
          <w:p w14:paraId="68036184">
            <w:pPr>
              <w:adjustRightInd w:val="0"/>
              <w:snapToGrid w:val="0"/>
              <w:spacing w:line="560" w:lineRule="exact"/>
              <w:rPr>
                <w:rFonts w:eastAsia="黑体"/>
                <w:color w:val="auto"/>
                <w:szCs w:val="21"/>
              </w:rPr>
            </w:pPr>
          </w:p>
        </w:tc>
      </w:tr>
      <w:tr w14:paraId="7860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697" w:type="dxa"/>
            <w:gridSpan w:val="2"/>
          </w:tcPr>
          <w:p w14:paraId="44739960">
            <w:pPr>
              <w:adjustRightInd w:val="0"/>
              <w:snapToGrid w:val="0"/>
              <w:spacing w:line="560" w:lineRule="exact"/>
              <w:rPr>
                <w:rFonts w:eastAsia="黑体"/>
                <w:color w:val="auto"/>
                <w:szCs w:val="21"/>
              </w:rPr>
            </w:pPr>
          </w:p>
        </w:tc>
        <w:tc>
          <w:tcPr>
            <w:tcW w:w="3756" w:type="dxa"/>
            <w:gridSpan w:val="4"/>
          </w:tcPr>
          <w:p w14:paraId="7395E48F">
            <w:pPr>
              <w:adjustRightInd w:val="0"/>
              <w:snapToGrid w:val="0"/>
              <w:spacing w:line="560" w:lineRule="exact"/>
              <w:rPr>
                <w:rFonts w:eastAsia="黑体"/>
                <w:color w:val="auto"/>
                <w:szCs w:val="21"/>
              </w:rPr>
            </w:pPr>
          </w:p>
        </w:tc>
        <w:tc>
          <w:tcPr>
            <w:tcW w:w="1385" w:type="dxa"/>
          </w:tcPr>
          <w:p w14:paraId="1B4F8453">
            <w:pPr>
              <w:adjustRightInd w:val="0"/>
              <w:snapToGrid w:val="0"/>
              <w:spacing w:line="560" w:lineRule="exact"/>
              <w:rPr>
                <w:rFonts w:eastAsia="黑体"/>
                <w:color w:val="auto"/>
                <w:szCs w:val="21"/>
              </w:rPr>
            </w:pPr>
          </w:p>
        </w:tc>
        <w:tc>
          <w:tcPr>
            <w:tcW w:w="2522" w:type="dxa"/>
            <w:gridSpan w:val="2"/>
          </w:tcPr>
          <w:p w14:paraId="176B96A6">
            <w:pPr>
              <w:adjustRightInd w:val="0"/>
              <w:snapToGrid w:val="0"/>
              <w:spacing w:line="560" w:lineRule="exact"/>
              <w:rPr>
                <w:rFonts w:eastAsia="黑体"/>
                <w:color w:val="auto"/>
                <w:szCs w:val="21"/>
              </w:rPr>
            </w:pPr>
          </w:p>
        </w:tc>
      </w:tr>
    </w:tbl>
    <w:p w14:paraId="213428B9">
      <w:pPr>
        <w:rPr>
          <w:color w:val="auto"/>
        </w:rPr>
      </w:pPr>
    </w:p>
    <w:p w14:paraId="37AC82AD">
      <w:pPr>
        <w:pStyle w:val="5"/>
        <w:jc w:val="center"/>
        <w:rPr>
          <w:color w:val="auto"/>
          <w:sz w:val="23"/>
          <w:szCs w:val="23"/>
        </w:rPr>
      </w:pPr>
      <w:r>
        <w:rPr>
          <w:rFonts w:hint="eastAsia"/>
          <w:color w:val="auto"/>
        </w:rPr>
        <w:t>附表3：拟任项目技术负责人简历表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396"/>
        <w:gridCol w:w="794"/>
        <w:gridCol w:w="1023"/>
        <w:gridCol w:w="1175"/>
        <w:gridCol w:w="781"/>
        <w:gridCol w:w="1390"/>
        <w:gridCol w:w="178"/>
        <w:gridCol w:w="2355"/>
      </w:tblGrid>
      <w:tr w14:paraId="1974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vAlign w:val="center"/>
          </w:tcPr>
          <w:p w14:paraId="24481C5C">
            <w:pPr>
              <w:adjustRightInd w:val="0"/>
              <w:snapToGrid w:val="0"/>
              <w:spacing w:line="560" w:lineRule="exact"/>
              <w:jc w:val="center"/>
              <w:rPr>
                <w:rFonts w:ascii="宋体" w:hAnsi="宋体"/>
                <w:color w:val="auto"/>
                <w:szCs w:val="21"/>
              </w:rPr>
            </w:pPr>
            <w:r>
              <w:rPr>
                <w:rFonts w:ascii="宋体" w:hAnsi="宋体"/>
                <w:color w:val="auto"/>
                <w:szCs w:val="21"/>
              </w:rPr>
              <w:t>姓  名</w:t>
            </w:r>
          </w:p>
        </w:tc>
        <w:tc>
          <w:tcPr>
            <w:tcW w:w="1190" w:type="dxa"/>
            <w:gridSpan w:val="2"/>
            <w:vAlign w:val="center"/>
          </w:tcPr>
          <w:p w14:paraId="7CE0547E">
            <w:pPr>
              <w:adjustRightInd w:val="0"/>
              <w:snapToGrid w:val="0"/>
              <w:spacing w:line="560" w:lineRule="exact"/>
              <w:jc w:val="center"/>
              <w:rPr>
                <w:rFonts w:ascii="宋体" w:hAnsi="宋体"/>
                <w:color w:val="auto"/>
                <w:szCs w:val="21"/>
              </w:rPr>
            </w:pPr>
          </w:p>
        </w:tc>
        <w:tc>
          <w:tcPr>
            <w:tcW w:w="1023" w:type="dxa"/>
            <w:vAlign w:val="center"/>
          </w:tcPr>
          <w:p w14:paraId="2494FA39">
            <w:pPr>
              <w:adjustRightInd w:val="0"/>
              <w:snapToGrid w:val="0"/>
              <w:spacing w:line="560" w:lineRule="exact"/>
              <w:jc w:val="center"/>
              <w:rPr>
                <w:rFonts w:ascii="宋体" w:hAnsi="宋体"/>
                <w:color w:val="auto"/>
                <w:szCs w:val="21"/>
              </w:rPr>
            </w:pPr>
            <w:r>
              <w:rPr>
                <w:rFonts w:ascii="宋体" w:hAnsi="宋体"/>
                <w:color w:val="auto"/>
                <w:szCs w:val="21"/>
              </w:rPr>
              <w:t>年 龄</w:t>
            </w:r>
          </w:p>
        </w:tc>
        <w:tc>
          <w:tcPr>
            <w:tcW w:w="1175" w:type="dxa"/>
            <w:vAlign w:val="center"/>
          </w:tcPr>
          <w:p w14:paraId="10B7AA8C">
            <w:pPr>
              <w:adjustRightInd w:val="0"/>
              <w:snapToGrid w:val="0"/>
              <w:spacing w:line="560" w:lineRule="exact"/>
              <w:jc w:val="center"/>
              <w:rPr>
                <w:rFonts w:ascii="宋体" w:hAnsi="宋体"/>
                <w:color w:val="auto"/>
                <w:szCs w:val="21"/>
              </w:rPr>
            </w:pPr>
          </w:p>
        </w:tc>
        <w:tc>
          <w:tcPr>
            <w:tcW w:w="2349" w:type="dxa"/>
            <w:gridSpan w:val="3"/>
            <w:vAlign w:val="center"/>
          </w:tcPr>
          <w:p w14:paraId="51A3BBD7">
            <w:pPr>
              <w:adjustRightInd w:val="0"/>
              <w:snapToGrid w:val="0"/>
              <w:spacing w:line="560" w:lineRule="exact"/>
              <w:jc w:val="center"/>
              <w:rPr>
                <w:rFonts w:ascii="宋体" w:hAnsi="宋体"/>
                <w:color w:val="auto"/>
                <w:szCs w:val="21"/>
              </w:rPr>
            </w:pPr>
            <w:r>
              <w:rPr>
                <w:rFonts w:ascii="宋体" w:hAnsi="宋体"/>
                <w:color w:val="auto"/>
                <w:szCs w:val="21"/>
              </w:rPr>
              <w:t>学历</w:t>
            </w:r>
          </w:p>
        </w:tc>
        <w:tc>
          <w:tcPr>
            <w:tcW w:w="2355" w:type="dxa"/>
            <w:vAlign w:val="center"/>
          </w:tcPr>
          <w:p w14:paraId="5E822525">
            <w:pPr>
              <w:adjustRightInd w:val="0"/>
              <w:snapToGrid w:val="0"/>
              <w:spacing w:line="560" w:lineRule="exact"/>
              <w:rPr>
                <w:rFonts w:ascii="宋体" w:hAnsi="宋体"/>
                <w:color w:val="auto"/>
                <w:szCs w:val="21"/>
              </w:rPr>
            </w:pPr>
          </w:p>
        </w:tc>
      </w:tr>
      <w:tr w14:paraId="4FA2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vAlign w:val="center"/>
          </w:tcPr>
          <w:p w14:paraId="160FFE15">
            <w:pPr>
              <w:adjustRightInd w:val="0"/>
              <w:snapToGrid w:val="0"/>
              <w:spacing w:line="560" w:lineRule="exact"/>
              <w:jc w:val="center"/>
              <w:rPr>
                <w:rFonts w:ascii="宋体" w:hAnsi="宋体"/>
                <w:color w:val="auto"/>
                <w:szCs w:val="21"/>
              </w:rPr>
            </w:pPr>
            <w:r>
              <w:rPr>
                <w:rFonts w:ascii="宋体" w:hAnsi="宋体"/>
                <w:color w:val="auto"/>
                <w:szCs w:val="21"/>
              </w:rPr>
              <w:t>职  称</w:t>
            </w:r>
          </w:p>
        </w:tc>
        <w:tc>
          <w:tcPr>
            <w:tcW w:w="1190" w:type="dxa"/>
            <w:gridSpan w:val="2"/>
            <w:vAlign w:val="center"/>
          </w:tcPr>
          <w:p w14:paraId="38568B73">
            <w:pPr>
              <w:adjustRightInd w:val="0"/>
              <w:snapToGrid w:val="0"/>
              <w:spacing w:line="560" w:lineRule="exact"/>
              <w:jc w:val="center"/>
              <w:rPr>
                <w:rFonts w:ascii="宋体" w:hAnsi="宋体"/>
                <w:color w:val="auto"/>
                <w:szCs w:val="21"/>
              </w:rPr>
            </w:pPr>
          </w:p>
        </w:tc>
        <w:tc>
          <w:tcPr>
            <w:tcW w:w="1023" w:type="dxa"/>
            <w:vAlign w:val="center"/>
          </w:tcPr>
          <w:p w14:paraId="39EA361A">
            <w:pPr>
              <w:adjustRightInd w:val="0"/>
              <w:snapToGrid w:val="0"/>
              <w:spacing w:line="560" w:lineRule="exact"/>
              <w:jc w:val="center"/>
              <w:rPr>
                <w:rFonts w:ascii="宋体" w:hAnsi="宋体"/>
                <w:color w:val="auto"/>
                <w:szCs w:val="21"/>
              </w:rPr>
            </w:pPr>
            <w:r>
              <w:rPr>
                <w:rFonts w:ascii="宋体" w:hAnsi="宋体"/>
                <w:color w:val="auto"/>
                <w:szCs w:val="21"/>
              </w:rPr>
              <w:t>职 务</w:t>
            </w:r>
          </w:p>
        </w:tc>
        <w:tc>
          <w:tcPr>
            <w:tcW w:w="1175" w:type="dxa"/>
            <w:vAlign w:val="center"/>
          </w:tcPr>
          <w:p w14:paraId="2A01262C">
            <w:pPr>
              <w:adjustRightInd w:val="0"/>
              <w:snapToGrid w:val="0"/>
              <w:spacing w:line="560" w:lineRule="exact"/>
              <w:jc w:val="center"/>
              <w:rPr>
                <w:rFonts w:ascii="宋体" w:hAnsi="宋体"/>
                <w:color w:val="auto"/>
                <w:szCs w:val="21"/>
              </w:rPr>
            </w:pPr>
          </w:p>
        </w:tc>
        <w:tc>
          <w:tcPr>
            <w:tcW w:w="2349" w:type="dxa"/>
            <w:gridSpan w:val="3"/>
            <w:vAlign w:val="center"/>
          </w:tcPr>
          <w:p w14:paraId="13616CE6">
            <w:pPr>
              <w:adjustRightInd w:val="0"/>
              <w:snapToGrid w:val="0"/>
              <w:spacing w:line="560" w:lineRule="exact"/>
              <w:jc w:val="center"/>
              <w:rPr>
                <w:rFonts w:ascii="宋体" w:hAnsi="宋体"/>
                <w:color w:val="auto"/>
                <w:szCs w:val="21"/>
              </w:rPr>
            </w:pPr>
            <w:r>
              <w:rPr>
                <w:rFonts w:ascii="宋体" w:hAnsi="宋体"/>
                <w:color w:val="auto"/>
                <w:szCs w:val="21"/>
              </w:rPr>
              <w:t>拟在本合同任职</w:t>
            </w:r>
          </w:p>
        </w:tc>
        <w:tc>
          <w:tcPr>
            <w:tcW w:w="2355" w:type="dxa"/>
            <w:vAlign w:val="center"/>
          </w:tcPr>
          <w:p w14:paraId="747BDE19">
            <w:pPr>
              <w:adjustRightInd w:val="0"/>
              <w:snapToGrid w:val="0"/>
              <w:spacing w:line="560" w:lineRule="exact"/>
              <w:rPr>
                <w:rFonts w:ascii="宋体" w:hAnsi="宋体"/>
                <w:color w:val="auto"/>
                <w:szCs w:val="21"/>
              </w:rPr>
            </w:pPr>
          </w:p>
        </w:tc>
      </w:tr>
      <w:tr w14:paraId="0B2D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vAlign w:val="center"/>
          </w:tcPr>
          <w:p w14:paraId="111471E2">
            <w:pPr>
              <w:adjustRightInd w:val="0"/>
              <w:snapToGrid w:val="0"/>
              <w:spacing w:line="560" w:lineRule="exact"/>
              <w:rPr>
                <w:rFonts w:ascii="宋体" w:hAnsi="宋体"/>
                <w:color w:val="auto"/>
                <w:szCs w:val="21"/>
              </w:rPr>
            </w:pPr>
            <w:r>
              <w:rPr>
                <w:rFonts w:ascii="宋体" w:hAnsi="宋体"/>
                <w:color w:val="auto"/>
                <w:szCs w:val="21"/>
              </w:rPr>
              <w:t>毕业学校</w:t>
            </w:r>
          </w:p>
        </w:tc>
        <w:tc>
          <w:tcPr>
            <w:tcW w:w="8092" w:type="dxa"/>
            <w:gridSpan w:val="8"/>
          </w:tcPr>
          <w:p w14:paraId="5CC9A038">
            <w:pPr>
              <w:adjustRightInd w:val="0"/>
              <w:snapToGrid w:val="0"/>
              <w:spacing w:line="560" w:lineRule="exact"/>
              <w:rPr>
                <w:rFonts w:ascii="宋体" w:hAnsi="宋体"/>
                <w:color w:val="auto"/>
                <w:szCs w:val="21"/>
              </w:rPr>
            </w:pPr>
            <w:r>
              <w:rPr>
                <w:rFonts w:ascii="宋体" w:hAnsi="宋体"/>
                <w:color w:val="auto"/>
                <w:szCs w:val="21"/>
              </w:rPr>
              <w:t xml:space="preserve">      年毕业于            学校        专业</w:t>
            </w:r>
          </w:p>
        </w:tc>
      </w:tr>
      <w:tr w14:paraId="64B8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400" w:type="dxa"/>
            <w:gridSpan w:val="9"/>
            <w:vAlign w:val="center"/>
          </w:tcPr>
          <w:p w14:paraId="117D4FB8">
            <w:pPr>
              <w:adjustRightInd w:val="0"/>
              <w:snapToGrid w:val="0"/>
              <w:spacing w:line="560" w:lineRule="exact"/>
              <w:rPr>
                <w:rFonts w:ascii="宋体" w:hAnsi="宋体"/>
                <w:color w:val="auto"/>
                <w:szCs w:val="21"/>
              </w:rPr>
            </w:pPr>
            <w:r>
              <w:rPr>
                <w:rFonts w:ascii="宋体" w:hAnsi="宋体"/>
                <w:color w:val="auto"/>
                <w:szCs w:val="21"/>
              </w:rPr>
              <w:t>主要工作经历</w:t>
            </w:r>
          </w:p>
        </w:tc>
      </w:tr>
      <w:tr w14:paraId="1CCF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04" w:type="dxa"/>
            <w:gridSpan w:val="2"/>
            <w:vAlign w:val="center"/>
          </w:tcPr>
          <w:p w14:paraId="3D7D2D12">
            <w:pPr>
              <w:adjustRightInd w:val="0"/>
              <w:snapToGrid w:val="0"/>
              <w:spacing w:line="560" w:lineRule="exact"/>
              <w:rPr>
                <w:rFonts w:ascii="宋体" w:hAnsi="宋体"/>
                <w:color w:val="auto"/>
                <w:szCs w:val="21"/>
              </w:rPr>
            </w:pPr>
            <w:r>
              <w:rPr>
                <w:rFonts w:ascii="宋体" w:hAnsi="宋体"/>
                <w:color w:val="auto"/>
                <w:szCs w:val="21"/>
              </w:rPr>
              <w:t>时  间</w:t>
            </w:r>
          </w:p>
        </w:tc>
        <w:tc>
          <w:tcPr>
            <w:tcW w:w="3773" w:type="dxa"/>
            <w:gridSpan w:val="4"/>
            <w:vAlign w:val="center"/>
          </w:tcPr>
          <w:p w14:paraId="5502DCA7">
            <w:pPr>
              <w:adjustRightInd w:val="0"/>
              <w:snapToGrid w:val="0"/>
              <w:spacing w:line="560" w:lineRule="exact"/>
              <w:rPr>
                <w:rFonts w:ascii="宋体" w:hAnsi="宋体"/>
                <w:color w:val="auto"/>
                <w:szCs w:val="21"/>
              </w:rPr>
            </w:pPr>
            <w:r>
              <w:rPr>
                <w:rFonts w:ascii="宋体" w:hAnsi="宋体"/>
                <w:color w:val="auto"/>
                <w:szCs w:val="21"/>
              </w:rPr>
              <w:t>参加过的类似项目</w:t>
            </w:r>
          </w:p>
        </w:tc>
        <w:tc>
          <w:tcPr>
            <w:tcW w:w="1390" w:type="dxa"/>
            <w:vAlign w:val="center"/>
          </w:tcPr>
          <w:p w14:paraId="297D2ABF">
            <w:pPr>
              <w:adjustRightInd w:val="0"/>
              <w:snapToGrid w:val="0"/>
              <w:spacing w:line="560" w:lineRule="exact"/>
              <w:rPr>
                <w:rFonts w:ascii="宋体" w:hAnsi="宋体"/>
                <w:color w:val="auto"/>
                <w:szCs w:val="21"/>
              </w:rPr>
            </w:pPr>
            <w:r>
              <w:rPr>
                <w:rFonts w:ascii="宋体" w:hAnsi="宋体"/>
                <w:color w:val="auto"/>
                <w:szCs w:val="21"/>
              </w:rPr>
              <w:t>担任职务</w:t>
            </w:r>
          </w:p>
        </w:tc>
        <w:tc>
          <w:tcPr>
            <w:tcW w:w="2533" w:type="dxa"/>
            <w:gridSpan w:val="2"/>
            <w:vAlign w:val="center"/>
          </w:tcPr>
          <w:p w14:paraId="2DF74C52">
            <w:pPr>
              <w:adjustRightInd w:val="0"/>
              <w:snapToGrid w:val="0"/>
              <w:spacing w:line="560" w:lineRule="exact"/>
              <w:rPr>
                <w:rFonts w:ascii="宋体" w:hAnsi="宋体"/>
                <w:color w:val="auto"/>
                <w:szCs w:val="21"/>
              </w:rPr>
            </w:pPr>
            <w:r>
              <w:rPr>
                <w:rFonts w:ascii="宋体" w:hAnsi="宋体"/>
                <w:color w:val="auto"/>
                <w:szCs w:val="21"/>
              </w:rPr>
              <w:t>发包人及联系电话</w:t>
            </w:r>
          </w:p>
        </w:tc>
      </w:tr>
      <w:tr w14:paraId="4B57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779A702D">
            <w:pPr>
              <w:adjustRightInd w:val="0"/>
              <w:snapToGrid w:val="0"/>
              <w:spacing w:line="560" w:lineRule="exact"/>
              <w:rPr>
                <w:rFonts w:eastAsia="黑体"/>
                <w:color w:val="auto"/>
                <w:szCs w:val="21"/>
              </w:rPr>
            </w:pPr>
          </w:p>
        </w:tc>
        <w:tc>
          <w:tcPr>
            <w:tcW w:w="3773" w:type="dxa"/>
            <w:gridSpan w:val="4"/>
          </w:tcPr>
          <w:p w14:paraId="7BF6C3B9">
            <w:pPr>
              <w:adjustRightInd w:val="0"/>
              <w:snapToGrid w:val="0"/>
              <w:spacing w:line="560" w:lineRule="exact"/>
              <w:rPr>
                <w:rFonts w:eastAsia="黑体"/>
                <w:color w:val="auto"/>
                <w:szCs w:val="21"/>
              </w:rPr>
            </w:pPr>
          </w:p>
        </w:tc>
        <w:tc>
          <w:tcPr>
            <w:tcW w:w="1390" w:type="dxa"/>
          </w:tcPr>
          <w:p w14:paraId="6B4E36FA">
            <w:pPr>
              <w:adjustRightInd w:val="0"/>
              <w:snapToGrid w:val="0"/>
              <w:spacing w:line="560" w:lineRule="exact"/>
              <w:rPr>
                <w:rFonts w:eastAsia="黑体"/>
                <w:color w:val="auto"/>
                <w:szCs w:val="21"/>
              </w:rPr>
            </w:pPr>
          </w:p>
        </w:tc>
        <w:tc>
          <w:tcPr>
            <w:tcW w:w="2533" w:type="dxa"/>
            <w:gridSpan w:val="2"/>
          </w:tcPr>
          <w:p w14:paraId="7E728A29">
            <w:pPr>
              <w:adjustRightInd w:val="0"/>
              <w:snapToGrid w:val="0"/>
              <w:spacing w:line="560" w:lineRule="exact"/>
              <w:rPr>
                <w:rFonts w:eastAsia="黑体"/>
                <w:color w:val="auto"/>
                <w:szCs w:val="21"/>
              </w:rPr>
            </w:pPr>
          </w:p>
        </w:tc>
      </w:tr>
      <w:tr w14:paraId="106A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2BE8D179">
            <w:pPr>
              <w:adjustRightInd w:val="0"/>
              <w:snapToGrid w:val="0"/>
              <w:spacing w:line="560" w:lineRule="exact"/>
              <w:rPr>
                <w:rFonts w:eastAsia="黑体"/>
                <w:color w:val="auto"/>
                <w:szCs w:val="21"/>
              </w:rPr>
            </w:pPr>
          </w:p>
        </w:tc>
        <w:tc>
          <w:tcPr>
            <w:tcW w:w="3773" w:type="dxa"/>
            <w:gridSpan w:val="4"/>
          </w:tcPr>
          <w:p w14:paraId="4EAA9440">
            <w:pPr>
              <w:adjustRightInd w:val="0"/>
              <w:snapToGrid w:val="0"/>
              <w:spacing w:line="560" w:lineRule="exact"/>
              <w:rPr>
                <w:rFonts w:eastAsia="黑体"/>
                <w:color w:val="auto"/>
                <w:szCs w:val="21"/>
              </w:rPr>
            </w:pPr>
          </w:p>
        </w:tc>
        <w:tc>
          <w:tcPr>
            <w:tcW w:w="1390" w:type="dxa"/>
          </w:tcPr>
          <w:p w14:paraId="05FD1E1A">
            <w:pPr>
              <w:adjustRightInd w:val="0"/>
              <w:snapToGrid w:val="0"/>
              <w:spacing w:line="560" w:lineRule="exact"/>
              <w:rPr>
                <w:rFonts w:eastAsia="黑体"/>
                <w:color w:val="auto"/>
                <w:szCs w:val="21"/>
              </w:rPr>
            </w:pPr>
          </w:p>
        </w:tc>
        <w:tc>
          <w:tcPr>
            <w:tcW w:w="2533" w:type="dxa"/>
            <w:gridSpan w:val="2"/>
          </w:tcPr>
          <w:p w14:paraId="71DDA5F5">
            <w:pPr>
              <w:adjustRightInd w:val="0"/>
              <w:snapToGrid w:val="0"/>
              <w:spacing w:line="560" w:lineRule="exact"/>
              <w:rPr>
                <w:rFonts w:eastAsia="黑体"/>
                <w:color w:val="auto"/>
                <w:szCs w:val="21"/>
              </w:rPr>
            </w:pPr>
          </w:p>
        </w:tc>
      </w:tr>
      <w:tr w14:paraId="7F5B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24C86418">
            <w:pPr>
              <w:adjustRightInd w:val="0"/>
              <w:snapToGrid w:val="0"/>
              <w:spacing w:line="560" w:lineRule="exact"/>
              <w:rPr>
                <w:rFonts w:eastAsia="黑体"/>
                <w:color w:val="auto"/>
                <w:szCs w:val="21"/>
              </w:rPr>
            </w:pPr>
          </w:p>
        </w:tc>
        <w:tc>
          <w:tcPr>
            <w:tcW w:w="3773" w:type="dxa"/>
            <w:gridSpan w:val="4"/>
          </w:tcPr>
          <w:p w14:paraId="0C363792">
            <w:pPr>
              <w:adjustRightInd w:val="0"/>
              <w:snapToGrid w:val="0"/>
              <w:spacing w:line="560" w:lineRule="exact"/>
              <w:rPr>
                <w:rFonts w:eastAsia="黑体"/>
                <w:color w:val="auto"/>
                <w:szCs w:val="21"/>
              </w:rPr>
            </w:pPr>
          </w:p>
        </w:tc>
        <w:tc>
          <w:tcPr>
            <w:tcW w:w="1390" w:type="dxa"/>
          </w:tcPr>
          <w:p w14:paraId="4ED5ECBE">
            <w:pPr>
              <w:adjustRightInd w:val="0"/>
              <w:snapToGrid w:val="0"/>
              <w:spacing w:line="560" w:lineRule="exact"/>
              <w:rPr>
                <w:rFonts w:eastAsia="黑体"/>
                <w:color w:val="auto"/>
                <w:szCs w:val="21"/>
              </w:rPr>
            </w:pPr>
          </w:p>
        </w:tc>
        <w:tc>
          <w:tcPr>
            <w:tcW w:w="2533" w:type="dxa"/>
            <w:gridSpan w:val="2"/>
          </w:tcPr>
          <w:p w14:paraId="7717092C">
            <w:pPr>
              <w:adjustRightInd w:val="0"/>
              <w:snapToGrid w:val="0"/>
              <w:spacing w:line="560" w:lineRule="exact"/>
              <w:rPr>
                <w:rFonts w:eastAsia="黑体"/>
                <w:color w:val="auto"/>
                <w:szCs w:val="21"/>
              </w:rPr>
            </w:pPr>
          </w:p>
        </w:tc>
      </w:tr>
      <w:tr w14:paraId="6C19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4DA9151A">
            <w:pPr>
              <w:adjustRightInd w:val="0"/>
              <w:snapToGrid w:val="0"/>
              <w:spacing w:line="560" w:lineRule="exact"/>
              <w:rPr>
                <w:rFonts w:eastAsia="黑体"/>
                <w:color w:val="auto"/>
                <w:szCs w:val="21"/>
              </w:rPr>
            </w:pPr>
          </w:p>
        </w:tc>
        <w:tc>
          <w:tcPr>
            <w:tcW w:w="3773" w:type="dxa"/>
            <w:gridSpan w:val="4"/>
          </w:tcPr>
          <w:p w14:paraId="16A17AEE">
            <w:pPr>
              <w:adjustRightInd w:val="0"/>
              <w:snapToGrid w:val="0"/>
              <w:spacing w:line="560" w:lineRule="exact"/>
              <w:rPr>
                <w:rFonts w:eastAsia="黑体"/>
                <w:color w:val="auto"/>
                <w:szCs w:val="21"/>
              </w:rPr>
            </w:pPr>
          </w:p>
        </w:tc>
        <w:tc>
          <w:tcPr>
            <w:tcW w:w="1390" w:type="dxa"/>
          </w:tcPr>
          <w:p w14:paraId="52ABDC79">
            <w:pPr>
              <w:adjustRightInd w:val="0"/>
              <w:snapToGrid w:val="0"/>
              <w:spacing w:line="560" w:lineRule="exact"/>
              <w:rPr>
                <w:rFonts w:eastAsia="黑体"/>
                <w:color w:val="auto"/>
                <w:szCs w:val="21"/>
              </w:rPr>
            </w:pPr>
          </w:p>
        </w:tc>
        <w:tc>
          <w:tcPr>
            <w:tcW w:w="2533" w:type="dxa"/>
            <w:gridSpan w:val="2"/>
          </w:tcPr>
          <w:p w14:paraId="4FC82F9B">
            <w:pPr>
              <w:adjustRightInd w:val="0"/>
              <w:snapToGrid w:val="0"/>
              <w:spacing w:line="560" w:lineRule="exact"/>
              <w:rPr>
                <w:rFonts w:eastAsia="黑体"/>
                <w:color w:val="auto"/>
                <w:szCs w:val="21"/>
              </w:rPr>
            </w:pPr>
          </w:p>
        </w:tc>
      </w:tr>
      <w:tr w14:paraId="3192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20F9B9E4">
            <w:pPr>
              <w:adjustRightInd w:val="0"/>
              <w:snapToGrid w:val="0"/>
              <w:spacing w:line="560" w:lineRule="exact"/>
              <w:rPr>
                <w:rFonts w:eastAsia="黑体"/>
                <w:color w:val="auto"/>
                <w:szCs w:val="21"/>
              </w:rPr>
            </w:pPr>
          </w:p>
        </w:tc>
        <w:tc>
          <w:tcPr>
            <w:tcW w:w="3773" w:type="dxa"/>
            <w:gridSpan w:val="4"/>
          </w:tcPr>
          <w:p w14:paraId="51A3A119">
            <w:pPr>
              <w:adjustRightInd w:val="0"/>
              <w:snapToGrid w:val="0"/>
              <w:spacing w:line="560" w:lineRule="exact"/>
              <w:rPr>
                <w:rFonts w:eastAsia="黑体"/>
                <w:color w:val="auto"/>
                <w:szCs w:val="21"/>
              </w:rPr>
            </w:pPr>
          </w:p>
        </w:tc>
        <w:tc>
          <w:tcPr>
            <w:tcW w:w="1390" w:type="dxa"/>
          </w:tcPr>
          <w:p w14:paraId="1A78B3D4">
            <w:pPr>
              <w:adjustRightInd w:val="0"/>
              <w:snapToGrid w:val="0"/>
              <w:spacing w:line="560" w:lineRule="exact"/>
              <w:rPr>
                <w:rFonts w:eastAsia="黑体"/>
                <w:color w:val="auto"/>
                <w:szCs w:val="21"/>
              </w:rPr>
            </w:pPr>
          </w:p>
        </w:tc>
        <w:tc>
          <w:tcPr>
            <w:tcW w:w="2533" w:type="dxa"/>
            <w:gridSpan w:val="2"/>
          </w:tcPr>
          <w:p w14:paraId="317623B6">
            <w:pPr>
              <w:adjustRightInd w:val="0"/>
              <w:snapToGrid w:val="0"/>
              <w:spacing w:line="560" w:lineRule="exact"/>
              <w:rPr>
                <w:rFonts w:eastAsia="黑体"/>
                <w:color w:val="auto"/>
                <w:szCs w:val="21"/>
              </w:rPr>
            </w:pPr>
          </w:p>
        </w:tc>
      </w:tr>
      <w:tr w14:paraId="26B1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45D5209E">
            <w:pPr>
              <w:adjustRightInd w:val="0"/>
              <w:snapToGrid w:val="0"/>
              <w:spacing w:line="560" w:lineRule="exact"/>
              <w:rPr>
                <w:rFonts w:eastAsia="黑体"/>
                <w:color w:val="auto"/>
                <w:szCs w:val="21"/>
              </w:rPr>
            </w:pPr>
          </w:p>
        </w:tc>
        <w:tc>
          <w:tcPr>
            <w:tcW w:w="3773" w:type="dxa"/>
            <w:gridSpan w:val="4"/>
          </w:tcPr>
          <w:p w14:paraId="7E600D9A">
            <w:pPr>
              <w:adjustRightInd w:val="0"/>
              <w:snapToGrid w:val="0"/>
              <w:spacing w:line="560" w:lineRule="exact"/>
              <w:rPr>
                <w:rFonts w:eastAsia="黑体"/>
                <w:color w:val="auto"/>
                <w:szCs w:val="21"/>
              </w:rPr>
            </w:pPr>
          </w:p>
        </w:tc>
        <w:tc>
          <w:tcPr>
            <w:tcW w:w="1390" w:type="dxa"/>
          </w:tcPr>
          <w:p w14:paraId="0400957A">
            <w:pPr>
              <w:adjustRightInd w:val="0"/>
              <w:snapToGrid w:val="0"/>
              <w:spacing w:line="560" w:lineRule="exact"/>
              <w:rPr>
                <w:rFonts w:eastAsia="黑体"/>
                <w:color w:val="auto"/>
                <w:szCs w:val="21"/>
              </w:rPr>
            </w:pPr>
          </w:p>
        </w:tc>
        <w:tc>
          <w:tcPr>
            <w:tcW w:w="2533" w:type="dxa"/>
            <w:gridSpan w:val="2"/>
          </w:tcPr>
          <w:p w14:paraId="3C11CA80">
            <w:pPr>
              <w:adjustRightInd w:val="0"/>
              <w:snapToGrid w:val="0"/>
              <w:spacing w:line="560" w:lineRule="exact"/>
              <w:rPr>
                <w:rFonts w:eastAsia="黑体"/>
                <w:color w:val="auto"/>
                <w:szCs w:val="21"/>
              </w:rPr>
            </w:pPr>
          </w:p>
        </w:tc>
      </w:tr>
      <w:tr w14:paraId="1454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6A75C149">
            <w:pPr>
              <w:adjustRightInd w:val="0"/>
              <w:snapToGrid w:val="0"/>
              <w:spacing w:line="560" w:lineRule="exact"/>
              <w:rPr>
                <w:rFonts w:eastAsia="黑体"/>
                <w:color w:val="auto"/>
                <w:szCs w:val="21"/>
              </w:rPr>
            </w:pPr>
          </w:p>
        </w:tc>
        <w:tc>
          <w:tcPr>
            <w:tcW w:w="3773" w:type="dxa"/>
            <w:gridSpan w:val="4"/>
          </w:tcPr>
          <w:p w14:paraId="7DD1F2F8">
            <w:pPr>
              <w:adjustRightInd w:val="0"/>
              <w:snapToGrid w:val="0"/>
              <w:spacing w:line="560" w:lineRule="exact"/>
              <w:rPr>
                <w:rFonts w:eastAsia="黑体"/>
                <w:color w:val="auto"/>
                <w:szCs w:val="21"/>
              </w:rPr>
            </w:pPr>
          </w:p>
        </w:tc>
        <w:tc>
          <w:tcPr>
            <w:tcW w:w="1390" w:type="dxa"/>
          </w:tcPr>
          <w:p w14:paraId="15D8D481">
            <w:pPr>
              <w:adjustRightInd w:val="0"/>
              <w:snapToGrid w:val="0"/>
              <w:spacing w:line="560" w:lineRule="exact"/>
              <w:rPr>
                <w:rFonts w:eastAsia="黑体"/>
                <w:color w:val="auto"/>
                <w:szCs w:val="21"/>
              </w:rPr>
            </w:pPr>
          </w:p>
        </w:tc>
        <w:tc>
          <w:tcPr>
            <w:tcW w:w="2533" w:type="dxa"/>
            <w:gridSpan w:val="2"/>
          </w:tcPr>
          <w:p w14:paraId="172329FA">
            <w:pPr>
              <w:adjustRightInd w:val="0"/>
              <w:snapToGrid w:val="0"/>
              <w:spacing w:line="560" w:lineRule="exact"/>
              <w:rPr>
                <w:rFonts w:eastAsia="黑体"/>
                <w:color w:val="auto"/>
                <w:szCs w:val="21"/>
              </w:rPr>
            </w:pPr>
          </w:p>
        </w:tc>
      </w:tr>
      <w:tr w14:paraId="6E85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3CB6AB5C">
            <w:pPr>
              <w:adjustRightInd w:val="0"/>
              <w:snapToGrid w:val="0"/>
              <w:spacing w:line="560" w:lineRule="exact"/>
              <w:rPr>
                <w:rFonts w:eastAsia="黑体"/>
                <w:color w:val="auto"/>
                <w:szCs w:val="21"/>
              </w:rPr>
            </w:pPr>
          </w:p>
        </w:tc>
        <w:tc>
          <w:tcPr>
            <w:tcW w:w="3773" w:type="dxa"/>
            <w:gridSpan w:val="4"/>
          </w:tcPr>
          <w:p w14:paraId="18EB7B5F">
            <w:pPr>
              <w:adjustRightInd w:val="0"/>
              <w:snapToGrid w:val="0"/>
              <w:spacing w:line="560" w:lineRule="exact"/>
              <w:rPr>
                <w:rFonts w:eastAsia="黑体"/>
                <w:color w:val="auto"/>
                <w:szCs w:val="21"/>
              </w:rPr>
            </w:pPr>
          </w:p>
        </w:tc>
        <w:tc>
          <w:tcPr>
            <w:tcW w:w="1390" w:type="dxa"/>
          </w:tcPr>
          <w:p w14:paraId="68E59C28">
            <w:pPr>
              <w:adjustRightInd w:val="0"/>
              <w:snapToGrid w:val="0"/>
              <w:spacing w:line="560" w:lineRule="exact"/>
              <w:rPr>
                <w:rFonts w:eastAsia="黑体"/>
                <w:color w:val="auto"/>
                <w:szCs w:val="21"/>
              </w:rPr>
            </w:pPr>
          </w:p>
        </w:tc>
        <w:tc>
          <w:tcPr>
            <w:tcW w:w="2533" w:type="dxa"/>
            <w:gridSpan w:val="2"/>
          </w:tcPr>
          <w:p w14:paraId="42E6E718">
            <w:pPr>
              <w:adjustRightInd w:val="0"/>
              <w:snapToGrid w:val="0"/>
              <w:spacing w:line="560" w:lineRule="exact"/>
              <w:rPr>
                <w:rFonts w:eastAsia="黑体"/>
                <w:color w:val="auto"/>
                <w:szCs w:val="21"/>
              </w:rPr>
            </w:pPr>
          </w:p>
        </w:tc>
      </w:tr>
      <w:tr w14:paraId="4500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54B81BCB">
            <w:pPr>
              <w:adjustRightInd w:val="0"/>
              <w:snapToGrid w:val="0"/>
              <w:spacing w:line="560" w:lineRule="exact"/>
              <w:rPr>
                <w:rFonts w:eastAsia="黑体"/>
                <w:color w:val="auto"/>
                <w:szCs w:val="21"/>
              </w:rPr>
            </w:pPr>
          </w:p>
        </w:tc>
        <w:tc>
          <w:tcPr>
            <w:tcW w:w="3773" w:type="dxa"/>
            <w:gridSpan w:val="4"/>
          </w:tcPr>
          <w:p w14:paraId="332D18EC">
            <w:pPr>
              <w:adjustRightInd w:val="0"/>
              <w:snapToGrid w:val="0"/>
              <w:spacing w:line="560" w:lineRule="exact"/>
              <w:rPr>
                <w:rFonts w:eastAsia="黑体"/>
                <w:color w:val="auto"/>
                <w:szCs w:val="21"/>
              </w:rPr>
            </w:pPr>
          </w:p>
        </w:tc>
        <w:tc>
          <w:tcPr>
            <w:tcW w:w="1390" w:type="dxa"/>
          </w:tcPr>
          <w:p w14:paraId="3E3E5E55">
            <w:pPr>
              <w:adjustRightInd w:val="0"/>
              <w:snapToGrid w:val="0"/>
              <w:spacing w:line="560" w:lineRule="exact"/>
              <w:rPr>
                <w:rFonts w:eastAsia="黑体"/>
                <w:color w:val="auto"/>
                <w:szCs w:val="21"/>
              </w:rPr>
            </w:pPr>
          </w:p>
        </w:tc>
        <w:tc>
          <w:tcPr>
            <w:tcW w:w="2533" w:type="dxa"/>
            <w:gridSpan w:val="2"/>
          </w:tcPr>
          <w:p w14:paraId="5CE97EB4">
            <w:pPr>
              <w:adjustRightInd w:val="0"/>
              <w:snapToGrid w:val="0"/>
              <w:spacing w:line="560" w:lineRule="exact"/>
              <w:rPr>
                <w:rFonts w:eastAsia="黑体"/>
                <w:color w:val="auto"/>
                <w:szCs w:val="21"/>
              </w:rPr>
            </w:pPr>
          </w:p>
        </w:tc>
      </w:tr>
      <w:tr w14:paraId="2965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45CB5C34">
            <w:pPr>
              <w:adjustRightInd w:val="0"/>
              <w:snapToGrid w:val="0"/>
              <w:spacing w:line="560" w:lineRule="exact"/>
              <w:rPr>
                <w:rFonts w:eastAsia="黑体"/>
                <w:color w:val="auto"/>
                <w:szCs w:val="21"/>
              </w:rPr>
            </w:pPr>
          </w:p>
        </w:tc>
        <w:tc>
          <w:tcPr>
            <w:tcW w:w="3773" w:type="dxa"/>
            <w:gridSpan w:val="4"/>
          </w:tcPr>
          <w:p w14:paraId="14D9D97A">
            <w:pPr>
              <w:adjustRightInd w:val="0"/>
              <w:snapToGrid w:val="0"/>
              <w:spacing w:line="560" w:lineRule="exact"/>
              <w:rPr>
                <w:rFonts w:eastAsia="黑体"/>
                <w:color w:val="auto"/>
                <w:szCs w:val="21"/>
              </w:rPr>
            </w:pPr>
          </w:p>
        </w:tc>
        <w:tc>
          <w:tcPr>
            <w:tcW w:w="1390" w:type="dxa"/>
          </w:tcPr>
          <w:p w14:paraId="2F3150A6">
            <w:pPr>
              <w:adjustRightInd w:val="0"/>
              <w:snapToGrid w:val="0"/>
              <w:spacing w:line="560" w:lineRule="exact"/>
              <w:rPr>
                <w:rFonts w:eastAsia="黑体"/>
                <w:color w:val="auto"/>
                <w:szCs w:val="21"/>
              </w:rPr>
            </w:pPr>
          </w:p>
        </w:tc>
        <w:tc>
          <w:tcPr>
            <w:tcW w:w="2533" w:type="dxa"/>
            <w:gridSpan w:val="2"/>
          </w:tcPr>
          <w:p w14:paraId="7EA8EF8A">
            <w:pPr>
              <w:adjustRightInd w:val="0"/>
              <w:snapToGrid w:val="0"/>
              <w:spacing w:line="560" w:lineRule="exact"/>
              <w:rPr>
                <w:rFonts w:eastAsia="黑体"/>
                <w:color w:val="auto"/>
                <w:szCs w:val="21"/>
              </w:rPr>
            </w:pPr>
          </w:p>
        </w:tc>
      </w:tr>
      <w:tr w14:paraId="33D9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69C29C22">
            <w:pPr>
              <w:adjustRightInd w:val="0"/>
              <w:snapToGrid w:val="0"/>
              <w:spacing w:line="560" w:lineRule="exact"/>
              <w:rPr>
                <w:rFonts w:eastAsia="黑体"/>
                <w:color w:val="auto"/>
                <w:szCs w:val="21"/>
              </w:rPr>
            </w:pPr>
          </w:p>
        </w:tc>
        <w:tc>
          <w:tcPr>
            <w:tcW w:w="3773" w:type="dxa"/>
            <w:gridSpan w:val="4"/>
          </w:tcPr>
          <w:p w14:paraId="0465FC7C">
            <w:pPr>
              <w:adjustRightInd w:val="0"/>
              <w:snapToGrid w:val="0"/>
              <w:spacing w:line="560" w:lineRule="exact"/>
              <w:rPr>
                <w:rFonts w:eastAsia="黑体"/>
                <w:color w:val="auto"/>
                <w:szCs w:val="21"/>
              </w:rPr>
            </w:pPr>
          </w:p>
        </w:tc>
        <w:tc>
          <w:tcPr>
            <w:tcW w:w="1390" w:type="dxa"/>
          </w:tcPr>
          <w:p w14:paraId="6E297CE6">
            <w:pPr>
              <w:adjustRightInd w:val="0"/>
              <w:snapToGrid w:val="0"/>
              <w:spacing w:line="560" w:lineRule="exact"/>
              <w:rPr>
                <w:rFonts w:eastAsia="黑体"/>
                <w:color w:val="auto"/>
                <w:szCs w:val="21"/>
              </w:rPr>
            </w:pPr>
          </w:p>
        </w:tc>
        <w:tc>
          <w:tcPr>
            <w:tcW w:w="2533" w:type="dxa"/>
            <w:gridSpan w:val="2"/>
          </w:tcPr>
          <w:p w14:paraId="7B196064">
            <w:pPr>
              <w:adjustRightInd w:val="0"/>
              <w:snapToGrid w:val="0"/>
              <w:spacing w:line="560" w:lineRule="exact"/>
              <w:rPr>
                <w:rFonts w:eastAsia="黑体"/>
                <w:color w:val="auto"/>
                <w:szCs w:val="21"/>
              </w:rPr>
            </w:pPr>
          </w:p>
        </w:tc>
      </w:tr>
    </w:tbl>
    <w:p w14:paraId="7DF5B57F">
      <w:pPr>
        <w:pStyle w:val="4"/>
        <w:adjustRightInd w:val="0"/>
        <w:snapToGrid w:val="0"/>
        <w:spacing w:line="560" w:lineRule="exact"/>
        <w:jc w:val="center"/>
        <w:rPr>
          <w:color w:val="auto"/>
        </w:rPr>
      </w:pPr>
      <w:r>
        <w:rPr>
          <w:rFonts w:hint="eastAsia"/>
          <w:color w:val="auto"/>
        </w:rPr>
        <w:t>（7）其他资格审查资料</w:t>
      </w:r>
      <w:bookmarkEnd w:id="852"/>
    </w:p>
    <w:p w14:paraId="42113993">
      <w:pPr>
        <w:adjustRightInd w:val="0"/>
        <w:snapToGrid w:val="0"/>
        <w:spacing w:line="560" w:lineRule="exact"/>
        <w:jc w:val="center"/>
        <w:rPr>
          <w:color w:val="auto"/>
        </w:rPr>
      </w:pPr>
      <w:r>
        <w:rPr>
          <w:rFonts w:hint="eastAsia"/>
          <w:color w:val="auto"/>
        </w:rPr>
        <w:t>可扩展填写</w:t>
      </w:r>
    </w:p>
    <w:p w14:paraId="03717FAB">
      <w:pPr>
        <w:adjustRightInd w:val="0"/>
        <w:snapToGrid w:val="0"/>
        <w:spacing w:line="560" w:lineRule="exact"/>
        <w:rPr>
          <w:b/>
          <w:color w:val="auto"/>
          <w:sz w:val="28"/>
          <w:szCs w:val="28"/>
        </w:rPr>
      </w:pPr>
      <w:bookmarkStart w:id="853" w:name="_Toc499804616"/>
      <w:bookmarkStart w:id="854" w:name="_Toc484173797"/>
      <w:bookmarkStart w:id="855" w:name="_Toc506107353"/>
      <w:bookmarkStart w:id="856" w:name="_Toc60061581"/>
      <w:bookmarkStart w:id="857" w:name="_Toc15058940"/>
      <w:bookmarkStart w:id="858" w:name="_Toc58229121"/>
      <w:bookmarkStart w:id="859" w:name="_Toc324404893"/>
      <w:bookmarkStart w:id="860" w:name="_Toc11719"/>
    </w:p>
    <w:p w14:paraId="45A282A5">
      <w:pPr>
        <w:adjustRightInd w:val="0"/>
        <w:snapToGrid w:val="0"/>
        <w:spacing w:line="560" w:lineRule="exact"/>
        <w:jc w:val="center"/>
        <w:rPr>
          <w:rFonts w:ascii="宋体"/>
          <w:b/>
          <w:color w:val="auto"/>
          <w:sz w:val="28"/>
          <w:szCs w:val="28"/>
        </w:rPr>
      </w:pPr>
      <w:r>
        <w:rPr>
          <w:rFonts w:hint="eastAsia"/>
          <w:b/>
          <w:color w:val="auto"/>
          <w:sz w:val="28"/>
          <w:szCs w:val="28"/>
        </w:rPr>
        <w:t>①法定代表人身份证</w:t>
      </w:r>
      <w:bookmarkEnd w:id="853"/>
      <w:bookmarkEnd w:id="854"/>
      <w:bookmarkEnd w:id="855"/>
      <w:bookmarkEnd w:id="856"/>
      <w:bookmarkEnd w:id="857"/>
      <w:bookmarkEnd w:id="858"/>
      <w:r>
        <w:rPr>
          <w:rFonts w:hint="eastAsia"/>
          <w:b/>
          <w:color w:val="auto"/>
          <w:sz w:val="28"/>
          <w:szCs w:val="28"/>
        </w:rPr>
        <w:t>明或授权委托书</w:t>
      </w:r>
      <w:bookmarkEnd w:id="778"/>
      <w:bookmarkEnd w:id="779"/>
      <w:bookmarkEnd w:id="780"/>
      <w:bookmarkEnd w:id="781"/>
      <w:bookmarkEnd w:id="782"/>
      <w:bookmarkEnd w:id="783"/>
      <w:bookmarkEnd w:id="784"/>
      <w:bookmarkEnd w:id="785"/>
      <w:bookmarkEnd w:id="859"/>
      <w:bookmarkEnd w:id="860"/>
    </w:p>
    <w:p w14:paraId="07405E7C">
      <w:pPr>
        <w:pStyle w:val="39"/>
        <w:adjustRightInd w:val="0"/>
        <w:snapToGrid w:val="0"/>
        <w:spacing w:line="560" w:lineRule="exact"/>
        <w:rPr>
          <w:rFonts w:ascii="宋体"/>
          <w:b/>
          <w:color w:val="auto"/>
          <w:sz w:val="30"/>
          <w:szCs w:val="30"/>
        </w:rPr>
      </w:pPr>
      <w:r>
        <w:rPr>
          <w:rFonts w:hint="eastAsia" w:ascii="宋体"/>
          <w:color w:val="auto"/>
          <w:sz w:val="30"/>
          <w:szCs w:val="30"/>
        </w:rPr>
        <w:t>1.法定代表人身份证明</w:t>
      </w:r>
    </w:p>
    <w:p w14:paraId="5DF8657B">
      <w:pPr>
        <w:adjustRightInd w:val="0"/>
        <w:snapToGrid w:val="0"/>
        <w:spacing w:line="560" w:lineRule="exact"/>
        <w:rPr>
          <w:rFonts w:ascii="宋体"/>
          <w:color w:val="auto"/>
          <w:sz w:val="28"/>
          <w:szCs w:val="28"/>
        </w:rPr>
      </w:pPr>
      <w:r>
        <w:rPr>
          <w:rFonts w:hint="eastAsia" w:ascii="宋体"/>
          <w:color w:val="auto"/>
          <w:sz w:val="28"/>
          <w:szCs w:val="28"/>
        </w:rPr>
        <w:t>投标人名称：</w:t>
      </w:r>
      <w:r>
        <w:rPr>
          <w:rFonts w:hint="eastAsia" w:ascii="宋体"/>
          <w:color w:val="auto"/>
          <w:sz w:val="28"/>
          <w:szCs w:val="28"/>
          <w:u w:val="single"/>
        </w:rPr>
        <w:t xml:space="preserve">                                </w:t>
      </w:r>
      <w:r>
        <w:rPr>
          <w:rFonts w:hint="eastAsia" w:ascii="宋体"/>
          <w:color w:val="auto"/>
          <w:sz w:val="28"/>
          <w:szCs w:val="28"/>
        </w:rPr>
        <w:t xml:space="preserve"> </w:t>
      </w:r>
    </w:p>
    <w:p w14:paraId="20056139">
      <w:pPr>
        <w:adjustRightInd w:val="0"/>
        <w:snapToGrid w:val="0"/>
        <w:spacing w:line="560" w:lineRule="exact"/>
        <w:rPr>
          <w:rFonts w:ascii="宋体"/>
          <w:color w:val="auto"/>
          <w:sz w:val="28"/>
          <w:szCs w:val="28"/>
        </w:rPr>
      </w:pPr>
      <w:r>
        <w:rPr>
          <w:rFonts w:hint="eastAsia" w:ascii="宋体"/>
          <w:color w:val="auto"/>
          <w:sz w:val="28"/>
          <w:szCs w:val="28"/>
        </w:rPr>
        <w:t xml:space="preserve">单位性质： </w:t>
      </w:r>
      <w:r>
        <w:rPr>
          <w:rFonts w:hint="eastAsia" w:ascii="宋体"/>
          <w:color w:val="auto"/>
          <w:sz w:val="28"/>
          <w:szCs w:val="28"/>
          <w:u w:val="single"/>
        </w:rPr>
        <w:t xml:space="preserve">                                  </w:t>
      </w:r>
      <w:r>
        <w:rPr>
          <w:rFonts w:hint="eastAsia" w:ascii="宋体"/>
          <w:color w:val="auto"/>
          <w:sz w:val="28"/>
          <w:szCs w:val="28"/>
        </w:rPr>
        <w:t xml:space="preserve"> </w:t>
      </w:r>
    </w:p>
    <w:p w14:paraId="2BA2782F">
      <w:pPr>
        <w:adjustRightInd w:val="0"/>
        <w:snapToGrid w:val="0"/>
        <w:spacing w:line="560" w:lineRule="exact"/>
        <w:rPr>
          <w:rFonts w:ascii="宋体"/>
          <w:color w:val="auto"/>
          <w:sz w:val="28"/>
          <w:szCs w:val="28"/>
        </w:rPr>
      </w:pPr>
      <w:r>
        <w:rPr>
          <w:rFonts w:hint="eastAsia" w:ascii="宋体"/>
          <w:color w:val="auto"/>
          <w:sz w:val="28"/>
          <w:szCs w:val="28"/>
        </w:rPr>
        <w:t>地    址：</w:t>
      </w:r>
      <w:r>
        <w:rPr>
          <w:rFonts w:hint="eastAsia" w:ascii="宋体"/>
          <w:color w:val="auto"/>
          <w:sz w:val="28"/>
          <w:szCs w:val="28"/>
          <w:u w:val="single"/>
        </w:rPr>
        <w:t xml:space="preserve">                                   </w:t>
      </w:r>
      <w:r>
        <w:rPr>
          <w:rFonts w:hint="eastAsia" w:ascii="宋体"/>
          <w:color w:val="auto"/>
          <w:sz w:val="28"/>
          <w:szCs w:val="28"/>
        </w:rPr>
        <w:t xml:space="preserve"> </w:t>
      </w:r>
    </w:p>
    <w:p w14:paraId="39A83144">
      <w:pPr>
        <w:adjustRightInd w:val="0"/>
        <w:snapToGrid w:val="0"/>
        <w:spacing w:line="560" w:lineRule="exact"/>
        <w:rPr>
          <w:rFonts w:ascii="宋体"/>
          <w:color w:val="auto"/>
          <w:sz w:val="28"/>
          <w:szCs w:val="28"/>
        </w:rPr>
      </w:pPr>
      <w:r>
        <w:rPr>
          <w:rFonts w:hint="eastAsia" w:ascii="宋体"/>
          <w:color w:val="auto"/>
          <w:sz w:val="28"/>
          <w:szCs w:val="28"/>
        </w:rPr>
        <w:t>成立时间：</w:t>
      </w: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14:paraId="6CB37766">
      <w:pPr>
        <w:adjustRightInd w:val="0"/>
        <w:snapToGrid w:val="0"/>
        <w:spacing w:line="560" w:lineRule="exact"/>
        <w:rPr>
          <w:rFonts w:ascii="宋体"/>
          <w:color w:val="auto"/>
          <w:sz w:val="28"/>
          <w:szCs w:val="28"/>
        </w:rPr>
      </w:pPr>
      <w:r>
        <w:rPr>
          <w:rFonts w:hint="eastAsia" w:ascii="宋体"/>
          <w:color w:val="auto"/>
          <w:sz w:val="28"/>
          <w:szCs w:val="28"/>
        </w:rPr>
        <w:t>经营期限：</w:t>
      </w:r>
      <w:r>
        <w:rPr>
          <w:rFonts w:hint="eastAsia" w:ascii="宋体"/>
          <w:color w:val="auto"/>
          <w:sz w:val="28"/>
          <w:szCs w:val="28"/>
          <w:u w:val="single"/>
        </w:rPr>
        <w:t xml:space="preserve">                                </w:t>
      </w:r>
      <w:r>
        <w:rPr>
          <w:rFonts w:hint="eastAsia" w:ascii="宋体"/>
          <w:color w:val="auto"/>
          <w:sz w:val="28"/>
          <w:szCs w:val="28"/>
        </w:rPr>
        <w:t xml:space="preserve"> </w:t>
      </w:r>
    </w:p>
    <w:p w14:paraId="2F24BAF1">
      <w:pPr>
        <w:adjustRightInd w:val="0"/>
        <w:snapToGrid w:val="0"/>
        <w:spacing w:line="560" w:lineRule="exact"/>
        <w:jc w:val="left"/>
        <w:rPr>
          <w:rFonts w:ascii="宋体"/>
          <w:color w:val="auto"/>
          <w:sz w:val="28"/>
          <w:szCs w:val="28"/>
          <w:u w:val="single"/>
        </w:rPr>
      </w:pPr>
      <w:r>
        <w:rPr>
          <w:rFonts w:hint="eastAsia" w:ascii="宋体"/>
          <w:color w:val="auto"/>
          <w:spacing w:val="240"/>
          <w:sz w:val="28"/>
          <w:szCs w:val="28"/>
        </w:rPr>
        <w:t>姓</w:t>
      </w:r>
      <w:r>
        <w:rPr>
          <w:rFonts w:hint="eastAsia" w:ascii="宋体"/>
          <w:color w:val="auto"/>
          <w:sz w:val="28"/>
          <w:szCs w:val="28"/>
        </w:rPr>
        <w:t>名：</w:t>
      </w:r>
      <w:r>
        <w:rPr>
          <w:rFonts w:hint="eastAsia" w:ascii="宋体"/>
          <w:color w:val="auto"/>
          <w:sz w:val="28"/>
          <w:szCs w:val="28"/>
          <w:u w:val="single"/>
        </w:rPr>
        <w:t xml:space="preserve">           </w:t>
      </w:r>
      <w:r>
        <w:rPr>
          <w:rFonts w:hint="eastAsia" w:ascii="宋体"/>
          <w:color w:val="auto"/>
          <w:sz w:val="28"/>
          <w:szCs w:val="28"/>
        </w:rPr>
        <w:t>身份证号码：</w:t>
      </w:r>
      <w:r>
        <w:rPr>
          <w:rFonts w:hint="eastAsia" w:ascii="宋体"/>
          <w:color w:val="auto"/>
          <w:sz w:val="28"/>
          <w:szCs w:val="28"/>
          <w:u w:val="single"/>
        </w:rPr>
        <w:t xml:space="preserve">             </w:t>
      </w:r>
      <w:r>
        <w:rPr>
          <w:rFonts w:hint="eastAsia" w:ascii="宋体"/>
          <w:color w:val="auto"/>
          <w:sz w:val="28"/>
          <w:szCs w:val="28"/>
        </w:rPr>
        <w:t>性别</w:t>
      </w:r>
      <w:r>
        <w:rPr>
          <w:rFonts w:hint="eastAsia" w:ascii="宋体"/>
          <w:color w:val="auto"/>
          <w:sz w:val="28"/>
          <w:szCs w:val="28"/>
          <w:u w:val="single"/>
        </w:rPr>
        <w:t xml:space="preserve">：            </w:t>
      </w:r>
      <w:r>
        <w:rPr>
          <w:rFonts w:hint="eastAsia" w:ascii="宋体"/>
          <w:color w:val="auto"/>
          <w:sz w:val="28"/>
          <w:szCs w:val="28"/>
        </w:rPr>
        <w:t>年龄：</w:t>
      </w:r>
      <w:r>
        <w:rPr>
          <w:rFonts w:hint="eastAsia" w:ascii="宋体"/>
          <w:color w:val="auto"/>
          <w:sz w:val="28"/>
          <w:szCs w:val="28"/>
          <w:u w:val="single"/>
        </w:rPr>
        <w:t xml:space="preserve">＿  </w:t>
      </w:r>
      <w:r>
        <w:rPr>
          <w:rFonts w:hint="eastAsia" w:ascii="宋体"/>
          <w:color w:val="auto"/>
          <w:sz w:val="28"/>
          <w:szCs w:val="28"/>
        </w:rPr>
        <w:t>职务：</w:t>
      </w:r>
      <w:r>
        <w:rPr>
          <w:rFonts w:hint="eastAsia" w:ascii="宋体"/>
          <w:color w:val="auto"/>
          <w:sz w:val="28"/>
          <w:szCs w:val="28"/>
          <w:u w:val="single"/>
        </w:rPr>
        <w:t xml:space="preserve">       </w:t>
      </w:r>
      <w:r>
        <w:rPr>
          <w:rFonts w:hint="eastAsia" w:ascii="宋体"/>
          <w:color w:val="auto"/>
          <w:sz w:val="28"/>
          <w:szCs w:val="28"/>
        </w:rPr>
        <w:t>_，系</w:t>
      </w:r>
      <w:r>
        <w:rPr>
          <w:rFonts w:hint="eastAsia" w:ascii="宋体"/>
          <w:color w:val="auto"/>
          <w:sz w:val="28"/>
          <w:szCs w:val="28"/>
          <w:u w:val="single"/>
        </w:rPr>
        <w:t xml:space="preserve">                       </w:t>
      </w:r>
      <w:r>
        <w:rPr>
          <w:rFonts w:hint="eastAsia" w:ascii="宋体"/>
          <w:color w:val="auto"/>
          <w:sz w:val="28"/>
          <w:szCs w:val="28"/>
        </w:rPr>
        <w:t>（投标人名称）的法定代表人。</w:t>
      </w:r>
    </w:p>
    <w:p w14:paraId="6CFE7AFA">
      <w:pPr>
        <w:adjustRightInd w:val="0"/>
        <w:snapToGrid w:val="0"/>
        <w:spacing w:line="560" w:lineRule="exact"/>
        <w:rPr>
          <w:rFonts w:ascii="宋体"/>
          <w:color w:val="auto"/>
          <w:sz w:val="28"/>
          <w:szCs w:val="28"/>
        </w:rPr>
      </w:pPr>
      <w:r>
        <w:rPr>
          <w:rFonts w:hint="eastAsia" w:ascii="宋体"/>
          <w:color w:val="auto"/>
          <w:sz w:val="28"/>
          <w:szCs w:val="28"/>
        </w:rPr>
        <w:t>特此证明。</w:t>
      </w:r>
    </w:p>
    <w:p w14:paraId="7013A43A">
      <w:pPr>
        <w:adjustRightInd w:val="0"/>
        <w:snapToGrid w:val="0"/>
        <w:spacing w:line="560" w:lineRule="exact"/>
        <w:rPr>
          <w:rFonts w:ascii="宋体"/>
          <w:color w:val="auto"/>
          <w:sz w:val="28"/>
          <w:szCs w:val="28"/>
        </w:rPr>
      </w:pPr>
    </w:p>
    <w:p w14:paraId="62870392">
      <w:pPr>
        <w:adjustRightInd w:val="0"/>
        <w:snapToGrid w:val="0"/>
        <w:spacing w:line="560" w:lineRule="exact"/>
        <w:rPr>
          <w:rFonts w:ascii="宋体"/>
          <w:color w:val="auto"/>
          <w:sz w:val="28"/>
          <w:szCs w:val="28"/>
        </w:rPr>
      </w:pPr>
    </w:p>
    <w:p w14:paraId="76313A9F">
      <w:pPr>
        <w:adjustRightInd w:val="0"/>
        <w:snapToGrid w:val="0"/>
        <w:spacing w:line="560" w:lineRule="exact"/>
        <w:rPr>
          <w:rFonts w:ascii="宋体"/>
          <w:color w:val="auto"/>
          <w:sz w:val="28"/>
          <w:szCs w:val="28"/>
        </w:rPr>
      </w:pPr>
    </w:p>
    <w:p w14:paraId="1E612A47">
      <w:pPr>
        <w:adjustRightInd w:val="0"/>
        <w:snapToGrid w:val="0"/>
        <w:spacing w:line="560" w:lineRule="exact"/>
        <w:ind w:firstLine="4340" w:firstLineChars="1550"/>
        <w:rPr>
          <w:rFonts w:ascii="宋体"/>
          <w:color w:val="auto"/>
          <w:sz w:val="28"/>
          <w:szCs w:val="28"/>
        </w:rPr>
      </w:pPr>
      <w:r>
        <w:rPr>
          <w:rFonts w:hint="eastAsia" w:ascii="宋体"/>
          <w:color w:val="auto"/>
          <w:sz w:val="28"/>
          <w:szCs w:val="28"/>
        </w:rPr>
        <w:t>投标人：</w:t>
      </w:r>
      <w:r>
        <w:rPr>
          <w:rFonts w:hint="eastAsia" w:ascii="宋体"/>
          <w:color w:val="auto"/>
          <w:sz w:val="28"/>
          <w:szCs w:val="28"/>
          <w:u w:val="single"/>
        </w:rPr>
        <w:t xml:space="preserve">                 </w:t>
      </w:r>
      <w:r>
        <w:rPr>
          <w:rFonts w:hint="eastAsia" w:ascii="宋体"/>
          <w:color w:val="auto"/>
          <w:sz w:val="28"/>
          <w:szCs w:val="28"/>
        </w:rPr>
        <w:t>（签章）</w:t>
      </w:r>
    </w:p>
    <w:p w14:paraId="2F164978">
      <w:pPr>
        <w:adjustRightInd w:val="0"/>
        <w:snapToGrid w:val="0"/>
        <w:spacing w:line="560" w:lineRule="exact"/>
        <w:rPr>
          <w:rFonts w:ascii="宋体"/>
          <w:color w:val="auto"/>
          <w:sz w:val="28"/>
          <w:szCs w:val="28"/>
        </w:rPr>
      </w:pPr>
      <w:r>
        <w:rPr>
          <w:rFonts w:hint="eastAsia" w:ascii="宋体"/>
          <w:color w:val="auto"/>
          <w:sz w:val="28"/>
          <w:szCs w:val="28"/>
        </w:rPr>
        <w:t xml:space="preserve">                                        年    月     日</w:t>
      </w:r>
    </w:p>
    <w:p w14:paraId="7D63CF72">
      <w:pPr>
        <w:adjustRightInd w:val="0"/>
        <w:snapToGrid w:val="0"/>
        <w:spacing w:line="560" w:lineRule="exact"/>
        <w:rPr>
          <w:rFonts w:ascii="宋体"/>
          <w:color w:val="auto"/>
          <w:sz w:val="28"/>
          <w:szCs w:val="28"/>
        </w:rPr>
      </w:pPr>
    </w:p>
    <w:p w14:paraId="0E52EFA0">
      <w:pPr>
        <w:adjustRightInd w:val="0"/>
        <w:snapToGrid w:val="0"/>
        <w:spacing w:line="560" w:lineRule="exact"/>
        <w:rPr>
          <w:rFonts w:ascii="宋体"/>
          <w:color w:val="auto"/>
          <w:sz w:val="28"/>
          <w:szCs w:val="28"/>
        </w:rPr>
      </w:pPr>
    </w:p>
    <w:p w14:paraId="56CEC748">
      <w:pPr>
        <w:pStyle w:val="39"/>
        <w:adjustRightInd w:val="0"/>
        <w:snapToGrid w:val="0"/>
        <w:spacing w:line="560" w:lineRule="exact"/>
        <w:rPr>
          <w:rFonts w:ascii="宋体"/>
          <w:color w:val="auto"/>
          <w:sz w:val="30"/>
          <w:szCs w:val="30"/>
        </w:rPr>
      </w:pPr>
    </w:p>
    <w:p w14:paraId="6B3AB05D">
      <w:pPr>
        <w:rPr>
          <w:color w:val="auto"/>
        </w:rPr>
      </w:pPr>
    </w:p>
    <w:p w14:paraId="39FA7333">
      <w:pPr>
        <w:pStyle w:val="22"/>
        <w:ind w:left="0" w:leftChars="0" w:firstLine="0" w:firstLineChars="0"/>
        <w:rPr>
          <w:color w:val="auto"/>
        </w:rPr>
      </w:pPr>
    </w:p>
    <w:p w14:paraId="6D6B01E2">
      <w:pPr>
        <w:rPr>
          <w:rFonts w:ascii="宋体"/>
          <w:color w:val="auto"/>
          <w:sz w:val="30"/>
          <w:szCs w:val="30"/>
        </w:rPr>
      </w:pPr>
      <w:r>
        <w:rPr>
          <w:rFonts w:hint="eastAsia" w:ascii="宋体"/>
          <w:color w:val="auto"/>
          <w:sz w:val="30"/>
          <w:szCs w:val="30"/>
        </w:rPr>
        <w:br w:type="page"/>
      </w:r>
    </w:p>
    <w:p w14:paraId="67985641">
      <w:pPr>
        <w:pStyle w:val="39"/>
        <w:adjustRightInd w:val="0"/>
        <w:snapToGrid w:val="0"/>
        <w:spacing w:line="560" w:lineRule="exact"/>
        <w:rPr>
          <w:rFonts w:ascii="宋体"/>
          <w:color w:val="auto"/>
          <w:sz w:val="30"/>
          <w:szCs w:val="30"/>
        </w:rPr>
      </w:pPr>
      <w:r>
        <w:rPr>
          <w:rFonts w:hint="eastAsia" w:ascii="宋体"/>
          <w:color w:val="auto"/>
          <w:sz w:val="30"/>
          <w:szCs w:val="30"/>
        </w:rPr>
        <w:t>2. 授权委托书</w:t>
      </w:r>
    </w:p>
    <w:p w14:paraId="734F8E37">
      <w:pPr>
        <w:adjustRightInd w:val="0"/>
        <w:snapToGrid w:val="0"/>
        <w:spacing w:line="560" w:lineRule="exact"/>
        <w:ind w:firstLine="560" w:firstLineChars="200"/>
        <w:rPr>
          <w:rFonts w:ascii="宋体"/>
          <w:color w:val="auto"/>
          <w:sz w:val="28"/>
          <w:szCs w:val="28"/>
        </w:rPr>
      </w:pPr>
      <w:r>
        <w:rPr>
          <w:rFonts w:hint="eastAsia" w:ascii="宋体"/>
          <w:color w:val="auto"/>
          <w:sz w:val="28"/>
          <w:szCs w:val="28"/>
        </w:rPr>
        <w:t xml:space="preserve">本人 </w:t>
      </w:r>
      <w:r>
        <w:rPr>
          <w:rFonts w:hint="eastAsia" w:ascii="宋体"/>
          <w:color w:val="auto"/>
          <w:sz w:val="28"/>
          <w:szCs w:val="28"/>
          <w:u w:val="single"/>
        </w:rPr>
        <w:t xml:space="preserve">    </w:t>
      </w:r>
      <w:r>
        <w:rPr>
          <w:rFonts w:hint="eastAsia" w:ascii="宋体"/>
          <w:color w:val="auto"/>
          <w:sz w:val="28"/>
          <w:szCs w:val="28"/>
        </w:rPr>
        <w:t>（姓名）系</w:t>
      </w:r>
      <w:r>
        <w:rPr>
          <w:rFonts w:hint="eastAsia" w:ascii="宋体"/>
          <w:color w:val="auto"/>
          <w:sz w:val="28"/>
          <w:szCs w:val="28"/>
          <w:u w:val="single"/>
        </w:rPr>
        <w:t xml:space="preserve">       </w:t>
      </w:r>
      <w:r>
        <w:rPr>
          <w:rFonts w:hint="eastAsia" w:ascii="宋体"/>
          <w:color w:val="auto"/>
          <w:sz w:val="28"/>
          <w:szCs w:val="28"/>
        </w:rPr>
        <w:t>（投标人）的法定代表人，现委托</w:t>
      </w:r>
      <w:r>
        <w:rPr>
          <w:rFonts w:hint="eastAsia" w:ascii="宋体"/>
          <w:color w:val="auto"/>
          <w:sz w:val="28"/>
          <w:szCs w:val="28"/>
          <w:u w:val="single"/>
        </w:rPr>
        <w:t xml:space="preserve">   </w:t>
      </w:r>
      <w:r>
        <w:rPr>
          <w:rFonts w:hint="eastAsia" w:ascii="宋体"/>
          <w:color w:val="auto"/>
          <w:sz w:val="28"/>
          <w:szCs w:val="28"/>
        </w:rPr>
        <w:t>（姓名）为我方代理人。代理人根据授权，以我方名义签署、澄清、说明、补正、递交、撤回、修改 “</w:t>
      </w:r>
      <w:r>
        <w:rPr>
          <w:rFonts w:hint="eastAsia" w:ascii="宋体"/>
          <w:color w:val="auto"/>
          <w:sz w:val="28"/>
          <w:szCs w:val="28"/>
          <w:u w:val="single"/>
        </w:rPr>
        <w:t xml:space="preserve">      </w:t>
      </w:r>
      <w:r>
        <w:rPr>
          <w:rFonts w:hint="eastAsia" w:ascii="宋体"/>
          <w:color w:val="auto"/>
          <w:sz w:val="28"/>
          <w:szCs w:val="28"/>
        </w:rPr>
        <w:t xml:space="preserve"> ”(项目名称、编号）投标文件，全权处理与该项目投标、评审答疑、签订合同以及与合同执行有关的一切事务，其法律后果由我方承担。</w:t>
      </w:r>
    </w:p>
    <w:p w14:paraId="7A575595">
      <w:pPr>
        <w:adjustRightInd w:val="0"/>
        <w:snapToGrid w:val="0"/>
        <w:spacing w:line="560" w:lineRule="exact"/>
        <w:ind w:firstLine="560" w:firstLineChars="200"/>
        <w:rPr>
          <w:rFonts w:ascii="宋体"/>
          <w:color w:val="auto"/>
          <w:sz w:val="28"/>
          <w:szCs w:val="28"/>
        </w:rPr>
      </w:pPr>
      <w:r>
        <w:rPr>
          <w:rFonts w:hint="eastAsia" w:ascii="宋体"/>
          <w:color w:val="auto"/>
          <w:sz w:val="28"/>
          <w:szCs w:val="28"/>
        </w:rPr>
        <w:t xml:space="preserve">委托期限： </w:t>
      </w:r>
      <w:r>
        <w:rPr>
          <w:rFonts w:hint="eastAsia" w:ascii="宋体" w:cs="宋体"/>
          <w:color w:val="auto"/>
          <w:sz w:val="28"/>
          <w:szCs w:val="28"/>
          <w:u w:val="single"/>
        </w:rPr>
        <w:t xml:space="preserve">          </w:t>
      </w:r>
      <w:r>
        <w:rPr>
          <w:rFonts w:hint="eastAsia" w:ascii="宋体" w:cs="宋体"/>
          <w:color w:val="auto"/>
          <w:sz w:val="28"/>
          <w:szCs w:val="28"/>
        </w:rPr>
        <w:t>。</w:t>
      </w:r>
      <w:r>
        <w:rPr>
          <w:rFonts w:hint="eastAsia" w:ascii="宋体"/>
          <w:color w:val="auto"/>
          <w:sz w:val="28"/>
          <w:szCs w:val="28"/>
        </w:rPr>
        <w:t xml:space="preserve">                     </w:t>
      </w:r>
    </w:p>
    <w:p w14:paraId="3762E726">
      <w:pPr>
        <w:adjustRightInd w:val="0"/>
        <w:snapToGrid w:val="0"/>
        <w:spacing w:line="560" w:lineRule="exact"/>
        <w:ind w:firstLine="560" w:firstLineChars="200"/>
        <w:rPr>
          <w:rFonts w:ascii="宋体"/>
          <w:color w:val="auto"/>
          <w:sz w:val="28"/>
          <w:szCs w:val="28"/>
        </w:rPr>
      </w:pPr>
      <w:r>
        <w:rPr>
          <w:rFonts w:hint="eastAsia" w:ascii="宋体"/>
          <w:color w:val="auto"/>
          <w:sz w:val="28"/>
          <w:szCs w:val="28"/>
        </w:rPr>
        <w:t>代理人无转委托权。</w:t>
      </w:r>
    </w:p>
    <w:p w14:paraId="56E74EB8">
      <w:pPr>
        <w:adjustRightInd w:val="0"/>
        <w:snapToGrid w:val="0"/>
        <w:spacing w:line="560" w:lineRule="exact"/>
        <w:ind w:firstLine="560" w:firstLineChars="200"/>
        <w:rPr>
          <w:rFonts w:ascii="宋体"/>
          <w:b/>
          <w:color w:val="auto"/>
          <w:sz w:val="28"/>
          <w:szCs w:val="28"/>
        </w:rPr>
      </w:pPr>
      <w:r>
        <w:rPr>
          <w:rFonts w:hint="eastAsia" w:ascii="宋体"/>
          <w:color w:val="auto"/>
          <w:sz w:val="28"/>
          <w:szCs w:val="28"/>
        </w:rPr>
        <w:t>附：</w:t>
      </w:r>
      <w:r>
        <w:rPr>
          <w:rFonts w:hint="eastAsia" w:ascii="宋体"/>
          <w:b/>
          <w:color w:val="auto"/>
          <w:sz w:val="28"/>
          <w:szCs w:val="28"/>
        </w:rPr>
        <w:t>委托代理人有效身份证扫描件</w:t>
      </w:r>
    </w:p>
    <w:p w14:paraId="3A45725C">
      <w:pPr>
        <w:adjustRightInd w:val="0"/>
        <w:snapToGrid w:val="0"/>
        <w:spacing w:line="560" w:lineRule="exact"/>
        <w:ind w:firstLine="1116" w:firstLineChars="397"/>
        <w:rPr>
          <w:rFonts w:ascii="宋体"/>
          <w:b/>
          <w:color w:val="auto"/>
          <w:sz w:val="28"/>
          <w:szCs w:val="28"/>
        </w:rPr>
      </w:pPr>
      <w:r>
        <w:rPr>
          <w:rFonts w:hint="eastAsia" w:ascii="宋体"/>
          <w:b/>
          <w:color w:val="auto"/>
          <w:sz w:val="28"/>
          <w:szCs w:val="28"/>
        </w:rPr>
        <w:t>法定代表人有效身份证扫描件</w:t>
      </w:r>
    </w:p>
    <w:p w14:paraId="7547AE78">
      <w:pPr>
        <w:adjustRightInd w:val="0"/>
        <w:snapToGrid w:val="0"/>
        <w:spacing w:line="560" w:lineRule="exact"/>
        <w:ind w:firstLine="560" w:firstLineChars="200"/>
        <w:rPr>
          <w:rFonts w:ascii="宋体"/>
          <w:color w:val="auto"/>
          <w:sz w:val="28"/>
          <w:szCs w:val="28"/>
        </w:rPr>
      </w:pPr>
    </w:p>
    <w:p w14:paraId="3BA6C4D9">
      <w:pPr>
        <w:adjustRightInd w:val="0"/>
        <w:snapToGrid w:val="0"/>
        <w:spacing w:line="560" w:lineRule="exact"/>
        <w:ind w:firstLine="200"/>
        <w:rPr>
          <w:rFonts w:ascii="宋体"/>
          <w:color w:val="auto"/>
          <w:sz w:val="28"/>
          <w:szCs w:val="28"/>
        </w:rPr>
      </w:pPr>
      <w:r>
        <w:rPr>
          <w:rFonts w:hint="eastAsia" w:ascii="宋体"/>
          <w:color w:val="auto"/>
          <w:sz w:val="28"/>
          <w:szCs w:val="28"/>
        </w:rPr>
        <w:t xml:space="preserve">                           投标人（签章）：</w:t>
      </w:r>
    </w:p>
    <w:p w14:paraId="1E2A7808">
      <w:pPr>
        <w:adjustRightInd w:val="0"/>
        <w:snapToGrid w:val="0"/>
        <w:spacing w:line="560" w:lineRule="exact"/>
        <w:ind w:firstLine="2660" w:firstLineChars="950"/>
        <w:rPr>
          <w:rFonts w:ascii="宋体"/>
          <w:color w:val="auto"/>
          <w:sz w:val="28"/>
          <w:szCs w:val="28"/>
        </w:rPr>
      </w:pPr>
      <w:r>
        <w:rPr>
          <w:rFonts w:hint="eastAsia" w:ascii="宋体"/>
          <w:color w:val="auto"/>
          <w:sz w:val="28"/>
          <w:szCs w:val="28"/>
        </w:rPr>
        <w:t>法定代表人（身份证号码）：             （签章）</w:t>
      </w:r>
    </w:p>
    <w:p w14:paraId="757EAD09">
      <w:pPr>
        <w:pStyle w:val="22"/>
        <w:rPr>
          <w:rFonts w:ascii="宋体"/>
          <w:color w:val="auto"/>
          <w:sz w:val="28"/>
          <w:szCs w:val="28"/>
        </w:rPr>
      </w:pPr>
      <w:r>
        <w:rPr>
          <w:rFonts w:hint="eastAsia"/>
          <w:color w:val="auto"/>
        </w:rPr>
        <w:t xml:space="preserve">                                 </w:t>
      </w:r>
      <w:r>
        <w:rPr>
          <w:rFonts w:hint="eastAsia" w:ascii="宋体"/>
          <w:color w:val="auto"/>
          <w:sz w:val="28"/>
          <w:szCs w:val="28"/>
        </w:rPr>
        <w:t xml:space="preserve">    联系方式：</w:t>
      </w:r>
    </w:p>
    <w:p w14:paraId="48D763FC">
      <w:pPr>
        <w:adjustRightInd w:val="0"/>
        <w:snapToGrid w:val="0"/>
        <w:spacing w:line="560" w:lineRule="exact"/>
        <w:ind w:firstLine="2660" w:firstLineChars="950"/>
        <w:rPr>
          <w:rFonts w:ascii="宋体"/>
          <w:color w:val="auto"/>
          <w:sz w:val="28"/>
          <w:szCs w:val="28"/>
        </w:rPr>
      </w:pPr>
      <w:r>
        <w:rPr>
          <w:rFonts w:hint="eastAsia" w:ascii="宋体"/>
          <w:color w:val="auto"/>
          <w:sz w:val="28"/>
          <w:szCs w:val="28"/>
        </w:rPr>
        <w:t xml:space="preserve">委托代理人（身份证号码）：      </w:t>
      </w:r>
    </w:p>
    <w:p w14:paraId="296CEB75">
      <w:pPr>
        <w:adjustRightInd w:val="0"/>
        <w:snapToGrid w:val="0"/>
        <w:spacing w:line="560" w:lineRule="exact"/>
        <w:ind w:firstLine="2660" w:firstLineChars="950"/>
        <w:rPr>
          <w:rFonts w:ascii="宋体"/>
          <w:color w:val="auto"/>
          <w:sz w:val="28"/>
          <w:szCs w:val="28"/>
        </w:rPr>
      </w:pPr>
      <w:r>
        <w:rPr>
          <w:rFonts w:hint="eastAsia" w:ascii="宋体"/>
          <w:color w:val="auto"/>
          <w:sz w:val="28"/>
          <w:szCs w:val="28"/>
        </w:rPr>
        <w:t xml:space="preserve">                联系方式：</w:t>
      </w:r>
    </w:p>
    <w:p w14:paraId="54B60B11">
      <w:pPr>
        <w:adjustRightInd w:val="0"/>
        <w:snapToGrid w:val="0"/>
        <w:spacing w:line="560" w:lineRule="exact"/>
        <w:ind w:firstLine="3290" w:firstLineChars="1175"/>
        <w:rPr>
          <w:rFonts w:ascii="宋体"/>
          <w:color w:val="auto"/>
          <w:sz w:val="28"/>
          <w:szCs w:val="28"/>
        </w:rPr>
      </w:pPr>
      <w:r>
        <w:rPr>
          <w:rFonts w:hint="eastAsia" w:ascii="宋体"/>
          <w:color w:val="auto"/>
          <w:sz w:val="28"/>
          <w:szCs w:val="28"/>
        </w:rPr>
        <w:t xml:space="preserve">              年    月    日</w:t>
      </w:r>
    </w:p>
    <w:p w14:paraId="62E90AE0">
      <w:pPr>
        <w:pStyle w:val="22"/>
        <w:rPr>
          <w:color w:val="auto"/>
        </w:rPr>
      </w:pPr>
    </w:p>
    <w:p w14:paraId="41CEA09B">
      <w:pPr>
        <w:adjustRightInd w:val="0"/>
        <w:snapToGrid w:val="0"/>
        <w:spacing w:line="560" w:lineRule="exact"/>
        <w:rPr>
          <w:b/>
          <w:color w:val="auto"/>
          <w:sz w:val="28"/>
          <w:szCs w:val="28"/>
        </w:rPr>
      </w:pPr>
      <w:r>
        <w:rPr>
          <w:rFonts w:hint="eastAsia"/>
          <w:b/>
          <w:color w:val="auto"/>
          <w:sz w:val="28"/>
          <w:szCs w:val="28"/>
          <w:u w:val="single"/>
        </w:rPr>
        <w:t>（上传电子投标文件时采用本授权委托书）</w:t>
      </w:r>
    </w:p>
    <w:p w14:paraId="19A991A6">
      <w:pPr>
        <w:rPr>
          <w:b/>
          <w:color w:val="auto"/>
          <w:sz w:val="28"/>
          <w:szCs w:val="28"/>
        </w:rPr>
      </w:pPr>
      <w:r>
        <w:rPr>
          <w:rFonts w:hint="eastAsia"/>
          <w:b/>
          <w:color w:val="auto"/>
          <w:sz w:val="28"/>
          <w:szCs w:val="28"/>
        </w:rPr>
        <w:br w:type="page"/>
      </w:r>
    </w:p>
    <w:p w14:paraId="7E57D4DD">
      <w:pPr>
        <w:adjustRightInd w:val="0"/>
        <w:snapToGrid w:val="0"/>
        <w:spacing w:line="560" w:lineRule="exact"/>
        <w:jc w:val="center"/>
        <w:rPr>
          <w:b/>
          <w:color w:val="auto"/>
          <w:sz w:val="28"/>
          <w:szCs w:val="28"/>
        </w:rPr>
      </w:pPr>
      <w:r>
        <w:rPr>
          <w:rFonts w:hint="eastAsia"/>
          <w:b/>
          <w:color w:val="auto"/>
          <w:sz w:val="28"/>
          <w:szCs w:val="28"/>
        </w:rPr>
        <w:t>②诚信投标承诺书  </w:t>
      </w:r>
    </w:p>
    <w:p w14:paraId="57A51F04">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本人以企业法定代表人的身份郑重承诺：</w:t>
      </w:r>
    </w:p>
    <w:p w14:paraId="09A8B9CC">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一、将遵循公</w:t>
      </w:r>
      <w:bookmarkStart w:id="861" w:name="_Toc503196197"/>
      <w:bookmarkStart w:id="862" w:name="_Toc506107356"/>
      <w:bookmarkStart w:id="863" w:name="_Toc26598"/>
      <w:r>
        <w:rPr>
          <w:rFonts w:hint="eastAsia" w:ascii="宋体" w:hAnsi="宋体"/>
          <w:color w:val="auto"/>
          <w:szCs w:val="21"/>
        </w:rPr>
        <w:t>开、公正和诚实信用</w:t>
      </w:r>
      <w:bookmarkEnd w:id="861"/>
      <w:bookmarkEnd w:id="862"/>
      <w:r>
        <w:rPr>
          <w:rFonts w:hint="eastAsia" w:ascii="宋体" w:hAnsi="宋体"/>
          <w:color w:val="auto"/>
          <w:szCs w:val="21"/>
        </w:rPr>
        <w:t>的</w:t>
      </w:r>
      <w:bookmarkEnd w:id="863"/>
      <w:r>
        <w:rPr>
          <w:rFonts w:hint="eastAsia" w:ascii="宋体" w:hAnsi="宋体"/>
          <w:color w:val="auto"/>
          <w:szCs w:val="21"/>
        </w:rPr>
        <w:t>原则自愿参加</w:t>
      </w:r>
      <w:r>
        <w:rPr>
          <w:rFonts w:hint="eastAsia" w:ascii="宋体" w:hAnsi="宋体"/>
          <w:color w:val="auto"/>
          <w:szCs w:val="21"/>
          <w:u w:val="single"/>
        </w:rPr>
        <w:t xml:space="preserve">                     （项目名称）</w:t>
      </w:r>
      <w:r>
        <w:rPr>
          <w:rFonts w:hint="eastAsia" w:ascii="宋体" w:hAnsi="宋体"/>
          <w:color w:val="auto"/>
          <w:szCs w:val="21"/>
        </w:rPr>
        <w:t>项目的投标；</w:t>
      </w:r>
    </w:p>
    <w:p w14:paraId="581524D2">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二、所提供的一切材料都是真实、合法的；</w:t>
      </w:r>
    </w:p>
    <w:p w14:paraId="18D6B6CC">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三、不出借、转让资质证书，不让他人挂靠投标，不以他人名义投标或者以其他方式弄虚作假，骗取中标；</w:t>
      </w:r>
    </w:p>
    <w:p w14:paraId="43BEAA26">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四、不与其他投标人相互串通投标报价，不排挤其他投标人的公平竞争、损害招标人的合法权益；</w:t>
      </w:r>
    </w:p>
    <w:p w14:paraId="681055B1">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五、不与招标人、招标代理机构或其他投标人串通投标，损害国家利益、社会公共利益或者他人的合法权益；</w:t>
      </w:r>
    </w:p>
    <w:p w14:paraId="422E62C5">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szCs w:val="21"/>
          <w:u w:val="single"/>
        </w:rPr>
        <w:t xml:space="preserve">      （企业名称）</w:t>
      </w:r>
      <w:r>
        <w:rPr>
          <w:rFonts w:hint="eastAsia" w:ascii="宋体" w:hAnsi="宋体"/>
          <w:color w:val="auto"/>
          <w:szCs w:val="21"/>
        </w:rPr>
        <w:t xml:space="preserve">或 </w:t>
      </w:r>
      <w:r>
        <w:rPr>
          <w:rFonts w:hint="eastAsia" w:ascii="宋体" w:hAnsi="宋体"/>
          <w:color w:val="auto"/>
          <w:szCs w:val="21"/>
          <w:u w:val="single"/>
        </w:rPr>
        <w:t xml:space="preserve">      （企业名称）</w:t>
      </w: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或拟派项目经理（负责人）</w:t>
      </w:r>
      <w:r>
        <w:rPr>
          <w:rFonts w:hint="eastAsia" w:ascii="宋体" w:hAnsi="宋体"/>
          <w:color w:val="auto"/>
          <w:szCs w:val="21"/>
          <w:u w:val="single"/>
        </w:rPr>
        <w:t xml:space="preserve">      </w:t>
      </w:r>
      <w:r>
        <w:rPr>
          <w:rFonts w:hint="eastAsia" w:ascii="宋体" w:hAnsi="宋体"/>
          <w:color w:val="auto"/>
          <w:szCs w:val="21"/>
        </w:rPr>
        <w:t>没有下列情形：</w:t>
      </w:r>
      <w:bookmarkStart w:id="864" w:name="OLE_LINK133"/>
      <w:bookmarkStart w:id="865" w:name="OLE_LINK134"/>
      <w:r>
        <w:rPr>
          <w:rFonts w:hint="eastAsia" w:ascii="宋体" w:hAnsi="宋体"/>
          <w:color w:val="auto"/>
          <w:szCs w:val="21"/>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r>
        <w:rPr>
          <w:rFonts w:hint="eastAsia"/>
          <w:color w:val="auto"/>
          <w:szCs w:val="21"/>
        </w:rPr>
        <w:t>（</w:t>
      </w:r>
      <w:bookmarkEnd w:id="864"/>
      <w:bookmarkEnd w:id="865"/>
      <w:r>
        <w:rPr>
          <w:rFonts w:hint="eastAsia"/>
          <w:color w:val="auto"/>
          <w:szCs w:val="21"/>
        </w:rPr>
        <w:t>若招标文件对投标人所属分公司、办事处等分支机构有上述</w:t>
      </w:r>
      <w:r>
        <w:rPr>
          <w:color w:val="auto"/>
          <w:szCs w:val="21"/>
        </w:rPr>
        <w:t>1-10</w:t>
      </w:r>
      <w:r>
        <w:rPr>
          <w:rFonts w:hint="eastAsia"/>
          <w:color w:val="auto"/>
          <w:szCs w:val="21"/>
        </w:rPr>
        <w:t>项信誉要求，在此一并承诺我公司所属分公司、办事处等分支机构没有上述</w:t>
      </w:r>
      <w:r>
        <w:rPr>
          <w:color w:val="auto"/>
          <w:szCs w:val="21"/>
        </w:rPr>
        <w:t>1-10</w:t>
      </w:r>
      <w:r>
        <w:rPr>
          <w:rFonts w:hint="eastAsia"/>
          <w:color w:val="auto"/>
          <w:szCs w:val="21"/>
        </w:rPr>
        <w:t>项情形）</w:t>
      </w:r>
    </w:p>
    <w:p w14:paraId="421A5427">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七、严格遵守开标现场纪律，服从监管人员管理；</w:t>
      </w:r>
    </w:p>
    <w:p w14:paraId="423B14C7">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八、保证中标后不转包及使用挂靠施工队伍，若有分包征得建设单位同意；</w:t>
      </w:r>
    </w:p>
    <w:p w14:paraId="0F052667">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九、保证中标之后，按照投标文件承诺派驻管理人员及投入机械设备，如有违反，同意接受建设单位违约处罚；</w:t>
      </w:r>
    </w:p>
    <w:p w14:paraId="28CA88AA">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十、保证企业及所属相关人员在本次投标中无行贿等犯罪行为；</w:t>
      </w:r>
    </w:p>
    <w:p w14:paraId="709D410B">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十一、如我公司中标，保证中标的项目经理（建造师）无其他尚未完工（以竣工、交工、完工验收报告等手续为准）项目或在已中标项目（以发放中标通知书为准）中担任项目经理（建造师）情形。如有，项目在滁州市区域内的，接受中标无效、记入不良行为记录等处理；项目在滁州市区域外的，保证在中标候选人公示期第一日起开始计算7日内，提供经行政主管部门备案的变更证明材料，否则接受中标无效、记入不良行为记录等处理；</w:t>
      </w:r>
    </w:p>
    <w:p w14:paraId="6FA4727E">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389902A3">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十三、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7B8D06B3">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十四、我公司拟任项目经理（建造师）不是投标截止时间前六个月内在滁州市区域内办理过项目经理（建造师）变更备案手续的原项目经理（建造师）。</w:t>
      </w:r>
    </w:p>
    <w:p w14:paraId="69144EB2">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 xml:space="preserve"> 以上内容我已仔细阅读，本公司若有违反承诺内容的行为，自愿接受取消投标或者中标资格、记入不良行为记录等有关处理，愿意承担法律责任，给招标人造成损失的，承担赔偿责任。</w:t>
      </w:r>
    </w:p>
    <w:p w14:paraId="3BC1CFFF">
      <w:pPr>
        <w:adjustRightInd w:val="0"/>
        <w:snapToGrid w:val="0"/>
        <w:spacing w:line="560" w:lineRule="exact"/>
        <w:ind w:firstLine="420" w:firstLineChars="200"/>
        <w:rPr>
          <w:rFonts w:ascii="宋体" w:hAnsi="宋体"/>
          <w:color w:val="auto"/>
          <w:szCs w:val="21"/>
        </w:rPr>
      </w:pPr>
      <w:r>
        <w:rPr>
          <w:rFonts w:hint="eastAsia" w:ascii="宋体" w:hAnsi="宋体"/>
          <w:color w:val="auto"/>
          <w:szCs w:val="21"/>
        </w:rPr>
        <w:t>开户银行：</w:t>
      </w:r>
      <w:r>
        <w:rPr>
          <w:rFonts w:hint="eastAsia" w:ascii="宋体" w:hAnsi="宋体"/>
          <w:color w:val="auto"/>
          <w:szCs w:val="21"/>
          <w:u w:val="single"/>
        </w:rPr>
        <w:t xml:space="preserve">                </w:t>
      </w:r>
      <w:r>
        <w:rPr>
          <w:rFonts w:hint="eastAsia" w:ascii="宋体" w:hAnsi="宋体"/>
          <w:color w:val="auto"/>
          <w:szCs w:val="21"/>
        </w:rPr>
        <w:t xml:space="preserve">   基本账户：                             </w:t>
      </w:r>
    </w:p>
    <w:p w14:paraId="3B2962B4">
      <w:pPr>
        <w:adjustRightInd w:val="0"/>
        <w:snapToGrid w:val="0"/>
        <w:spacing w:line="560" w:lineRule="exact"/>
        <w:ind w:firstLine="420" w:firstLineChars="200"/>
        <w:rPr>
          <w:rFonts w:ascii="宋体" w:hAnsi="宋体"/>
          <w:color w:val="auto"/>
          <w:szCs w:val="21"/>
        </w:rPr>
      </w:pPr>
      <w:r>
        <w:rPr>
          <w:rFonts w:hint="eastAsia" w:ascii="宋体" w:hAnsi="宋体"/>
          <w:color w:val="auto"/>
          <w:szCs w:val="21"/>
        </w:rPr>
        <w:t xml:space="preserve">投标人（签章）：  </w:t>
      </w:r>
      <w:r>
        <w:rPr>
          <w:rFonts w:hint="eastAsia" w:ascii="宋体" w:hAnsi="宋体"/>
          <w:color w:val="auto"/>
          <w:szCs w:val="21"/>
          <w:u w:val="single"/>
        </w:rPr>
        <w:t xml:space="preserve">        </w:t>
      </w:r>
      <w:r>
        <w:rPr>
          <w:rFonts w:hint="eastAsia" w:ascii="宋体" w:hAnsi="宋体"/>
          <w:color w:val="auto"/>
          <w:szCs w:val="21"/>
        </w:rPr>
        <w:t>法定代表人（签章）：</w:t>
      </w:r>
      <w:r>
        <w:rPr>
          <w:rFonts w:hint="eastAsia" w:ascii="宋体" w:hAnsi="宋体"/>
          <w:color w:val="auto"/>
          <w:szCs w:val="21"/>
          <w:u w:val="single"/>
        </w:rPr>
        <w:t xml:space="preserve">                           </w:t>
      </w:r>
    </w:p>
    <w:p w14:paraId="6973DD2F">
      <w:pPr>
        <w:pStyle w:val="22"/>
        <w:rPr>
          <w:color w:val="auto"/>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日</w:t>
      </w:r>
    </w:p>
    <w:p w14:paraId="7435E193">
      <w:pPr>
        <w:pStyle w:val="22"/>
        <w:ind w:left="0" w:leftChars="0" w:firstLine="0" w:firstLineChars="0"/>
        <w:rPr>
          <w:color w:val="auto"/>
        </w:rPr>
      </w:pPr>
    </w:p>
    <w:p w14:paraId="4265AAAA">
      <w:pPr>
        <w:rPr>
          <w:color w:val="auto"/>
        </w:rPr>
      </w:pPr>
    </w:p>
    <w:p w14:paraId="4455F3B1">
      <w:pPr>
        <w:adjustRightInd w:val="0"/>
        <w:snapToGrid w:val="0"/>
        <w:spacing w:line="560" w:lineRule="exact"/>
        <w:jc w:val="center"/>
        <w:rPr>
          <w:b/>
          <w:color w:val="auto"/>
          <w:sz w:val="28"/>
          <w:szCs w:val="28"/>
        </w:rPr>
      </w:pPr>
      <w:r>
        <w:rPr>
          <w:rFonts w:hint="eastAsia"/>
          <w:b/>
          <w:color w:val="auto"/>
          <w:sz w:val="28"/>
          <w:szCs w:val="28"/>
        </w:rPr>
        <w:t>②公共信用信息报告（无违法违规证明版或核查版））</w:t>
      </w:r>
    </w:p>
    <w:p w14:paraId="46DA906F">
      <w:pPr>
        <w:pStyle w:val="22"/>
        <w:spacing w:line="560" w:lineRule="exact"/>
        <w:ind w:left="0" w:leftChars="0"/>
        <w:rPr>
          <w:rFonts w:ascii="宋体" w:hAnsi="宋体"/>
          <w:color w:val="auto"/>
          <w:szCs w:val="21"/>
        </w:rPr>
      </w:pPr>
      <w:r>
        <w:rPr>
          <w:rFonts w:hint="eastAsia" w:ascii="宋体" w:hAnsi="宋体"/>
          <w:color w:val="auto"/>
          <w:szCs w:val="21"/>
        </w:rPr>
        <w:t>符合条件的投标人可在信用中国（安徽）网站（网址</w:t>
      </w:r>
      <w:r>
        <w:rPr>
          <w:color w:val="auto"/>
        </w:rPr>
        <w:fldChar w:fldCharType="begin"/>
      </w:r>
      <w:r>
        <w:rPr>
          <w:color w:val="auto"/>
        </w:rPr>
        <w:instrText xml:space="preserve"> HYPERLINK "https://credit.ah.gov.cn/xinyongfuwu/index.html" </w:instrText>
      </w:r>
      <w:r>
        <w:rPr>
          <w:color w:val="auto"/>
        </w:rPr>
        <w:fldChar w:fldCharType="separate"/>
      </w:r>
      <w:r>
        <w:rPr>
          <w:rStyle w:val="33"/>
          <w:rFonts w:ascii="宋体" w:hAnsi="宋体"/>
          <w:color w:val="auto"/>
          <w:szCs w:val="21"/>
        </w:rPr>
        <w:t>https://credit.ah.gov.cn/xinyongfuwu/index.html</w:t>
      </w:r>
      <w:r>
        <w:rPr>
          <w:rStyle w:val="33"/>
          <w:rFonts w:ascii="宋体" w:hAnsi="宋体"/>
          <w:color w:val="auto"/>
          <w:szCs w:val="21"/>
        </w:rPr>
        <w:fldChar w:fldCharType="end"/>
      </w:r>
      <w:r>
        <w:rPr>
          <w:rFonts w:hint="eastAsia" w:ascii="宋体" w:hAnsi="宋体"/>
          <w:color w:val="auto"/>
          <w:szCs w:val="21"/>
        </w:rPr>
        <w:t>），获取信用报告（无违法违规证明版或核查版）并上传至投标文件中。</w:t>
      </w:r>
    </w:p>
    <w:p w14:paraId="7FABAB0B">
      <w:pPr>
        <w:pStyle w:val="22"/>
        <w:ind w:left="0" w:leftChars="0" w:firstLine="0" w:firstLineChars="0"/>
        <w:rPr>
          <w:color w:val="auto"/>
        </w:rPr>
      </w:pPr>
      <w:r>
        <w:rPr>
          <w:rFonts w:hint="eastAsia"/>
          <w:color w:val="auto"/>
        </w:rPr>
        <w:br w:type="page"/>
      </w:r>
    </w:p>
    <w:p w14:paraId="2A2C6A0C">
      <w:pPr>
        <w:pStyle w:val="22"/>
        <w:rPr>
          <w:color w:val="auto"/>
        </w:rPr>
      </w:pPr>
    </w:p>
    <w:p w14:paraId="2DCA2A3C">
      <w:pPr>
        <w:adjustRightInd w:val="0"/>
        <w:snapToGrid w:val="0"/>
        <w:spacing w:line="560" w:lineRule="exact"/>
        <w:jc w:val="center"/>
        <w:rPr>
          <w:rFonts w:eastAsia="黑体"/>
          <w:color w:val="auto"/>
          <w:sz w:val="20"/>
          <w:szCs w:val="20"/>
        </w:rPr>
      </w:pPr>
      <w:r>
        <w:rPr>
          <w:rFonts w:hint="eastAsia" w:eastAsia="黑体"/>
          <w:color w:val="auto"/>
          <w:sz w:val="28"/>
          <w:szCs w:val="28"/>
          <w:u w:val="single"/>
        </w:rPr>
        <w:t xml:space="preserve">                </w:t>
      </w:r>
      <w:r>
        <w:rPr>
          <w:rFonts w:eastAsia="黑体"/>
          <w:color w:val="auto"/>
          <w:sz w:val="28"/>
          <w:szCs w:val="28"/>
        </w:rPr>
        <w:t>（项目名称）</w:t>
      </w:r>
    </w:p>
    <w:p w14:paraId="0946E71E">
      <w:pPr>
        <w:adjustRightInd w:val="0"/>
        <w:snapToGrid w:val="0"/>
        <w:spacing w:line="560" w:lineRule="exact"/>
        <w:jc w:val="center"/>
        <w:rPr>
          <w:rFonts w:eastAsia="黑体"/>
          <w:color w:val="auto"/>
          <w:sz w:val="20"/>
          <w:szCs w:val="20"/>
        </w:rPr>
      </w:pPr>
    </w:p>
    <w:p w14:paraId="55A336AA">
      <w:pPr>
        <w:adjustRightInd w:val="0"/>
        <w:snapToGrid w:val="0"/>
        <w:spacing w:line="560" w:lineRule="exact"/>
        <w:rPr>
          <w:rFonts w:eastAsia="黑体"/>
          <w:color w:val="auto"/>
          <w:sz w:val="20"/>
          <w:szCs w:val="20"/>
        </w:rPr>
      </w:pPr>
    </w:p>
    <w:p w14:paraId="08B21809">
      <w:pPr>
        <w:adjustRightInd w:val="0"/>
        <w:snapToGrid w:val="0"/>
        <w:spacing w:line="560" w:lineRule="exact"/>
        <w:jc w:val="center"/>
        <w:rPr>
          <w:rFonts w:eastAsia="黑体"/>
          <w:color w:val="auto"/>
          <w:sz w:val="44"/>
          <w:szCs w:val="44"/>
        </w:rPr>
      </w:pPr>
      <w:r>
        <w:rPr>
          <w:rFonts w:eastAsia="黑体"/>
          <w:color w:val="auto"/>
          <w:sz w:val="44"/>
          <w:szCs w:val="44"/>
        </w:rPr>
        <w:t>投  标  文  件</w:t>
      </w:r>
      <w:r>
        <w:rPr>
          <w:rFonts w:hint="eastAsia" w:eastAsia="黑体"/>
          <w:color w:val="auto"/>
          <w:sz w:val="44"/>
          <w:szCs w:val="44"/>
        </w:rPr>
        <w:t xml:space="preserve">  二</w:t>
      </w:r>
    </w:p>
    <w:p w14:paraId="52691B1B">
      <w:pPr>
        <w:adjustRightInd w:val="0"/>
        <w:snapToGrid w:val="0"/>
        <w:spacing w:line="560" w:lineRule="exact"/>
        <w:jc w:val="center"/>
        <w:rPr>
          <w:rFonts w:eastAsia="黑体"/>
          <w:color w:val="auto"/>
          <w:sz w:val="44"/>
          <w:szCs w:val="44"/>
        </w:rPr>
      </w:pPr>
      <w:r>
        <w:rPr>
          <w:rFonts w:hint="eastAsia" w:eastAsia="黑体"/>
          <w:color w:val="auto"/>
          <w:sz w:val="44"/>
          <w:szCs w:val="44"/>
        </w:rPr>
        <w:t>（技术标文件）</w:t>
      </w:r>
    </w:p>
    <w:p w14:paraId="38524F95">
      <w:pPr>
        <w:adjustRightInd w:val="0"/>
        <w:snapToGrid w:val="0"/>
        <w:spacing w:line="560" w:lineRule="exact"/>
        <w:rPr>
          <w:rFonts w:eastAsia="黑体"/>
          <w:color w:val="auto"/>
          <w:sz w:val="28"/>
          <w:szCs w:val="28"/>
        </w:rPr>
      </w:pPr>
    </w:p>
    <w:p w14:paraId="0E25CAB3">
      <w:pPr>
        <w:adjustRightInd w:val="0"/>
        <w:snapToGrid w:val="0"/>
        <w:spacing w:line="560" w:lineRule="exact"/>
        <w:rPr>
          <w:rFonts w:eastAsia="黑体"/>
          <w:color w:val="auto"/>
          <w:sz w:val="28"/>
          <w:szCs w:val="28"/>
        </w:rPr>
      </w:pPr>
    </w:p>
    <w:p w14:paraId="220AC6C8">
      <w:pPr>
        <w:adjustRightInd w:val="0"/>
        <w:snapToGrid w:val="0"/>
        <w:spacing w:line="560" w:lineRule="exact"/>
        <w:rPr>
          <w:rFonts w:eastAsia="黑体"/>
          <w:color w:val="auto"/>
          <w:sz w:val="28"/>
          <w:szCs w:val="28"/>
        </w:rPr>
      </w:pPr>
    </w:p>
    <w:p w14:paraId="2F430FF5">
      <w:pPr>
        <w:adjustRightInd w:val="0"/>
        <w:snapToGrid w:val="0"/>
        <w:spacing w:line="560" w:lineRule="exact"/>
        <w:rPr>
          <w:rFonts w:eastAsia="黑体"/>
          <w:color w:val="auto"/>
          <w:sz w:val="28"/>
          <w:szCs w:val="28"/>
        </w:rPr>
      </w:pPr>
    </w:p>
    <w:p w14:paraId="607FB8E0">
      <w:pPr>
        <w:adjustRightInd w:val="0"/>
        <w:snapToGrid w:val="0"/>
        <w:spacing w:line="560" w:lineRule="exact"/>
        <w:rPr>
          <w:rFonts w:eastAsia="黑体"/>
          <w:color w:val="auto"/>
          <w:sz w:val="28"/>
          <w:szCs w:val="28"/>
        </w:rPr>
      </w:pPr>
    </w:p>
    <w:p w14:paraId="4238B38F">
      <w:pPr>
        <w:pStyle w:val="22"/>
        <w:rPr>
          <w:color w:val="auto"/>
        </w:rPr>
      </w:pPr>
    </w:p>
    <w:p w14:paraId="739BE570">
      <w:pPr>
        <w:rPr>
          <w:color w:val="auto"/>
        </w:rPr>
      </w:pPr>
    </w:p>
    <w:p w14:paraId="7A37D8BB">
      <w:pPr>
        <w:adjustRightInd w:val="0"/>
        <w:snapToGrid w:val="0"/>
        <w:spacing w:line="560" w:lineRule="exact"/>
        <w:rPr>
          <w:rFonts w:eastAsia="黑体"/>
          <w:color w:val="auto"/>
          <w:sz w:val="28"/>
          <w:szCs w:val="28"/>
        </w:rPr>
      </w:pPr>
    </w:p>
    <w:p w14:paraId="0ADE93CB">
      <w:pPr>
        <w:pStyle w:val="22"/>
        <w:adjustRightInd w:val="0"/>
        <w:snapToGrid w:val="0"/>
        <w:spacing w:line="560" w:lineRule="exact"/>
        <w:ind w:left="0" w:leftChars="0" w:firstLine="560"/>
        <w:rPr>
          <w:rFonts w:eastAsia="黑体"/>
          <w:color w:val="auto"/>
          <w:sz w:val="28"/>
          <w:szCs w:val="28"/>
        </w:rPr>
      </w:pPr>
    </w:p>
    <w:p w14:paraId="32620DD3">
      <w:pPr>
        <w:adjustRightInd w:val="0"/>
        <w:snapToGrid w:val="0"/>
        <w:spacing w:line="560" w:lineRule="exact"/>
        <w:rPr>
          <w:rFonts w:eastAsia="黑体"/>
          <w:color w:val="auto"/>
          <w:sz w:val="28"/>
          <w:szCs w:val="28"/>
        </w:rPr>
      </w:pPr>
    </w:p>
    <w:p w14:paraId="0B6C3E71">
      <w:pPr>
        <w:pStyle w:val="22"/>
        <w:adjustRightInd w:val="0"/>
        <w:snapToGrid w:val="0"/>
        <w:spacing w:line="560" w:lineRule="exact"/>
        <w:ind w:left="0" w:leftChars="0" w:firstLine="0" w:firstLineChars="0"/>
        <w:rPr>
          <w:rFonts w:eastAsia="黑体"/>
          <w:color w:val="auto"/>
          <w:sz w:val="28"/>
          <w:szCs w:val="28"/>
        </w:rPr>
      </w:pPr>
    </w:p>
    <w:p w14:paraId="7BA9DC90">
      <w:pPr>
        <w:adjustRightInd w:val="0"/>
        <w:snapToGrid w:val="0"/>
        <w:spacing w:line="560" w:lineRule="exact"/>
        <w:rPr>
          <w:rFonts w:eastAsia="黑体"/>
          <w:color w:val="auto"/>
          <w:sz w:val="28"/>
          <w:szCs w:val="28"/>
        </w:rPr>
      </w:pPr>
    </w:p>
    <w:p w14:paraId="6531DDB8">
      <w:pPr>
        <w:adjustRightInd w:val="0"/>
        <w:snapToGrid w:val="0"/>
        <w:spacing w:line="560" w:lineRule="exact"/>
        <w:rPr>
          <w:rFonts w:eastAsia="黑体"/>
          <w:color w:val="auto"/>
          <w:sz w:val="28"/>
          <w:szCs w:val="28"/>
        </w:rPr>
      </w:pPr>
    </w:p>
    <w:p w14:paraId="3454B8D4">
      <w:pPr>
        <w:adjustRightInd w:val="0"/>
        <w:snapToGrid w:val="0"/>
        <w:spacing w:line="560" w:lineRule="exact"/>
        <w:rPr>
          <w:rFonts w:eastAsia="黑体"/>
          <w:color w:val="auto"/>
          <w:sz w:val="28"/>
          <w:szCs w:val="28"/>
        </w:rPr>
      </w:pPr>
    </w:p>
    <w:p w14:paraId="5B2303AF">
      <w:pPr>
        <w:adjustRightInd w:val="0"/>
        <w:snapToGrid w:val="0"/>
        <w:spacing w:line="560" w:lineRule="exact"/>
        <w:rPr>
          <w:rFonts w:eastAsia="黑体"/>
          <w:color w:val="auto"/>
          <w:sz w:val="28"/>
          <w:szCs w:val="28"/>
        </w:rPr>
      </w:pPr>
    </w:p>
    <w:p w14:paraId="75F57BE4">
      <w:pPr>
        <w:adjustRightInd w:val="0"/>
        <w:snapToGrid w:val="0"/>
        <w:spacing w:line="560" w:lineRule="exact"/>
        <w:jc w:val="center"/>
        <w:rPr>
          <w:color w:val="auto"/>
        </w:r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14:paraId="1E53F2EC">
      <w:pPr>
        <w:pStyle w:val="3"/>
        <w:rPr>
          <w:color w:val="auto"/>
        </w:rPr>
      </w:pPr>
      <w:bookmarkStart w:id="866" w:name="_Toc95223539"/>
      <w:r>
        <w:rPr>
          <w:rFonts w:hint="eastAsia" w:ascii="仿宋_GB2312" w:eastAsia="仿宋_GB2312"/>
          <w:color w:val="auto"/>
          <w:sz w:val="24"/>
        </w:rPr>
        <w:br w:type="page"/>
      </w:r>
      <w:r>
        <w:rPr>
          <w:rFonts w:hint="eastAsia"/>
          <w:color w:val="auto"/>
        </w:rPr>
        <w:t>投标文件二：技术标目录</w:t>
      </w:r>
      <w:bookmarkEnd w:id="866"/>
    </w:p>
    <w:p w14:paraId="132AD1F2">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项目方案</w:t>
      </w:r>
      <w:r>
        <w:rPr>
          <w:rFonts w:hint="eastAsia" w:ascii="宋体" w:hAnsi="宋体" w:cs="宋体"/>
          <w:color w:val="auto"/>
          <w:szCs w:val="21"/>
        </w:rPr>
        <w:t>；</w:t>
      </w:r>
    </w:p>
    <w:p w14:paraId="1029265E">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（2）整体供货方案；</w:t>
      </w:r>
    </w:p>
    <w:p w14:paraId="1A68221F">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（3）产品质量保证措施；</w:t>
      </w:r>
    </w:p>
    <w:p w14:paraId="00A274B7">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（4）设备系统整合方案；</w:t>
      </w:r>
    </w:p>
    <w:p w14:paraId="246DCC47">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（5）技术服务能力评价；</w:t>
      </w:r>
    </w:p>
    <w:p w14:paraId="589E76E2">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（6施工组织设计及调试验收方案；</w:t>
      </w:r>
    </w:p>
    <w:p w14:paraId="00564CE7">
      <w:pPr>
        <w:adjustRightInd w:val="0"/>
        <w:snapToGrid w:val="0"/>
        <w:spacing w:line="500" w:lineRule="exact"/>
        <w:ind w:firstLine="420" w:firstLineChars="200"/>
        <w:jc w:val="left"/>
        <w:rPr>
          <w:rFonts w:hint="default"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7）质保服务能力评价。</w:t>
      </w:r>
    </w:p>
    <w:p w14:paraId="37CEBD78">
      <w:pPr>
        <w:adjustRightInd w:val="0"/>
        <w:snapToGrid w:val="0"/>
        <w:spacing w:line="560" w:lineRule="exact"/>
        <w:ind w:firstLine="422" w:firstLineChars="200"/>
        <w:rPr>
          <w:rFonts w:ascii="宋体" w:hAnsi="宋体"/>
          <w:color w:val="auto"/>
          <w:szCs w:val="21"/>
        </w:rPr>
      </w:pPr>
      <w:r>
        <w:rPr>
          <w:rFonts w:hint="eastAsia" w:ascii="宋体" w:hAnsi="宋体" w:cs="宋体"/>
          <w:b/>
          <w:bCs/>
          <w:color w:val="auto"/>
          <w:szCs w:val="21"/>
        </w:rPr>
        <w:t>注：本项目采</w:t>
      </w:r>
      <w:r>
        <w:rPr>
          <w:rFonts w:hint="eastAsia" w:ascii="宋体" w:hAnsi="宋体" w:cs="宋体"/>
          <w:b/>
          <w:bCs/>
          <w:color w:val="auto"/>
          <w:szCs w:val="21"/>
          <w:highlight w:val="none"/>
        </w:rPr>
        <w:t>用横向暗标评审，请投标</w:t>
      </w:r>
      <w:r>
        <w:rPr>
          <w:rFonts w:hint="eastAsia" w:ascii="宋体" w:hAnsi="宋体" w:cs="宋体"/>
          <w:b/>
          <w:bCs/>
          <w:color w:val="auto"/>
          <w:szCs w:val="21"/>
        </w:rPr>
        <w:t>人结合技术标评审细则和系统内容在对应模块上传技术标评审内容。</w:t>
      </w:r>
    </w:p>
    <w:p w14:paraId="5F2FF438">
      <w:pPr>
        <w:adjustRightInd w:val="0"/>
        <w:snapToGrid w:val="0"/>
        <w:spacing w:line="560" w:lineRule="exact"/>
        <w:rPr>
          <w:rFonts w:ascii="宋体" w:hAnsi="宋体"/>
          <w:color w:val="auto"/>
          <w:szCs w:val="21"/>
        </w:rPr>
      </w:pPr>
    </w:p>
    <w:p w14:paraId="38DC80CC">
      <w:pPr>
        <w:adjustRightInd w:val="0"/>
        <w:snapToGrid w:val="0"/>
        <w:spacing w:line="560" w:lineRule="exact"/>
        <w:rPr>
          <w:rFonts w:ascii="仿宋_GB2312" w:eastAsia="仿宋_GB2312"/>
          <w:color w:val="auto"/>
          <w:szCs w:val="21"/>
        </w:rPr>
      </w:pPr>
    </w:p>
    <w:p w14:paraId="15E0ECE5">
      <w:pPr>
        <w:adjustRightInd w:val="0"/>
        <w:snapToGrid w:val="0"/>
        <w:spacing w:line="560" w:lineRule="exact"/>
        <w:rPr>
          <w:color w:val="auto"/>
        </w:rPr>
      </w:pPr>
    </w:p>
    <w:p w14:paraId="51DFADCB">
      <w:pPr>
        <w:adjustRightInd w:val="0"/>
        <w:snapToGrid w:val="0"/>
        <w:spacing w:line="560" w:lineRule="exact"/>
        <w:rPr>
          <w:color w:val="auto"/>
        </w:rPr>
      </w:pPr>
    </w:p>
    <w:p w14:paraId="54D3520D">
      <w:pPr>
        <w:adjustRightInd w:val="0"/>
        <w:snapToGrid w:val="0"/>
        <w:spacing w:line="560" w:lineRule="exact"/>
        <w:rPr>
          <w:color w:val="auto"/>
        </w:rPr>
      </w:pPr>
    </w:p>
    <w:p w14:paraId="0F5058B5">
      <w:pPr>
        <w:adjustRightInd w:val="0"/>
        <w:snapToGrid w:val="0"/>
        <w:spacing w:line="560" w:lineRule="exact"/>
        <w:rPr>
          <w:color w:val="auto"/>
        </w:rPr>
      </w:pPr>
    </w:p>
    <w:p w14:paraId="604E932B">
      <w:pPr>
        <w:adjustRightInd w:val="0"/>
        <w:snapToGrid w:val="0"/>
        <w:spacing w:line="560" w:lineRule="exact"/>
        <w:rPr>
          <w:color w:val="auto"/>
        </w:rPr>
      </w:pPr>
    </w:p>
    <w:p w14:paraId="30AE4BB1">
      <w:pPr>
        <w:adjustRightInd w:val="0"/>
        <w:snapToGrid w:val="0"/>
        <w:spacing w:line="560" w:lineRule="exact"/>
        <w:rPr>
          <w:color w:val="auto"/>
        </w:rPr>
      </w:pPr>
    </w:p>
    <w:p w14:paraId="6E37C286">
      <w:pPr>
        <w:pStyle w:val="22"/>
        <w:rPr>
          <w:color w:val="auto"/>
        </w:rPr>
      </w:pPr>
    </w:p>
    <w:p w14:paraId="764B6458">
      <w:pPr>
        <w:rPr>
          <w:color w:val="auto"/>
        </w:rPr>
      </w:pPr>
    </w:p>
    <w:p w14:paraId="17CA8558">
      <w:pPr>
        <w:pStyle w:val="22"/>
        <w:rPr>
          <w:color w:val="auto"/>
        </w:rPr>
      </w:pPr>
    </w:p>
    <w:p w14:paraId="16DB2122">
      <w:pPr>
        <w:adjustRightInd w:val="0"/>
        <w:snapToGrid w:val="0"/>
        <w:spacing w:line="560" w:lineRule="exact"/>
        <w:rPr>
          <w:color w:val="auto"/>
        </w:rPr>
      </w:pPr>
    </w:p>
    <w:p w14:paraId="6656A621">
      <w:pPr>
        <w:adjustRightInd w:val="0"/>
        <w:snapToGrid w:val="0"/>
        <w:spacing w:line="560" w:lineRule="exact"/>
        <w:rPr>
          <w:color w:val="auto"/>
        </w:rPr>
      </w:pPr>
    </w:p>
    <w:p w14:paraId="7F08C80E">
      <w:pPr>
        <w:adjustRightInd w:val="0"/>
        <w:snapToGrid w:val="0"/>
        <w:spacing w:line="560" w:lineRule="exact"/>
        <w:rPr>
          <w:color w:val="auto"/>
        </w:rPr>
      </w:pPr>
    </w:p>
    <w:p w14:paraId="54DCE368">
      <w:pPr>
        <w:rPr>
          <w:color w:val="auto"/>
        </w:rPr>
      </w:pPr>
    </w:p>
    <w:p w14:paraId="69B8E4F0">
      <w:pPr>
        <w:rPr>
          <w:color w:val="auto"/>
        </w:rPr>
      </w:pPr>
    </w:p>
    <w:p w14:paraId="10CA9C62">
      <w:pPr>
        <w:pStyle w:val="22"/>
        <w:rPr>
          <w:color w:val="auto"/>
        </w:rPr>
      </w:pPr>
    </w:p>
    <w:p w14:paraId="5B81BCFB">
      <w:pPr>
        <w:rPr>
          <w:color w:val="auto"/>
        </w:rPr>
      </w:pPr>
    </w:p>
    <w:p w14:paraId="090AD038">
      <w:pPr>
        <w:pStyle w:val="22"/>
        <w:rPr>
          <w:color w:val="auto"/>
        </w:rPr>
      </w:pPr>
    </w:p>
    <w:p w14:paraId="019162FE">
      <w:pPr>
        <w:rPr>
          <w:color w:val="auto"/>
        </w:rPr>
      </w:pPr>
    </w:p>
    <w:p w14:paraId="17402A4D">
      <w:pPr>
        <w:pStyle w:val="22"/>
        <w:rPr>
          <w:color w:val="auto"/>
        </w:rPr>
      </w:pPr>
    </w:p>
    <w:p w14:paraId="7F9BA530">
      <w:pPr>
        <w:adjustRightInd w:val="0"/>
        <w:snapToGrid w:val="0"/>
        <w:spacing w:line="560" w:lineRule="exact"/>
        <w:jc w:val="center"/>
        <w:rPr>
          <w:rFonts w:eastAsia="黑体"/>
          <w:color w:val="auto"/>
          <w:sz w:val="20"/>
          <w:szCs w:val="20"/>
        </w:rPr>
      </w:pPr>
      <w:r>
        <w:rPr>
          <w:rFonts w:hint="eastAsia" w:eastAsia="黑体"/>
          <w:color w:val="auto"/>
          <w:sz w:val="28"/>
          <w:szCs w:val="28"/>
          <w:u w:val="single"/>
        </w:rPr>
        <w:t xml:space="preserve">                </w:t>
      </w:r>
      <w:r>
        <w:rPr>
          <w:rFonts w:eastAsia="黑体"/>
          <w:color w:val="auto"/>
          <w:sz w:val="28"/>
          <w:szCs w:val="28"/>
        </w:rPr>
        <w:t>（项目名称）</w:t>
      </w:r>
    </w:p>
    <w:p w14:paraId="037A74B5">
      <w:pPr>
        <w:adjustRightInd w:val="0"/>
        <w:snapToGrid w:val="0"/>
        <w:spacing w:line="560" w:lineRule="exact"/>
        <w:jc w:val="center"/>
        <w:rPr>
          <w:rFonts w:eastAsia="黑体"/>
          <w:color w:val="auto"/>
          <w:sz w:val="20"/>
          <w:szCs w:val="20"/>
        </w:rPr>
      </w:pPr>
    </w:p>
    <w:p w14:paraId="4A4E91AB">
      <w:pPr>
        <w:adjustRightInd w:val="0"/>
        <w:snapToGrid w:val="0"/>
        <w:spacing w:line="560" w:lineRule="exact"/>
        <w:rPr>
          <w:rFonts w:eastAsia="黑体"/>
          <w:color w:val="auto"/>
          <w:sz w:val="20"/>
          <w:szCs w:val="20"/>
        </w:rPr>
      </w:pPr>
    </w:p>
    <w:p w14:paraId="17043049">
      <w:pPr>
        <w:adjustRightInd w:val="0"/>
        <w:snapToGrid w:val="0"/>
        <w:spacing w:line="560" w:lineRule="exact"/>
        <w:jc w:val="center"/>
        <w:rPr>
          <w:rFonts w:eastAsia="黑体"/>
          <w:color w:val="auto"/>
          <w:sz w:val="44"/>
          <w:szCs w:val="44"/>
        </w:rPr>
      </w:pPr>
      <w:r>
        <w:rPr>
          <w:rFonts w:eastAsia="黑体"/>
          <w:color w:val="auto"/>
          <w:sz w:val="44"/>
          <w:szCs w:val="44"/>
        </w:rPr>
        <w:t>投  标  文  件</w:t>
      </w:r>
      <w:r>
        <w:rPr>
          <w:rFonts w:hint="eastAsia" w:eastAsia="黑体"/>
          <w:color w:val="auto"/>
          <w:sz w:val="44"/>
          <w:szCs w:val="44"/>
        </w:rPr>
        <w:t xml:space="preserve">  三</w:t>
      </w:r>
    </w:p>
    <w:p w14:paraId="0E965316">
      <w:pPr>
        <w:adjustRightInd w:val="0"/>
        <w:snapToGrid w:val="0"/>
        <w:spacing w:line="560" w:lineRule="exact"/>
        <w:jc w:val="center"/>
        <w:rPr>
          <w:rFonts w:eastAsia="黑体"/>
          <w:color w:val="auto"/>
          <w:sz w:val="44"/>
          <w:szCs w:val="44"/>
        </w:rPr>
      </w:pPr>
      <w:r>
        <w:rPr>
          <w:rFonts w:hint="eastAsia" w:eastAsia="黑体"/>
          <w:color w:val="auto"/>
          <w:sz w:val="44"/>
          <w:szCs w:val="44"/>
        </w:rPr>
        <w:t>（商务标文件）</w:t>
      </w:r>
    </w:p>
    <w:p w14:paraId="09ABCD88">
      <w:pPr>
        <w:adjustRightInd w:val="0"/>
        <w:snapToGrid w:val="0"/>
        <w:spacing w:line="560" w:lineRule="exact"/>
        <w:rPr>
          <w:rFonts w:eastAsia="黑体"/>
          <w:color w:val="auto"/>
          <w:sz w:val="28"/>
          <w:szCs w:val="28"/>
        </w:rPr>
      </w:pPr>
    </w:p>
    <w:p w14:paraId="4C11183D">
      <w:pPr>
        <w:pStyle w:val="22"/>
        <w:adjustRightInd w:val="0"/>
        <w:snapToGrid w:val="0"/>
        <w:spacing w:line="560" w:lineRule="exact"/>
        <w:ind w:left="0" w:leftChars="0" w:firstLine="560"/>
        <w:rPr>
          <w:rFonts w:eastAsia="黑体"/>
          <w:color w:val="auto"/>
          <w:sz w:val="28"/>
          <w:szCs w:val="28"/>
        </w:rPr>
      </w:pPr>
    </w:p>
    <w:p w14:paraId="56D34875">
      <w:pPr>
        <w:adjustRightInd w:val="0"/>
        <w:snapToGrid w:val="0"/>
        <w:spacing w:line="560" w:lineRule="exact"/>
        <w:rPr>
          <w:rFonts w:eastAsia="黑体"/>
          <w:color w:val="auto"/>
          <w:sz w:val="28"/>
          <w:szCs w:val="28"/>
        </w:rPr>
      </w:pPr>
    </w:p>
    <w:p w14:paraId="13705E2B">
      <w:pPr>
        <w:pStyle w:val="22"/>
        <w:adjustRightInd w:val="0"/>
        <w:snapToGrid w:val="0"/>
        <w:spacing w:line="560" w:lineRule="exact"/>
        <w:ind w:left="0" w:leftChars="0"/>
        <w:rPr>
          <w:color w:val="auto"/>
        </w:rPr>
      </w:pPr>
    </w:p>
    <w:p w14:paraId="24643CDE">
      <w:pPr>
        <w:adjustRightInd w:val="0"/>
        <w:snapToGrid w:val="0"/>
        <w:spacing w:line="560" w:lineRule="exact"/>
        <w:rPr>
          <w:rFonts w:eastAsia="黑体"/>
          <w:color w:val="auto"/>
          <w:sz w:val="28"/>
          <w:szCs w:val="28"/>
        </w:rPr>
      </w:pPr>
    </w:p>
    <w:p w14:paraId="2BC92123">
      <w:pPr>
        <w:adjustRightInd w:val="0"/>
        <w:snapToGrid w:val="0"/>
        <w:spacing w:line="560" w:lineRule="exact"/>
        <w:rPr>
          <w:rFonts w:eastAsia="黑体"/>
          <w:color w:val="auto"/>
          <w:sz w:val="28"/>
          <w:szCs w:val="28"/>
        </w:rPr>
      </w:pPr>
    </w:p>
    <w:p w14:paraId="70230AC9">
      <w:pPr>
        <w:adjustRightInd w:val="0"/>
        <w:snapToGrid w:val="0"/>
        <w:spacing w:line="560" w:lineRule="exact"/>
        <w:rPr>
          <w:rFonts w:eastAsia="黑体"/>
          <w:color w:val="auto"/>
          <w:sz w:val="28"/>
          <w:szCs w:val="28"/>
        </w:rPr>
      </w:pPr>
    </w:p>
    <w:p w14:paraId="7ECE441B">
      <w:pPr>
        <w:adjustRightInd w:val="0"/>
        <w:snapToGrid w:val="0"/>
        <w:spacing w:line="560" w:lineRule="exact"/>
        <w:rPr>
          <w:rFonts w:eastAsia="黑体"/>
          <w:color w:val="auto"/>
          <w:sz w:val="28"/>
          <w:szCs w:val="28"/>
        </w:rPr>
      </w:pPr>
    </w:p>
    <w:p w14:paraId="58345917">
      <w:pPr>
        <w:adjustRightInd w:val="0"/>
        <w:snapToGrid w:val="0"/>
        <w:spacing w:line="560" w:lineRule="exact"/>
        <w:rPr>
          <w:rFonts w:eastAsia="黑体"/>
          <w:color w:val="auto"/>
          <w:sz w:val="28"/>
          <w:szCs w:val="28"/>
        </w:rPr>
      </w:pPr>
    </w:p>
    <w:p w14:paraId="22E3C365">
      <w:pPr>
        <w:adjustRightInd w:val="0"/>
        <w:snapToGrid w:val="0"/>
        <w:spacing w:line="560" w:lineRule="exact"/>
        <w:rPr>
          <w:rFonts w:eastAsia="黑体"/>
          <w:color w:val="auto"/>
          <w:sz w:val="28"/>
          <w:szCs w:val="28"/>
        </w:rPr>
      </w:pPr>
    </w:p>
    <w:p w14:paraId="55671F07">
      <w:pPr>
        <w:adjustRightInd w:val="0"/>
        <w:snapToGrid w:val="0"/>
        <w:spacing w:line="560" w:lineRule="exact"/>
        <w:rPr>
          <w:rFonts w:eastAsia="黑体"/>
          <w:color w:val="auto"/>
          <w:sz w:val="28"/>
          <w:szCs w:val="28"/>
        </w:rPr>
      </w:pPr>
    </w:p>
    <w:p w14:paraId="26209C76">
      <w:pPr>
        <w:adjustRightInd w:val="0"/>
        <w:snapToGrid w:val="0"/>
        <w:spacing w:line="560" w:lineRule="exact"/>
        <w:jc w:val="center"/>
        <w:rPr>
          <w:rFonts w:eastAsia="黑体"/>
          <w:color w:val="auto"/>
          <w:sz w:val="28"/>
          <w:szCs w:val="28"/>
          <w:u w:val="single"/>
        </w:rPr>
      </w:pPr>
      <w:r>
        <w:rPr>
          <w:rFonts w:eastAsia="黑体"/>
          <w:color w:val="auto"/>
          <w:sz w:val="28"/>
          <w:szCs w:val="28"/>
        </w:rPr>
        <w:t>投标人：</w:t>
      </w:r>
      <w:r>
        <w:rPr>
          <w:rFonts w:eastAsia="黑体"/>
          <w:color w:val="auto"/>
          <w:sz w:val="28"/>
          <w:szCs w:val="28"/>
          <w:u w:val="single"/>
        </w:rPr>
        <w:t xml:space="preserve">                     </w:t>
      </w:r>
      <w:r>
        <w:rPr>
          <w:rFonts w:hint="eastAsia" w:eastAsia="黑体"/>
          <w:color w:val="auto"/>
          <w:sz w:val="28"/>
          <w:szCs w:val="28"/>
          <w:u w:val="single"/>
        </w:rPr>
        <w:t xml:space="preserve">  </w:t>
      </w:r>
      <w:r>
        <w:rPr>
          <w:rFonts w:eastAsia="黑体"/>
          <w:color w:val="auto"/>
          <w:sz w:val="28"/>
          <w:szCs w:val="28"/>
          <w:u w:val="single"/>
        </w:rPr>
        <w:t xml:space="preserve">       </w:t>
      </w:r>
      <w:r>
        <w:rPr>
          <w:rFonts w:eastAsia="黑体"/>
          <w:color w:val="auto"/>
          <w:sz w:val="28"/>
          <w:szCs w:val="28"/>
        </w:rPr>
        <w:t>（签</w:t>
      </w:r>
      <w:r>
        <w:rPr>
          <w:rFonts w:hint="eastAsia" w:eastAsia="黑体"/>
          <w:color w:val="auto"/>
          <w:sz w:val="28"/>
          <w:szCs w:val="28"/>
        </w:rPr>
        <w:t>章</w:t>
      </w:r>
      <w:r>
        <w:rPr>
          <w:rFonts w:eastAsia="黑体"/>
          <w:color w:val="auto"/>
          <w:sz w:val="28"/>
          <w:szCs w:val="28"/>
        </w:rPr>
        <w:t>）</w:t>
      </w:r>
    </w:p>
    <w:p w14:paraId="0D92FD97">
      <w:pPr>
        <w:adjustRightInd w:val="0"/>
        <w:snapToGrid w:val="0"/>
        <w:spacing w:line="560" w:lineRule="exact"/>
        <w:jc w:val="center"/>
        <w:rPr>
          <w:rFonts w:eastAsia="黑体"/>
          <w:color w:val="auto"/>
          <w:sz w:val="28"/>
          <w:szCs w:val="28"/>
        </w:rPr>
      </w:pPr>
      <w:r>
        <w:rPr>
          <w:rFonts w:eastAsia="黑体"/>
          <w:color w:val="auto"/>
          <w:sz w:val="28"/>
          <w:szCs w:val="28"/>
        </w:rPr>
        <w:t>法定代表人：</w:t>
      </w:r>
      <w:r>
        <w:rPr>
          <w:rFonts w:eastAsia="黑体"/>
          <w:color w:val="auto"/>
          <w:sz w:val="28"/>
          <w:szCs w:val="28"/>
          <w:u w:val="single"/>
        </w:rPr>
        <w:t xml:space="preserve">      </w:t>
      </w:r>
      <w:r>
        <w:rPr>
          <w:rFonts w:hint="eastAsia" w:eastAsia="黑体"/>
          <w:color w:val="auto"/>
          <w:sz w:val="28"/>
          <w:szCs w:val="28"/>
          <w:u w:val="single"/>
        </w:rPr>
        <w:t xml:space="preserve">         </w:t>
      </w:r>
      <w:r>
        <w:rPr>
          <w:rFonts w:eastAsia="黑体"/>
          <w:color w:val="auto"/>
          <w:sz w:val="28"/>
          <w:szCs w:val="28"/>
          <w:u w:val="single"/>
        </w:rPr>
        <w:t xml:space="preserve">          </w:t>
      </w:r>
      <w:r>
        <w:rPr>
          <w:rFonts w:eastAsia="黑体"/>
          <w:color w:val="auto"/>
          <w:sz w:val="28"/>
          <w:szCs w:val="28"/>
        </w:rPr>
        <w:t>（签</w:t>
      </w:r>
      <w:r>
        <w:rPr>
          <w:rFonts w:hint="eastAsia" w:eastAsia="黑体"/>
          <w:color w:val="auto"/>
          <w:sz w:val="28"/>
          <w:szCs w:val="28"/>
        </w:rPr>
        <w:t>章</w:t>
      </w:r>
      <w:r>
        <w:rPr>
          <w:rFonts w:eastAsia="黑体"/>
          <w:color w:val="auto"/>
          <w:sz w:val="28"/>
          <w:szCs w:val="28"/>
        </w:rPr>
        <w:t>）</w:t>
      </w:r>
    </w:p>
    <w:p w14:paraId="2DDC9F7C">
      <w:pPr>
        <w:adjustRightInd w:val="0"/>
        <w:snapToGrid w:val="0"/>
        <w:spacing w:line="560" w:lineRule="exact"/>
        <w:jc w:val="center"/>
        <w:rPr>
          <w:color w:val="auto"/>
        </w:r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14:paraId="02429F92">
      <w:pPr>
        <w:rPr>
          <w:color w:val="auto"/>
        </w:rPr>
      </w:pPr>
      <w:bookmarkStart w:id="867" w:name="_Toc95223542"/>
      <w:r>
        <w:rPr>
          <w:rFonts w:hint="eastAsia"/>
          <w:color w:val="auto"/>
        </w:rPr>
        <w:br w:type="page"/>
      </w:r>
    </w:p>
    <w:p w14:paraId="5531C46D">
      <w:pPr>
        <w:pStyle w:val="3"/>
        <w:rPr>
          <w:color w:val="auto"/>
        </w:rPr>
      </w:pPr>
      <w:r>
        <w:rPr>
          <w:rFonts w:hint="eastAsia"/>
          <w:color w:val="auto"/>
        </w:rPr>
        <w:t>投标文件三：商务标目录</w:t>
      </w:r>
      <w:bookmarkEnd w:id="867"/>
    </w:p>
    <w:p w14:paraId="59D2F68D">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（1）投标函；</w:t>
      </w:r>
    </w:p>
    <w:p w14:paraId="093DE35E">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（2）招标人参考的材料品牌响应表；</w:t>
      </w:r>
    </w:p>
    <w:p w14:paraId="16ACD85E">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）技术参数响应承诺书；</w:t>
      </w:r>
    </w:p>
    <w:p w14:paraId="7D8E2EA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）全国建筑市场监管公共服务平</w:t>
      </w:r>
      <w:r>
        <w:rPr>
          <w:rFonts w:hint="eastAsia" w:ascii="宋体" w:hAnsi="宋体" w:cs="宋体"/>
          <w:color w:val="auto"/>
          <w:szCs w:val="21"/>
        </w:rPr>
        <w:t>台(四库一平台)企业注册人员网页截图；</w:t>
      </w:r>
    </w:p>
    <w:p w14:paraId="26D7D06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）商务标评审所需其他材料。</w:t>
      </w:r>
    </w:p>
    <w:p w14:paraId="4FF86D80">
      <w:pPr>
        <w:adjustRightInd w:val="0"/>
        <w:snapToGrid w:val="0"/>
        <w:spacing w:line="560" w:lineRule="exact"/>
        <w:rPr>
          <w:color w:val="auto"/>
        </w:rPr>
      </w:pPr>
    </w:p>
    <w:p w14:paraId="7A02874A">
      <w:pPr>
        <w:adjustRightInd w:val="0"/>
        <w:snapToGrid w:val="0"/>
        <w:spacing w:line="560" w:lineRule="exact"/>
        <w:rPr>
          <w:rFonts w:eastAsia="黑体"/>
          <w:color w:val="auto"/>
          <w:sz w:val="20"/>
          <w:szCs w:val="20"/>
        </w:rPr>
      </w:pPr>
    </w:p>
    <w:p w14:paraId="2B9B0A64">
      <w:pPr>
        <w:adjustRightInd w:val="0"/>
        <w:snapToGrid w:val="0"/>
        <w:spacing w:line="560" w:lineRule="exact"/>
        <w:rPr>
          <w:rFonts w:eastAsia="黑体"/>
          <w:color w:val="auto"/>
          <w:sz w:val="20"/>
          <w:szCs w:val="20"/>
        </w:rPr>
      </w:pPr>
    </w:p>
    <w:p w14:paraId="298CE982">
      <w:pPr>
        <w:adjustRightInd w:val="0"/>
        <w:snapToGrid w:val="0"/>
        <w:spacing w:line="560" w:lineRule="exact"/>
        <w:ind w:right="420"/>
        <w:rPr>
          <w:color w:val="auto"/>
          <w:szCs w:val="21"/>
          <w:u w:val="single"/>
        </w:rPr>
      </w:pPr>
    </w:p>
    <w:p w14:paraId="61E0B265">
      <w:pPr>
        <w:pStyle w:val="22"/>
        <w:rPr>
          <w:color w:val="auto"/>
        </w:rPr>
      </w:pPr>
    </w:p>
    <w:p w14:paraId="445229AF">
      <w:pPr>
        <w:rPr>
          <w:color w:val="auto"/>
        </w:rPr>
      </w:pPr>
    </w:p>
    <w:p w14:paraId="361FCE5E">
      <w:pPr>
        <w:pStyle w:val="22"/>
        <w:rPr>
          <w:color w:val="auto"/>
        </w:rPr>
      </w:pPr>
    </w:p>
    <w:p w14:paraId="679DA875">
      <w:pPr>
        <w:rPr>
          <w:color w:val="auto"/>
        </w:rPr>
      </w:pPr>
    </w:p>
    <w:p w14:paraId="13A6B7B5">
      <w:pPr>
        <w:pStyle w:val="22"/>
        <w:rPr>
          <w:color w:val="auto"/>
        </w:rPr>
      </w:pPr>
    </w:p>
    <w:p w14:paraId="3731AB25">
      <w:pPr>
        <w:rPr>
          <w:color w:val="auto"/>
        </w:rPr>
      </w:pPr>
    </w:p>
    <w:p w14:paraId="6813DA80">
      <w:pPr>
        <w:pStyle w:val="22"/>
        <w:rPr>
          <w:color w:val="auto"/>
        </w:rPr>
      </w:pPr>
    </w:p>
    <w:p w14:paraId="1B408823">
      <w:pPr>
        <w:rPr>
          <w:color w:val="auto"/>
        </w:rPr>
      </w:pPr>
    </w:p>
    <w:p w14:paraId="42DBDC06">
      <w:pPr>
        <w:pStyle w:val="22"/>
        <w:rPr>
          <w:color w:val="auto"/>
        </w:rPr>
      </w:pPr>
    </w:p>
    <w:p w14:paraId="62DCAD34">
      <w:pPr>
        <w:rPr>
          <w:color w:val="auto"/>
        </w:rPr>
      </w:pPr>
    </w:p>
    <w:p w14:paraId="66CC1F00">
      <w:pPr>
        <w:pStyle w:val="22"/>
        <w:rPr>
          <w:color w:val="auto"/>
        </w:rPr>
      </w:pPr>
    </w:p>
    <w:p w14:paraId="795B8171">
      <w:pPr>
        <w:rPr>
          <w:color w:val="auto"/>
        </w:rPr>
      </w:pPr>
    </w:p>
    <w:p w14:paraId="4B6D287E">
      <w:pPr>
        <w:pStyle w:val="22"/>
        <w:rPr>
          <w:color w:val="auto"/>
        </w:rPr>
      </w:pPr>
    </w:p>
    <w:p w14:paraId="1668BC3E">
      <w:pPr>
        <w:rPr>
          <w:color w:val="auto"/>
        </w:rPr>
      </w:pPr>
    </w:p>
    <w:p w14:paraId="0D0E55BE">
      <w:pPr>
        <w:pStyle w:val="22"/>
        <w:rPr>
          <w:color w:val="auto"/>
        </w:rPr>
      </w:pPr>
    </w:p>
    <w:p w14:paraId="71C5F8B5">
      <w:pPr>
        <w:rPr>
          <w:color w:val="auto"/>
        </w:rPr>
      </w:pPr>
    </w:p>
    <w:p w14:paraId="5305FD2E">
      <w:pPr>
        <w:rPr>
          <w:color w:val="auto"/>
        </w:rPr>
      </w:pPr>
      <w:r>
        <w:rPr>
          <w:color w:val="auto"/>
        </w:rPr>
        <w:br w:type="page"/>
      </w:r>
    </w:p>
    <w:p w14:paraId="7BF568A5">
      <w:pPr>
        <w:pStyle w:val="4"/>
        <w:adjustRightInd w:val="0"/>
        <w:snapToGrid w:val="0"/>
        <w:spacing w:line="560" w:lineRule="exact"/>
        <w:jc w:val="center"/>
        <w:rPr>
          <w:color w:val="auto"/>
        </w:rPr>
      </w:pPr>
      <w:bookmarkStart w:id="868" w:name="_Toc95223543"/>
      <w:r>
        <w:rPr>
          <w:rFonts w:hint="eastAsia"/>
          <w:color w:val="auto"/>
        </w:rPr>
        <w:t>（1）投</w:t>
      </w:r>
      <w:r>
        <w:rPr>
          <w:color w:val="auto"/>
        </w:rPr>
        <w:t xml:space="preserve"> </w:t>
      </w:r>
      <w:r>
        <w:rPr>
          <w:rFonts w:hint="eastAsia"/>
          <w:color w:val="auto"/>
        </w:rPr>
        <w:t>标 函</w:t>
      </w:r>
      <w:bookmarkEnd w:id="868"/>
    </w:p>
    <w:p w14:paraId="3EE5B0C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olor w:val="auto"/>
          <w:sz w:val="24"/>
          <w:u w:val="single"/>
        </w:rPr>
      </w:pPr>
      <w:r>
        <w:rPr>
          <w:rFonts w:hint="eastAsia" w:ascii="宋体" w:hAnsi="宋体"/>
          <w:color w:val="auto"/>
          <w:sz w:val="24"/>
        </w:rPr>
        <w:t>致：</w:t>
      </w:r>
      <w:r>
        <w:rPr>
          <w:rFonts w:ascii="宋体" w:hAnsi="宋体"/>
          <w:color w:val="auto"/>
          <w:sz w:val="24"/>
          <w:u w:val="single"/>
        </w:rPr>
        <w:t xml:space="preserve">        </w:t>
      </w:r>
      <w:r>
        <w:rPr>
          <w:rFonts w:hint="eastAsia" w:ascii="宋体" w:hAnsi="宋体"/>
          <w:color w:val="auto"/>
          <w:sz w:val="24"/>
          <w:u w:val="single"/>
        </w:rPr>
        <w:t>（招标人）</w:t>
      </w:r>
      <w:r>
        <w:rPr>
          <w:rFonts w:ascii="宋体" w:hAnsi="宋体"/>
          <w:color w:val="auto"/>
          <w:sz w:val="24"/>
          <w:u w:val="single"/>
        </w:rPr>
        <w:t xml:space="preserve">      </w:t>
      </w:r>
    </w:p>
    <w:p w14:paraId="20DEC9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rPr>
      </w:pPr>
      <w:r>
        <w:rPr>
          <w:rFonts w:hint="eastAsia" w:ascii="宋体" w:hAnsi="宋体"/>
          <w:color w:val="auto"/>
          <w:sz w:val="24"/>
        </w:rPr>
        <w:t>1、根据你方招</w:t>
      </w:r>
      <w:bookmarkStart w:id="869" w:name="_Toc60061591"/>
      <w:r>
        <w:rPr>
          <w:rFonts w:hint="eastAsia" w:ascii="宋体" w:hAnsi="宋体"/>
          <w:color w:val="auto"/>
          <w:sz w:val="24"/>
        </w:rPr>
        <w:t>标项目编号为</w:t>
      </w:r>
      <w:r>
        <w:rPr>
          <w:rFonts w:ascii="宋体" w:hAnsi="宋体"/>
          <w:color w:val="auto"/>
          <w:sz w:val="24"/>
          <w:u w:val="single"/>
        </w:rPr>
        <w:t xml:space="preserve">  </w:t>
      </w:r>
      <w:bookmarkEnd w:id="869"/>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的</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招标文件，遵照《中华人民共和国招标投标法》等有关规定，经踏勘项目现场和研究上述招标文件的投标须知、合同条件、技术规范、图纸、工程量清单和其他有关文件后，我方愿以</w:t>
      </w:r>
      <w:r>
        <w:rPr>
          <w:rFonts w:ascii="宋体" w:hAnsi="宋体"/>
          <w:color w:val="auto"/>
          <w:sz w:val="24"/>
        </w:rPr>
        <w:t xml:space="preserve"> </w:t>
      </w:r>
      <w:r>
        <w:rPr>
          <w:rFonts w:hint="eastAsia" w:ascii="宋体" w:hAnsi="宋体"/>
          <w:color w:val="auto"/>
          <w:sz w:val="24"/>
        </w:rPr>
        <w:t>（币种，金额、单位）</w:t>
      </w:r>
      <w:r>
        <w:rPr>
          <w:rFonts w:hint="eastAsia" w:ascii="宋体" w:hAnsi="宋体"/>
          <w:color w:val="auto"/>
          <w:sz w:val="24"/>
          <w:u w:val="single"/>
        </w:rPr>
        <w:t xml:space="preserve">下浮率         % </w:t>
      </w:r>
      <w:r>
        <w:rPr>
          <w:rFonts w:hint="eastAsia" w:ascii="宋体" w:hAnsi="宋体"/>
          <w:color w:val="auto"/>
          <w:sz w:val="24"/>
        </w:rPr>
        <w:t>的投标总报价承包上述工程的设计、采购、施工、竣工，并承担任何质量缺陷保修责任。</w:t>
      </w:r>
    </w:p>
    <w:p w14:paraId="30B8BAFC">
      <w:pPr>
        <w:keepNext w:val="0"/>
        <w:keepLines w:val="0"/>
        <w:pageBreakBefore w:val="0"/>
        <w:widowControl w:val="0"/>
        <w:tabs>
          <w:tab w:val="left" w:pos="840"/>
        </w:tabs>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rPr>
      </w:pPr>
      <w:r>
        <w:rPr>
          <w:rFonts w:hint="eastAsia" w:ascii="宋体" w:hAnsi="宋体"/>
          <w:color w:val="auto"/>
          <w:sz w:val="24"/>
        </w:rPr>
        <w:t>2、我方已详细审核全部招标文件及有关附件，承诺招标文件及有关附件中所有条款。</w:t>
      </w:r>
    </w:p>
    <w:p w14:paraId="399EBC6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rPr>
      </w:pPr>
      <w:r>
        <w:rPr>
          <w:rFonts w:hint="eastAsia" w:ascii="宋体" w:hAnsi="宋体"/>
          <w:color w:val="auto"/>
          <w:sz w:val="24"/>
        </w:rPr>
        <w:t>3、一旦我方中标，我方将派出</w:t>
      </w:r>
      <w:r>
        <w:rPr>
          <w:rFonts w:hint="eastAsia" w:ascii="宋体" w:hAnsi="宋体"/>
          <w:color w:val="auto"/>
          <w:sz w:val="24"/>
          <w:u w:val="single"/>
        </w:rPr>
        <w:t xml:space="preserve">          </w:t>
      </w:r>
      <w:r>
        <w:rPr>
          <w:rFonts w:hint="eastAsia" w:ascii="宋体" w:hAnsi="宋体"/>
          <w:color w:val="auto"/>
          <w:sz w:val="24"/>
        </w:rPr>
        <w:t>建造师为本工程项目经理，</w:t>
      </w:r>
      <w:r>
        <w:rPr>
          <w:rFonts w:hint="eastAsia" w:ascii="宋体" w:hAnsi="宋体"/>
          <w:color w:val="auto"/>
          <w:sz w:val="24"/>
          <w:u w:val="single"/>
        </w:rPr>
        <w:t xml:space="preserve">          </w:t>
      </w:r>
      <w:r>
        <w:rPr>
          <w:rFonts w:hint="eastAsia" w:ascii="宋体" w:hAnsi="宋体"/>
          <w:color w:val="auto"/>
          <w:sz w:val="24"/>
        </w:rPr>
        <w:t>为本工程设计项目负责人。保证按照招标人要求开始本工程的设计、采购及施工，并在自合同签订之日起</w:t>
      </w:r>
      <w:r>
        <w:rPr>
          <w:rFonts w:ascii="宋体" w:hAnsi="宋体"/>
          <w:color w:val="auto"/>
          <w:sz w:val="24"/>
          <w:u w:val="single"/>
        </w:rPr>
        <w:t xml:space="preserve">    </w:t>
      </w:r>
      <w:r>
        <w:rPr>
          <w:rFonts w:hint="eastAsia" w:ascii="宋体" w:hAnsi="宋体"/>
          <w:color w:val="auto"/>
          <w:sz w:val="24"/>
        </w:rPr>
        <w:t>个日历天完成初步设计的优化，</w:t>
      </w:r>
      <w:r>
        <w:rPr>
          <w:rFonts w:ascii="宋体" w:hAnsi="宋体"/>
          <w:color w:val="auto"/>
          <w:sz w:val="24"/>
          <w:u w:val="single"/>
        </w:rPr>
        <w:t xml:space="preserve">   </w:t>
      </w:r>
      <w:r>
        <w:rPr>
          <w:rFonts w:hint="eastAsia" w:ascii="宋体" w:hAnsi="宋体"/>
          <w:color w:val="auto"/>
          <w:sz w:val="24"/>
        </w:rPr>
        <w:t>个日历天完成施工图设计并通过相关部门的审核；自开工之日起</w:t>
      </w:r>
      <w:r>
        <w:rPr>
          <w:rFonts w:ascii="宋体" w:hAnsi="宋体"/>
          <w:color w:val="auto"/>
          <w:sz w:val="24"/>
          <w:u w:val="single"/>
        </w:rPr>
        <w:t xml:space="preserve">    </w:t>
      </w:r>
      <w:r>
        <w:rPr>
          <w:rFonts w:hint="eastAsia" w:ascii="宋体" w:hAnsi="宋体"/>
          <w:color w:val="auto"/>
          <w:sz w:val="24"/>
        </w:rPr>
        <w:t>日历天完成施工并通过验收，并移交整个工程，工程质量达到</w:t>
      </w:r>
      <w:r>
        <w:rPr>
          <w:rFonts w:ascii="宋体" w:hAnsi="宋体"/>
          <w:color w:val="auto"/>
          <w:sz w:val="24"/>
          <w:u w:val="single"/>
        </w:rPr>
        <w:t xml:space="preserve">          </w:t>
      </w:r>
      <w:r>
        <w:rPr>
          <w:rFonts w:hint="eastAsia" w:ascii="宋体" w:hAnsi="宋体"/>
          <w:color w:val="auto"/>
          <w:sz w:val="24"/>
        </w:rPr>
        <w:t xml:space="preserve"> 标准。</w:t>
      </w:r>
    </w:p>
    <w:p w14:paraId="1F1D74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rPr>
      </w:pPr>
      <w:r>
        <w:rPr>
          <w:rFonts w:hint="eastAsia" w:ascii="宋体" w:hAnsi="宋体"/>
          <w:color w:val="auto"/>
          <w:sz w:val="24"/>
        </w:rPr>
        <w:t>4、随本投标书，我方同时按照招标文件的要求提交投标保证金。如果我方在投标截止后撤销投标文件，或在中标后无正当理由不与招标人订立合同，在签订合同时向招标人提出附加条件，或者不按照招标文件要求提交履约保证金，贵单位有权不予退还投标保证金。</w:t>
      </w:r>
    </w:p>
    <w:p w14:paraId="7B286D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rPr>
      </w:pPr>
      <w:r>
        <w:rPr>
          <w:rFonts w:hint="eastAsia" w:ascii="宋体" w:hAnsi="宋体"/>
          <w:color w:val="auto"/>
          <w:sz w:val="24"/>
        </w:rPr>
        <w:t>5、如果我方中标我方将按照招标文件的规定提交履约担保。工程验收合格后，方可退还。</w:t>
      </w:r>
    </w:p>
    <w:p w14:paraId="3A866FA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olor w:val="auto"/>
          <w:sz w:val="24"/>
        </w:rPr>
      </w:pPr>
      <w:r>
        <w:rPr>
          <w:rFonts w:hint="eastAsia" w:ascii="宋体" w:hAnsi="宋体"/>
          <w:color w:val="auto"/>
          <w:sz w:val="24"/>
        </w:rPr>
        <w:t>6、我方承诺在招标文件规定的投标有效期内不撤销投标文件。</w:t>
      </w:r>
    </w:p>
    <w:p w14:paraId="44F92EA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olor w:val="auto"/>
          <w:sz w:val="24"/>
        </w:rPr>
      </w:pPr>
      <w:r>
        <w:rPr>
          <w:rFonts w:hint="eastAsia" w:ascii="宋体" w:hAnsi="宋体"/>
          <w:color w:val="auto"/>
          <w:sz w:val="24"/>
        </w:rPr>
        <w:t>7、我单位提供如下通讯地址：</w:t>
      </w:r>
      <w:r>
        <w:rPr>
          <w:rFonts w:hint="eastAsia" w:ascii="宋体" w:hAnsi="宋体"/>
          <w:color w:val="auto"/>
          <w:sz w:val="24"/>
          <w:u w:val="single"/>
        </w:rPr>
        <w:t xml:space="preserve">                </w:t>
      </w:r>
      <w:r>
        <w:rPr>
          <w:rFonts w:hint="eastAsia" w:ascii="宋体" w:hAnsi="宋体"/>
          <w:color w:val="auto"/>
          <w:sz w:val="24"/>
        </w:rPr>
        <w:t>电子邮箱（地址），确认本项目相关法律文书均通过提供的以上地址送达，相关文书只要发送至以上电子邮箱（地址）即视为送达，投标人愿意承担一切法律后果。</w:t>
      </w:r>
    </w:p>
    <w:p w14:paraId="291D4C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olor w:val="auto"/>
          <w:sz w:val="24"/>
        </w:rPr>
      </w:pPr>
      <w:r>
        <w:rPr>
          <w:rFonts w:hint="eastAsia" w:ascii="宋体" w:hAnsi="宋体"/>
          <w:color w:val="auto"/>
          <w:sz w:val="24"/>
        </w:rPr>
        <w:t>8.</w:t>
      </w:r>
      <w:r>
        <w:rPr>
          <w:rFonts w:hint="eastAsia" w:ascii="宋体" w:hAnsi="宋体"/>
          <w:color w:val="auto"/>
          <w:sz w:val="24"/>
          <w:u w:val="single"/>
        </w:rPr>
        <w:t xml:space="preserve">                           </w:t>
      </w:r>
      <w:r>
        <w:rPr>
          <w:rFonts w:hint="eastAsia" w:ascii="宋体" w:hAnsi="宋体"/>
          <w:color w:val="auto"/>
          <w:sz w:val="24"/>
        </w:rPr>
        <w:t>（其他补充说明）。</w:t>
      </w:r>
    </w:p>
    <w:p w14:paraId="0907F10C">
      <w:pPr>
        <w:adjustRightInd w:val="0"/>
        <w:snapToGrid w:val="0"/>
        <w:spacing w:line="520" w:lineRule="exact"/>
        <w:ind w:firstLine="480" w:firstLineChars="200"/>
        <w:rPr>
          <w:rFonts w:ascii="宋体" w:hAnsi="宋体"/>
          <w:color w:val="auto"/>
          <w:sz w:val="24"/>
        </w:rPr>
      </w:pPr>
    </w:p>
    <w:p w14:paraId="2AB048E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u w:val="single"/>
        </w:rPr>
      </w:pPr>
      <w:r>
        <w:rPr>
          <w:rFonts w:hint="eastAsia" w:ascii="宋体" w:hAnsi="宋体"/>
          <w:color w:val="auto"/>
          <w:sz w:val="24"/>
        </w:rPr>
        <w:t>投标人：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（签章）</w:t>
      </w:r>
      <w:r>
        <w:rPr>
          <w:rFonts w:ascii="宋体" w:hAnsi="宋体"/>
          <w:color w:val="auto"/>
          <w:sz w:val="24"/>
          <w:u w:val="single"/>
        </w:rPr>
        <w:t xml:space="preserve">   </w:t>
      </w:r>
    </w:p>
    <w:p w14:paraId="5A5EC0A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rPr>
      </w:pPr>
      <w:r>
        <w:rPr>
          <w:rFonts w:hint="eastAsia" w:ascii="宋体" w:hAnsi="宋体"/>
          <w:color w:val="auto"/>
          <w:sz w:val="24"/>
        </w:rPr>
        <w:t>法定代表人：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（签章）联系人：                 </w:t>
      </w:r>
    </w:p>
    <w:p w14:paraId="797BA3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rPr>
      </w:pPr>
      <w:r>
        <w:rPr>
          <w:rFonts w:hint="eastAsia" w:ascii="宋体" w:hAnsi="宋体"/>
          <w:color w:val="auto"/>
          <w:sz w:val="24"/>
        </w:rPr>
        <w:t>单位地址：</w:t>
      </w:r>
      <w:r>
        <w:rPr>
          <w:rFonts w:hint="eastAsia" w:ascii="宋体" w:hAnsi="宋体"/>
          <w:color w:val="auto"/>
          <w:sz w:val="24"/>
          <w:u w:val="single"/>
        </w:rPr>
        <w:t xml:space="preserve">                                       </w:t>
      </w:r>
    </w:p>
    <w:p w14:paraId="0565632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u w:val="single"/>
        </w:rPr>
      </w:pPr>
      <w:r>
        <w:rPr>
          <w:rFonts w:hint="eastAsia" w:ascii="宋体" w:hAnsi="宋体"/>
          <w:color w:val="auto"/>
          <w:sz w:val="24"/>
        </w:rPr>
        <w:t>邮政编码：</w:t>
      </w:r>
      <w:r>
        <w:rPr>
          <w:rFonts w:ascii="宋体" w:hAnsi="宋体"/>
          <w:color w:val="auto"/>
          <w:sz w:val="24"/>
          <w:u w:val="single"/>
        </w:rPr>
        <w:t xml:space="preserve">            </w:t>
      </w:r>
      <w:r>
        <w:rPr>
          <w:rFonts w:hint="eastAsia" w:ascii="宋体" w:hAnsi="宋体"/>
          <w:color w:val="auto"/>
          <w:sz w:val="24"/>
        </w:rPr>
        <w:t>联系人手机号码：</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传真：</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14:paraId="5802C6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color w:val="auto"/>
          <w:szCs w:val="21"/>
          <w:u w:val="single"/>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日</w:t>
      </w:r>
    </w:p>
    <w:p w14:paraId="39013803">
      <w:pPr>
        <w:adjustRightInd w:val="0"/>
        <w:snapToGrid w:val="0"/>
        <w:jc w:val="center"/>
        <w:rPr>
          <w:rFonts w:hint="eastAsia"/>
          <w:color w:val="auto"/>
        </w:rPr>
      </w:pPr>
      <w:bookmarkStart w:id="870" w:name="_Toc95223545"/>
      <w:r>
        <w:rPr>
          <w:rFonts w:hint="eastAsia"/>
          <w:color w:val="auto"/>
        </w:rPr>
        <w:br w:type="page"/>
      </w:r>
    </w:p>
    <w:p w14:paraId="315C0D0C">
      <w:pPr>
        <w:pStyle w:val="4"/>
        <w:adjustRightInd w:val="0"/>
        <w:snapToGrid w:val="0"/>
        <w:spacing w:line="560" w:lineRule="exact"/>
        <w:jc w:val="center"/>
        <w:rPr>
          <w:color w:val="auto"/>
        </w:rPr>
      </w:pPr>
      <w:r>
        <w:rPr>
          <w:rFonts w:hint="eastAsia"/>
          <w:color w:val="auto"/>
        </w:rPr>
        <w:t>（2）</w:t>
      </w:r>
      <w:r>
        <w:rPr>
          <w:color w:val="auto"/>
        </w:rPr>
        <w:t>招标人</w:t>
      </w:r>
      <w:r>
        <w:rPr>
          <w:rFonts w:hint="eastAsia"/>
          <w:color w:val="auto"/>
        </w:rPr>
        <w:t>参考</w:t>
      </w:r>
      <w:r>
        <w:rPr>
          <w:color w:val="auto"/>
        </w:rPr>
        <w:t>的材料品牌响应表</w:t>
      </w:r>
      <w:bookmarkEnd w:id="870"/>
    </w:p>
    <w:p w14:paraId="1D814BDF">
      <w:pPr>
        <w:pStyle w:val="11"/>
        <w:tabs>
          <w:tab w:val="left" w:pos="6462"/>
          <w:tab w:val="left" w:pos="6988"/>
          <w:tab w:val="left" w:pos="7722"/>
        </w:tabs>
        <w:adjustRightInd w:val="0"/>
        <w:snapToGrid w:val="0"/>
        <w:spacing w:line="560" w:lineRule="exact"/>
        <w:jc w:val="center"/>
        <w:rPr>
          <w:color w:val="auto"/>
        </w:rPr>
      </w:pPr>
      <w:r>
        <w:rPr>
          <w:color w:val="auto"/>
        </w:rPr>
        <w:t>工程</w:t>
      </w:r>
      <w:r>
        <w:rPr>
          <w:color w:val="auto"/>
          <w:spacing w:val="-3"/>
        </w:rPr>
        <w:t>名</w:t>
      </w:r>
      <w:r>
        <w:rPr>
          <w:color w:val="auto"/>
        </w:rPr>
        <w:t>称：</w:t>
      </w:r>
      <w:r>
        <w:rPr>
          <w:rFonts w:hint="eastAsia"/>
          <w:color w:val="auto"/>
        </w:rPr>
        <w:t xml:space="preserve"> </w:t>
      </w:r>
      <w:r>
        <w:rPr>
          <w:color w:val="auto"/>
        </w:rPr>
        <w:tab/>
      </w:r>
      <w:r>
        <w:rPr>
          <w:color w:val="auto"/>
        </w:rPr>
        <w:t>第</w:t>
      </w:r>
      <w:r>
        <w:rPr>
          <w:color w:val="auto"/>
        </w:rPr>
        <w:tab/>
      </w:r>
      <w:r>
        <w:rPr>
          <w:color w:val="auto"/>
          <w:spacing w:val="-3"/>
        </w:rPr>
        <w:t>页</w:t>
      </w:r>
      <w:r>
        <w:rPr>
          <w:color w:val="auto"/>
        </w:rPr>
        <w:t>共</w:t>
      </w:r>
      <w:r>
        <w:rPr>
          <w:color w:val="auto"/>
        </w:rPr>
        <w:tab/>
      </w:r>
      <w:r>
        <w:rPr>
          <w:color w:val="auto"/>
        </w:rPr>
        <w:t>页</w:t>
      </w:r>
    </w:p>
    <w:p w14:paraId="2C6E0B6F">
      <w:pPr>
        <w:pStyle w:val="11"/>
        <w:adjustRightInd w:val="0"/>
        <w:snapToGrid w:val="0"/>
        <w:spacing w:line="560" w:lineRule="exact"/>
        <w:rPr>
          <w:b/>
          <w:color w:val="auto"/>
          <w:sz w:val="5"/>
        </w:rPr>
      </w:pPr>
    </w:p>
    <w:tbl>
      <w:tblPr>
        <w:tblStyle w:val="23"/>
        <w:tblW w:w="0" w:type="auto"/>
        <w:tblInd w:w="9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685"/>
        <w:gridCol w:w="794"/>
        <w:gridCol w:w="794"/>
        <w:gridCol w:w="794"/>
        <w:gridCol w:w="791"/>
        <w:gridCol w:w="635"/>
        <w:gridCol w:w="1687"/>
      </w:tblGrid>
      <w:tr w14:paraId="06742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36" w:type="dxa"/>
          </w:tcPr>
          <w:p w14:paraId="06D6EE2E">
            <w:pPr>
              <w:pStyle w:val="55"/>
              <w:adjustRightInd w:val="0"/>
              <w:snapToGrid w:val="0"/>
              <w:spacing w:line="560" w:lineRule="exact"/>
              <w:jc w:val="center"/>
              <w:rPr>
                <w:rFonts w:ascii="黑体" w:eastAsia="黑体"/>
                <w:color w:val="auto"/>
              </w:rPr>
            </w:pPr>
            <w:r>
              <w:rPr>
                <w:rFonts w:hint="eastAsia" w:ascii="黑体" w:eastAsia="黑体"/>
                <w:color w:val="auto"/>
              </w:rPr>
              <w:t>序号</w:t>
            </w:r>
          </w:p>
        </w:tc>
        <w:tc>
          <w:tcPr>
            <w:tcW w:w="1685" w:type="dxa"/>
          </w:tcPr>
          <w:p w14:paraId="602800AD">
            <w:pPr>
              <w:pStyle w:val="55"/>
              <w:adjustRightInd w:val="0"/>
              <w:snapToGrid w:val="0"/>
              <w:spacing w:line="560" w:lineRule="exact"/>
              <w:rPr>
                <w:rFonts w:ascii="黑体" w:eastAsia="黑体"/>
                <w:color w:val="auto"/>
              </w:rPr>
            </w:pPr>
            <w:r>
              <w:rPr>
                <w:rFonts w:hint="eastAsia" w:ascii="黑体" w:eastAsia="黑体"/>
                <w:color w:val="auto"/>
              </w:rPr>
              <w:t>材料、设备名称</w:t>
            </w:r>
          </w:p>
        </w:tc>
        <w:tc>
          <w:tcPr>
            <w:tcW w:w="794" w:type="dxa"/>
          </w:tcPr>
          <w:p w14:paraId="04B78A4F">
            <w:pPr>
              <w:pStyle w:val="55"/>
              <w:adjustRightInd w:val="0"/>
              <w:snapToGrid w:val="0"/>
              <w:spacing w:line="560" w:lineRule="exact"/>
              <w:rPr>
                <w:rFonts w:ascii="黑体" w:eastAsia="黑体"/>
                <w:color w:val="auto"/>
              </w:rPr>
            </w:pPr>
            <w:r>
              <w:rPr>
                <w:rFonts w:hint="eastAsia" w:ascii="黑体" w:eastAsia="黑体"/>
                <w:color w:val="auto"/>
              </w:rPr>
              <w:t>品牌 1</w:t>
            </w:r>
          </w:p>
        </w:tc>
        <w:tc>
          <w:tcPr>
            <w:tcW w:w="794" w:type="dxa"/>
          </w:tcPr>
          <w:p w14:paraId="14494950">
            <w:pPr>
              <w:pStyle w:val="55"/>
              <w:adjustRightInd w:val="0"/>
              <w:snapToGrid w:val="0"/>
              <w:spacing w:line="560" w:lineRule="exact"/>
              <w:rPr>
                <w:rFonts w:ascii="黑体" w:eastAsia="黑体"/>
                <w:color w:val="auto"/>
              </w:rPr>
            </w:pPr>
            <w:r>
              <w:rPr>
                <w:rFonts w:hint="eastAsia" w:ascii="黑体" w:eastAsia="黑体"/>
                <w:color w:val="auto"/>
              </w:rPr>
              <w:t>品牌 2</w:t>
            </w:r>
          </w:p>
        </w:tc>
        <w:tc>
          <w:tcPr>
            <w:tcW w:w="794" w:type="dxa"/>
          </w:tcPr>
          <w:p w14:paraId="30366354">
            <w:pPr>
              <w:pStyle w:val="55"/>
              <w:adjustRightInd w:val="0"/>
              <w:snapToGrid w:val="0"/>
              <w:spacing w:line="560" w:lineRule="exact"/>
              <w:rPr>
                <w:rFonts w:ascii="黑体" w:eastAsia="黑体"/>
                <w:color w:val="auto"/>
              </w:rPr>
            </w:pPr>
            <w:r>
              <w:rPr>
                <w:rFonts w:hint="eastAsia" w:ascii="黑体" w:eastAsia="黑体"/>
                <w:color w:val="auto"/>
              </w:rPr>
              <w:t>品牌 3</w:t>
            </w:r>
          </w:p>
        </w:tc>
        <w:tc>
          <w:tcPr>
            <w:tcW w:w="791" w:type="dxa"/>
          </w:tcPr>
          <w:p w14:paraId="7D4BA7EF">
            <w:pPr>
              <w:pStyle w:val="55"/>
              <w:adjustRightInd w:val="0"/>
              <w:snapToGrid w:val="0"/>
              <w:spacing w:line="560" w:lineRule="exact"/>
              <w:rPr>
                <w:rFonts w:ascii="黑体" w:eastAsia="黑体"/>
                <w:color w:val="auto"/>
              </w:rPr>
            </w:pPr>
            <w:r>
              <w:rPr>
                <w:rFonts w:hint="eastAsia" w:ascii="黑体" w:eastAsia="黑体"/>
                <w:color w:val="auto"/>
              </w:rPr>
              <w:t>品牌 4</w:t>
            </w:r>
          </w:p>
        </w:tc>
        <w:tc>
          <w:tcPr>
            <w:tcW w:w="635" w:type="dxa"/>
          </w:tcPr>
          <w:p w14:paraId="04E8F1EE">
            <w:pPr>
              <w:pStyle w:val="55"/>
              <w:adjustRightInd w:val="0"/>
              <w:snapToGrid w:val="0"/>
              <w:spacing w:line="560" w:lineRule="exact"/>
              <w:rPr>
                <w:rFonts w:ascii="黑体" w:eastAsia="黑体"/>
                <w:color w:val="auto"/>
              </w:rPr>
            </w:pPr>
            <w:r>
              <w:rPr>
                <w:rFonts w:hint="eastAsia" w:ascii="黑体" w:eastAsia="黑体"/>
                <w:color w:val="auto"/>
              </w:rPr>
              <w:t>备注</w:t>
            </w:r>
          </w:p>
        </w:tc>
        <w:tc>
          <w:tcPr>
            <w:tcW w:w="1687" w:type="dxa"/>
          </w:tcPr>
          <w:p w14:paraId="5FA409D7">
            <w:pPr>
              <w:pStyle w:val="55"/>
              <w:adjustRightInd w:val="0"/>
              <w:snapToGrid w:val="0"/>
              <w:spacing w:line="560" w:lineRule="exact"/>
              <w:rPr>
                <w:rFonts w:ascii="黑体" w:eastAsia="黑体"/>
                <w:color w:val="auto"/>
              </w:rPr>
            </w:pPr>
            <w:r>
              <w:rPr>
                <w:rFonts w:hint="eastAsia" w:ascii="黑体" w:eastAsia="黑体"/>
                <w:color w:val="auto"/>
              </w:rPr>
              <w:t>投标人选定品牌</w:t>
            </w:r>
          </w:p>
        </w:tc>
      </w:tr>
      <w:tr w14:paraId="11B24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36" w:type="dxa"/>
          </w:tcPr>
          <w:p w14:paraId="549E071A">
            <w:pPr>
              <w:pStyle w:val="55"/>
              <w:adjustRightInd w:val="0"/>
              <w:snapToGrid w:val="0"/>
              <w:spacing w:line="560" w:lineRule="exact"/>
              <w:jc w:val="center"/>
              <w:rPr>
                <w:color w:val="auto"/>
              </w:rPr>
            </w:pPr>
            <w:r>
              <w:rPr>
                <w:color w:val="auto"/>
              </w:rPr>
              <w:t>1</w:t>
            </w:r>
          </w:p>
        </w:tc>
        <w:tc>
          <w:tcPr>
            <w:tcW w:w="1685" w:type="dxa"/>
          </w:tcPr>
          <w:p w14:paraId="1D478B11">
            <w:pPr>
              <w:pStyle w:val="55"/>
              <w:adjustRightInd w:val="0"/>
              <w:snapToGrid w:val="0"/>
              <w:spacing w:line="560" w:lineRule="exact"/>
              <w:rPr>
                <w:rFonts w:ascii="Times New Roman"/>
                <w:color w:val="auto"/>
                <w:sz w:val="20"/>
              </w:rPr>
            </w:pPr>
          </w:p>
        </w:tc>
        <w:tc>
          <w:tcPr>
            <w:tcW w:w="794" w:type="dxa"/>
          </w:tcPr>
          <w:p w14:paraId="10B8C4A2">
            <w:pPr>
              <w:pStyle w:val="55"/>
              <w:adjustRightInd w:val="0"/>
              <w:snapToGrid w:val="0"/>
              <w:spacing w:line="560" w:lineRule="exact"/>
              <w:rPr>
                <w:rFonts w:ascii="Times New Roman"/>
                <w:color w:val="auto"/>
                <w:sz w:val="20"/>
              </w:rPr>
            </w:pPr>
          </w:p>
        </w:tc>
        <w:tc>
          <w:tcPr>
            <w:tcW w:w="794" w:type="dxa"/>
          </w:tcPr>
          <w:p w14:paraId="2566BE79">
            <w:pPr>
              <w:pStyle w:val="55"/>
              <w:adjustRightInd w:val="0"/>
              <w:snapToGrid w:val="0"/>
              <w:spacing w:line="560" w:lineRule="exact"/>
              <w:rPr>
                <w:rFonts w:ascii="Times New Roman"/>
                <w:color w:val="auto"/>
                <w:sz w:val="20"/>
              </w:rPr>
            </w:pPr>
          </w:p>
        </w:tc>
        <w:tc>
          <w:tcPr>
            <w:tcW w:w="794" w:type="dxa"/>
          </w:tcPr>
          <w:p w14:paraId="20D836F7">
            <w:pPr>
              <w:pStyle w:val="55"/>
              <w:adjustRightInd w:val="0"/>
              <w:snapToGrid w:val="0"/>
              <w:spacing w:line="560" w:lineRule="exact"/>
              <w:rPr>
                <w:rFonts w:ascii="Times New Roman"/>
                <w:color w:val="auto"/>
                <w:sz w:val="20"/>
              </w:rPr>
            </w:pPr>
          </w:p>
        </w:tc>
        <w:tc>
          <w:tcPr>
            <w:tcW w:w="791" w:type="dxa"/>
          </w:tcPr>
          <w:p w14:paraId="20B7C09D">
            <w:pPr>
              <w:pStyle w:val="55"/>
              <w:adjustRightInd w:val="0"/>
              <w:snapToGrid w:val="0"/>
              <w:spacing w:line="560" w:lineRule="exact"/>
              <w:rPr>
                <w:rFonts w:ascii="Times New Roman"/>
                <w:color w:val="auto"/>
                <w:sz w:val="20"/>
              </w:rPr>
            </w:pPr>
          </w:p>
        </w:tc>
        <w:tc>
          <w:tcPr>
            <w:tcW w:w="635" w:type="dxa"/>
          </w:tcPr>
          <w:p w14:paraId="578698B8">
            <w:pPr>
              <w:pStyle w:val="55"/>
              <w:adjustRightInd w:val="0"/>
              <w:snapToGrid w:val="0"/>
              <w:spacing w:line="560" w:lineRule="exact"/>
              <w:rPr>
                <w:rFonts w:ascii="Times New Roman"/>
                <w:color w:val="auto"/>
                <w:sz w:val="20"/>
              </w:rPr>
            </w:pPr>
          </w:p>
        </w:tc>
        <w:tc>
          <w:tcPr>
            <w:tcW w:w="1687" w:type="dxa"/>
          </w:tcPr>
          <w:p w14:paraId="37C044CF">
            <w:pPr>
              <w:pStyle w:val="55"/>
              <w:adjustRightInd w:val="0"/>
              <w:snapToGrid w:val="0"/>
              <w:spacing w:line="560" w:lineRule="exact"/>
              <w:rPr>
                <w:rFonts w:ascii="Times New Roman"/>
                <w:color w:val="auto"/>
                <w:sz w:val="20"/>
              </w:rPr>
            </w:pPr>
          </w:p>
        </w:tc>
      </w:tr>
      <w:tr w14:paraId="2788F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tcPr>
          <w:p w14:paraId="529D2926">
            <w:pPr>
              <w:pStyle w:val="55"/>
              <w:adjustRightInd w:val="0"/>
              <w:snapToGrid w:val="0"/>
              <w:spacing w:line="560" w:lineRule="exact"/>
              <w:jc w:val="center"/>
              <w:rPr>
                <w:color w:val="auto"/>
              </w:rPr>
            </w:pPr>
            <w:r>
              <w:rPr>
                <w:color w:val="auto"/>
              </w:rPr>
              <w:t>2</w:t>
            </w:r>
          </w:p>
        </w:tc>
        <w:tc>
          <w:tcPr>
            <w:tcW w:w="1685" w:type="dxa"/>
          </w:tcPr>
          <w:p w14:paraId="5447E76A">
            <w:pPr>
              <w:pStyle w:val="55"/>
              <w:adjustRightInd w:val="0"/>
              <w:snapToGrid w:val="0"/>
              <w:spacing w:line="560" w:lineRule="exact"/>
              <w:rPr>
                <w:rFonts w:ascii="Times New Roman"/>
                <w:color w:val="auto"/>
                <w:sz w:val="20"/>
              </w:rPr>
            </w:pPr>
          </w:p>
        </w:tc>
        <w:tc>
          <w:tcPr>
            <w:tcW w:w="794" w:type="dxa"/>
          </w:tcPr>
          <w:p w14:paraId="0542A63B">
            <w:pPr>
              <w:pStyle w:val="55"/>
              <w:adjustRightInd w:val="0"/>
              <w:snapToGrid w:val="0"/>
              <w:spacing w:line="560" w:lineRule="exact"/>
              <w:rPr>
                <w:rFonts w:ascii="Times New Roman"/>
                <w:color w:val="auto"/>
                <w:sz w:val="20"/>
              </w:rPr>
            </w:pPr>
          </w:p>
        </w:tc>
        <w:tc>
          <w:tcPr>
            <w:tcW w:w="794" w:type="dxa"/>
          </w:tcPr>
          <w:p w14:paraId="5ACBA725">
            <w:pPr>
              <w:pStyle w:val="55"/>
              <w:adjustRightInd w:val="0"/>
              <w:snapToGrid w:val="0"/>
              <w:spacing w:line="560" w:lineRule="exact"/>
              <w:rPr>
                <w:rFonts w:ascii="Times New Roman"/>
                <w:color w:val="auto"/>
                <w:sz w:val="20"/>
              </w:rPr>
            </w:pPr>
          </w:p>
        </w:tc>
        <w:tc>
          <w:tcPr>
            <w:tcW w:w="794" w:type="dxa"/>
          </w:tcPr>
          <w:p w14:paraId="04FC625B">
            <w:pPr>
              <w:pStyle w:val="55"/>
              <w:adjustRightInd w:val="0"/>
              <w:snapToGrid w:val="0"/>
              <w:spacing w:line="560" w:lineRule="exact"/>
              <w:rPr>
                <w:rFonts w:ascii="Times New Roman"/>
                <w:color w:val="auto"/>
                <w:sz w:val="20"/>
              </w:rPr>
            </w:pPr>
          </w:p>
        </w:tc>
        <w:tc>
          <w:tcPr>
            <w:tcW w:w="791" w:type="dxa"/>
          </w:tcPr>
          <w:p w14:paraId="2C8F6A44">
            <w:pPr>
              <w:pStyle w:val="55"/>
              <w:adjustRightInd w:val="0"/>
              <w:snapToGrid w:val="0"/>
              <w:spacing w:line="560" w:lineRule="exact"/>
              <w:rPr>
                <w:rFonts w:ascii="Times New Roman"/>
                <w:color w:val="auto"/>
                <w:sz w:val="20"/>
              </w:rPr>
            </w:pPr>
          </w:p>
        </w:tc>
        <w:tc>
          <w:tcPr>
            <w:tcW w:w="635" w:type="dxa"/>
          </w:tcPr>
          <w:p w14:paraId="624A0080">
            <w:pPr>
              <w:pStyle w:val="55"/>
              <w:adjustRightInd w:val="0"/>
              <w:snapToGrid w:val="0"/>
              <w:spacing w:line="560" w:lineRule="exact"/>
              <w:rPr>
                <w:rFonts w:ascii="Times New Roman"/>
                <w:color w:val="auto"/>
                <w:sz w:val="20"/>
              </w:rPr>
            </w:pPr>
          </w:p>
        </w:tc>
        <w:tc>
          <w:tcPr>
            <w:tcW w:w="1687" w:type="dxa"/>
          </w:tcPr>
          <w:p w14:paraId="5F65F410">
            <w:pPr>
              <w:pStyle w:val="55"/>
              <w:adjustRightInd w:val="0"/>
              <w:snapToGrid w:val="0"/>
              <w:spacing w:line="560" w:lineRule="exact"/>
              <w:rPr>
                <w:rFonts w:ascii="Times New Roman"/>
                <w:color w:val="auto"/>
                <w:sz w:val="20"/>
              </w:rPr>
            </w:pPr>
          </w:p>
        </w:tc>
      </w:tr>
      <w:tr w14:paraId="4A96E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36" w:type="dxa"/>
            <w:tcBorders>
              <w:bottom w:val="single" w:color="000000" w:sz="6" w:space="0"/>
            </w:tcBorders>
          </w:tcPr>
          <w:p w14:paraId="1FBB0E3A">
            <w:pPr>
              <w:pStyle w:val="55"/>
              <w:adjustRightInd w:val="0"/>
              <w:snapToGrid w:val="0"/>
              <w:spacing w:line="560" w:lineRule="exact"/>
              <w:jc w:val="center"/>
              <w:rPr>
                <w:color w:val="auto"/>
              </w:rPr>
            </w:pPr>
            <w:r>
              <w:rPr>
                <w:color w:val="auto"/>
              </w:rPr>
              <w:t>3</w:t>
            </w:r>
          </w:p>
        </w:tc>
        <w:tc>
          <w:tcPr>
            <w:tcW w:w="1685" w:type="dxa"/>
            <w:tcBorders>
              <w:bottom w:val="single" w:color="000000" w:sz="6" w:space="0"/>
            </w:tcBorders>
          </w:tcPr>
          <w:p w14:paraId="5DF77D95">
            <w:pPr>
              <w:pStyle w:val="55"/>
              <w:adjustRightInd w:val="0"/>
              <w:snapToGrid w:val="0"/>
              <w:spacing w:line="560" w:lineRule="exact"/>
              <w:rPr>
                <w:rFonts w:ascii="Times New Roman"/>
                <w:color w:val="auto"/>
                <w:sz w:val="20"/>
              </w:rPr>
            </w:pPr>
          </w:p>
        </w:tc>
        <w:tc>
          <w:tcPr>
            <w:tcW w:w="794" w:type="dxa"/>
            <w:tcBorders>
              <w:bottom w:val="single" w:color="000000" w:sz="6" w:space="0"/>
            </w:tcBorders>
          </w:tcPr>
          <w:p w14:paraId="3942E5AA">
            <w:pPr>
              <w:pStyle w:val="55"/>
              <w:adjustRightInd w:val="0"/>
              <w:snapToGrid w:val="0"/>
              <w:spacing w:line="560" w:lineRule="exact"/>
              <w:rPr>
                <w:rFonts w:ascii="Times New Roman"/>
                <w:color w:val="auto"/>
                <w:sz w:val="20"/>
              </w:rPr>
            </w:pPr>
          </w:p>
        </w:tc>
        <w:tc>
          <w:tcPr>
            <w:tcW w:w="794" w:type="dxa"/>
            <w:tcBorders>
              <w:bottom w:val="single" w:color="000000" w:sz="6" w:space="0"/>
            </w:tcBorders>
          </w:tcPr>
          <w:p w14:paraId="6BFE6EBE">
            <w:pPr>
              <w:pStyle w:val="55"/>
              <w:adjustRightInd w:val="0"/>
              <w:snapToGrid w:val="0"/>
              <w:spacing w:line="560" w:lineRule="exact"/>
              <w:rPr>
                <w:rFonts w:ascii="Times New Roman"/>
                <w:color w:val="auto"/>
                <w:sz w:val="20"/>
              </w:rPr>
            </w:pPr>
          </w:p>
        </w:tc>
        <w:tc>
          <w:tcPr>
            <w:tcW w:w="794" w:type="dxa"/>
            <w:tcBorders>
              <w:bottom w:val="single" w:color="000000" w:sz="6" w:space="0"/>
            </w:tcBorders>
          </w:tcPr>
          <w:p w14:paraId="17644B85">
            <w:pPr>
              <w:pStyle w:val="55"/>
              <w:adjustRightInd w:val="0"/>
              <w:snapToGrid w:val="0"/>
              <w:spacing w:line="560" w:lineRule="exact"/>
              <w:rPr>
                <w:rFonts w:ascii="Times New Roman"/>
                <w:color w:val="auto"/>
                <w:sz w:val="20"/>
              </w:rPr>
            </w:pPr>
          </w:p>
        </w:tc>
        <w:tc>
          <w:tcPr>
            <w:tcW w:w="791" w:type="dxa"/>
            <w:tcBorders>
              <w:bottom w:val="single" w:color="000000" w:sz="6" w:space="0"/>
            </w:tcBorders>
          </w:tcPr>
          <w:p w14:paraId="3A3157B5">
            <w:pPr>
              <w:pStyle w:val="55"/>
              <w:adjustRightInd w:val="0"/>
              <w:snapToGrid w:val="0"/>
              <w:spacing w:line="560" w:lineRule="exact"/>
              <w:rPr>
                <w:rFonts w:ascii="Times New Roman"/>
                <w:color w:val="auto"/>
                <w:sz w:val="20"/>
              </w:rPr>
            </w:pPr>
          </w:p>
        </w:tc>
        <w:tc>
          <w:tcPr>
            <w:tcW w:w="635" w:type="dxa"/>
            <w:tcBorders>
              <w:bottom w:val="single" w:color="000000" w:sz="6" w:space="0"/>
            </w:tcBorders>
          </w:tcPr>
          <w:p w14:paraId="3FD54D67">
            <w:pPr>
              <w:pStyle w:val="55"/>
              <w:adjustRightInd w:val="0"/>
              <w:snapToGrid w:val="0"/>
              <w:spacing w:line="560" w:lineRule="exact"/>
              <w:rPr>
                <w:rFonts w:ascii="Times New Roman"/>
                <w:color w:val="auto"/>
                <w:sz w:val="20"/>
              </w:rPr>
            </w:pPr>
          </w:p>
        </w:tc>
        <w:tc>
          <w:tcPr>
            <w:tcW w:w="1687" w:type="dxa"/>
            <w:tcBorders>
              <w:bottom w:val="single" w:color="000000" w:sz="6" w:space="0"/>
            </w:tcBorders>
          </w:tcPr>
          <w:p w14:paraId="0C25822B">
            <w:pPr>
              <w:pStyle w:val="55"/>
              <w:adjustRightInd w:val="0"/>
              <w:snapToGrid w:val="0"/>
              <w:spacing w:line="560" w:lineRule="exact"/>
              <w:rPr>
                <w:rFonts w:ascii="Times New Roman"/>
                <w:color w:val="auto"/>
                <w:sz w:val="20"/>
              </w:rPr>
            </w:pPr>
          </w:p>
        </w:tc>
      </w:tr>
      <w:tr w14:paraId="79A9C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36" w:type="dxa"/>
            <w:tcBorders>
              <w:top w:val="single" w:color="000000" w:sz="6" w:space="0"/>
              <w:bottom w:val="single" w:color="000000" w:sz="6" w:space="0"/>
            </w:tcBorders>
          </w:tcPr>
          <w:p w14:paraId="77172D4E">
            <w:pPr>
              <w:pStyle w:val="55"/>
              <w:adjustRightInd w:val="0"/>
              <w:snapToGrid w:val="0"/>
              <w:spacing w:line="560" w:lineRule="exact"/>
              <w:jc w:val="center"/>
              <w:rPr>
                <w:color w:val="auto"/>
              </w:rPr>
            </w:pPr>
            <w:r>
              <w:rPr>
                <w:color w:val="auto"/>
              </w:rPr>
              <w:t>4</w:t>
            </w:r>
          </w:p>
        </w:tc>
        <w:tc>
          <w:tcPr>
            <w:tcW w:w="1685" w:type="dxa"/>
            <w:tcBorders>
              <w:top w:val="single" w:color="000000" w:sz="6" w:space="0"/>
              <w:bottom w:val="single" w:color="000000" w:sz="6" w:space="0"/>
            </w:tcBorders>
          </w:tcPr>
          <w:p w14:paraId="763842FD">
            <w:pPr>
              <w:pStyle w:val="55"/>
              <w:adjustRightInd w:val="0"/>
              <w:snapToGrid w:val="0"/>
              <w:spacing w:line="560" w:lineRule="exact"/>
              <w:rPr>
                <w:rFonts w:ascii="Times New Roman"/>
                <w:color w:val="auto"/>
                <w:sz w:val="20"/>
              </w:rPr>
            </w:pPr>
          </w:p>
        </w:tc>
        <w:tc>
          <w:tcPr>
            <w:tcW w:w="794" w:type="dxa"/>
            <w:tcBorders>
              <w:top w:val="single" w:color="000000" w:sz="6" w:space="0"/>
              <w:bottom w:val="single" w:color="000000" w:sz="6" w:space="0"/>
            </w:tcBorders>
          </w:tcPr>
          <w:p w14:paraId="7FC2A9B5">
            <w:pPr>
              <w:pStyle w:val="55"/>
              <w:adjustRightInd w:val="0"/>
              <w:snapToGrid w:val="0"/>
              <w:spacing w:line="560" w:lineRule="exact"/>
              <w:rPr>
                <w:rFonts w:ascii="Times New Roman"/>
                <w:color w:val="auto"/>
                <w:sz w:val="20"/>
              </w:rPr>
            </w:pPr>
          </w:p>
        </w:tc>
        <w:tc>
          <w:tcPr>
            <w:tcW w:w="794" w:type="dxa"/>
            <w:tcBorders>
              <w:top w:val="single" w:color="000000" w:sz="6" w:space="0"/>
              <w:bottom w:val="single" w:color="000000" w:sz="6" w:space="0"/>
            </w:tcBorders>
          </w:tcPr>
          <w:p w14:paraId="57A63D32">
            <w:pPr>
              <w:pStyle w:val="55"/>
              <w:adjustRightInd w:val="0"/>
              <w:snapToGrid w:val="0"/>
              <w:spacing w:line="560" w:lineRule="exact"/>
              <w:rPr>
                <w:rFonts w:ascii="Times New Roman"/>
                <w:color w:val="auto"/>
                <w:sz w:val="20"/>
              </w:rPr>
            </w:pPr>
          </w:p>
        </w:tc>
        <w:tc>
          <w:tcPr>
            <w:tcW w:w="794" w:type="dxa"/>
            <w:tcBorders>
              <w:top w:val="single" w:color="000000" w:sz="6" w:space="0"/>
              <w:bottom w:val="single" w:color="000000" w:sz="6" w:space="0"/>
            </w:tcBorders>
          </w:tcPr>
          <w:p w14:paraId="64EFBC11">
            <w:pPr>
              <w:pStyle w:val="55"/>
              <w:adjustRightInd w:val="0"/>
              <w:snapToGrid w:val="0"/>
              <w:spacing w:line="560" w:lineRule="exact"/>
              <w:rPr>
                <w:rFonts w:ascii="Times New Roman"/>
                <w:color w:val="auto"/>
                <w:sz w:val="20"/>
              </w:rPr>
            </w:pPr>
          </w:p>
        </w:tc>
        <w:tc>
          <w:tcPr>
            <w:tcW w:w="791" w:type="dxa"/>
            <w:tcBorders>
              <w:top w:val="single" w:color="000000" w:sz="6" w:space="0"/>
              <w:bottom w:val="single" w:color="000000" w:sz="6" w:space="0"/>
            </w:tcBorders>
          </w:tcPr>
          <w:p w14:paraId="0DD63F77">
            <w:pPr>
              <w:pStyle w:val="55"/>
              <w:adjustRightInd w:val="0"/>
              <w:snapToGrid w:val="0"/>
              <w:spacing w:line="560" w:lineRule="exact"/>
              <w:rPr>
                <w:rFonts w:ascii="Times New Roman"/>
                <w:color w:val="auto"/>
                <w:sz w:val="20"/>
              </w:rPr>
            </w:pPr>
          </w:p>
        </w:tc>
        <w:tc>
          <w:tcPr>
            <w:tcW w:w="635" w:type="dxa"/>
            <w:tcBorders>
              <w:top w:val="single" w:color="000000" w:sz="6" w:space="0"/>
              <w:bottom w:val="single" w:color="000000" w:sz="6" w:space="0"/>
            </w:tcBorders>
          </w:tcPr>
          <w:p w14:paraId="12C7A183">
            <w:pPr>
              <w:pStyle w:val="55"/>
              <w:adjustRightInd w:val="0"/>
              <w:snapToGrid w:val="0"/>
              <w:spacing w:line="560" w:lineRule="exact"/>
              <w:rPr>
                <w:rFonts w:ascii="Times New Roman"/>
                <w:color w:val="auto"/>
                <w:sz w:val="20"/>
              </w:rPr>
            </w:pPr>
          </w:p>
        </w:tc>
        <w:tc>
          <w:tcPr>
            <w:tcW w:w="1687" w:type="dxa"/>
            <w:tcBorders>
              <w:top w:val="single" w:color="000000" w:sz="6" w:space="0"/>
              <w:bottom w:val="single" w:color="000000" w:sz="6" w:space="0"/>
            </w:tcBorders>
          </w:tcPr>
          <w:p w14:paraId="53DC8E43">
            <w:pPr>
              <w:pStyle w:val="55"/>
              <w:adjustRightInd w:val="0"/>
              <w:snapToGrid w:val="0"/>
              <w:spacing w:line="560" w:lineRule="exact"/>
              <w:rPr>
                <w:rFonts w:ascii="Times New Roman"/>
                <w:color w:val="auto"/>
                <w:sz w:val="20"/>
              </w:rPr>
            </w:pPr>
          </w:p>
        </w:tc>
      </w:tr>
      <w:tr w14:paraId="171A6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36" w:type="dxa"/>
            <w:tcBorders>
              <w:top w:val="single" w:color="000000" w:sz="6" w:space="0"/>
              <w:bottom w:val="single" w:color="000000" w:sz="6" w:space="0"/>
            </w:tcBorders>
          </w:tcPr>
          <w:p w14:paraId="21906730">
            <w:pPr>
              <w:pStyle w:val="55"/>
              <w:adjustRightInd w:val="0"/>
              <w:snapToGrid w:val="0"/>
              <w:spacing w:line="560" w:lineRule="exact"/>
              <w:jc w:val="center"/>
              <w:rPr>
                <w:color w:val="auto"/>
              </w:rPr>
            </w:pPr>
          </w:p>
        </w:tc>
        <w:tc>
          <w:tcPr>
            <w:tcW w:w="1685" w:type="dxa"/>
            <w:tcBorders>
              <w:top w:val="single" w:color="000000" w:sz="6" w:space="0"/>
              <w:bottom w:val="single" w:color="000000" w:sz="6" w:space="0"/>
            </w:tcBorders>
          </w:tcPr>
          <w:p w14:paraId="5D7CB8E7">
            <w:pPr>
              <w:pStyle w:val="55"/>
              <w:adjustRightInd w:val="0"/>
              <w:snapToGrid w:val="0"/>
              <w:spacing w:line="560" w:lineRule="exact"/>
              <w:rPr>
                <w:rFonts w:ascii="Times New Roman"/>
                <w:color w:val="auto"/>
                <w:sz w:val="20"/>
              </w:rPr>
            </w:pPr>
          </w:p>
        </w:tc>
        <w:tc>
          <w:tcPr>
            <w:tcW w:w="794" w:type="dxa"/>
            <w:tcBorders>
              <w:top w:val="single" w:color="000000" w:sz="6" w:space="0"/>
              <w:bottom w:val="single" w:color="000000" w:sz="6" w:space="0"/>
            </w:tcBorders>
          </w:tcPr>
          <w:p w14:paraId="15B7ADA2">
            <w:pPr>
              <w:pStyle w:val="55"/>
              <w:adjustRightInd w:val="0"/>
              <w:snapToGrid w:val="0"/>
              <w:spacing w:line="560" w:lineRule="exact"/>
              <w:rPr>
                <w:rFonts w:ascii="Times New Roman"/>
                <w:color w:val="auto"/>
                <w:sz w:val="20"/>
              </w:rPr>
            </w:pPr>
          </w:p>
        </w:tc>
        <w:tc>
          <w:tcPr>
            <w:tcW w:w="794" w:type="dxa"/>
            <w:tcBorders>
              <w:top w:val="single" w:color="000000" w:sz="6" w:space="0"/>
              <w:bottom w:val="single" w:color="000000" w:sz="6" w:space="0"/>
            </w:tcBorders>
          </w:tcPr>
          <w:p w14:paraId="2328F244">
            <w:pPr>
              <w:pStyle w:val="55"/>
              <w:adjustRightInd w:val="0"/>
              <w:snapToGrid w:val="0"/>
              <w:spacing w:line="560" w:lineRule="exact"/>
              <w:rPr>
                <w:rFonts w:ascii="Times New Roman"/>
                <w:color w:val="auto"/>
                <w:sz w:val="20"/>
              </w:rPr>
            </w:pPr>
          </w:p>
        </w:tc>
        <w:tc>
          <w:tcPr>
            <w:tcW w:w="794" w:type="dxa"/>
            <w:tcBorders>
              <w:top w:val="single" w:color="000000" w:sz="6" w:space="0"/>
              <w:bottom w:val="single" w:color="000000" w:sz="6" w:space="0"/>
            </w:tcBorders>
          </w:tcPr>
          <w:p w14:paraId="276DA888">
            <w:pPr>
              <w:pStyle w:val="55"/>
              <w:adjustRightInd w:val="0"/>
              <w:snapToGrid w:val="0"/>
              <w:spacing w:line="560" w:lineRule="exact"/>
              <w:rPr>
                <w:rFonts w:ascii="Times New Roman"/>
                <w:color w:val="auto"/>
                <w:sz w:val="20"/>
              </w:rPr>
            </w:pPr>
          </w:p>
        </w:tc>
        <w:tc>
          <w:tcPr>
            <w:tcW w:w="791" w:type="dxa"/>
            <w:tcBorders>
              <w:top w:val="single" w:color="000000" w:sz="6" w:space="0"/>
              <w:bottom w:val="single" w:color="000000" w:sz="6" w:space="0"/>
            </w:tcBorders>
          </w:tcPr>
          <w:p w14:paraId="19519ED9">
            <w:pPr>
              <w:pStyle w:val="55"/>
              <w:adjustRightInd w:val="0"/>
              <w:snapToGrid w:val="0"/>
              <w:spacing w:line="560" w:lineRule="exact"/>
              <w:rPr>
                <w:rFonts w:ascii="Times New Roman"/>
                <w:color w:val="auto"/>
                <w:sz w:val="20"/>
              </w:rPr>
            </w:pPr>
          </w:p>
        </w:tc>
        <w:tc>
          <w:tcPr>
            <w:tcW w:w="635" w:type="dxa"/>
            <w:tcBorders>
              <w:top w:val="single" w:color="000000" w:sz="6" w:space="0"/>
              <w:bottom w:val="single" w:color="000000" w:sz="6" w:space="0"/>
            </w:tcBorders>
          </w:tcPr>
          <w:p w14:paraId="503A66D3">
            <w:pPr>
              <w:pStyle w:val="55"/>
              <w:adjustRightInd w:val="0"/>
              <w:snapToGrid w:val="0"/>
              <w:spacing w:line="560" w:lineRule="exact"/>
              <w:rPr>
                <w:rFonts w:ascii="Times New Roman"/>
                <w:color w:val="auto"/>
                <w:sz w:val="20"/>
              </w:rPr>
            </w:pPr>
          </w:p>
        </w:tc>
        <w:tc>
          <w:tcPr>
            <w:tcW w:w="1687" w:type="dxa"/>
            <w:tcBorders>
              <w:top w:val="single" w:color="000000" w:sz="6" w:space="0"/>
              <w:bottom w:val="single" w:color="000000" w:sz="6" w:space="0"/>
            </w:tcBorders>
          </w:tcPr>
          <w:p w14:paraId="75293D2B">
            <w:pPr>
              <w:pStyle w:val="55"/>
              <w:adjustRightInd w:val="0"/>
              <w:snapToGrid w:val="0"/>
              <w:spacing w:line="560" w:lineRule="exact"/>
              <w:rPr>
                <w:rFonts w:ascii="Times New Roman"/>
                <w:color w:val="auto"/>
                <w:sz w:val="20"/>
              </w:rPr>
            </w:pPr>
          </w:p>
        </w:tc>
      </w:tr>
      <w:tr w14:paraId="1F246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36" w:type="dxa"/>
            <w:tcBorders>
              <w:top w:val="single" w:color="000000" w:sz="6" w:space="0"/>
            </w:tcBorders>
          </w:tcPr>
          <w:p w14:paraId="075E9D29">
            <w:pPr>
              <w:pStyle w:val="55"/>
              <w:adjustRightInd w:val="0"/>
              <w:snapToGrid w:val="0"/>
              <w:spacing w:line="560" w:lineRule="exact"/>
              <w:jc w:val="center"/>
              <w:rPr>
                <w:color w:val="auto"/>
              </w:rPr>
            </w:pPr>
          </w:p>
        </w:tc>
        <w:tc>
          <w:tcPr>
            <w:tcW w:w="1685" w:type="dxa"/>
            <w:tcBorders>
              <w:top w:val="single" w:color="000000" w:sz="6" w:space="0"/>
            </w:tcBorders>
          </w:tcPr>
          <w:p w14:paraId="6DE8838A">
            <w:pPr>
              <w:pStyle w:val="55"/>
              <w:adjustRightInd w:val="0"/>
              <w:snapToGrid w:val="0"/>
              <w:spacing w:line="560" w:lineRule="exact"/>
              <w:rPr>
                <w:rFonts w:ascii="Times New Roman"/>
                <w:color w:val="auto"/>
                <w:sz w:val="20"/>
              </w:rPr>
            </w:pPr>
          </w:p>
        </w:tc>
        <w:tc>
          <w:tcPr>
            <w:tcW w:w="794" w:type="dxa"/>
            <w:tcBorders>
              <w:top w:val="single" w:color="000000" w:sz="6" w:space="0"/>
            </w:tcBorders>
          </w:tcPr>
          <w:p w14:paraId="12016B09">
            <w:pPr>
              <w:pStyle w:val="55"/>
              <w:adjustRightInd w:val="0"/>
              <w:snapToGrid w:val="0"/>
              <w:spacing w:line="560" w:lineRule="exact"/>
              <w:rPr>
                <w:rFonts w:ascii="Times New Roman"/>
                <w:color w:val="auto"/>
                <w:sz w:val="20"/>
              </w:rPr>
            </w:pPr>
          </w:p>
        </w:tc>
        <w:tc>
          <w:tcPr>
            <w:tcW w:w="794" w:type="dxa"/>
            <w:tcBorders>
              <w:top w:val="single" w:color="000000" w:sz="6" w:space="0"/>
            </w:tcBorders>
          </w:tcPr>
          <w:p w14:paraId="3E9C9A0C">
            <w:pPr>
              <w:pStyle w:val="55"/>
              <w:adjustRightInd w:val="0"/>
              <w:snapToGrid w:val="0"/>
              <w:spacing w:line="560" w:lineRule="exact"/>
              <w:rPr>
                <w:rFonts w:ascii="Times New Roman"/>
                <w:color w:val="auto"/>
                <w:sz w:val="20"/>
              </w:rPr>
            </w:pPr>
          </w:p>
        </w:tc>
        <w:tc>
          <w:tcPr>
            <w:tcW w:w="794" w:type="dxa"/>
            <w:tcBorders>
              <w:top w:val="single" w:color="000000" w:sz="6" w:space="0"/>
            </w:tcBorders>
          </w:tcPr>
          <w:p w14:paraId="0B1452C5">
            <w:pPr>
              <w:pStyle w:val="55"/>
              <w:adjustRightInd w:val="0"/>
              <w:snapToGrid w:val="0"/>
              <w:spacing w:line="560" w:lineRule="exact"/>
              <w:rPr>
                <w:rFonts w:ascii="Times New Roman"/>
                <w:color w:val="auto"/>
                <w:sz w:val="20"/>
              </w:rPr>
            </w:pPr>
          </w:p>
        </w:tc>
        <w:tc>
          <w:tcPr>
            <w:tcW w:w="791" w:type="dxa"/>
            <w:tcBorders>
              <w:top w:val="single" w:color="000000" w:sz="6" w:space="0"/>
            </w:tcBorders>
          </w:tcPr>
          <w:p w14:paraId="2CA31A4E">
            <w:pPr>
              <w:pStyle w:val="55"/>
              <w:adjustRightInd w:val="0"/>
              <w:snapToGrid w:val="0"/>
              <w:spacing w:line="560" w:lineRule="exact"/>
              <w:rPr>
                <w:rFonts w:ascii="Times New Roman"/>
                <w:color w:val="auto"/>
                <w:sz w:val="20"/>
              </w:rPr>
            </w:pPr>
          </w:p>
        </w:tc>
        <w:tc>
          <w:tcPr>
            <w:tcW w:w="635" w:type="dxa"/>
            <w:tcBorders>
              <w:top w:val="single" w:color="000000" w:sz="6" w:space="0"/>
            </w:tcBorders>
          </w:tcPr>
          <w:p w14:paraId="34024152">
            <w:pPr>
              <w:pStyle w:val="55"/>
              <w:adjustRightInd w:val="0"/>
              <w:snapToGrid w:val="0"/>
              <w:spacing w:line="560" w:lineRule="exact"/>
              <w:rPr>
                <w:rFonts w:ascii="Times New Roman"/>
                <w:color w:val="auto"/>
                <w:sz w:val="20"/>
              </w:rPr>
            </w:pPr>
          </w:p>
        </w:tc>
        <w:tc>
          <w:tcPr>
            <w:tcW w:w="1687" w:type="dxa"/>
            <w:tcBorders>
              <w:top w:val="single" w:color="000000" w:sz="6" w:space="0"/>
            </w:tcBorders>
          </w:tcPr>
          <w:p w14:paraId="6729542F">
            <w:pPr>
              <w:pStyle w:val="55"/>
              <w:adjustRightInd w:val="0"/>
              <w:snapToGrid w:val="0"/>
              <w:spacing w:line="560" w:lineRule="exact"/>
              <w:rPr>
                <w:rFonts w:ascii="Times New Roman"/>
                <w:color w:val="auto"/>
                <w:sz w:val="20"/>
              </w:rPr>
            </w:pPr>
          </w:p>
        </w:tc>
      </w:tr>
    </w:tbl>
    <w:p w14:paraId="2D0F5C92">
      <w:pPr>
        <w:pStyle w:val="11"/>
        <w:adjustRightInd w:val="0"/>
        <w:snapToGrid w:val="0"/>
        <w:spacing w:line="560" w:lineRule="exact"/>
        <w:ind w:firstLine="420"/>
        <w:rPr>
          <w:color w:val="auto"/>
        </w:rPr>
      </w:pPr>
      <w:r>
        <w:rPr>
          <w:color w:val="auto"/>
        </w:rPr>
        <w:t>注：</w:t>
      </w:r>
      <w:r>
        <w:rPr>
          <w:rFonts w:hint="eastAsia"/>
          <w:color w:val="auto"/>
        </w:rPr>
        <w:t>1、投标人按上表内容进行填写</w:t>
      </w:r>
      <w:r>
        <w:rPr>
          <w:color w:val="auto"/>
        </w:rPr>
        <w:t>，采用其他品牌的投标人填写，并注明并提供相关技术参数、业绩等供评标委员会评审，未在上表中注明且未</w:t>
      </w:r>
      <w:r>
        <w:rPr>
          <w:rFonts w:hint="eastAsia"/>
          <w:color w:val="auto"/>
          <w:szCs w:val="21"/>
          <w:lang w:val="en-US"/>
        </w:rPr>
        <w:t>提供相关技术性能指标</w:t>
      </w:r>
      <w:r>
        <w:rPr>
          <w:rFonts w:hint="eastAsia"/>
          <w:color w:val="auto"/>
          <w:szCs w:val="21"/>
          <w:lang w:val="en-US" w:eastAsia="zh-CN"/>
        </w:rPr>
        <w:t>（通过下列证明材料体现，如检测报告、技术说明、用户证明等)</w:t>
      </w:r>
      <w:r>
        <w:rPr>
          <w:rFonts w:hint="eastAsia"/>
          <w:color w:val="auto"/>
          <w:szCs w:val="21"/>
          <w:lang w:val="en-US"/>
        </w:rPr>
        <w:t>等供评标委员会评审</w:t>
      </w:r>
      <w:r>
        <w:rPr>
          <w:color w:val="auto"/>
        </w:rPr>
        <w:t>，经评标委员会评审未通过的，中标后只能从招标人</w:t>
      </w:r>
      <w:r>
        <w:rPr>
          <w:rFonts w:hint="eastAsia"/>
          <w:color w:val="auto"/>
        </w:rPr>
        <w:t>参考</w:t>
      </w:r>
      <w:r>
        <w:rPr>
          <w:color w:val="auto"/>
        </w:rPr>
        <w:t>品牌中进行选择，价格不予调整。</w:t>
      </w:r>
    </w:p>
    <w:p w14:paraId="71C6CCE1">
      <w:pPr>
        <w:pStyle w:val="42"/>
        <w:numPr>
          <w:ilvl w:val="0"/>
          <w:numId w:val="13"/>
        </w:numPr>
        <w:tabs>
          <w:tab w:val="left" w:pos="1319"/>
        </w:tabs>
        <w:adjustRightInd w:val="0"/>
        <w:snapToGrid w:val="0"/>
        <w:spacing w:line="560" w:lineRule="exact"/>
        <w:ind w:left="0" w:firstLine="408" w:firstLineChars="200"/>
        <w:rPr>
          <w:color w:val="auto"/>
          <w:spacing w:val="-3"/>
        </w:rPr>
      </w:pPr>
      <w:r>
        <w:rPr>
          <w:color w:val="auto"/>
          <w:spacing w:val="-3"/>
        </w:rPr>
        <w:t>对于招标人</w:t>
      </w:r>
      <w:r>
        <w:rPr>
          <w:rFonts w:hint="eastAsia"/>
          <w:color w:val="auto"/>
          <w:spacing w:val="-3"/>
          <w:lang w:val="en-US"/>
        </w:rPr>
        <w:t>参考</w:t>
      </w:r>
      <w:r>
        <w:rPr>
          <w:color w:val="auto"/>
          <w:spacing w:val="-3"/>
        </w:rPr>
        <w:t>品牌的材料、设备等，投标人如认为招标人</w:t>
      </w:r>
      <w:r>
        <w:rPr>
          <w:rFonts w:hint="eastAsia"/>
          <w:color w:val="auto"/>
          <w:spacing w:val="-3"/>
          <w:lang w:val="en-US"/>
        </w:rPr>
        <w:t>参考</w:t>
      </w:r>
      <w:r>
        <w:rPr>
          <w:color w:val="auto"/>
          <w:spacing w:val="-3"/>
        </w:rPr>
        <w:t>的品牌有限定性、唯一性、明显不在同一档次等级的或者其他疑问的，应在本项目澄清提出的截止时间前通过电子交易系统</w:t>
      </w:r>
      <w:r>
        <w:rPr>
          <w:rFonts w:hint="eastAsia"/>
          <w:color w:val="auto"/>
          <w:spacing w:val="-3"/>
        </w:rPr>
        <w:t>。</w:t>
      </w:r>
    </w:p>
    <w:p w14:paraId="072E563A">
      <w:pPr>
        <w:pStyle w:val="42"/>
        <w:tabs>
          <w:tab w:val="left" w:pos="1319"/>
        </w:tabs>
        <w:adjustRightInd w:val="0"/>
        <w:snapToGrid w:val="0"/>
        <w:spacing w:line="560" w:lineRule="exact"/>
        <w:ind w:left="0" w:firstLine="0"/>
        <w:rPr>
          <w:color w:val="auto"/>
          <w:spacing w:val="-3"/>
        </w:rPr>
      </w:pPr>
    </w:p>
    <w:p w14:paraId="3D1B64FC">
      <w:pPr>
        <w:rPr>
          <w:color w:val="auto"/>
        </w:rPr>
      </w:pPr>
      <w:r>
        <w:rPr>
          <w:rFonts w:hint="eastAsia"/>
          <w:color w:val="auto"/>
        </w:rPr>
        <w:br w:type="page"/>
      </w:r>
    </w:p>
    <w:p w14:paraId="513D0E29">
      <w:pPr>
        <w:pStyle w:val="4"/>
        <w:adjustRightInd w:val="0"/>
        <w:snapToGrid w:val="0"/>
        <w:spacing w:line="560" w:lineRule="exact"/>
        <w:jc w:val="center"/>
        <w:rPr>
          <w:color w:val="auto"/>
        </w:rPr>
      </w:pPr>
      <w:r>
        <w:rPr>
          <w:rFonts w:hint="eastAsia"/>
          <w:color w:val="auto"/>
        </w:rPr>
        <w:t>（</w:t>
      </w:r>
      <w:r>
        <w:rPr>
          <w:rFonts w:hint="eastAsia"/>
          <w:color w:val="auto"/>
          <w:lang w:val="en-US" w:eastAsia="zh-CN"/>
        </w:rPr>
        <w:t>3</w:t>
      </w:r>
      <w:r>
        <w:rPr>
          <w:rFonts w:hint="eastAsia"/>
          <w:color w:val="auto"/>
        </w:rPr>
        <w:t>）技术参数响应承诺书</w:t>
      </w:r>
    </w:p>
    <w:p w14:paraId="5F4E6379">
      <w:pPr>
        <w:spacing w:line="520" w:lineRule="exact"/>
        <w:ind w:left="26" w:right="16" w:firstLine="634" w:firstLineChars="271"/>
        <w:jc w:val="left"/>
        <w:rPr>
          <w:rFonts w:ascii="宋体" w:hAnsi="宋体" w:cs="宋体"/>
          <w:color w:val="auto"/>
          <w:sz w:val="24"/>
        </w:rPr>
      </w:pPr>
      <w:r>
        <w:rPr>
          <w:rFonts w:ascii="宋体" w:hAnsi="宋体" w:cs="宋体"/>
          <w:color w:val="auto"/>
          <w:spacing w:val="-3"/>
          <w:sz w:val="24"/>
        </w:rPr>
        <w:t xml:space="preserve">我公司承诺所提供的产品 </w:t>
      </w:r>
      <w:r>
        <w:rPr>
          <w:rFonts w:ascii="宋体" w:hAnsi="宋体" w:cs="宋体"/>
          <w:color w:val="auto"/>
          <w:spacing w:val="-3"/>
          <w:sz w:val="24"/>
          <w:u w:val="single"/>
        </w:rPr>
        <w:t xml:space="preserve">             </w:t>
      </w:r>
      <w:r>
        <w:rPr>
          <w:rFonts w:ascii="宋体" w:hAnsi="宋体" w:cs="宋体"/>
          <w:color w:val="auto"/>
          <w:spacing w:val="-3"/>
          <w:sz w:val="24"/>
        </w:rPr>
        <w:t>（部分/全部）响应招标文件及技术</w:t>
      </w:r>
      <w:r>
        <w:rPr>
          <w:rFonts w:hint="eastAsia" w:ascii="宋体" w:hAnsi="宋体" w:cs="宋体"/>
          <w:color w:val="auto"/>
          <w:spacing w:val="12"/>
          <w:sz w:val="24"/>
          <w:lang w:val="en-US" w:eastAsia="zh-CN"/>
        </w:rPr>
        <w:t xml:space="preserve">要求      </w:t>
      </w:r>
      <w:r>
        <w:rPr>
          <w:rFonts w:ascii="宋体" w:hAnsi="宋体" w:cs="宋体"/>
          <w:color w:val="auto"/>
          <w:spacing w:val="-1"/>
          <w:sz w:val="24"/>
        </w:rPr>
        <w:t>，其中负偏离</w:t>
      </w:r>
      <w:r>
        <w:rPr>
          <w:rFonts w:ascii="宋体" w:hAnsi="宋体" w:cs="宋体"/>
          <w:color w:val="auto"/>
          <w:spacing w:val="-1"/>
          <w:sz w:val="24"/>
          <w:u w:val="single"/>
        </w:rPr>
        <w:t xml:space="preserve">     </w:t>
      </w:r>
      <w:r>
        <w:rPr>
          <w:rFonts w:ascii="宋体" w:hAnsi="宋体" w:cs="宋体"/>
          <w:color w:val="auto"/>
          <w:spacing w:val="-105"/>
          <w:sz w:val="24"/>
        </w:rPr>
        <w:t xml:space="preserve"> </w:t>
      </w:r>
      <w:r>
        <w:rPr>
          <w:rFonts w:ascii="宋体" w:hAnsi="宋体" w:cs="宋体"/>
          <w:color w:val="auto"/>
          <w:spacing w:val="-1"/>
          <w:sz w:val="24"/>
        </w:rPr>
        <w:t>项，偏离项明细如下：</w:t>
      </w:r>
    </w:p>
    <w:p w14:paraId="69CD76AE">
      <w:pPr>
        <w:pStyle w:val="11"/>
        <w:numPr>
          <w:ilvl w:val="0"/>
          <w:numId w:val="14"/>
        </w:numPr>
        <w:spacing w:line="520" w:lineRule="exact"/>
        <w:jc w:val="left"/>
        <w:rPr>
          <w:color w:val="auto"/>
          <w:sz w:val="24"/>
          <w:u w:val="single"/>
        </w:rPr>
      </w:pPr>
      <w:r>
        <w:rPr>
          <w:rFonts w:hint="eastAsia"/>
          <w:color w:val="auto"/>
          <w:sz w:val="24"/>
          <w:u w:val="single"/>
        </w:rPr>
        <w:t xml:space="preserve">                  </w:t>
      </w:r>
    </w:p>
    <w:p w14:paraId="42052CA5">
      <w:pPr>
        <w:pStyle w:val="11"/>
        <w:numPr>
          <w:ilvl w:val="0"/>
          <w:numId w:val="14"/>
        </w:numPr>
        <w:spacing w:line="520" w:lineRule="exact"/>
        <w:jc w:val="left"/>
        <w:rPr>
          <w:color w:val="auto"/>
          <w:sz w:val="24"/>
          <w:u w:val="single"/>
        </w:rPr>
      </w:pPr>
      <w:r>
        <w:rPr>
          <w:rFonts w:hint="eastAsia"/>
          <w:color w:val="auto"/>
          <w:sz w:val="24"/>
          <w:u w:val="single"/>
        </w:rPr>
        <w:t xml:space="preserve">                  </w:t>
      </w:r>
    </w:p>
    <w:p w14:paraId="021993E9">
      <w:pPr>
        <w:pStyle w:val="11"/>
        <w:numPr>
          <w:ilvl w:val="0"/>
          <w:numId w:val="14"/>
        </w:numPr>
        <w:spacing w:line="520" w:lineRule="exact"/>
        <w:jc w:val="left"/>
        <w:rPr>
          <w:color w:val="auto"/>
          <w:sz w:val="24"/>
          <w:u w:val="single"/>
        </w:rPr>
      </w:pPr>
      <w:r>
        <w:rPr>
          <w:rFonts w:hint="eastAsia"/>
          <w:color w:val="auto"/>
          <w:sz w:val="24"/>
          <w:u w:val="single"/>
        </w:rPr>
        <w:t xml:space="preserve">                  </w:t>
      </w:r>
    </w:p>
    <w:p w14:paraId="1C9DEDA7">
      <w:pPr>
        <w:pStyle w:val="11"/>
        <w:numPr>
          <w:ilvl w:val="0"/>
          <w:numId w:val="14"/>
        </w:numPr>
        <w:spacing w:line="520" w:lineRule="exact"/>
        <w:jc w:val="left"/>
        <w:rPr>
          <w:color w:val="auto"/>
          <w:sz w:val="24"/>
          <w:u w:val="single"/>
        </w:rPr>
      </w:pPr>
      <w:r>
        <w:rPr>
          <w:rFonts w:hint="eastAsia"/>
          <w:color w:val="auto"/>
          <w:sz w:val="24"/>
          <w:u w:val="single"/>
        </w:rPr>
        <w:t xml:space="preserve">                  </w:t>
      </w:r>
    </w:p>
    <w:p w14:paraId="725D06A0">
      <w:pPr>
        <w:pStyle w:val="11"/>
        <w:numPr>
          <w:ilvl w:val="0"/>
          <w:numId w:val="14"/>
        </w:numPr>
        <w:spacing w:line="520" w:lineRule="exact"/>
        <w:jc w:val="left"/>
        <w:rPr>
          <w:color w:val="auto"/>
          <w:sz w:val="24"/>
          <w:u w:val="single"/>
        </w:rPr>
      </w:pPr>
      <w:r>
        <w:rPr>
          <w:rFonts w:hint="eastAsia"/>
          <w:color w:val="auto"/>
          <w:sz w:val="24"/>
          <w:u w:val="single"/>
        </w:rPr>
        <w:t xml:space="preserve">                  </w:t>
      </w:r>
    </w:p>
    <w:p w14:paraId="23DAB3D0">
      <w:pPr>
        <w:pStyle w:val="11"/>
        <w:spacing w:line="520" w:lineRule="exact"/>
        <w:ind w:left="600"/>
        <w:jc w:val="left"/>
        <w:rPr>
          <w:color w:val="auto"/>
          <w:sz w:val="24"/>
        </w:rPr>
      </w:pPr>
      <w:r>
        <w:rPr>
          <w:rFonts w:hint="eastAsia"/>
          <w:color w:val="auto"/>
          <w:sz w:val="24"/>
        </w:rPr>
        <w:t>............</w:t>
      </w:r>
    </w:p>
    <w:p w14:paraId="15ABBF6D">
      <w:pPr>
        <w:spacing w:line="520" w:lineRule="exact"/>
        <w:ind w:left="27" w:right="16" w:firstLine="468" w:firstLineChars="200"/>
        <w:jc w:val="left"/>
        <w:rPr>
          <w:rFonts w:ascii="宋体" w:hAnsi="宋体" w:cs="宋体"/>
          <w:color w:val="auto"/>
          <w:sz w:val="24"/>
        </w:rPr>
      </w:pPr>
      <w:r>
        <w:rPr>
          <w:rFonts w:ascii="宋体" w:hAnsi="宋体" w:cs="宋体"/>
          <w:color w:val="auto"/>
          <w:spacing w:val="-3"/>
          <w:sz w:val="24"/>
        </w:rPr>
        <w:t>我单位承诺，合同签订后招标人核实我方所投产品达不到上述承诺</w:t>
      </w:r>
      <w:r>
        <w:rPr>
          <w:rFonts w:ascii="宋体" w:hAnsi="宋体" w:cs="宋体"/>
          <w:color w:val="auto"/>
          <w:spacing w:val="-4"/>
          <w:sz w:val="24"/>
        </w:rPr>
        <w:t>要求的，均按</w:t>
      </w:r>
      <w:r>
        <w:rPr>
          <w:rFonts w:ascii="宋体" w:hAnsi="宋体" w:cs="宋体"/>
          <w:color w:val="auto"/>
          <w:spacing w:val="-3"/>
          <w:sz w:val="24"/>
        </w:rPr>
        <w:t>我公司违约处理，招标人有权终止合同，由此产生的一切相关责任</w:t>
      </w:r>
      <w:r>
        <w:rPr>
          <w:rFonts w:ascii="宋体" w:hAnsi="宋体" w:cs="宋体"/>
          <w:color w:val="auto"/>
          <w:spacing w:val="-4"/>
          <w:sz w:val="24"/>
        </w:rPr>
        <w:t>和后果由我公</w:t>
      </w:r>
      <w:r>
        <w:rPr>
          <w:rFonts w:ascii="宋体" w:hAnsi="宋体" w:cs="宋体"/>
          <w:color w:val="auto"/>
          <w:spacing w:val="-2"/>
          <w:sz w:val="24"/>
        </w:rPr>
        <w:t>司自行承担。</w:t>
      </w:r>
    </w:p>
    <w:p w14:paraId="4C3DBEBF">
      <w:pPr>
        <w:pStyle w:val="11"/>
        <w:spacing w:line="249" w:lineRule="auto"/>
        <w:rPr>
          <w:color w:val="auto"/>
        </w:rPr>
      </w:pPr>
    </w:p>
    <w:p w14:paraId="78A046C0">
      <w:pPr>
        <w:pStyle w:val="11"/>
        <w:spacing w:line="250" w:lineRule="auto"/>
        <w:rPr>
          <w:color w:val="auto"/>
        </w:rPr>
      </w:pPr>
    </w:p>
    <w:p w14:paraId="5FE76BDD">
      <w:pPr>
        <w:pStyle w:val="11"/>
        <w:spacing w:line="250" w:lineRule="auto"/>
        <w:rPr>
          <w:color w:val="auto"/>
        </w:rPr>
      </w:pPr>
    </w:p>
    <w:p w14:paraId="31CE980D">
      <w:pPr>
        <w:adjustRightInd w:val="0"/>
        <w:snapToGrid w:val="0"/>
        <w:spacing w:line="640" w:lineRule="exact"/>
        <w:ind w:firstLine="480" w:firstLineChars="200"/>
        <w:jc w:val="right"/>
        <w:rPr>
          <w:rFonts w:ascii="宋体" w:hAnsi="宋体"/>
          <w:color w:val="auto"/>
          <w:sz w:val="24"/>
          <w:u w:val="single"/>
        </w:rPr>
      </w:pPr>
      <w:r>
        <w:rPr>
          <w:rFonts w:hint="eastAsia" w:ascii="宋体" w:hAnsi="宋体"/>
          <w:color w:val="auto"/>
          <w:sz w:val="24"/>
        </w:rPr>
        <w:t>投标人：</w:t>
      </w:r>
      <w:r>
        <w:rPr>
          <w:rFonts w:ascii="宋体" w:hAnsi="宋体"/>
          <w:color w:val="auto"/>
          <w:sz w:val="24"/>
          <w:u w:val="single"/>
        </w:rPr>
        <w:t xml:space="preserve">                         </w:t>
      </w:r>
      <w:r>
        <w:rPr>
          <w:rFonts w:hint="eastAsia" w:ascii="宋体" w:hAnsi="宋体"/>
          <w:color w:val="auto"/>
          <w:sz w:val="24"/>
        </w:rPr>
        <w:t>（签章）</w:t>
      </w:r>
    </w:p>
    <w:p w14:paraId="7F5FCD82">
      <w:pPr>
        <w:adjustRightInd w:val="0"/>
        <w:snapToGrid w:val="0"/>
        <w:spacing w:line="640" w:lineRule="exact"/>
        <w:ind w:firstLine="480" w:firstLineChars="200"/>
        <w:jc w:val="right"/>
        <w:rPr>
          <w:rFonts w:ascii="宋体" w:hAnsi="宋体"/>
          <w:color w:val="auto"/>
          <w:sz w:val="24"/>
        </w:rPr>
      </w:pPr>
      <w:r>
        <w:rPr>
          <w:rFonts w:hint="eastAsia" w:ascii="宋体" w:hAnsi="宋体"/>
          <w:color w:val="auto"/>
          <w:sz w:val="24"/>
        </w:rPr>
        <w:t>法定代表人：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（签章）</w:t>
      </w:r>
    </w:p>
    <w:p w14:paraId="1AA19781">
      <w:pPr>
        <w:spacing w:line="640" w:lineRule="exact"/>
        <w:ind w:firstLine="480" w:firstLineChars="200"/>
        <w:jc w:val="right"/>
        <w:rPr>
          <w:rFonts w:ascii="宋体" w:hAnsi="宋体"/>
          <w:color w:val="auto"/>
          <w:sz w:val="24"/>
        </w:rPr>
      </w:pPr>
      <w:r>
        <w:rPr>
          <w:rFonts w:hint="eastAsia" w:ascii="宋体" w:hAnsi="宋体"/>
          <w:color w:val="auto"/>
          <w:sz w:val="24"/>
        </w:rPr>
        <w:t>日期：      年   月    日</w:t>
      </w:r>
      <w:bookmarkStart w:id="871" w:name="_Toc95223547"/>
    </w:p>
    <w:p w14:paraId="7C2ABFFA">
      <w:pPr>
        <w:pStyle w:val="4"/>
        <w:adjustRightInd w:val="0"/>
        <w:snapToGrid w:val="0"/>
        <w:spacing w:line="560" w:lineRule="exact"/>
        <w:jc w:val="center"/>
        <w:rPr>
          <w:color w:val="auto"/>
        </w:rPr>
      </w:pPr>
    </w:p>
    <w:p w14:paraId="36D15D03">
      <w:pPr>
        <w:pStyle w:val="4"/>
        <w:adjustRightInd w:val="0"/>
        <w:snapToGrid w:val="0"/>
        <w:spacing w:line="560" w:lineRule="exact"/>
        <w:jc w:val="center"/>
        <w:rPr>
          <w:rFonts w:hint="default"/>
          <w:color w:val="auto"/>
          <w:lang w:val="en-US" w:eastAsia="zh-CN"/>
        </w:rPr>
      </w:pPr>
      <w:r>
        <w:rPr>
          <w:rFonts w:hint="eastAsia"/>
          <w:color w:val="auto"/>
          <w:lang w:eastAsia="zh-CN"/>
        </w:rPr>
        <w:t>（</w:t>
      </w:r>
      <w:r>
        <w:rPr>
          <w:rFonts w:hint="eastAsia"/>
          <w:color w:val="auto"/>
          <w:lang w:val="en-US" w:eastAsia="zh-CN"/>
        </w:rPr>
        <w:t>4）</w:t>
      </w:r>
      <w:r>
        <w:rPr>
          <w:rFonts w:hint="eastAsia"/>
          <w:color w:val="auto"/>
        </w:rPr>
        <w:t>全国建筑市场监管公共服务平台(四库一平台)企业注册人员网页截图</w:t>
      </w:r>
    </w:p>
    <w:p w14:paraId="25F68E4F">
      <w:pPr>
        <w:pStyle w:val="4"/>
        <w:adjustRightInd w:val="0"/>
        <w:snapToGrid w:val="0"/>
        <w:spacing w:line="560" w:lineRule="exact"/>
        <w:jc w:val="center"/>
        <w:rPr>
          <w:color w:val="auto"/>
        </w:rPr>
      </w:pPr>
    </w:p>
    <w:p w14:paraId="5AAAAA36">
      <w:pPr>
        <w:pStyle w:val="4"/>
        <w:adjustRightInd w:val="0"/>
        <w:snapToGrid w:val="0"/>
        <w:spacing w:line="560" w:lineRule="exact"/>
        <w:jc w:val="center"/>
        <w:rPr>
          <w:color w:val="auto"/>
        </w:rPr>
      </w:pPr>
      <w:r>
        <w:rPr>
          <w:rFonts w:hint="eastAsia"/>
          <w:color w:val="auto"/>
        </w:rPr>
        <w:t>（</w:t>
      </w:r>
      <w:r>
        <w:rPr>
          <w:rFonts w:hint="eastAsia"/>
          <w:color w:val="auto"/>
          <w:lang w:val="en-US" w:eastAsia="zh-CN"/>
        </w:rPr>
        <w:t>5</w:t>
      </w:r>
      <w:r>
        <w:rPr>
          <w:rFonts w:hint="eastAsia"/>
          <w:color w:val="auto"/>
        </w:rPr>
        <w:t>）商务标评审所需其他材料（如有）</w:t>
      </w:r>
    </w:p>
    <w:p w14:paraId="74A07414">
      <w:pPr>
        <w:spacing w:line="640" w:lineRule="exact"/>
        <w:ind w:firstLine="420" w:firstLineChars="200"/>
        <w:jc w:val="right"/>
        <w:rPr>
          <w:color w:val="auto"/>
        </w:rPr>
      </w:pPr>
      <w:r>
        <w:rPr>
          <w:rFonts w:hint="eastAsia"/>
          <w:color w:val="auto"/>
        </w:rPr>
        <w:br w:type="page"/>
      </w:r>
    </w:p>
    <w:p w14:paraId="646F6AD7">
      <w:pPr>
        <w:pStyle w:val="4"/>
        <w:adjustRightInd w:val="0"/>
        <w:snapToGrid w:val="0"/>
        <w:spacing w:line="560" w:lineRule="exact"/>
        <w:jc w:val="center"/>
        <w:rPr>
          <w:rFonts w:ascii="宋体" w:hAnsi="宋体" w:cs="宋体"/>
          <w:color w:val="auto"/>
          <w:kern w:val="44"/>
          <w:sz w:val="36"/>
          <w:szCs w:val="36"/>
        </w:rPr>
      </w:pPr>
      <w:r>
        <w:rPr>
          <w:rFonts w:hint="eastAsia" w:ascii="宋体" w:hAnsi="宋体" w:cs="宋体"/>
          <w:color w:val="auto"/>
          <w:kern w:val="44"/>
          <w:sz w:val="36"/>
          <w:szCs w:val="36"/>
        </w:rPr>
        <w:t>第十章  招标</w:t>
      </w:r>
      <w:bookmarkStart w:id="872" w:name="_Toc60061593"/>
      <w:r>
        <w:rPr>
          <w:rFonts w:hint="eastAsia" w:ascii="宋体" w:hAnsi="宋体" w:cs="宋体"/>
          <w:color w:val="auto"/>
          <w:kern w:val="44"/>
          <w:sz w:val="36"/>
          <w:szCs w:val="36"/>
        </w:rPr>
        <w:t>人、招标代理机构对本招标文件的确认</w:t>
      </w:r>
      <w:bookmarkEnd w:id="871"/>
      <w:bookmarkEnd w:id="872"/>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1572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3" w:hRule="atLeast"/>
          <w:jc w:val="center"/>
        </w:trPr>
        <w:tc>
          <w:tcPr>
            <w:tcW w:w="9580" w:type="dxa"/>
          </w:tcPr>
          <w:p w14:paraId="4BB713B4">
            <w:pPr>
              <w:adjustRightInd w:val="0"/>
              <w:snapToGrid w:val="0"/>
              <w:spacing w:line="560" w:lineRule="exact"/>
              <w:rPr>
                <w:color w:val="auto"/>
                <w:sz w:val="30"/>
              </w:rPr>
            </w:pPr>
          </w:p>
          <w:p w14:paraId="3B4A519F">
            <w:pPr>
              <w:adjustRightInd w:val="0"/>
              <w:snapToGrid w:val="0"/>
              <w:spacing w:line="560" w:lineRule="exact"/>
              <w:ind w:firstLine="700" w:firstLineChars="250"/>
              <w:rPr>
                <w:color w:val="auto"/>
                <w:sz w:val="28"/>
                <w:szCs w:val="28"/>
              </w:rPr>
            </w:pPr>
            <w:r>
              <w:rPr>
                <w:rFonts w:hint="eastAsia"/>
                <w:color w:val="auto"/>
                <w:sz w:val="28"/>
                <w:szCs w:val="28"/>
              </w:rPr>
              <w:t>我单位对</w:t>
            </w:r>
            <w:r>
              <w:rPr>
                <w:rFonts w:hint="eastAsia" w:ascii="宋体" w:hAnsi="宋体" w:cs="宋体"/>
                <w:b/>
                <w:color w:val="auto"/>
                <w:kern w:val="0"/>
                <w:sz w:val="28"/>
                <w:szCs w:val="28"/>
                <w:u w:val="single"/>
              </w:rPr>
              <w:t xml:space="preserve"> </w:t>
            </w:r>
            <w:bookmarkStart w:id="873" w:name="_Toc15058950"/>
            <w:bookmarkStart w:id="874" w:name="_Toc506107366"/>
            <w:bookmarkStart w:id="875" w:name="_Toc60061594"/>
            <w:r>
              <w:rPr>
                <w:rFonts w:hint="eastAsia" w:ascii="宋体" w:hAnsi="宋体" w:cs="宋体"/>
                <w:b/>
                <w:color w:val="auto"/>
                <w:kern w:val="0"/>
                <w:sz w:val="28"/>
                <w:szCs w:val="28"/>
                <w:u w:val="single"/>
              </w:rPr>
              <w:t xml:space="preserve"> 滁州市自来水有限公司水厂水质保障提升</w:t>
            </w:r>
            <w:r>
              <w:rPr>
                <w:rFonts w:hint="eastAsia" w:ascii="宋体" w:hAnsi="宋体" w:cs="宋体"/>
                <w:b/>
                <w:color w:val="auto"/>
                <w:kern w:val="0"/>
                <w:sz w:val="28"/>
                <w:szCs w:val="28"/>
                <w:u w:val="single"/>
                <w:lang w:val="en-US" w:eastAsia="zh-CN"/>
              </w:rPr>
              <w:t>改造</w:t>
            </w:r>
            <w:r>
              <w:rPr>
                <w:rFonts w:hint="eastAsia" w:ascii="宋体" w:hAnsi="宋体" w:cs="宋体"/>
                <w:b/>
                <w:color w:val="auto"/>
                <w:kern w:val="0"/>
                <w:sz w:val="28"/>
                <w:szCs w:val="28"/>
                <w:u w:val="single"/>
              </w:rPr>
              <w:t>项目</w:t>
            </w:r>
            <w:r>
              <w:rPr>
                <w:rFonts w:hint="eastAsia"/>
                <w:color w:val="auto"/>
                <w:sz w:val="28"/>
                <w:szCs w:val="28"/>
                <w:u w:val="single"/>
              </w:rPr>
              <w:t xml:space="preserve"> </w:t>
            </w:r>
            <w:r>
              <w:rPr>
                <w:rFonts w:hint="eastAsia" w:ascii="宋体" w:hAnsi="宋体" w:cs="宋体"/>
                <w:color w:val="auto"/>
                <w:kern w:val="0"/>
                <w:sz w:val="28"/>
                <w:szCs w:val="28"/>
              </w:rPr>
              <w:t>施工招</w:t>
            </w:r>
            <w:bookmarkEnd w:id="873"/>
            <w:bookmarkEnd w:id="874"/>
            <w:bookmarkEnd w:id="875"/>
            <w:r>
              <w:rPr>
                <w:rFonts w:hint="eastAsia" w:ascii="宋体" w:hAnsi="宋体" w:cs="宋体"/>
                <w:color w:val="auto"/>
                <w:kern w:val="0"/>
                <w:sz w:val="28"/>
                <w:szCs w:val="28"/>
              </w:rPr>
              <w:t>标</w:t>
            </w:r>
            <w:r>
              <w:rPr>
                <w:rFonts w:hint="eastAsia"/>
                <w:color w:val="auto"/>
                <w:sz w:val="28"/>
                <w:szCs w:val="28"/>
              </w:rPr>
              <w:t>的招标文件进行确认。</w:t>
            </w:r>
          </w:p>
          <w:p w14:paraId="527498C1">
            <w:pPr>
              <w:adjustRightInd w:val="0"/>
              <w:snapToGrid w:val="0"/>
              <w:spacing w:line="560" w:lineRule="exact"/>
              <w:rPr>
                <w:rFonts w:ascii="宋体" w:hAnsi="宋体"/>
                <w:color w:val="auto"/>
                <w:sz w:val="28"/>
                <w:szCs w:val="28"/>
              </w:rPr>
            </w:pPr>
            <w:r>
              <w:rPr>
                <w:rFonts w:hint="eastAsia"/>
                <w:color w:val="auto"/>
                <w:sz w:val="30"/>
                <w:szCs w:val="30"/>
              </w:rPr>
              <w:t xml:space="preserve">   </w:t>
            </w:r>
            <w:r>
              <w:rPr>
                <w:rFonts w:hint="eastAsia" w:ascii="宋体" w:hAnsi="宋体"/>
                <w:color w:val="auto"/>
                <w:sz w:val="30"/>
                <w:szCs w:val="30"/>
              </w:rPr>
              <w:t xml:space="preserve"> </w:t>
            </w:r>
            <w:r>
              <w:rPr>
                <w:rFonts w:hint="eastAsia" w:ascii="宋体" w:hAnsi="宋体"/>
                <w:color w:val="auto"/>
                <w:sz w:val="28"/>
                <w:szCs w:val="28"/>
              </w:rPr>
              <w:t xml:space="preserve">招 标 人：滁州市自来水有限公司      </w:t>
            </w:r>
          </w:p>
          <w:p w14:paraId="2C3F632B">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 xml:space="preserve">联 系 人：黄胜前 </w:t>
            </w:r>
          </w:p>
          <w:p w14:paraId="34A0AE2E">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联系电话：0550-3068029</w:t>
            </w:r>
          </w:p>
          <w:p w14:paraId="1EB08FDD">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 xml:space="preserve">                                                                      </w:t>
            </w:r>
          </w:p>
          <w:p w14:paraId="0F967E74">
            <w:pPr>
              <w:adjustRightInd w:val="0"/>
              <w:snapToGrid w:val="0"/>
              <w:spacing w:line="560" w:lineRule="exact"/>
              <w:ind w:firstLine="6580" w:firstLineChars="2350"/>
              <w:rPr>
                <w:rFonts w:ascii="宋体" w:hAnsi="宋体"/>
                <w:color w:val="auto"/>
                <w:sz w:val="28"/>
                <w:szCs w:val="28"/>
              </w:rPr>
            </w:pPr>
            <w:r>
              <w:rPr>
                <w:rFonts w:hint="eastAsia" w:ascii="宋体" w:hAnsi="宋体"/>
                <w:color w:val="auto"/>
                <w:sz w:val="28"/>
                <w:szCs w:val="28"/>
              </w:rPr>
              <w:t>（</w:t>
            </w:r>
            <w:r>
              <w:rPr>
                <w:rFonts w:eastAsia="黑体"/>
                <w:color w:val="auto"/>
                <w:sz w:val="28"/>
                <w:szCs w:val="28"/>
              </w:rPr>
              <w:t>签</w:t>
            </w:r>
            <w:r>
              <w:rPr>
                <w:rFonts w:hint="eastAsia" w:eastAsia="黑体"/>
                <w:color w:val="auto"/>
                <w:sz w:val="28"/>
                <w:szCs w:val="28"/>
              </w:rPr>
              <w:t>章</w:t>
            </w:r>
            <w:r>
              <w:rPr>
                <w:rFonts w:hint="eastAsia" w:ascii="宋体" w:hAnsi="宋体"/>
                <w:color w:val="auto"/>
                <w:sz w:val="28"/>
                <w:szCs w:val="28"/>
              </w:rPr>
              <w:t>）</w:t>
            </w:r>
          </w:p>
          <w:p w14:paraId="0C09B292">
            <w:pPr>
              <w:adjustRightInd w:val="0"/>
              <w:snapToGrid w:val="0"/>
              <w:spacing w:line="560" w:lineRule="exact"/>
              <w:ind w:firstLine="5040" w:firstLineChars="1800"/>
              <w:rPr>
                <w:color w:val="auto"/>
                <w:sz w:val="30"/>
              </w:rPr>
            </w:pPr>
            <w:r>
              <w:rPr>
                <w:rFonts w:hint="eastAsia" w:ascii="宋体" w:hAnsi="宋体"/>
                <w:color w:val="auto"/>
                <w:sz w:val="28"/>
                <w:szCs w:val="28"/>
              </w:rPr>
              <w:t xml:space="preserve">         2025年9月</w:t>
            </w:r>
            <w:r>
              <w:rPr>
                <w:rFonts w:hint="eastAsia" w:ascii="宋体" w:hAnsi="宋体"/>
                <w:color w:val="auto"/>
                <w:sz w:val="28"/>
                <w:szCs w:val="28"/>
                <w:lang w:val="en-US" w:eastAsia="zh-CN"/>
              </w:rPr>
              <w:t>17</w:t>
            </w:r>
            <w:r>
              <w:rPr>
                <w:rFonts w:hint="eastAsia" w:ascii="宋体" w:hAnsi="宋体"/>
                <w:color w:val="auto"/>
                <w:sz w:val="28"/>
                <w:szCs w:val="28"/>
              </w:rPr>
              <w:t>日</w:t>
            </w:r>
          </w:p>
        </w:tc>
      </w:tr>
      <w:tr w14:paraId="7FF7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6" w:hRule="atLeast"/>
          <w:jc w:val="center"/>
        </w:trPr>
        <w:tc>
          <w:tcPr>
            <w:tcW w:w="9580" w:type="dxa"/>
          </w:tcPr>
          <w:p w14:paraId="1A62487B">
            <w:pPr>
              <w:adjustRightInd w:val="0"/>
              <w:snapToGrid w:val="0"/>
              <w:spacing w:line="560" w:lineRule="exact"/>
              <w:ind w:firstLine="600" w:firstLineChars="200"/>
              <w:rPr>
                <w:color w:val="auto"/>
                <w:sz w:val="30"/>
              </w:rPr>
            </w:pPr>
          </w:p>
          <w:p w14:paraId="471BF4CE">
            <w:pPr>
              <w:adjustRightInd w:val="0"/>
              <w:snapToGrid w:val="0"/>
              <w:spacing w:line="560" w:lineRule="exact"/>
              <w:ind w:firstLine="560" w:firstLineChars="200"/>
              <w:rPr>
                <w:color w:val="auto"/>
                <w:sz w:val="28"/>
                <w:szCs w:val="28"/>
              </w:rPr>
            </w:pPr>
            <w:r>
              <w:rPr>
                <w:rFonts w:hint="eastAsia"/>
                <w:color w:val="auto"/>
                <w:sz w:val="28"/>
                <w:szCs w:val="28"/>
              </w:rPr>
              <w:t>招标代理机构：滁州市城投工程咨询管理有限公司</w:t>
            </w:r>
          </w:p>
          <w:p w14:paraId="25AB5CF3">
            <w:pPr>
              <w:adjustRightInd w:val="0"/>
              <w:snapToGrid w:val="0"/>
              <w:spacing w:line="560" w:lineRule="exact"/>
              <w:ind w:firstLine="560" w:firstLineChars="200"/>
              <w:rPr>
                <w:color w:val="auto"/>
                <w:sz w:val="28"/>
                <w:szCs w:val="28"/>
              </w:rPr>
            </w:pPr>
            <w:r>
              <w:rPr>
                <w:rFonts w:hint="eastAsia"/>
                <w:color w:val="auto"/>
                <w:sz w:val="28"/>
                <w:szCs w:val="28"/>
              </w:rPr>
              <w:t>联系人：杨韦</w:t>
            </w:r>
          </w:p>
          <w:p w14:paraId="433341EC">
            <w:pPr>
              <w:adjustRightInd w:val="0"/>
              <w:snapToGrid w:val="0"/>
              <w:spacing w:line="560" w:lineRule="exact"/>
              <w:ind w:firstLine="560" w:firstLineChars="200"/>
              <w:rPr>
                <w:color w:val="auto"/>
                <w:sz w:val="28"/>
                <w:szCs w:val="28"/>
              </w:rPr>
            </w:pPr>
            <w:r>
              <w:rPr>
                <w:rFonts w:hint="eastAsia"/>
                <w:color w:val="auto"/>
                <w:sz w:val="28"/>
                <w:szCs w:val="28"/>
              </w:rPr>
              <w:t>联系电话：0550-3519590</w:t>
            </w:r>
          </w:p>
          <w:p w14:paraId="4FA87A0E">
            <w:pPr>
              <w:adjustRightInd w:val="0"/>
              <w:snapToGrid w:val="0"/>
              <w:spacing w:line="560" w:lineRule="exact"/>
              <w:ind w:firstLine="280" w:firstLineChars="100"/>
              <w:rPr>
                <w:color w:val="auto"/>
                <w:sz w:val="28"/>
                <w:szCs w:val="28"/>
              </w:rPr>
            </w:pPr>
            <w:r>
              <w:rPr>
                <w:rFonts w:hint="eastAsia"/>
                <w:color w:val="auto"/>
                <w:sz w:val="28"/>
                <w:szCs w:val="28"/>
              </w:rPr>
              <w:t xml:space="preserve">                                  </w:t>
            </w:r>
          </w:p>
          <w:p w14:paraId="5323831A">
            <w:pPr>
              <w:adjustRightInd w:val="0"/>
              <w:snapToGrid w:val="0"/>
              <w:spacing w:line="560" w:lineRule="exact"/>
              <w:ind w:firstLine="280" w:firstLineChars="100"/>
              <w:rPr>
                <w:color w:val="auto"/>
                <w:sz w:val="28"/>
                <w:szCs w:val="28"/>
              </w:rPr>
            </w:pPr>
          </w:p>
          <w:p w14:paraId="1B412894">
            <w:pPr>
              <w:adjustRightInd w:val="0"/>
              <w:snapToGrid w:val="0"/>
              <w:spacing w:line="560" w:lineRule="exact"/>
              <w:ind w:firstLine="280" w:firstLineChars="100"/>
              <w:jc w:val="center"/>
              <w:rPr>
                <w:color w:val="auto"/>
                <w:sz w:val="28"/>
                <w:szCs w:val="28"/>
              </w:rPr>
            </w:pPr>
            <w:r>
              <w:rPr>
                <w:rFonts w:hint="eastAsia"/>
                <w:color w:val="auto"/>
                <w:sz w:val="28"/>
                <w:szCs w:val="28"/>
              </w:rPr>
              <w:t xml:space="preserve">                               （</w:t>
            </w:r>
            <w:r>
              <w:rPr>
                <w:rFonts w:eastAsia="黑体"/>
                <w:color w:val="auto"/>
                <w:sz w:val="28"/>
                <w:szCs w:val="28"/>
              </w:rPr>
              <w:t>签</w:t>
            </w:r>
            <w:r>
              <w:rPr>
                <w:rFonts w:hint="eastAsia" w:eastAsia="黑体"/>
                <w:color w:val="auto"/>
                <w:sz w:val="28"/>
                <w:szCs w:val="28"/>
              </w:rPr>
              <w:t>章</w:t>
            </w:r>
            <w:r>
              <w:rPr>
                <w:rFonts w:hint="eastAsia"/>
                <w:color w:val="auto"/>
                <w:sz w:val="28"/>
                <w:szCs w:val="28"/>
              </w:rPr>
              <w:t>）</w:t>
            </w:r>
          </w:p>
          <w:p w14:paraId="42ECE2D0">
            <w:pPr>
              <w:adjustRightInd w:val="0"/>
              <w:snapToGrid w:val="0"/>
              <w:spacing w:line="560" w:lineRule="exact"/>
              <w:ind w:firstLine="4900" w:firstLineChars="1750"/>
              <w:rPr>
                <w:color w:val="auto"/>
                <w:sz w:val="30"/>
              </w:rPr>
            </w:pPr>
            <w:r>
              <w:rPr>
                <w:rFonts w:hint="eastAsia"/>
                <w:color w:val="auto"/>
                <w:sz w:val="28"/>
                <w:szCs w:val="28"/>
              </w:rPr>
              <w:t xml:space="preserve">         2025年9月</w:t>
            </w:r>
            <w:r>
              <w:rPr>
                <w:rFonts w:hint="eastAsia"/>
                <w:color w:val="auto"/>
                <w:sz w:val="28"/>
                <w:szCs w:val="28"/>
                <w:lang w:val="en-US" w:eastAsia="zh-CN"/>
              </w:rPr>
              <w:t>17</w:t>
            </w:r>
            <w:r>
              <w:rPr>
                <w:rFonts w:hint="eastAsia"/>
                <w:color w:val="auto"/>
                <w:sz w:val="28"/>
                <w:szCs w:val="28"/>
              </w:rPr>
              <w:t>日</w:t>
            </w:r>
          </w:p>
        </w:tc>
      </w:tr>
    </w:tbl>
    <w:p w14:paraId="24339F50">
      <w:pPr>
        <w:keepNext/>
        <w:keepLines/>
        <w:spacing w:before="200" w:after="200" w:line="600" w:lineRule="exact"/>
        <w:outlineLvl w:val="0"/>
        <w:rPr>
          <w:rFonts w:ascii="黑体" w:hAnsi="黑体" w:eastAsia="黑体"/>
          <w:b/>
          <w:bCs/>
          <w:color w:val="auto"/>
          <w:kern w:val="44"/>
          <w:sz w:val="28"/>
          <w:szCs w:val="28"/>
        </w:rPr>
      </w:pPr>
      <w:r>
        <w:rPr>
          <w:rFonts w:hint="eastAsia"/>
          <w:color w:val="auto"/>
          <w:sz w:val="24"/>
        </w:rPr>
        <w:br w:type="page"/>
      </w:r>
      <w:bookmarkStart w:id="876" w:name="OLE_LINK7"/>
      <w:bookmarkStart w:id="877" w:name="OLE_LINK24"/>
      <w:bookmarkStart w:id="878" w:name="OLE_LINK25"/>
      <w:r>
        <w:rPr>
          <w:rFonts w:hint="eastAsia" w:ascii="黑体" w:hAnsi="黑体" w:eastAsia="黑体"/>
          <w:b/>
          <w:bCs/>
          <w:color w:val="auto"/>
          <w:kern w:val="44"/>
          <w:sz w:val="36"/>
          <w:szCs w:val="28"/>
        </w:rPr>
        <w:t>附件1 关于联合惩戒失信行为加强信用查询管理的通知</w:t>
      </w:r>
    </w:p>
    <w:bookmarkEnd w:id="876"/>
    <w:p w14:paraId="54381111">
      <w:pPr>
        <w:adjustRightInd w:val="0"/>
        <w:snapToGrid w:val="0"/>
        <w:spacing w:line="560" w:lineRule="exact"/>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一、失信行为联合惩戒的范围和查询渠道</w:t>
      </w:r>
    </w:p>
    <w:p w14:paraId="028AFD1B">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在我市公共资源交易活动中对存在下列失信行为的投标人、法定代表人及其项目经理（建造师）实施联合惩戒，禁止参与我市公共资源交易活动。</w:t>
      </w:r>
    </w:p>
    <w:p w14:paraId="406C69B3">
      <w:pPr>
        <w:adjustRightInd w:val="0"/>
        <w:snapToGrid w:val="0"/>
        <w:spacing w:line="560" w:lineRule="exact"/>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（一）工程建设项目</w:t>
      </w:r>
    </w:p>
    <w:bookmarkEnd w:id="877"/>
    <w:bookmarkEnd w:id="878"/>
    <w:p w14:paraId="48B2B29F">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1、“信用中国”网站（www.creditchina.gov.cn）查询</w:t>
      </w:r>
      <w:bookmarkStart w:id="879" w:name="OLE_LINK91"/>
      <w:bookmarkStart w:id="880" w:name="OLE_LINK92"/>
      <w:bookmarkStart w:id="881" w:name="OLE_LINK93"/>
      <w:bookmarkStart w:id="882" w:name="OLE_LINK103"/>
      <w:r>
        <w:rPr>
          <w:rFonts w:hint="eastAsia" w:ascii="仿宋_GB2312" w:hAnsi="宋体" w:eastAsia="仿宋_GB2312"/>
          <w:color w:val="auto"/>
          <w:sz w:val="28"/>
          <w:szCs w:val="28"/>
        </w:rPr>
        <w:t>投标人、法定代表人及其项目经理(建造师)</w:t>
      </w:r>
      <w:bookmarkEnd w:id="879"/>
      <w:bookmarkEnd w:id="880"/>
      <w:bookmarkEnd w:id="881"/>
      <w:bookmarkEnd w:id="882"/>
      <w:r>
        <w:rPr>
          <w:rFonts w:hint="eastAsia" w:ascii="仿宋_GB2312" w:hAnsi="宋体" w:eastAsia="仿宋_GB2312"/>
          <w:color w:val="auto"/>
          <w:sz w:val="28"/>
          <w:szCs w:val="28"/>
        </w:rPr>
        <w:t>以下失信行为：</w:t>
      </w:r>
    </w:p>
    <w:p w14:paraId="07048F00">
      <w:pPr>
        <w:adjustRightInd w:val="0"/>
        <w:snapToGrid w:val="0"/>
        <w:spacing w:line="560" w:lineRule="exact"/>
        <w:ind w:firstLine="560" w:firstLineChars="200"/>
        <w:rPr>
          <w:rFonts w:ascii="仿宋_GB2312" w:hAnsi="宋体" w:eastAsia="仿宋_GB2312"/>
          <w:color w:val="auto"/>
          <w:sz w:val="28"/>
          <w:szCs w:val="28"/>
        </w:rPr>
      </w:pPr>
      <w:bookmarkStart w:id="883" w:name="OLE_LINK119"/>
      <w:bookmarkStart w:id="884" w:name="OLE_LINK87"/>
      <w:bookmarkStart w:id="885" w:name="OLE_LINK94"/>
      <w:bookmarkStart w:id="886" w:name="OLE_LINK86"/>
      <w:r>
        <w:rPr>
          <w:rFonts w:hint="eastAsia" w:ascii="仿宋_GB2312" w:hAnsi="宋体" w:eastAsia="仿宋_GB2312"/>
          <w:color w:val="auto"/>
          <w:sz w:val="28"/>
          <w:szCs w:val="28"/>
        </w:rPr>
        <w:t>①被列入“失信被执行人”的;</w:t>
      </w:r>
    </w:p>
    <w:p w14:paraId="7F436DB8">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②被列入</w:t>
      </w:r>
      <w:bookmarkStart w:id="887" w:name="OLE_LINK117"/>
      <w:bookmarkStart w:id="888" w:name="OLE_LINK115"/>
      <w:bookmarkStart w:id="889" w:name="OLE_LINK118"/>
      <w:bookmarkStart w:id="890" w:name="OLE_LINK116"/>
      <w:r>
        <w:rPr>
          <w:rFonts w:hint="eastAsia" w:ascii="仿宋_GB2312" w:hAnsi="宋体" w:eastAsia="仿宋_GB2312"/>
          <w:color w:val="auto"/>
          <w:sz w:val="28"/>
          <w:szCs w:val="28"/>
        </w:rPr>
        <w:t>“重大税收违法失信主体”</w:t>
      </w:r>
      <w:bookmarkEnd w:id="887"/>
      <w:bookmarkEnd w:id="888"/>
      <w:bookmarkEnd w:id="889"/>
      <w:bookmarkEnd w:id="890"/>
      <w:r>
        <w:rPr>
          <w:rFonts w:hint="eastAsia" w:ascii="仿宋_GB2312" w:hAnsi="宋体" w:eastAsia="仿宋_GB2312"/>
          <w:color w:val="auto"/>
          <w:sz w:val="28"/>
          <w:szCs w:val="28"/>
        </w:rPr>
        <w:t>的；</w:t>
      </w:r>
    </w:p>
    <w:p w14:paraId="64D1A84A">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③被列入“拖欠</w:t>
      </w:r>
      <w:bookmarkStart w:id="891" w:name="OLE_LINK85"/>
      <w:bookmarkStart w:id="892" w:name="OLE_LINK84"/>
      <w:r>
        <w:rPr>
          <w:rFonts w:hint="eastAsia" w:ascii="仿宋_GB2312" w:hAnsi="宋体" w:eastAsia="仿宋_GB2312"/>
          <w:color w:val="auto"/>
          <w:sz w:val="28"/>
          <w:szCs w:val="28"/>
        </w:rPr>
        <w:t>农民工工资失信联合惩戒对象</w:t>
      </w:r>
      <w:bookmarkEnd w:id="891"/>
      <w:bookmarkEnd w:id="892"/>
      <w:r>
        <w:rPr>
          <w:rFonts w:hint="eastAsia" w:ascii="仿宋_GB2312" w:hAnsi="宋体" w:eastAsia="仿宋_GB2312"/>
          <w:color w:val="auto"/>
          <w:sz w:val="28"/>
          <w:szCs w:val="28"/>
        </w:rPr>
        <w:t>名单”的；</w:t>
      </w:r>
    </w:p>
    <w:p w14:paraId="403CBC15">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④被列入 “严重失信主体名单”的；</w:t>
      </w:r>
    </w:p>
    <w:p w14:paraId="32455137">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⑤在“信用中国”网站上披露的仍在公示期的严重失信行为(具体行为类别及判定依据见附件2)的。</w:t>
      </w:r>
    </w:p>
    <w:bookmarkEnd w:id="883"/>
    <w:bookmarkEnd w:id="884"/>
    <w:bookmarkEnd w:id="885"/>
    <w:bookmarkEnd w:id="886"/>
    <w:p w14:paraId="50E41F95">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w:t>
      </w:r>
      <w:bookmarkStart w:id="893" w:name="OLE_LINK130"/>
      <w:r>
        <w:rPr>
          <w:rFonts w:hint="eastAsia" w:ascii="仿宋_GB2312" w:hAnsi="宋体" w:eastAsia="仿宋_GB2312"/>
          <w:color w:val="auto"/>
          <w:sz w:val="28"/>
          <w:szCs w:val="28"/>
        </w:rPr>
        <w:t>国家企业信用信息公示系统网站</w:t>
      </w:r>
      <w:bookmarkEnd w:id="893"/>
      <w:r>
        <w:rPr>
          <w:rFonts w:hint="eastAsia" w:ascii="仿宋_GB2312" w:hAnsi="宋体" w:eastAsia="仿宋_GB2312"/>
          <w:color w:val="auto"/>
          <w:sz w:val="28"/>
          <w:szCs w:val="28"/>
        </w:rPr>
        <w:t>（</w:t>
      </w:r>
      <w:r>
        <w:rPr>
          <w:color w:val="auto"/>
        </w:rPr>
        <w:fldChar w:fldCharType="begin"/>
      </w:r>
      <w:r>
        <w:rPr>
          <w:color w:val="auto"/>
        </w:rPr>
        <w:instrText xml:space="preserve"> HYPERLINK "http://www.gsxt.gov.cn）查询" </w:instrText>
      </w:r>
      <w:r>
        <w:rPr>
          <w:color w:val="auto"/>
        </w:rPr>
        <w:fldChar w:fldCharType="separate"/>
      </w:r>
      <w:bookmarkStart w:id="894" w:name="OLE_LINK90"/>
      <w:bookmarkStart w:id="895" w:name="OLE_LINK89"/>
      <w:r>
        <w:rPr>
          <w:rStyle w:val="33"/>
          <w:rFonts w:hint="eastAsia" w:ascii="仿宋_GB2312" w:hAnsi="宋体" w:eastAsia="仿宋_GB2312"/>
          <w:color w:val="auto"/>
          <w:sz w:val="28"/>
          <w:szCs w:val="28"/>
        </w:rPr>
        <w:t>www.gsxt.gov.cn</w:t>
      </w:r>
      <w:bookmarkEnd w:id="894"/>
      <w:bookmarkEnd w:id="895"/>
      <w:r>
        <w:rPr>
          <w:rStyle w:val="33"/>
          <w:rFonts w:hint="eastAsia" w:ascii="仿宋_GB2312" w:hAnsi="宋体" w:eastAsia="仿宋_GB2312"/>
          <w:color w:val="auto"/>
          <w:sz w:val="28"/>
          <w:szCs w:val="28"/>
        </w:rPr>
        <w:t>）</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查询投标人以下失信行为：</w:t>
      </w:r>
    </w:p>
    <w:p w14:paraId="5CA9FC8D">
      <w:pPr>
        <w:adjustRightInd w:val="0"/>
        <w:snapToGrid w:val="0"/>
        <w:spacing w:line="560" w:lineRule="exact"/>
        <w:ind w:firstLine="560" w:firstLineChars="200"/>
        <w:rPr>
          <w:rFonts w:ascii="仿宋_GB2312" w:hAnsi="宋体" w:eastAsia="仿宋_GB2312"/>
          <w:color w:val="auto"/>
          <w:sz w:val="28"/>
          <w:szCs w:val="28"/>
        </w:rPr>
      </w:pPr>
      <w:bookmarkStart w:id="896" w:name="OLE_LINK120"/>
      <w:bookmarkStart w:id="897" w:name="OLE_LINK122"/>
      <w:bookmarkStart w:id="898" w:name="OLE_LINK121"/>
      <w:r>
        <w:rPr>
          <w:rFonts w:hint="eastAsia" w:ascii="仿宋_GB2312" w:hAnsi="宋体" w:eastAsia="仿宋_GB2312"/>
          <w:color w:val="auto"/>
          <w:sz w:val="28"/>
          <w:szCs w:val="28"/>
        </w:rPr>
        <w:t>①被列入“经营异常名录”或者“严重违法失信名单”的。</w:t>
      </w:r>
      <w:bookmarkEnd w:id="896"/>
      <w:bookmarkEnd w:id="897"/>
      <w:bookmarkEnd w:id="898"/>
    </w:p>
    <w:p w14:paraId="78AB7253">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3、由</w:t>
      </w:r>
      <w:r>
        <w:rPr>
          <w:rFonts w:hint="eastAsia" w:ascii="仿宋_GB2312" w:hAnsi="宋体" w:eastAsia="仿宋_GB2312"/>
          <w:color w:val="auto"/>
          <w:kern w:val="0"/>
          <w:sz w:val="28"/>
          <w:szCs w:val="28"/>
        </w:rPr>
        <w:t>投标人、法定代表人及其项目经理(建造师)</w:t>
      </w:r>
      <w:r>
        <w:rPr>
          <w:rFonts w:hint="eastAsia" w:ascii="仿宋_GB2312" w:hAnsi="宋体" w:eastAsia="仿宋_GB2312"/>
          <w:color w:val="auto"/>
          <w:sz w:val="28"/>
          <w:szCs w:val="28"/>
        </w:rPr>
        <w:t>进行承诺，不进行现场网上信用查询的失信行为：</w:t>
      </w:r>
    </w:p>
    <w:p w14:paraId="6F5C763C">
      <w:pPr>
        <w:adjustRightInd w:val="0"/>
        <w:snapToGrid w:val="0"/>
        <w:spacing w:line="560" w:lineRule="exact"/>
        <w:ind w:firstLine="560" w:firstLineChars="200"/>
        <w:rPr>
          <w:rFonts w:ascii="仿宋_GB2312" w:hAnsi="宋体" w:eastAsia="仿宋_GB2312" w:cs="楷体"/>
          <w:color w:val="auto"/>
          <w:sz w:val="28"/>
          <w:szCs w:val="28"/>
        </w:rPr>
      </w:pPr>
      <w:r>
        <w:rPr>
          <w:rFonts w:hint="eastAsia" w:ascii="仿宋_GB2312" w:hAnsi="宋体" w:eastAsia="仿宋_GB2312"/>
          <w:color w:val="auto"/>
          <w:sz w:val="28"/>
          <w:szCs w:val="28"/>
        </w:rPr>
        <w:t>①</w:t>
      </w:r>
      <w:r>
        <w:rPr>
          <w:rFonts w:hint="eastAsia" w:ascii="仿宋_GB2312" w:hAnsi="宋体" w:eastAsia="仿宋_GB2312" w:cs="楷体"/>
          <w:color w:val="auto"/>
          <w:sz w:val="28"/>
          <w:szCs w:val="28"/>
        </w:rPr>
        <w:t>前三年有行贿犯罪行为的单位和个人；</w:t>
      </w:r>
    </w:p>
    <w:p w14:paraId="30491F76">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②被滁州市县两级公管部门取消在一定期限内的投标资格且在取消期限内的；</w:t>
      </w:r>
    </w:p>
    <w:p w14:paraId="52DAB321">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③被滁州市县两级各行业主管部门取消在一定期限内的投标资格且在取消期限内的；</w:t>
      </w:r>
    </w:p>
    <w:p w14:paraId="7EACF1DC">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④因拖欠农民工工资被</w:t>
      </w:r>
      <w:bookmarkStart w:id="899" w:name="OLE_LINK108"/>
      <w:bookmarkStart w:id="900" w:name="OLE_LINK107"/>
      <w:r>
        <w:rPr>
          <w:rFonts w:hint="eastAsia" w:ascii="仿宋_GB2312" w:hAnsi="宋体" w:eastAsia="仿宋_GB2312"/>
          <w:color w:val="auto"/>
          <w:sz w:val="28"/>
          <w:szCs w:val="28"/>
        </w:rPr>
        <w:t>县级及以上有关行政主管部门限制投标资格且在限制期限内的</w:t>
      </w:r>
      <w:bookmarkEnd w:id="899"/>
      <w:bookmarkEnd w:id="900"/>
      <w:r>
        <w:rPr>
          <w:rFonts w:hint="eastAsia" w:ascii="仿宋_GB2312" w:hAnsi="宋体" w:eastAsia="仿宋_GB2312"/>
          <w:color w:val="auto"/>
          <w:sz w:val="28"/>
          <w:szCs w:val="28"/>
        </w:rPr>
        <w:t>；</w:t>
      </w:r>
    </w:p>
    <w:p w14:paraId="5867026E">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0EBA7B48">
      <w:pPr>
        <w:adjustRightInd w:val="0"/>
        <w:snapToGrid w:val="0"/>
        <w:spacing w:line="560" w:lineRule="exact"/>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（二）政府采购项目</w:t>
      </w:r>
    </w:p>
    <w:p w14:paraId="0E335BA0">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1、“信用中国”网站</w:t>
      </w:r>
      <w:r>
        <w:rPr>
          <w:rFonts w:hint="eastAsia" w:ascii="仿宋" w:hAnsi="仿宋" w:eastAsia="仿宋"/>
          <w:color w:val="auto"/>
          <w:sz w:val="28"/>
          <w:szCs w:val="28"/>
        </w:rPr>
        <w:t>（</w:t>
      </w:r>
      <w:r>
        <w:rPr>
          <w:rStyle w:val="33"/>
          <w:rFonts w:hint="eastAsia" w:ascii="仿宋" w:hAnsi="仿宋" w:eastAsia="仿宋"/>
          <w:color w:val="auto"/>
          <w:sz w:val="28"/>
          <w:szCs w:val="28"/>
        </w:rPr>
        <w:t>www.creditchina.gov.cn</w:t>
      </w:r>
      <w:r>
        <w:rPr>
          <w:rFonts w:hint="eastAsia" w:ascii="仿宋" w:hAnsi="仿宋" w:eastAsia="仿宋"/>
          <w:color w:val="auto"/>
          <w:sz w:val="28"/>
          <w:szCs w:val="28"/>
        </w:rPr>
        <w:t>）</w:t>
      </w:r>
      <w:r>
        <w:rPr>
          <w:rFonts w:hint="eastAsia" w:ascii="仿宋_GB2312" w:hAnsi="宋体" w:eastAsia="仿宋_GB2312"/>
          <w:color w:val="auto"/>
          <w:sz w:val="28"/>
          <w:szCs w:val="28"/>
        </w:rPr>
        <w:t>查询供应商、法定代表人及其项目负责人以下失信行为：</w:t>
      </w:r>
    </w:p>
    <w:p w14:paraId="7EAE38F2">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①被列入“失信被执行人”的;</w:t>
      </w:r>
    </w:p>
    <w:p w14:paraId="58B9341A">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②被列入“重大税收违法失信主体”的；</w:t>
      </w:r>
    </w:p>
    <w:p w14:paraId="5CA96F52">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③被列入“拖欠农民工工资失信联合惩戒对象名单”的；</w:t>
      </w:r>
    </w:p>
    <w:p w14:paraId="7D44E050">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④被列入 “严重失信主体名单”的；</w:t>
      </w:r>
    </w:p>
    <w:p w14:paraId="3A02EF3F">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⑤在“信用中国”网站上披露的仍在公示期的严重失信行为(具体行为类别及判定依据见附件2)的。</w:t>
      </w:r>
    </w:p>
    <w:p w14:paraId="3A3BA113">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2、国家企业信用信息公示系统网站</w:t>
      </w:r>
      <w:r>
        <w:rPr>
          <w:rFonts w:hint="eastAsia" w:ascii="仿宋" w:hAnsi="仿宋" w:eastAsia="仿宋"/>
          <w:color w:val="auto"/>
          <w:sz w:val="28"/>
          <w:szCs w:val="28"/>
        </w:rPr>
        <w:t>（</w:t>
      </w:r>
      <w:r>
        <w:rPr>
          <w:color w:val="auto"/>
        </w:rPr>
        <w:fldChar w:fldCharType="begin"/>
      </w:r>
      <w:r>
        <w:rPr>
          <w:color w:val="auto"/>
        </w:rPr>
        <w:instrText xml:space="preserve"> HYPERLINK "http://www.gsxt.gov.cn）查询" </w:instrText>
      </w:r>
      <w:r>
        <w:rPr>
          <w:color w:val="auto"/>
        </w:rPr>
        <w:fldChar w:fldCharType="separate"/>
      </w:r>
      <w:r>
        <w:rPr>
          <w:rStyle w:val="33"/>
          <w:rFonts w:hint="eastAsia" w:ascii="仿宋" w:hAnsi="仿宋" w:eastAsia="仿宋"/>
          <w:color w:val="auto"/>
          <w:sz w:val="28"/>
          <w:szCs w:val="28"/>
        </w:rPr>
        <w:t>www.gsxt.gov.cn）</w:t>
      </w:r>
      <w:r>
        <w:rPr>
          <w:rStyle w:val="33"/>
          <w:rFonts w:hint="eastAsia" w:ascii="仿宋" w:hAnsi="仿宋" w:eastAsia="仿宋"/>
          <w:color w:val="auto"/>
          <w:sz w:val="28"/>
          <w:szCs w:val="28"/>
        </w:rPr>
        <w:fldChar w:fldCharType="end"/>
      </w:r>
      <w:r>
        <w:rPr>
          <w:rFonts w:hint="eastAsia" w:ascii="仿宋_GB2312" w:hAnsi="宋体" w:eastAsia="仿宋_GB2312"/>
          <w:color w:val="auto"/>
          <w:sz w:val="28"/>
          <w:szCs w:val="28"/>
        </w:rPr>
        <w:t>查询供应商以下失信行为：</w:t>
      </w:r>
    </w:p>
    <w:p w14:paraId="2A561C43">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①</w:t>
      </w:r>
      <w:bookmarkStart w:id="901" w:name="OLE_LINK100"/>
      <w:bookmarkStart w:id="902" w:name="OLE_LINK102"/>
      <w:bookmarkStart w:id="903" w:name="OLE_LINK101"/>
      <w:r>
        <w:rPr>
          <w:rFonts w:hint="eastAsia" w:ascii="仿宋_GB2312" w:hAnsi="宋体" w:eastAsia="仿宋_GB2312"/>
          <w:color w:val="auto"/>
          <w:sz w:val="28"/>
          <w:szCs w:val="28"/>
        </w:rPr>
        <w:t>被列入“经营异常名录”或者“严重违法失信名单”的</w:t>
      </w:r>
      <w:bookmarkEnd w:id="901"/>
      <w:bookmarkEnd w:id="902"/>
      <w:bookmarkEnd w:id="903"/>
      <w:r>
        <w:rPr>
          <w:rFonts w:hint="eastAsia" w:ascii="仿宋_GB2312" w:hAnsi="宋体" w:eastAsia="仿宋_GB2312"/>
          <w:color w:val="auto"/>
          <w:sz w:val="28"/>
          <w:szCs w:val="28"/>
        </w:rPr>
        <w:t>。</w:t>
      </w:r>
    </w:p>
    <w:p w14:paraId="7AEB2370">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3、中国政府采购网站</w:t>
      </w:r>
      <w:r>
        <w:rPr>
          <w:rFonts w:hint="eastAsia" w:ascii="仿宋" w:hAnsi="仿宋" w:eastAsia="仿宋"/>
          <w:color w:val="auto"/>
          <w:sz w:val="28"/>
          <w:szCs w:val="28"/>
        </w:rPr>
        <w:t>（</w:t>
      </w:r>
      <w:bookmarkStart w:id="904" w:name="OLE_LINK95"/>
      <w:bookmarkStart w:id="905" w:name="OLE_LINK96"/>
      <w:r>
        <w:rPr>
          <w:rFonts w:ascii="仿宋" w:hAnsi="仿宋" w:eastAsia="仿宋"/>
          <w:color w:val="auto"/>
          <w:sz w:val="28"/>
          <w:szCs w:val="28"/>
        </w:rPr>
        <w:fldChar w:fldCharType="begin"/>
      </w:r>
      <w:r>
        <w:rPr>
          <w:rFonts w:ascii="仿宋" w:hAnsi="仿宋" w:eastAsia="仿宋"/>
          <w:color w:val="auto"/>
          <w:sz w:val="28"/>
          <w:szCs w:val="28"/>
        </w:rPr>
        <w:instrText xml:space="preserve"> HYPERLINK "http://www.ccgp.gov.cn" </w:instrText>
      </w:r>
      <w:r>
        <w:rPr>
          <w:rFonts w:ascii="仿宋" w:hAnsi="仿宋" w:eastAsia="仿宋"/>
          <w:color w:val="auto"/>
          <w:sz w:val="28"/>
          <w:szCs w:val="28"/>
        </w:rPr>
        <w:fldChar w:fldCharType="separate"/>
      </w:r>
      <w:r>
        <w:rPr>
          <w:rStyle w:val="33"/>
          <w:rFonts w:hint="eastAsia" w:ascii="仿宋" w:hAnsi="仿宋" w:eastAsia="仿宋"/>
          <w:color w:val="auto"/>
          <w:sz w:val="28"/>
          <w:szCs w:val="28"/>
        </w:rPr>
        <w:t>www.ccgp.gov.cn</w:t>
      </w:r>
      <w:r>
        <w:rPr>
          <w:rFonts w:ascii="仿宋" w:hAnsi="仿宋" w:eastAsia="仿宋"/>
          <w:color w:val="auto"/>
          <w:sz w:val="28"/>
          <w:szCs w:val="28"/>
        </w:rPr>
        <w:fldChar w:fldCharType="end"/>
      </w:r>
      <w:bookmarkEnd w:id="904"/>
      <w:bookmarkEnd w:id="905"/>
      <w:r>
        <w:rPr>
          <w:rFonts w:hint="eastAsia" w:ascii="仿宋" w:hAnsi="仿宋" w:eastAsia="仿宋"/>
          <w:color w:val="auto"/>
          <w:sz w:val="28"/>
          <w:szCs w:val="28"/>
        </w:rPr>
        <w:t>）</w:t>
      </w:r>
      <w:r>
        <w:rPr>
          <w:rFonts w:hint="eastAsia" w:ascii="仿宋_GB2312" w:hAnsi="宋体" w:eastAsia="仿宋_GB2312"/>
          <w:color w:val="auto"/>
          <w:sz w:val="28"/>
          <w:szCs w:val="28"/>
        </w:rPr>
        <w:t>查询以下失信行为：</w:t>
      </w:r>
    </w:p>
    <w:p w14:paraId="7B6EB80E">
      <w:pPr>
        <w:adjustRightInd w:val="0"/>
        <w:snapToGrid w:val="0"/>
        <w:spacing w:line="560" w:lineRule="exact"/>
        <w:ind w:firstLine="560" w:firstLineChars="200"/>
        <w:rPr>
          <w:rFonts w:ascii="仿宋_GB2312" w:hAnsi="宋体" w:eastAsia="仿宋_GB2312" w:cs="楷体"/>
          <w:color w:val="auto"/>
          <w:sz w:val="28"/>
          <w:szCs w:val="28"/>
        </w:rPr>
      </w:pPr>
      <w:r>
        <w:rPr>
          <w:rFonts w:hint="eastAsia" w:ascii="仿宋_GB2312" w:hAnsi="宋体" w:eastAsia="仿宋_GB2312"/>
          <w:color w:val="auto"/>
          <w:sz w:val="28"/>
          <w:szCs w:val="28"/>
        </w:rPr>
        <w:t>①</w:t>
      </w:r>
      <w:bookmarkStart w:id="906" w:name="OLE_LINK106"/>
      <w:bookmarkStart w:id="907" w:name="OLE_LINK105"/>
      <w:bookmarkStart w:id="908" w:name="OLE_LINK104"/>
      <w:r>
        <w:rPr>
          <w:rFonts w:hint="eastAsia" w:ascii="仿宋_GB2312" w:hAnsi="宋体" w:eastAsia="仿宋_GB2312"/>
          <w:color w:val="auto"/>
          <w:sz w:val="28"/>
          <w:szCs w:val="28"/>
        </w:rPr>
        <w:t>被列入“政府采购严重违法失信行为信息记录”的</w:t>
      </w:r>
      <w:bookmarkEnd w:id="906"/>
      <w:bookmarkEnd w:id="907"/>
      <w:bookmarkEnd w:id="908"/>
      <w:r>
        <w:rPr>
          <w:rFonts w:hint="eastAsia" w:ascii="仿宋_GB2312" w:hAnsi="宋体" w:eastAsia="仿宋_GB2312" w:cs="楷体"/>
          <w:color w:val="auto"/>
          <w:sz w:val="28"/>
          <w:szCs w:val="28"/>
        </w:rPr>
        <w:t>。</w:t>
      </w:r>
    </w:p>
    <w:p w14:paraId="0DE998C9">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4、由竞争主体进行承诺，不进行现场网上信用查询的失信行为：</w:t>
      </w:r>
    </w:p>
    <w:p w14:paraId="26D31433">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①</w:t>
      </w:r>
      <w:r>
        <w:rPr>
          <w:rFonts w:hint="eastAsia" w:ascii="仿宋_GB2312" w:hAnsi="宋体" w:eastAsia="仿宋_GB2312" w:cs="楷体"/>
          <w:color w:val="auto"/>
          <w:sz w:val="28"/>
          <w:szCs w:val="28"/>
        </w:rPr>
        <w:t>前三年有行贿犯罪行为的单位和个人</w:t>
      </w:r>
      <w:r>
        <w:rPr>
          <w:rFonts w:hint="eastAsia" w:ascii="仿宋_GB2312" w:hAnsi="宋体" w:eastAsia="仿宋_GB2312"/>
          <w:color w:val="auto"/>
          <w:sz w:val="28"/>
          <w:szCs w:val="28"/>
        </w:rPr>
        <w:t>。</w:t>
      </w:r>
    </w:p>
    <w:p w14:paraId="78578D02">
      <w:pPr>
        <w:adjustRightInd w:val="0"/>
        <w:snapToGrid w:val="0"/>
        <w:spacing w:line="560" w:lineRule="exact"/>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二、在开评标活动中的查询程序</w:t>
      </w:r>
    </w:p>
    <w:p w14:paraId="71141EFC">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224F817A">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00D3D1D5">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3、项目单位及其委托的代理机构应当做好信用查询结果截图和记录留存。</w:t>
      </w:r>
    </w:p>
    <w:p w14:paraId="4A1EF0C8">
      <w:pPr>
        <w:adjustRightInd w:val="0"/>
        <w:snapToGrid w:val="0"/>
        <w:spacing w:line="560" w:lineRule="exact"/>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三、相关要求</w:t>
      </w:r>
    </w:p>
    <w:p w14:paraId="0A78EC31">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1、参与公共资源交易活动的竞争主体根据上述范围查询的内容进行自查并承诺，出具《诚信投标承诺书》（诚信投标承诺书包括但不限于上述自查并承诺内容）并注明承诺日期（投标截止时间前5日内）。</w:t>
      </w:r>
    </w:p>
    <w:p w14:paraId="1BE505BA">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DEB09AE">
      <w:pPr>
        <w:wordWrap w:val="0"/>
        <w:adjustRightInd w:val="0"/>
        <w:snapToGrid w:val="0"/>
        <w:spacing w:line="560" w:lineRule="exact"/>
        <w:ind w:firstLine="560" w:firstLineChars="200"/>
        <w:rPr>
          <w:color w:val="auto"/>
        </w:rPr>
      </w:pPr>
      <w:r>
        <w:rPr>
          <w:rFonts w:hint="eastAsia" w:ascii="仿宋_GB2312" w:hAnsi="宋体" w:eastAsia="仿宋_GB2312"/>
          <w:color w:val="auto"/>
          <w:sz w:val="28"/>
          <w:szCs w:val="28"/>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auto"/>
        </w:rPr>
        <w:fldChar w:fldCharType="begin"/>
      </w:r>
      <w:r>
        <w:rPr>
          <w:color w:val="auto"/>
        </w:rPr>
        <w:instrText xml:space="preserve"> HYPERLINK "https://credit.ah.gov.cn/xinyong-fuwu/xvbahv/index.html" </w:instrText>
      </w:r>
      <w:r>
        <w:rPr>
          <w:color w:val="auto"/>
        </w:rPr>
        <w:fldChar w:fldCharType="separate"/>
      </w:r>
      <w:r>
        <w:rPr>
          <w:rStyle w:val="33"/>
          <w:rFonts w:hint="eastAsia" w:ascii="仿宋_GB2312" w:hAnsi="宋体" w:eastAsia="仿宋_GB2312"/>
          <w:color w:val="auto"/>
          <w:sz w:val="28"/>
          <w:szCs w:val="28"/>
        </w:rPr>
        <w:t>https://credit.ah.gov.cn/xinyong-fuwu/xvbahv/index.html</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BB4885A">
      <w:pPr>
        <w:adjustRightInd w:val="0"/>
        <w:snapToGrid w:val="0"/>
        <w:spacing w:line="560" w:lineRule="exact"/>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2、“信用中国”查询的严重失信行为判定依据为各行业主管部门下发的联合惩戒文件中规定的行为（按附件2执行）。</w:t>
      </w:r>
    </w:p>
    <w:p w14:paraId="28101B4B">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3、资格预审的项目以递交资格预审申请文件截止时间查询为准；资格后审的项目以递交投标文件截止时间查询为准。</w:t>
      </w:r>
    </w:p>
    <w:p w14:paraId="53AD2336">
      <w:pPr>
        <w:rPr>
          <w:color w:val="auto"/>
        </w:rPr>
      </w:pPr>
      <w:r>
        <w:rPr>
          <w:color w:val="auto"/>
        </w:rPr>
        <w:br w:type="page"/>
      </w:r>
    </w:p>
    <w:p w14:paraId="535424C5">
      <w:pPr>
        <w:keepNext/>
        <w:keepLines/>
        <w:spacing w:before="200" w:after="200" w:line="600" w:lineRule="exact"/>
        <w:outlineLvl w:val="0"/>
        <w:rPr>
          <w:rFonts w:ascii="黑体" w:hAnsi="黑体" w:eastAsia="黑体"/>
          <w:b/>
          <w:bCs/>
          <w:color w:val="auto"/>
          <w:kern w:val="44"/>
          <w:sz w:val="36"/>
          <w:szCs w:val="28"/>
        </w:rPr>
      </w:pPr>
      <w:bookmarkStart w:id="909" w:name="_Toc95223549"/>
      <w:bookmarkStart w:id="910" w:name="OLE_LINK41"/>
      <w:bookmarkStart w:id="911" w:name="OLE_LINK32"/>
      <w:bookmarkStart w:id="912" w:name="OLE_LINK31"/>
      <w:r>
        <w:rPr>
          <w:rFonts w:hint="eastAsia" w:ascii="黑体" w:hAnsi="黑体" w:eastAsia="黑体"/>
          <w:b/>
          <w:bCs/>
          <w:color w:val="auto"/>
          <w:kern w:val="44"/>
          <w:sz w:val="36"/>
          <w:szCs w:val="28"/>
        </w:rPr>
        <w:t xml:space="preserve">附件2 </w:t>
      </w:r>
      <w:bookmarkStart w:id="913" w:name="OLE_LINK75"/>
      <w:bookmarkStart w:id="914" w:name="OLE_LINK74"/>
      <w:r>
        <w:rPr>
          <w:rFonts w:hint="eastAsia" w:ascii="黑体" w:hAnsi="黑体" w:eastAsia="黑体"/>
          <w:b/>
          <w:bCs/>
          <w:color w:val="auto"/>
          <w:kern w:val="44"/>
          <w:sz w:val="36"/>
          <w:szCs w:val="28"/>
        </w:rPr>
        <w:t>“信用中国”查询的严重失信行为</w:t>
      </w:r>
      <w:bookmarkStart w:id="915" w:name="OLE_LINK40"/>
      <w:bookmarkStart w:id="916" w:name="OLE_LINK38"/>
      <w:bookmarkStart w:id="917" w:name="OLE_LINK76"/>
      <w:bookmarkStart w:id="918" w:name="OLE_LINK39"/>
      <w:r>
        <w:rPr>
          <w:rFonts w:hint="eastAsia" w:ascii="黑体" w:hAnsi="黑体" w:eastAsia="黑体"/>
          <w:b/>
          <w:bCs/>
          <w:color w:val="auto"/>
          <w:kern w:val="44"/>
          <w:sz w:val="36"/>
          <w:szCs w:val="28"/>
        </w:rPr>
        <w:t>类别及判定依据</w:t>
      </w:r>
      <w:bookmarkEnd w:id="909"/>
      <w:bookmarkEnd w:id="913"/>
      <w:bookmarkEnd w:id="914"/>
      <w:bookmarkEnd w:id="915"/>
      <w:bookmarkEnd w:id="916"/>
      <w:bookmarkEnd w:id="917"/>
      <w:bookmarkEnd w:id="918"/>
    </w:p>
    <w:bookmarkEnd w:id="910"/>
    <w:bookmarkEnd w:id="911"/>
    <w:bookmarkEnd w:id="912"/>
    <w:p w14:paraId="297236A6">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32"/>
          <w:szCs w:val="32"/>
        </w:rPr>
        <w:t>“</w:t>
      </w:r>
      <w:r>
        <w:rPr>
          <w:rFonts w:hint="eastAsia" w:ascii="仿宋_GB2312" w:hAnsi="宋体" w:eastAsia="仿宋_GB2312"/>
          <w:color w:val="auto"/>
          <w:sz w:val="28"/>
          <w:szCs w:val="28"/>
        </w:rPr>
        <w:t>信用中国”查询的严重失信行为判定依据为各行业主管部门下发的联合惩戒文件中规定的行为。下面将部分类别的严重失信行为列举如下：</w:t>
      </w:r>
    </w:p>
    <w:p w14:paraId="37C3A393">
      <w:pPr>
        <w:adjustRightInd w:val="0"/>
        <w:snapToGrid w:val="0"/>
        <w:spacing w:line="560" w:lineRule="exact"/>
        <w:ind w:firstLine="645"/>
        <w:jc w:val="left"/>
        <w:rPr>
          <w:rFonts w:ascii="仿宋_GB2312" w:hAnsi="宋体" w:eastAsia="仿宋_GB2312"/>
          <w:b/>
          <w:color w:val="auto"/>
          <w:sz w:val="28"/>
          <w:szCs w:val="28"/>
        </w:rPr>
      </w:pPr>
      <w:r>
        <w:rPr>
          <w:rFonts w:hint="eastAsia" w:ascii="仿宋_GB2312" w:hAnsi="宋体" w:eastAsia="仿宋_GB2312"/>
          <w:b/>
          <w:color w:val="auto"/>
          <w:sz w:val="28"/>
          <w:szCs w:val="28"/>
        </w:rPr>
        <w:t>一、安全生产领域严重失信行为：</w:t>
      </w:r>
    </w:p>
    <w:p w14:paraId="55F28110">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（一）下列发生生产安全事故的生产经营单位及其有关人员应当列入严重失信主体名单：</w:t>
      </w:r>
    </w:p>
    <w:p w14:paraId="631A14C8">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1、发生特别重大、重大生产安全事故的生产经营单位及其主要负责人，以及经调查认定对该事故发生负有责任，应当列入名单的其他单位和人员；</w:t>
      </w:r>
    </w:p>
    <w:p w14:paraId="6552C64B">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2、12个月内累计发生2起以上较大生产安全事故的生产经营单位及其主要负责人；</w:t>
      </w:r>
    </w:p>
    <w:p w14:paraId="501EFBC3">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3、发生生产安全事故，情节特别严重、影响特别恶劣，依照《中华人民共和国安全生产法》第一百一十四条的规定被处以罚款数额2倍以上5倍以下罚款的生产经营单位及其主要负责人；</w:t>
      </w:r>
    </w:p>
    <w:p w14:paraId="2B33AE57">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4、瞒报、谎报生产安全事故的生产经营单位及其有关责任人员；</w:t>
      </w:r>
    </w:p>
    <w:p w14:paraId="21CA972D">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5、发生生产安全事故后，不立即组织抢救或者在事故调查处理期间擅离职守或者逃匿的生产经营单位主要负责人。</w:t>
      </w:r>
    </w:p>
    <w:p w14:paraId="068F85DC">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（二）下列未发生生产安全事故，但因安全生产违法行为，受到行政处罚的生产经营单位或者机构及其有关人员，应当列入严重失信主体名单：</w:t>
      </w:r>
    </w:p>
    <w:p w14:paraId="15241C83">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1、未依法取得安全生产相关许可或者许可被暂扣、吊销期间从事相关生产经营活动的生产经营单位及其主要负责人；</w:t>
      </w:r>
    </w:p>
    <w:p w14:paraId="79D95069">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2、承担安全评价、认证、检测、检验职责的机构及其直接责任人员租借资质、挂靠、出具虚假报告或者证书的；</w:t>
      </w:r>
    </w:p>
    <w:p w14:paraId="14662D6B">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3、在应急管理部门作出行政处罚后，有执行能力拒不执行或者逃避执行的生产经营单位及其主要负责人；</w:t>
      </w:r>
    </w:p>
    <w:p w14:paraId="4450B9E2">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4、其他违反安全生产法律法规受到行政处罚，且性质恶劣、情节严重的。</w:t>
      </w:r>
    </w:p>
    <w:p w14:paraId="25694132">
      <w:pPr>
        <w:adjustRightInd w:val="0"/>
        <w:snapToGrid w:val="0"/>
        <w:spacing w:line="560" w:lineRule="exact"/>
        <w:ind w:firstLine="645"/>
        <w:jc w:val="left"/>
        <w:rPr>
          <w:rFonts w:ascii="仿宋_GB2312" w:hAnsi="宋体" w:eastAsia="仿宋_GB2312"/>
          <w:b/>
          <w:color w:val="auto"/>
          <w:sz w:val="28"/>
          <w:szCs w:val="28"/>
        </w:rPr>
      </w:pPr>
      <w:r>
        <w:rPr>
          <w:rFonts w:hint="eastAsia" w:ascii="仿宋_GB2312" w:hAnsi="宋体" w:eastAsia="仿宋_GB2312"/>
          <w:b/>
          <w:color w:val="auto"/>
          <w:sz w:val="28"/>
          <w:szCs w:val="28"/>
        </w:rPr>
        <w:t>依据：《安全生产严重失信主体名单管理办法》</w:t>
      </w:r>
      <w:r>
        <w:rPr>
          <w:rFonts w:hint="eastAsia" w:ascii="仿宋_GB2312" w:hAnsi="Calibri" w:eastAsia="仿宋_GB2312"/>
          <w:b/>
          <w:color w:val="auto"/>
          <w:sz w:val="28"/>
          <w:szCs w:val="28"/>
        </w:rPr>
        <w:t>（2023年8月8日应急管理部令第11号）</w:t>
      </w:r>
    </w:p>
    <w:p w14:paraId="2CA402CD">
      <w:pPr>
        <w:adjustRightInd w:val="0"/>
        <w:snapToGrid w:val="0"/>
        <w:spacing w:line="560" w:lineRule="exact"/>
        <w:ind w:firstLine="645"/>
        <w:jc w:val="left"/>
        <w:rPr>
          <w:rFonts w:ascii="仿宋_GB2312" w:hAnsi="宋体" w:eastAsia="仿宋_GB2312"/>
          <w:b/>
          <w:color w:val="auto"/>
          <w:sz w:val="28"/>
          <w:szCs w:val="28"/>
        </w:rPr>
      </w:pPr>
      <w:r>
        <w:rPr>
          <w:rFonts w:hint="eastAsia" w:ascii="仿宋_GB2312" w:hAnsi="宋体" w:eastAsia="仿宋_GB2312"/>
          <w:b/>
          <w:color w:val="auto"/>
          <w:sz w:val="28"/>
          <w:szCs w:val="28"/>
        </w:rPr>
        <w:t>二、环境保护领域严重失信行为：</w:t>
      </w:r>
    </w:p>
    <w:p w14:paraId="3B262404">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（一）因为环境违法构成</w:t>
      </w:r>
      <w:r>
        <w:rPr>
          <w:color w:val="auto"/>
        </w:rPr>
        <w:fldChar w:fldCharType="begin"/>
      </w:r>
      <w:r>
        <w:rPr>
          <w:color w:val="auto"/>
        </w:rPr>
        <w:instrText xml:space="preserve"> HYPERLINK "https://baike.sogou.com/m/fullLemma?lid=10403954&amp;g_ut=3" \t "https://baike.sogou.com/m/_blank" </w:instrText>
      </w:r>
      <w:r>
        <w:rPr>
          <w:color w:val="auto"/>
        </w:rPr>
        <w:fldChar w:fldCharType="separate"/>
      </w:r>
      <w:r>
        <w:rPr>
          <w:rStyle w:val="33"/>
          <w:rFonts w:hint="eastAsia" w:ascii="仿宋_GB2312" w:hAnsi="宋体" w:eastAsia="仿宋_GB2312"/>
          <w:color w:val="auto"/>
          <w:sz w:val="28"/>
          <w:szCs w:val="28"/>
        </w:rPr>
        <w:t>环境犯罪</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的；</w:t>
      </w:r>
    </w:p>
    <w:p w14:paraId="7FB23FB5">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（二）</w:t>
      </w:r>
      <w:r>
        <w:rPr>
          <w:color w:val="auto"/>
        </w:rPr>
        <w:fldChar w:fldCharType="begin"/>
      </w:r>
      <w:r>
        <w:rPr>
          <w:color w:val="auto"/>
        </w:rPr>
        <w:instrText xml:space="preserve"> HYPERLINK "https://baike.sogou.com/m/fullLemma?lid=76033123&amp;g_ut=3" \t "https://baike.sogou.com/m/_blank" </w:instrText>
      </w:r>
      <w:r>
        <w:rPr>
          <w:color w:val="auto"/>
        </w:rPr>
        <w:fldChar w:fldCharType="separate"/>
      </w:r>
      <w:r>
        <w:rPr>
          <w:rStyle w:val="33"/>
          <w:rFonts w:hint="eastAsia" w:ascii="仿宋_GB2312" w:hAnsi="宋体" w:eastAsia="仿宋_GB2312"/>
          <w:color w:val="auto"/>
          <w:sz w:val="28"/>
          <w:szCs w:val="28"/>
        </w:rPr>
        <w:t>建设项目环境影响评价</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文件未按规定通过审批，擅自开工建设的；</w:t>
      </w:r>
    </w:p>
    <w:p w14:paraId="390442E1">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（三）建设项目环保设施未建成、环保措施未落实、未通过</w:t>
      </w:r>
      <w:r>
        <w:rPr>
          <w:color w:val="auto"/>
        </w:rPr>
        <w:fldChar w:fldCharType="begin"/>
      </w:r>
      <w:r>
        <w:rPr>
          <w:color w:val="auto"/>
        </w:rPr>
        <w:instrText xml:space="preserve"> HYPERLINK "https://baike.sogou.com/m/fullLemma?lid=6470550&amp;g_ut=3" \t "https://baike.sogou.com/m/_blank" </w:instrText>
      </w:r>
      <w:r>
        <w:rPr>
          <w:color w:val="auto"/>
        </w:rPr>
        <w:fldChar w:fldCharType="separate"/>
      </w:r>
      <w:r>
        <w:rPr>
          <w:rStyle w:val="33"/>
          <w:rFonts w:hint="eastAsia" w:ascii="仿宋_GB2312" w:hAnsi="宋体" w:eastAsia="仿宋_GB2312"/>
          <w:color w:val="auto"/>
          <w:sz w:val="28"/>
          <w:szCs w:val="28"/>
        </w:rPr>
        <w:t>竣工环保验收</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或者验收不合格，主体工程正式投入生产或者使用的；</w:t>
      </w:r>
    </w:p>
    <w:p w14:paraId="42F75BF0">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（四）建设项目性质、规模、地点、采用的生产工艺或者防治污染、防止生态破坏的措施发生重大变动，未重新报批环境影响评价文件，擅自投入生产或者使用的；</w:t>
      </w:r>
    </w:p>
    <w:p w14:paraId="2A8C8866">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（五）主要污染物排放总量超过控制指标的；</w:t>
      </w:r>
    </w:p>
    <w:p w14:paraId="7AB6A863">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（六）私设暗管或者利用</w:t>
      </w:r>
      <w:r>
        <w:rPr>
          <w:color w:val="auto"/>
        </w:rPr>
        <w:fldChar w:fldCharType="begin"/>
      </w:r>
      <w:r>
        <w:rPr>
          <w:color w:val="auto"/>
        </w:rPr>
        <w:instrText xml:space="preserve"> HYPERLINK "https://baike.sogou.com/m/fullLemma?lid=41657319&amp;g_ut=3" \t "https://baike.sogou.com/m/_blank" </w:instrText>
      </w:r>
      <w:r>
        <w:rPr>
          <w:color w:val="auto"/>
        </w:rPr>
        <w:fldChar w:fldCharType="separate"/>
      </w:r>
      <w:r>
        <w:rPr>
          <w:rStyle w:val="33"/>
          <w:rFonts w:hint="eastAsia" w:ascii="仿宋_GB2312" w:hAnsi="宋体" w:eastAsia="仿宋_GB2312"/>
          <w:color w:val="auto"/>
          <w:sz w:val="28"/>
          <w:szCs w:val="28"/>
        </w:rPr>
        <w:t>渗井</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、渗坑、裂隙、溶洞等排放、倾倒、处置水污染物，或者通过私设旁路排放</w:t>
      </w:r>
      <w:r>
        <w:rPr>
          <w:color w:val="auto"/>
        </w:rPr>
        <w:fldChar w:fldCharType="begin"/>
      </w:r>
      <w:r>
        <w:rPr>
          <w:color w:val="auto"/>
        </w:rPr>
        <w:instrText xml:space="preserve"> HYPERLINK "https://baike.sogou.com/m/fullLemma?lid=7758328&amp;g_ut=3" \t "https://baike.sogou.com/m/_blank" </w:instrText>
      </w:r>
      <w:r>
        <w:rPr>
          <w:color w:val="auto"/>
        </w:rPr>
        <w:fldChar w:fldCharType="separate"/>
      </w:r>
      <w:r>
        <w:rPr>
          <w:rStyle w:val="33"/>
          <w:rFonts w:hint="eastAsia" w:ascii="仿宋_GB2312" w:hAnsi="宋体" w:eastAsia="仿宋_GB2312"/>
          <w:color w:val="auto"/>
          <w:sz w:val="28"/>
          <w:szCs w:val="28"/>
        </w:rPr>
        <w:t>大气污染物</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的；</w:t>
      </w:r>
    </w:p>
    <w:p w14:paraId="33F2E7E6">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（七）非法排放、倾倒、处置危险废物，或者向无</w:t>
      </w:r>
      <w:r>
        <w:rPr>
          <w:color w:val="auto"/>
        </w:rPr>
        <w:fldChar w:fldCharType="begin"/>
      </w:r>
      <w:r>
        <w:rPr>
          <w:color w:val="auto"/>
        </w:rPr>
        <w:instrText xml:space="preserve"> HYPERLINK "https://baike.sogou.com/m/fullLemma?lid=5923292&amp;g_ut=3" \t "https://baike.sogou.com/m/_blank" </w:instrText>
      </w:r>
      <w:r>
        <w:rPr>
          <w:color w:val="auto"/>
        </w:rPr>
        <w:fldChar w:fldCharType="separate"/>
      </w:r>
      <w:r>
        <w:rPr>
          <w:rStyle w:val="33"/>
          <w:rFonts w:hint="eastAsia" w:ascii="仿宋_GB2312" w:hAnsi="宋体" w:eastAsia="仿宋_GB2312"/>
          <w:color w:val="auto"/>
          <w:sz w:val="28"/>
          <w:szCs w:val="28"/>
        </w:rPr>
        <w:t>经营许可证</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或者超出经营许可范围的单位或个人提供或者委托其收集、贮存、利用、处置危险废物的；</w:t>
      </w:r>
    </w:p>
    <w:p w14:paraId="590D5271">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（八）</w:t>
      </w:r>
      <w:r>
        <w:rPr>
          <w:color w:val="auto"/>
        </w:rPr>
        <w:fldChar w:fldCharType="begin"/>
      </w:r>
      <w:r>
        <w:rPr>
          <w:color w:val="auto"/>
        </w:rPr>
        <w:instrText xml:space="preserve"> HYPERLINK "https://baike.sogou.com/m/fullLemma?lid=167759803&amp;g_ut=3" \t "https://baike.sogou.com/m/_blank" </w:instrText>
      </w:r>
      <w:r>
        <w:rPr>
          <w:color w:val="auto"/>
        </w:rPr>
        <w:fldChar w:fldCharType="separate"/>
      </w:r>
      <w:r>
        <w:rPr>
          <w:rStyle w:val="33"/>
          <w:rFonts w:hint="eastAsia" w:ascii="仿宋_GB2312" w:hAnsi="宋体" w:eastAsia="仿宋_GB2312"/>
          <w:color w:val="auto"/>
          <w:sz w:val="28"/>
          <w:szCs w:val="28"/>
        </w:rPr>
        <w:t>环境违法行为</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造成集中式生活饮用水水源取水中断的；</w:t>
      </w:r>
    </w:p>
    <w:p w14:paraId="13116567">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（九）环境违法行为对生活饮用水水源保护区、自然保护区、</w:t>
      </w:r>
      <w:r>
        <w:rPr>
          <w:color w:val="auto"/>
        </w:rPr>
        <w:fldChar w:fldCharType="begin"/>
      </w:r>
      <w:r>
        <w:rPr>
          <w:color w:val="auto"/>
        </w:rPr>
        <w:instrText xml:space="preserve"> HYPERLINK "https://baike.sogou.com/m/fullLemma?lid=155199213&amp;g_ut=3" \t "https://baike.sogou.com/m/_blank" </w:instrText>
      </w:r>
      <w:r>
        <w:rPr>
          <w:color w:val="auto"/>
        </w:rPr>
        <w:fldChar w:fldCharType="separate"/>
      </w:r>
      <w:r>
        <w:rPr>
          <w:rStyle w:val="33"/>
          <w:rFonts w:hint="eastAsia" w:ascii="仿宋_GB2312" w:hAnsi="宋体" w:eastAsia="仿宋_GB2312"/>
          <w:color w:val="auto"/>
          <w:sz w:val="28"/>
          <w:szCs w:val="28"/>
        </w:rPr>
        <w:t>国家重点生态功能区</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、风景名胜区、居住功能区、</w:t>
      </w:r>
      <w:r>
        <w:rPr>
          <w:color w:val="auto"/>
        </w:rPr>
        <w:fldChar w:fldCharType="begin"/>
      </w:r>
      <w:r>
        <w:rPr>
          <w:color w:val="auto"/>
        </w:rPr>
        <w:instrText xml:space="preserve"> HYPERLINK "https://baike.sogou.com/m/fullLemma?lid=7757164&amp;g_ut=3" \t "https://baike.sogou.com/m/_blank" </w:instrText>
      </w:r>
      <w:r>
        <w:rPr>
          <w:color w:val="auto"/>
        </w:rPr>
        <w:fldChar w:fldCharType="separate"/>
      </w:r>
      <w:r>
        <w:rPr>
          <w:rStyle w:val="33"/>
          <w:rFonts w:hint="eastAsia" w:ascii="仿宋_GB2312" w:hAnsi="宋体" w:eastAsia="仿宋_GB2312"/>
          <w:color w:val="auto"/>
          <w:sz w:val="28"/>
          <w:szCs w:val="28"/>
        </w:rPr>
        <w:t>基本农田保护区</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等环境敏感区造成重大不利影响的；</w:t>
      </w:r>
    </w:p>
    <w:p w14:paraId="2714B570">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（十）违法从事自然资源开发、交通基础设施建设，以及其他开发建设活动，造成严重生态破坏的；</w:t>
      </w:r>
    </w:p>
    <w:p w14:paraId="5D476BD9">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（十一）发生较大及以上突发环境事件的；</w:t>
      </w:r>
    </w:p>
    <w:p w14:paraId="4787648C">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（十二）被环保部门挂牌督办，整改逾期未完成的；</w:t>
      </w:r>
    </w:p>
    <w:p w14:paraId="4F205302">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（十三）以暴力、威胁等方式拒绝、阻挠环保部门工作人员现场检查的；</w:t>
      </w:r>
    </w:p>
    <w:p w14:paraId="5024A474">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（十四）违反重污染天气应急预案有关规定，对重污染天气响应不力的。</w:t>
      </w:r>
    </w:p>
    <w:p w14:paraId="1C68E3A3">
      <w:pPr>
        <w:adjustRightInd w:val="0"/>
        <w:snapToGrid w:val="0"/>
        <w:spacing w:line="560" w:lineRule="exact"/>
        <w:ind w:firstLine="645"/>
        <w:jc w:val="left"/>
        <w:rPr>
          <w:rFonts w:ascii="仿宋_GB2312" w:hAnsi="宋体" w:eastAsia="仿宋_GB2312"/>
          <w:b/>
          <w:color w:val="auto"/>
          <w:sz w:val="28"/>
          <w:szCs w:val="28"/>
        </w:rPr>
      </w:pPr>
      <w:r>
        <w:rPr>
          <w:rFonts w:hint="eastAsia" w:ascii="仿宋_GB2312" w:hAnsi="宋体" w:eastAsia="仿宋_GB2312"/>
          <w:b/>
          <w:color w:val="auto"/>
          <w:sz w:val="28"/>
          <w:szCs w:val="28"/>
        </w:rPr>
        <w:t>依据：《</w:t>
      </w:r>
      <w:bookmarkStart w:id="919" w:name="OLE_LINK10"/>
      <w:bookmarkStart w:id="920" w:name="OLE_LINK9"/>
      <w:bookmarkStart w:id="921" w:name="OLE_LINK8"/>
      <w:r>
        <w:rPr>
          <w:rFonts w:hint="eastAsia" w:ascii="仿宋_GB2312" w:hAnsi="宋体" w:eastAsia="仿宋_GB2312"/>
          <w:b/>
          <w:color w:val="auto"/>
          <w:sz w:val="28"/>
          <w:szCs w:val="28"/>
        </w:rPr>
        <w:t>关于对环境保护领域失信生产经营单位及其有关人员开展联合惩戒的合作备忘录</w:t>
      </w:r>
      <w:bookmarkEnd w:id="919"/>
      <w:bookmarkEnd w:id="920"/>
      <w:bookmarkEnd w:id="921"/>
      <w:r>
        <w:rPr>
          <w:rFonts w:hint="eastAsia" w:ascii="仿宋_GB2312" w:hAnsi="宋体" w:eastAsia="仿宋_GB2312"/>
          <w:b/>
          <w:color w:val="auto"/>
          <w:sz w:val="28"/>
          <w:szCs w:val="28"/>
        </w:rPr>
        <w:t>》、《</w:t>
      </w:r>
      <w:bookmarkStart w:id="922" w:name="OLE_LINK12"/>
      <w:bookmarkStart w:id="923" w:name="OLE_LINK11"/>
      <w:r>
        <w:rPr>
          <w:rFonts w:hint="eastAsia" w:ascii="仿宋_GB2312" w:hAnsi="宋体" w:eastAsia="仿宋_GB2312"/>
          <w:b/>
          <w:color w:val="auto"/>
          <w:sz w:val="28"/>
          <w:szCs w:val="28"/>
        </w:rPr>
        <w:t>企业环境信用评价办法（试行）</w:t>
      </w:r>
      <w:bookmarkEnd w:id="922"/>
      <w:bookmarkEnd w:id="923"/>
      <w:r>
        <w:rPr>
          <w:rFonts w:hint="eastAsia" w:ascii="仿宋_GB2312" w:hAnsi="宋体" w:eastAsia="仿宋_GB2312"/>
          <w:b/>
          <w:color w:val="auto"/>
          <w:sz w:val="28"/>
          <w:szCs w:val="28"/>
        </w:rPr>
        <w:t>》（环发〔2013〕150号）</w:t>
      </w:r>
    </w:p>
    <w:p w14:paraId="76B44AC6">
      <w:pPr>
        <w:adjustRightInd w:val="0"/>
        <w:snapToGrid w:val="0"/>
        <w:spacing w:line="560" w:lineRule="exact"/>
        <w:ind w:firstLine="645"/>
        <w:jc w:val="left"/>
        <w:rPr>
          <w:rFonts w:ascii="仿宋_GB2312" w:hAnsi="宋体" w:eastAsia="仿宋_GB2312"/>
          <w:b/>
          <w:color w:val="auto"/>
          <w:sz w:val="28"/>
          <w:szCs w:val="28"/>
        </w:rPr>
      </w:pPr>
      <w:r>
        <w:rPr>
          <w:rFonts w:hint="eastAsia" w:ascii="仿宋_GB2312" w:hAnsi="宋体" w:eastAsia="仿宋_GB2312"/>
          <w:b/>
          <w:color w:val="auto"/>
          <w:sz w:val="28"/>
          <w:szCs w:val="28"/>
        </w:rPr>
        <w:t>三、</w:t>
      </w:r>
      <w:r>
        <w:rPr>
          <w:rFonts w:hint="eastAsia" w:ascii="仿宋_GB2312" w:hAnsi="宋体" w:eastAsia="仿宋_GB2312"/>
          <w:b/>
          <w:bCs/>
          <w:color w:val="auto"/>
          <w:sz w:val="28"/>
          <w:szCs w:val="28"/>
        </w:rPr>
        <w:t>公共资源交易领域严重失信行为</w:t>
      </w:r>
    </w:p>
    <w:p w14:paraId="5FDE3565">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（一）违反法律规定，必须进行招标的项目而不招标的，将必须进行招标的项目化整为零或者以其他任何方式规避招标的； </w:t>
      </w:r>
    </w:p>
    <w:p w14:paraId="56693807">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（二）招标代理机构违反法律规定，泄露应当保密的与招标投标活动有关的情况和资料的，或者与招标人、投标人串通损害 国家利益、社会公共利益或者他人合法权益的；</w:t>
      </w:r>
    </w:p>
    <w:p w14:paraId="41897982">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（三）招标人以不合理的条件限制或者排斥潜在投标人的，对潜在投标人实行歧视待遇的，强制要求投标人组成联合体共同 投标的，或者限制投标人之间竞争的；</w:t>
      </w:r>
    </w:p>
    <w:p w14:paraId="2CE1E7AC">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（四）依法必须进行招标的项目的招标人向他人透露已获取招标文件的潜在投标人的名称、数量或者可能影响公平竞争的有 关招标投标的其他情况的，或者泄露标底的；</w:t>
      </w:r>
    </w:p>
    <w:p w14:paraId="5A379111">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（五）投标人相互串通投标或者与招标人串通投标的，投标人以向招标人或者评标委员会成员行贿的手段谋取中标的； </w:t>
      </w:r>
    </w:p>
    <w:p w14:paraId="7A5F02C5">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（六）投标人以他人名义投标或者以其他方式弄虚作假，骗取中标的；</w:t>
      </w:r>
    </w:p>
    <w:p w14:paraId="7B6D1CA9">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（七）依法必须进行招标的项目，招标人违反法律规定，与投标人就投标价格、投标方案等实质性内容进行谈判的；</w:t>
      </w:r>
    </w:p>
    <w:p w14:paraId="78AB19AC">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4250C2A">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（九）招标人在评标委员会依法推荐的中标候选人以外确定中标人的，依法必须进行招标的项目在所有投标被评标委员会否 决后自行确定中标人的； </w:t>
      </w:r>
    </w:p>
    <w:p w14:paraId="6682A952">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（十）中标人将中标项目转让给他人的，将中标项目肢解后分别转让给他人的，违反法律规定将中标项目的部分主体、关键 性工作分包给他人的，或者分包人再次分包的； </w:t>
      </w:r>
    </w:p>
    <w:p w14:paraId="6609A26D">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（十一）招标人与中标人不按照招标文件和中标人的投标文件订立合同的，或者招标人、中标人订立背离合同实质性内容的 协议的； </w:t>
      </w:r>
    </w:p>
    <w:p w14:paraId="1E5BAC87">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（十二）中标人不按照与招标人订立的合同履行义务，情节严重的； </w:t>
      </w:r>
    </w:p>
    <w:p w14:paraId="42B3FB68">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49800A46">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272FC1B7">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 （十五）采购人对应当实行集中采购的政府采购项目，不委托集中采购机构实行集中采购的； </w:t>
      </w:r>
    </w:p>
    <w:p w14:paraId="5015A1CA">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（十六）采购人、采购代理机构违反法律规定隐匿、销毁应当保存的采购文件或者伪造、变造采购文件的； </w:t>
      </w:r>
    </w:p>
    <w:p w14:paraId="56906F57">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029EE8A1">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（十八）疫苗生产企业向县级疾病预防控制机构以外的单位或者个人销售第二类疫苗的； </w:t>
      </w:r>
    </w:p>
    <w:p w14:paraId="0CE55B14">
      <w:pPr>
        <w:adjustRightInd w:val="0"/>
        <w:snapToGrid w:val="0"/>
        <w:spacing w:line="560" w:lineRule="exact"/>
        <w:ind w:left="141" w:leftChars="67" w:firstLine="420" w:firstLineChars="150"/>
        <w:jc w:val="left"/>
        <w:rPr>
          <w:rFonts w:ascii="仿宋_GB2312" w:hAnsi="宋体" w:eastAsia="仿宋_GB2312"/>
          <w:color w:val="auto"/>
          <w:sz w:val="28"/>
          <w:szCs w:val="28"/>
        </w:rPr>
      </w:pPr>
      <w:r>
        <w:rPr>
          <w:rFonts w:hint="eastAsia" w:ascii="仿宋_GB2312" w:hAnsi="Calibri" w:eastAsia="仿宋_GB2312"/>
          <w:color w:val="auto"/>
          <w:sz w:val="28"/>
          <w:szCs w:val="28"/>
        </w:rPr>
        <w:t>（十九）存在其他违反公共资源交易法律法规行为的。</w:t>
      </w:r>
    </w:p>
    <w:p w14:paraId="71F389D9">
      <w:pPr>
        <w:adjustRightInd w:val="0"/>
        <w:snapToGrid w:val="0"/>
        <w:spacing w:line="560" w:lineRule="exact"/>
        <w:ind w:firstLine="894" w:firstLineChars="318"/>
        <w:jc w:val="left"/>
        <w:rPr>
          <w:rFonts w:ascii="仿宋_GB2312" w:hAnsi="宋体" w:eastAsia="仿宋_GB2312"/>
          <w:color w:val="auto"/>
          <w:sz w:val="28"/>
          <w:szCs w:val="28"/>
        </w:rPr>
      </w:pPr>
      <w:r>
        <w:rPr>
          <w:rFonts w:hint="eastAsia" w:ascii="仿宋_GB2312" w:hAnsi="宋体" w:eastAsia="仿宋_GB2312"/>
          <w:b/>
          <w:color w:val="auto"/>
          <w:sz w:val="28"/>
          <w:szCs w:val="28"/>
        </w:rPr>
        <w:t>依据：《</w:t>
      </w:r>
      <w:bookmarkStart w:id="924" w:name="OLE_LINK13"/>
      <w:bookmarkStart w:id="925" w:name="OLE_LINK14"/>
      <w:r>
        <w:rPr>
          <w:rFonts w:hint="eastAsia" w:ascii="仿宋_GB2312" w:hAnsi="宋体" w:eastAsia="仿宋_GB2312"/>
          <w:b/>
          <w:color w:val="auto"/>
          <w:sz w:val="28"/>
          <w:szCs w:val="28"/>
        </w:rPr>
        <w:t>关于对公共资源交易领域严重失信主体开展联合惩戒的备忘录</w:t>
      </w:r>
      <w:bookmarkEnd w:id="924"/>
      <w:bookmarkEnd w:id="925"/>
      <w:r>
        <w:rPr>
          <w:rFonts w:hint="eastAsia" w:ascii="仿宋_GB2312" w:hAnsi="宋体" w:eastAsia="仿宋_GB2312"/>
          <w:b/>
          <w:color w:val="auto"/>
          <w:sz w:val="28"/>
          <w:szCs w:val="28"/>
        </w:rPr>
        <w:t>》（发改法规〔2018〕457号）</w:t>
      </w:r>
    </w:p>
    <w:p w14:paraId="2A469481">
      <w:pPr>
        <w:adjustRightInd w:val="0"/>
        <w:snapToGrid w:val="0"/>
        <w:spacing w:line="560" w:lineRule="exact"/>
        <w:ind w:firstLine="645"/>
        <w:jc w:val="left"/>
        <w:rPr>
          <w:rFonts w:ascii="仿宋_GB2312" w:hAnsi="宋体" w:eastAsia="仿宋_GB2312"/>
          <w:b/>
          <w:bCs/>
          <w:color w:val="auto"/>
          <w:sz w:val="28"/>
          <w:szCs w:val="28"/>
        </w:rPr>
      </w:pPr>
      <w:r>
        <w:rPr>
          <w:rFonts w:hint="eastAsia" w:ascii="仿宋_GB2312" w:hAnsi="宋体" w:eastAsia="仿宋_GB2312"/>
          <w:b/>
          <w:color w:val="auto"/>
          <w:sz w:val="28"/>
          <w:szCs w:val="28"/>
        </w:rPr>
        <w:t>四、</w:t>
      </w:r>
      <w:r>
        <w:rPr>
          <w:rFonts w:hint="eastAsia" w:ascii="仿宋_GB2312" w:hAnsi="宋体" w:eastAsia="仿宋_GB2312"/>
          <w:b/>
          <w:bCs/>
          <w:color w:val="auto"/>
          <w:sz w:val="28"/>
          <w:szCs w:val="28"/>
        </w:rPr>
        <w:t>社会保险领域严重失信行为</w:t>
      </w:r>
    </w:p>
    <w:p w14:paraId="221B58F6">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（一）用人单位未按相关规定参加社会保险且拒不整改的； </w:t>
      </w:r>
    </w:p>
    <w:p w14:paraId="4518A564">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（二）用人单位未如实申报社会保险缴费基数且拒不整改的； </w:t>
      </w:r>
    </w:p>
    <w:p w14:paraId="33E97122">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（三）应缴纳社会保险费却拒不缴纳的； </w:t>
      </w:r>
    </w:p>
    <w:p w14:paraId="7CD1FF31">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（四）隐匿、转移、侵占、挪用社会保险费款、基金或者违规投资运营的；</w:t>
      </w:r>
    </w:p>
    <w:p w14:paraId="4C3A4CCD">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（五）以欺诈、伪造证明材料或者其他手段参加、申报社会保险和骗取社会保险基金支出或社会保险待遇的； </w:t>
      </w:r>
    </w:p>
    <w:p w14:paraId="00ED463F">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（六）非法获取、出售或变相交易社会保险个人权益数据的； </w:t>
      </w:r>
    </w:p>
    <w:p w14:paraId="43E5EF5F">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（七）社会保险服务机构违反服务协议或相关规定的； </w:t>
      </w:r>
    </w:p>
    <w:p w14:paraId="2DFCA54C">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（八）拒绝协助社会保险行政部门、经办机构对事故和问题进 行调查核实的；拒绝接受或协助税务部门对社会保险实施监督检查， 不如实提供与社会保险相关各项资料的； </w:t>
      </w:r>
    </w:p>
    <w:p w14:paraId="2AAE4AC6">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（九）其他违反法律法规规定的。</w:t>
      </w:r>
    </w:p>
    <w:p w14:paraId="51361A2C">
      <w:pPr>
        <w:adjustRightInd w:val="0"/>
        <w:snapToGrid w:val="0"/>
        <w:spacing w:line="560" w:lineRule="exact"/>
        <w:ind w:firstLine="551" w:firstLineChars="196"/>
        <w:jc w:val="left"/>
        <w:rPr>
          <w:rFonts w:ascii="仿宋_GB2312" w:hAnsi="宋体" w:eastAsia="仿宋_GB2312"/>
          <w:color w:val="auto"/>
          <w:sz w:val="28"/>
          <w:szCs w:val="28"/>
        </w:rPr>
      </w:pPr>
      <w:r>
        <w:rPr>
          <w:rFonts w:hint="eastAsia" w:ascii="仿宋_GB2312" w:hAnsi="Calibri" w:eastAsia="仿宋_GB2312"/>
          <w:b/>
          <w:color w:val="auto"/>
          <w:sz w:val="28"/>
          <w:szCs w:val="28"/>
        </w:rPr>
        <w:t>依据：《</w:t>
      </w:r>
      <w:bookmarkStart w:id="926" w:name="OLE_LINK15"/>
      <w:bookmarkStart w:id="927" w:name="OLE_LINK16"/>
      <w:r>
        <w:rPr>
          <w:rFonts w:hint="eastAsia" w:ascii="仿宋_GB2312" w:hAnsi="Calibri" w:eastAsia="仿宋_GB2312"/>
          <w:b/>
          <w:color w:val="auto"/>
          <w:sz w:val="28"/>
          <w:szCs w:val="28"/>
        </w:rPr>
        <w:t>关于对社会保险领域严重失信企业及其有关人员实施联合惩戒的合作备忘录</w:t>
      </w:r>
      <w:bookmarkEnd w:id="926"/>
      <w:bookmarkEnd w:id="927"/>
      <w:r>
        <w:rPr>
          <w:rFonts w:hint="eastAsia" w:ascii="仿宋_GB2312" w:hAnsi="Calibri" w:eastAsia="仿宋_GB2312"/>
          <w:b/>
          <w:color w:val="auto"/>
          <w:sz w:val="28"/>
          <w:szCs w:val="28"/>
        </w:rPr>
        <w:t>》（发改财金〔2018〕1704号）</w:t>
      </w:r>
    </w:p>
    <w:p w14:paraId="604C8EDB">
      <w:pPr>
        <w:adjustRightInd w:val="0"/>
        <w:snapToGrid w:val="0"/>
        <w:spacing w:line="560" w:lineRule="exact"/>
        <w:ind w:firstLine="562" w:firstLineChars="200"/>
        <w:jc w:val="left"/>
        <w:rPr>
          <w:rFonts w:ascii="仿宋_GB2312" w:hAnsi="宋体" w:eastAsia="仿宋_GB2312"/>
          <w:b/>
          <w:bCs/>
          <w:color w:val="auto"/>
          <w:sz w:val="28"/>
          <w:szCs w:val="28"/>
        </w:rPr>
      </w:pPr>
      <w:r>
        <w:rPr>
          <w:rFonts w:hint="eastAsia" w:ascii="仿宋_GB2312" w:hAnsi="宋体" w:eastAsia="仿宋_GB2312"/>
          <w:b/>
          <w:color w:val="auto"/>
          <w:sz w:val="28"/>
          <w:szCs w:val="28"/>
        </w:rPr>
        <w:t>五、建筑市场领域</w:t>
      </w:r>
      <w:r>
        <w:rPr>
          <w:rFonts w:hint="eastAsia" w:ascii="仿宋_GB2312" w:hAnsi="宋体" w:eastAsia="仿宋_GB2312"/>
          <w:b/>
          <w:bCs/>
          <w:color w:val="auto"/>
          <w:sz w:val="28"/>
          <w:szCs w:val="28"/>
        </w:rPr>
        <w:t>严重失信行为</w:t>
      </w:r>
    </w:p>
    <w:p w14:paraId="76C057CB">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（一）利用虚假材料、以欺骗手段取得企业资质的；</w:t>
      </w:r>
    </w:p>
    <w:p w14:paraId="2ACF8820">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（二）发生转包、出借资质，受到行政处罚的；</w:t>
      </w:r>
    </w:p>
    <w:p w14:paraId="6B688489">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（三）发生重大及以上工程质量安全事故，或1年内累计发生2次及以上较大工程质量安全事故，或发生性质恶劣、危害性严重、社会影响大的较大工程质量安全事故，受到行政处罚的；</w:t>
      </w:r>
    </w:p>
    <w:p w14:paraId="695AE9BF">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（四）经法院判决或仲裁机构裁决，认定为拖欠工程款,且拒不履行生效法律文书确定的义务的。</w:t>
      </w:r>
    </w:p>
    <w:p w14:paraId="1E900237">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各级住房城乡建设主管部门应当参照建筑市场主体“黑名单”，对被人力资源社会保障行政部门列入拖欠农民工工资“黑名单”的建筑市场各方主体加强监管。</w:t>
      </w:r>
    </w:p>
    <w:p w14:paraId="58B1A64C">
      <w:pPr>
        <w:ind w:firstLine="562" w:firstLineChars="200"/>
        <w:jc w:val="left"/>
        <w:rPr>
          <w:rFonts w:ascii="仿宋_GB2312" w:hAnsi="宋体" w:eastAsia="仿宋_GB2312"/>
          <w:b/>
          <w:color w:val="auto"/>
          <w:sz w:val="28"/>
          <w:szCs w:val="28"/>
        </w:rPr>
      </w:pPr>
      <w:r>
        <w:rPr>
          <w:rFonts w:hint="eastAsia" w:ascii="仿宋_GB2312" w:hAnsi="Calibri" w:eastAsia="仿宋_GB2312"/>
          <w:b/>
          <w:color w:val="auto"/>
          <w:sz w:val="28"/>
          <w:szCs w:val="28"/>
        </w:rPr>
        <w:t>依据：《</w:t>
      </w:r>
      <w:bookmarkStart w:id="928" w:name="OLE_LINK18"/>
      <w:bookmarkStart w:id="929" w:name="OLE_LINK17"/>
      <w:r>
        <w:rPr>
          <w:rFonts w:hint="eastAsia" w:ascii="仿宋_GB2312" w:hAnsi="Calibri" w:eastAsia="仿宋_GB2312"/>
          <w:b/>
          <w:color w:val="auto"/>
          <w:sz w:val="28"/>
          <w:szCs w:val="28"/>
        </w:rPr>
        <w:t>建筑市场信用管理暂行办法</w:t>
      </w:r>
      <w:bookmarkEnd w:id="928"/>
      <w:bookmarkEnd w:id="929"/>
      <w:r>
        <w:rPr>
          <w:rFonts w:hint="eastAsia" w:ascii="仿宋_GB2312" w:hAnsi="Calibri" w:eastAsia="仿宋_GB2312"/>
          <w:b/>
          <w:color w:val="auto"/>
          <w:sz w:val="28"/>
          <w:szCs w:val="28"/>
        </w:rPr>
        <w:t>》（建市〔2017〕241号）</w:t>
      </w:r>
    </w:p>
    <w:p w14:paraId="3D385535">
      <w:pPr>
        <w:adjustRightInd w:val="0"/>
        <w:snapToGrid w:val="0"/>
        <w:spacing w:line="560" w:lineRule="exact"/>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六、</w:t>
      </w:r>
      <w:bookmarkStart w:id="930" w:name="OLE_LINK19"/>
      <w:bookmarkStart w:id="931" w:name="OLE_LINK20"/>
      <w:r>
        <w:rPr>
          <w:rFonts w:hint="eastAsia" w:ascii="仿宋_GB2312" w:hAnsi="宋体" w:eastAsia="仿宋_GB2312"/>
          <w:b/>
          <w:color w:val="auto"/>
          <w:sz w:val="28"/>
          <w:szCs w:val="28"/>
        </w:rPr>
        <w:t>政府采购严重失信行为</w:t>
      </w:r>
      <w:bookmarkEnd w:id="930"/>
      <w:bookmarkEnd w:id="931"/>
    </w:p>
    <w:p w14:paraId="2358B5AD">
      <w:pPr>
        <w:adjustRightInd w:val="0"/>
        <w:snapToGrid w:val="0"/>
        <w:spacing w:line="560" w:lineRule="exact"/>
        <w:ind w:firstLine="615"/>
        <w:rPr>
          <w:rFonts w:ascii="仿宋_GB2312" w:hAnsi="Calibri" w:eastAsia="仿宋_GB2312"/>
          <w:color w:val="auto"/>
          <w:sz w:val="28"/>
          <w:szCs w:val="28"/>
        </w:rPr>
      </w:pPr>
      <w:r>
        <w:rPr>
          <w:rFonts w:hint="eastAsia" w:ascii="仿宋_GB2312" w:hAnsi="Calibri" w:eastAsia="仿宋_GB2312"/>
          <w:color w:val="auto"/>
          <w:sz w:val="28"/>
          <w:szCs w:val="28"/>
        </w:rPr>
        <w:t>供应商、采购代理机构在三年内受到财政部门作出下列情形之一的行政处罚，列入政府采购严重违法失信行为记录名单。</w:t>
      </w:r>
      <w:r>
        <w:rPr>
          <w:rFonts w:hint="eastAsia" w:ascii="仿宋_GB2312" w:hAnsi="Calibri" w:eastAsia="仿宋_GB2312"/>
          <w:color w:val="auto"/>
          <w:sz w:val="28"/>
          <w:szCs w:val="28"/>
        </w:rPr>
        <w:br w:type="textWrapping"/>
      </w:r>
      <w:r>
        <w:rPr>
          <w:rFonts w:hint="eastAsia" w:ascii="仿宋_GB2312" w:hAnsi="Calibri" w:eastAsia="仿宋_GB2312"/>
          <w:color w:val="auto"/>
          <w:sz w:val="28"/>
          <w:szCs w:val="28"/>
        </w:rPr>
        <w:t>　　（一）三万元以上罚款；</w:t>
      </w:r>
      <w:r>
        <w:rPr>
          <w:rFonts w:hint="eastAsia" w:ascii="仿宋_GB2312" w:hAnsi="Calibri" w:eastAsia="仿宋_GB2312"/>
          <w:color w:val="auto"/>
          <w:sz w:val="28"/>
          <w:szCs w:val="28"/>
        </w:rPr>
        <w:br w:type="textWrapping"/>
      </w:r>
      <w:r>
        <w:rPr>
          <w:rFonts w:hint="eastAsia" w:ascii="仿宋_GB2312" w:hAnsi="Calibri" w:eastAsia="仿宋_GB2312"/>
          <w:color w:val="auto"/>
          <w:sz w:val="28"/>
          <w:szCs w:val="28"/>
        </w:rPr>
        <w:t>　　（二）在一至三年内禁止参加政府采购活动（处罚期限届满的除外）；</w:t>
      </w:r>
      <w:r>
        <w:rPr>
          <w:rFonts w:hint="eastAsia" w:ascii="仿宋_GB2312" w:hAnsi="Calibri" w:eastAsia="仿宋_GB2312"/>
          <w:color w:val="auto"/>
          <w:sz w:val="28"/>
          <w:szCs w:val="28"/>
        </w:rPr>
        <w:br w:type="textWrapping"/>
      </w:r>
      <w:r>
        <w:rPr>
          <w:rFonts w:hint="eastAsia" w:ascii="仿宋_GB2312" w:hAnsi="Calibri" w:eastAsia="仿宋_GB2312"/>
          <w:color w:val="auto"/>
          <w:sz w:val="28"/>
          <w:szCs w:val="28"/>
        </w:rPr>
        <w:t>　　（三）在一至三年内禁止代理政府采购业务（处罚期限届满的除外）；</w:t>
      </w:r>
      <w:r>
        <w:rPr>
          <w:rFonts w:hint="eastAsia" w:ascii="仿宋_GB2312" w:hAnsi="Calibri" w:eastAsia="仿宋_GB2312"/>
          <w:color w:val="auto"/>
          <w:sz w:val="28"/>
          <w:szCs w:val="28"/>
        </w:rPr>
        <w:br w:type="textWrapping"/>
      </w:r>
      <w:r>
        <w:rPr>
          <w:rFonts w:hint="eastAsia" w:ascii="仿宋_GB2312" w:hAnsi="宋体" w:eastAsia="仿宋_GB2312"/>
          <w:color w:val="auto"/>
          <w:sz w:val="28"/>
          <w:szCs w:val="28"/>
        </w:rPr>
        <w:t xml:space="preserve">　 </w:t>
      </w:r>
      <w:r>
        <w:rPr>
          <w:rFonts w:hint="eastAsia" w:ascii="仿宋_GB2312" w:hAnsi="Calibri" w:eastAsia="仿宋_GB2312"/>
          <w:color w:val="auto"/>
          <w:sz w:val="28"/>
          <w:szCs w:val="28"/>
        </w:rPr>
        <w:t>（四）撤销政府采购代理机构资格（仅针对《政府采购法》第78条修改前作出的处罚决定）。</w:t>
      </w:r>
    </w:p>
    <w:p w14:paraId="32670B9E">
      <w:pPr>
        <w:adjustRightInd w:val="0"/>
        <w:snapToGrid w:val="0"/>
        <w:spacing w:line="560" w:lineRule="exact"/>
        <w:ind w:firstLine="562" w:firstLineChars="200"/>
        <w:jc w:val="left"/>
        <w:rPr>
          <w:rFonts w:ascii="仿宋_GB2312" w:hAnsi="宋体" w:eastAsia="仿宋_GB2312"/>
          <w:b/>
          <w:color w:val="auto"/>
          <w:sz w:val="28"/>
          <w:szCs w:val="28"/>
        </w:rPr>
      </w:pPr>
      <w:r>
        <w:rPr>
          <w:rFonts w:hint="eastAsia" w:ascii="仿宋_GB2312" w:hAnsi="Calibri" w:eastAsia="仿宋_GB2312"/>
          <w:b/>
          <w:color w:val="auto"/>
          <w:sz w:val="28"/>
          <w:szCs w:val="28"/>
        </w:rPr>
        <w:t>依据：《关于报送政府采购严重违法失信行为信息记录的通知》</w:t>
      </w:r>
      <w:r>
        <w:rPr>
          <w:rFonts w:hint="eastAsia" w:ascii="Calibri" w:hAnsi="Calibri"/>
          <w:b/>
          <w:color w:val="auto"/>
          <w:sz w:val="28"/>
          <w:szCs w:val="28"/>
        </w:rPr>
        <w:t>（财办库〔</w:t>
      </w:r>
      <w:r>
        <w:rPr>
          <w:rFonts w:ascii="Calibri" w:hAnsi="Calibri"/>
          <w:b/>
          <w:color w:val="auto"/>
          <w:sz w:val="28"/>
          <w:szCs w:val="28"/>
        </w:rPr>
        <w:t>2014</w:t>
      </w:r>
      <w:r>
        <w:rPr>
          <w:rFonts w:hint="eastAsia" w:ascii="Calibri" w:hAnsi="Calibri"/>
          <w:b/>
          <w:color w:val="auto"/>
          <w:sz w:val="28"/>
          <w:szCs w:val="28"/>
        </w:rPr>
        <w:t>〕</w:t>
      </w:r>
      <w:r>
        <w:rPr>
          <w:rFonts w:ascii="Calibri" w:hAnsi="Calibri"/>
          <w:b/>
          <w:color w:val="auto"/>
          <w:sz w:val="28"/>
          <w:szCs w:val="28"/>
        </w:rPr>
        <w:t>526</w:t>
      </w:r>
      <w:r>
        <w:rPr>
          <w:rFonts w:hint="eastAsia" w:ascii="Calibri" w:hAnsi="Calibri"/>
          <w:b/>
          <w:color w:val="auto"/>
          <w:sz w:val="28"/>
          <w:szCs w:val="28"/>
        </w:rPr>
        <w:t>号）</w:t>
      </w:r>
    </w:p>
    <w:p w14:paraId="276C3AA3">
      <w:pPr>
        <w:adjustRightInd w:val="0"/>
        <w:snapToGrid w:val="0"/>
        <w:spacing w:line="560" w:lineRule="exact"/>
        <w:ind w:firstLine="615"/>
        <w:rPr>
          <w:rFonts w:ascii="仿宋_GB2312" w:hAnsi="Calibri" w:eastAsia="仿宋_GB2312"/>
          <w:b/>
          <w:color w:val="auto"/>
          <w:sz w:val="32"/>
          <w:szCs w:val="32"/>
        </w:rPr>
      </w:pPr>
      <w:r>
        <w:rPr>
          <w:rFonts w:hint="eastAsia" w:ascii="仿宋_GB2312" w:hAnsi="宋体" w:eastAsia="仿宋_GB2312"/>
          <w:b/>
          <w:color w:val="auto"/>
          <w:sz w:val="28"/>
          <w:szCs w:val="28"/>
        </w:rPr>
        <w:t>未列出的其他类别严重失信行为，由招标人（代理机构）根据各类别行业主管部门下发的联合惩戒文件进行判</w:t>
      </w:r>
      <w:r>
        <w:rPr>
          <w:rFonts w:hint="eastAsia" w:ascii="仿宋_GB2312" w:hAnsi="宋体" w:eastAsia="仿宋_GB2312"/>
          <w:b/>
          <w:color w:val="auto"/>
          <w:sz w:val="32"/>
          <w:szCs w:val="32"/>
        </w:rPr>
        <w:t>断。</w:t>
      </w:r>
    </w:p>
    <w:p w14:paraId="4EB04BCD">
      <w:pPr>
        <w:pStyle w:val="22"/>
        <w:rPr>
          <w:color w:val="auto"/>
        </w:rPr>
      </w:pPr>
    </w:p>
    <w:sectPr>
      <w:headerReference r:id="rId3" w:type="default"/>
      <w:footerReference r:id="rId4" w:type="default"/>
      <w:pgSz w:w="11906" w:h="16838"/>
      <w:pgMar w:top="1474" w:right="1029" w:bottom="1474" w:left="141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8814">
    <w:pPr>
      <w:pStyle w:val="1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C3BE3">
                          <w:pPr>
                            <w:pStyle w:val="17"/>
                          </w:pPr>
                          <w:r>
                            <w:fldChar w:fldCharType="begin"/>
                          </w:r>
                          <w:r>
                            <w:instrText xml:space="preserve"> PAGE  \* MERGEFORMAT </w:instrText>
                          </w:r>
                          <w:r>
                            <w:fldChar w:fldCharType="separate"/>
                          </w:r>
                          <w:r>
                            <w:t>- 150 -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qnbY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J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6qdtiwCAABVBAAADgAAAAAAAAABACAAAAAfAQAAZHJzL2Uyb0RvYy54bWxQSwUGAAAAAAYA&#10;BgBZAQAAvQUAAAAA&#10;">
              <v:fill on="f" focussize="0,0"/>
              <v:stroke on="f" weight="0.5pt"/>
              <v:imagedata o:title=""/>
              <o:lock v:ext="edit" aspectratio="f"/>
              <v:textbox inset="0mm,0mm,0mm,0mm" style="mso-fit-shape-to-text:t;">
                <w:txbxContent>
                  <w:p w14:paraId="26AC3BE3">
                    <w:pPr>
                      <w:pStyle w:val="17"/>
                    </w:pPr>
                    <w:r>
                      <w:fldChar w:fldCharType="begin"/>
                    </w:r>
                    <w:r>
                      <w:instrText xml:space="preserve"> PAGE  \* MERGEFORMAT </w:instrText>
                    </w:r>
                    <w:r>
                      <w:fldChar w:fldCharType="separate"/>
                    </w:r>
                    <w:r>
                      <w:t>- 150 -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3B0B">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FC499"/>
    <w:multiLevelType w:val="singleLevel"/>
    <w:tmpl w:val="A24FC499"/>
    <w:lvl w:ilvl="0" w:tentative="0">
      <w:start w:val="1"/>
      <w:numFmt w:val="lowerLetter"/>
      <w:lvlText w:val="%1)"/>
      <w:lvlJc w:val="left"/>
      <w:pPr>
        <w:tabs>
          <w:tab w:val="left" w:pos="312"/>
        </w:tabs>
      </w:pPr>
    </w:lvl>
  </w:abstractNum>
  <w:abstractNum w:abstractNumId="1">
    <w:nsid w:val="BFD0D545"/>
    <w:multiLevelType w:val="singleLevel"/>
    <w:tmpl w:val="BFD0D545"/>
    <w:lvl w:ilvl="0" w:tentative="0">
      <w:start w:val="3"/>
      <w:numFmt w:val="decimal"/>
      <w:suff w:val="nothing"/>
      <w:lvlText w:val="（%1）"/>
      <w:lvlJc w:val="left"/>
    </w:lvl>
  </w:abstractNum>
  <w:abstractNum w:abstractNumId="2">
    <w:nsid w:val="C7DDD7AD"/>
    <w:multiLevelType w:val="singleLevel"/>
    <w:tmpl w:val="C7DDD7AD"/>
    <w:lvl w:ilvl="0" w:tentative="0">
      <w:start w:val="1"/>
      <w:numFmt w:val="lowerLetter"/>
      <w:lvlText w:val="%1)"/>
      <w:lvlJc w:val="left"/>
      <w:pPr>
        <w:tabs>
          <w:tab w:val="left" w:pos="312"/>
        </w:tabs>
      </w:pPr>
    </w:lvl>
  </w:abstractNum>
  <w:abstractNum w:abstractNumId="3">
    <w:nsid w:val="E7E3A92B"/>
    <w:multiLevelType w:val="singleLevel"/>
    <w:tmpl w:val="E7E3A92B"/>
    <w:lvl w:ilvl="0" w:tentative="0">
      <w:start w:val="1"/>
      <w:numFmt w:val="decimal"/>
      <w:suff w:val="nothing"/>
      <w:lvlText w:val="（%1）"/>
      <w:lvlJc w:val="left"/>
    </w:lvl>
  </w:abstractNum>
  <w:abstractNum w:abstractNumId="4">
    <w:nsid w:val="ED8F57AD"/>
    <w:multiLevelType w:val="singleLevel"/>
    <w:tmpl w:val="ED8F57AD"/>
    <w:lvl w:ilvl="0" w:tentative="0">
      <w:start w:val="1"/>
      <w:numFmt w:val="lowerLetter"/>
      <w:lvlText w:val="%1)"/>
      <w:lvlJc w:val="left"/>
      <w:pPr>
        <w:tabs>
          <w:tab w:val="left" w:pos="312"/>
        </w:tabs>
      </w:pPr>
    </w:lvl>
  </w:abstractNum>
  <w:abstractNum w:abstractNumId="5">
    <w:nsid w:val="00000018"/>
    <w:multiLevelType w:val="multilevel"/>
    <w:tmpl w:val="00000018"/>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1069D7A9"/>
    <w:multiLevelType w:val="singleLevel"/>
    <w:tmpl w:val="1069D7A9"/>
    <w:lvl w:ilvl="0" w:tentative="0">
      <w:start w:val="1"/>
      <w:numFmt w:val="decimal"/>
      <w:suff w:val="nothing"/>
      <w:lvlText w:val="（%1）"/>
      <w:lvlJc w:val="left"/>
    </w:lvl>
  </w:abstractNum>
  <w:abstractNum w:abstractNumId="7">
    <w:nsid w:val="2459D5EE"/>
    <w:multiLevelType w:val="singleLevel"/>
    <w:tmpl w:val="2459D5EE"/>
    <w:lvl w:ilvl="0" w:tentative="0">
      <w:start w:val="1"/>
      <w:numFmt w:val="decimal"/>
      <w:suff w:val="space"/>
      <w:lvlText w:val="%1."/>
      <w:lvlJc w:val="left"/>
      <w:pPr>
        <w:ind w:left="600" w:firstLine="0"/>
      </w:pPr>
    </w:lvl>
  </w:abstractNum>
  <w:abstractNum w:abstractNumId="8">
    <w:nsid w:val="41D41966"/>
    <w:multiLevelType w:val="singleLevel"/>
    <w:tmpl w:val="41D41966"/>
    <w:lvl w:ilvl="0" w:tentative="0">
      <w:start w:val="1"/>
      <w:numFmt w:val="decimal"/>
      <w:lvlText w:val="(%1)"/>
      <w:lvlJc w:val="left"/>
      <w:pPr>
        <w:ind w:left="425" w:hanging="425"/>
      </w:pPr>
      <w:rPr>
        <w:rFonts w:hint="default"/>
      </w:rPr>
    </w:lvl>
  </w:abstractNum>
  <w:abstractNum w:abstractNumId="9">
    <w:nsid w:val="461E8B48"/>
    <w:multiLevelType w:val="singleLevel"/>
    <w:tmpl w:val="461E8B48"/>
    <w:lvl w:ilvl="0" w:tentative="0">
      <w:start w:val="1"/>
      <w:numFmt w:val="chineseCounting"/>
      <w:suff w:val="space"/>
      <w:lvlText w:val="（%1）"/>
      <w:lvlJc w:val="left"/>
      <w:rPr>
        <w:rFonts w:hint="eastAsia"/>
      </w:rPr>
    </w:lvl>
  </w:abstractNum>
  <w:abstractNum w:abstractNumId="10">
    <w:nsid w:val="51AC7960"/>
    <w:multiLevelType w:val="singleLevel"/>
    <w:tmpl w:val="51AC7960"/>
    <w:lvl w:ilvl="0" w:tentative="0">
      <w:start w:val="5"/>
      <w:numFmt w:val="chineseCounting"/>
      <w:suff w:val="space"/>
      <w:lvlText w:val="第%1章"/>
      <w:lvlJc w:val="left"/>
      <w:rPr>
        <w:rFonts w:hint="eastAsia"/>
      </w:rPr>
    </w:lvl>
  </w:abstractNum>
  <w:abstractNum w:abstractNumId="11">
    <w:nsid w:val="6380F611"/>
    <w:multiLevelType w:val="singleLevel"/>
    <w:tmpl w:val="6380F611"/>
    <w:lvl w:ilvl="0" w:tentative="0">
      <w:start w:val="2"/>
      <w:numFmt w:val="decimal"/>
      <w:suff w:val="nothing"/>
      <w:lvlText w:val="%1、"/>
      <w:lvlJc w:val="left"/>
      <w:pPr>
        <w:ind w:left="354" w:firstLine="420"/>
      </w:pPr>
    </w:lvl>
  </w:abstractNum>
  <w:abstractNum w:abstractNumId="12">
    <w:nsid w:val="6EB4130E"/>
    <w:multiLevelType w:val="singleLevel"/>
    <w:tmpl w:val="6EB4130E"/>
    <w:lvl w:ilvl="0" w:tentative="0">
      <w:start w:val="3"/>
      <w:numFmt w:val="chineseCounting"/>
      <w:suff w:val="nothing"/>
      <w:lvlText w:val="%1、"/>
      <w:lvlJc w:val="left"/>
      <w:rPr>
        <w:rFonts w:hint="eastAsia"/>
      </w:rPr>
    </w:lvl>
  </w:abstractNum>
  <w:abstractNum w:abstractNumId="13">
    <w:nsid w:val="7525E2D8"/>
    <w:multiLevelType w:val="singleLevel"/>
    <w:tmpl w:val="7525E2D8"/>
    <w:lvl w:ilvl="0" w:tentative="0">
      <w:start w:val="3"/>
      <w:numFmt w:val="chineseCounting"/>
      <w:suff w:val="nothing"/>
      <w:lvlText w:val="（%1）"/>
      <w:lvlJc w:val="left"/>
      <w:rPr>
        <w:rFonts w:hint="eastAsia"/>
      </w:rPr>
    </w:lvl>
  </w:abstractNum>
  <w:num w:numId="1">
    <w:abstractNumId w:val="3"/>
  </w:num>
  <w:num w:numId="2">
    <w:abstractNumId w:val="1"/>
  </w:num>
  <w:num w:numId="3">
    <w:abstractNumId w:val="10"/>
  </w:num>
  <w:num w:numId="4">
    <w:abstractNumId w:val="6"/>
  </w:num>
  <w:num w:numId="5">
    <w:abstractNumId w:val="9"/>
  </w:num>
  <w:num w:numId="6">
    <w:abstractNumId w:val="13"/>
  </w:num>
  <w:num w:numId="7">
    <w:abstractNumId w:val="8"/>
  </w:num>
  <w:num w:numId="8">
    <w:abstractNumId w:val="0"/>
  </w:num>
  <w:num w:numId="9">
    <w:abstractNumId w:val="2"/>
  </w:num>
  <w:num w:numId="10">
    <w:abstractNumId w:val="4"/>
  </w:num>
  <w:num w:numId="11">
    <w:abstractNumId w:val="5"/>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MTg4ODQ2ZDM1MGFlZDcxNjMyMTljYjhlNTA5OGMifQ=="/>
  </w:docVars>
  <w:rsids>
    <w:rsidRoot w:val="002D3016"/>
    <w:rsid w:val="00050CB5"/>
    <w:rsid w:val="000B3BF7"/>
    <w:rsid w:val="000D5E0C"/>
    <w:rsid w:val="0013344B"/>
    <w:rsid w:val="00212F62"/>
    <w:rsid w:val="00294EC1"/>
    <w:rsid w:val="002D3016"/>
    <w:rsid w:val="003B167A"/>
    <w:rsid w:val="004134DC"/>
    <w:rsid w:val="00497573"/>
    <w:rsid w:val="004B047A"/>
    <w:rsid w:val="004D5CD8"/>
    <w:rsid w:val="00500AA5"/>
    <w:rsid w:val="005574FC"/>
    <w:rsid w:val="00582B4A"/>
    <w:rsid w:val="006A6ECE"/>
    <w:rsid w:val="006F2E86"/>
    <w:rsid w:val="006F3E04"/>
    <w:rsid w:val="00704336"/>
    <w:rsid w:val="0071379D"/>
    <w:rsid w:val="00756455"/>
    <w:rsid w:val="00846816"/>
    <w:rsid w:val="00867CA0"/>
    <w:rsid w:val="0088021E"/>
    <w:rsid w:val="008F0B46"/>
    <w:rsid w:val="00901722"/>
    <w:rsid w:val="00946725"/>
    <w:rsid w:val="009726AA"/>
    <w:rsid w:val="009B4AA3"/>
    <w:rsid w:val="00A335BE"/>
    <w:rsid w:val="00A6244D"/>
    <w:rsid w:val="00AE04D5"/>
    <w:rsid w:val="00AE4E5E"/>
    <w:rsid w:val="00AF252C"/>
    <w:rsid w:val="00B5443F"/>
    <w:rsid w:val="00B64897"/>
    <w:rsid w:val="00B81A97"/>
    <w:rsid w:val="00BB129A"/>
    <w:rsid w:val="00BB76A8"/>
    <w:rsid w:val="00C11C26"/>
    <w:rsid w:val="00CC71D6"/>
    <w:rsid w:val="00CD52CE"/>
    <w:rsid w:val="00CE135C"/>
    <w:rsid w:val="00CF307E"/>
    <w:rsid w:val="00D80466"/>
    <w:rsid w:val="00EB1C0E"/>
    <w:rsid w:val="00EC4E34"/>
    <w:rsid w:val="00FA11FD"/>
    <w:rsid w:val="01495060"/>
    <w:rsid w:val="01635C49"/>
    <w:rsid w:val="01AF70E0"/>
    <w:rsid w:val="02DC3F04"/>
    <w:rsid w:val="036B1DAF"/>
    <w:rsid w:val="03A74512"/>
    <w:rsid w:val="03B629A7"/>
    <w:rsid w:val="04041965"/>
    <w:rsid w:val="04533C71"/>
    <w:rsid w:val="04675A50"/>
    <w:rsid w:val="046E5030"/>
    <w:rsid w:val="04B62533"/>
    <w:rsid w:val="04DC01EC"/>
    <w:rsid w:val="04E92909"/>
    <w:rsid w:val="05AD3936"/>
    <w:rsid w:val="05B735D8"/>
    <w:rsid w:val="0616772D"/>
    <w:rsid w:val="064C314F"/>
    <w:rsid w:val="071C5217"/>
    <w:rsid w:val="073C7668"/>
    <w:rsid w:val="078D03FE"/>
    <w:rsid w:val="0797664C"/>
    <w:rsid w:val="07E15B19"/>
    <w:rsid w:val="087A48E9"/>
    <w:rsid w:val="08B82D1E"/>
    <w:rsid w:val="08C90A87"/>
    <w:rsid w:val="092E2FE0"/>
    <w:rsid w:val="09354491"/>
    <w:rsid w:val="094B3B92"/>
    <w:rsid w:val="096275C9"/>
    <w:rsid w:val="09B74D83"/>
    <w:rsid w:val="0A03446D"/>
    <w:rsid w:val="0A850B1D"/>
    <w:rsid w:val="0A9450C5"/>
    <w:rsid w:val="0BA23811"/>
    <w:rsid w:val="0BBE4AEF"/>
    <w:rsid w:val="0BF64289"/>
    <w:rsid w:val="0C112AF2"/>
    <w:rsid w:val="0D5D3E94"/>
    <w:rsid w:val="0E356BBF"/>
    <w:rsid w:val="0EAD05D0"/>
    <w:rsid w:val="0EC00B7E"/>
    <w:rsid w:val="0F026AA1"/>
    <w:rsid w:val="0F0A3BA7"/>
    <w:rsid w:val="0F44355D"/>
    <w:rsid w:val="0FA61B22"/>
    <w:rsid w:val="0FDC3796"/>
    <w:rsid w:val="112F6066"/>
    <w:rsid w:val="11AE54F7"/>
    <w:rsid w:val="11F254F3"/>
    <w:rsid w:val="12103BCB"/>
    <w:rsid w:val="122338FE"/>
    <w:rsid w:val="12C0114D"/>
    <w:rsid w:val="12E017EF"/>
    <w:rsid w:val="13596EAB"/>
    <w:rsid w:val="136F4921"/>
    <w:rsid w:val="13750189"/>
    <w:rsid w:val="13960100"/>
    <w:rsid w:val="14975EDD"/>
    <w:rsid w:val="14F7697C"/>
    <w:rsid w:val="15B90272"/>
    <w:rsid w:val="15BD7BC5"/>
    <w:rsid w:val="15DA6649"/>
    <w:rsid w:val="15E50ECA"/>
    <w:rsid w:val="1611035E"/>
    <w:rsid w:val="16377978"/>
    <w:rsid w:val="16783AEC"/>
    <w:rsid w:val="17237EFC"/>
    <w:rsid w:val="173D7210"/>
    <w:rsid w:val="17A4785F"/>
    <w:rsid w:val="17C26492"/>
    <w:rsid w:val="17DE69E2"/>
    <w:rsid w:val="17FD5D38"/>
    <w:rsid w:val="181B5077"/>
    <w:rsid w:val="182C6276"/>
    <w:rsid w:val="18553EC6"/>
    <w:rsid w:val="188B7B07"/>
    <w:rsid w:val="18910E95"/>
    <w:rsid w:val="18DE185F"/>
    <w:rsid w:val="18E3544F"/>
    <w:rsid w:val="18E80CA3"/>
    <w:rsid w:val="190E24E6"/>
    <w:rsid w:val="19102702"/>
    <w:rsid w:val="198033E4"/>
    <w:rsid w:val="19AF7825"/>
    <w:rsid w:val="1A7F18ED"/>
    <w:rsid w:val="1AC37EF8"/>
    <w:rsid w:val="1B0E27EB"/>
    <w:rsid w:val="1B1C713C"/>
    <w:rsid w:val="1B4B7A22"/>
    <w:rsid w:val="1B4F7512"/>
    <w:rsid w:val="1C2D7127"/>
    <w:rsid w:val="1C511068"/>
    <w:rsid w:val="1CB515F6"/>
    <w:rsid w:val="1CDB5E02"/>
    <w:rsid w:val="1D2422D8"/>
    <w:rsid w:val="1DAE0917"/>
    <w:rsid w:val="1EBC2425"/>
    <w:rsid w:val="1ED0096A"/>
    <w:rsid w:val="1F070103"/>
    <w:rsid w:val="1F4C5B16"/>
    <w:rsid w:val="1F576995"/>
    <w:rsid w:val="1FB74909"/>
    <w:rsid w:val="202B07D6"/>
    <w:rsid w:val="204A64FA"/>
    <w:rsid w:val="207552E0"/>
    <w:rsid w:val="20BA1C29"/>
    <w:rsid w:val="20C444FE"/>
    <w:rsid w:val="20DB53A4"/>
    <w:rsid w:val="210F504D"/>
    <w:rsid w:val="21613AFB"/>
    <w:rsid w:val="21902632"/>
    <w:rsid w:val="21AF6A69"/>
    <w:rsid w:val="2210107D"/>
    <w:rsid w:val="224F429B"/>
    <w:rsid w:val="227C4964"/>
    <w:rsid w:val="228026A7"/>
    <w:rsid w:val="22983B0C"/>
    <w:rsid w:val="2304750F"/>
    <w:rsid w:val="232B25DC"/>
    <w:rsid w:val="23711FEF"/>
    <w:rsid w:val="2435126F"/>
    <w:rsid w:val="24855D52"/>
    <w:rsid w:val="249E0BC2"/>
    <w:rsid w:val="24A773CD"/>
    <w:rsid w:val="250A7588"/>
    <w:rsid w:val="25292B82"/>
    <w:rsid w:val="25441769"/>
    <w:rsid w:val="254B6F9C"/>
    <w:rsid w:val="25534608"/>
    <w:rsid w:val="259A3F45"/>
    <w:rsid w:val="25A254D7"/>
    <w:rsid w:val="25AD37B3"/>
    <w:rsid w:val="25D845A8"/>
    <w:rsid w:val="26737732"/>
    <w:rsid w:val="26E0071D"/>
    <w:rsid w:val="284E28FF"/>
    <w:rsid w:val="2869161E"/>
    <w:rsid w:val="28706D19"/>
    <w:rsid w:val="288F53F1"/>
    <w:rsid w:val="289F3105"/>
    <w:rsid w:val="28A80261"/>
    <w:rsid w:val="29453D02"/>
    <w:rsid w:val="299E3412"/>
    <w:rsid w:val="29C64F1D"/>
    <w:rsid w:val="2A07545B"/>
    <w:rsid w:val="2A173835"/>
    <w:rsid w:val="2A506E02"/>
    <w:rsid w:val="2A5C1303"/>
    <w:rsid w:val="2A8820F8"/>
    <w:rsid w:val="2AE8703B"/>
    <w:rsid w:val="2B142C50"/>
    <w:rsid w:val="2B5D3585"/>
    <w:rsid w:val="2B674404"/>
    <w:rsid w:val="2B77216D"/>
    <w:rsid w:val="2B844FB6"/>
    <w:rsid w:val="2B960363"/>
    <w:rsid w:val="2B980A61"/>
    <w:rsid w:val="2BCC4267"/>
    <w:rsid w:val="2BDF40C3"/>
    <w:rsid w:val="2C363DD6"/>
    <w:rsid w:val="2C9A4365"/>
    <w:rsid w:val="2CD01FF8"/>
    <w:rsid w:val="2CEE645F"/>
    <w:rsid w:val="2CF241A1"/>
    <w:rsid w:val="2D236108"/>
    <w:rsid w:val="2D410C84"/>
    <w:rsid w:val="2D6942AF"/>
    <w:rsid w:val="2D9B0395"/>
    <w:rsid w:val="2DAF3E40"/>
    <w:rsid w:val="2DEC0BF0"/>
    <w:rsid w:val="2DEF28B7"/>
    <w:rsid w:val="2DF844A9"/>
    <w:rsid w:val="2E240F95"/>
    <w:rsid w:val="2E3D31FA"/>
    <w:rsid w:val="2E4272A0"/>
    <w:rsid w:val="2E9A7907"/>
    <w:rsid w:val="2EFC30B5"/>
    <w:rsid w:val="2F285C58"/>
    <w:rsid w:val="2F61116A"/>
    <w:rsid w:val="2FC811E9"/>
    <w:rsid w:val="2FE83639"/>
    <w:rsid w:val="2FFB15BE"/>
    <w:rsid w:val="302E3742"/>
    <w:rsid w:val="30517430"/>
    <w:rsid w:val="308B46F0"/>
    <w:rsid w:val="308C2216"/>
    <w:rsid w:val="30B45990"/>
    <w:rsid w:val="3150593A"/>
    <w:rsid w:val="31E22A36"/>
    <w:rsid w:val="326340B4"/>
    <w:rsid w:val="32931F82"/>
    <w:rsid w:val="32935ADE"/>
    <w:rsid w:val="32FC7B27"/>
    <w:rsid w:val="33230377"/>
    <w:rsid w:val="335039CF"/>
    <w:rsid w:val="33941B0E"/>
    <w:rsid w:val="33A67A93"/>
    <w:rsid w:val="34115391"/>
    <w:rsid w:val="345B6AD0"/>
    <w:rsid w:val="345D2848"/>
    <w:rsid w:val="34692F9B"/>
    <w:rsid w:val="347F27BE"/>
    <w:rsid w:val="34DF14AF"/>
    <w:rsid w:val="34EE524E"/>
    <w:rsid w:val="34FD1935"/>
    <w:rsid w:val="350E769E"/>
    <w:rsid w:val="35380BEE"/>
    <w:rsid w:val="35661288"/>
    <w:rsid w:val="35CB23D2"/>
    <w:rsid w:val="35FB2318"/>
    <w:rsid w:val="362178A5"/>
    <w:rsid w:val="37384EA6"/>
    <w:rsid w:val="374D6BA3"/>
    <w:rsid w:val="37621F23"/>
    <w:rsid w:val="37623CD1"/>
    <w:rsid w:val="37A34A15"/>
    <w:rsid w:val="37AF33BA"/>
    <w:rsid w:val="37FC5098"/>
    <w:rsid w:val="384855BD"/>
    <w:rsid w:val="385C1654"/>
    <w:rsid w:val="38B26102"/>
    <w:rsid w:val="38CC5C06"/>
    <w:rsid w:val="38D26C34"/>
    <w:rsid w:val="392A081F"/>
    <w:rsid w:val="39557F91"/>
    <w:rsid w:val="39561614"/>
    <w:rsid w:val="399A3BF6"/>
    <w:rsid w:val="39FB1641"/>
    <w:rsid w:val="3A0B68A2"/>
    <w:rsid w:val="3A3C4CAD"/>
    <w:rsid w:val="3AA34D2C"/>
    <w:rsid w:val="3AB605BC"/>
    <w:rsid w:val="3AD14283"/>
    <w:rsid w:val="3AF92B9E"/>
    <w:rsid w:val="3B6F4C0F"/>
    <w:rsid w:val="3B7C4D71"/>
    <w:rsid w:val="3B9F72A2"/>
    <w:rsid w:val="3BFC46F4"/>
    <w:rsid w:val="3C0812EB"/>
    <w:rsid w:val="3C502C92"/>
    <w:rsid w:val="3C6A62D0"/>
    <w:rsid w:val="3D2757A1"/>
    <w:rsid w:val="3D4E5423"/>
    <w:rsid w:val="3D5B544A"/>
    <w:rsid w:val="3E4928E7"/>
    <w:rsid w:val="3E671D90"/>
    <w:rsid w:val="3FCF2120"/>
    <w:rsid w:val="40055B41"/>
    <w:rsid w:val="41171FD0"/>
    <w:rsid w:val="41210759"/>
    <w:rsid w:val="418C651A"/>
    <w:rsid w:val="418F0497"/>
    <w:rsid w:val="41C37A62"/>
    <w:rsid w:val="41E06B42"/>
    <w:rsid w:val="41E9396D"/>
    <w:rsid w:val="421F113C"/>
    <w:rsid w:val="42644DD5"/>
    <w:rsid w:val="4269060A"/>
    <w:rsid w:val="42AF6FD9"/>
    <w:rsid w:val="42F75C15"/>
    <w:rsid w:val="43947908"/>
    <w:rsid w:val="43A63197"/>
    <w:rsid w:val="43AE09CA"/>
    <w:rsid w:val="4464552C"/>
    <w:rsid w:val="448B2AB9"/>
    <w:rsid w:val="44E96120"/>
    <w:rsid w:val="45054375"/>
    <w:rsid w:val="45090F81"/>
    <w:rsid w:val="45CC15DB"/>
    <w:rsid w:val="45FE72BB"/>
    <w:rsid w:val="46EE5581"/>
    <w:rsid w:val="47212A2A"/>
    <w:rsid w:val="47280A93"/>
    <w:rsid w:val="47436DE6"/>
    <w:rsid w:val="477A2BAC"/>
    <w:rsid w:val="47B449D0"/>
    <w:rsid w:val="480212E4"/>
    <w:rsid w:val="481E59F2"/>
    <w:rsid w:val="487F15D0"/>
    <w:rsid w:val="48BF5552"/>
    <w:rsid w:val="48C22822"/>
    <w:rsid w:val="48F36E7F"/>
    <w:rsid w:val="48F826E7"/>
    <w:rsid w:val="493108C7"/>
    <w:rsid w:val="49816239"/>
    <w:rsid w:val="4A064990"/>
    <w:rsid w:val="4B4B2FA2"/>
    <w:rsid w:val="4B672AA2"/>
    <w:rsid w:val="4BB87F0C"/>
    <w:rsid w:val="4BEC0389"/>
    <w:rsid w:val="4C916A59"/>
    <w:rsid w:val="4D3D4B6D"/>
    <w:rsid w:val="4D422183"/>
    <w:rsid w:val="4D6640C3"/>
    <w:rsid w:val="4D770568"/>
    <w:rsid w:val="4DB7491F"/>
    <w:rsid w:val="4E2D2168"/>
    <w:rsid w:val="4F18319B"/>
    <w:rsid w:val="4F3D39D2"/>
    <w:rsid w:val="4F4B17C3"/>
    <w:rsid w:val="4FB8497E"/>
    <w:rsid w:val="4FF742E8"/>
    <w:rsid w:val="505E72D8"/>
    <w:rsid w:val="508C34F4"/>
    <w:rsid w:val="508D27A6"/>
    <w:rsid w:val="50CF1F80"/>
    <w:rsid w:val="50F15F01"/>
    <w:rsid w:val="50FE18B6"/>
    <w:rsid w:val="51422751"/>
    <w:rsid w:val="515406D7"/>
    <w:rsid w:val="517B2107"/>
    <w:rsid w:val="51C70EA9"/>
    <w:rsid w:val="521B6ECB"/>
    <w:rsid w:val="522D51B0"/>
    <w:rsid w:val="523A78CD"/>
    <w:rsid w:val="52643BC3"/>
    <w:rsid w:val="52E837CD"/>
    <w:rsid w:val="52F757BE"/>
    <w:rsid w:val="53075C2D"/>
    <w:rsid w:val="538A03E0"/>
    <w:rsid w:val="539F3E8B"/>
    <w:rsid w:val="53E43F94"/>
    <w:rsid w:val="53EA0E7E"/>
    <w:rsid w:val="54120B01"/>
    <w:rsid w:val="541C54DC"/>
    <w:rsid w:val="54824278"/>
    <w:rsid w:val="55230AEC"/>
    <w:rsid w:val="5588094F"/>
    <w:rsid w:val="558C48E3"/>
    <w:rsid w:val="56576C9F"/>
    <w:rsid w:val="56903F5F"/>
    <w:rsid w:val="56B714EC"/>
    <w:rsid w:val="570861EB"/>
    <w:rsid w:val="570B7A8A"/>
    <w:rsid w:val="570F02CB"/>
    <w:rsid w:val="575925A3"/>
    <w:rsid w:val="57845462"/>
    <w:rsid w:val="57AF2B0B"/>
    <w:rsid w:val="57B76E92"/>
    <w:rsid w:val="58935F89"/>
    <w:rsid w:val="589715D5"/>
    <w:rsid w:val="58C85C32"/>
    <w:rsid w:val="58C91013"/>
    <w:rsid w:val="59050C34"/>
    <w:rsid w:val="592F3F03"/>
    <w:rsid w:val="59A57D21"/>
    <w:rsid w:val="59BE7035"/>
    <w:rsid w:val="5A0F71D0"/>
    <w:rsid w:val="5A105AE3"/>
    <w:rsid w:val="5A315A59"/>
    <w:rsid w:val="5A845A3D"/>
    <w:rsid w:val="5A8B6F17"/>
    <w:rsid w:val="5AD20FEA"/>
    <w:rsid w:val="5B294278"/>
    <w:rsid w:val="5BDB3ECE"/>
    <w:rsid w:val="5C1271C4"/>
    <w:rsid w:val="5C270EC2"/>
    <w:rsid w:val="5CAE15E3"/>
    <w:rsid w:val="5CF8285E"/>
    <w:rsid w:val="5D137698"/>
    <w:rsid w:val="5D1F7DEB"/>
    <w:rsid w:val="5DB26EB1"/>
    <w:rsid w:val="5E2C6C63"/>
    <w:rsid w:val="5E6178F9"/>
    <w:rsid w:val="5E9F5041"/>
    <w:rsid w:val="5EAE1426"/>
    <w:rsid w:val="5EB069AA"/>
    <w:rsid w:val="5EC23DCA"/>
    <w:rsid w:val="5EC46E9C"/>
    <w:rsid w:val="5F1C0A86"/>
    <w:rsid w:val="5F3A715E"/>
    <w:rsid w:val="5F8E3006"/>
    <w:rsid w:val="5F992E01"/>
    <w:rsid w:val="5FCF49FC"/>
    <w:rsid w:val="60011A2A"/>
    <w:rsid w:val="601E082E"/>
    <w:rsid w:val="60215192"/>
    <w:rsid w:val="609E371C"/>
    <w:rsid w:val="61F730E4"/>
    <w:rsid w:val="62206ADF"/>
    <w:rsid w:val="624900B1"/>
    <w:rsid w:val="628250A4"/>
    <w:rsid w:val="62BC7E8A"/>
    <w:rsid w:val="62E01DCA"/>
    <w:rsid w:val="64351212"/>
    <w:rsid w:val="646D7AC9"/>
    <w:rsid w:val="64966BE4"/>
    <w:rsid w:val="64C74545"/>
    <w:rsid w:val="64DB0A9B"/>
    <w:rsid w:val="650049A6"/>
    <w:rsid w:val="658729D1"/>
    <w:rsid w:val="660109D5"/>
    <w:rsid w:val="66216982"/>
    <w:rsid w:val="66256DBE"/>
    <w:rsid w:val="662D5327"/>
    <w:rsid w:val="6673685C"/>
    <w:rsid w:val="6675128B"/>
    <w:rsid w:val="667D1DF3"/>
    <w:rsid w:val="66811B16"/>
    <w:rsid w:val="66A35A4A"/>
    <w:rsid w:val="66C0619B"/>
    <w:rsid w:val="66DB1226"/>
    <w:rsid w:val="66DB4A1E"/>
    <w:rsid w:val="6703077D"/>
    <w:rsid w:val="6744631E"/>
    <w:rsid w:val="67B81568"/>
    <w:rsid w:val="67EC2FBF"/>
    <w:rsid w:val="67FD51CC"/>
    <w:rsid w:val="6864524C"/>
    <w:rsid w:val="68660FC4"/>
    <w:rsid w:val="69B67D29"/>
    <w:rsid w:val="6A415844"/>
    <w:rsid w:val="6AA45DD3"/>
    <w:rsid w:val="6ADA35A3"/>
    <w:rsid w:val="6AFA3F1E"/>
    <w:rsid w:val="6B0D3D58"/>
    <w:rsid w:val="6B961BC0"/>
    <w:rsid w:val="6BCA186A"/>
    <w:rsid w:val="6BE566A3"/>
    <w:rsid w:val="6C2A7359"/>
    <w:rsid w:val="6C4F77F2"/>
    <w:rsid w:val="6CFA15F8"/>
    <w:rsid w:val="6D6F4477"/>
    <w:rsid w:val="6DB12CE1"/>
    <w:rsid w:val="6DE05374"/>
    <w:rsid w:val="6E7869C4"/>
    <w:rsid w:val="6EDC1FE0"/>
    <w:rsid w:val="6F742218"/>
    <w:rsid w:val="6FA04DBB"/>
    <w:rsid w:val="6FC30AAA"/>
    <w:rsid w:val="6FEC1DAE"/>
    <w:rsid w:val="706933FF"/>
    <w:rsid w:val="70710506"/>
    <w:rsid w:val="709A5CAE"/>
    <w:rsid w:val="70ED4030"/>
    <w:rsid w:val="71397275"/>
    <w:rsid w:val="7141612A"/>
    <w:rsid w:val="718F40F9"/>
    <w:rsid w:val="71CD3E62"/>
    <w:rsid w:val="71ED2368"/>
    <w:rsid w:val="72555796"/>
    <w:rsid w:val="73612AB3"/>
    <w:rsid w:val="737547B1"/>
    <w:rsid w:val="73DA28B0"/>
    <w:rsid w:val="73F94BF8"/>
    <w:rsid w:val="74A7099A"/>
    <w:rsid w:val="74FB6084"/>
    <w:rsid w:val="753B10E2"/>
    <w:rsid w:val="755503F6"/>
    <w:rsid w:val="75693EA1"/>
    <w:rsid w:val="759D4126"/>
    <w:rsid w:val="75F419BD"/>
    <w:rsid w:val="768F5B89"/>
    <w:rsid w:val="77057BFA"/>
    <w:rsid w:val="77274014"/>
    <w:rsid w:val="77505319"/>
    <w:rsid w:val="775070C7"/>
    <w:rsid w:val="775211C4"/>
    <w:rsid w:val="775A7F45"/>
    <w:rsid w:val="779A47E6"/>
    <w:rsid w:val="77BC650A"/>
    <w:rsid w:val="77FE6B23"/>
    <w:rsid w:val="78000AED"/>
    <w:rsid w:val="785D5F3F"/>
    <w:rsid w:val="78F44C22"/>
    <w:rsid w:val="7A173ECC"/>
    <w:rsid w:val="7A2F7467"/>
    <w:rsid w:val="7AEC5358"/>
    <w:rsid w:val="7AF16E13"/>
    <w:rsid w:val="7C6349A9"/>
    <w:rsid w:val="7DF804B8"/>
    <w:rsid w:val="7E1F5A45"/>
    <w:rsid w:val="7E2339C9"/>
    <w:rsid w:val="7E631DD5"/>
    <w:rsid w:val="7E77762F"/>
    <w:rsid w:val="7EF93831"/>
    <w:rsid w:val="7F1B53D9"/>
    <w:rsid w:val="7F25708B"/>
    <w:rsid w:val="7F485D15"/>
    <w:rsid w:val="7F814DD6"/>
    <w:rsid w:val="7FC5261C"/>
    <w:rsid w:val="7FE4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5" w:lineRule="auto"/>
      <w:outlineLvl w:val="2"/>
    </w:pPr>
    <w:rPr>
      <w:b/>
      <w:bCs/>
      <w:kern w:val="0"/>
      <w:sz w:val="32"/>
      <w:szCs w:val="32"/>
    </w:rPr>
  </w:style>
  <w:style w:type="paragraph" w:styleId="5">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paragraph" w:styleId="7">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ind w:left="1260"/>
      <w:jc w:val="left"/>
    </w:pPr>
    <w:rPr>
      <w:sz w:val="18"/>
      <w:szCs w:val="18"/>
    </w:rPr>
  </w:style>
  <w:style w:type="paragraph" w:styleId="9">
    <w:name w:val="annotation text"/>
    <w:basedOn w:val="1"/>
    <w:link w:val="57"/>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qFormat/>
    <w:uiPriority w:val="0"/>
  </w:style>
  <w:style w:type="paragraph" w:styleId="12">
    <w:name w:val="Body Text Indent"/>
    <w:basedOn w:val="1"/>
    <w:next w:val="13"/>
    <w:qFormat/>
    <w:uiPriority w:val="0"/>
    <w:pPr>
      <w:ind w:left="420" w:leftChars="200"/>
    </w:pPr>
  </w:style>
  <w:style w:type="paragraph" w:styleId="13">
    <w:name w:val="envelope return"/>
    <w:basedOn w:val="1"/>
    <w:next w:val="8"/>
    <w:qFormat/>
    <w:uiPriority w:val="0"/>
    <w:pPr>
      <w:snapToGrid w:val="0"/>
    </w:pPr>
    <w:rPr>
      <w:rFonts w:ascii="Arial" w:hAnsi="Arial"/>
    </w:rPr>
  </w:style>
  <w:style w:type="paragraph" w:styleId="14">
    <w:name w:val="Plain Text"/>
    <w:basedOn w:val="1"/>
    <w:qFormat/>
    <w:uiPriority w:val="0"/>
    <w:rPr>
      <w:rFonts w:ascii="宋体" w:hAnsi="Courier New"/>
    </w:rPr>
  </w:style>
  <w:style w:type="paragraph" w:styleId="15">
    <w:name w:val="Body Text Indent 2"/>
    <w:basedOn w:val="1"/>
    <w:qFormat/>
    <w:uiPriority w:val="0"/>
    <w:pPr>
      <w:spacing w:line="360" w:lineRule="exact"/>
      <w:ind w:firstLine="600" w:firstLineChars="250"/>
      <w:jc w:val="left"/>
    </w:pPr>
    <w:rPr>
      <w:sz w:val="24"/>
    </w:rPr>
  </w:style>
  <w:style w:type="paragraph" w:styleId="16">
    <w:name w:val="Balloon Text"/>
    <w:basedOn w:val="1"/>
    <w:link w:val="56"/>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jc w:val="left"/>
    </w:pPr>
    <w:rPr>
      <w:b/>
      <w:bCs/>
      <w:caps/>
      <w:sz w:val="20"/>
      <w:szCs w:val="20"/>
    </w:rPr>
  </w:style>
  <w:style w:type="paragraph" w:styleId="20">
    <w:name w:val="Normal (Web)"/>
    <w:basedOn w:val="1"/>
    <w:qFormat/>
    <w:uiPriority w:val="0"/>
    <w:rPr>
      <w:sz w:val="24"/>
    </w:rPr>
  </w:style>
  <w:style w:type="paragraph" w:styleId="21">
    <w:name w:val="annotation subject"/>
    <w:basedOn w:val="9"/>
    <w:next w:val="9"/>
    <w:link w:val="58"/>
    <w:qFormat/>
    <w:uiPriority w:val="0"/>
    <w:rPr>
      <w:b/>
      <w:bCs/>
    </w:rPr>
  </w:style>
  <w:style w:type="paragraph" w:styleId="22">
    <w:name w:val="Body Text First Indent 2"/>
    <w:basedOn w:val="12"/>
    <w:next w:val="1"/>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FollowedHyperlink"/>
    <w:basedOn w:val="25"/>
    <w:qFormat/>
    <w:uiPriority w:val="0"/>
    <w:rPr>
      <w:color w:val="5C5C5C"/>
      <w:u w:val="none"/>
    </w:rPr>
  </w:style>
  <w:style w:type="character" w:styleId="28">
    <w:name w:val="Emphasis"/>
    <w:basedOn w:val="25"/>
    <w:qFormat/>
    <w:uiPriority w:val="0"/>
    <w:rPr>
      <w:b/>
      <w:bCs/>
    </w:rPr>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qFormat/>
    <w:uiPriority w:val="0"/>
    <w:rPr>
      <w:color w:val="333333"/>
      <w:shd w:val="clear" w:color="auto" w:fill="FFFFFF"/>
    </w:rPr>
  </w:style>
  <w:style w:type="character" w:styleId="32">
    <w:name w:val="HTML Variable"/>
    <w:basedOn w:val="25"/>
    <w:qFormat/>
    <w:uiPriority w:val="0"/>
  </w:style>
  <w:style w:type="character" w:styleId="33">
    <w:name w:val="Hyperlink"/>
    <w:qFormat/>
    <w:uiPriority w:val="99"/>
    <w:rPr>
      <w:color w:val="333333"/>
      <w:u w:val="none"/>
    </w:rPr>
  </w:style>
  <w:style w:type="character" w:styleId="34">
    <w:name w:val="HTML Code"/>
    <w:basedOn w:val="25"/>
    <w:qFormat/>
    <w:uiPriority w:val="0"/>
    <w:rPr>
      <w:rFonts w:ascii="monospace" w:hAnsi="monospace" w:eastAsia="monospace" w:cs="monospace"/>
      <w:sz w:val="20"/>
    </w:rPr>
  </w:style>
  <w:style w:type="character" w:styleId="35">
    <w:name w:val="annotation reference"/>
    <w:basedOn w:val="25"/>
    <w:qFormat/>
    <w:uiPriority w:val="0"/>
    <w:rPr>
      <w:sz w:val="21"/>
      <w:szCs w:val="21"/>
    </w:rPr>
  </w:style>
  <w:style w:type="character" w:styleId="36">
    <w:name w:val="HTML Cite"/>
    <w:basedOn w:val="25"/>
    <w:qFormat/>
    <w:uiPriority w:val="0"/>
  </w:style>
  <w:style w:type="character" w:styleId="37">
    <w:name w:val="HTML Keyboard"/>
    <w:basedOn w:val="25"/>
    <w:qFormat/>
    <w:uiPriority w:val="0"/>
    <w:rPr>
      <w:rFonts w:hint="default" w:ascii="monospace" w:hAnsi="monospace" w:eastAsia="monospace" w:cs="monospace"/>
      <w:sz w:val="20"/>
    </w:rPr>
  </w:style>
  <w:style w:type="character" w:styleId="38">
    <w:name w:val="HTML Sample"/>
    <w:basedOn w:val="25"/>
    <w:qFormat/>
    <w:uiPriority w:val="0"/>
    <w:rPr>
      <w:rFonts w:hint="default" w:ascii="monospace" w:hAnsi="monospace" w:eastAsia="monospace" w:cs="monospace"/>
    </w:rPr>
  </w:style>
  <w:style w:type="paragraph" w:customStyle="1" w:styleId="39">
    <w:name w:val="节标题"/>
    <w:basedOn w:val="1"/>
    <w:next w:val="1"/>
    <w:qFormat/>
    <w:uiPriority w:val="0"/>
    <w:pPr>
      <w:widowControl/>
      <w:spacing w:line="289" w:lineRule="atLeast"/>
      <w:jc w:val="center"/>
      <w:textAlignment w:val="baseline"/>
    </w:pPr>
    <w:rPr>
      <w:color w:val="000000"/>
      <w:kern w:val="0"/>
      <w:sz w:val="28"/>
      <w:szCs w:val="20"/>
    </w:rPr>
  </w:style>
  <w:style w:type="character" w:customStyle="1" w:styleId="40">
    <w:name w:val="hover"/>
    <w:basedOn w:val="25"/>
    <w:qFormat/>
    <w:uiPriority w:val="0"/>
  </w:style>
  <w:style w:type="character" w:customStyle="1" w:styleId="41">
    <w:name w:val="hover1"/>
    <w:basedOn w:val="25"/>
    <w:qFormat/>
    <w:uiPriority w:val="0"/>
    <w:rPr>
      <w:color w:val="2590EB"/>
    </w:rPr>
  </w:style>
  <w:style w:type="paragraph" w:customStyle="1" w:styleId="42">
    <w:name w:val="列出段落1"/>
    <w:basedOn w:val="1"/>
    <w:qFormat/>
    <w:uiPriority w:val="1"/>
    <w:pPr>
      <w:ind w:left="354" w:firstLine="420"/>
    </w:pPr>
    <w:rPr>
      <w:rFonts w:ascii="宋体" w:hAnsi="宋体" w:cs="宋体"/>
      <w:lang w:val="zh-CN" w:bidi="zh-CN"/>
    </w:rPr>
  </w:style>
  <w:style w:type="character" w:customStyle="1" w:styleId="43">
    <w:name w:val="mini-outputtext1"/>
    <w:basedOn w:val="2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45">
    <w:name w:val="表格文本"/>
    <w:qFormat/>
    <w:uiPriority w:val="0"/>
    <w:pPr>
      <w:tabs>
        <w:tab w:val="decimal" w:pos="0"/>
      </w:tabs>
    </w:pPr>
    <w:rPr>
      <w:rFonts w:ascii="Times New Roman" w:hAnsi="Times New Roman" w:eastAsia="仿宋" w:cs="Times New Roman"/>
      <w:kern w:val="2"/>
      <w:sz w:val="21"/>
      <w:szCs w:val="21"/>
      <w:lang w:val="en-US" w:eastAsia="zh-CN" w:bidi="ar-SA"/>
    </w:rPr>
  </w:style>
  <w:style w:type="character" w:customStyle="1" w:styleId="46">
    <w:name w:val="hover3"/>
    <w:basedOn w:val="25"/>
    <w:qFormat/>
    <w:uiPriority w:val="0"/>
  </w:style>
  <w:style w:type="paragraph" w:customStyle="1" w:styleId="47">
    <w:name w:val="Table Text"/>
    <w:basedOn w:val="1"/>
    <w:semiHidden/>
    <w:qFormat/>
    <w:uiPriority w:val="0"/>
    <w:rPr>
      <w:rFonts w:ascii="宋体" w:hAnsi="宋体" w:cs="宋体"/>
      <w:szCs w:val="21"/>
      <w:lang w:eastAsia="en-US"/>
    </w:rPr>
  </w:style>
  <w:style w:type="paragraph" w:styleId="48">
    <w:name w:val="List Paragraph"/>
    <w:basedOn w:val="1"/>
    <w:qFormat/>
    <w:uiPriority w:val="34"/>
    <w:pPr>
      <w:ind w:left="720"/>
      <w:contextualSpacing/>
    </w:pPr>
  </w:style>
  <w:style w:type="character" w:customStyle="1" w:styleId="49">
    <w:name w:val="hover2"/>
    <w:basedOn w:val="25"/>
    <w:qFormat/>
    <w:uiPriority w:val="0"/>
    <w:rPr>
      <w:color w:val="2590EB"/>
    </w:rPr>
  </w:style>
  <w:style w:type="paragraph" w:customStyle="1" w:styleId="50">
    <w:name w:val="p0"/>
    <w:basedOn w:val="1"/>
    <w:qFormat/>
    <w:uiPriority w:val="0"/>
    <w:pPr>
      <w:widowControl/>
    </w:pPr>
    <w:rPr>
      <w:kern w:val="0"/>
      <w:szCs w:val="21"/>
    </w:rPr>
  </w:style>
  <w:style w:type="character" w:customStyle="1" w:styleId="51">
    <w:name w:val="hover4"/>
    <w:basedOn w:val="25"/>
    <w:qFormat/>
    <w:uiPriority w:val="0"/>
    <w:rPr>
      <w:color w:val="2590EB"/>
      <w:shd w:val="clear" w:color="auto" w:fill="E9F4FD"/>
    </w:rPr>
  </w:style>
  <w:style w:type="paragraph" w:customStyle="1" w:styleId="52">
    <w:name w:val="表格文字"/>
    <w:basedOn w:val="1"/>
    <w:qFormat/>
    <w:uiPriority w:val="0"/>
    <w:pPr>
      <w:widowControl/>
      <w:jc w:val="center"/>
    </w:pPr>
    <w:rPr>
      <w:szCs w:val="28"/>
    </w:rPr>
  </w:style>
  <w:style w:type="paragraph" w:customStyle="1" w:styleId="53">
    <w:name w:val="表、图文字"/>
    <w:basedOn w:val="1"/>
    <w:qFormat/>
    <w:uiPriority w:val="0"/>
    <w:pPr>
      <w:widowControl/>
      <w:jc w:val="center"/>
    </w:pPr>
    <w:rPr>
      <w:rFonts w:cs="宋体"/>
      <w:b/>
      <w:color w:val="000000"/>
      <w:kern w:val="0"/>
    </w:rPr>
  </w:style>
  <w:style w:type="paragraph" w:customStyle="1" w:styleId="54">
    <w:name w:val="_Style 12"/>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55">
    <w:name w:val="Table Paragraph"/>
    <w:basedOn w:val="1"/>
    <w:qFormat/>
    <w:uiPriority w:val="1"/>
    <w:rPr>
      <w:rFonts w:ascii="宋体" w:hAnsi="宋体" w:cs="宋体"/>
      <w:lang w:val="zh-CN" w:bidi="zh-CN"/>
    </w:rPr>
  </w:style>
  <w:style w:type="character" w:customStyle="1" w:styleId="56">
    <w:name w:val="批注框文本 字符"/>
    <w:basedOn w:val="25"/>
    <w:link w:val="16"/>
    <w:qFormat/>
    <w:uiPriority w:val="0"/>
    <w:rPr>
      <w:kern w:val="2"/>
      <w:sz w:val="18"/>
      <w:szCs w:val="18"/>
    </w:rPr>
  </w:style>
  <w:style w:type="character" w:customStyle="1" w:styleId="57">
    <w:name w:val="批注文字 字符"/>
    <w:basedOn w:val="25"/>
    <w:link w:val="9"/>
    <w:qFormat/>
    <w:uiPriority w:val="0"/>
    <w:rPr>
      <w:kern w:val="2"/>
      <w:sz w:val="21"/>
      <w:szCs w:val="24"/>
    </w:rPr>
  </w:style>
  <w:style w:type="character" w:customStyle="1" w:styleId="58">
    <w:name w:val="批注主题 字符"/>
    <w:basedOn w:val="57"/>
    <w:link w:val="21"/>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175</Pages>
  <Words>19708</Words>
  <Characters>21389</Characters>
  <Lines>175</Lines>
  <Paragraphs>235</Paragraphs>
  <TotalTime>8</TotalTime>
  <ScaleCrop>false</ScaleCrop>
  <LinksUpToDate>false</LinksUpToDate>
  <CharactersWithSpaces>21787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2025-07-02T10:06:00Z</dcterms:created>
  <dc:creator>MAXHUB</dc:creator>
  <cp:lastModifiedBy>韦韦</cp:lastModifiedBy>
  <cp:lastPrinted>2025-09-18T05:27:00Z</cp:lastPrinted>
  <dcterms:modified xsi:type="dcterms:W3CDTF">2025-09-18T06:12:03Z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eyJoZGlkIjoiZmQ5MGI3YTdkMjVkZTZjM2ZjZTQ5YjMxYTJjZjRlOWEiLCJ1c2VySWQiOiIzNjE4MjQ5In0=</vt:lpwstr>
  </property>
  <property fmtid="{D5CDD505-2E9C-101B-9397-08002B2CF9AE}" pid="3" name="KSOProductBuildVer">
    <vt:lpwstr>2052-12.1.0.22529</vt:lpwstr>
  </property>
  <property fmtid="{D5CDD505-2E9C-101B-9397-08002B2CF9AE}" pid="4" name="ICV">
    <vt:lpwstr>EAF1F6AF0F20464BB6533979B9958DE6_13</vt:lpwstr>
  </property>
</Properties>
</file>